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heme="minorEastAsia" w:hAnsiTheme="minorEastAsia" w:eastAsiaTheme="minorEastAsia" w:cstheme="minorEastAsia"/>
          <w:b/>
          <w:color w:val="auto"/>
          <w:sz w:val="72"/>
          <w:szCs w:val="72"/>
          <w:highlight w:val="none"/>
          <w:lang w:val="en-US" w:eastAsia="zh-CN"/>
        </w:rPr>
      </w:pPr>
      <w:r>
        <w:rPr>
          <w:rFonts w:hint="default" w:asciiTheme="minorEastAsia" w:hAnsiTheme="minorEastAsia" w:eastAsiaTheme="minorEastAsia" w:cstheme="minorEastAsia"/>
          <w:b/>
          <w:color w:val="auto"/>
          <w:sz w:val="72"/>
          <w:szCs w:val="72"/>
          <w:highlight w:val="none"/>
          <w:lang w:val="en-US" w:eastAsia="zh-CN"/>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120"/>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120"/>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9"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8"/>
                        <a:stretch/>
                      </pic:blipFill>
                      <pic:spPr bwMode="auto">
                        <a:xfrm>
                          <a:off x="0" y="0"/>
                          <a:ext cx="2629535" cy="232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7.0pt;height:183.0pt;mso-wrap-distance-left:0.0pt;mso-wrap-distance-top:0.0pt;mso-wrap-distance-right:0.0pt;mso-wrap-distance-bottom:0.0pt;" stroked="f">
                <v:path textboxrect="0,0,0,0"/>
                <v:imagedata r:id="rId18"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：JSZC-320000-JZCZ-G2026-0004</w:t>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苏大附一院信息安全设备一批</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宋体" w:hAnsi="宋体"/>
          <w:b/>
          <w:bCs/>
          <w:color w:val="auto"/>
          <w:sz w:val="32"/>
          <w:szCs w:val="32"/>
          <w:highlight w:val="none"/>
          <w:lang w:val="en-US" w:eastAsia="zh-CN"/>
        </w:rPr>
        <w:t xml:space="preserve">货物</w:t>
      </w:r>
      <w:r>
        <w:rPr>
          <w:rFonts w:hint="eastAsia" w:ascii="宋体" w:hAnsi="宋体"/>
          <w:b/>
          <w:bCs/>
          <w:color w:val="auto"/>
          <w:sz w:val="32"/>
          <w:szCs w:val="32"/>
          <w:highlight w:val="none"/>
        </w:rPr>
        <w:t xml:space="preserve">类</w:t>
      </w:r>
      <w:r/>
    </w:p>
    <w:p>
      <w:pPr>
        <w:pStyle w:val="110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四</w:t>
      </w:r>
      <w:r>
        <w:rPr>
          <w:rFonts w:hint="eastAsia" w:asciiTheme="minorEastAsia" w:hAnsiTheme="minorEastAsia" w:eastAsiaTheme="minorEastAsia" w:cstheme="minorEastAsia"/>
          <w:b/>
          <w:color w:val="auto"/>
          <w:sz w:val="32"/>
          <w:szCs w:val="32"/>
          <w:highlight w:val="none"/>
        </w:rPr>
        <w:t xml:space="preserve">月</w:t>
      </w:r>
      <w:r/>
    </w:p>
    <w:p>
      <w:pPr>
        <w:pStyle w:val="1121"/>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105"/>
        <w:tabs>
          <w:tab w:val="right" w:pos="9746" w:leader="dot"/>
        </w:tabs>
        <w:rPr>
          <w:rFonts w:hint="eastAsia" w:ascii="宋体" w:hAnsi="宋体" w:eastAsia="宋体" w:cs="宋体"/>
          <w:color w:val="auto"/>
          <w:sz w:val="28"/>
          <w:szCs w:val="28"/>
          <w:highlight w:val="none"/>
        </w:rPr>
      </w:pPr>
      <w:r>
        <w:rPr>
          <w:rStyle w:val="1122"/>
          <w:rFonts w:hint="eastAsia" w:ascii="宋体" w:hAnsi="宋体" w:eastAsia="宋体" w:cs="宋体"/>
          <w:color w:val="auto"/>
          <w:sz w:val="28"/>
          <w:szCs w:val="28"/>
          <w:highlight w:val="none"/>
        </w:rPr>
        <w:fldChar w:fldCharType="begin"/>
      </w:r>
      <w:r>
        <w:rPr>
          <w:rStyle w:val="1122"/>
          <w:rFonts w:hint="eastAsia" w:ascii="宋体" w:hAnsi="宋体" w:eastAsia="宋体" w:cs="宋体"/>
          <w:color w:val="auto"/>
          <w:sz w:val="28"/>
          <w:szCs w:val="28"/>
          <w:highlight w:val="none"/>
        </w:rPr>
        <w:instrText xml:space="preserve">TOC \o "1-1" \h \u </w:instrText>
      </w:r>
      <w:r>
        <w:rPr>
          <w:rStyle w:val="1122"/>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_Toc23816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_Toc5566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_Toc5566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_Toc17775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05"/>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default" w:eastAsia="宋体" w:asciiTheme="minorEastAsia" w:hAnsiTheme="minorEastAsia" w:cstheme="minorEastAsia"/>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624" w:footer="680" w:gutter="0"/>
          <w:cols w:num="1" w:sep="0" w:space="720" w:equalWidth="1"/>
          <w:docGrid w:linePitch="360"/>
          <w:titlePg/>
        </w:sect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8485"/>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92"/>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JSZC-320000-JZCZ-G2026-0004</w:t>
            </w:r>
            <w:r/>
          </w:p>
        </w:tc>
      </w:tr>
      <w:tr>
        <w:trPr>
          <w:jc w:val="center"/>
          <w:trHeight w:val="90"/>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苏大附一院信息安全设备一批</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现场</w:t>
            </w:r>
            <w:r>
              <w:rPr>
                <w:rFonts w:hint="eastAsia" w:asciiTheme="minorEastAsia" w:hAnsiTheme="minorEastAsia" w:eastAsiaTheme="minorEastAsia" w:cstheme="minorEastAsia"/>
                <w:color w:val="auto"/>
                <w:szCs w:val="24"/>
                <w:highlight w:val="none"/>
                <w:lang w:eastAsia="zh-CN"/>
              </w:rPr>
              <w:t xml:space="preserve">考察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w:t>
            </w:r>
            <w:r>
              <w:rPr>
                <w:rFonts w:hint="eastAsia" w:asciiTheme="minorEastAsia" w:hAnsiTheme="minorEastAsia" w:eastAsiaTheme="minorEastAsia" w:cstheme="minorEastAsia"/>
                <w:color w:val="auto"/>
                <w:szCs w:val="24"/>
                <w:highlight w:val="none"/>
                <w:lang w:eastAsia="zh-CN"/>
              </w:rPr>
              <w:t xml:space="preserve">考察</w:t>
            </w:r>
            <w:r>
              <w:rPr>
                <w:rFonts w:hint="eastAsia" w:asciiTheme="minorEastAsia" w:hAnsiTheme="minorEastAsia" w:eastAsiaTheme="minorEastAsia" w:cstheme="minorEastAsia"/>
                <w:color w:val="auto"/>
                <w:szCs w:val="24"/>
                <w:highlight w:val="none"/>
              </w:rPr>
              <w:t xml:space="preserve">，以获取编制投标文件和签署合同所需的信息，所发生的费用由投标人自己承担。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rPr>
              <w:t xml:space="preserve">本项目不收取保证金</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各投标人须在投标文件中提供《投标保证承诺书》，如未提供视为无效投标</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格式详见第三章</w:t>
            </w:r>
            <w:r>
              <w:rPr>
                <w:rFonts w:hint="eastAsia" w:asciiTheme="minorEastAsia" w:hAnsiTheme="minorEastAsia" w:eastAsiaTheme="minorEastAsia" w:cstheme="minorEastAsia"/>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投标文件网上</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263" w:type="dxa"/>
            <w:vAlign w:val="top"/>
            <w:textDirection w:val="lrTb"/>
            <w:noWrap w:val="false"/>
          </w:tcPr>
          <w:p>
            <w:pPr>
              <w:spacing w:line="276" w:lineRule="auto"/>
              <w:rPr>
                <w:rFonts w:hint="eastAsia"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rPr>
              <w:t xml:space="preserve">202</w:t>
            </w:r>
            <w:r>
              <w:rPr>
                <w:rFonts w:hint="eastAsia" w:asciiTheme="minorEastAsia" w:hAnsiTheme="minorEastAsia" w:eastAsiaTheme="minorEastAsia" w:cstheme="minorEastAsia"/>
                <w:color w:val="0000ff"/>
                <w:szCs w:val="21"/>
                <w:highlight w:val="none"/>
                <w:lang w:val="en-US" w:eastAsia="zh-CN"/>
              </w:rPr>
              <w:t xml:space="preserve">6</w:t>
            </w:r>
            <w:r>
              <w:rPr>
                <w:rFonts w:hint="eastAsia" w:asciiTheme="minorEastAsia" w:hAnsiTheme="minorEastAsia" w:eastAsiaTheme="minorEastAsia" w:cstheme="minorEastAsia"/>
                <w:color w:val="0000ff"/>
                <w:szCs w:val="21"/>
                <w:highlight w:val="none"/>
              </w:rPr>
              <w:t xml:space="preserve">年</w:t>
            </w:r>
            <w:r>
              <w:rPr>
                <w:rFonts w:hint="eastAsia" w:asciiTheme="minorEastAsia" w:hAnsiTheme="minorEastAsia" w:eastAsiaTheme="minorEastAsia" w:cstheme="minorEastAsia"/>
                <w:color w:val="0000ff"/>
                <w:szCs w:val="21"/>
                <w:highlight w:val="none"/>
              </w:rPr>
              <w:t xml:space="preserve">5月</w:t>
            </w:r>
            <w:r>
              <w:rPr>
                <w:rFonts w:hint="eastAsia" w:asciiTheme="minorEastAsia" w:hAnsiTheme="minorEastAsia" w:eastAsiaTheme="minorEastAsia" w:cstheme="minorEastAsia"/>
                <w:color w:val="0000ff"/>
                <w:szCs w:val="21"/>
                <w:highlight w:val="none"/>
              </w:rPr>
              <w:t xml:space="preserve">9日</w:t>
            </w:r>
            <w:r>
              <w:rPr>
                <w:rFonts w:hint="eastAsia" w:asciiTheme="minorEastAsia" w:hAnsiTheme="minorEastAsia" w:eastAsiaTheme="minorEastAsia" w:cstheme="minorEastAsia"/>
                <w:color w:val="0000ff"/>
                <w:szCs w:val="24"/>
                <w:highlight w:val="none"/>
              </w:rPr>
              <w:t xml:space="preserve">13:30</w:t>
            </w:r>
            <w:r>
              <w:rPr>
                <w:rFonts w:hint="eastAsia" w:asciiTheme="minorEastAsia" w:hAnsiTheme="minorEastAsia" w:eastAsiaTheme="minorEastAsia" w:cstheme="minorEastAsia"/>
                <w:color w:val="0000ff"/>
                <w:szCs w:val="21"/>
                <w:highlight w:val="none"/>
              </w:rPr>
              <w:t xml:space="preserve">（北京时间）</w:t>
            </w:r>
            <w:r/>
          </w:p>
          <w:p>
            <w:pPr>
              <w:spacing w:line="276"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Cs w:val="21"/>
                <w:highlight w:val="none"/>
              </w:rPr>
              <w:t xml:space="preserve">投标文件必须在截止时间前完成提交（上传），逾期提交（上传）的投标文件恕不接受。</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开标</w:t>
            </w:r>
            <w:r>
              <w:rPr>
                <w:rFonts w:hint="eastAsia" w:asciiTheme="minorEastAsia" w:hAnsiTheme="minorEastAsia" w:eastAsiaTheme="minorEastAsia" w:cstheme="minorEastAsia"/>
                <w:color w:val="auto"/>
                <w:szCs w:val="24"/>
                <w:highlight w:val="none"/>
              </w:rPr>
              <w:t xml:space="preserve">时间</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0000ff"/>
                <w:szCs w:val="24"/>
                <w:highlight w:val="none"/>
              </w:rPr>
              <w:t xml:space="preserve">202</w:t>
            </w:r>
            <w:r>
              <w:rPr>
                <w:rFonts w:hint="eastAsia" w:asciiTheme="minorEastAsia" w:hAnsiTheme="minorEastAsia" w:eastAsiaTheme="minorEastAsia" w:cstheme="minorEastAsia"/>
                <w:color w:val="0000ff"/>
                <w:szCs w:val="24"/>
                <w:highlight w:val="none"/>
                <w:lang w:val="en-US" w:eastAsia="zh-CN"/>
              </w:rPr>
              <w:t xml:space="preserve">6</w:t>
            </w:r>
            <w:r>
              <w:rPr>
                <w:rFonts w:hint="eastAsia" w:asciiTheme="minorEastAsia" w:hAnsiTheme="minorEastAsia" w:eastAsiaTheme="minorEastAsia" w:cstheme="minorEastAsia"/>
                <w:color w:val="0000ff"/>
                <w:szCs w:val="24"/>
                <w:highlight w:val="none"/>
              </w:rPr>
              <w:t xml:space="preserve">年</w:t>
            </w:r>
            <w:r>
              <w:rPr>
                <w:rFonts w:hint="eastAsia" w:asciiTheme="minorEastAsia" w:hAnsiTheme="minorEastAsia" w:eastAsiaTheme="minorEastAsia" w:cstheme="minorEastAsia"/>
                <w:color w:val="0000ff"/>
                <w:szCs w:val="24"/>
                <w:highlight w:val="none"/>
              </w:rPr>
              <w:t xml:space="preserve">5月</w:t>
            </w:r>
            <w:r>
              <w:rPr>
                <w:rFonts w:hint="eastAsia" w:asciiTheme="minorEastAsia" w:hAnsiTheme="minorEastAsia" w:eastAsiaTheme="minorEastAsia" w:cstheme="minorEastAsia"/>
                <w:color w:val="0000ff"/>
                <w:szCs w:val="24"/>
                <w:highlight w:val="none"/>
              </w:rPr>
              <w:t xml:space="preserve">9日</w:t>
            </w:r>
            <w:r>
              <w:rPr>
                <w:rFonts w:hint="eastAsia" w:asciiTheme="minorEastAsia" w:hAnsiTheme="minorEastAsia" w:eastAsiaTheme="minorEastAsia" w:cstheme="minorEastAsia"/>
                <w:color w:val="0000ff"/>
                <w:szCs w:val="24"/>
                <w:highlight w:val="none"/>
              </w:rPr>
              <w:t xml:space="preserve">13:30（北京时间）</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Theme="minorEastAsia" w:hAnsiTheme="minorEastAsia" w:eastAsiaTheme="minorEastAsia" w:cstheme="minorEastAsia"/>
                <w:color w:val="0000ff"/>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default" w:asciiTheme="minorEastAsia" w:hAnsiTheme="minorEastAsia" w:eastAsiaTheme="minorEastAsia" w:cstheme="minorEastAsia"/>
                <w:b w:val="0"/>
                <w:bCs w:val="0"/>
                <w:color w:val="auto"/>
                <w:szCs w:val="24"/>
                <w:highlight w:val="none"/>
                <w:lang w:val="en-US" w:eastAsia="zh-CN"/>
              </w:rPr>
              <w:t xml:space="preserve">本项目不收取履约保证金，招标文件中有关对履约保证金的描述均不适用</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在领取中标通知书时由中标人向采购代理机构一次性付清，此费用投标人应在投标中予以综合考虑。</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代理服务费收费标准（按以下标准7折收取，不足3000元按3000元收取）：</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收费比例如下：</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100万元（含）以下部分收费比例为1.5%；</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100万元-500万元（含）部分收费比例为1.1%；</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500万元-1000万元（含）部分收费比例为0.8%；</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1000万元-5000万元（含）部分收费比例为0.5%；</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5000万元-10000万元（含）部分收费比例为0.25%。</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注：代理服务收费以</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highlight w:val="none"/>
                <w:lang w:eastAsia="zh-CN"/>
              </w:rPr>
              <w:t xml:space="preserve">为标准，按收费比例差额定率累进法</w:t>
            </w:r>
            <w:r>
              <w:rPr>
                <w:rFonts w:hint="eastAsia" w:hAnsi="宋体" w:cs="宋体"/>
                <w:color w:val="auto"/>
                <w:sz w:val="24"/>
                <w:highlight w:val="none"/>
                <w:lang w:val="en-US" w:eastAsia="zh-CN"/>
              </w:rPr>
              <w:t xml:space="preserve">7折计取</w:t>
            </w:r>
            <w:r>
              <w:rPr>
                <w:rFonts w:hint="eastAsia" w:ascii="宋体" w:hAnsi="宋体" w:eastAsia="宋体" w:cs="宋体"/>
                <w:color w:val="auto"/>
                <w:sz w:val="24"/>
                <w:highlight w:val="none"/>
                <w:lang w:eastAsia="zh-CN"/>
              </w:rPr>
              <w:t xml:space="preserve">计算。若采购预算为150万元，则代理服务费＝[100×1.5%＋（150－100）×1.1%]*0.7。</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本项目代理服务费由中标人支付。金额为：人民币</w:t>
            </w:r>
            <w:r>
              <w:rPr>
                <w:rFonts w:hint="eastAsia" w:hAnsi="宋体" w:cs="宋体"/>
                <w:color w:val="auto"/>
                <w:sz w:val="24"/>
                <w:highlight w:val="none"/>
                <w:u w:val="single"/>
                <w:lang w:val="en-US" w:eastAsia="zh-CN"/>
              </w:rPr>
              <w:t xml:space="preserve">壹万叁仟壹佰玖拾伍元整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13195</w:t>
            </w:r>
            <w:r>
              <w:rPr>
                <w:rFonts w:hint="eastAsia" w:ascii="宋体" w:hAnsi="宋体" w:eastAsia="宋体" w:cs="宋体"/>
                <w:color w:val="auto"/>
                <w:sz w:val="24"/>
                <w:highlight w:val="none"/>
                <w:u w:val="single"/>
                <w:lang w:val="en-US" w:eastAsia="zh-CN"/>
              </w:rPr>
              <w:t xml:space="preserve">.00</w:t>
            </w:r>
            <w:r>
              <w:rPr>
                <w:rFonts w:hint="eastAsia" w:ascii="宋体" w:hAnsi="宋体" w:eastAsia="宋体" w:cs="宋体"/>
                <w:color w:val="auto"/>
                <w:sz w:val="24"/>
                <w:highlight w:val="none"/>
                <w:u w:val="single"/>
                <w:lang w:eastAsia="zh-CN"/>
              </w:rPr>
              <w:t xml:space="preserve">）</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代理服务费收款账户：</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账户名：江苏纵驰工程管理有限公司</w:t>
            </w:r>
            <w:r/>
          </w:p>
          <w:p>
            <w:pPr>
              <w:pStyle w:val="1097"/>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开户行：江苏银行苏州分行营业部</w:t>
            </w:r>
            <w:r/>
          </w:p>
          <w:p>
            <w:pPr>
              <w:pStyle w:val="1097"/>
              <w:ind w:firstLine="0"/>
              <w:spacing w:line="360" w:lineRule="auto"/>
              <w:rPr>
                <w:rFonts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eastAsia="zh-CN"/>
              </w:rPr>
              <w:t xml:space="preserve">账号：30160188000070359</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Cs w:val="24"/>
                <w:highlight w:val="none"/>
              </w:rPr>
            </w:pPr>
            <w:r>
              <w:rPr>
                <w:rFonts w:hint="eastAsia" w:ascii="宋体" w:hAnsi="宋体" w:cs="Times New Roman"/>
                <w:color w:val="auto"/>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Times New Roman"/>
                <w:color w:val="auto"/>
                <w:szCs w:val="24"/>
                <w:highlight w:val="none"/>
                <w:lang w:val="en-US" w:eastAsia="zh-CN"/>
              </w:rPr>
              <w:t xml:space="preserve">中标人在公示期后、领取通知书前必须提供二份纸质版投标文件以供采购人存档。纸质投标文件应从系统中导出后电子文件打印，必须保证与投标时的电子标书完全一致。</w:t>
            </w:r>
            <w:r/>
          </w:p>
        </w:tc>
      </w:tr>
    </w:tbl>
    <w:p>
      <w:pPr>
        <w:ind w:firstLine="0"/>
        <w:jc w:val="both"/>
        <w:spacing w:line="360" w:lineRule="auto"/>
        <w:rPr>
          <w:rStyle w:val="1122"/>
          <w:rFonts w:asciiTheme="minorEastAsia" w:hAnsiTheme="minorEastAsia" w:eastAsiaTheme="minorEastAsia" w:cstheme="minorEastAsia"/>
          <w:color w:val="auto"/>
          <w:sz w:val="48"/>
          <w:szCs w:val="48"/>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1"/>
          <w:cols w:num="1" w:sep="0" w:space="720" w:equalWidth="1"/>
          <w:docGrid w:linePitch="360"/>
        </w:sectPr>
      </w:pPr>
      <w:r>
        <w:rPr>
          <w:rFonts w:hint="eastAsia" w:asciiTheme="minorEastAsia" w:hAnsiTheme="minorEastAsia" w:eastAsiaTheme="minorEastAsia" w:cstheme="minorEastAsia"/>
          <w:color w:val="auto"/>
          <w:szCs w:val="24"/>
          <w:highlight w:val="none"/>
        </w:rPr>
        <w:br w:type="page" w:clear="all"/>
      </w:r>
      <w:bookmarkStart w:id="1" w:name="_Toc388026583"/>
      <w:r/>
      <w:bookmarkStart w:id="2" w:name="_Toc9148"/>
      <w:r/>
      <w:r/>
    </w:p>
    <w:p>
      <w:pPr>
        <w:ind w:firstLine="883"/>
        <w:jc w:val="center"/>
        <w:spacing w:line="360" w:lineRule="auto"/>
        <w:rPr>
          <w:rStyle w:val="1122"/>
          <w:rFonts w:asciiTheme="minorEastAsia" w:hAnsiTheme="minorEastAsia" w:eastAsiaTheme="minorEastAsia" w:cstheme="minorEastAsia"/>
          <w:color w:val="auto"/>
          <w:sz w:val="44"/>
          <w:szCs w:val="44"/>
          <w:highlight w:val="none"/>
        </w:rPr>
        <w:outlineLvl w:val="0"/>
      </w:pPr>
      <w:r/>
      <w:bookmarkStart w:id="3" w:name="_Toc23816"/>
      <w:r>
        <w:rPr>
          <w:rStyle w:val="1122"/>
          <w:rFonts w:hint="eastAsia" w:asciiTheme="minorEastAsia" w:hAnsiTheme="minorEastAsia" w:eastAsiaTheme="minorEastAsia" w:cstheme="minorEastAsia"/>
          <w:color w:val="auto"/>
          <w:sz w:val="44"/>
          <w:szCs w:val="44"/>
          <w:highlight w:val="none"/>
        </w:rPr>
        <w:t xml:space="preserve">第一章 </w:t>
      </w:r>
      <w:bookmarkEnd w:id="1"/>
      <w:r>
        <w:rPr>
          <w:rStyle w:val="1122"/>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11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 xml:space="preserve">苏大附一院信息安全设备一批</w:t>
            </w:r>
            <w:r>
              <w:rPr>
                <w:rFonts w:hint="eastAsia" w:asciiTheme="minorEastAsia" w:hAnsiTheme="minorEastAsia" w:eastAsiaTheme="minorEastAsia" w:cstheme="minorEastAsia"/>
                <w:color w:val="auto"/>
                <w:sz w:val="24"/>
                <w:szCs w:val="24"/>
                <w:highlight w:val="none"/>
              </w:rPr>
              <w:t xml:space="preserve">招标项目的潜在投标人应在</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苏采云系统</w:t>
            </w:r>
            <w:r>
              <w:rPr>
                <w:rFonts w:hint="eastAsia" w:asciiTheme="minorEastAsia" w:hAnsiTheme="minorEastAsia" w:eastAsiaTheme="minorEastAsia" w:cstheme="minorEastAsia"/>
                <w:color w:val="auto"/>
                <w:sz w:val="24"/>
                <w:szCs w:val="24"/>
                <w:highlight w:val="none"/>
              </w:rPr>
              <w:t xml:space="preserve">获取招标文件，并于</w:t>
            </w:r>
            <w:r>
              <w:rPr>
                <w:rFonts w:hint="eastAsia" w:ascii="宋体" w:hAnsi="宋体" w:eastAsia="宋体" w:cs="宋体"/>
                <w:color w:val="0000ff"/>
                <w:sz w:val="24"/>
                <w:highlight w:val="none"/>
                <w:u w:val="single"/>
                <w:lang w:val="en-US" w:eastAsia="zh-CN" w:bidi="ar-SA"/>
              </w:rPr>
              <w:t xml:space="preserve">202</w:t>
            </w:r>
            <w:r>
              <w:rPr>
                <w:rFonts w:hint="eastAsia" w:ascii="宋体" w:hAnsi="宋体" w:cs="宋体"/>
                <w:color w:val="0000ff"/>
                <w:sz w:val="24"/>
                <w:highlight w:val="none"/>
                <w:u w:val="single"/>
                <w:lang w:val="en-US" w:eastAsia="zh-CN" w:bidi="ar-SA"/>
              </w:rPr>
              <w:t xml:space="preserve">6</w:t>
            </w:r>
            <w:r>
              <w:rPr>
                <w:rFonts w:hint="eastAsia" w:ascii="宋体" w:hAnsi="宋体" w:eastAsia="宋体" w:cs="宋体"/>
                <w:color w:val="0000ff"/>
                <w:sz w:val="24"/>
                <w:highlight w:val="none"/>
                <w:u w:val="single"/>
                <w:lang w:val="en-US" w:eastAsia="zh-CN" w:bidi="ar-SA"/>
              </w:rPr>
              <w:t xml:space="preserve">年</w:t>
            </w:r>
            <w:r>
              <w:rPr>
                <w:rFonts w:hint="eastAsia" w:ascii="宋体" w:hAnsi="宋体" w:eastAsia="宋体" w:cs="宋体"/>
                <w:color w:val="0000ff"/>
                <w:sz w:val="24"/>
                <w:highlight w:val="none"/>
                <w:u w:val="single"/>
                <w:lang w:val="en-US" w:eastAsia="zh-CN" w:bidi="ar-SA"/>
              </w:rPr>
              <w:t xml:space="preserve">5月</w:t>
            </w:r>
            <w:r>
              <w:rPr>
                <w:rFonts w:hint="eastAsia" w:ascii="宋体" w:hAnsi="宋体" w:eastAsia="宋体" w:cs="宋体"/>
                <w:color w:val="0000ff"/>
                <w:sz w:val="24"/>
                <w:highlight w:val="none"/>
                <w:u w:val="single"/>
                <w:lang w:val="en-US" w:eastAsia="zh-CN" w:bidi="ar-SA"/>
              </w:rPr>
              <w:t xml:space="preserve">9日</w:t>
            </w:r>
            <w:r>
              <w:rPr>
                <w:rFonts w:hint="eastAsia" w:ascii="宋体" w:hAnsi="宋体" w:cs="宋体"/>
                <w:color w:val="0000ff"/>
                <w:sz w:val="24"/>
                <w:highlight w:val="none"/>
                <w:u w:val="single"/>
                <w:lang w:val="en-US" w:eastAsia="zh-CN" w:bidi="ar-SA"/>
              </w:rPr>
              <w:t xml:space="preserve">13</w:t>
            </w:r>
            <w:r>
              <w:rPr>
                <w:rFonts w:hint="eastAsia" w:ascii="宋体" w:hAnsi="宋体" w:eastAsia="宋体" w:cs="宋体"/>
                <w:color w:val="0000ff"/>
                <w:sz w:val="24"/>
                <w:highlight w:val="none"/>
                <w:u w:val="single"/>
                <w:lang w:val="en-US" w:eastAsia="zh-CN" w:bidi="ar-SA"/>
              </w:rPr>
              <w:t xml:space="preserve">点</w:t>
            </w:r>
            <w:r>
              <w:rPr>
                <w:rFonts w:hint="eastAsia" w:ascii="宋体" w:hAnsi="宋体" w:cs="宋体"/>
                <w:color w:val="0000ff"/>
                <w:sz w:val="24"/>
                <w:highlight w:val="none"/>
                <w:u w:val="single"/>
                <w:lang w:val="en-US" w:eastAsia="zh-CN" w:bidi="ar-SA"/>
              </w:rPr>
              <w:t xml:space="preserve">30</w:t>
            </w:r>
            <w:r>
              <w:rPr>
                <w:rFonts w:hint="eastAsia" w:ascii="宋体" w:hAnsi="宋体" w:eastAsia="宋体" w:cs="宋体"/>
                <w:color w:val="0000ff"/>
                <w:sz w:val="24"/>
                <w:highlight w:val="none"/>
                <w:u w:val="single"/>
                <w:lang w:val="en-US" w:eastAsia="zh-CN" w:bidi="ar-SA"/>
              </w:rPr>
              <w:t xml:space="preserve">分</w:t>
            </w:r>
            <w:r>
              <w:rPr>
                <w:rFonts w:hint="eastAsia" w:ascii="宋体" w:hAnsi="宋体" w:eastAsia="宋体" w:cs="宋体"/>
                <w:color w:val="auto"/>
                <w:sz w:val="24"/>
                <w:highlight w:val="none"/>
                <w:u w:val="single"/>
                <w:lang w:val="en-US" w:eastAsia="zh-CN" w:bidi="ar-SA"/>
              </w:rPr>
              <w:t xml:space="preserve">（北京时间）</w:t>
            </w:r>
            <w:r>
              <w:rPr>
                <w:rFonts w:hint="eastAsia" w:asciiTheme="minorEastAsia" w:hAnsiTheme="minorEastAsia" w:eastAsiaTheme="minorEastAsia" w:cstheme="minorEastAsia"/>
                <w:color w:val="auto"/>
                <w:szCs w:val="24"/>
                <w:highlight w:val="none"/>
              </w:rPr>
              <w:t xml:space="preserve">前</w:t>
            </w:r>
            <w:r>
              <w:rPr>
                <w:rFonts w:hint="eastAsia" w:asciiTheme="minorEastAsia" w:hAnsiTheme="minorEastAsia" w:eastAsiaTheme="minorEastAsia" w:cstheme="minorEastAsia"/>
                <w:color w:val="auto"/>
                <w:sz w:val="24"/>
                <w:szCs w:val="24"/>
                <w:highlight w:val="none"/>
                <w:lang w:eastAsia="zh-CN"/>
              </w:rPr>
              <w:t xml:space="preserve">上传</w:t>
            </w:r>
            <w:r>
              <w:rPr>
                <w:rFonts w:hint="eastAsia" w:asciiTheme="minorEastAsia" w:hAnsiTheme="minorEastAsia" w:eastAsiaTheme="minorEastAsia" w:cstheme="minorEastAsia"/>
                <w:color w:val="auto"/>
                <w:sz w:val="24"/>
                <w:szCs w:val="24"/>
                <w:highlight w:val="none"/>
              </w:rPr>
              <w:t xml:space="preserve">投标文件。</w:t>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苏大附一院信息安全设备一批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招标编号</w:t>
      </w:r>
      <w:r>
        <w:rPr>
          <w:rFonts w:hint="eastAsia" w:asciiTheme="minorEastAsia" w:hAnsiTheme="minorEastAsia" w:eastAsiaTheme="minorEastAsia" w:cstheme="minorEastAsia"/>
          <w:color w:val="auto"/>
          <w:sz w:val="24"/>
          <w:szCs w:val="24"/>
          <w:highlight w:val="none"/>
          <w:lang w:eastAsia="zh-CN"/>
        </w:rPr>
        <w:t xml:space="preserve">：JSZC-320000-JZCZ-G2026-0004</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4.预算金额：人民币壹佰叁拾伍万元整（￥1350000.00）</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5.采购需求：包括态势感知节点、入侵防御设备、互联网业务动态防护等内容。具体要求详见招标文件。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6.合同履行期限：</w:t>
      </w:r>
      <w:r>
        <w:rPr>
          <w:rFonts w:hint="eastAsia" w:asciiTheme="minorEastAsia" w:hAnsiTheme="minorEastAsia" w:eastAsiaTheme="minorEastAsia" w:cstheme="minorEastAsia"/>
          <w:color w:val="auto"/>
          <w:sz w:val="24"/>
          <w:szCs w:val="24"/>
          <w:highlight w:val="none"/>
          <w:lang w:val="zh-CN" w:eastAsia="zh-CN"/>
        </w:rPr>
        <w:t xml:space="preserve">在合同签订生效后一个月内送货并安装调试完成。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1.满足《中华人民共和国政府采购法》第</w:t>
      </w:r>
      <w:r>
        <w:rPr>
          <w:rFonts w:hint="eastAsia" w:ascii="宋体" w:hAnsi="宋体" w:eastAsia="宋体" w:cs="宋体"/>
          <w:color w:val="auto"/>
          <w:szCs w:val="24"/>
          <w:highlight w:val="none"/>
        </w:rPr>
        <w:t xml:space="preserve">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numPr>
          <w:ilvl w:val="0"/>
          <w:numId w:val="0"/>
        </w:numPr>
        <w:ind w:firstLine="480"/>
        <w:keepLines w:val="0"/>
        <w:keepNext w:val="0"/>
        <w:pageBreakBefore w:val="0"/>
        <w:spacing w:line="360" w:lineRule="auto"/>
        <w:widowControl w:val="off"/>
        <w:rPr>
          <w:rFonts w:hint="eastAsia"/>
          <w:color w:val="auto"/>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Theme="minorEastAsia" w:hAnsiTheme="minorEastAsia" w:eastAsiaTheme="minorEastAsia" w:cstheme="minorEastAsia"/>
          <w:b w:val="0"/>
          <w:bCs w:val="0"/>
          <w:color w:val="auto"/>
          <w:szCs w:val="24"/>
          <w:highlight w:val="none"/>
          <w:lang w:val="en-US" w:eastAsia="zh-CN"/>
        </w:rPr>
        <w:t xml:space="preserve">无。</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w:t>
      </w:r>
      <w:r>
        <w:rPr>
          <w:rFonts w:hint="eastAsia" w:asciiTheme="minorEastAsia" w:hAnsiTheme="minorEastAsia" w:eastAsiaTheme="minorEastAsia" w:cstheme="minorEastAsia"/>
          <w:b w:val="0"/>
          <w:bCs w:val="0"/>
          <w:color w:val="auto"/>
          <w:szCs w:val="24"/>
          <w:highlight w:val="none"/>
          <w:lang w:val="en-US" w:eastAsia="zh-CN"/>
        </w:rPr>
        <w:t xml:space="preserve">无。</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auto"/>
          <w:sz w:val="24"/>
          <w:szCs w:val="24"/>
          <w:highlight w:val="none"/>
        </w:rPr>
      </w:pPr>
      <w:r/>
      <w:bookmarkStart w:id="4" w:name="_Toc28359001"/>
      <w:r/>
      <w:bookmarkStart w:id="5" w:name="_Toc35393789"/>
      <w:r>
        <w:rPr>
          <w:rFonts w:hint="eastAsia" w:asciiTheme="minorEastAsia" w:hAnsiTheme="minorEastAsia" w:eastAsiaTheme="minorEastAsia" w:cstheme="minorEastAsia"/>
          <w:color w:val="auto"/>
          <w:sz w:val="24"/>
          <w:szCs w:val="24"/>
          <w:highlight w:val="none"/>
        </w:rPr>
        <w:t xml:space="preserve">三、报名及</w:t>
      </w:r>
      <w:r>
        <w:rPr>
          <w:rFonts w:hint="eastAsia" w:asciiTheme="minorEastAsia" w:hAnsiTheme="minorEastAsia" w:eastAsiaTheme="minorEastAsia" w:cstheme="minorEastAsia"/>
          <w:color w:val="auto"/>
          <w:sz w:val="24"/>
          <w:szCs w:val="24"/>
          <w:highlight w:val="none"/>
          <w:lang w:eastAsia="zh-CN"/>
        </w:rPr>
        <w:t xml:space="preserve">招标文件</w:t>
      </w:r>
      <w:r>
        <w:rPr>
          <w:rFonts w:hint="eastAsia" w:asciiTheme="minorEastAsia" w:hAnsiTheme="minorEastAsia" w:eastAsiaTheme="minorEastAsia" w:cstheme="minorEastAsia"/>
          <w:color w:val="auto"/>
          <w:sz w:val="24"/>
          <w:szCs w:val="24"/>
          <w:highlight w:val="none"/>
        </w:rPr>
        <w:t xml:space="preserve">的获取</w:t>
      </w:r>
      <w:bookmarkEnd w:id="4"/>
      <w:r/>
      <w:bookmarkEnd w:id="5"/>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报名截止时间：</w:t>
      </w:r>
      <w:r>
        <w:rPr>
          <w:rFonts w:hint="eastAsia" w:asciiTheme="minorEastAsia" w:hAnsiTheme="minorEastAsia" w:eastAsiaTheme="minorEastAsia" w:cstheme="minorEastAsia"/>
          <w:b w:val="0"/>
          <w:bCs w:val="0"/>
          <w:color w:val="0000ff"/>
          <w:sz w:val="24"/>
          <w:szCs w:val="24"/>
          <w:highlight w:val="none"/>
        </w:rPr>
        <w:t xml:space="preserve">202</w:t>
      </w:r>
      <w:r>
        <w:rPr>
          <w:rFonts w:hint="eastAsia" w:asciiTheme="minorEastAsia" w:hAnsiTheme="minorEastAsia" w:eastAsiaTheme="minorEastAsia" w:cstheme="minorEastAsia"/>
          <w:b w:val="0"/>
          <w:bCs w:val="0"/>
          <w:color w:val="0000ff"/>
          <w:sz w:val="24"/>
          <w:szCs w:val="24"/>
          <w:highlight w:val="none"/>
          <w:lang w:val="en-US" w:eastAsia="zh-CN"/>
        </w:rPr>
        <w:t xml:space="preserve">6</w:t>
      </w:r>
      <w:r>
        <w:rPr>
          <w:rFonts w:hint="eastAsia" w:asciiTheme="minorEastAsia" w:hAnsiTheme="minorEastAsia" w:eastAsiaTheme="minorEastAsia" w:cstheme="minorEastAsia"/>
          <w:b w:val="0"/>
          <w:bCs w:val="0"/>
          <w:color w:val="0000ff"/>
          <w:sz w:val="24"/>
          <w:szCs w:val="24"/>
          <w:highlight w:val="none"/>
        </w:rPr>
        <w:t xml:space="preserve">年</w:t>
      </w:r>
      <w:r>
        <w:rPr>
          <w:rFonts w:hint="eastAsia" w:asciiTheme="minorEastAsia" w:hAnsiTheme="minorEastAsia" w:eastAsiaTheme="minorEastAsia" w:cstheme="minorEastAsia"/>
          <w:b w:val="0"/>
          <w:bCs w:val="0"/>
          <w:color w:val="0000ff"/>
          <w:sz w:val="24"/>
          <w:szCs w:val="24"/>
          <w:highlight w:val="none"/>
          <w:lang w:val="en-US" w:eastAsia="zh-CN"/>
        </w:rPr>
        <w:t xml:space="preserve">4</w:t>
      </w:r>
      <w:r>
        <w:rPr>
          <w:rFonts w:hint="eastAsia" w:asciiTheme="minorEastAsia" w:hAnsiTheme="minorEastAsia" w:eastAsiaTheme="minorEastAsia" w:cstheme="minorEastAsia"/>
          <w:b w:val="0"/>
          <w:bCs w:val="0"/>
          <w:color w:val="0000ff"/>
          <w:sz w:val="24"/>
          <w:szCs w:val="24"/>
          <w:highlight w:val="none"/>
        </w:rPr>
        <w:t xml:space="preserve">月</w:t>
      </w:r>
      <w:r>
        <w:rPr>
          <w:rFonts w:hint="eastAsia" w:asciiTheme="minorEastAsia" w:hAnsiTheme="minorEastAsia" w:eastAsiaTheme="minorEastAsia" w:cstheme="minorEastAsia"/>
          <w:b w:val="0"/>
          <w:bCs w:val="0"/>
          <w:color w:val="0000ff"/>
          <w:sz w:val="24"/>
          <w:szCs w:val="24"/>
          <w:highlight w:val="none"/>
        </w:rPr>
        <w:t xml:space="preserve">21日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报名方式（网上报名）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根据省财政厅《关</w:t>
      </w:r>
      <w:r>
        <w:rPr>
          <w:rFonts w:hint="eastAsia" w:asciiTheme="minorEastAsia" w:hAnsiTheme="minorEastAsia" w:eastAsiaTheme="minorEastAsia" w:cstheme="minorEastAsia"/>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系统目前仅支持</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证书，江苏省内各地区办理的</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证书全省通用。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领取CA和办理电子签章</w:t>
      </w:r>
      <w:r>
        <w:rPr>
          <w:rFonts w:hint="eastAsia" w:asciiTheme="minorEastAsia" w:hAnsiTheme="minorEastAsia" w:eastAsiaTheme="minorEastAsia" w:cstheme="minorEastAsia"/>
          <w:color w:val="auto"/>
          <w:sz w:val="24"/>
          <w:szCs w:val="24"/>
          <w:highlight w:val="none"/>
          <w:lang w:eastAsia="zh-CN"/>
        </w:rPr>
        <w:t xml:space="preserve">（苏州现场办理地址：苏州高新区邓尉路105号狮山科技馆1楼服务大厅，咨询电话：0512-65737699。</w:t>
      </w:r>
      <w:r>
        <w:rPr>
          <w:rFonts w:hint="eastAsia" w:asciiTheme="minorEastAsia" w:hAnsiTheme="minorEastAsia" w:eastAsiaTheme="minorEastAsia" w:cstheme="minorEastAsia"/>
          <w:color w:val="auto"/>
          <w:sz w:val="24"/>
          <w:szCs w:val="24"/>
          <w:highlight w:val="none"/>
          <w:lang w:val="en-US" w:eastAsia="zh-CN"/>
        </w:rPr>
        <w:t xml:space="preserve">南京现场办理地址：</w:t>
      </w:r>
      <w:r>
        <w:rPr>
          <w:rFonts w:hint="eastAsia" w:asciiTheme="minorEastAsia" w:hAnsiTheme="minorEastAsia" w:eastAsiaTheme="minorEastAsia" w:cstheme="minorEastAsia"/>
          <w:color w:val="auto"/>
          <w:sz w:val="24"/>
          <w:szCs w:val="24"/>
          <w:highlight w:val="none"/>
        </w:rPr>
        <w:t xml:space="preserve">南京汉中门大街145号江苏省政务服务中心二期三楼大厅CA办理窗口办理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咨询电话：025-83668701。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及办理</w:t>
      </w:r>
      <w:r>
        <w:rPr>
          <w:rFonts w:hint="eastAsia" w:asciiTheme="minorEastAsia" w:hAnsiTheme="minorEastAsia" w:eastAsiaTheme="minorEastAsia" w:cstheme="minorEastAsia"/>
          <w:color w:val="auto"/>
          <w:sz w:val="24"/>
          <w:szCs w:val="24"/>
          <w:highlight w:val="none"/>
        </w:rPr>
        <w:t xml:space="preserve">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售价：免费</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1.提交投标文件截止时间：</w:t>
      </w:r>
      <w:r>
        <w:rPr>
          <w:rFonts w:hint="eastAsia" w:asciiTheme="minorEastAsia" w:hAnsiTheme="minorEastAsia" w:eastAsiaTheme="minorEastAsia" w:cstheme="minorEastAsia"/>
          <w:color w:val="0000ff"/>
          <w:szCs w:val="24"/>
          <w:highlight w:val="none"/>
          <w:u w:val="single"/>
          <w:lang w:eastAsia="zh-CN"/>
        </w:rPr>
        <w:t xml:space="preserve">20</w:t>
      </w:r>
      <w:r>
        <w:rPr>
          <w:rFonts w:hint="eastAsia" w:asciiTheme="minorEastAsia" w:hAnsiTheme="minorEastAsia" w:eastAsiaTheme="minorEastAsia" w:cstheme="minorEastAsia"/>
          <w:color w:val="0000ff"/>
          <w:szCs w:val="24"/>
          <w:highlight w:val="none"/>
          <w:u w:val="single"/>
          <w:lang w:val="en-US" w:eastAsia="zh-CN"/>
        </w:rPr>
        <w:t xml:space="preserve">26</w:t>
      </w:r>
      <w:r>
        <w:rPr>
          <w:rFonts w:hint="eastAsia" w:asciiTheme="minorEastAsia" w:hAnsiTheme="minorEastAsia" w:eastAsiaTheme="minorEastAsia" w:cstheme="minorEastAsia"/>
          <w:color w:val="0000ff"/>
          <w:szCs w:val="24"/>
          <w:highlight w:val="none"/>
          <w:u w:val="single"/>
          <w:lang w:eastAsia="zh-CN"/>
        </w:rPr>
        <w:t xml:space="preserve">年</w:t>
      </w:r>
      <w:r>
        <w:rPr>
          <w:rFonts w:hint="eastAsia" w:asciiTheme="minorEastAsia" w:hAnsiTheme="minorEastAsia" w:eastAsiaTheme="minorEastAsia" w:cstheme="minorEastAsia"/>
          <w:color w:val="0000ff"/>
          <w:szCs w:val="24"/>
          <w:highlight w:val="none"/>
          <w:u w:val="single"/>
          <w:lang w:eastAsia="zh-CN"/>
        </w:rPr>
        <w:t xml:space="preserve">5月</w:t>
      </w:r>
      <w:r>
        <w:rPr>
          <w:rFonts w:hint="eastAsia" w:asciiTheme="minorEastAsia" w:hAnsiTheme="minorEastAsia" w:eastAsiaTheme="minorEastAsia" w:cstheme="minorEastAsia"/>
          <w:color w:val="0000ff"/>
          <w:szCs w:val="24"/>
          <w:highlight w:val="none"/>
          <w:u w:val="single"/>
          <w:lang w:eastAsia="zh-CN"/>
        </w:rPr>
        <w:t xml:space="preserve">9日</w:t>
      </w:r>
      <w:r>
        <w:rPr>
          <w:rFonts w:hint="eastAsia" w:asciiTheme="minorEastAsia" w:hAnsiTheme="minorEastAsia" w:eastAsiaTheme="minorEastAsia" w:cstheme="minorEastAsia"/>
          <w:color w:val="0000ff"/>
          <w:szCs w:val="24"/>
          <w:highlight w:val="none"/>
          <w:u w:val="single"/>
          <w:lang w:eastAsia="zh-CN"/>
        </w:rPr>
        <w:t xml:space="preserve">13点30分</w:t>
      </w:r>
      <w:r>
        <w:rPr>
          <w:rFonts w:hint="eastAsia" w:asciiTheme="minorEastAsia" w:hAnsiTheme="minorEastAsia" w:eastAsiaTheme="minorEastAsia" w:cstheme="minorEastAsia"/>
          <w:color w:val="0000ff"/>
          <w:sz w:val="24"/>
          <w:szCs w:val="24"/>
          <w:highlight w:val="none"/>
          <w:u w:val="none"/>
        </w:rPr>
        <w:t xml:space="preserve">（北京时间）</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2.开标</w:t>
      </w:r>
      <w:r>
        <w:rPr>
          <w:rFonts w:hint="eastAsia" w:asciiTheme="minorEastAsia" w:hAnsiTheme="minorEastAsia" w:eastAsiaTheme="minorEastAsia" w:cstheme="minorEastAsia"/>
          <w:color w:val="auto"/>
          <w:sz w:val="24"/>
          <w:szCs w:val="24"/>
          <w:highlight w:val="none"/>
        </w:rPr>
        <w:t xml:space="preserve">时间：</w:t>
      </w:r>
      <w:r>
        <w:rPr>
          <w:rFonts w:hint="eastAsia" w:asciiTheme="minorEastAsia" w:hAnsiTheme="minorEastAsia" w:eastAsiaTheme="minorEastAsia" w:cstheme="minorEastAsia"/>
          <w:color w:val="0000ff"/>
          <w:szCs w:val="24"/>
          <w:highlight w:val="none"/>
          <w:u w:val="single"/>
          <w:lang w:eastAsia="zh-CN"/>
        </w:rPr>
        <w:t xml:space="preserve">202</w:t>
      </w:r>
      <w:r>
        <w:rPr>
          <w:rFonts w:hint="eastAsia" w:asciiTheme="minorEastAsia" w:hAnsiTheme="minorEastAsia" w:eastAsiaTheme="minorEastAsia" w:cstheme="minorEastAsia"/>
          <w:color w:val="0000ff"/>
          <w:szCs w:val="24"/>
          <w:highlight w:val="none"/>
          <w:u w:val="single"/>
          <w:lang w:val="en-US" w:eastAsia="zh-CN"/>
        </w:rPr>
        <w:t xml:space="preserve">6</w:t>
      </w:r>
      <w:r>
        <w:rPr>
          <w:rFonts w:hint="eastAsia" w:asciiTheme="minorEastAsia" w:hAnsiTheme="minorEastAsia" w:eastAsiaTheme="minorEastAsia" w:cstheme="minorEastAsia"/>
          <w:color w:val="0000ff"/>
          <w:szCs w:val="24"/>
          <w:highlight w:val="none"/>
          <w:u w:val="single"/>
          <w:lang w:eastAsia="zh-CN"/>
        </w:rPr>
        <w:t xml:space="preserve">年</w:t>
      </w:r>
      <w:r>
        <w:rPr>
          <w:rFonts w:hint="eastAsia" w:asciiTheme="minorEastAsia" w:hAnsiTheme="minorEastAsia" w:eastAsiaTheme="minorEastAsia" w:cstheme="minorEastAsia"/>
          <w:color w:val="0000ff"/>
          <w:szCs w:val="24"/>
          <w:highlight w:val="none"/>
          <w:u w:val="single"/>
          <w:lang w:val="en-US" w:eastAsia="zh-CN"/>
        </w:rPr>
        <w:t xml:space="preserve">5</w:t>
      </w:r>
      <w:r>
        <w:rPr>
          <w:rFonts w:hint="eastAsia" w:asciiTheme="minorEastAsia" w:hAnsiTheme="minorEastAsia" w:eastAsiaTheme="minorEastAsia" w:cstheme="minorEastAsia"/>
          <w:color w:val="0000ff"/>
          <w:szCs w:val="24"/>
          <w:highlight w:val="none"/>
          <w:u w:val="single"/>
          <w:lang w:eastAsia="zh-CN"/>
        </w:rPr>
        <w:t xml:space="preserve">月</w:t>
      </w:r>
      <w:r>
        <w:rPr>
          <w:rFonts w:hint="eastAsia" w:asciiTheme="minorEastAsia" w:hAnsiTheme="minorEastAsia" w:eastAsiaTheme="minorEastAsia" w:cstheme="minorEastAsia"/>
          <w:color w:val="0000ff"/>
          <w:szCs w:val="24"/>
          <w:highlight w:val="none"/>
          <w:u w:val="single"/>
          <w:lang w:eastAsia="zh-CN"/>
        </w:rPr>
        <w:t xml:space="preserve">9日</w:t>
      </w:r>
      <w:r>
        <w:rPr>
          <w:rFonts w:hint="eastAsia" w:asciiTheme="minorEastAsia" w:hAnsiTheme="minorEastAsia" w:eastAsiaTheme="minorEastAsia" w:cstheme="minorEastAsia"/>
          <w:color w:val="0000ff"/>
          <w:szCs w:val="24"/>
          <w:highlight w:val="none"/>
          <w:u w:val="single"/>
          <w:lang w:eastAsia="zh-CN"/>
        </w:rPr>
        <w:t xml:space="preserve">13点30分</w:t>
      </w:r>
      <w:r>
        <w:rPr>
          <w:rFonts w:hint="eastAsia" w:asciiTheme="minorEastAsia" w:hAnsiTheme="minorEastAsia" w:eastAsiaTheme="minorEastAsia" w:cstheme="minorEastAsia"/>
          <w:color w:val="0000ff"/>
          <w:sz w:val="24"/>
          <w:szCs w:val="24"/>
          <w:highlight w:val="none"/>
          <w:u w:val="none"/>
        </w:rPr>
        <w:t xml:space="preserve">（北京时间）</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3.开标地点：苏采云政府采购一体化平台开标大厅（网上不见面开标），“苏采云”系统（网址：http://jszfcg.jsczt.cn/） </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109"/>
        <w:ind w:left="0" w:right="0" w:firstLine="480"/>
        <w:keepLines w:val="0"/>
        <w:keepNext w:val="0"/>
        <w:pageBreakBefore w:val="0"/>
        <w:spacing w:beforeAutospacing="0" w:after="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hAnsi="宋体" w:cs="宋体"/>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其他补充事宜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本公告在江苏省政府采购网发布，敬请留意。</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3.本项目支持政府采购合同信用融资,</w:t>
      </w:r>
      <w:r>
        <w:rPr>
          <w:rFonts w:hint="eastAsia" w:ascii="宋体" w:hAnsi="宋体"/>
          <w:bCs/>
          <w:sz w:val="24"/>
        </w:rPr>
        <w:t xml:space="preserve">详情请见江苏政府采购网“政采贷”专栏。</w:t>
      </w:r>
      <w:r/>
    </w:p>
    <w:p>
      <w:pPr>
        <w:pStyle w:val="1123"/>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123"/>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123"/>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杨丰忆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联系电话：0512-67972847</w:t>
      </w:r>
      <w:r/>
    </w:p>
    <w:p>
      <w:pPr>
        <w:pStyle w:val="1123"/>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123"/>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123"/>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王丹萍、张薇、王佳伟、徐张豪</w:t>
      </w:r>
      <w:r/>
    </w:p>
    <w:p>
      <w:pPr>
        <w:pStyle w:val="1123"/>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123"/>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w:t>
      </w:r>
      <w:r>
        <w:rPr>
          <w:rFonts w:hint="eastAsia" w:asciiTheme="minorEastAsia" w:hAnsiTheme="minorEastAsia" w:eastAsiaTheme="minorEastAsia" w:cstheme="minorEastAsia"/>
          <w:color w:val="auto"/>
          <w:sz w:val="24"/>
          <w:szCs w:val="24"/>
          <w:highlight w:val="none"/>
          <w:lang w:val="en-US" w:eastAsia="zh-CN"/>
        </w:rPr>
        <w:t xml:space="preserve">js</w:t>
      </w:r>
      <w:r>
        <w:rPr>
          <w:rFonts w:hint="eastAsia" w:asciiTheme="minorEastAsia" w:hAnsiTheme="minorEastAsia" w:eastAsiaTheme="minorEastAsia" w:cstheme="minorEastAsia"/>
          <w:color w:val="auto"/>
          <w:sz w:val="24"/>
          <w:szCs w:val="24"/>
          <w:highlight w:val="none"/>
        </w:rPr>
        <w:t xml:space="preserve">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项目联系人：</w:t>
      </w:r>
      <w:r>
        <w:rPr>
          <w:rFonts w:hint="eastAsia" w:ascii="宋体" w:hAnsi="宋体" w:cs="宋体"/>
          <w:color w:val="auto"/>
          <w:szCs w:val="24"/>
          <w:highlight w:val="none"/>
          <w:lang w:val="en-US" w:eastAsia="zh-CN"/>
        </w:rPr>
        <w:t xml:space="preserve">王丹萍</w:t>
      </w:r>
      <w:r/>
    </w:p>
    <w:p>
      <w:pPr>
        <w:ind w:firstLine="480"/>
        <w:spacing w:line="360" w:lineRule="auto"/>
        <w:rPr>
          <w:color w:val="auto"/>
          <w:highlight w:val="none"/>
        </w:rPr>
      </w:pPr>
      <w:r>
        <w:rPr>
          <w:rFonts w:hint="eastAsia" w:ascii="宋体" w:hAnsi="宋体" w:eastAsia="宋体" w:cs="宋体"/>
          <w:color w:val="auto"/>
          <w:szCs w:val="24"/>
          <w:highlight w:val="none"/>
        </w:rPr>
        <w:t xml:space="preserve">电话：0512-68708379</w:t>
      </w:r>
      <w:r/>
    </w:p>
    <w:p>
      <w:pPr>
        <w:ind w:firstLine="480"/>
        <w:jc w:val="center"/>
        <w:spacing w:line="360" w:lineRule="auto"/>
        <w:rPr>
          <w:rStyle w:val="1122"/>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6" w:name="_Toc18331"/>
      <w:r/>
      <w:bookmarkStart w:id="7" w:name="_Toc8317"/>
      <w:r/>
      <w:bookmarkStart w:id="8" w:name="_Toc30293"/>
      <w:r>
        <w:rPr>
          <w:rStyle w:val="1122"/>
          <w:rFonts w:hint="eastAsia" w:asciiTheme="minorEastAsia" w:hAnsiTheme="minorEastAsia" w:eastAsiaTheme="minorEastAsia" w:cstheme="minorEastAsia"/>
          <w:color w:val="auto"/>
          <w:sz w:val="44"/>
          <w:szCs w:val="44"/>
          <w:highlight w:val="none"/>
        </w:rPr>
        <w:t xml:space="preserve">第二章 投标人须知</w:t>
      </w:r>
      <w:bookmarkEnd w:id="6"/>
      <w:r/>
      <w:bookmarkEnd w:id="7"/>
      <w:r/>
      <w:bookmarkEnd w:id="8"/>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93"/>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93"/>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93"/>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93"/>
        <w:ind w:firstLine="480"/>
        <w:jc w:val="both"/>
        <w:keepLines w:val="0"/>
        <w:keepNext w:val="0"/>
        <w:pageBreakBefore w:val="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rPr>
          <w:rFonts w:hint="eastAsia" w:ascii="方正魏碑_GBK" w:hAnsi="方正魏碑_GBK" w:eastAsia="方正魏碑_GBK" w:cs="方正魏碑_GBK"/>
          <w:color w:val="auto"/>
          <w:sz w:val="24"/>
          <w:szCs w:val="21"/>
          <w:highlight w:val="none"/>
        </w:rPr>
        <w:t xml:space="preserve">在本项目政府采购活动过程中，如果所执行的标准有更新的，按照最新标准执行。</w:t>
      </w:r>
      <w:r/>
    </w:p>
    <w:p>
      <w:pPr>
        <w:pStyle w:val="1093"/>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w:t>
      </w:r>
      <w:r>
        <w:rPr>
          <w:rFonts w:hint="eastAsia" w:asciiTheme="minorEastAsia" w:hAnsiTheme="minorEastAsia" w:eastAsiaTheme="minorEastAsia" w:cstheme="minorEastAsia"/>
          <w:color w:val="auto"/>
          <w:szCs w:val="24"/>
          <w:highlight w:val="none"/>
          <w:lang w:val="en-US" w:eastAsia="zh-CN"/>
        </w:rPr>
        <w:t xml:space="preserve">方</w:t>
      </w:r>
      <w:r>
        <w:rPr>
          <w:rFonts w:hint="eastAsia" w:asciiTheme="minorEastAsia" w:hAnsiTheme="minorEastAsia" w:eastAsiaTheme="minorEastAsia" w:cstheme="minorEastAsia"/>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val="0"/>
          <w:color w:val="auto"/>
          <w:szCs w:val="24"/>
          <w:highlight w:val="none"/>
        </w:rPr>
        <w:t xml:space="preserve">4、合格投标人的特定条件：</w:t>
      </w:r>
      <w:r>
        <w:rPr>
          <w:rFonts w:hint="eastAsia" w:asciiTheme="minorEastAsia" w:hAnsiTheme="minorEastAsia" w:eastAsiaTheme="minorEastAsia" w:cstheme="minorEastAsia"/>
          <w:b w:val="0"/>
          <w:bCs w:val="0"/>
          <w:color w:val="auto"/>
          <w:szCs w:val="24"/>
          <w:highlight w:val="none"/>
          <w:lang w:val="en-US" w:eastAsia="zh-CN"/>
        </w:rPr>
        <w:t xml:space="preserve">无。</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在投标截止时间15日前，采购人或者采购代理机构无论出于自己的考虑，还是出于对投标人提问的澄清，均可对招标文件用更正公告的方式进行澄清或者修改，并通过江苏省政府采购网对外进行发布。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11.2</w:t>
      </w:r>
      <w:r>
        <w:rPr>
          <w:rFonts w:hint="eastAsia" w:asciiTheme="minorEastAsia" w:hAnsiTheme="minorEastAsia" w:eastAsiaTheme="minorEastAsia" w:cstheme="minorEastAsia"/>
          <w:color w:val="auto"/>
          <w:szCs w:val="24"/>
          <w:highlight w:val="none"/>
        </w:rPr>
        <w:t xml:space="preserve">对于补充通知（包括更正公告），报名成功的投标人通过“</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color w:val="auto"/>
          <w:szCs w:val="24"/>
          <w:highlight w:val="none"/>
        </w:rPr>
        <w:t xml:space="preserve">”自行查看所报项目的补充通知（包括更正公告）。补充通知（包括更正公告）将作为招标文件的组成部分，对所有投标人有约束力。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color w:val="auto"/>
          <w:szCs w:val="24"/>
          <w:highlight w:val="none"/>
          <w:lang w:val="en-US" w:eastAsia="zh-CN"/>
        </w:rPr>
      </w:pPr>
      <w:r>
        <w:rPr>
          <w:rFonts w:hint="eastAsia" w:asciiTheme="minorEastAsia" w:hAnsiTheme="minorEastAsia" w:eastAsiaTheme="minorEastAsia" w:cstheme="minorEastAsia"/>
          <w:bCs/>
          <w:color w:val="auto"/>
          <w:szCs w:val="24"/>
          <w:highlight w:val="none"/>
        </w:rPr>
        <w:t xml:space="preserve">11.3</w:t>
      </w:r>
      <w:r>
        <w:rPr>
          <w:rFonts w:hint="eastAsia" w:asciiTheme="minorEastAsia" w:hAnsiTheme="minorEastAsia" w:eastAsiaTheme="minorEastAsia" w:cstheme="minorEastAsia"/>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11.4招标文件的澄清、修改、补充等内容均以</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bCs/>
          <w:color w:val="auto"/>
          <w:szCs w:val="24"/>
          <w:highlight w:val="none"/>
        </w:rPr>
        <w:t xml:space="preserve">上发布的为准。</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lang w:val="en-US" w:eastAsia="zh-CN"/>
        </w:rPr>
        <w:t xml:space="preserve">12</w:t>
      </w:r>
      <w:r>
        <w:rPr>
          <w:rFonts w:hint="eastAsia" w:asciiTheme="minorEastAsia" w:hAnsiTheme="minorEastAsia" w:eastAsiaTheme="minorEastAsia" w:cstheme="minorEastAsia"/>
          <w:bCs/>
          <w:color w:val="auto"/>
          <w:szCs w:val="24"/>
          <w:highlight w:val="none"/>
        </w:rPr>
        <w:t xml:space="preserve">.投标</w:t>
      </w:r>
      <w:r>
        <w:rPr>
          <w:rFonts w:hint="eastAsia" w:asciiTheme="minorEastAsia" w:hAnsiTheme="minorEastAsia" w:eastAsiaTheme="minorEastAsia" w:cstheme="minorEastAsia"/>
          <w:color w:val="auto"/>
          <w:szCs w:val="24"/>
          <w:highlight w:val="none"/>
        </w:rPr>
        <w:t xml:space="preserve">文件的澄清和修改</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12.1</w:t>
      </w:r>
      <w:r>
        <w:rPr>
          <w:rFonts w:hint="eastAsia" w:asciiTheme="minorEastAsia" w:hAnsiTheme="minorEastAsia" w:eastAsiaTheme="minorEastAsia" w:cstheme="minorEastAsia"/>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12.2</w:t>
      </w:r>
      <w:r>
        <w:rPr>
          <w:rFonts w:hint="eastAsia" w:asciiTheme="minorEastAsia" w:hAnsiTheme="minorEastAsia" w:eastAsiaTheme="minorEastAsia" w:cstheme="minorEastAsia"/>
          <w:color w:val="auto"/>
          <w:highlight w:val="none"/>
        </w:rPr>
        <w:t xml:space="preserve">本项目投标人的澄清、说明或者补正采用线上澄清</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此处规定时间的计算以系统中的倒计时间为准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，供应商应随时保持系统在线，如因供应商自身原因未在规定时间内提交澄清确认资料的，导致的不利后果由供应商自行承担。</w:t>
      </w:r>
      <w:r>
        <w:rPr>
          <w:rFonts w:hint="eastAsia" w:ascii="宋体" w:hAnsi="宋体"/>
          <w:sz w:val="24"/>
          <w:szCs w:val="24"/>
        </w:rPr>
        <w:t xml:space="preserve">具体操作方式见《操作手册》</w:t>
      </w:r>
      <w:r>
        <w:rPr>
          <w:rFonts w:hint="eastAsia" w:ascii="宋体" w:hAnsi="宋体"/>
          <w:sz w:val="24"/>
          <w:szCs w:val="24"/>
          <w:lang w:eastAsia="zh-CN"/>
        </w:rPr>
        <w:t xml:space="preserve">。</w:t>
      </w:r>
      <w:r/>
    </w:p>
    <w:p>
      <w:pPr>
        <w:ind w:firstLine="48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13.</w:t>
      </w:r>
      <w:r>
        <w:rPr>
          <w:rFonts w:hint="eastAsia" w:asciiTheme="minorEastAsia" w:hAnsiTheme="minorEastAsia" w:eastAsiaTheme="minorEastAsia" w:cstheme="minorEastAsia"/>
          <w:color w:val="auto"/>
          <w:highlight w:val="none"/>
        </w:rPr>
        <w:t xml:space="preserve">现场</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：根据自身投标需要，投标人可对有关现场和周围环境自行进行</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，以获取编制投标文件和签署合同所需的信息，</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所发生的费用由投标人自己承担</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、投标文件计量单位和使用文字</w:t>
      </w:r>
      <w:r/>
    </w:p>
    <w:p>
      <w:pPr>
        <w:pStyle w:val="1093"/>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、投标文件的组成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eastAsia="宋体" w:cs="宋体"/>
          <w:color w:val="auto"/>
          <w:szCs w:val="24"/>
          <w:highlight w:val="none"/>
          <w:lang w:val="en-US" w:eastAsia="zh-CN"/>
        </w:rPr>
        <w:t xml:space="preserve">；</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16.4</w:t>
      </w:r>
      <w:r>
        <w:rPr>
          <w:rFonts w:hint="eastAsia" w:ascii="宋体" w:hAnsi="宋体" w:eastAsia="宋体" w:cs="宋体"/>
          <w:b/>
          <w:bCs/>
          <w:color w:val="auto"/>
          <w:szCs w:val="24"/>
          <w:highlight w:val="none"/>
          <w:lang w:val="en-US" w:eastAsia="zh-CN"/>
        </w:rPr>
        <w:t xml:space="preserve">资格审查文件：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16.4.1合格投标人资格证明材料</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（1）有独立承担民事责任的能力证明：法人或者其他组织的营业执照等证明文件，自然人的身份证明；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包括但不限于最近一期经审计的财务报告或</w:t>
      </w:r>
      <w:r>
        <w:rPr>
          <w:rFonts w:hint="eastAsia" w:ascii="宋体" w:hAnsi="宋体" w:cs="宋体"/>
          <w:color w:val="auto"/>
          <w:szCs w:val="24"/>
          <w:highlight w:val="none"/>
        </w:rPr>
        <w:t xml:space="preserve">投标人财务状况报告</w:t>
      </w:r>
      <w:r>
        <w:rPr>
          <w:rFonts w:hint="eastAsia" w:ascii="宋体" w:hAnsi="宋体" w:eastAsia="宋体" w:cs="Times New Roman"/>
          <w:color w:val="auto"/>
          <w:sz w:val="24"/>
          <w:highlight w:val="none"/>
          <w:lang w:val="en-US" w:eastAsia="zh-CN"/>
        </w:rPr>
        <w:t xml:space="preserve">，其他组织、自然人及成立未满一年的法人应提供银行出具的资信证明</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（5）参加本次政府采购活动前三年内在经营活动中没有重大违法记录的书面声明函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投标人与其他单位存在控股、管理关系情况表（格式见第三章）</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16.4.2</w:t>
      </w:r>
      <w:r>
        <w:rPr>
          <w:rFonts w:hint="eastAsia" w:asciiTheme="minorEastAsia" w:hAnsiTheme="minorEastAsia" w:eastAsiaTheme="minorEastAsia" w:cstheme="minorEastAsia"/>
          <w:b w:val="0"/>
          <w:bCs w:val="0"/>
          <w:color w:val="auto"/>
          <w:sz w:val="24"/>
          <w:szCs w:val="24"/>
          <w:highlight w:val="none"/>
        </w:rPr>
        <w:t xml:space="preserve">关于资格文</w:t>
      </w:r>
      <w:r>
        <w:rPr>
          <w:rFonts w:hint="eastAsia" w:asciiTheme="minorEastAsia" w:hAnsiTheme="minorEastAsia" w:eastAsiaTheme="minorEastAsia" w:cstheme="minorEastAsia"/>
          <w:color w:val="auto"/>
          <w:sz w:val="24"/>
          <w:szCs w:val="24"/>
          <w:highlight w:val="none"/>
        </w:rPr>
        <w:t xml:space="preserve">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pStyle w:val="1097"/>
        <w:ind w:lef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16.5符合性审查文件：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.1投标函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16.5.2偏离表（格式见第三章）；</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16.5.3《产品配置清单表》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16.5.4</w:t>
      </w:r>
      <w:r>
        <w:rPr>
          <w:rFonts w:hint="eastAsia" w:ascii="宋体" w:hAnsi="宋体"/>
          <w:color w:val="auto"/>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eastAsia"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16.5.5《售后服务承诺书》</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16.5.6</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投标保证承诺书</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16.5.7</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16.6.1技术参数符合性比较</w:t>
      </w:r>
      <w:r>
        <w:rPr>
          <w:rFonts w:hint="eastAsia" w:ascii="宋体" w:hAnsi="宋体" w:cs="宋体"/>
          <w:color w:val="auto"/>
          <w:szCs w:val="24"/>
          <w:highlight w:val="none"/>
          <w:lang w:val="en-US" w:eastAsia="zh-CN"/>
        </w:rPr>
        <w:t xml:space="preserve">；</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16.6.4《中小企业声明函》或《残疾人福利性单位声明函》或由省级以上监狱管理局、戒毒管理局（含新疆生产建设兵团）出具的属于监狱企业的证明文件（如属）；</w:t>
      </w:r>
      <w:r>
        <w:rPr>
          <w:rFonts w:hint="eastAsia" w:ascii="宋体" w:hAnsi="宋体" w:eastAsia="宋体" w:cs="宋体"/>
          <w:color w:val="auto"/>
          <w:szCs w:val="24"/>
          <w:highlight w:val="none"/>
        </w:rPr>
        <w:t xml:space="preserve">（格式见第三章）</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5《关于符合本国产品标准的声明函》（如属）；</w:t>
      </w:r>
      <w:r>
        <w:rPr>
          <w:rFonts w:hint="eastAsia" w:ascii="宋体" w:hAnsi="宋体" w:cs="宋体"/>
          <w:color w:val="auto"/>
          <w:szCs w:val="24"/>
          <w:highlight w:val="none"/>
        </w:rPr>
        <w:t xml:space="preserve">(格式见第三章)</w:t>
      </w:r>
      <w:r/>
    </w:p>
    <w:p>
      <w:pPr>
        <w:ind w:firstLine="480"/>
        <w:jc w:val="left"/>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16.6.6</w:t>
      </w:r>
      <w:r>
        <w:rPr>
          <w:rFonts w:hint="eastAsia" w:ascii="宋体" w:hAnsi="宋体" w:eastAsia="宋体" w:cs="宋体"/>
          <w:color w:val="auto"/>
          <w:sz w:val="24"/>
          <w:szCs w:val="24"/>
          <w:highlight w:val="none"/>
        </w:rPr>
        <w:t xml:space="preserve">对属于《节能产品政府采购品目清单》政府强制采购产品的，需提供该产品有效期内的认证等相关证明材料（如有）；</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6.</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1093"/>
        <w:ind w:firstLine="480"/>
        <w:jc w:val="both"/>
        <w:keepLines w:val="0"/>
        <w:keepNext w:val="0"/>
        <w:pageBreakBefore w:val="0"/>
        <w:spacing w:line="360" w:lineRule="auto"/>
        <w:rPr>
          <w:rFonts w:ascii="Times New Roman" w:hAnsi="Times New Roman" w:eastAsia="宋体" w:cs="Times New Roman"/>
          <w:color w:val="auto"/>
          <w:szCs w:val="21"/>
          <w:highlight w:val="none"/>
          <w:lang w:val="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.1除非合同中另有规定，投标人对《标的物清单》中的全部货物和服务的报价应</w:t>
      </w:r>
      <w:r>
        <w:rPr>
          <w:rFonts w:hint="eastAsia" w:ascii="宋体" w:hAnsi="宋体" w:eastAsia="宋体" w:cs="宋体"/>
          <w:color w:val="auto"/>
          <w:sz w:val="24"/>
          <w:szCs w:val="24"/>
          <w:highlight w:val="none"/>
          <w:lang w:val="zh-CN" w:eastAsia="zh-CN" w:bidi="ar-SA"/>
        </w:rPr>
        <w:t xml:space="preserve">包括但不限于本合同所涉全部设备、</w:t>
      </w:r>
      <w:r>
        <w:rPr>
          <w:rFonts w:hint="eastAsia" w:ascii="宋体" w:hAnsi="宋体" w:eastAsia="宋体" w:cs="宋体"/>
          <w:color w:val="auto"/>
          <w:szCs w:val="21"/>
          <w:highlight w:val="none"/>
          <w:lang w:val="en-US" w:eastAsia="zh-CN"/>
        </w:rPr>
        <w:t xml:space="preserve">软件系统、</w:t>
      </w:r>
      <w:r>
        <w:rPr>
          <w:rFonts w:hint="eastAsia" w:ascii="宋体" w:hAnsi="宋体" w:eastAsia="宋体" w:cs="宋体"/>
          <w:color w:val="auto"/>
          <w:sz w:val="24"/>
          <w:szCs w:val="24"/>
          <w:highlight w:val="none"/>
          <w:lang w:val="zh-CN" w:eastAsia="zh-CN" w:bidi="ar-SA"/>
        </w:rPr>
        <w:t xml:space="preserve">辅助材料、安装、调试、</w:t>
      </w:r>
      <w:r>
        <w:rPr>
          <w:rFonts w:hint="eastAsia" w:ascii="宋体" w:hAnsi="宋体" w:eastAsia="宋体" w:cs="宋体"/>
          <w:color w:val="auto"/>
          <w:sz w:val="24"/>
          <w:szCs w:val="24"/>
          <w:highlight w:val="none"/>
          <w:lang w:val="en-US" w:eastAsia="zh-CN" w:bidi="ar-SA"/>
        </w:rPr>
        <w:t xml:space="preserve">技术支持与</w:t>
      </w:r>
      <w:r>
        <w:rPr>
          <w:rFonts w:hint="eastAsia" w:ascii="宋体" w:hAnsi="宋体" w:eastAsia="宋体" w:cs="宋体"/>
          <w:color w:val="auto"/>
          <w:sz w:val="24"/>
          <w:szCs w:val="24"/>
          <w:highlight w:val="none"/>
          <w:lang w:val="zh-CN" w:eastAsia="zh-CN" w:bidi="ar-SA"/>
        </w:rPr>
        <w:t xml:space="preserve">培训、验收、人工、机械、运输、仓储、保险、运费、各种税费、劳保、与现有/后期设备对接费、</w:t>
      </w:r>
      <w:r>
        <w:rPr>
          <w:rFonts w:hint="eastAsia" w:ascii="宋体" w:hAnsi="宋体" w:eastAsia="宋体" w:cs="宋体"/>
          <w:color w:val="auto"/>
          <w:sz w:val="24"/>
          <w:szCs w:val="24"/>
          <w:highlight w:val="none"/>
          <w:lang w:val="en-US" w:eastAsia="zh-CN" w:bidi="ar-SA"/>
        </w:rPr>
        <w:t xml:space="preserve">代理服务费、国际（如果有）国内运输保险、报关清关（如果有）、开证（如果有）、办理全套免税手续费用（如果有）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专利技术及质保期间等一切费用</w:t>
      </w: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zh-CN" w:eastAsia="zh-CN" w:bidi="ar-SA"/>
        </w:rPr>
        <w:t xml:space="preserve">无须支付其他任何费用。</w:t>
      </w:r>
      <w:r>
        <w:rPr>
          <w:rFonts w:ascii="Times New Roman" w:hAnsi="Times New Roman" w:eastAsia="宋体" w:cs="Times New Roman"/>
          <w:color w:val="auto"/>
          <w:szCs w:val="21"/>
          <w:highlight w:val="none"/>
          <w:lang w:val="zh-CN"/>
        </w:rPr>
        <w:t xml:space="preserve">同时，除非合同条款中另有规定，否则，本合同项下合同总金额在合同履行期间不因市场变化因素而变动。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.5投标文件报价中的单价和总价全部采用人民币表示，除非合同的特殊条款另有规定。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rPr>
        <w:t xml:space="preserve">.</w:t>
      </w:r>
      <w:r>
        <w:rPr>
          <w:rFonts w:hint="eastAsia" w:ascii="宋体" w:hAnsi="宋体" w:cs="宋体"/>
          <w:b w:val="0"/>
          <w:bCs w:val="0"/>
          <w:color w:val="auto"/>
          <w:szCs w:val="24"/>
          <w:highlight w:val="none"/>
          <w:lang w:val="en-US" w:eastAsia="zh-CN"/>
        </w:rPr>
        <w:t xml:space="preserve">6采购</w:t>
      </w:r>
      <w:r>
        <w:rPr>
          <w:rFonts w:hint="eastAsia" w:ascii="宋体" w:hAnsi="宋体" w:eastAsia="宋体" w:cs="宋体"/>
          <w:b w:val="0"/>
          <w:bCs w:val="0"/>
          <w:color w:val="auto"/>
          <w:szCs w:val="24"/>
          <w:highlight w:val="none"/>
        </w:rPr>
        <w:t xml:space="preserve">异常低价审查</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lang w:val="en-US" w:eastAsia="zh-CN"/>
        </w:rPr>
        <w:t xml:space="preserve">.6.1</w:t>
      </w:r>
      <w:r>
        <w:rPr>
          <w:rFonts w:hint="eastAsia" w:ascii="宋体" w:hAnsi="宋体" w:eastAsia="宋体" w:cs="宋体"/>
          <w:b w:val="0"/>
          <w:bCs w:val="0"/>
          <w:color w:val="auto"/>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1</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3</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投标（响应）报价低于采购项目最高限价45%的，即投标（响应）报价&lt;采购项目最高限价×45%；</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评审委员会基于专业判断，认为供应商报价过低，有可能影响产品质量或者不能诚信履约的其他情形。</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28.6.2</w:t>
      </w:r>
      <w:r>
        <w:rPr>
          <w:rFonts w:hint="eastAsia" w:ascii="宋体" w:hAnsi="宋体" w:eastAsia="宋体" w:cs="宋体"/>
          <w:b w:val="0"/>
          <w:bCs w:val="0"/>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color w:val="auto"/>
          <w:szCs w:val="24"/>
          <w:highlight w:val="none"/>
        </w:rPr>
        <w:t xml:space="preserve">给予相关供应商的合理时间一般不少于30分钟</w:t>
      </w:r>
      <w:r>
        <w:rPr>
          <w:rFonts w:hint="eastAsia" w:ascii="宋体" w:hAnsi="宋体" w:eastAsia="宋体" w:cs="宋体"/>
          <w:b w:val="0"/>
          <w:bCs w:val="0"/>
          <w:color w:val="auto"/>
          <w:szCs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28.6.3</w:t>
      </w:r>
      <w:r>
        <w:rPr>
          <w:rFonts w:hint="eastAsia" w:ascii="宋体" w:hAnsi="宋体" w:eastAsia="宋体" w:cs="宋体"/>
          <w:b w:val="0"/>
          <w:bCs w:val="0"/>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此处规定时间的计算以系统中的倒计时间为准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.1.3报价超过招标文件中规定的预算金额或者最高限价的；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.3.1交货状态和交货期；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.3.2</w:t>
      </w:r>
      <w:r>
        <w:rPr>
          <w:rFonts w:hint="eastAsia" w:ascii="宋体" w:hAnsi="宋体"/>
          <w:color w:val="auto"/>
          <w:szCs w:val="24"/>
          <w:highlight w:val="none"/>
          <w:lang w:val="en-US" w:eastAsia="zh-CN"/>
        </w:rPr>
        <w:t xml:space="preserve">售后</w:t>
      </w:r>
      <w:r>
        <w:rPr>
          <w:rFonts w:hint="eastAsia" w:ascii="宋体" w:hAnsi="宋体"/>
          <w:color w:val="auto"/>
          <w:szCs w:val="24"/>
          <w:highlight w:val="none"/>
        </w:rPr>
        <w:t xml:space="preserve">服务措施；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.3.3</w:t>
      </w:r>
      <w:r>
        <w:rPr>
          <w:rFonts w:hint="eastAsia" w:ascii="宋体" w:hAnsi="宋体"/>
          <w:color w:val="auto"/>
          <w:szCs w:val="24"/>
          <w:highlight w:val="none"/>
        </w:rPr>
        <w:t xml:space="preserve">货物出厂验收情况；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.3.4</w:t>
      </w:r>
      <w:r>
        <w:rPr>
          <w:rFonts w:hint="eastAsia" w:ascii="宋体" w:hAnsi="宋体"/>
          <w:color w:val="auto"/>
          <w:szCs w:val="24"/>
          <w:highlight w:val="none"/>
        </w:rPr>
        <w:t xml:space="preserve">投标人的资信情况和履约能力；</w:t>
      </w:r>
      <w:r/>
    </w:p>
    <w:p>
      <w:pPr>
        <w:ind w:firstLine="480"/>
        <w:keepLines w:val="0"/>
        <w:keepNext w:val="0"/>
        <w:pageBreakBefore w:val="0"/>
        <w:spacing w:line="360" w:lineRule="auto"/>
        <w:shd w:val="clear" w:color="auto" w:fill="auto"/>
        <w:widowControl w:val="off"/>
        <w:rPr>
          <w:rFonts w:hint="eastAsia" w:ascii="宋体" w:hAnsi="宋体"/>
          <w:color w:val="auto"/>
          <w:szCs w:val="24"/>
          <w:highlight w:val="none"/>
        </w:rPr>
      </w:pPr>
      <w:r>
        <w:rPr>
          <w:rFonts w:hint="eastAsia" w:ascii="宋体" w:hAnsi="宋体"/>
          <w:color w:val="auto"/>
          <w:szCs w:val="24"/>
          <w:highlight w:val="none"/>
          <w:lang w:val="en-US" w:eastAsia="zh-CN"/>
        </w:rPr>
        <w:t xml:space="preserve">31</w:t>
      </w:r>
      <w:r>
        <w:rPr>
          <w:rFonts w:hint="eastAsia" w:ascii="宋体" w:hAnsi="宋体"/>
          <w:color w:val="auto"/>
          <w:szCs w:val="24"/>
          <w:highlight w:val="none"/>
        </w:rPr>
        <w:t xml:space="preserve">.3.5投标人的供货状况及销售业绩及服务措施；</w:t>
      </w:r>
      <w:r/>
    </w:p>
    <w:p>
      <w:pPr>
        <w:ind w:firstLine="480"/>
        <w:keepLines w:val="0"/>
        <w:keepNext w:val="0"/>
        <w:pageBreakBefore w:val="0"/>
        <w:spacing w:line="360" w:lineRule="auto"/>
        <w:shd w:val="clear" w:color="auto" w:fill="auto"/>
        <w:widowControl w:val="off"/>
        <w:rPr>
          <w:rFonts w:hint="eastAsia" w:ascii="宋体" w:hAnsi="宋体"/>
          <w:color w:val="auto"/>
          <w:szCs w:val="24"/>
          <w:highlight w:val="none"/>
        </w:rPr>
      </w:pPr>
      <w:r>
        <w:rPr>
          <w:rFonts w:hint="eastAsia" w:ascii="宋体" w:hAnsi="宋体"/>
          <w:color w:val="auto"/>
          <w:szCs w:val="24"/>
          <w:highlight w:val="none"/>
          <w:lang w:val="en-US" w:eastAsia="zh-CN"/>
        </w:rPr>
        <w:t xml:space="preserve">31</w:t>
      </w:r>
      <w:r>
        <w:rPr>
          <w:rFonts w:hint="eastAsia" w:ascii="宋体" w:hAnsi="宋体"/>
          <w:color w:val="auto"/>
          <w:szCs w:val="24"/>
          <w:highlight w:val="none"/>
        </w:rPr>
        <w:t xml:space="preserve">.3.6投标人提供的其他优惠条件；</w:t>
      </w:r>
      <w:r/>
    </w:p>
    <w:p>
      <w:pPr>
        <w:ind w:firstLine="482"/>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bCs/>
          <w:color w:val="auto"/>
          <w:sz w:val="24"/>
          <w:szCs w:val="24"/>
          <w:highlight w:val="none"/>
          <w:lang w:val="en-US" w:eastAsia="zh-CN"/>
        </w:rPr>
        <w:t xml:space="preserve">31.4</w:t>
      </w:r>
      <w:r>
        <w:rPr>
          <w:rFonts w:hint="eastAsia" w:ascii="宋体" w:hAnsi="宋体" w:eastAsia="宋体" w:cs="宋体"/>
          <w:b/>
          <w:bCs/>
          <w:color w:val="auto"/>
          <w:szCs w:val="24"/>
          <w:highlight w:val="none"/>
        </w:rPr>
        <w:t xml:space="preserve">提供相同品牌产品</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核心产品</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非单一产品采购项目，多家投标人提供的核心产品品牌相同的，按照此规定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.5最低的投标报价或最高的折扣比例是中标的重要条件，但不是唯一条件。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93"/>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.合同的签订</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10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38.</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36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87"/>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9" w:name="_Toc5566"/>
      <w:r/>
      <w:bookmarkStart w:id="10" w:name="_Toc22388"/>
      <w:r/>
      <w:bookmarkStart w:id="11" w:name="_Toc10066"/>
      <w:r>
        <w:rPr>
          <w:rStyle w:val="1122"/>
          <w:rFonts w:hint="eastAsia" w:asciiTheme="minorEastAsia" w:hAnsiTheme="minorEastAsia" w:eastAsiaTheme="minorEastAsia" w:cstheme="minorEastAsia"/>
          <w:b/>
          <w:color w:val="auto"/>
          <w:sz w:val="44"/>
          <w:szCs w:val="44"/>
          <w:highlight w:val="none"/>
        </w:rPr>
        <w:t xml:space="preserve">第三章 投标文件格式</w:t>
      </w:r>
      <w:bookmarkEnd w:id="9"/>
      <w:r/>
      <w:bookmarkEnd w:id="10"/>
      <w:r/>
      <w:bookmarkEnd w:id="11"/>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w:t>
      </w:r>
      <w:r>
        <w:rPr>
          <w:rFonts w:hint="eastAsia" w:asciiTheme="minorEastAsia" w:hAnsiTheme="minorEastAsia" w:eastAsiaTheme="minorEastAsia" w:cstheme="minorEastAsia"/>
          <w:color w:val="auto"/>
          <w:szCs w:val="24"/>
          <w:highlight w:val="none"/>
          <w:lang w:val="en-US" w:eastAsia="zh-CN"/>
        </w:rPr>
        <w:t xml:space="preserve">文件</w:t>
      </w:r>
      <w:r>
        <w:rPr>
          <w:rFonts w:hint="eastAsia" w:asciiTheme="minorEastAsia" w:hAnsiTheme="minorEastAsia" w:eastAsiaTheme="minorEastAsia" w:cstheme="minorEastAsia"/>
          <w:color w:val="auto"/>
          <w:szCs w:val="24"/>
          <w:highlight w:val="none"/>
        </w:rPr>
        <w:t xml:space="preserve">格式，投标</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93"/>
        <w:ind w:firstLine="480"/>
        <w:spacing w:line="360" w:lineRule="auto"/>
        <w:rPr>
          <w:rFonts w:asciiTheme="minorEastAsia" w:hAnsiTheme="minorEastAsia" w:eastAsiaTheme="minorEastAsia" w:cstheme="minorEastAsia"/>
          <w:color w:val="auto"/>
          <w:szCs w:val="24"/>
          <w:highlight w:val="none"/>
        </w:rPr>
      </w:pPr>
      <w:r/>
      <w:bookmarkStart w:id="12"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93"/>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93"/>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   </w:t>
      </w:r>
      <w:r>
        <w:rPr>
          <w:rFonts w:hint="eastAsia" w:asciiTheme="minorEastAsia" w:hAnsiTheme="minorEastAsia" w:eastAsiaTheme="minorEastAsia" w:cstheme="minorEastAsia"/>
          <w:color w:val="auto"/>
          <w:szCs w:val="24"/>
          <w:highlight w:val="none"/>
        </w:rPr>
        <w:t xml:space="preserve">号的招标活动。代理人在开标、评标、合同谈判过程中所签署的一切文件和处理与这有关的一切事务，我均予以承认。</w:t>
      </w:r>
      <w:r/>
    </w:p>
    <w:p>
      <w:pPr>
        <w:pStyle w:val="1093"/>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93"/>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93"/>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93"/>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93"/>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93"/>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12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12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宋体"/>
          <w:color w:val="auto"/>
          <w:sz w:val="24"/>
          <w:szCs w:val="24"/>
          <w:highlight w:val="none"/>
          <w:lang w:val="zh-CN" w:eastAsia="zh-CN" w:bidi="ar-SA"/>
        </w:rPr>
        <w:t xml:space="preserve">包括但不限于本合同所涉全部设备、</w:t>
      </w:r>
      <w:r>
        <w:rPr>
          <w:rFonts w:hint="eastAsia" w:ascii="宋体" w:hAnsi="宋体" w:eastAsia="宋体" w:cs="宋体"/>
          <w:color w:val="auto"/>
          <w:szCs w:val="21"/>
          <w:highlight w:val="none"/>
          <w:lang w:val="en-US" w:eastAsia="zh-CN"/>
        </w:rPr>
        <w:t xml:space="preserve">软件系统、</w:t>
      </w:r>
      <w:r>
        <w:rPr>
          <w:rFonts w:hint="eastAsia" w:ascii="宋体" w:hAnsi="宋体" w:eastAsia="宋体" w:cs="宋体"/>
          <w:color w:val="auto"/>
          <w:sz w:val="24"/>
          <w:szCs w:val="24"/>
          <w:highlight w:val="none"/>
          <w:lang w:val="zh-CN" w:eastAsia="zh-CN" w:bidi="ar-SA"/>
        </w:rPr>
        <w:t xml:space="preserve">辅助材料、安装、调试、</w:t>
      </w:r>
      <w:r>
        <w:rPr>
          <w:rFonts w:hint="eastAsia" w:ascii="宋体" w:hAnsi="宋体" w:eastAsia="宋体" w:cs="宋体"/>
          <w:color w:val="auto"/>
          <w:sz w:val="24"/>
          <w:szCs w:val="24"/>
          <w:highlight w:val="none"/>
          <w:lang w:val="en-US" w:eastAsia="zh-CN" w:bidi="ar-SA"/>
        </w:rPr>
        <w:t xml:space="preserve">技术支持与</w:t>
      </w:r>
      <w:r>
        <w:rPr>
          <w:rFonts w:hint="eastAsia" w:ascii="宋体" w:hAnsi="宋体" w:eastAsia="宋体" w:cs="宋体"/>
          <w:color w:val="auto"/>
          <w:sz w:val="24"/>
          <w:szCs w:val="24"/>
          <w:highlight w:val="none"/>
          <w:lang w:val="zh-CN" w:eastAsia="zh-CN" w:bidi="ar-SA"/>
        </w:rPr>
        <w:t xml:space="preserve">培训、验收、人工、机械、运输、仓储、保险、运费、各种税费、劳保、与现有/后期设备对接费、</w:t>
      </w:r>
      <w:r>
        <w:rPr>
          <w:rFonts w:hint="eastAsia" w:ascii="宋体" w:hAnsi="宋体" w:eastAsia="宋体" w:cs="宋体"/>
          <w:color w:val="auto"/>
          <w:sz w:val="24"/>
          <w:szCs w:val="24"/>
          <w:highlight w:val="none"/>
          <w:lang w:val="en-US" w:eastAsia="zh-CN" w:bidi="ar-SA"/>
        </w:rPr>
        <w:t xml:space="preserve">代理服务费、国际（如果有）国内运输保险、报关清关（如果有）、开证（如果有）、办理全套免税手续费用（如果有）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专利技术及质保期间等一切费用；甲方无须支付其他任何费用。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13" w:name="TBR"/>
      <w:r/>
      <w:bookmarkEnd w:id="1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14" w:name="XMBH"/>
      <w:r/>
      <w:bookmarkEnd w:id="1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15" w:name="FBH"/>
      <w:r/>
      <w:bookmarkEnd w:id="15"/>
      <w:r/>
      <w:r/>
    </w:p>
    <w:tbl>
      <w:tblPr>
        <w:tblStyle w:val="1092"/>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2"/>
        <w:gridCol w:w="6918"/>
      </w:tblGrid>
      <w:tr>
        <w:trPr>
          <w:cantSplit/>
          <w:trHeight w:val="1098"/>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6918"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3042"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6" w:name="XMMC"/>
            <w:r/>
            <w:bookmarkEnd w:id="16"/>
            <w:r/>
            <w:r/>
          </w:p>
        </w:tc>
        <w:tc>
          <w:tcPr>
            <w:tcW w:w="6918"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17" w:name="JEXX"/>
            <w:r/>
            <w:bookmarkEnd w:id="17"/>
            <w:r>
              <w:rPr>
                <w:rFonts w:hint="eastAsia" w:ascii="宋体" w:hAnsi="宋体" w:eastAsia="宋体" w:cs="宋体"/>
                <w:color w:val="auto"/>
                <w:highlight w:val="none"/>
              </w:rPr>
              <w:t xml:space="preserve">     （元人民币）</w:t>
            </w:r>
            <w:r/>
          </w:p>
        </w:tc>
      </w:tr>
      <w:tr>
        <w:trPr>
          <w:cantSplit/>
          <w:trHeight w:val="1361"/>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6918"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8" w:name="JEDX"/>
            <w:r/>
            <w:bookmarkEnd w:id="18"/>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19" w:name="NF"/>
      <w:r/>
      <w:bookmarkEnd w:id="1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20" w:name="YF"/>
      <w:r/>
      <w:bookmarkEnd w:id="2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21" w:name="RI"/>
      <w:r/>
      <w:bookmarkEnd w:id="2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128"/>
        <w:rPr>
          <w:rFonts w:hint="eastAsia" w:hAnsi="宋体" w:eastAsia="宋体"/>
          <w:b/>
          <w:color w:val="auto"/>
          <w:sz w:val="24"/>
          <w:szCs w:val="24"/>
          <w:highlight w:val="none"/>
        </w:rPr>
      </w:pPr>
      <w:r>
        <w:rPr>
          <w:rFonts w:hint="eastAsia" w:hAnsi="宋体" w:eastAsia="宋体"/>
          <w:color w:val="auto"/>
          <w:sz w:val="24"/>
          <w:szCs w:val="24"/>
          <w:highlight w:val="none"/>
        </w:rPr>
        <w:t xml:space="preserve">4、投标报价明细表</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投标报价明细表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项目名称：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招标编号：</w:t>
      </w:r>
      <w:r/>
    </w:p>
    <w:tbl>
      <w:tblPr>
        <w:tblStyle w:val="11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1748"/>
        <w:gridCol w:w="1499"/>
        <w:gridCol w:w="785"/>
        <w:gridCol w:w="810"/>
        <w:gridCol w:w="1171"/>
        <w:gridCol w:w="129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序号</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1</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2</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3</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4</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5</w:t>
            </w:r>
            <w:r>
              <w:rPr>
                <w:rFonts w:ascii="STSong" w:hAnsi="STSong" w:cs="STSong"/>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6</w:t>
            </w:r>
            <w:r>
              <w:rPr>
                <w:rFonts w:ascii="STSong" w:hAnsi="STSong" w:cs="STSong"/>
              </w:rPr>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分项服务名称</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交付期</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分项单位</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数量</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分项</w:t>
            </w:r>
            <w:r>
              <w:rPr>
                <w:rFonts w:ascii="STSong" w:hAnsi="STSong" w:cs="STSong"/>
              </w:rPr>
            </w:r>
            <w:r/>
          </w:p>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单价</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分项</w:t>
            </w:r>
            <w:r>
              <w:rPr>
                <w:rFonts w:ascii="STSong" w:hAnsi="STSong" w:cs="STSong"/>
              </w:rPr>
            </w:r>
            <w:r/>
          </w:p>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总价</w:t>
            </w:r>
            <w:r>
              <w:rPr>
                <w:rFonts w:ascii="STSong" w:hAnsi="STSong" w:cs="STSong"/>
              </w:rPr>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1</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2</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3</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imSun" w:cs="STSong"/>
                <w:color w:val="000000"/>
                <w:sz w:val="24"/>
              </w:rPr>
              <w:t xml:space="preserve">……</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r>
      <w:tr>
        <w:trPr>
          <w:trHeight w:val="6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6" w:type="dxa"/>
            <w:vAlign w:val="center"/>
            <w:textDirection w:val="lrTb"/>
            <w:noWrap w:val="false"/>
          </w:tcPr>
          <w:p>
            <w:pPr>
              <w:ind w:left="0" w:right="0" w:firstLine="0"/>
              <w:jc w:val="both"/>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投标总报价（人民币：元）</w:t>
            </w:r>
            <w:r>
              <w:rPr>
                <w:rFonts w:ascii="STSong" w:hAnsi="STSong" w:cs="STSong"/>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top"/>
            <w:textDirection w:val="lrTb"/>
            <w:noWrap w:val="false"/>
          </w:tcPr>
          <w:p>
            <w:pPr>
              <w:ind w:left="0" w:right="0" w:firstLine="0"/>
              <w:jc w:val="both"/>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Times New Roman" w:cs="STSong"/>
                <w:color w:val="000000"/>
                <w:sz w:val="24"/>
              </w:rPr>
              <w:t xml:space="preserve"> </w:t>
            </w:r>
            <w:r>
              <w:rPr>
                <w:rFonts w:ascii="STSong" w:hAnsi="STSong" w:cs="STSong"/>
              </w:rPr>
            </w:r>
            <w:r/>
          </w:p>
        </w:tc>
      </w:tr>
      <w:tr>
        <w:trPr>
          <w:trHeight w:val="74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3" w:type="dxa"/>
            <w:vAlign w:val="center"/>
            <w:textDirection w:val="lrTb"/>
            <w:noWrap w:val="false"/>
          </w:tcPr>
          <w:p>
            <w:pPr>
              <w:ind w:left="0" w:right="0" w:firstLine="0"/>
              <w:jc w:val="both"/>
              <w:spacing w:before="0" w:after="0"/>
              <w:rPr>
                <w:rFonts w:ascii="STSong" w:hAnsi="STSong" w:cs="STSong"/>
              </w:rPr>
              <w:pBdr>
                <w:top w:val="none" w:color="000000" w:sz="4" w:space="0"/>
                <w:left w:val="none" w:color="000000" w:sz="4" w:space="0"/>
                <w:bottom w:val="none" w:color="000000" w:sz="4" w:space="0"/>
                <w:right w:val="none" w:color="000000" w:sz="4" w:space="0"/>
              </w:pBdr>
            </w:pPr>
            <w:r>
              <w:rPr>
                <w:rFonts w:ascii="STSong" w:hAnsi="STSong" w:eastAsia="STSong" w:cs="STSong"/>
                <w:b/>
                <w:color w:val="000000"/>
                <w:sz w:val="24"/>
              </w:rPr>
              <w:t xml:space="preserve">本采购包中提供的符合本国产品标准的产品成本之和占该采购包提供的全部产品成本之和的比例为</w:t>
            </w:r>
            <w:r>
              <w:rPr>
                <w:rFonts w:ascii="STSong" w:hAnsi="STSong" w:eastAsia="SimSun" w:cs="STSong"/>
                <w:b/>
                <w:color w:val="000000"/>
                <w:sz w:val="24"/>
                <w:u w:val="single"/>
              </w:rPr>
              <w:t xml:space="preserve">     %</w:t>
            </w:r>
            <w:r>
              <w:rPr>
                <w:rFonts w:ascii="STSong" w:hAnsi="STSong" w:eastAsia="STSong" w:cs="STSong"/>
                <w:b/>
                <w:color w:val="000000"/>
                <w:sz w:val="24"/>
              </w:rPr>
              <w:t xml:space="preserve">。</w:t>
            </w:r>
            <w:r>
              <w:rPr>
                <w:rFonts w:ascii="STSong" w:hAnsi="STSong" w:cs="STSong"/>
              </w:r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☆请填写表格中所投产品成本之和占本采购包提供的全部产品成本之和的比例，确保在苏采云系统分项报价表中体现出来。</w:t>
      </w:r>
      <w:r>
        <w:rPr>
          <w:rFonts w:ascii="Times New Roman" w:hAnsi="Times New Roman" w:eastAsia="Times New Roman" w:cs="Times New Roman"/>
          <w:sz w:val="24"/>
        </w:rPr>
      </w:r>
      <w:r/>
    </w:p>
    <w:p>
      <w:pPr>
        <w:numPr>
          <w:ilvl w:val="0"/>
          <w:numId w:val="0"/>
        </w:numPr>
        <w:ind w:firstLine="480"/>
        <w:spacing w:line="360" w:lineRule="auto"/>
        <w:rPr>
          <w:rFonts w:hint="eastAsia" w:ascii="宋体" w:hAnsi="宋体"/>
          <w:color w:val="auto"/>
          <w:sz w:val="24"/>
          <w:szCs w:val="24"/>
          <w:highlight w:val="none"/>
        </w:rPr>
        <w:outlineLvl w:val="9"/>
      </w:pPr>
      <w:r>
        <w:rPr>
          <w:rFonts w:hint="eastAsia" w:ascii="宋体" w:hAnsi="宋体"/>
          <w:color w:val="auto"/>
          <w:szCs w:val="24"/>
          <w:highlight w:val="none"/>
        </w:rPr>
        <w:t xml:space="preserve">注：</w:t>
      </w:r>
      <w:r>
        <w:rPr>
          <w:rFonts w:hint="eastAsia" w:ascii="宋体" w:hAnsi="宋体"/>
          <w:color w:val="auto"/>
          <w:szCs w:val="24"/>
          <w:highlight w:val="none"/>
          <w:lang w:val="en-US" w:eastAsia="zh-CN"/>
        </w:rPr>
        <w:t xml:space="preserve">1、</w:t>
      </w:r>
      <w:r>
        <w:rPr>
          <w:rFonts w:hint="eastAsia" w:ascii="宋体" w:hAnsi="宋体"/>
          <w:color w:val="auto"/>
          <w:sz w:val="24"/>
          <w:szCs w:val="24"/>
          <w:highlight w:val="none"/>
        </w:rPr>
        <w:t xml:space="preserve">投标报价</w:t>
      </w:r>
      <w:r>
        <w:rPr>
          <w:rFonts w:hint="eastAsia" w:ascii="宋体" w:hAnsi="宋体"/>
          <w:color w:val="auto"/>
          <w:sz w:val="24"/>
          <w:szCs w:val="21"/>
          <w:highlight w:val="none"/>
        </w:rPr>
        <w:t xml:space="preserve">采用总承包方式，“投标总报价”应包括</w:t>
      </w:r>
      <w:r>
        <w:rPr>
          <w:rFonts w:hint="eastAsia" w:ascii="宋体" w:hAnsi="宋体" w:eastAsia="宋体" w:cs="宋体"/>
          <w:color w:val="auto"/>
          <w:sz w:val="24"/>
          <w:szCs w:val="24"/>
          <w:highlight w:val="none"/>
          <w:lang w:val="zh-CN" w:eastAsia="zh-CN" w:bidi="ar-SA"/>
        </w:rPr>
        <w:t xml:space="preserve">包括但不限于本合同所涉全部设备、</w:t>
      </w:r>
      <w:r>
        <w:rPr>
          <w:rFonts w:hint="eastAsia" w:ascii="宋体" w:hAnsi="宋体" w:eastAsia="宋体" w:cs="宋体"/>
          <w:color w:val="auto"/>
          <w:szCs w:val="21"/>
          <w:highlight w:val="none"/>
          <w:lang w:val="en-US" w:eastAsia="zh-CN"/>
        </w:rPr>
        <w:t xml:space="preserve">软件系统、</w:t>
      </w:r>
      <w:r>
        <w:rPr>
          <w:rFonts w:hint="eastAsia" w:ascii="宋体" w:hAnsi="宋体" w:eastAsia="宋体" w:cs="宋体"/>
          <w:color w:val="auto"/>
          <w:sz w:val="24"/>
          <w:szCs w:val="24"/>
          <w:highlight w:val="none"/>
          <w:lang w:val="zh-CN" w:eastAsia="zh-CN" w:bidi="ar-SA"/>
        </w:rPr>
        <w:t xml:space="preserve">辅助材料、安装、调试、</w:t>
      </w:r>
      <w:r>
        <w:rPr>
          <w:rFonts w:hint="eastAsia" w:ascii="宋体" w:hAnsi="宋体" w:eastAsia="宋体" w:cs="宋体"/>
          <w:color w:val="auto"/>
          <w:sz w:val="24"/>
          <w:szCs w:val="24"/>
          <w:highlight w:val="none"/>
          <w:lang w:val="en-US" w:eastAsia="zh-CN" w:bidi="ar-SA"/>
        </w:rPr>
        <w:t xml:space="preserve">技术支持与</w:t>
      </w:r>
      <w:r>
        <w:rPr>
          <w:rFonts w:hint="eastAsia" w:ascii="宋体" w:hAnsi="宋体" w:eastAsia="宋体" w:cs="宋体"/>
          <w:color w:val="auto"/>
          <w:sz w:val="24"/>
          <w:szCs w:val="24"/>
          <w:highlight w:val="none"/>
          <w:lang w:val="zh-CN" w:eastAsia="zh-CN" w:bidi="ar-SA"/>
        </w:rPr>
        <w:t xml:space="preserve">培训、验收、人工、机械、运输、仓储、保险、运费、各种税费、劳保、与现有/后期设备对接费、</w:t>
      </w:r>
      <w:r>
        <w:rPr>
          <w:rFonts w:hint="eastAsia" w:ascii="宋体" w:hAnsi="宋体" w:eastAsia="宋体" w:cs="宋体"/>
          <w:color w:val="auto"/>
          <w:sz w:val="24"/>
          <w:szCs w:val="24"/>
          <w:highlight w:val="none"/>
          <w:lang w:val="en-US" w:eastAsia="zh-CN" w:bidi="ar-SA"/>
        </w:rPr>
        <w:t xml:space="preserve">代理服务费、国际（如果有）国内运输保险、报关清关（如果有）、开证（如果有）、办理全套免税手续费用（如果有）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专利技术及质保期间等一切费用</w:t>
      </w:r>
      <w:r>
        <w:rPr>
          <w:rFonts w:hint="eastAsia" w:ascii="宋体" w:hAnsi="宋体"/>
          <w:color w:val="auto"/>
          <w:sz w:val="24"/>
          <w:szCs w:val="21"/>
          <w:highlight w:val="none"/>
        </w:rPr>
        <w:t xml:space="preserve">，招标文件中另有规定的除外。“投标总报价”数额为各“分项总价”之和。</w:t>
      </w:r>
      <w:r/>
    </w:p>
    <w:p>
      <w:pPr>
        <w:numPr>
          <w:ilvl w:val="-1"/>
          <w:numId w:val="0"/>
        </w:numPr>
        <w:ind w:firstLine="480"/>
        <w:jc w:val="left"/>
        <w:spacing w:line="360" w:lineRule="auto"/>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numPr>
          <w:ilvl w:val="0"/>
          <w:numId w:val="0"/>
        </w:numPr>
        <w:ind w:firstLine="480"/>
        <w:jc w:val="left"/>
        <w:spacing w:line="360" w:lineRule="auto"/>
        <w:rPr>
          <w:rFonts w:hint="eastAsia" w:ascii="宋体" w:hAnsi="宋体" w:eastAsia="宋体" w:cs="Times New Roman"/>
          <w:bCs/>
          <w:color w:val="auto"/>
          <w:sz w:val="24"/>
          <w:szCs w:val="24"/>
          <w:highlight w:val="none"/>
        </w:rPr>
        <w:outlineLvl w:val="9"/>
      </w:pPr>
      <w:r>
        <w:rPr>
          <w:rFonts w:hint="eastAsia" w:ascii="宋体" w:hAnsi="宋体"/>
          <w:bCs/>
          <w:color w:val="auto"/>
          <w:szCs w:val="24"/>
          <w:highlight w:val="none"/>
          <w:lang w:val="en-US" w:eastAsia="zh-CN"/>
        </w:rPr>
        <w:t xml:space="preserve">3</w:t>
      </w:r>
      <w:r>
        <w:rPr>
          <w:rFonts w:hint="eastAsia" w:ascii="宋体" w:hAnsi="宋体"/>
          <w:bCs/>
          <w:color w:val="auto"/>
          <w:szCs w:val="24"/>
          <w:highlight w:val="none"/>
        </w:rPr>
        <w:t xml:space="preserve">、</w:t>
      </w:r>
      <w:r>
        <w:rPr>
          <w:rFonts w:hint="eastAsia" w:ascii="宋体" w:hAnsi="宋体"/>
          <w:color w:val="auto"/>
          <w:szCs w:val="24"/>
          <w:highlight w:val="none"/>
        </w:rPr>
        <w:t xml:space="preserve">“</w:t>
      </w:r>
      <w:r>
        <w:rPr>
          <w:rFonts w:hint="eastAsia" w:ascii="宋体" w:hAnsi="宋体"/>
          <w:bCs/>
          <w:color w:val="auto"/>
          <w:szCs w:val="24"/>
          <w:highlight w:val="none"/>
        </w:rPr>
        <w:t xml:space="preserve">投标报价明细表”各分项报价合计应当与“开标一览表”（</w:t>
      </w:r>
      <w:r>
        <w:rPr>
          <w:rFonts w:hint="eastAsia" w:ascii="宋体" w:hAnsi="宋体" w:cs="宋体"/>
          <w:color w:val="auto"/>
          <w:szCs w:val="24"/>
          <w:highlight w:val="none"/>
        </w:rPr>
        <w:t xml:space="preserve">投标总价</w:t>
      </w:r>
      <w:r>
        <w:rPr>
          <w:rFonts w:hint="eastAsia" w:ascii="宋体" w:hAnsi="宋体"/>
          <w:bCs/>
          <w:color w:val="auto"/>
          <w:szCs w:val="24"/>
          <w:highlight w:val="none"/>
        </w:rPr>
        <w:t xml:space="preserve">）相等，如不相等，投标总价以“开标一览表”为准。</w:t>
      </w:r>
      <w:r/>
    </w:p>
    <w:p>
      <w:pPr>
        <w:ind w:firstLine="482"/>
        <w:jc w:val="left"/>
        <w:spacing w:line="360" w:lineRule="auto"/>
        <w:rPr>
          <w:rFonts w:hint="eastAsia" w:ascii="宋体" w:hAnsi="宋体"/>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4</w:t>
      </w:r>
      <w:r>
        <w:rPr>
          <w:rFonts w:hint="eastAsia" w:ascii="宋体" w:hAnsi="宋体" w:eastAsia="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当</w:t>
      </w:r>
      <w:r>
        <w:rPr>
          <w:rFonts w:hint="eastAsia" w:ascii="宋体" w:hAnsi="宋体" w:eastAsia="宋体" w:cs="Times New Roman"/>
          <w:b/>
          <w:bCs w:val="0"/>
          <w:color w:val="auto"/>
          <w:sz w:val="24"/>
          <w:szCs w:val="24"/>
          <w:highlight w:val="none"/>
        </w:rPr>
        <w:t xml:space="preserve">采购</w:t>
      </w:r>
      <w:r>
        <w:rPr>
          <w:rFonts w:hint="eastAsia" w:ascii="宋体" w:hAnsi="宋体" w:cs="Times New Roman"/>
          <w:b/>
          <w:bCs w:val="0"/>
          <w:color w:val="auto"/>
          <w:sz w:val="24"/>
          <w:szCs w:val="24"/>
          <w:highlight w:val="none"/>
          <w:lang w:val="en-US" w:eastAsia="zh-CN"/>
        </w:rPr>
        <w:t xml:space="preserve">项目</w:t>
      </w:r>
      <w:r>
        <w:rPr>
          <w:rFonts w:hint="eastAsia" w:ascii="宋体" w:hAnsi="宋体" w:eastAsia="宋体" w:cs="Times New Roman"/>
          <w:b/>
          <w:bCs w:val="0"/>
          <w:color w:val="auto"/>
          <w:sz w:val="24"/>
          <w:szCs w:val="24"/>
          <w:highlight w:val="none"/>
        </w:rPr>
        <w:t xml:space="preserve">中含有多种产品时，供应商未填写本采购</w:t>
      </w:r>
      <w:r>
        <w:rPr>
          <w:rFonts w:hint="eastAsia" w:ascii="宋体" w:hAnsi="宋体" w:cs="Times New Roman"/>
          <w:b/>
          <w:bCs w:val="0"/>
          <w:color w:val="auto"/>
          <w:sz w:val="24"/>
          <w:szCs w:val="24"/>
          <w:highlight w:val="none"/>
          <w:lang w:val="en-US" w:eastAsia="zh-CN"/>
        </w:rPr>
        <w:t xml:space="preserve">项目</w:t>
      </w:r>
      <w:r>
        <w:rPr>
          <w:rFonts w:hint="eastAsia" w:ascii="宋体" w:hAnsi="宋体" w:eastAsia="宋体" w:cs="Times New Roman"/>
          <w:b/>
          <w:bCs w:val="0"/>
          <w:color w:val="auto"/>
          <w:sz w:val="24"/>
          <w:szCs w:val="24"/>
          <w:highlight w:val="none"/>
        </w:rPr>
        <w:t xml:space="preserve">中提供的实体设备符合本国产品标准的产品成本之和占该采购</w:t>
      </w:r>
      <w:r>
        <w:rPr>
          <w:rFonts w:hint="eastAsia" w:ascii="宋体" w:hAnsi="宋体" w:cs="Times New Roman"/>
          <w:b/>
          <w:bCs w:val="0"/>
          <w:color w:val="auto"/>
          <w:sz w:val="24"/>
          <w:szCs w:val="24"/>
          <w:highlight w:val="none"/>
          <w:lang w:val="en-US" w:eastAsia="zh-CN"/>
        </w:rPr>
        <w:t xml:space="preserve">项目</w:t>
      </w:r>
      <w:r>
        <w:rPr>
          <w:rFonts w:hint="eastAsia" w:ascii="宋体" w:hAnsi="宋体" w:eastAsia="宋体" w:cs="Times New Roman"/>
          <w:b/>
          <w:bCs w:val="0"/>
          <w:color w:val="auto"/>
          <w:sz w:val="24"/>
          <w:szCs w:val="24"/>
          <w:highlight w:val="none"/>
        </w:rPr>
        <w:t xml:space="preserve">提供的全部产品成本之和的比例数值的，或比例数值未达到80%的，将不享受本国产品价格评审优惠。</w:t>
      </w:r>
      <w:r/>
    </w:p>
    <w:p>
      <w:pPr>
        <w:pStyle w:val="1128"/>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5、</w:t>
      </w:r>
      <w:r>
        <w:rPr>
          <w:rFonts w:hint="eastAsia" w:hAnsi="宋体" w:eastAsia="宋体"/>
          <w:color w:val="auto"/>
          <w:sz w:val="24"/>
          <w:szCs w:val="24"/>
          <w:highlight w:val="none"/>
        </w:rPr>
        <w:t xml:space="preserve">投标人需认真填写本报价表，尤其注意规格型号的准确填写。</w:t>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spacing w:line="360" w:lineRule="auto"/>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宋体" w:hAnsi="宋体" w:eastAsia="宋体" w:cs="宋体"/>
          <w:color w:val="auto"/>
          <w:szCs w:val="24"/>
          <w:highlight w:val="none"/>
        </w:rPr>
        <w:t xml:space="preserve">产品配置清单表</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产品配置清单表</w:t>
      </w:r>
      <w:r/>
    </w:p>
    <w:p>
      <w:pPr>
        <w:pStyle w:val="1124"/>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招标编号：</w:t>
      </w:r>
      <w:r/>
    </w:p>
    <w:tbl>
      <w:tblPr>
        <w:tblStyle w:val="1092"/>
        <w:tblW w:w="480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426"/>
        <w:gridCol w:w="1775"/>
        <w:gridCol w:w="1649"/>
        <w:gridCol w:w="1024"/>
        <w:gridCol w:w="894"/>
        <w:gridCol w:w="1023"/>
      </w:tblGrid>
      <w:tr>
        <w:trPr>
          <w:jc w:val="center"/>
          <w:trHeight w:val="1153" w:hRule="exact"/>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品牌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生产厂家（产地）</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规格</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128"/>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128"/>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93"/>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10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p>
    <w:tbl>
      <w:tblPr>
        <w:tblStyle w:val="1092"/>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101"/>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10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101"/>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128"/>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128"/>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93"/>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93"/>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技术要求响应及偏离表</w:t>
      </w:r>
      <w:r/>
    </w:p>
    <w:tbl>
      <w:tblPr>
        <w:tblStyle w:val="11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2842"/>
        <w:gridCol w:w="2435"/>
        <w:gridCol w:w="1353"/>
        <w:gridCol w:w="12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before="0" w:after="0" w:line="57" w:lineRule="atLeast"/>
            </w:p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tbl>
      <w:tblPr>
        <w:tblStyle w:val="11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2572"/>
        <w:gridCol w:w="2474"/>
        <w:gridCol w:w="1476"/>
        <w:gridCol w:w="13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spacing w:before="0" w:after="0" w:line="57" w:lineRule="atLeast"/>
            </w:p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注：1.投标人的投标文件与招标文件的要求有偏离的须逐项对应列出，并在“超出、符合或偏离”项下填写以下内容：优于的，填写“超出”；低于的，填写“偏离”。</w:t>
      </w:r>
      <w:r>
        <w:rPr>
          <w:sz w:val="24"/>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填写“符合”或未在上表中说明的，如在投标文件其他内容中已有文字说明的，则以已有文字说明为准，否则，将被认为完全响应招标文件的规定。但该表不作为投标人对所投标项目关于技术、服务、商务等详细描述和说明的替代。</w:t>
      </w:r>
      <w:r>
        <w:rPr>
          <w:sz w:val="24"/>
        </w:rPr>
      </w:r>
      <w:r/>
    </w:p>
    <w:p>
      <w:pPr>
        <w:pStyle w:val="1093"/>
        <w:ind w:left="0"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r>
      <w:r>
        <w:rPr>
          <w:rFonts w:ascii="SimSun" w:hAnsi="SimSun" w:eastAsia="SimSun" w:cs="SimSun"/>
          <w:color w:val="000000"/>
          <w:sz w:val="24"/>
        </w:rPr>
        <w:t xml:space="preserve">3.若事项较多</w:t>
      </w:r>
      <w:r>
        <w:rPr>
          <w:rFonts w:ascii="SimSun" w:hAnsi="SimSun" w:eastAsia="SimSun" w:cs="SimSun"/>
          <w:color w:val="000000"/>
          <w:sz w:val="24"/>
        </w:rPr>
        <w:t xml:space="preserve">，</w:t>
      </w:r>
      <w:r>
        <w:rPr>
          <w:rFonts w:ascii="SimSun" w:hAnsi="SimSun" w:eastAsia="SimSun" w:cs="SimSun"/>
          <w:color w:val="000000"/>
          <w:sz w:val="24"/>
        </w:rPr>
        <w:t xml:space="preserve">投标人可根据响应内容的实际情况另纸说明。</w:t>
      </w:r>
      <w:r>
        <w:rPr>
          <w:rFonts w:hint="eastAsia" w:asciiTheme="minorEastAsia" w:hAnsiTheme="minorEastAsia" w:eastAsiaTheme="minorEastAsia" w:cstheme="minorEastAsia"/>
          <w:color w:val="auto"/>
          <w:szCs w:val="24"/>
          <w:highlight w:val="none"/>
        </w:rPr>
        <w:br w:type="page" w:clear="all"/>
      </w:r>
      <w:r/>
    </w:p>
    <w:p>
      <w:pPr>
        <w:pStyle w:val="1093"/>
        <w:ind w:left="0" w:firstLine="0"/>
        <w:rPr>
          <w:rFonts w:hint="eastAsia" w:ascii="宋体" w:hAnsi="宋体"/>
          <w:color w:val="auto"/>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宋体" w:hAnsi="宋体"/>
          <w:bCs/>
          <w:color w:val="auto"/>
          <w:szCs w:val="24"/>
          <w:highlight w:val="none"/>
        </w:rPr>
        <w:t xml:space="preserve">售后服务承诺书</w:t>
      </w:r>
      <w:r/>
    </w:p>
    <w:p>
      <w:pPr>
        <w:ind w:firstLine="480"/>
        <w:jc w:val="center"/>
        <w:spacing w:before="25" w:after="25" w:line="360" w:lineRule="auto"/>
        <w:rPr>
          <w:rFonts w:hint="eastAsia" w:ascii="宋体" w:hAnsi="宋体"/>
          <w:bCs/>
          <w:color w:val="auto"/>
          <w:szCs w:val="24"/>
          <w:highlight w:val="none"/>
        </w:rPr>
      </w:pPr>
      <w:r>
        <w:rPr>
          <w:rFonts w:hint="eastAsia" w:ascii="宋体" w:hAnsi="宋体"/>
          <w:bCs/>
          <w:color w:val="auto"/>
          <w:szCs w:val="24"/>
          <w:highlight w:val="none"/>
        </w:rPr>
        <w:t xml:space="preserve">售后服务承诺书</w:t>
      </w:r>
      <w:r/>
    </w:p>
    <w:tbl>
      <w:tblPr>
        <w:tblStyle w:val="1092"/>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455"/>
      </w:tblGrid>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序号</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售后服务内容</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期限（时间）</w:t>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备注</w:t>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1</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免费质保期</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2</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服务响应</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3</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到达现场</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4</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解决问题</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bl>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注：1、针对服务内容有必须说明的事项，请在“备注”栏目内注明；</w:t>
      </w:r>
      <w:r/>
    </w:p>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2、如有其它售后服务内容，自行填写。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93"/>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93"/>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93"/>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93"/>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p>
    <w:p>
      <w:pPr>
        <w:pStyle w:val="1093"/>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单位名称</w:t>
      </w:r>
      <w:r>
        <w:rPr>
          <w:rFonts w:hint="eastAsia" w:asciiTheme="minorEastAsia" w:hAnsiTheme="minorEastAsia" w:eastAsiaTheme="minorEastAsia" w:cstheme="minorEastAsia"/>
          <w:color w:val="auto"/>
          <w:szCs w:val="24"/>
          <w:highlight w:val="none"/>
          <w:lang w:eastAsia="zh-CN"/>
        </w:rPr>
        <w:t xml:space="preserve">：</w:t>
      </w:r>
      <w:r/>
    </w:p>
    <w:tbl>
      <w:tblPr>
        <w:tblStyle w:val="1092"/>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93"/>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93"/>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93"/>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93"/>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93"/>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93"/>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93"/>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93"/>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93"/>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93"/>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93"/>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u w:val="none"/>
          <w:lang w:val="en-US" w:eastAsia="zh-CN"/>
        </w:rPr>
        <w:t xml:space="preserve">10</w:t>
      </w:r>
      <w:r>
        <w:rPr>
          <w:rFonts w:hint="eastAsia" w:asciiTheme="minorEastAsia" w:hAnsiTheme="minorEastAsia" w:eastAsiaTheme="minorEastAsia" w:cstheme="minorEastAsia"/>
          <w:color w:val="auto"/>
          <w:szCs w:val="24"/>
          <w:highlight w:val="none"/>
          <w:u w:val="none"/>
        </w:rPr>
        <w:t xml:space="preserve">、</w:t>
      </w:r>
      <w:r>
        <w:rPr>
          <w:rFonts w:hint="eastAsia" w:asciiTheme="minorEastAsia" w:hAnsiTheme="minorEastAsia" w:eastAsiaTheme="minorEastAsia" w:cstheme="minorEastAsia"/>
          <w:bCs/>
          <w:color w:val="auto"/>
          <w:szCs w:val="24"/>
          <w:highlight w:val="none"/>
          <w:u w:val="none"/>
        </w:rPr>
        <w:t xml:space="preserve">投</w:t>
      </w:r>
      <w:r>
        <w:rPr>
          <w:rFonts w:hint="eastAsia" w:asciiTheme="minorEastAsia" w:hAnsiTheme="minorEastAsia" w:eastAsiaTheme="minorEastAsia" w:cstheme="minorEastAsia"/>
          <w:bCs/>
          <w:color w:val="auto"/>
          <w:szCs w:val="24"/>
          <w:highlight w:val="none"/>
        </w:rPr>
        <w:t xml:space="preserve">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92"/>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11</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中小企业声明函（货物）</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ascii="宋体" w:hAnsi="宋体" w:eastAsia="宋体" w:cstheme="minorEastAsia"/>
          <w:bCs/>
          <w:color w:val="auto"/>
          <w:sz w:val="24"/>
          <w:szCs w:val="24"/>
          <w:highlight w:val="none"/>
        </w:rPr>
      </w:r>
      <w:r/>
    </w:p>
    <w:p>
      <w:pPr>
        <w:pStyle w:val="1121"/>
        <w:ind w:firstLine="480"/>
        <w:keepLines w:val="0"/>
        <w:keepNext w:val="0"/>
        <w:pageBreakBefore w:val="0"/>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本公司（联合体）郑重声明，根据《政府采购促进中小企业发展管理办法》（财库〔</w:t>
      </w:r>
      <w:r>
        <w:rPr>
          <w:rFonts w:hint="eastAsia" w:ascii="宋体" w:hAnsi="宋体" w:eastAsia="宋体" w:cs="宋体"/>
          <w:color w:val="auto"/>
          <w:sz w:val="24"/>
          <w:szCs w:val="24"/>
          <w:highlight w:val="none"/>
          <w:lang w:val="en-US"/>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46号）的规定，本公司（联合体）参加</w:t>
      </w:r>
      <w:r>
        <w:rPr>
          <w:rFonts w:hint="eastAsia" w:ascii="宋体" w:hAnsi="宋体" w:eastAsia="宋体" w:cs="宋体"/>
          <w:color w:val="auto"/>
          <w:sz w:val="24"/>
          <w:szCs w:val="24"/>
          <w:highlight w:val="none"/>
          <w:u w:val="single"/>
          <w:lang w:val="en-US"/>
        </w:rPr>
        <w:t xml:space="preserve">   （单位名称）   </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u w:val="single"/>
          <w:lang w:val="en-US"/>
        </w:rPr>
        <w:t xml:space="preserve">   （项目名称）   </w:t>
      </w:r>
      <w:r>
        <w:rPr>
          <w:rFonts w:hint="eastAsia" w:ascii="宋体" w:hAnsi="宋体" w:eastAsia="宋体" w:cs="宋体"/>
          <w:color w:val="auto"/>
          <w:sz w:val="24"/>
          <w:szCs w:val="24"/>
          <w:highlight w:val="none"/>
          <w:lang w:val="en-US"/>
        </w:rPr>
        <w:t xml:space="preserve">采购活动，提供的货物全部由符合政策要求的中小企业制造。相关企业（含联合体中的中小企业，签订分包意向协议的中小企业）的具体情况如下：</w:t>
      </w:r>
      <w:r/>
    </w:p>
    <w:p>
      <w:pPr>
        <w:pStyle w:val="1121"/>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w:t>
      </w:r>
      <w:r>
        <w:rPr>
          <w:rFonts w:hint="eastAsia" w:ascii="宋体" w:hAnsi="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lang w:val="en-US"/>
        </w:rPr>
        <w:t xml:space="preserve">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万元¹</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121"/>
        <w:ind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w:t>
      </w:r>
      <w:r>
        <w:rPr>
          <w:rFonts w:hint="eastAsia" w:ascii="宋体" w:hAnsi="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lang w:val="en-US"/>
        </w:rPr>
        <w:t xml:space="preserve">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本企业对上述声明内容的真实性负责。如有虚假，将依法承担相应责任。</w:t>
      </w:r>
      <w:r/>
    </w:p>
    <w:p>
      <w:pPr>
        <w:pStyle w:val="1121"/>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pStyle w:val="1121"/>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企业名称（盖章）：</w:t>
      </w:r>
      <w:r/>
    </w:p>
    <w:p>
      <w:pPr>
        <w:pStyle w:val="1121"/>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w:t>
      </w:r>
      <w:r/>
    </w:p>
    <w:p>
      <w:pPr>
        <w:pStyle w:val="1121"/>
        <w:keepLines w:val="0"/>
        <w:keepNext w:val="0"/>
        <w:pageBreakBefore w:val="0"/>
        <w:spacing w:line="360" w:lineRule="auto"/>
        <w:widowControl w:val="off"/>
        <w:rPr>
          <w:rFonts w:hint="eastAsia" w:eastAsia="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b/>
          <w:color w:val="auto"/>
          <w:highlight w:val="none"/>
          <w:lang w:val="zh-CN"/>
        </w:rPr>
      </w:pPr>
      <w:r>
        <w:rPr>
          <w:rFonts w:hint="eastAsia" w:ascii="宋体" w:hAnsi="宋体" w:eastAsia="宋体" w:cs="宋体"/>
          <w:color w:val="auto"/>
          <w:szCs w:val="24"/>
          <w:highlight w:val="none"/>
          <w:lang w:val="zh-CN"/>
        </w:rPr>
        <w:t xml:space="preserve">日期：    年   月   日</w:t>
      </w:r>
      <w:r/>
    </w:p>
    <w:p>
      <w:pPr>
        <w:pStyle w:val="1112"/>
        <w:ind w:left="0" w:firstLine="482"/>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lang w:val="zh-CN"/>
        </w:rPr>
        <w:t xml:space="preserve">备注：1.</w:t>
      </w:r>
      <w:r>
        <w:rPr>
          <w:rFonts w:hint="eastAsia" w:ascii="宋体" w:hAnsi="宋体" w:eastAsia="宋体" w:cs="宋体"/>
          <w:b/>
          <w:color w:val="auto"/>
          <w:sz w:val="24"/>
          <w:highlight w:val="none"/>
          <w:shd w:val="clear" w:color="auto" w:fill="ffffff"/>
        </w:rPr>
        <w:t xml:space="preserve">享受政府采购支持政策的残疾人福利性单位应当同时满足以下条件：</w:t>
      </w:r>
      <w:r/>
    </w:p>
    <w:p>
      <w:pPr>
        <w:pStyle w:val="1112"/>
        <w:ind w:left="0"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1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安置的残疾人占本单位在职职工人数的比例不低于25%（含25%），并且安置的残疾人人数不少于10人（含10人）；</w:t>
      </w:r>
      <w:r/>
    </w:p>
    <w:p>
      <w:pPr>
        <w:pStyle w:val="1112"/>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2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②</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依法与安置的每位残疾人签订了一年以上（含一年）的劳动合同或服务协议；</w:t>
      </w:r>
      <w:r/>
    </w:p>
    <w:p>
      <w:pPr>
        <w:pStyle w:val="1112"/>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3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③</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为安置的每位残疾人按月足额缴纳了基本养老保险、基本医疗保险、失业保险、工伤保险和生育保险等社会保险费；</w:t>
      </w:r>
      <w:r/>
    </w:p>
    <w:p>
      <w:pPr>
        <w:pStyle w:val="1112"/>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4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④</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112"/>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5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⑤</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12"/>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12"/>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lang w:val="zh-CN"/>
        </w:rPr>
        <w:t xml:space="preserve">为残疾人福利性单位的，《残疾人福利性单位声明函》将随中标结果同时公告。</w:t>
      </w:r>
      <w:r/>
    </w:p>
    <w:p>
      <w:pPr>
        <w:pStyle w:val="1112"/>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3.供应商提供的《残疾人福利性单位声明函》与事实不符的，依照《政府采购法》第七十七条第一款的规定追究法律责任。</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159"/>
        <w:ind w:left="0" w:firstLine="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关于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报价合理性的澄清说明</w:t>
      </w:r>
      <w:r/>
    </w:p>
    <w:p>
      <w:pPr>
        <w:pStyle w:val="1096"/>
        <w:ind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96"/>
        <w:ind w:firstLine="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关于投标报价合理性的澄清说明</w:t>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江苏纵驰工程管理有限公司</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报价合理性作出说明如下：</w:t>
      </w:r>
      <w:r/>
    </w:p>
    <w:tbl>
      <w:tblPr>
        <w:tblStyle w:val="109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4"/>
                <w:szCs w:val="24"/>
                <w:highlight w:val="none"/>
                <w:shd w:val="pct10" w:color="auto" w:fill="ffffff"/>
              </w:rPr>
              <w:suppressLineNumbers w:val="0"/>
            </w:pP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应当根据实际情况自拟答复并根据</w:t>
            </w:r>
            <w:r>
              <w:rPr>
                <w:rFonts w:hint="eastAsia" w:ascii="宋体" w:hAnsi="宋体" w:eastAsia="宋体" w:cs="宋体"/>
                <w:b/>
                <w:color w:val="auto"/>
                <w:sz w:val="24"/>
                <w:szCs w:val="24"/>
                <w:highlight w:val="none"/>
                <w:lang w:val="en-US" w:eastAsia="zh-CN"/>
              </w:rPr>
              <w:t xml:space="preserve">评</w:t>
            </w:r>
            <w:r>
              <w:rPr>
                <w:rFonts w:hint="eastAsia" w:ascii="宋体" w:hAnsi="宋体" w:cs="宋体"/>
                <w:b/>
                <w:color w:val="auto"/>
                <w:sz w:val="24"/>
                <w:szCs w:val="24"/>
                <w:highlight w:val="none"/>
                <w:lang w:val="en-US" w:eastAsia="zh-CN"/>
              </w:rPr>
              <w:t xml:space="preserve">审</w:t>
            </w:r>
            <w:r>
              <w:rPr>
                <w:rFonts w:hint="eastAsia" w:ascii="宋体" w:hAnsi="宋体" w:eastAsia="宋体" w:cs="宋体"/>
                <w:b/>
                <w:color w:val="auto"/>
                <w:sz w:val="24"/>
                <w:szCs w:val="24"/>
                <w:highlight w:val="none"/>
                <w:lang w:val="en-US" w:eastAsia="zh-CN"/>
              </w:rPr>
              <w:t xml:space="preserve">委员会</w:t>
            </w:r>
            <w:r>
              <w:rPr>
                <w:rFonts w:hint="eastAsia" w:ascii="宋体" w:hAnsi="宋体" w:eastAsia="宋体" w:cs="宋体"/>
                <w:b/>
                <w:color w:val="auto"/>
                <w:sz w:val="24"/>
                <w:szCs w:val="24"/>
                <w:highlight w:val="none"/>
              </w:rPr>
              <w:t xml:space="preserve">关于澄清的要求提供相关证明材料作为附件。</w:t>
            </w:r>
            <w:r/>
          </w:p>
        </w:tc>
      </w:tr>
    </w:tbl>
    <w:p>
      <w:pPr>
        <w:pStyle w:val="1093"/>
        <w:ind w:left="0" w:firstLine="482"/>
        <w:keepLines w:val="0"/>
        <w:keepNext w:val="0"/>
        <w:pageBreakBefore w:val="0"/>
        <w:spacing w:before="191"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文件第二章“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须知”要求，</w:t>
      </w:r>
      <w:r>
        <w:rPr>
          <w:rFonts w:hint="eastAsia" w:ascii="宋体" w:hAnsi="宋体" w:cs="宋体"/>
          <w:b/>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rPr>
        <w:t xml:space="preserve">认为投标人的报价符合异常低价投标（响应）审查的情形时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应当要求相关投标人在评审现场合理的时间内对投标（响应）价格作出解释，提供项目具体成本测算等与报价合理性相关的书面说明及相关证明材料</w:t>
      </w:r>
      <w:r>
        <w:rPr>
          <w:rFonts w:hint="eastAsia" w:ascii="宋体" w:hAnsi="宋体" w:cs="宋体"/>
          <w:b/>
          <w:bCs/>
          <w:color w:val="auto"/>
          <w:sz w:val="24"/>
          <w:szCs w:val="24"/>
          <w:highlight w:val="none"/>
          <w:lang w:val="en-US" w:eastAsia="zh-CN" w:bidi="ar-SA"/>
        </w:rPr>
        <w:t xml:space="preserve">（包括但不限于原材料成本、人工成本、制造</w:t>
      </w:r>
      <w:r>
        <w:rPr>
          <w:rFonts w:hint="eastAsia" w:ascii="宋体" w:hAnsi="宋体" w:eastAsia="宋体" w:cs="宋体"/>
          <w:b/>
          <w:bCs/>
          <w:color w:val="auto"/>
          <w:sz w:val="24"/>
          <w:szCs w:val="24"/>
          <w:highlight w:val="none"/>
          <w:lang w:val="en-US" w:eastAsia="zh-CN" w:bidi="ar-SA"/>
        </w:rPr>
        <w:t xml:space="preserve">费用等），对投标（响应）价格作出解释</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应当将其作为无效投标（响应）处理。</w:t>
      </w:r>
      <w:r/>
    </w:p>
    <w:p>
      <w:pPr>
        <w:pStyle w:val="1093"/>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93"/>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jc w:val="lef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br w:type="page" w:clear="all"/>
      </w:r>
      <w:r/>
    </w:p>
    <w:p>
      <w:pPr>
        <w:jc w:val="both"/>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1</w:t>
      </w:r>
      <w:r>
        <w:rPr>
          <w:rFonts w:hint="eastAsia" w:ascii="方正魏碑_GBK" w:hAnsi="方正魏碑_GBK" w:eastAsia="方正魏碑_GBK" w:cs="方正魏碑_GBK"/>
          <w:b w:val="0"/>
          <w:bCs/>
          <w:color w:val="auto"/>
          <w:sz w:val="24"/>
          <w:szCs w:val="24"/>
          <w:highlight w:val="none"/>
          <w:lang w:val="en-US" w:eastAsia="zh-CN"/>
        </w:rPr>
        <w:t xml:space="preserve">4、</w:t>
      </w: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10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109"/>
        <w:ind w:firstLine="420"/>
        <w:jc w:val="center"/>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109"/>
        <w:ind w:firstLine="420"/>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r>
      <w:r/>
    </w:p>
    <w:p>
      <w:pPr>
        <w:pStyle w:val="1109"/>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9"/>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4738370</wp:posOffset>
                </wp:positionH>
                <wp:positionV relativeFrom="paragraph">
                  <wp:posOffset>86995</wp:posOffset>
                </wp:positionV>
                <wp:extent cx="577215" cy="92075"/>
                <wp:effectExtent l="635" t="4445" r="12700" b="17780"/>
                <wp:wrapNone/>
                <wp:docPr id="10" name="直接箭头连接符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3.1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3090545</wp:posOffset>
                </wp:positionH>
                <wp:positionV relativeFrom="paragraph">
                  <wp:posOffset>264795</wp:posOffset>
                </wp:positionV>
                <wp:extent cx="611505" cy="123825"/>
                <wp:effectExtent l="635" t="4445" r="16510" b="5080"/>
                <wp:wrapNone/>
                <wp:docPr id="11" name="直接箭头连接符 34"/>
                <wp:cNvGraphicFramePr/>
                <a:graphic xmlns:a="http://schemas.openxmlformats.org/drawingml/2006/main">
                  <a:graphicData uri="http://schemas.microsoft.com/office/word/2010/wordprocessingShape">
                    <wps:wsp>
                      <wps:cNvPr id="0" name=""/>
                      <wps:cNvSpPr/>
                      <wps:spPr bwMode="auto">
                        <a:xfrm flipV="1">
                          <a:off x="0" y="0"/>
                          <a:ext cx="611504"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43.3pt;mso-position-horizontal:absolute;mso-position-vertical-relative:text;margin-top:20.8pt;mso-position-vertical:absolute;width:48.1pt;height:9.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205105</wp:posOffset>
                </wp:positionH>
                <wp:positionV relativeFrom="paragraph">
                  <wp:posOffset>463550</wp:posOffset>
                </wp:positionV>
                <wp:extent cx="565785" cy="130810"/>
                <wp:effectExtent l="1270" t="4445" r="4445" b="17145"/>
                <wp:wrapNone/>
                <wp:docPr id="12"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16.1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1356360</wp:posOffset>
                </wp:positionH>
                <wp:positionV relativeFrom="paragraph">
                  <wp:posOffset>463550</wp:posOffset>
                </wp:positionV>
                <wp:extent cx="582930" cy="86995"/>
                <wp:effectExtent l="635" t="4445" r="6985" b="22860"/>
                <wp:wrapNone/>
                <wp:docPr id="13" name="直接箭头连接符 31"/>
                <wp:cNvGraphicFramePr/>
                <a:graphic xmlns:a="http://schemas.openxmlformats.org/drawingml/2006/main">
                  <a:graphicData uri="http://schemas.microsoft.com/office/word/2010/wordprocessingShape">
                    <wps:wsp>
                      <wps:cNvPr id="0" name=""/>
                      <wps:cNvSpPr/>
                      <wps:spPr bwMode="auto">
                        <a:xfrm flipV="1">
                          <a:off x="0" y="0"/>
                          <a:ext cx="582930"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106.8pt;mso-position-horizontal:absolute;mso-position-vertical-relative:text;margin-top:36.5pt;mso-position-vertical:absolute;width:45.9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4098290</wp:posOffset>
                </wp:positionH>
                <wp:positionV relativeFrom="paragraph">
                  <wp:posOffset>288290</wp:posOffset>
                </wp:positionV>
                <wp:extent cx="816610" cy="103505"/>
                <wp:effectExtent l="635" t="4445" r="1905" b="6350"/>
                <wp:wrapNone/>
                <wp:docPr id="14"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322.7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2092960</wp:posOffset>
                </wp:positionH>
                <wp:positionV relativeFrom="paragraph">
                  <wp:posOffset>270510</wp:posOffset>
                </wp:positionV>
                <wp:extent cx="364490" cy="97790"/>
                <wp:effectExtent l="1270" t="4445" r="15240" b="12065"/>
                <wp:wrapNone/>
                <wp:docPr id="15" name="直接箭头连接符 3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164.8pt;mso-position-horizontal:absolute;mso-position-vertical-relative:text;margin-top:21.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116"/>
          <w:rFonts w:hint="eastAsia" w:ascii="方正魏碑_GBK" w:hAnsi="方正魏碑_GBK" w:eastAsia="方正魏碑_GBK" w:cs="方正魏碑_GBK"/>
          <w:i w:val="0"/>
          <w:color w:val="auto"/>
          <w:highlight w:val="none"/>
          <w:u w:val="single"/>
          <w:shd w:val="clear" w:color="auto" w:fill="ffffff"/>
        </w:rPr>
        <w:t xml:space="preserve">（产品名称1）</w:t>
      </w:r>
      <w:r>
        <w:rPr>
          <w:rStyle w:val="111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116"/>
          <w:rFonts w:hint="eastAsia" w:ascii="方正魏碑_GBK" w:hAnsi="方正魏碑_GBK" w:eastAsia="方正魏碑_GBK" w:cs="方正魏碑_GBK"/>
          <w:i w:val="0"/>
          <w:color w:val="auto"/>
          <w:highlight w:val="none"/>
          <w:u w:val="single"/>
          <w:shd w:val="clear" w:color="auto" w:fill="ffffff"/>
        </w:rPr>
        <w:t xml:space="preserve">（厂名）</w:t>
      </w:r>
      <w:r>
        <w:rPr>
          <w:rStyle w:val="111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11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116"/>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16"/>
          <w:rFonts w:hint="eastAsia" w:ascii="方正魏碑_GBK" w:hAnsi="方正魏碑_GBK" w:eastAsia="方正魏碑_GBK" w:cs="方正魏碑_GBK"/>
          <w:i w:val="0"/>
          <w:color w:val="auto"/>
          <w:highlight w:val="none"/>
          <w:u w:val="single"/>
          <w:shd w:val="clear" w:color="auto" w:fill="ffffff"/>
        </w:rPr>
        <w:t xml:space="preserve">（规定</w:t>
      </w:r>
      <w:r>
        <w:rPr>
          <w:rStyle w:val="1116"/>
          <w:rFonts w:ascii="方正魏碑_GBK" w:hAnsi="方正魏碑_GBK" w:eastAsia="方正魏碑_GBK" w:cs="方正魏碑_GBK"/>
          <w:i w:val="0"/>
          <w:color w:val="auto"/>
          <w:highlight w:val="none"/>
          <w:u w:val="single"/>
          <w:shd w:val="clear" w:color="auto" w:fill="ffffff"/>
        </w:rPr>
        <w:t xml:space="preserve">比例</w:t>
      </w:r>
      <w:r>
        <w:rPr>
          <w:rStyle w:val="1116"/>
          <w:rFonts w:hint="eastAsia" w:ascii="方正魏碑_GBK" w:hAnsi="方正魏碑_GBK" w:eastAsia="方正魏碑_GBK" w:cs="方正魏碑_GBK"/>
          <w:i w:val="0"/>
          <w:color w:val="auto"/>
          <w:highlight w:val="none"/>
          <w:u w:val="single"/>
          <w:shd w:val="clear" w:color="auto" w:fill="ffffff"/>
        </w:rPr>
        <w:t xml:space="preserve">）</w:t>
      </w:r>
      <w:r>
        <w:rPr>
          <w:rStyle w:val="111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11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16"/>
          <w:rFonts w:hint="eastAsia" w:ascii="方正魏碑_GBK" w:hAnsi="方正魏碑_GBK" w:eastAsia="方正魏碑_GBK" w:cs="方正魏碑_GBK"/>
          <w:i w:val="0"/>
          <w:color w:val="auto"/>
          <w:highlight w:val="none"/>
          <w:u w:val="single"/>
          <w:shd w:val="clear" w:color="auto" w:fill="ffffff"/>
        </w:rPr>
        <w:t xml:space="preserve">（关键</w:t>
      </w:r>
      <w:r>
        <w:rPr>
          <w:rStyle w:val="1116"/>
          <w:rFonts w:ascii="方正魏碑_GBK" w:hAnsi="方正魏碑_GBK" w:eastAsia="方正魏碑_GBK" w:cs="方正魏碑_GBK"/>
          <w:i w:val="0"/>
          <w:color w:val="auto"/>
          <w:highlight w:val="none"/>
          <w:u w:val="single"/>
          <w:shd w:val="clear" w:color="auto" w:fill="ffffff"/>
        </w:rPr>
        <w:t xml:space="preserve">组件</w:t>
      </w:r>
      <w:r>
        <w:rPr>
          <w:rStyle w:val="1116"/>
          <w:rFonts w:hint="eastAsia" w:ascii="方正魏碑_GBK" w:hAnsi="方正魏碑_GBK" w:eastAsia="方正魏碑_GBK" w:cs="方正魏碑_GBK"/>
          <w:i w:val="0"/>
          <w:color w:val="auto"/>
          <w:highlight w:val="none"/>
          <w:u w:val="single"/>
          <w:shd w:val="clear" w:color="auto" w:fill="ffffff"/>
        </w:rPr>
        <w:t xml:space="preserve">）</w:t>
      </w:r>
      <w:r>
        <w:rPr>
          <w:rStyle w:val="111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11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16"/>
          <w:rFonts w:hint="eastAsia" w:ascii="方正魏碑_GBK" w:hAnsi="方正魏碑_GBK" w:eastAsia="方正魏碑_GBK" w:cs="方正魏碑_GBK"/>
          <w:i w:val="0"/>
          <w:color w:val="auto"/>
          <w:highlight w:val="none"/>
          <w:u w:val="single"/>
          <w:shd w:val="clear" w:color="auto" w:fill="ffffff"/>
        </w:rPr>
        <w:t xml:space="preserve">（关键工序）</w:t>
      </w:r>
      <w:r>
        <w:rPr>
          <w:rStyle w:val="111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09"/>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5892800</wp:posOffset>
                </wp:positionH>
                <wp:positionV relativeFrom="paragraph">
                  <wp:posOffset>269240</wp:posOffset>
                </wp:positionV>
                <wp:extent cx="285750" cy="94615"/>
                <wp:effectExtent l="1270" t="4445" r="17780" b="15240"/>
                <wp:wrapNone/>
                <wp:docPr id="16" name="直接箭头连接符 27"/>
                <wp:cNvGraphicFramePr/>
                <a:graphic xmlns:a="http://schemas.openxmlformats.org/drawingml/2006/main">
                  <a:graphicData uri="http://schemas.microsoft.com/office/word/2010/wordprocessingShape">
                    <wps:wsp>
                      <wps:cNvPr id="0" name=""/>
                      <wps:cNvSpPr/>
                      <wps:spPr bwMode="auto">
                        <a:xfrm flipV="1">
                          <a:off x="0" y="0"/>
                          <a:ext cx="285750"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464.0pt;mso-position-horizontal:absolute;mso-position-vertical-relative:text;margin-top:21.2pt;mso-position-vertical:absolute;width:22.5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881380</wp:posOffset>
                </wp:positionH>
                <wp:positionV relativeFrom="paragraph">
                  <wp:posOffset>467995</wp:posOffset>
                </wp:positionV>
                <wp:extent cx="724535" cy="131445"/>
                <wp:effectExtent l="635" t="4445" r="17780" b="16510"/>
                <wp:wrapNone/>
                <wp:docPr id="17" name="直接箭头连接符 29"/>
                <wp:cNvGraphicFramePr/>
                <a:graphic xmlns:a="http://schemas.openxmlformats.org/drawingml/2006/main">
                  <a:graphicData uri="http://schemas.microsoft.com/office/word/2010/wordprocessingShape">
                    <wps:wsp>
                      <wps:cNvPr id="0" name=""/>
                      <wps:cNvSpPr/>
                      <wps:spPr bwMode="auto">
                        <a:xfrm flipV="1">
                          <a:off x="0" y="0"/>
                          <a:ext cx="724535" cy="1314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69.4pt;mso-position-horizontal:absolute;mso-position-vertical-relative:text;margin-top:36.9pt;mso-position-vertical:absolute;width:57.0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2931160</wp:posOffset>
                </wp:positionH>
                <wp:positionV relativeFrom="paragraph">
                  <wp:posOffset>229870</wp:posOffset>
                </wp:positionV>
                <wp:extent cx="587375" cy="142875"/>
                <wp:effectExtent l="1270" t="4445" r="1905" b="5080"/>
                <wp:wrapNone/>
                <wp:docPr id="18" name="直接箭头连接符 35"/>
                <wp:cNvGraphicFramePr/>
                <a:graphic xmlns:a="http://schemas.openxmlformats.org/drawingml/2006/main">
                  <a:graphicData uri="http://schemas.microsoft.com/office/word/2010/wordprocessingShape">
                    <wps:wsp>
                      <wps:cNvPr id="0" name=""/>
                      <wps:cNvSpPr/>
                      <wps:spPr bwMode="auto">
                        <a:xfrm flipV="1">
                          <a:off x="0" y="0"/>
                          <a:ext cx="58737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230.8pt;mso-position-horizontal:absolute;mso-position-vertical-relative:text;margin-top:18.1pt;mso-position-vertical:absolute;width:46.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1776730</wp:posOffset>
                </wp:positionH>
                <wp:positionV relativeFrom="paragraph">
                  <wp:posOffset>240030</wp:posOffset>
                </wp:positionV>
                <wp:extent cx="843915" cy="125730"/>
                <wp:effectExtent l="635" t="4445" r="12700" b="22225"/>
                <wp:wrapNone/>
                <wp:docPr id="19" name="直接箭头连接符 3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9.9pt;mso-position-horizontal:absolute;mso-position-vertical-relative:text;margin-top:1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0" name="直接箭头连接符 3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1" name="直接箭头连接符 3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2" name="直接箭头连接符 3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11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11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11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11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16"/>
          <w:rFonts w:hint="eastAsia" w:ascii="方正魏碑_GBK" w:hAnsi="方正魏碑_GBK" w:eastAsia="方正魏碑_GBK" w:cs="方正魏碑_GBK"/>
          <w:i w:val="0"/>
          <w:color w:val="auto"/>
          <w:highlight w:val="none"/>
          <w:u w:val="single"/>
          <w:shd w:val="clear" w:color="auto" w:fill="ffffff"/>
        </w:rPr>
        <w:t xml:space="preserve">（规定</w:t>
      </w:r>
      <w:r>
        <w:rPr>
          <w:rStyle w:val="1116"/>
          <w:rFonts w:ascii="方正魏碑_GBK" w:hAnsi="方正魏碑_GBK" w:eastAsia="方正魏碑_GBK" w:cs="方正魏碑_GBK"/>
          <w:i w:val="0"/>
          <w:color w:val="auto"/>
          <w:highlight w:val="none"/>
          <w:u w:val="single"/>
          <w:shd w:val="clear" w:color="auto" w:fill="ffffff"/>
        </w:rPr>
        <w:t xml:space="preserve">比例</w:t>
      </w:r>
      <w:r>
        <w:rPr>
          <w:rStyle w:val="111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11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116"/>
          <w:rFonts w:hint="eastAsia" w:ascii="方正魏碑_GBK" w:hAnsi="方正魏碑_GBK" w:eastAsia="方正魏碑_GBK" w:cs="方正魏碑_GBK"/>
          <w:i w:val="0"/>
          <w:color w:val="auto"/>
          <w:highlight w:val="none"/>
          <w:u w:val="single"/>
          <w:shd w:val="clear" w:color="auto" w:fill="ffffff"/>
        </w:rPr>
        <w:t xml:space="preserve">（关键</w:t>
      </w:r>
      <w:r>
        <w:rPr>
          <w:rStyle w:val="1116"/>
          <w:rFonts w:ascii="方正魏碑_GBK" w:hAnsi="方正魏碑_GBK" w:eastAsia="方正魏碑_GBK" w:cs="方正魏碑_GBK"/>
          <w:i w:val="0"/>
          <w:color w:val="auto"/>
          <w:highlight w:val="none"/>
          <w:u w:val="single"/>
          <w:shd w:val="clear" w:color="auto" w:fill="ffffff"/>
        </w:rPr>
        <w:t xml:space="preserve">组件</w:t>
      </w:r>
      <w:r>
        <w:rPr>
          <w:rStyle w:val="111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11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16"/>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09"/>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109"/>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10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109"/>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109"/>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10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10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10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10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10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10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1109"/>
        <w:spacing w:before="30" w:beforeAutospacing="0" w:after="30" w:afterAutospacing="0" w:line="0" w:lineRule="atLeast"/>
        <w:rPr>
          <w:rFonts w:ascii="方正魏碑_GBK" w:hAnsi="方正魏碑_GBK" w:eastAsia="方正魏碑_GBK" w:cs="方正魏碑_GBK"/>
          <w:b/>
          <w:bCs/>
          <w:color w:val="auto"/>
          <w:sz w:val="22"/>
          <w:highlight w:val="none"/>
          <w:shd w:val="clear" w:color="auto" w:fill="ffffff"/>
        </w:rPr>
      </w:pPr>
      <w:r>
        <w:rPr>
          <w:rFonts w:hint="eastAsia" w:ascii="方正魏碑_GBK" w:hAnsi="方正魏碑_GBK" w:eastAsia="方正魏碑_GBK" w:cs="方正魏碑_GBK"/>
          <w:b/>
          <w:bCs/>
          <w:color w:val="auto"/>
          <w:sz w:val="22"/>
          <w:highlight w:val="none"/>
          <w:shd w:val="clear" w:color="auto" w:fill="ffffff"/>
        </w:rPr>
        <w:t xml:space="preserve">6.用斜线划除的地方无需填写。</w:t>
      </w:r>
      <w:r/>
    </w:p>
    <w:p>
      <w:pP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br w:type="page" w:clear="all"/>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15、</w:t>
      </w:r>
      <w:r>
        <w:rPr>
          <w:rFonts w:hint="eastAsia" w:asciiTheme="minorEastAsia" w:hAnsiTheme="minorEastAsia" w:eastAsiaTheme="minorEastAsia" w:cstheme="minorEastAsia"/>
          <w:color w:val="auto"/>
          <w:szCs w:val="24"/>
          <w:highlight w:val="none"/>
        </w:rPr>
        <w:t xml:space="preserve">投标保证承诺书</w:t>
      </w:r>
      <w:r/>
    </w:p>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投标保证承诺书</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致：</w:t>
      </w:r>
      <w:r>
        <w:rPr>
          <w:rFonts w:hint="eastAsia" w:asciiTheme="minorEastAsia" w:hAnsiTheme="minorEastAsia" w:eastAsiaTheme="minorEastAsia" w:cstheme="minorEastAsia"/>
          <w:color w:val="auto"/>
          <w:szCs w:val="24"/>
          <w:highlight w:val="none"/>
          <w:u w:val="single"/>
        </w:rPr>
        <w:t xml:space="preserve">（采购代理机构名称）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w:t>
      </w:r>
      <w:r>
        <w:rPr>
          <w:rFonts w:hint="eastAsia" w:asciiTheme="minorEastAsia" w:hAnsiTheme="minorEastAsia" w:eastAsiaTheme="minorEastAsia" w:cstheme="minorEastAsia"/>
          <w:color w:val="auto"/>
          <w:szCs w:val="24"/>
          <w:highlight w:val="none"/>
          <w:u w:val="single"/>
        </w:rPr>
        <w:t xml:space="preserve">（单位/本人，以下统称我单位）</w:t>
      </w:r>
      <w:r>
        <w:rPr>
          <w:rFonts w:hint="eastAsia" w:asciiTheme="minorEastAsia" w:hAnsiTheme="minorEastAsia" w:eastAsiaTheme="minorEastAsia" w:cstheme="minorEastAsia"/>
          <w:color w:val="auto"/>
          <w:szCs w:val="24"/>
          <w:highlight w:val="none"/>
        </w:rPr>
        <w:t xml:space="preserve">自愿参加</w:t>
      </w:r>
      <w:r>
        <w:rPr>
          <w:rFonts w:hint="eastAsia" w:asciiTheme="minorEastAsia" w:hAnsiTheme="minorEastAsia" w:eastAsiaTheme="minorEastAsia" w:cstheme="minorEastAsia"/>
          <w:color w:val="auto"/>
          <w:szCs w:val="24"/>
          <w:highlight w:val="none"/>
          <w:u w:val="single"/>
        </w:rPr>
        <w:t xml:space="preserve">（项目名称和采购编号）</w:t>
      </w:r>
      <w:r>
        <w:rPr>
          <w:rFonts w:hint="eastAsia" w:asciiTheme="minorEastAsia" w:hAnsiTheme="minorEastAsia" w:eastAsiaTheme="minorEastAsia" w:cstheme="minorEastAsia"/>
          <w:color w:val="auto"/>
          <w:szCs w:val="24"/>
          <w:highlight w:val="none"/>
        </w:rPr>
        <w:t xml:space="preserve">的响应,并做出如下承诺：</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1、自响应截止时间至本项目发布</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公告为止，撤销响应；</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后不依法与采购人签订合同；</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后不按本招标文件规定向贵方缴纳代理</w:t>
      </w:r>
      <w:r>
        <w:rPr>
          <w:rFonts w:hint="eastAsia" w:asciiTheme="minorEastAsia" w:hAnsiTheme="minorEastAsia" w:eastAsiaTheme="minorEastAsia" w:cstheme="minorEastAsia"/>
          <w:color w:val="auto"/>
          <w:szCs w:val="24"/>
          <w:highlight w:val="none"/>
          <w:lang w:val="en-US" w:eastAsia="zh-CN"/>
        </w:rPr>
        <w:t xml:space="preserve">服务费</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投标人</w:t>
      </w:r>
      <w:r>
        <w:rPr>
          <w:rFonts w:hint="eastAsia" w:asciiTheme="minorEastAsia" w:hAnsiTheme="minorEastAsia" w:eastAsiaTheme="minorEastAsia" w:cstheme="minorEastAsia"/>
          <w:color w:val="auto"/>
          <w:szCs w:val="24"/>
          <w:highlight w:val="none"/>
        </w:rPr>
        <w:t xml:space="preserve">：（盖公章）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电话：</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传真：</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电子邮件：</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邮编：</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法定代表人或授权代理人（签字或盖章）：</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日期：</w:t>
      </w:r>
      <w:r/>
    </w:p>
    <w:p>
      <w:pPr>
        <w:pStyle w:val="1100"/>
        <w:ind w:firstLine="420"/>
        <w:jc w:val="center"/>
        <w:spacing w:line="579" w:lineRule="auto"/>
        <w:rPr>
          <w:rStyle w:val="1122"/>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22" w:name="_Toc24908"/>
      <w:r/>
      <w:bookmarkStart w:id="23" w:name="_Toc17775"/>
      <w:r/>
      <w:bookmarkStart w:id="24" w:name="_Toc21567"/>
      <w:r>
        <w:rPr>
          <w:rStyle w:val="1122"/>
          <w:rFonts w:hint="eastAsia" w:asciiTheme="minorEastAsia" w:hAnsiTheme="minorEastAsia" w:eastAsiaTheme="minorEastAsia" w:cstheme="minorEastAsia"/>
          <w:color w:val="auto"/>
          <w:sz w:val="44"/>
          <w:szCs w:val="44"/>
          <w:highlight w:val="none"/>
        </w:rPr>
        <w:t xml:space="preserve">第四章 采购内容</w:t>
      </w:r>
      <w:bookmarkEnd w:id="12"/>
      <w:r/>
      <w:bookmarkEnd w:id="22"/>
      <w:r/>
      <w:bookmarkEnd w:id="23"/>
      <w:r/>
      <w:bookmarkStart w:id="25" w:name="_Toc217446094"/>
      <w:r/>
      <w:bookmarkEnd w:id="24"/>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苏大附一院信息安全设备一批</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：JSZC-320000-JZCZ-G2026-0004</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苏大附一院信息安全设备一批</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Cs w:val="24"/>
          <w:highlight w:val="none"/>
        </w:rPr>
        <w:t xml:space="preserve">三、采购预算：</w:t>
      </w:r>
      <w:r>
        <w:rPr>
          <w:rFonts w:hint="eastAsia" w:asciiTheme="minorEastAsia" w:hAnsiTheme="minorEastAsia" w:eastAsiaTheme="minorEastAsia" w:cstheme="minorEastAsia"/>
          <w:color w:val="auto"/>
          <w:sz w:val="24"/>
          <w:szCs w:val="24"/>
          <w:highlight w:val="none"/>
          <w:lang w:val="en-US" w:eastAsia="zh-CN"/>
        </w:rPr>
        <w:t xml:space="preserve">人民币壹佰叁拾伍万元整（￥1350000.00）</w:t>
      </w:r>
      <w:bookmarkEnd w:id="25"/>
      <w:r/>
      <w:r/>
    </w:p>
    <w:p>
      <w:pPr>
        <w:ind w:firstLine="480"/>
        <w:spacing w:line="360" w:lineRule="auto"/>
        <w:rPr>
          <w:rFonts w:hint="eastAsia" w:asciiTheme="minorEastAsia" w:hAnsiTheme="minorEastAsia" w:eastAsiaTheme="minorEastAsia" w:cstheme="minorEastAsia"/>
          <w:color w:val="auto"/>
          <w:szCs w:val="24"/>
          <w:highlight w:val="none"/>
        </w:rPr>
      </w:pPr>
      <w:r/>
      <w:bookmarkStart w:id="26" w:name="_Toc409438747"/>
      <w:r/>
      <w:bookmarkStart w:id="27" w:name="_Toc388026587"/>
      <w:r>
        <w:rPr>
          <w:rFonts w:hint="eastAsia" w:asciiTheme="minorEastAsia" w:hAnsiTheme="minorEastAsia" w:eastAsiaTheme="minorEastAsia" w:cstheme="minorEastAsia"/>
          <w:color w:val="auto"/>
          <w:szCs w:val="24"/>
          <w:highlight w:val="none"/>
        </w:rPr>
        <w:t xml:space="preserve">四、采购清单及技术要求：</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（一）采购清单</w:t>
      </w:r>
      <w:r/>
    </w:p>
    <w:tbl>
      <w:tblPr>
        <w:tblStyle w:val="10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10"/>
        <w:gridCol w:w="3251"/>
        <w:gridCol w:w="851"/>
        <w:gridCol w:w="938"/>
      </w:tblGrid>
      <w:tr>
        <w:trPr>
          <w:jc w:val="center"/>
        </w:trPr>
        <w:tc>
          <w:tcPr>
            <w:tcW w:w="846" w:type="dxa"/>
            <w:vAlign w:val="center"/>
            <w:textDirection w:val="lrTb"/>
            <w:noWrap w:val="false"/>
          </w:tcPr>
          <w:p>
            <w:pPr>
              <w:jc w:val="center"/>
              <w:spacing w:line="276"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W w:w="2410" w:type="dxa"/>
            <w:vAlign w:val="center"/>
            <w:textDirection w:val="lrTb"/>
            <w:noWrap w:val="false"/>
          </w:tcPr>
          <w:p>
            <w:pPr>
              <w:jc w:val="center"/>
              <w:spacing w:line="276"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名称</w:t>
            </w:r>
            <w:r/>
          </w:p>
        </w:tc>
        <w:tc>
          <w:tcPr>
            <w:tcW w:w="3251" w:type="dxa"/>
            <w:vAlign w:val="center"/>
            <w:textDirection w:val="lrTb"/>
            <w:noWrap w:val="false"/>
          </w:tcPr>
          <w:p>
            <w:pPr>
              <w:jc w:val="center"/>
              <w:spacing w:line="276"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详细参数</w:t>
            </w:r>
            <w:r/>
          </w:p>
        </w:tc>
        <w:tc>
          <w:tcPr>
            <w:tcW w:w="851" w:type="dxa"/>
            <w:vAlign w:val="center"/>
            <w:textDirection w:val="lrTb"/>
            <w:noWrap w:val="false"/>
          </w:tcPr>
          <w:p>
            <w:pPr>
              <w:jc w:val="center"/>
              <w:spacing w:line="276"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W w:w="938" w:type="dxa"/>
            <w:vAlign w:val="center"/>
            <w:textDirection w:val="lrTb"/>
            <w:noWrap w:val="false"/>
          </w:tcPr>
          <w:p>
            <w:pPr>
              <w:jc w:val="center"/>
              <w:spacing w:line="276"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单位</w:t>
            </w:r>
            <w:r/>
          </w:p>
        </w:tc>
      </w:tr>
      <w:tr>
        <w:trPr>
          <w:jc w:val="center"/>
        </w:trPr>
        <w:tc>
          <w:tcPr>
            <w:tcW w:w="846"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p>
        </w:tc>
        <w:tc>
          <w:tcPr>
            <w:tcW w:w="2410"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态势</w:t>
            </w:r>
            <w:r>
              <w:rPr>
                <w:rFonts w:hint="eastAsia" w:asciiTheme="minorEastAsia" w:hAnsiTheme="minorEastAsia" w:eastAsiaTheme="minorEastAsia" w:cstheme="minorEastAsia"/>
                <w:sz w:val="24"/>
                <w:szCs w:val="24"/>
                <w:lang w:val="en-US" w:eastAsia="zh-CN"/>
              </w:rPr>
              <w:t xml:space="preserve">感知节点</w:t>
            </w:r>
            <w:r/>
          </w:p>
        </w:tc>
        <w:tc>
          <w:tcPr>
            <w:tcW w:w="3251"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具体参数详见技术参数</w:t>
            </w:r>
            <w:r/>
          </w:p>
        </w:tc>
        <w:tc>
          <w:tcPr>
            <w:tcW w:w="851"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938"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jc w:val="center"/>
        </w:trPr>
        <w:tc>
          <w:tcPr>
            <w:tcW w:w="846"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w:t>
            </w:r>
            <w:r/>
          </w:p>
        </w:tc>
        <w:tc>
          <w:tcPr>
            <w:tcW w:w="2410"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入侵防御设备</w:t>
            </w:r>
            <w:r/>
          </w:p>
        </w:tc>
        <w:tc>
          <w:tcPr>
            <w:tcW w:w="3251"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具体参数详见技术参数</w:t>
            </w:r>
            <w:r/>
          </w:p>
        </w:tc>
        <w:tc>
          <w:tcPr>
            <w:tcW w:w="851"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938"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46"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410"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互联网业务动态防护</w:t>
            </w:r>
            <w:r/>
          </w:p>
        </w:tc>
        <w:tc>
          <w:tcPr>
            <w:tcW w:w="3251" w:type="dxa"/>
            <w:vAlign w:val="center"/>
            <w:textDirection w:val="lrTb"/>
            <w:noWrap w:val="false"/>
          </w:tcPr>
          <w:p>
            <w:pPr>
              <w:jc w:val="center"/>
              <w:spacing w:line="276" w:lineRule="auto"/>
              <w:widowControl/>
              <w:tabs>
                <w:tab w:val="center" w:pos="1577" w:leader="none"/>
                <w:tab w:val="right" w:pos="303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具体参数详见技术参数</w:t>
            </w:r>
            <w:r/>
          </w:p>
        </w:tc>
        <w:tc>
          <w:tcPr>
            <w:tcW w:w="851"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938" w:type="dxa"/>
            <w:vAlign w:val="center"/>
            <w:textDirection w:val="lrTb"/>
            <w:noWrap/>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bl>
    <w:p>
      <w:pPr>
        <w:ind w:firstLine="480"/>
        <w:spacing w:line="360" w:lineRule="auto"/>
        <w:rPr>
          <w:rFonts w:hint="default" w:ascii="宋体" w:hAnsi="宋体" w:eastAsia="宋体" w:cs="宋体"/>
          <w:b w:val="0"/>
          <w:bCs w:val="0"/>
          <w:color w:val="auto"/>
          <w:szCs w:val="24"/>
          <w:highlight w:val="none"/>
          <w:lang w:val="en-US" w:eastAsia="zh-CN"/>
        </w:rPr>
        <w:outlineLvl w:val="1"/>
      </w:pPr>
      <w:r>
        <w:rPr>
          <w:rFonts w:hint="eastAsia" w:ascii="宋体" w:hAnsi="宋体" w:cs="宋体"/>
          <w:b w:val="0"/>
          <w:bCs w:val="0"/>
          <w:color w:val="auto"/>
          <w:szCs w:val="24"/>
          <w:highlight w:val="none"/>
          <w:lang w:val="en-US" w:eastAsia="zh-CN"/>
        </w:rPr>
        <w:t xml:space="preserve">（二）技术参数</w:t>
      </w:r>
      <w:r/>
    </w:p>
    <w:p>
      <w:pPr>
        <w:ind w:firstLine="480"/>
        <w:spacing w:line="360" w:lineRule="auto"/>
        <w:rPr>
          <w:rFonts w:hint="default" w:ascii="宋体" w:hAnsi="宋体" w:eastAsia="宋体" w:cs="宋体"/>
          <w:b w:val="0"/>
          <w:bCs w:val="0"/>
          <w:color w:val="auto"/>
          <w:szCs w:val="24"/>
          <w:highlight w:val="none"/>
          <w:lang w:val="en-US" w:eastAsia="zh-CN"/>
        </w:rPr>
        <w:outlineLvl w:val="2"/>
      </w:pPr>
      <w:r>
        <w:rPr>
          <w:rFonts w:hint="eastAsia" w:ascii="宋体" w:hAnsi="宋体" w:eastAsia="宋体" w:cs="宋体"/>
          <w:b w:val="0"/>
          <w:bCs w:val="0"/>
          <w:color w:val="auto"/>
          <w:szCs w:val="24"/>
          <w:highlight w:val="none"/>
          <w:lang w:val="en-US" w:eastAsia="zh-CN"/>
        </w:rPr>
        <w:t xml:space="preserve">1、态势感知节点</w:t>
      </w:r>
      <w:r/>
    </w:p>
    <w:tbl>
      <w:tblPr>
        <w:tblStyle w:val="1092"/>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087"/>
      </w:tblGrid>
      <w:tr>
        <w:trPr>
          <w:jc w:val="center"/>
        </w:trPr>
        <w:tc>
          <w:tcPr>
            <w:shd w:val="clear" w:color="auto" w:fill="ffffff"/>
            <w:tcW w:w="1560" w:type="dxa"/>
            <w:vAlign w:val="center"/>
            <w:textDirection w:val="lrTb"/>
            <w:noWrap w:val="false"/>
          </w:tcPr>
          <w:p>
            <w:pPr>
              <w:jc w:val="center"/>
              <w:spacing w:line="23"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指标项</w:t>
            </w:r>
            <w:r/>
          </w:p>
        </w:tc>
        <w:tc>
          <w:tcPr>
            <w:shd w:val="clear" w:color="auto" w:fill="ffffff"/>
            <w:tcW w:w="7087" w:type="dxa"/>
            <w:vAlign w:val="center"/>
            <w:textDirection w:val="lrTb"/>
            <w:noWrap w:val="false"/>
          </w:tcPr>
          <w:p>
            <w:pPr>
              <w:jc w:val="center"/>
              <w:spacing w:line="23"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技术参数要求</w:t>
            </w:r>
            <w:r/>
          </w:p>
        </w:tc>
      </w:tr>
      <w:tr>
        <w:trPr>
          <w:jc w:val="center"/>
        </w:trPr>
        <w:tc>
          <w:tcPr>
            <w:tcW w:w="1560" w:type="dxa"/>
            <w:vAlign w:val="center"/>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宋体" w:hAnsi="宋体" w:cs="Times New Roman"/>
                <w:b/>
                <w:bCs/>
                <w:sz w:val="21"/>
                <w:szCs w:val="21"/>
              </w:rPr>
              <w:t xml:space="preserve">▲</w:t>
            </w:r>
            <w:r>
              <w:rPr>
                <w:rFonts w:hint="eastAsia" w:asciiTheme="minorEastAsia" w:hAnsiTheme="minorEastAsia" w:eastAsiaTheme="minorEastAsia" w:cstheme="minorEastAsia"/>
                <w:sz w:val="24"/>
                <w:szCs w:val="24"/>
              </w:rPr>
              <w:t xml:space="preserve">硬件要求</w:t>
            </w:r>
            <w:r/>
          </w:p>
        </w:tc>
        <w:tc>
          <w:tcPr>
            <w:tcW w:w="7087" w:type="dxa"/>
            <w:vAlign w:val="center"/>
            <w:textDirection w:val="lrTb"/>
            <w:noWrap w:val="false"/>
          </w:tcPr>
          <w:p>
            <w:pPr>
              <w:jc w:val="both"/>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U与操作系统符合中国信息安全测评中心和国家保密科技测评中心公布的安全可靠测评结果，此次扩容3个节点，单节点配置2颗CPU，单颗主频≥2.6GHz，≥24核，内存≥256GB，系统固态盘≥480GB*2，数据盘≥64TB，Console口≥1个，USB3.0≥4个，千兆电口≥5个，万兆光口≥2个，配套万兆SFP+光模块，接口扩展槽≥4个，风扇≥4个，冗余电源 </w:t>
            </w:r>
            <w:r/>
          </w:p>
        </w:tc>
      </w:tr>
      <w:tr>
        <w:trPr>
          <w:jc w:val="center"/>
        </w:trPr>
        <w:tc>
          <w:tcPr>
            <w:tcW w:w="1560" w:type="dxa"/>
            <w:vAlign w:val="center"/>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性能要求</w:t>
            </w:r>
            <w:r/>
          </w:p>
        </w:tc>
        <w:tc>
          <w:tcPr>
            <w:tcW w:w="7087" w:type="dxa"/>
            <w:vAlign w:val="center"/>
            <w:textDirection w:val="lrTb"/>
            <w:noWrap w:val="false"/>
          </w:tcPr>
          <w:p>
            <w:pPr>
              <w:jc w:val="both"/>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单节点数据采集和处理性能≥15000EPS，每条数据≥1KB，扩容节点需与现有大数据智能安全分析平台兼容</w:t>
            </w:r>
            <w:r/>
          </w:p>
        </w:tc>
      </w:tr>
      <w:tr>
        <w:trPr>
          <w:jc w:val="center"/>
        </w:trPr>
        <w:tc>
          <w:tcPr>
            <w:tcW w:w="1560" w:type="dxa"/>
            <w:vAlign w:val="center"/>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安全可视化</w:t>
            </w:r>
            <w:r/>
          </w:p>
        </w:tc>
        <w:tc>
          <w:tcPr>
            <w:tcW w:w="7087" w:type="dxa"/>
            <w:vAlign w:val="center"/>
            <w:textDirection w:val="lrTb"/>
            <w:noWrap w:val="false"/>
          </w:tcPr>
          <w:p>
            <w:pPr>
              <w:jc w:val="both"/>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支持展示不少于10块独立安全视角大屏，可展示视角包括全网攻击态势感知、资产态势、横向威胁态势等，支持自定义大屏轮播时间、顺序</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资产管理</w:t>
            </w:r>
            <w:r/>
          </w:p>
        </w:tc>
        <w:tc>
          <w:tcPr>
            <w:tcW w:w="7087" w:type="dxa"/>
            <w:vAlign w:val="center"/>
            <w:textDirection w:val="lrTb"/>
            <w:noWrap w:val="false"/>
          </w:tcPr>
          <w:p>
            <w:pPr>
              <w:jc w:val="both"/>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支持资产无侵入式发现功能，可自动识别资产类型，如Web服务器、邮件服务器、FTP文件服务器等多种类型资产</w:t>
            </w:r>
            <w:r/>
          </w:p>
        </w:tc>
      </w:tr>
      <w:tr>
        <w:trPr>
          <w:jc w:val="center"/>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vAlign w:val="center"/>
            <w:textDirection w:val="lrTb"/>
            <w:noWrap w:val="false"/>
          </w:tcPr>
          <w:p>
            <w:pPr>
              <w:jc w:val="both"/>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★支持资产评分趋势，实现资产风险变化、评分变化数据对比，同时可根据已失陷、高风险、低风险维度对风险资产进行统计</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告警监测</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支持告警信息融合网络攻杀链、ATT%CK模型，从资产视角、告警视角等维度展示，显示告警攻击流向、攻击者、受害者，及回溯ATT%CK攻击入侵</w:t>
            </w:r>
            <w:r/>
          </w:p>
        </w:tc>
      </w:tr>
      <w:tr>
        <w:trPr>
          <w:jc w:val="center"/>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支持勒索病毒、挖矿木马、webshell攻击、恶意程序、高危漏洞攻陷、远控程序、横向探测、违规扫描、暴力破解、APT攻击等安全监测分析</w:t>
            </w:r>
            <w:r/>
          </w:p>
        </w:tc>
      </w:tr>
      <w:tr>
        <w:trPr>
          <w:jc w:val="center"/>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支持统计、情报、智能AI、规则等模型，且支持基于告警类型、告警名称、威胁等级、攻击链等维度自定义模型</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攻击聚合</w:t>
            </w:r>
            <w:r/>
          </w:p>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取证管理</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支持多维度算法将大量外部攻击日志聚合降噪成少量攻击事件，聚合字段包括攻击IP、攻击目标等，并发布预警、提报工单</w:t>
            </w:r>
            <w:r/>
          </w:p>
        </w:tc>
      </w:tr>
      <w:tr>
        <w:trPr>
          <w:jc w:val="center"/>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支持告警详情中展示数据血缘关系，至少包括数据来源、原始告警、原始日志，规则模型等类型，可一键跳转原始日志和规则模型查看相关数据</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情报管理</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支持对接威胁情报中心实现情报数据离线更新及在线更新，查看情报源中有效情报数、最近更新条数、最近更新时间、今日更新情报数、昨日命中情报数等</w:t>
            </w:r>
            <w:r/>
          </w:p>
        </w:tc>
      </w:tr>
      <w:tr>
        <w:trPr>
          <w:jc w:val="center"/>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支持威胁情报碰撞，可对接不同厂商情报数据源，可对情报数据接口进行自定义设置，包括情报查询、IP碰撞和域名碰撞接口的开关及情报调阅请求频率</w:t>
            </w:r>
            <w:r/>
          </w:p>
        </w:tc>
      </w:tr>
      <w:tr>
        <w:trPr>
          <w:jc w:val="center"/>
        </w:trPr>
        <w:tc>
          <w:tcPr>
            <w:tcW w:w="1560" w:type="dxa"/>
            <w:vAlign w:val="center"/>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消息订阅</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支持自定义消息订阅，至少包括告警通知、数据接入异常、系统资源使用超限、系统组件状态异常、探针状态消息、系统配置异常、系统更新等类型，订阅方式包括短信、邮件、钉钉等方式</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报表管理</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支持快速生成报表，包含但不限于运营报告、分析报告，威胁报告等，可根据时间、排名、范围、威胁等级、处置情况等维度</w:t>
            </w:r>
            <w:r/>
          </w:p>
        </w:tc>
      </w:tr>
      <w:tr>
        <w:trPr>
          <w:jc w:val="center"/>
          <w:trHeight w:val="239"/>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支持自定义选择统计内容，包括但不限于重点安全风险、专家建议和指导、详细检查结果和修复建议</w:t>
            </w:r>
            <w:r/>
          </w:p>
        </w:tc>
      </w:tr>
      <w:tr>
        <w:trPr>
          <w:jc w:val="center"/>
          <w:trHeight w:val="238"/>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支持对形成的历史报告Excel、PDF、WORD 和 Html进行在线编辑</w:t>
            </w:r>
            <w:r/>
          </w:p>
        </w:tc>
      </w:tr>
      <w:tr>
        <w:trPr>
          <w:jc w:val="center"/>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联动管理</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支持无缝对接医院安全协调编排响应平台，有效推送告警数据信息，实现恶意地址自动封禁，同步完成告警事件状态自动化调整，实现告警闭环处置</w:t>
            </w:r>
            <w:r/>
          </w:p>
        </w:tc>
      </w:tr>
      <w:tr>
        <w:trPr>
          <w:jc w:val="center"/>
          <w:trHeight w:val="664"/>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支持对接医院安全大模型平台，通过联动进行攻击报文辅助解读，从而实现告警信息降噪和精细化分析</w:t>
            </w:r>
            <w:r/>
          </w:p>
        </w:tc>
      </w:tr>
      <w:tr>
        <w:trPr>
          <w:jc w:val="center"/>
          <w:trHeight w:val="1001"/>
        </w:trPr>
        <w:tc>
          <w:tcPr>
            <w:tcW w:w="1560" w:type="dxa"/>
            <w:vAlign w:val="center"/>
            <w:vMerge w:val="restart"/>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系统管理</w:t>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支持登录用户多因子认证管理，认证方式包括动态口令认证、动态令牌认证、短信验证码认证形式，认证策略支持个性化管理，如两种认证方式同时满足或满足一种等</w:t>
            </w:r>
            <w:r/>
          </w:p>
        </w:tc>
      </w:tr>
      <w:tr>
        <w:trPr>
          <w:jc w:val="center"/>
          <w:trHeight w:val="939"/>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支持对医院既有探针，实现探针统一运维，可查看探针在线、离线等状态，可对许可状态变化进行预警，对CPU、内存超阈值预警；支持统一升级和配置探针</w:t>
            </w:r>
            <w:r/>
          </w:p>
        </w:tc>
      </w:tr>
      <w:tr>
        <w:trPr>
          <w:jc w:val="center"/>
          <w:trHeight w:val="642"/>
        </w:trPr>
        <w:tc>
          <w:tcPr>
            <w:tcW w:w="1560" w:type="dxa"/>
            <w:vAlign w:val="center"/>
            <w:vMerge w:val="continue"/>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87" w:type="dxa"/>
            <w:textDirection w:val="lrTb"/>
            <w:noWrap w:val="false"/>
          </w:tcPr>
          <w:p>
            <w:pPr>
              <w:pStyle w:val="1119"/>
              <w:ind w:firstLine="0"/>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支持开放API接口，第三方平台可通过接口获取系统安全运维、探针统一管理、安全分析、模型管理等信息</w:t>
            </w:r>
            <w:r/>
          </w:p>
        </w:tc>
      </w:tr>
      <w:tr>
        <w:trPr>
          <w:jc w:val="center"/>
          <w:trHeight w:val="340"/>
        </w:trPr>
        <w:tc>
          <w:tcPr>
            <w:tcW w:w="1560" w:type="dxa"/>
            <w:vAlign w:val="center"/>
            <w:textDirection w:val="lrTb"/>
            <w:noWrap w:val="false"/>
          </w:tcPr>
          <w:p>
            <w:pPr>
              <w:jc w:val="center"/>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服务要求</w:t>
            </w:r>
            <w:r/>
          </w:p>
        </w:tc>
        <w:tc>
          <w:tcPr>
            <w:tcW w:w="7087" w:type="dxa"/>
            <w:textDirection w:val="lrTb"/>
            <w:noWrap w:val="false"/>
          </w:tcPr>
          <w:p>
            <w:pPr>
              <w:pStyle w:val="1119"/>
              <w:ind w:firstLine="0"/>
              <w:jc w:val="left"/>
              <w:spacing w:line="23"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原厂5年质保及特征库升级</w:t>
            </w:r>
            <w:r/>
          </w:p>
        </w:tc>
      </w:tr>
    </w:tbl>
    <w:p>
      <w:pPr>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br w:type="page" w:clear="all"/>
      </w:r>
      <w:r/>
    </w:p>
    <w:p>
      <w:pPr>
        <w:ind w:firstLine="480"/>
        <w:spacing w:line="360" w:lineRule="auto"/>
        <w:rPr>
          <w:rFonts w:hint="eastAsia" w:ascii="宋体" w:hAnsi="宋体" w:eastAsia="宋体" w:cs="宋体"/>
          <w:b w:val="0"/>
          <w:bCs w:val="0"/>
          <w:color w:val="auto"/>
          <w:szCs w:val="24"/>
          <w:highlight w:val="none"/>
          <w:lang w:val="en-US" w:eastAsia="zh-CN"/>
        </w:rPr>
        <w:outlineLvl w:val="2"/>
      </w:pPr>
      <w:r>
        <w:rPr>
          <w:rFonts w:hint="eastAsia" w:ascii="宋体" w:hAnsi="宋体" w:eastAsia="宋体" w:cs="宋体"/>
          <w:b w:val="0"/>
          <w:bCs w:val="0"/>
          <w:color w:val="auto"/>
          <w:szCs w:val="24"/>
          <w:highlight w:val="none"/>
          <w:lang w:val="en-US" w:eastAsia="zh-CN"/>
        </w:rPr>
        <w:t xml:space="preserve">2、入侵防御设备</w:t>
      </w:r>
      <w:r/>
    </w:p>
    <w:tbl>
      <w:tblPr>
        <w:tblStyle w:val="1092"/>
        <w:tblW w:w="8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03"/>
        <w:gridCol w:w="7043"/>
      </w:tblGrid>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宋体" w:hAnsi="宋体" w:cs="Times New Roman"/>
                <w:b/>
                <w:bCs/>
                <w:sz w:val="21"/>
                <w:szCs w:val="21"/>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硬件要求</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U标准机架式设备，CPU与操作系统符合中国信息安全测评中心和国家保密科技测评中心公布的安全可靠测评结果，单颗CPU核数≥8核，主频≥2.8HZ，≥1个RJ-45Console口，≥1个管理口，≥1个HA口，≥4个具备BYPASS功能的10/100/1000Base-T接口，≥4个千兆光口，≥2个USB口，≥1块4SFP+万兆接口板卡，冗余电源</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网络层吞吐量≥30G，IPS吞吐量≥10G，并发连接数≥1000万</w:t>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安全能力</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系统应默认内置不少于11种规则集，至少包括严格检测模板、物联网检测模板、WEB服务器模板、僵木蠕检测模板等，满足不同部署环境下的安全防护需求</w:t>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应支持多种规则变更部署模式，至少包括自动防御模式、试运行模式和手动防御模式</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采用自主知识产权的网络攻击流量过滤技术，可防护网络攻击行为</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需具有多种防web扫描能力，防止攻击者通过扫描发现Web网站中的缺陷从而发起精确攻击，至少包括如下能力：防爬虫、防止CGI和漏洞扫描等，并支持阻断扫描行为和并记录日志，系统支持设置至少4个级别的扫描容忍度/扫描敏感度，方便安全管理者采用不同安全级别的行为控制</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系统应支持黑白名单，至少包括IP、域名、URL等四种类型，应支持黑白名单全局检索，输入条件可直接查询黑白名单记录</w:t>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基于行为分析的C&amp;C通道（隐蔽通道）检测机制，能够发现网络中的存在的隐蔽通道。提供C&amp;C通道的危险级别、连接建立时间、连接持续时间、控制端IP地址和端口、受控端IP地址和端口等信息。提供各种响应动作：阻断会话、临时阻断和抓包分析等。因为不依赖地址信誉库的通道检查，能够发现未知的隐蔽通道，并能分析连接状态和行为情况</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系统应支持敏感信息防护，包含财务数据、机密文档、技术文档、简历、收购与并购、身份证号码、手机号码、银行卡/信用卡</w: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系统应支持WEB过滤，对web内容，传输文件名称、传输文件内容过滤，应支持邮件过滤，对邮件标题、邮件正文、附件名称、附件内容过滤，阻断并支持邮件提醒</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具备应用管控功能，可对代理翻墙、远程控制、即时通讯、P2P 下载、在线视频等应用进行识别与管控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采用自主知识产权的流量识别技术，可识别流量中的攻击行为</w: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账号安全保护，支持检测弱口令和暴力破解行为，支持的协议应至少包括Web应用、邮件协议、文件协议、远程连接协议、数据库协议，弱口令检测至少支持复杂度设置和字典设置，暴力破解应支持触发阈值和检测时间的灵活配置</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网络部署</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系统应支持HA，包括主主模式和主备模式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系统应支持源地址转换、目的地址转换、静态地址转换</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系统应内置硬件BYPASS，支持手动切换，并支持过载保护功能，通过CPU和内存阈值实现过载保护的开启，提供不同的阈值计算方式（最高值/平均值、时间区间等），切换应支持二层回退和三层回退</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系统具备丰富的网络适应性，支持部署在IPV6，VLAN，QINQ，MPLS，GRE，VXLAN，PPPOE等常见协议封装的环境中，可检测和拦截攻击行为</w: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安全运维</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系统应内置智能分析能力，具备阻断的活动专项分析和综合威胁告警分析，其中阻断的活动应包括阻断的威胁、阻断的文件和阻断的IP专项分析</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支持告警处置，包含一键加白和临时封禁，并具备详细的处置记录包含处置时间、处置方式、处置动作等</w:t>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攻击日志展示自动聚合，聚合条件包含源、目的IP+威胁名称、目的IP+威胁名称、威胁名称，系统应支持攻击源目地址归属地显示，日志信息应包含威胁级别、攻击阶段、攻击结果、标识状态、处置状态展示，应支持存储攻击日志网络负载，其中WEB攻击应支持存储HTTP头</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系统应支持威胁分析功能，通过与威胁情报、全流取证、网络负载、内置解码工具、事件处理流程、事件性质判定等信息综合对威胁进行分析判断</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具备攻击源多维分析视角，支持外部/内部攻击源区分识别，结合攻击行为可视化分析与威胁情报联动，实现攻击意图、攻击手法快速研判处置及防护策略精准调优，提升整体防御能力</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系统应支持三权分立，不少于五种认证方式，至少包括密码、双因子认证、超级SIM认证等</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管理员账户具备防暴力破解防护能力，支持对同一账号/源IP连续登录失败行为触发账号/IP 封锁，登录失败阈值及封锁时长支持自定义配置</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支持账户密码密保问题核验恢复功能，保障管理员账户密码应急重置能力</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状态监控</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系统应支持安全状态展示不少于20种维度，至少包括攻击类型和阶段分布展示、攻击者区域展示、威胁级别趋势、弱口令账号TOP、暴力破解主机TOP、恶意文件传播通道等，支持定义展示界面添加和删除控件</w:t>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支持设备运行状态分级评估，支持三级状态等级划分，监控指标应支持CPU/内存/磁盘利用率、风扇转速、流量过载、授权到期、特征库未升级、NTP同步失败、接口UP/DOWN、接口速率差过大、温度过高等</w: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日志报表</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系统应内置不少于5种日志外发模板，至少兼容能源行业和全国信息安全标准化技术委员会发布的网络安全产品互联互通告警信息格式，应支持自定义日志发送格式，包括自定义分隔符、连字符，字段名称等</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原厂5年质保及特征库升级</w:t>
            </w:r>
            <w:r/>
          </w:p>
        </w:tc>
      </w:tr>
    </w:tbl>
    <w:p>
      <w:r/>
      <w:r/>
    </w:p>
    <w:p>
      <w:pPr>
        <w:ind w:firstLine="480"/>
        <w:spacing w:line="360" w:lineRule="auto"/>
        <w:rPr>
          <w:rFonts w:hint="eastAsia" w:ascii="宋体" w:hAnsi="宋体" w:eastAsia="宋体" w:cs="宋体"/>
          <w:b w:val="0"/>
          <w:bCs w:val="0"/>
          <w:color w:val="auto"/>
          <w:szCs w:val="24"/>
          <w:highlight w:val="none"/>
          <w:lang w:val="en-US" w:eastAsia="zh-CN"/>
        </w:rPr>
        <w:outlineLvl w:val="2"/>
      </w:pPr>
      <w:r>
        <w:rPr>
          <w:rFonts w:hint="eastAsia" w:ascii="宋体" w:hAnsi="宋体" w:eastAsia="宋体" w:cs="宋体"/>
          <w:b w:val="0"/>
          <w:bCs w:val="0"/>
          <w:color w:val="auto"/>
          <w:szCs w:val="24"/>
          <w:highlight w:val="none"/>
          <w:lang w:val="en-US" w:eastAsia="zh-CN"/>
        </w:rPr>
        <w:t xml:space="preserve">3、互联网业务动态防护</w:t>
      </w:r>
      <w:r/>
    </w:p>
    <w:tbl>
      <w:tblPr>
        <w:tblStyle w:val="1092"/>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7087"/>
      </w:tblGrid>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sz w:val="24"/>
                <w:szCs w:val="24"/>
              </w:rPr>
              <w:t xml:space="preserve">指标项</w:t>
            </w:r>
            <w:r/>
          </w:p>
        </w:tc>
        <w:tc>
          <w:tcPr>
            <w:tcW w:w="7087"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sz w:val="24"/>
                <w:szCs w:val="24"/>
              </w:rPr>
              <w:t xml:space="preserve">技术参数要求</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宋体" w:hAnsi="宋体" w:cs="Times New Roman"/>
                <w:b/>
                <w:bCs/>
                <w:sz w:val="21"/>
                <w:szCs w:val="21"/>
              </w:rPr>
              <w:t xml:space="preserve">▲</w:t>
            </w:r>
            <w:r>
              <w:rPr>
                <w:rFonts w:hint="eastAsia" w:asciiTheme="minorEastAsia" w:hAnsiTheme="minorEastAsia" w:eastAsiaTheme="minorEastAsia" w:cstheme="minorEastAsia"/>
                <w:color w:val="000000"/>
                <w:sz w:val="24"/>
                <w:szCs w:val="24"/>
              </w:rPr>
              <w:t xml:space="preserve">多平台支持</w:t>
            </w:r>
            <w:r/>
          </w:p>
        </w:tc>
        <w:tc>
          <w:tcPr>
            <w:tcW w:w="7087"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eastAsia="zh-Hans"/>
              </w:rPr>
              <w:t xml:space="preserve">安卓、苹果平台</w:t>
            </w:r>
            <w:r>
              <w:rPr>
                <w:rFonts w:hint="eastAsia" w:asciiTheme="minorEastAsia" w:hAnsiTheme="minorEastAsia" w:eastAsiaTheme="minorEastAsia" w:cstheme="minorEastAsia"/>
                <w:sz w:val="24"/>
                <w:szCs w:val="24"/>
              </w:rPr>
              <w:t xml:space="preserve">微信小程序的防护；APP防护支持鸿蒙平台；支持与态势感知平台通过标准 API 接口实现联动对接，实时共享告警事件与风险情报，触发联合处置策略，实现“检测—研判—响应”闭环协同。</w:t>
            </w:r>
            <w:r/>
          </w:p>
        </w:tc>
      </w:tr>
      <w:tr>
        <w:trPr>
          <w:jc w:val="center"/>
          <w:trHeight w:val="342"/>
        </w:trPr>
        <w:tc>
          <w:tcPr>
            <w:tcW w:w="1555" w:type="dxa"/>
            <w:vAlign w:val="center"/>
            <w:vMerge w:val="restart"/>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数量范围</w:t>
            </w:r>
            <w:r/>
          </w:p>
        </w:tc>
        <w:tc>
          <w:tcPr>
            <w:tcW w:w="7087"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微信小程序防护系统 SDK 授权数量不少于20个，用于对医院相关微信小程序业务进行安全防护</w:t>
            </w:r>
            <w:r/>
          </w:p>
        </w:tc>
      </w:tr>
      <w:tr>
        <w:trPr>
          <w:jc w:val="center"/>
          <w:trHeight w:val="341"/>
        </w:trPr>
        <w:tc>
          <w:tcPr>
            <w:tcW w:w="1555" w:type="dxa"/>
            <w:vAlign w:val="center"/>
            <w:vMerge w:val="continue"/>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087" w:type="dxa"/>
            <w:vAlign w:val="center"/>
            <w:textDirection w:val="lrTb"/>
            <w:noWrap w:val="false"/>
          </w:tcPr>
          <w:p>
            <w:pPr>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App动态防护系统SDK授权数量不少于2个，用于对医院统一App应用实施动态安全防护</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★微信小程序和APP应用、Web应用统一管理</w:t>
            </w:r>
            <w:r/>
          </w:p>
        </w:tc>
        <w:tc>
          <w:tcPr>
            <w:tcW w:w="7087" w:type="dxa"/>
            <w:vAlign w:val="center"/>
            <w:textDirection w:val="lrTb"/>
            <w:noWrap w:val="false"/>
          </w:tcPr>
          <w:p>
            <w:pPr>
              <w:pStyle w:val="1109"/>
              <w:jc w:val="both"/>
              <w:spacing w:before="0" w:beforeAutospacing="0" w:after="0" w:afterAutospacing="0"/>
              <w:shd w:val="clear" w:color="auto" w:fill="ffff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可以同时支持原生微信小程序和APP应用、Web应用统一防护和管理</w:t>
            </w:r>
            <w:r>
              <w:rPr>
                <w:rFonts w:hint="eastAsia" w:asciiTheme="minorEastAsia" w:hAnsiTheme="minorEastAsia" w:eastAsiaTheme="minorEastAsia" w:cstheme="minorEastAsia"/>
                <w:color w:val="191919"/>
                <w:sz w:val="24"/>
                <w:szCs w:val="24"/>
              </w:rPr>
              <w:t xml:space="preserve">，无需多次部署</w:t>
            </w:r>
            <w:r/>
          </w:p>
        </w:tc>
      </w:tr>
      <w:tr>
        <w:trPr>
          <w:jc w:val="center"/>
        </w:trPr>
        <w:tc>
          <w:tcPr>
            <w:tcW w:w="1555" w:type="dxa"/>
            <w:vAlign w:val="center"/>
            <w:textDirection w:val="lrTb"/>
            <w:noWrap w:val="false"/>
          </w:tcPr>
          <w:p>
            <w:pPr>
              <w:pStyle w:val="1109"/>
              <w:jc w:val="center"/>
              <w:spacing w:before="0" w:beforeAutospacing="0" w:after="0" w:afterAutospacing="0"/>
              <w:shd w:val="clear" w:color="auto" w:fill="ffffff"/>
              <w:rPr>
                <w:rFonts w:hint="eastAsia" w:asciiTheme="minorEastAsia" w:hAnsiTheme="minorEastAsia" w:eastAsiaTheme="minorEastAsia" w:cstheme="minorEastAsia"/>
                <w:color w:val="191919"/>
                <w:sz w:val="24"/>
                <w:szCs w:val="24"/>
              </w:rPr>
            </w:pPr>
            <w:r>
              <w:rPr>
                <w:rFonts w:hint="eastAsia" w:asciiTheme="minorEastAsia" w:hAnsiTheme="minorEastAsia" w:eastAsiaTheme="minorEastAsia" w:cstheme="minorEastAsia"/>
                <w:color w:val="191919"/>
                <w:sz w:val="24"/>
                <w:szCs w:val="24"/>
              </w:rPr>
              <w:t xml:space="preserve">★APP运行环境拦截</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191919"/>
                <w:sz w:val="24"/>
                <w:szCs w:val="24"/>
              </w:rPr>
            </w:pPr>
            <w:r>
              <w:rPr>
                <w:rFonts w:hint="eastAsia" w:asciiTheme="minorEastAsia" w:hAnsiTheme="minorEastAsia" w:eastAsiaTheme="minorEastAsia" w:cstheme="minorEastAsia"/>
                <w:color w:val="191919"/>
                <w:sz w:val="24"/>
                <w:szCs w:val="24"/>
              </w:rPr>
              <w:t xml:space="preserve">要求防护系统可以识别使用代理或VPN、已root设备、模拟器发起请求的行为，并可以配置策略执行拦截、放过或重定向等动作</w:t>
            </w:r>
            <w:r/>
          </w:p>
        </w:tc>
      </w:tr>
      <w:tr>
        <w:trPr>
          <w:jc w:val="center"/>
        </w:trPr>
        <w:tc>
          <w:tcPr>
            <w:tcW w:w="1555" w:type="dxa"/>
            <w:vAlign w:val="center"/>
            <w:textDirection w:val="lrTb"/>
            <w:noWrap w:val="false"/>
          </w:tcPr>
          <w:p>
            <w:pPr>
              <w:pStyle w:val="1109"/>
              <w:jc w:val="center"/>
              <w:spacing w:before="0" w:beforeAutospacing="0" w:after="0" w:afterAutospacing="0"/>
              <w:shd w:val="clear" w:color="auto" w:fill="ffffff"/>
              <w:rPr>
                <w:rFonts w:hint="eastAsia" w:asciiTheme="minorEastAsia" w:hAnsiTheme="minorEastAsia" w:eastAsiaTheme="minorEastAsia" w:cstheme="minorEastAsia"/>
                <w:color w:val="191919"/>
                <w:sz w:val="24"/>
                <w:szCs w:val="24"/>
              </w:rPr>
            </w:pPr>
            <w:r>
              <w:rPr>
                <w:rFonts w:hint="eastAsia" w:asciiTheme="minorEastAsia" w:hAnsiTheme="minorEastAsia" w:eastAsiaTheme="minorEastAsia" w:cstheme="minorEastAsia"/>
                <w:color w:val="191919"/>
                <w:sz w:val="24"/>
                <w:szCs w:val="24"/>
              </w:rPr>
              <w:t xml:space="preserve">APP越狱检查</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191919"/>
                <w:sz w:val="24"/>
                <w:szCs w:val="24"/>
              </w:rPr>
            </w:pPr>
            <w:r>
              <w:rPr>
                <w:rFonts w:hint="eastAsia" w:asciiTheme="minorEastAsia" w:hAnsiTheme="minorEastAsia" w:eastAsiaTheme="minorEastAsia" w:cstheme="minorEastAsia"/>
                <w:color w:val="191919"/>
                <w:sz w:val="24"/>
                <w:szCs w:val="24"/>
              </w:rPr>
              <w:t xml:space="preserve">支持可检查用户端环境是否已越狱，防止攻击者利用攻击工具或终端木马绕过安全保护机制，对后台进行攻击</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191919"/>
                <w:sz w:val="24"/>
                <w:szCs w:val="24"/>
              </w:rPr>
              <w:t xml:space="preserve">用户行为访问控制</w:t>
            </w:r>
            <w:r/>
          </w:p>
        </w:tc>
        <w:tc>
          <w:tcPr>
            <w:tcW w:w="7087" w:type="dxa"/>
            <w:vAlign w:val="center"/>
            <w:textDirection w:val="lrTb"/>
            <w:noWrap w:val="false"/>
          </w:tcPr>
          <w:p>
            <w:pPr>
              <w:pStyle w:val="1109"/>
              <w:jc w:val="both"/>
              <w:spacing w:before="0" w:beforeAutospacing="0" w:after="0" w:afterAutospacing="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191919"/>
                <w:sz w:val="24"/>
                <w:szCs w:val="24"/>
              </w:rPr>
              <w:t xml:space="preserve">对访问小程序不可信的设备、账户及用户行为，当请求触发防护规则时，能设定多种拦截策略，如：阻挡，延时等；且可配置上述拦截策略按百分比随机响应，提升攻击者的对抗分析难度</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集群部署</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因冗余性要求，防护系统应具备集群部署能力，且一个集群的相关功能参数不能直接使用在另一个集群上，增强集群独立性和安全性</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★微信小程序合法性验证</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验证请求是否由真实微信小程序客户端发起，防止假冒微信小程序的访问</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Https支持</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可解析</w:t>
            </w:r>
            <w:r>
              <w:rPr>
                <w:rFonts w:hint="eastAsia" w:asciiTheme="minorEastAsia" w:hAnsiTheme="minorEastAsia" w:eastAsiaTheme="minorEastAsia" w:cstheme="minorEastAsia"/>
                <w:sz w:val="24"/>
                <w:szCs w:val="24"/>
                <w:lang w:eastAsia="zh-Hans"/>
              </w:rPr>
              <w:t xml:space="preserve">https协议</w:t>
            </w:r>
            <w:r>
              <w:rPr>
                <w:rFonts w:hint="eastAsia" w:asciiTheme="minorEastAsia" w:hAnsiTheme="minorEastAsia" w:eastAsiaTheme="minorEastAsia" w:cstheme="minorEastAsia"/>
                <w:sz w:val="24"/>
                <w:szCs w:val="24"/>
              </w:rPr>
              <w:t xml:space="preserve">内容进行安全防护</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离线检测</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rPr>
              <w:t xml:space="preserve">原生防护SDK需要及时了解安全网关是否在线，且确保离线后不影响业务正常使用</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★动态混淆</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支持客户端与服务器端间通讯的请求内容和响应内容数据进行动态混淆，攻击者无法识别与篡改通过中间人手法截获的数据</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★AppID校验功能</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可以实现防护通过refer伪造请求，确保Refer中的appid、token中的appid、系统信息的host真实有效</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SDK更新</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具有灵活的更新方式，运行在不更新安全网关的情况下，直接进行SDK更新</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lang w:eastAsia="zh-Hans"/>
              </w:rPr>
              <w:t xml:space="preserve">SDK JS混淆</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原生小程序集成SDK时，需要保证核心防护逻辑不泄漏，需要对SDK本身进行混淆，以保证安全</w:t>
            </w:r>
            <w:r/>
          </w:p>
        </w:tc>
      </w:tr>
      <w:tr>
        <w:trPr>
          <w:jc w:val="center"/>
        </w:trPr>
        <w:tc>
          <w:tcPr>
            <w:tcW w:w="1555"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★动态令牌</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防止攻击者利用攻击工具或终端木马绕过安全保护机制，对后台进行攻击，赋予每个微信小程序客户端请求一次性令牌，防止重放攻击和接口恶意调用，要求同时支持默认令牌、通用令牌、响应令牌</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微信小程序运行环境威胁感知</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要求防护系统具备微信小程序运行环境感知能力，包括电量和网络类型检测设备名称、设备厂商、手机电池电量、充电状态等设备基本信息、微信版本号、操作系统及版本、小程序版本、设备连接网络类型等信息</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白名单</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可以配置微信小程序的上传下载白名单</w:t>
            </w:r>
            <w:r/>
          </w:p>
        </w:tc>
      </w:tr>
      <w:tr>
        <w:trPr>
          <w:jc w:val="center"/>
        </w:trPr>
        <w:tc>
          <w:tcPr>
            <w:tcW w:w="1555" w:type="dxa"/>
            <w:vAlign w:val="center"/>
            <w:textDirection w:val="lrTb"/>
            <w:noWrap w:val="false"/>
          </w:tcPr>
          <w:p>
            <w:pPr>
              <w:jc w:val="center"/>
              <w:spacing w:line="24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报表功能</w:t>
            </w:r>
            <w:r/>
          </w:p>
        </w:tc>
        <w:tc>
          <w:tcPr>
            <w:tcW w:w="7087" w:type="dxa"/>
            <w:vAlign w:val="center"/>
            <w:textDirection w:val="lrTb"/>
            <w:noWrap w:val="false"/>
          </w:tcPr>
          <w:p>
            <w:pPr>
              <w:jc w:val="both"/>
              <w:spacing w:line="24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具备小程序和app安全防护数据可视化，可通过报表查看各类攻击类型如非法访问、重放攻击、破解行为等</w:t>
            </w:r>
            <w:r/>
          </w:p>
        </w:tc>
      </w:tr>
      <w:tr>
        <w:trPr>
          <w:jc w:val="center"/>
        </w:trPr>
        <w:tc>
          <w:tcPr>
            <w:tcW w:w="1555" w:type="dxa"/>
            <w:textDirection w:val="lrTb"/>
            <w:noWrap w:val="false"/>
          </w:tcPr>
          <w:p>
            <w:pPr>
              <w:jc w:val="center"/>
              <w:spacing w:line="24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服务要求</w:t>
            </w:r>
            <w:r/>
          </w:p>
        </w:tc>
        <w:tc>
          <w:tcPr>
            <w:tcW w:w="7087" w:type="dxa"/>
            <w:textDirection w:val="lrTb"/>
            <w:noWrap w:val="false"/>
          </w:tcPr>
          <w:p>
            <w:pPr>
              <w:spacing w:line="24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原厂5年质保及特征库升级</w:t>
            </w:r>
            <w:r/>
          </w:p>
        </w:tc>
      </w:tr>
    </w:tbl>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注：1、本项目不接受进口产品。</w:t>
      </w:r>
      <w:r/>
    </w:p>
    <w:p>
      <w:pPr>
        <w:ind w:firstLine="482"/>
        <w:spacing w:line="360" w:lineRule="auto"/>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2、核心产品为“互联网业务动态防护”</w:t>
      </w:r>
      <w:r>
        <w:rPr>
          <w:rFonts w:hint="eastAsia" w:ascii="宋体" w:hAnsi="宋体" w:cs="宋体"/>
          <w:b/>
          <w:bCs/>
          <w:color w:val="auto"/>
          <w:szCs w:val="24"/>
          <w:highlight w:val="none"/>
          <w:lang w:val="en-US" w:eastAsia="zh-CN"/>
        </w:rPr>
        <w:t xml:space="preserve">。</w:t>
      </w:r>
      <w:r/>
    </w:p>
    <w:p>
      <w:pPr>
        <w:ind w:firstLine="482"/>
        <w:spacing w:line="360" w:lineRule="auto"/>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3、“</w:t>
      </w:r>
      <w:r>
        <w:rPr>
          <w:rFonts w:hint="eastAsia" w:ascii="宋体" w:hAnsi="宋体" w:cs="Times New Roman"/>
          <w:b/>
          <w:bCs/>
          <w:color w:val="auto"/>
          <w:sz w:val="21"/>
          <w:szCs w:val="21"/>
          <w:highlight w:val="none"/>
        </w:rPr>
        <w:t xml:space="preserve">▲</w:t>
      </w:r>
      <w:r>
        <w:rPr>
          <w:rFonts w:hint="eastAsia" w:ascii="宋体" w:hAnsi="宋体" w:cs="宋体"/>
          <w:b/>
          <w:bCs/>
          <w:color w:val="auto"/>
          <w:szCs w:val="24"/>
          <w:highlight w:val="none"/>
          <w:lang w:val="en-US" w:eastAsia="zh-CN"/>
        </w:rPr>
        <w:t xml:space="preserve">”项参数为实质性响应参数，不允许负偏离，</w:t>
      </w:r>
      <w:r>
        <w:rPr>
          <w:rFonts w:hint="eastAsia" w:ascii="宋体" w:hAnsi="宋体" w:eastAsia="宋体" w:cs="宋体"/>
          <w:b/>
          <w:bCs/>
          <w:color w:val="auto"/>
          <w:sz w:val="24"/>
          <w:szCs w:val="24"/>
          <w:highlight w:val="none"/>
        </w:rPr>
        <w:t xml:space="preserve">如出现负偏离，视为未实质性响应招标文件要</w:t>
      </w:r>
      <w:r>
        <w:rPr>
          <w:rFonts w:hint="eastAsia" w:ascii="宋体" w:hAnsi="宋体" w:cs="宋体"/>
          <w:b/>
          <w:bCs/>
          <w:color w:val="auto"/>
          <w:szCs w:val="24"/>
          <w:highlight w:val="none"/>
        </w:rPr>
        <w:t xml:space="preserve">求。</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（三）安装实施要求：</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1、所有安装施工材料质量必须严格按照国家规范及江苏省或项目交付所在地相关规范、招标文件、材料厂家的技术规范的有关要求执行。</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2、中标人应对安装实施安全、质量全面负责，如中标人原因造成质量、安全事故，中标人承担一切经济法律责任。</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3、实施期间，中标人应无条件的接受采购人的质量监督，提出的质量问题要及时整改，整改完毕后通知采购人检查验收，合格后书面报送采购人备案。</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中标人必须建立健全质量检查制度，严格工序管理，隐蔽工程在隐蔽前应通知采购人检查验收；本着谁实施谁负责产品保护，谁破坏产品谁负责赔偿的原则，中标人必须采取切实有效的产品保护措施，并编制相应的产品保护方案报采购人批准同意后组织实施。</w:t>
      </w:r>
      <w:r/>
    </w:p>
    <w:p>
      <w:pPr>
        <w:ind w:firstLine="480"/>
        <w:spacing w:line="360" w:lineRule="auto"/>
        <w:rPr>
          <w:rFonts w:hint="eastAsia" w:ascii="宋体" w:hAnsi="宋体" w:eastAsia="宋体" w:cs="宋体"/>
          <w:color w:val="auto"/>
          <w:szCs w:val="24"/>
          <w:highlight w:val="yellow"/>
          <w:lang w:val="en-US" w:eastAsia="zh-CN"/>
        </w:rPr>
      </w:pPr>
      <w:r>
        <w:rPr>
          <w:rFonts w:hint="eastAsia" w:ascii="宋体" w:hAnsi="宋体" w:cs="宋体"/>
          <w:color w:val="auto"/>
          <w:szCs w:val="24"/>
          <w:highlight w:val="none"/>
          <w:lang w:val="en-US" w:eastAsia="zh-CN"/>
        </w:rPr>
        <w:t xml:space="preserve">5、中标后中标人须签订数据安全保密协议（详见合同附件一），确保采购人数据不外泄。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五、综合说明及其他要求：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1、投标人</w:t>
      </w:r>
      <w:r>
        <w:rPr>
          <w:rFonts w:hint="eastAsia" w:ascii="宋体" w:hAnsi="宋体" w:cs="宋体"/>
          <w:color w:val="auto"/>
          <w:szCs w:val="24"/>
          <w:highlight w:val="none"/>
          <w:lang w:val="en-US" w:eastAsia="zh-CN"/>
        </w:rPr>
        <w:t xml:space="preserve">需明确</w:t>
      </w:r>
      <w:r>
        <w:rPr>
          <w:rFonts w:hint="eastAsia" w:ascii="宋体" w:hAnsi="宋体" w:eastAsia="宋体" w:cs="宋体"/>
          <w:color w:val="auto"/>
          <w:szCs w:val="24"/>
          <w:highlight w:val="none"/>
        </w:rPr>
        <w:t xml:space="preserve">所投产品的品牌、型号及一些必须说明的技术参数，同时明确生产厂家等，并提供详细的技术参数及性能说明书。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招标</w:t>
      </w:r>
      <w:r>
        <w:rPr>
          <w:rFonts w:hint="eastAsia" w:ascii="宋体" w:hAnsi="宋体" w:cs="宋体"/>
          <w:color w:val="auto"/>
          <w:szCs w:val="24"/>
          <w:highlight w:val="none"/>
        </w:rPr>
        <w:t xml:space="preserve">清单中如出现品牌、型号仅</w:t>
      </w:r>
      <w:r>
        <w:rPr>
          <w:rFonts w:hint="eastAsia" w:ascii="宋体" w:hAnsi="宋体" w:cs="宋体"/>
          <w:color w:val="auto"/>
          <w:szCs w:val="24"/>
          <w:highlight w:val="none"/>
          <w:lang w:val="en-US" w:eastAsia="zh-CN"/>
        </w:rPr>
        <w:t xml:space="preserve">作</w:t>
      </w:r>
      <w:r>
        <w:rPr>
          <w:rFonts w:hint="eastAsia" w:ascii="宋体" w:hAnsi="宋体" w:cs="宋体"/>
          <w:color w:val="auto"/>
          <w:szCs w:val="24"/>
          <w:highlight w:val="none"/>
        </w:rPr>
        <w:t xml:space="preserve">参考，产品参考图样</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如有）</w:t>
      </w:r>
      <w:r>
        <w:rPr>
          <w:rFonts w:hint="eastAsia" w:ascii="宋体" w:hAnsi="宋体" w:cs="宋体"/>
          <w:color w:val="auto"/>
          <w:szCs w:val="24"/>
          <w:highlight w:val="none"/>
        </w:rPr>
        <w:t xml:space="preserve">仅</w:t>
      </w:r>
      <w:r>
        <w:rPr>
          <w:rFonts w:hint="eastAsia" w:ascii="宋体" w:hAnsi="宋体" w:cs="宋体"/>
          <w:color w:val="auto"/>
          <w:szCs w:val="24"/>
          <w:highlight w:val="none"/>
          <w:lang w:eastAsia="zh-CN"/>
        </w:rPr>
        <w:t xml:space="preserve">作</w:t>
      </w:r>
      <w:r>
        <w:rPr>
          <w:rFonts w:hint="eastAsia" w:ascii="宋体" w:hAnsi="宋体" w:cs="宋体"/>
          <w:color w:val="auto"/>
          <w:szCs w:val="24"/>
          <w:highlight w:val="none"/>
        </w:rPr>
        <w:t xml:space="preserve">参考，并没有限制性</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招标清单中如未明确质量标准的均以现行有效的国家强制性标准为准，投标人在投标文件中可以选用替代标准，但这些替代标准要优于或相当于招标文件要求，同时注明所投产品的品牌、型号、规格和生产厂家及一些必须说明的技术参数，以及使用的材料的清单等，以满足招标人的需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3、现行有效的国家强制性标准不得负偏离，否则做无效标处理。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、投标人</w:t>
      </w:r>
      <w:r>
        <w:rPr>
          <w:rFonts w:hint="eastAsia" w:ascii="宋体" w:hAnsi="宋体" w:cs="宋体"/>
          <w:color w:val="auto"/>
          <w:szCs w:val="24"/>
          <w:highlight w:val="none"/>
          <w:lang w:val="en-US" w:eastAsia="zh-CN"/>
        </w:rPr>
        <w:t xml:space="preserve">应对</w:t>
      </w:r>
      <w:r>
        <w:rPr>
          <w:rFonts w:hint="eastAsia" w:ascii="宋体" w:hAnsi="宋体" w:eastAsia="宋体" w:cs="宋体"/>
          <w:color w:val="auto"/>
          <w:szCs w:val="24"/>
          <w:highlight w:val="none"/>
        </w:rPr>
        <w:t xml:space="preserve">招标文件中提出的全部要求</w:t>
      </w:r>
      <w:r>
        <w:rPr>
          <w:rFonts w:hint="eastAsia" w:ascii="宋体" w:hAnsi="宋体" w:cs="宋体"/>
          <w:color w:val="auto"/>
          <w:szCs w:val="24"/>
          <w:highlight w:val="none"/>
          <w:lang w:val="en-US" w:eastAsia="zh-CN"/>
        </w:rPr>
        <w:t xml:space="preserve">进行响应</w:t>
      </w:r>
      <w:r>
        <w:rPr>
          <w:rFonts w:hint="eastAsia" w:ascii="宋体" w:hAnsi="宋体" w:eastAsia="宋体" w:cs="宋体"/>
          <w:color w:val="auto"/>
          <w:szCs w:val="24"/>
          <w:highlight w:val="none"/>
        </w:rPr>
        <w:t xml:space="preserve">，如果其中某些条款不响应时，应在文件中逐条列出，未列出的视同响应。</w:t>
      </w:r>
      <w:r/>
    </w:p>
    <w:p>
      <w:pPr>
        <w:ind w:firstLine="480"/>
        <w:spacing w:line="360" w:lineRule="auto"/>
        <w:rPr>
          <w:rFonts w:hint="eastAsia" w:ascii="宋体" w:hAnsi="宋体" w:cs="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、投标总报价一次报定，</w:t>
      </w:r>
      <w:r>
        <w:rPr>
          <w:rFonts w:hint="eastAsia" w:ascii="宋体" w:hAnsi="宋体" w:eastAsia="宋体" w:cs="宋体"/>
          <w:color w:val="auto"/>
          <w:sz w:val="24"/>
          <w:szCs w:val="24"/>
          <w:highlight w:val="none"/>
          <w:lang w:val="zh-CN" w:eastAsia="zh-CN" w:bidi="ar-SA"/>
        </w:rPr>
        <w:t xml:space="preserve">包括但不限于本合同所涉全部设备、</w:t>
      </w:r>
      <w:r>
        <w:rPr>
          <w:rFonts w:hint="eastAsia" w:ascii="宋体" w:hAnsi="宋体" w:eastAsia="宋体" w:cs="宋体"/>
          <w:color w:val="auto"/>
          <w:szCs w:val="21"/>
          <w:highlight w:val="none"/>
          <w:lang w:val="en-US" w:eastAsia="zh-CN"/>
        </w:rPr>
        <w:t xml:space="preserve">软件系统、</w:t>
      </w:r>
      <w:r>
        <w:rPr>
          <w:rFonts w:hint="eastAsia" w:ascii="宋体" w:hAnsi="宋体" w:eastAsia="宋体" w:cs="宋体"/>
          <w:color w:val="auto"/>
          <w:sz w:val="24"/>
          <w:szCs w:val="24"/>
          <w:highlight w:val="none"/>
          <w:lang w:val="zh-CN" w:eastAsia="zh-CN" w:bidi="ar-SA"/>
        </w:rPr>
        <w:t xml:space="preserve">辅助材料、安装、调试、</w:t>
      </w:r>
      <w:r>
        <w:rPr>
          <w:rFonts w:hint="eastAsia" w:ascii="宋体" w:hAnsi="宋体" w:eastAsia="宋体" w:cs="宋体"/>
          <w:color w:val="auto"/>
          <w:sz w:val="24"/>
          <w:szCs w:val="24"/>
          <w:highlight w:val="none"/>
          <w:lang w:val="en-US" w:eastAsia="zh-CN" w:bidi="ar-SA"/>
        </w:rPr>
        <w:t xml:space="preserve">技术支持与</w:t>
      </w:r>
      <w:r>
        <w:rPr>
          <w:rFonts w:hint="eastAsia" w:ascii="宋体" w:hAnsi="宋体" w:eastAsia="宋体" w:cs="宋体"/>
          <w:color w:val="auto"/>
          <w:sz w:val="24"/>
          <w:szCs w:val="24"/>
          <w:highlight w:val="none"/>
          <w:lang w:val="zh-CN" w:eastAsia="zh-CN" w:bidi="ar-SA"/>
        </w:rPr>
        <w:t xml:space="preserve">培训、验收、人工、机械、运输、仓储、保险、运费、各种税费、劳保、与现有/后期设备对接费、</w:t>
      </w:r>
      <w:r>
        <w:rPr>
          <w:rFonts w:hint="eastAsia" w:ascii="宋体" w:hAnsi="宋体" w:eastAsia="宋体" w:cs="宋体"/>
          <w:color w:val="auto"/>
          <w:sz w:val="24"/>
          <w:szCs w:val="24"/>
          <w:highlight w:val="none"/>
          <w:lang w:val="en-US" w:eastAsia="zh-CN" w:bidi="ar-SA"/>
        </w:rPr>
        <w:t xml:space="preserve">代理服务费、国际（如果有）国内运输保险、报关清关（如果有）、开证（如果有）、办理全套免税手续费用（如果有）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专利技术及质保期间等一切费用</w:t>
      </w: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zh-CN" w:eastAsia="zh-CN" w:bidi="ar-SA"/>
        </w:rPr>
        <w:t xml:space="preserve">无须支付其他任何费用。</w:t>
      </w:r>
      <w:r/>
    </w:p>
    <w:p>
      <w:pPr>
        <w:ind w:firstLine="480"/>
        <w:spacing w:line="360" w:lineRule="auto"/>
        <w:rPr>
          <w:rFonts w:hint="eastAsia" w:ascii="宋体" w:hAnsi="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w:t>
      </w:r>
      <w:r>
        <w:rPr>
          <w:rFonts w:hint="eastAsia" w:ascii="宋体" w:hAnsi="宋体" w:cs="宋体"/>
          <w:color w:val="auto"/>
          <w:szCs w:val="24"/>
          <w:highlight w:val="none"/>
        </w:rPr>
        <w:t xml:space="preserve">投标人应保证采购人免除且承担由于投标人在其本国使用该项目所需的材料和设计或其任何一部分时而引起第三方提出的侵犯专利权、商标权或工业设计权的起诉、行动、行政程序索赔、请求等，以及采购人为此而产生的损失和损害、费用和支出（包括律师费）。</w:t>
      </w:r>
      <w:r/>
    </w:p>
    <w:p>
      <w:pPr>
        <w:ind w:firstLine="480"/>
        <w:spacing w:line="360" w:lineRule="auto"/>
        <w:rPr>
          <w:rFonts w:hint="eastAsia" w:ascii="宋体" w:hAnsi="宋体"/>
          <w:color w:val="auto"/>
          <w:highlight w:val="none"/>
        </w:rPr>
      </w:pP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w:t>
      </w:r>
      <w:r>
        <w:rPr>
          <w:rFonts w:hint="eastAsia" w:ascii="宋体" w:hAnsi="宋体" w:cs="宋体"/>
          <w:bCs/>
          <w:color w:val="auto"/>
          <w:sz w:val="24"/>
          <w:szCs w:val="24"/>
          <w:highlight w:val="none"/>
        </w:rPr>
        <w:t xml:space="preserve">项目实施质量必须严格按照国家规范及江苏省、苏州市相应地方规范、</w:t>
      </w:r>
      <w:r>
        <w:rPr>
          <w:rFonts w:hint="eastAsia" w:ascii="宋体" w:hAnsi="宋体" w:cs="宋体"/>
          <w:bCs/>
          <w:color w:val="auto"/>
          <w:sz w:val="24"/>
          <w:szCs w:val="24"/>
          <w:highlight w:val="none"/>
          <w:lang w:eastAsia="zh-CN"/>
        </w:rPr>
        <w:t xml:space="preserve">招标文件</w:t>
      </w:r>
      <w:r>
        <w:rPr>
          <w:rFonts w:hint="eastAsia" w:ascii="宋体" w:hAnsi="宋体" w:cs="宋体"/>
          <w:bCs/>
          <w:color w:val="auto"/>
          <w:sz w:val="24"/>
          <w:szCs w:val="24"/>
          <w:highlight w:val="none"/>
        </w:rPr>
        <w:t xml:space="preserve">的技术规范的有关要求执行，如果在合同履行过程中有新的国家或行业（部）规范和标准出台的，则</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应确保其合同产品达到并符合新的国家或行业（部）规范和标准，因此而增加的费用及风险由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自行承担。</w:t>
      </w:r>
      <w:r/>
    </w:p>
    <w:p>
      <w:pPr>
        <w:pStyle w:val="1096"/>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8、与本次采购项目有关的质量、安全问题均由投标人负责，相关的人员、财产责任风险均由投标人全部承担，与他人无涉。</w:t>
      </w:r>
      <w:r/>
    </w:p>
    <w:p>
      <w:pPr>
        <w:pStyle w:val="1096"/>
        <w:ind w:firstLine="480"/>
        <w:jc w:val="left"/>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、合同履行期限：</w:t>
      </w:r>
      <w:r>
        <w:rPr>
          <w:rFonts w:hint="eastAsia" w:ascii="宋体" w:hAnsi="宋体" w:eastAsia="宋体" w:cs="宋体"/>
          <w:b w:val="0"/>
          <w:bCs w:val="0"/>
          <w:color w:val="auto"/>
          <w:sz w:val="24"/>
          <w:szCs w:val="24"/>
          <w:highlight w:val="none"/>
          <w:lang w:val="zh-CN" w:eastAsia="zh-CN"/>
        </w:rPr>
        <w:t xml:space="preserve">在合同签订生效后一个月内送货并安装调试完成。</w:t>
      </w:r>
      <w:r/>
    </w:p>
    <w:p>
      <w:pPr>
        <w:pStyle w:val="1096"/>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10、如有其他项目需中标人配合完成，中标人须无条件派相关工程师现场配合，直至该项目完成。</w:t>
      </w:r>
      <w:r/>
    </w:p>
    <w:p>
      <w:pPr>
        <w:ind w:firstLine="480"/>
        <w:spacing w:line="360" w:lineRule="auto"/>
        <w:rPr>
          <w:rFonts w:hint="eastAsia" w:ascii="宋体" w:hAnsi="宋体" w:cs="宋体"/>
          <w:bCs/>
          <w:color w:val="auto"/>
          <w:szCs w:val="24"/>
          <w:highlight w:val="none"/>
        </w:rPr>
      </w:pPr>
      <w:r>
        <w:rPr>
          <w:rFonts w:hint="eastAsia" w:ascii="宋体" w:hAnsi="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eastAsia="宋体" w:asciiTheme="minorEastAsia" w:hAnsi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六</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4"/>
          <w:highlight w:val="none"/>
          <w:lang w:val="en-US" w:eastAsia="zh-CN"/>
        </w:rPr>
        <w:t xml:space="preserve">工业。</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七</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b/>
          <w:bCs/>
          <w:color w:val="auto"/>
          <w:sz w:val="24"/>
          <w:szCs w:val="24"/>
          <w:highlight w:val="none"/>
          <w:u w:val="single"/>
          <w:lang w:val="en-US" w:eastAsia="zh-CN"/>
        </w:rPr>
        <w:t xml:space="preserve">在货物采购项目中，供应商提供的货物既有中小企业制造货物，也有大型企业制造货物的，不享受本办法规定的中小企业扶持政策。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政府采购中实施本国产品标准及相关政策</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《国务院办公厅关于在政府采购中实施本国产品标准及相关政策的通知》（国办发〔2025〕34号）</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5.1</w:t>
      </w:r>
      <w:r>
        <w:rPr>
          <w:rFonts w:hint="eastAsia" w:asciiTheme="minorEastAsia" w:hAnsiTheme="minorEastAsia" w:eastAsiaTheme="minorEastAsia" w:cstheme="minorEastAsia"/>
          <w:color w:val="auto"/>
          <w:szCs w:val="24"/>
          <w:highlight w:val="none"/>
        </w:rPr>
        <w:t xml:space="preserve">本项目对采购本国产品给予政策支持，具体内容见招标文件“第</w:t>
      </w: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章 评标方法</w:t>
      </w:r>
      <w:r>
        <w:rPr>
          <w:rFonts w:hint="eastAsia" w:asciiTheme="minorEastAsia" w:hAnsiTheme="minorEastAsia" w:eastAsiaTheme="minorEastAsia" w:cstheme="minorEastAsia"/>
          <w:color w:val="auto"/>
          <w:szCs w:val="24"/>
          <w:highlight w:val="none"/>
          <w:lang w:val="en-US" w:eastAsia="zh-CN"/>
        </w:rPr>
        <w:t xml:space="preserve">及</w:t>
      </w:r>
      <w:r>
        <w:rPr>
          <w:rFonts w:hint="eastAsia" w:asciiTheme="minorEastAsia" w:hAnsiTheme="minorEastAsia" w:eastAsiaTheme="minorEastAsia" w:cstheme="minorEastAsia"/>
          <w:color w:val="auto"/>
          <w:szCs w:val="24"/>
          <w:highlight w:val="none"/>
        </w:rPr>
        <w:t xml:space="preserve">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5.2</w:t>
      </w:r>
      <w:r>
        <w:rPr>
          <w:rFonts w:hint="eastAsia" w:asciiTheme="minorEastAsia" w:hAnsiTheme="minorEastAsia" w:eastAsiaTheme="minorEastAsia" w:cstheme="minorEastAsia"/>
          <w:b/>
          <w:bCs/>
          <w:color w:val="auto"/>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5.3</w:t>
      </w:r>
      <w:r>
        <w:rPr>
          <w:rFonts w:hint="eastAsia" w:asciiTheme="minorEastAsia" w:hAnsiTheme="minorEastAsia" w:eastAsiaTheme="minorEastAsia" w:cstheme="minorEastAsia"/>
          <w:color w:val="auto"/>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绿色采购</w:t>
      </w:r>
      <w:r/>
    </w:p>
    <w:p>
      <w:pPr>
        <w:ind w:left="0" w:firstLine="42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八、</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bookmarkEnd w:id="26"/>
      <w:r/>
      <w:bookmarkEnd w:id="27"/>
      <w:r/>
      <w:r/>
    </w:p>
    <w:p>
      <w:pPr>
        <w:jc w:val="center"/>
        <w:spacing w:line="360" w:lineRule="auto"/>
        <w:rPr>
          <w:rFonts w:hint="eastAsia" w:ascii="宋体" w:hAnsi="宋体" w:eastAsia="宋体" w:cs="宋体"/>
          <w:color w:val="auto"/>
          <w:sz w:val="24"/>
          <w:szCs w:val="24"/>
          <w:highlight w:val="none"/>
          <w:lang w:val="zh-CN" w:eastAsia="zh-CN"/>
        </w:rPr>
        <w:outlineLvl w:val="0"/>
      </w:pPr>
      <w:r/>
      <w:bookmarkStart w:id="28" w:name="_Toc388026588"/>
      <w:r/>
      <w:bookmarkStart w:id="29" w:name="_Toc13329"/>
      <w:r/>
      <w:bookmarkStart w:id="30" w:name="_Toc409438748"/>
      <w:r/>
      <w:bookmarkStart w:id="31" w:name="_Toc21166"/>
      <w:r>
        <w:rPr>
          <w:rStyle w:val="1126"/>
          <w:rFonts w:hint="eastAsia" w:asciiTheme="minorEastAsia" w:hAnsiTheme="minorEastAsia" w:eastAsiaTheme="minorEastAsia" w:cstheme="minorEastAsia"/>
          <w:color w:val="auto"/>
          <w:sz w:val="24"/>
          <w:szCs w:val="24"/>
          <w:highlight w:val="none"/>
        </w:rPr>
        <w:br w:type="page" w:clear="all"/>
      </w:r>
      <w:bookmarkStart w:id="32" w:name="_Toc20348"/>
      <w:r/>
      <w:bookmarkStart w:id="33" w:name="_Toc23809"/>
      <w:r/>
      <w:bookmarkStart w:id="34" w:name="_Toc21559"/>
      <w:r>
        <w:rPr>
          <w:rStyle w:val="1126"/>
          <w:rFonts w:hint="eastAsia" w:asciiTheme="minorEastAsia" w:hAnsiTheme="minorEastAsia" w:eastAsiaTheme="minorEastAsia" w:cstheme="minorEastAsia"/>
          <w:color w:val="auto"/>
          <w:highlight w:val="none"/>
        </w:rPr>
        <w:t xml:space="preserve">第五章 </w:t>
      </w:r>
      <w:bookmarkStart w:id="35" w:name="合同一般条款"/>
      <w:r>
        <w:rPr>
          <w:rStyle w:val="1126"/>
          <w:rFonts w:hint="eastAsia" w:asciiTheme="minorEastAsia" w:hAnsiTheme="minorEastAsia" w:eastAsiaTheme="minorEastAsia" w:cstheme="minorEastAsia"/>
          <w:color w:val="auto"/>
          <w:highlight w:val="none"/>
        </w:rPr>
        <w:t xml:space="preserve">合同主要条款</w:t>
      </w:r>
      <w:bookmarkEnd w:id="32"/>
      <w:r/>
      <w:bookmarkEnd w:id="33"/>
      <w:r/>
      <w:bookmarkEnd w:id="34"/>
      <w:r/>
      <w:bookmarkEnd w:id="35"/>
      <w:r/>
      <w:r/>
    </w:p>
    <w:p>
      <w:pPr>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甲方：</w:t>
      </w:r>
      <w:r>
        <w:rPr>
          <w:rFonts w:hint="eastAsia" w:ascii="宋体" w:hAnsi="宋体" w:eastAsia="宋体" w:cs="宋体"/>
          <w:b w:val="0"/>
          <w:bCs w:val="0"/>
          <w:color w:val="auto"/>
          <w:sz w:val="24"/>
          <w:szCs w:val="24"/>
          <w:highlight w:val="none"/>
          <w:lang w:eastAsia="zh-CN" w:bidi="ar-SA"/>
        </w:rPr>
        <w:t xml:space="preserve">苏州大学附属第一医院</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rPr>
          <w:rFonts w:hint="eastAsia" w:ascii="宋体" w:hAnsi="宋体" w:eastAsia="宋体" w:cs="宋体"/>
          <w:b w:val="0"/>
          <w:bCs w:val="0"/>
          <w:color w:val="auto"/>
          <w:sz w:val="24"/>
          <w:szCs w:val="24"/>
          <w:highlight w:val="none"/>
          <w:lang w:eastAsia="zh-CN" w:bidi="ar-SA"/>
        </w:rPr>
        <w:t xml:space="preserve">苏州市姑苏区平海路899号</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rPr>
          <w:rFonts w:hint="eastAsia" w:ascii="宋体" w:hAnsi="宋体" w:eastAsia="宋体" w:cs="宋体"/>
          <w:b w:val="0"/>
          <w:bCs w:val="0"/>
          <w:color w:val="auto"/>
          <w:sz w:val="24"/>
          <w:szCs w:val="24"/>
          <w:highlight w:val="none"/>
          <w:lang w:eastAsia="zh-CN" w:bidi="ar-SA"/>
        </w:rPr>
        <w:t xml:space="preserve">215031</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乙方：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pStyle w:val="11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根据采购编号</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eastAsia="zh-CN" w:bidi="ar-SA"/>
        </w:rPr>
        <w:t xml:space="preserve">号招标文件及乙方中标的投标文件和中标通知书，甲乙双方就此次成交的</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eastAsia="zh-CN" w:bidi="ar-SA"/>
        </w:rPr>
        <w:t xml:space="preserve">事宜，签订本合同书。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（一）合同一般条款</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一、合同文件</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1、合同文件适用法律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适用于合同文件的法律是中华人民共和国现行法律、法规及甲方所在地的地方性法规。</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2、合同文件组成和解释顺序</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 合同文件的组成和解释顺序如下：</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2.1.1 合同的特殊性条款</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2.1.2 合同的一般性条款</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2.1.3 洽商、变更等明确双方权利义务的纪要、协议</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2.1.4 成交通知书、响应文件和招标文件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2.1.5 有关图纸</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2.1.6 标准、规范和其它有关技术资料、技术要求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2.2 合同的特殊性条款的效力优于合同的一般性条款的效力</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3、合同文件使用文字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3.1 合同文件使用中文书写、解释和说明</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二、标的物的一般条款</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1、完整物权</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注：本项目为交钥匙工程（设备如涉及与甲方端口或设备对接或改造现场设施等，相关费用均由乙方承担）。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val="zh-CN" w:eastAsia="zh-CN" w:bidi="ar-SA"/>
        </w:rPr>
        <w:t xml:space="preserve">2</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val="zh-CN" w:eastAsia="zh-CN" w:bidi="ar-SA"/>
        </w:rPr>
        <w:t xml:space="preserve">质量保证</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 乙方应保证所供标的物是原厂全新的，未使用过的，并且是非长期积压的库存商品（距离生产日期应在6个月内），完全</w:t>
      </w:r>
      <w:r>
        <w:rPr>
          <w:rFonts w:hint="eastAsia" w:ascii="宋体" w:hAnsi="宋体" w:eastAsia="宋体" w:cs="宋体"/>
          <w:color w:val="auto"/>
          <w:sz w:val="24"/>
          <w:szCs w:val="24"/>
          <w:lang w:eastAsia="zh-CN" w:bidi="ar-SA"/>
        </w:rPr>
        <w:t xml:space="preserve">符合合同规定的质量、规格和性能的要求，乙方应保证其提供的标的物在正确安装，正常使用和保养条件下，在其标明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2.3 除合同特殊条款规定外，合同条款成交的标的物的质保期均自标的物通过甲方最终验收之日起计算，若发生退回、维修或设备替换等情形，质保期自发生之日起，至标的物恢复正常使用之日止，停止计算。</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2.4 乙方再次承诺严格按照招招投标文件及本合同等文件所记载内容提供服务内容，包括且不限于整体要求、各类功能要求等。</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2.5 乙方承诺本合同所涉设备均与甲方要求和标准吻合，确保各类设备及设施均能正常运行，甲方无须另行添置任何设备或设施；如有，则由乙方承担全部费用，包括且不限于添置设备或设施费、改建费等。</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w:t>
      </w:r>
      <w:r>
        <w:rPr>
          <w:rFonts w:hint="eastAsia" w:ascii="宋体" w:hAnsi="宋体" w:eastAsia="宋体" w:cs="宋体"/>
          <w:color w:val="auto"/>
          <w:sz w:val="24"/>
          <w:szCs w:val="24"/>
          <w:lang w:eastAsia="zh-CN" w:bidi="ar-SA"/>
        </w:rPr>
        <w:t xml:space="preserve">、</w:t>
      </w:r>
      <w:r>
        <w:rPr>
          <w:rFonts w:hint="eastAsia" w:ascii="宋体" w:hAnsi="宋体" w:eastAsia="宋体" w:cs="宋体"/>
          <w:color w:val="auto"/>
          <w:sz w:val="24"/>
          <w:szCs w:val="24"/>
          <w:lang w:val="zh-CN" w:eastAsia="zh-CN" w:bidi="ar-SA"/>
        </w:rPr>
        <w:t xml:space="preserve">包装</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4、伴随服务（乙方对甲方待使用设施的周边配套实施等均已现场确认并认可，确保甲方无须另行添置设备或设施；且该部分费用已包括在合同总价内，甲方无须支付任何费用）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 乙方除应履行按期按量交付合格标的物的义务之外，还应提供下列服务。</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4.1.1 标的物的现场安装、启动、调试、培训、验收、维护、升级、监督、更换或设备替换等，以及招招投标文件等文件所记录的服务项目；</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4.1.2 提供标的物组装和一般维修所必须的工具；</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4.1.3 在合同规定的期限内对所提供标的物实行运行监督、维修服务的前提条件是该服务并不能免除乙方在质保期内所承担的义务；</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4.1.4 按甲方要求，对甲方技术人员进行技术指导或培训；提供系统完整专业的培训计划；提供厂家免费培训、并提供维修资料及中文的用户操作手册。</w:t>
      </w:r>
      <w:r/>
    </w:p>
    <w:p>
      <w:pPr>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lang w:eastAsia="zh-CN" w:bidi="ar-SA"/>
        </w:rPr>
        <w:t xml:space="preserve">4.2 除合同另有规定之外，其他所有费用均已含在合同价款中，甲方不再另行进行支付。</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三、标的物的交付、检验和验收</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1、标的物的交付</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1.1 标的物的所有权自标的物交付时转移。</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1.2 乙方应当按照约定的期限和约定的地点交付标的物。</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1.3 乙方应当按照约定或者交易习惯向甲方交付与标的物有关的一切单证和资料。 </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2、检验和验收</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 交货前，乙方应对标的物的各项指标进行全面检验，包括但不限于规格、性能、质量等一切可能影响合同目的实现的指标，并出具相应的检验合格证明，乙方对该检验证明的真实有效性负责。若检验证明不合格或未出具检验证明，甲方有权拒收标的物。该检验证明不作为标的物的最终检验结论。</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2.2 交货后，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2.3 验收期限自标的物交付之日起三十天内。特殊情况需延长的，双方应在合同的特殊条款中约定。</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2.4 若双方对上述任一报告的结果有异议，则由第三方专业机构进行检验，并以其检验结果为准。检验费用由有过错一方承担。</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3、货物交货时，包装须完整无破损，乙方还必须提供以下材料：</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3.1货物装箱清单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3.2合格证（国产设备必须提供）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3.3中英文技术资料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3.4使用维修保养中文说明书</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3.5其它必备材料和必备工具等       </w:t>
      </w:r>
      <w:r/>
    </w:p>
    <w:p>
      <w:pPr>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lang w:eastAsia="zh-CN" w:bidi="ar-SA"/>
        </w:rPr>
        <w:t xml:space="preserve">3.6保修单等其它必须材料</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四、对标的物提出异议的时间和办法</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1、对标的物提出异议的时间和办法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 甲方在验收过程中，应当于双方约定的检验期间内将标的物的数量或质量不符合约定的情形及处理方式以书面形式通知乙方。</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 如甲方在验收期满后既不出具验收合格证明又未提出书面异议的视为乙方所交标的物符合合同规定。</w:t>
      </w:r>
      <w:r/>
    </w:p>
    <w:p>
      <w:pPr>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lang w:eastAsia="zh-CN" w:bidi="ar-SA"/>
        </w:rPr>
        <w:t xml:space="preserve">1.3 乙方应在收到甲方书面异议后七天内负责处理问题，否则将视为默认甲方提出的异议和处理意见。</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五、合同价款和支付</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1、合同价款和支付</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 本合同的结算货币为人民币，单位元。</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 乙方应按照双方签订的合同规定交货并在合同特殊条款规定的期限内持下列单据结算货款。</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1.2.1 合格的销售发票；</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1.2.2 甲方盖章签收后的送货回单和验收合格证明。</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1.3 甲方应按合同特殊条款规定的期限和方式付款。</w:t>
      </w:r>
      <w:r/>
    </w:p>
    <w:p>
      <w:pPr>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lang w:eastAsia="zh-CN" w:bidi="ar-SA"/>
        </w:rPr>
        <w:t xml:space="preserve">1.4 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六、违约责任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若实际损失超过违约金的应按照实际损失承担赔偿责任，损失赔偿范围包括但不限于守约方的直接损失、间接损失及维权支出的各项费用（诉讼费、律师费、鉴定费、保全费等）。</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2、甲方违约责任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2.1 在合同生效后，甲方无正当理由要求退货的，应向乙方偿付合同总价款5%的违约金，违约金不足以补偿实际损失的，乙方有权要求甲方补足。</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2.2 甲方无故逾期付款的应按照逾期付款金额的每天万分之四支付逾期付款违约金。</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2.3 甲方无故违反合同规定，拒绝接收乙方交付的合格标的物，应当承担乙方由此造成的实际损失。</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3、乙方违约责任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3.1 乙方有下列行为之一的，甲方有权解除合同，要求乙方返还甲方所支付的任何款项并支付合同总价款20%的违约金，违约金不足以补偿实际损失的，甲方有权要求乙方补足：</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1）不能交货。乙方交货、安装、检验逾期超过15日（自然日）的，视为不能交货；</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2）交付的标的物不符合投标文件及合同约定；</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3）因可归责于乙方的情形导致标的物不能正常使用，致使甲方合同目的无法实现；</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4）其他合同约定的违约行为，致使甲方合同目的无法实现。</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注：乙方提供的货物中有不符合招标文件中的技术要求的，视为该种货物交付不合格。乙方提供的各种规格的货物中有任一种交付不合格的，视同为整个标的物的交付不合格。</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bidi="ar-SA"/>
        </w:rPr>
        <w:t xml:space="preserve">3.2 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ascii="宋体" w:hAnsi="宋体" w:eastAsia="宋体" w:cs="宋体"/>
          <w:sz w:val="24"/>
          <w:szCs w:val="24"/>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4、不可抗力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4.1 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lang w:eastAsia="zh-CN" w:bidi="ar-SA"/>
        </w:rPr>
        <w:t xml:space="preserve">4.2 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七、索赔</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1、索赔</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 甲方有权根据甲方所出具的验收证明、第三方质量检验机构或其他专业机构、组织、部门出具的检验证书向乙方提出赔偿请求。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 在本合同规定的检验期和质保期内，乙方同意甲方有权按下列一种或多种方式合并解决索赔事宜：</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1.2.2 根据标的物的低劣程度、损坏程度以及甲方遭受损失的数额，合并为甲方确定降低标的物的价格。</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1.2.3 用符合规格、质量和性能要求的原厂全新零件、部件或标的物来更换有缺陷的部分或修补缺陷部分，乙方应承担一切费用和风险并负担甲方所发生的一切直接费用。质保期自发生上述情形之日起，至标的物恢复正常使用之日止，停止计算。</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bidi="ar-SA"/>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zh-CN" w:eastAsia="zh-CN" w:bidi="ar-SA"/>
        </w:rPr>
        <w:t xml:space="preserve">八、合同的解除和转让（除已有约定外）</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1、合同的解除</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 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1.1.1 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1.1.2 合同期间，因合同一方违约并无法获得守约方认可，守约方有权解除合同、违约方则退回已收款项并需承担本合同总价款30%作为违约金，并按本合同第六条承担各项违约责任；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 xml:space="preserve">1.2 有权解除合同的一方，可在违约事实或不可抗力发生之后三天内书面通知对方以主张解除合同，合同在书面通知寄往对方时即告解除。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1.3 本合同当事人联系信息以国家企业信用信息公示系统等查询备注地址为准，适用于双方往来联系、书面文件送达及争议解决时法律文书（含裁判文书）送达。</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（二）合同特殊条款</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一、合同内容：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1、乙方负责完成甲方的</w:t>
      </w:r>
      <w:r>
        <w:rPr>
          <w:rFonts w:hint="eastAsia" w:ascii="宋体" w:hAnsi="宋体" w:eastAsia="宋体" w:cs="宋体"/>
          <w:color w:val="auto"/>
          <w:sz w:val="24"/>
          <w:szCs w:val="24"/>
          <w:highlight w:val="none"/>
          <w:u w:val="single"/>
          <w:lang w:val="zh-CN" w:eastAsia="zh-CN" w:bidi="ar-SA"/>
        </w:rPr>
        <w:t xml:space="preserve"> </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u w:val="single"/>
          <w:lang w:val="zh-CN" w:eastAsia="zh-CN" w:bidi="ar-SA"/>
        </w:rPr>
        <w:t xml:space="preserve"> </w:t>
      </w:r>
      <w:r>
        <w:rPr>
          <w:rFonts w:hint="eastAsia" w:ascii="宋体" w:hAnsi="宋体" w:eastAsia="宋体" w:cs="宋体"/>
          <w:color w:val="auto"/>
          <w:sz w:val="24"/>
          <w:szCs w:val="24"/>
          <w:highlight w:val="none"/>
          <w:lang w:val="zh-CN" w:eastAsia="zh-CN" w:bidi="ar-SA"/>
        </w:rPr>
        <w:t xml:space="preserve">，详见《标的物清单》。</w:t>
      </w:r>
      <w:r/>
    </w:p>
    <w:tbl>
      <w:tblPr>
        <w:tblStyle w:val="1113"/>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1701"/>
        <w:gridCol w:w="1276"/>
        <w:gridCol w:w="1701"/>
        <w:gridCol w:w="1701"/>
      </w:tblGrid>
      <w:tr>
        <w:trPr>
          <w:jc w:val="cente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品牌型号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单价（元）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总价（元）</w:t>
            </w:r>
            <w:r/>
          </w:p>
        </w:tc>
      </w:tr>
      <w:tr>
        <w:trPr>
          <w:jc w:val="center"/>
          <w:trHeight w:val="69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r>
      <w:tr>
        <w:trPr>
          <w:jc w:val="center"/>
          <w:trHeight w:val="690"/>
        </w:trPr>
        <w:tc>
          <w:tcPr>
            <w:gridSpan w:val="6"/>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合同总价（人民币大写）：</w:t>
            </w:r>
            <w:r>
              <w:rPr>
                <w:rFonts w:hint="eastAsia" w:ascii="宋体" w:hAnsi="宋体" w:eastAsia="宋体" w:cs="宋体"/>
                <w:color w:val="auto"/>
                <w:sz w:val="24"/>
                <w:szCs w:val="24"/>
                <w:highlight w:val="none"/>
                <w:lang w:eastAsia="zh-CN" w:bidi="ar-SA"/>
              </w:rPr>
              <w:t xml:space="preserve">        </w:t>
            </w:r>
            <w:r>
              <w:rPr>
                <w:rFonts w:hint="eastAsia" w:ascii="宋体" w:hAnsi="宋体" w:eastAsia="宋体" w:cs="宋体"/>
                <w:color w:val="auto"/>
                <w:sz w:val="24"/>
                <w:szCs w:val="24"/>
                <w:highlight w:val="none"/>
                <w:lang w:val="zh-CN" w:eastAsia="zh-CN" w:bidi="ar-SA"/>
              </w:rPr>
              <w:t xml:space="preserve">整（</w:t>
            </w:r>
            <w:r>
              <w:rPr>
                <w:rFonts w:hint="eastAsia" w:ascii="宋体" w:hAnsi="宋体" w:eastAsia="宋体" w:cs="宋体"/>
                <w:color w:val="auto"/>
                <w:sz w:val="24"/>
                <w:szCs w:val="24"/>
                <w:highlight w:val="none"/>
                <w:lang w:eastAsia="zh-CN" w:bidi="ar-SA"/>
              </w:rPr>
              <w:t xml:space="preserve">含税</w:t>
            </w:r>
            <w:r>
              <w:rPr>
                <w:rFonts w:hint="eastAsia" w:ascii="宋体" w:hAnsi="宋体" w:eastAsia="宋体" w:cs="宋体"/>
                <w:color w:val="auto"/>
                <w:sz w:val="24"/>
                <w:szCs w:val="24"/>
                <w:highlight w:val="none"/>
                <w:lang w:val="zh-CN" w:eastAsia="zh-CN" w:bidi="ar-SA"/>
              </w:rPr>
              <w:t xml:space="preserve">）         （小写）：￥</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①招投标文件及中标通知书；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②</w:t>
      </w:r>
      <w:r>
        <w:rPr>
          <w:rFonts w:hint="eastAsia" w:ascii="宋体" w:hAnsi="宋体" w:eastAsia="宋体" w:cs="宋体"/>
          <w:color w:val="auto"/>
          <w:sz w:val="24"/>
          <w:szCs w:val="24"/>
          <w:highlight w:val="none"/>
          <w:lang w:val="en-US" w:eastAsia="zh-CN" w:bidi="ar-SA"/>
        </w:rPr>
        <w:t xml:space="preserve">标的物</w:t>
      </w:r>
      <w:r>
        <w:rPr>
          <w:rFonts w:hint="eastAsia" w:ascii="宋体" w:hAnsi="宋体" w:eastAsia="宋体" w:cs="宋体"/>
          <w:color w:val="auto"/>
          <w:sz w:val="24"/>
          <w:szCs w:val="24"/>
          <w:highlight w:val="none"/>
          <w:lang w:val="zh-CN" w:eastAsia="zh-CN" w:bidi="ar-SA"/>
        </w:rPr>
        <w:t xml:space="preserve">详细参数；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③合同其他附件。</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二、价格与支付：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1、合同价格按此次成交价格执行，合同总金额为人民币大写：</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val="zh-CN" w:eastAsia="zh-CN" w:bidi="ar-SA"/>
        </w:rPr>
        <w:t xml:space="preserve">元整（</w:t>
      </w:r>
      <w:r>
        <w:rPr>
          <w:rFonts w:hint="eastAsia" w:ascii="宋体" w:hAnsi="宋体" w:eastAsia="宋体" w:cs="宋体"/>
          <w:color w:val="auto"/>
          <w:sz w:val="24"/>
          <w:szCs w:val="24"/>
          <w:highlight w:val="none"/>
          <w:lang w:eastAsia="zh-CN" w:bidi="ar-SA"/>
        </w:rPr>
        <w:t xml:space="preserve">含税</w:t>
      </w:r>
      <w:r>
        <w:rPr>
          <w:rFonts w:hint="eastAsia" w:ascii="宋体" w:hAnsi="宋体" w:eastAsia="宋体" w:cs="宋体"/>
          <w:color w:val="auto"/>
          <w:sz w:val="24"/>
          <w:szCs w:val="24"/>
          <w:highlight w:val="none"/>
          <w:lang w:val="zh-CN" w:eastAsia="zh-CN" w:bidi="ar-SA"/>
        </w:rPr>
        <w:t xml:space="preserve">）（小写：￥</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val="zh-CN" w:eastAsia="zh-CN" w:bidi="ar-SA"/>
        </w:rPr>
        <w:t xml:space="preserve">），包括但不限于本合同所涉全部设备、</w:t>
      </w:r>
      <w:r>
        <w:rPr>
          <w:rFonts w:hint="eastAsia" w:ascii="宋体" w:hAnsi="宋体" w:eastAsia="宋体" w:cs="宋体"/>
          <w:color w:val="auto"/>
          <w:szCs w:val="21"/>
          <w:highlight w:val="none"/>
          <w:lang w:val="en-US" w:eastAsia="zh-CN"/>
        </w:rPr>
        <w:t xml:space="preserve">软件系统、</w:t>
      </w:r>
      <w:r>
        <w:rPr>
          <w:rFonts w:hint="eastAsia" w:ascii="宋体" w:hAnsi="宋体" w:eastAsia="宋体" w:cs="宋体"/>
          <w:color w:val="auto"/>
          <w:sz w:val="24"/>
          <w:szCs w:val="24"/>
          <w:highlight w:val="none"/>
          <w:lang w:val="zh-CN" w:eastAsia="zh-CN" w:bidi="ar-SA"/>
        </w:rPr>
        <w:t xml:space="preserve">辅助材料、安装、调试、</w:t>
      </w:r>
      <w:r>
        <w:rPr>
          <w:rFonts w:hint="eastAsia" w:ascii="宋体" w:hAnsi="宋体" w:eastAsia="宋体" w:cs="宋体"/>
          <w:color w:val="auto"/>
          <w:sz w:val="24"/>
          <w:szCs w:val="24"/>
          <w:highlight w:val="none"/>
          <w:lang w:val="en-US" w:eastAsia="zh-CN" w:bidi="ar-SA"/>
        </w:rPr>
        <w:t xml:space="preserve">技术支持与</w:t>
      </w:r>
      <w:r>
        <w:rPr>
          <w:rFonts w:hint="eastAsia" w:ascii="宋体" w:hAnsi="宋体" w:eastAsia="宋体" w:cs="宋体"/>
          <w:color w:val="auto"/>
          <w:sz w:val="24"/>
          <w:szCs w:val="24"/>
          <w:highlight w:val="none"/>
          <w:lang w:val="zh-CN" w:eastAsia="zh-CN" w:bidi="ar-SA"/>
        </w:rPr>
        <w:t xml:space="preserve">培训、验收、人工、机械、运输、仓储、保险、运费、各种税费、劳保、与现有/后期设备对接费、</w:t>
      </w:r>
      <w:r>
        <w:rPr>
          <w:rFonts w:hint="eastAsia" w:ascii="宋体" w:hAnsi="宋体" w:eastAsia="宋体" w:cs="宋体"/>
          <w:color w:val="auto"/>
          <w:sz w:val="24"/>
          <w:szCs w:val="24"/>
          <w:highlight w:val="none"/>
          <w:lang w:val="en-US" w:eastAsia="zh-CN" w:bidi="ar-SA"/>
        </w:rPr>
        <w:t xml:space="preserve">代理服务费、国际（如果有）国内运输保险、报关清关（如果有）、开证（如果有）、办理全套免税手续费用（如果有）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专利技术及质保期间等一切费用；甲方无须支付其他任何费用。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2、付款方式：（由乙方进行勾选）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A、□在签订合同时，乙方明确表示需要甲方支付预付款的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采购合同签订生效后，甲方在10个工作日内向乙方支付合同金额30%的预付款。待全部货物到达甲方指定地点并安装</w:t>
      </w:r>
      <w:r>
        <w:rPr>
          <w:rFonts w:hint="eastAsia" w:ascii="宋体" w:hAnsi="宋体" w:eastAsia="宋体" w:cs="宋体"/>
          <w:color w:val="auto"/>
          <w:sz w:val="24"/>
          <w:szCs w:val="24"/>
          <w:highlight w:val="none"/>
          <w:lang w:val="en-US" w:eastAsia="zh-CN" w:bidi="ar-SA"/>
        </w:rPr>
        <w:t xml:space="preserve">调试</w:t>
      </w:r>
      <w:r>
        <w:rPr>
          <w:rFonts w:hint="eastAsia" w:ascii="宋体" w:hAnsi="宋体" w:eastAsia="宋体" w:cs="宋体"/>
          <w:color w:val="auto"/>
          <w:sz w:val="24"/>
          <w:szCs w:val="24"/>
          <w:highlight w:val="none"/>
          <w:lang w:val="zh-CN" w:eastAsia="zh-CN" w:bidi="ar-SA"/>
        </w:rPr>
        <w:t xml:space="preserve">结束，经甲方最终验收合格，并由乙方提前向甲方提供下列单据（a、b）后</w:t>
      </w:r>
      <w:r>
        <w:rPr>
          <w:rFonts w:hint="eastAsia" w:ascii="宋体" w:hAnsi="宋体" w:eastAsia="宋体" w:cs="宋体"/>
          <w:color w:val="auto"/>
          <w:sz w:val="24"/>
          <w:szCs w:val="24"/>
          <w:highlight w:val="none"/>
          <w:lang w:eastAsia="zh-CN" w:bidi="ar-SA"/>
        </w:rPr>
        <w:t xml:space="preserve">15</w:t>
      </w:r>
      <w:r>
        <w:rPr>
          <w:rFonts w:hint="eastAsia" w:ascii="宋体" w:hAnsi="宋体" w:eastAsia="宋体" w:cs="宋体"/>
          <w:color w:val="auto"/>
          <w:sz w:val="24"/>
          <w:szCs w:val="24"/>
          <w:highlight w:val="none"/>
          <w:lang w:val="zh-CN" w:eastAsia="zh-CN" w:bidi="ar-SA"/>
        </w:rPr>
        <w:t xml:space="preserve">日内，无任何异议情形下由甲方向乙方一次性付至合同总价90%，余10%在验收合格满一年后由甲方在</w:t>
      </w:r>
      <w:r>
        <w:rPr>
          <w:rFonts w:hint="eastAsia" w:ascii="宋体" w:hAnsi="宋体" w:eastAsia="宋体" w:cs="宋体"/>
          <w:color w:val="auto"/>
          <w:sz w:val="24"/>
          <w:szCs w:val="24"/>
          <w:highlight w:val="none"/>
          <w:lang w:eastAsia="zh-CN" w:bidi="ar-SA"/>
        </w:rPr>
        <w:t xml:space="preserve">15</w:t>
      </w:r>
      <w:r>
        <w:rPr>
          <w:rFonts w:hint="eastAsia" w:ascii="宋体" w:hAnsi="宋体" w:eastAsia="宋体" w:cs="宋体"/>
          <w:color w:val="auto"/>
          <w:sz w:val="24"/>
          <w:szCs w:val="24"/>
          <w:highlight w:val="none"/>
          <w:lang w:val="zh-CN" w:eastAsia="zh-CN" w:bidi="ar-SA"/>
        </w:rPr>
        <w:t xml:space="preserve">日内向乙方一次性付清。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B、☑在签订合同时，乙方明确表示无需甲方支付预付款的</w:t>
      </w:r>
      <w:r/>
    </w:p>
    <w:p>
      <w:pPr>
        <w:numPr>
          <w:ilvl w:val="255"/>
          <w:numId w:val="0"/>
        </w:numPr>
        <w:ind w:firstLine="480"/>
        <w:spacing w:line="360" w:lineRule="auto"/>
        <w:rPr>
          <w:rFonts w:ascii="宋体" w:hAnsi="宋体" w:cs="宋体"/>
          <w:strike/>
          <w:color w:val="auto"/>
          <w:szCs w:val="21"/>
          <w:highlight w:val="none"/>
        </w:rPr>
      </w:pPr>
      <w:r>
        <w:rPr>
          <w:rFonts w:hint="eastAsia" w:ascii="宋体" w:hAnsi="宋体" w:cs="宋体"/>
          <w:color w:val="auto"/>
          <w:szCs w:val="21"/>
          <w:highlight w:val="none"/>
        </w:rPr>
        <w:t xml:space="preserve">1、采购合同签订生效后，完成全部项目建设内容并上线试运行后，乙方向甲方提供下列单据(a、b)后30日内，甲方向乙方支付合同总价的30%；即人民币（大写）    (小写)     ；试运行完成，项目通过整体验收合格并交付使用后，乙方向甲方提供下列单据(b、c、d)后30日内，甲方向乙方支付合同总价的60%，即人民币（大写）    (小写)    ；整个项目验收合格且正常运行12个月后无质量问题，支付本项目合同总价的10%，即人民币（大写）     (小写)     。</w:t>
      </w:r>
      <w:r/>
    </w:p>
    <w:p>
      <w:pPr>
        <w:numPr>
          <w:ilvl w:val="255"/>
          <w:numId w:val="0"/>
        </w:num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2、乙方在申请付款时向甲方提供以下凭据：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a、《初步验收报告》；</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b、符合甲方财务要求开具的合法正规的增值税普通发票；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c、《项目验收报告》；</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d、其他(若有)。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3、付款方式：银行汇票或银行转账。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三、质量与验收：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1、乙方应按照招投标文件的相关要求提供合格产品；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2、产品质量出现问题或使用过程中出现故障等，乙方负责及时包修、包退、包换或全新替代设备、确保甲方正常运营，费用均由乙方承担；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en-US" w:eastAsia="zh-CN" w:bidi="ar-SA"/>
        </w:rPr>
        <w:t xml:space="preserve">硬件类</w:t>
      </w:r>
      <w:r>
        <w:rPr>
          <w:rFonts w:hint="eastAsia" w:ascii="宋体" w:hAnsi="宋体" w:eastAsia="宋体" w:cs="宋体"/>
          <w:color w:val="auto"/>
          <w:sz w:val="24"/>
          <w:szCs w:val="24"/>
          <w:highlight w:val="none"/>
          <w:lang w:val="zh-CN" w:eastAsia="zh-CN" w:bidi="ar-SA"/>
        </w:rPr>
        <w:t xml:space="preserve">产品的验收包括：数量、外观、质量、性能、质保单、品牌标志、包装和乙方承诺的其它指标；验收后使用阶段，甲方仍有权按本合同（一）合同一般条款</w:t>
      </w:r>
      <w:r>
        <w:rPr>
          <w:rFonts w:hint="eastAsia" w:ascii="宋体" w:hAnsi="宋体" w:eastAsia="宋体" w:cs="宋体"/>
          <w:color w:val="auto"/>
          <w:sz w:val="24"/>
          <w:szCs w:val="24"/>
          <w:highlight w:val="none"/>
          <w:lang w:eastAsia="zh-CN" w:bidi="ar-SA"/>
        </w:rPr>
        <w:t xml:space="preserve">中</w:t>
      </w:r>
      <w:r>
        <w:rPr>
          <w:rFonts w:hint="eastAsia" w:ascii="宋体" w:hAnsi="宋体" w:eastAsia="宋体" w:cs="宋体"/>
          <w:color w:val="auto"/>
          <w:sz w:val="24"/>
          <w:szCs w:val="24"/>
          <w:highlight w:val="none"/>
          <w:lang w:val="zh-CN" w:eastAsia="zh-CN" w:bidi="ar-SA"/>
        </w:rPr>
        <w:t xml:space="preserve">第二条及第四条等约定主张各项权利</w:t>
      </w:r>
      <w:r>
        <w:rPr>
          <w:rFonts w:hint="eastAsia" w:ascii="宋体" w:hAnsi="宋体" w:cs="宋体"/>
          <w:color w:val="auto"/>
          <w:sz w:val="24"/>
          <w:szCs w:val="24"/>
          <w:highlight w:val="none"/>
          <w:lang w:val="zh-CN" w:eastAsia="zh-CN" w:bidi="ar-SA"/>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ascii="Times New Roman" w:hAnsi="Times New Roman" w:eastAsia="宋体" w:cs="Times New Roman"/>
          <w:color w:val="auto"/>
          <w:szCs w:val="21"/>
          <w:highlight w:val="none"/>
          <w:lang w:val="zh-CN"/>
        </w:rPr>
        <w:t xml:space="preserve">乙方应对软件质量负责，应保证提供有经验的工程师</w:t>
      </w:r>
      <w:r>
        <w:rPr>
          <w:rFonts w:hint="eastAsia" w:ascii="Times New Roman" w:hAnsi="Times New Roman" w:eastAsia="宋体" w:cs="Times New Roman"/>
          <w:color w:val="auto"/>
          <w:szCs w:val="21"/>
          <w:highlight w:val="none"/>
          <w:lang w:val="zh-CN"/>
        </w:rPr>
        <w:t xml:space="preserve">，</w:t>
      </w:r>
      <w:r>
        <w:rPr>
          <w:rFonts w:ascii="Times New Roman" w:hAnsi="Times New Roman" w:eastAsia="宋体" w:cs="Times New Roman"/>
          <w:color w:val="auto"/>
          <w:szCs w:val="21"/>
          <w:highlight w:val="none"/>
          <w:lang w:val="zh-CN"/>
        </w:rPr>
        <w:t xml:space="preserve">并保证甲方在培训后能够独立地完成软件安装、维护和使用</w:t>
      </w:r>
      <w:r>
        <w:rPr>
          <w:rFonts w:hint="eastAsia" w:eastAsia="宋体" w:cs="Times New Roman"/>
          <w:color w:val="auto"/>
          <w:szCs w:val="21"/>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验收标准：根据招投标文件要求及有关规定并按国家最新行业标准确保甲方验收通过；</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验收时间：项目完成全部建设内容后，乙方完成安装调试，项目试运行一个月后，无质量问题，30天内组织验收。</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四、</w:t>
      </w:r>
      <w:r>
        <w:rPr>
          <w:rFonts w:hint="eastAsia" w:asciiTheme="minorEastAsia" w:hAnsiTheme="minorEastAsia" w:eastAsiaTheme="minorEastAsia" w:cstheme="minorEastAsia"/>
          <w:sz w:val="24"/>
          <w:szCs w:val="24"/>
          <w:highlight w:val="none"/>
        </w:rPr>
        <w:t xml:space="preserve">安装实施要求：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1、所有安装施工材料质量必须严格按照国家规范及江苏省或项目交付所在地相关规范、招标文件、材料厂家的技术规范的有关要求执行。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应对安装实施安全、质量全面负责，如</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原因造成质量、安全事故，</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承担一切经济法律责任。</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3、实施期间，</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应无条件的接受采</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的质量监督，提出的质量问题要及时整改，整改完毕后通知</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检查验收，合格后书面报送</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备案。</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必须建立健全质量检查制度，严格工序管理，隐蔽工程在隐蔽前应通知</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检查验收；本着谁实施谁负责产品保护，谁破坏产品谁负责赔偿的原则，</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必须采取切实有效的产品保护措施，并编制相应的产品保护方案报</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批准同意后组织实施。</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sz w:val="24"/>
          <w:szCs w:val="24"/>
          <w:highlight w:val="none"/>
        </w:rPr>
        <w:t xml:space="preserve">5、中标后</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须签订数据安全保密协议（详见合同附件一），确保</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数据不外泄。</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五</w:t>
      </w:r>
      <w:r>
        <w:rPr>
          <w:rFonts w:hint="eastAsia" w:asciiTheme="minorEastAsia" w:hAnsiTheme="minorEastAsia" w:eastAsiaTheme="minorEastAsia" w:cstheme="minorEastAsia"/>
          <w:b/>
          <w:bCs/>
          <w:color w:val="auto"/>
          <w:sz w:val="24"/>
          <w:szCs w:val="24"/>
          <w:highlight w:val="none"/>
          <w:lang w:val="zh-CN" w:eastAsia="zh-CN" w:bidi="ar-SA"/>
        </w:rPr>
        <w:t xml:space="preserve">、售后服务</w:t>
      </w:r>
      <w:r>
        <w:rPr>
          <w:rFonts w:hint="eastAsia" w:asciiTheme="minorEastAsia" w:hAnsiTheme="minorEastAsia" w:eastAsiaTheme="minorEastAsia" w:cstheme="minorEastAsia"/>
          <w:b w:val="0"/>
          <w:bCs w:val="0"/>
          <w:color w:val="auto"/>
          <w:sz w:val="24"/>
          <w:szCs w:val="24"/>
          <w:highlight w:val="none"/>
          <w:lang w:val="zh-CN" w:eastAsia="zh-CN" w:bidi="ar-SA"/>
        </w:rPr>
        <w:t xml:space="preserve">（乙方承诺严格按招投标文件等“售后</w:t>
      </w:r>
      <w:r>
        <w:rPr>
          <w:rFonts w:hint="eastAsia" w:ascii="宋体" w:hAnsi="宋体" w:eastAsia="宋体" w:cs="宋体"/>
          <w:b w:val="0"/>
          <w:bCs w:val="0"/>
          <w:color w:val="auto"/>
          <w:sz w:val="24"/>
          <w:szCs w:val="24"/>
          <w:highlight w:val="none"/>
          <w:lang w:val="zh-CN" w:eastAsia="zh-CN" w:bidi="ar-SA"/>
        </w:rPr>
        <w:t xml:space="preserve">服务要求”提供全部服务；售后服务费用已包括在总费用内，甲方无须另行支付其他任何费用）：</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1、质保期：乙方承诺提供</w:t>
      </w:r>
      <w:r>
        <w:rPr>
          <w:rFonts w:hint="eastAsia" w:ascii="宋体" w:hAnsi="宋体" w:eastAsia="宋体" w:cs="宋体"/>
          <w:sz w:val="24"/>
          <w:szCs w:val="24"/>
          <w:highlight w:val="none"/>
          <w:lang w:val="zh-CN"/>
        </w:rPr>
        <w:t xml:space="preserve">5年质保及特征库升级</w:t>
      </w:r>
      <w:r>
        <w:rPr>
          <w:rFonts w:hint="eastAsia" w:ascii="宋体" w:hAnsi="宋体" w:eastAsia="宋体" w:cs="宋体"/>
          <w:b w:val="0"/>
          <w:bCs w:val="0"/>
          <w:color w:val="auto"/>
          <w:sz w:val="24"/>
          <w:szCs w:val="24"/>
          <w:highlight w:val="none"/>
          <w:lang w:val="zh-CN" w:eastAsia="zh-CN" w:bidi="ar-SA"/>
        </w:rPr>
        <w:t xml:space="preserve">（质保期自甲方验收合格日起计算；合同期间若发生退回、维修或设备替换等情形，质保期自发生之日起，至标的物恢复正常使用之日止，停止计算。）在免费维护期内，乙方应成立专门的技术支持和售后服务小组，提供完善周到的本地化服务，提供7*24小时免费维修服务热线，设备（含软件、电脑系统&lt;如有&gt;）一旦发生故障，报修后30分钟响应，48小时内到达现场，72小时内排除故障，72小时内无法排除故障的，须允诺提供备用设备，具体赔偿条件：72小时内设备未能修复、不能正常运行时，每超过1天免费质保期延长1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2、提供专业的技术培训（操作、维修），保证甲方操作人员正常使用设备的各项功能。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3、在质保期内，乙方承诺无偿并迅速更换由于元器件缺陷及工艺等问题而发生故障的产品，并对因维修、保养，更换零部件等所发生的一切费用，均由乙方承担。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4、如有其他项目需乙方配合完成，乙方须无条件派相关工程师现场配合，直至该项目完成，对此甲方无须承担任何费用。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6、质保期后维保价格不超过合同总价的5%；免费质保期后，甲方可以在任意年度或时间段购买、投保，没有连续续签的要求，乙方对此予以认可及接受、并承担设备更新迭代的相关费用。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7、乙方应提供软件版本免费升级服务（在不涉及硬件情况下）。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乙方不得以“密码”制约用户。如用户工作和维修需要，应无条件免费开放密码。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乙方产品对甲方以后设备、系统永久无偿开放。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如发生乙方怠于提供上述义务而导致甲方损失等,甲方有权要求乙方予以赔偿。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ascii="宋体" w:hAnsi="宋体" w:eastAsia="宋体" w:cs="宋体"/>
          <w:color w:val="auto"/>
          <w:sz w:val="24"/>
          <w:szCs w:val="24"/>
          <w:highlight w:val="none"/>
          <w:lang w:eastAsia="zh-CN" w:bidi="ar-SA"/>
        </w:rPr>
        <w:t xml:space="preserve">中</w:t>
      </w:r>
      <w:r>
        <w:rPr>
          <w:rFonts w:hint="eastAsia" w:ascii="宋体" w:hAnsi="宋体" w:eastAsia="宋体" w:cs="宋体"/>
          <w:color w:val="auto"/>
          <w:sz w:val="24"/>
          <w:szCs w:val="24"/>
          <w:highlight w:val="none"/>
          <w:lang w:val="zh-CN" w:eastAsia="zh-CN" w:bidi="ar-SA"/>
        </w:rPr>
        <w:t xml:space="preserve">第六条的约定主张全部违约责任。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bidi="ar-SA"/>
        </w:rPr>
        <w:t xml:space="preserve">8、甲方如有其他项目需乙方配合完成，乙方须无条件免费派相关工程师现场配合，直至</w:t>
      </w:r>
      <w:bookmarkStart w:id="42" w:name="_GoBack"/>
      <w:r>
        <w:rPr>
          <w:rFonts w:hint="eastAsia" w:ascii="宋体" w:hAnsi="宋体" w:eastAsia="宋体" w:cs="宋体"/>
          <w:color w:val="auto"/>
          <w:sz w:val="24"/>
          <w:szCs w:val="24"/>
          <w:highlight w:val="none"/>
          <w:lang w:val="zh-CN" w:eastAsia="zh-CN" w:bidi="ar-SA"/>
        </w:rPr>
        <w:t xml:space="preserve">该项目完成。</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、知识产权及保密义务：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双方同意：在合同履行期内及合同履行终止后十年内，对本合同项目内容及双方相关资料包括但不限于各类数据、检测报告、价格、商业信息均予以保密，除非保密信息已通过正当途径为公众所知，或披露方事先书面授权披露，一方未经另一方事先的书面许可，不得向任何第三方披露，也不得将保密信息用于与本合同条款不相符合的任何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2、各方仅向因职责所需而需要了解上述保密信息的工作人员披露保密信息，且该工作人员经双方协商授权确定，并应采取所有合理的防范措施防止不经授权的披露。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3、双方保证，如相关信息涉及患者的个人信息的，应当严格遵守保密义务及《中华人民共和国个人信息保护法》等相关法律法规。</w:t>
      </w:r>
      <w:r/>
    </w:p>
    <w:p>
      <w:pPr>
        <w:ind w:firstLine="480"/>
        <w:jc w:val="left"/>
        <w:spacing w:line="360" w:lineRule="auto"/>
        <w:rPr>
          <w:rFonts w:hint="eastAsia" w:ascii="宋体" w:hAnsi="宋体" w:eastAsia="宋体" w:cs="宋体"/>
          <w:color w:val="auto"/>
          <w:szCs w:val="24"/>
          <w:highlight w:val="none"/>
          <w:lang w:val="zh-CN" w:eastAsia="zh-CN"/>
        </w:rPr>
      </w:pPr>
      <w:r>
        <w:rPr>
          <w:rFonts w:hint="eastAsia" w:ascii="宋体" w:hAnsi="宋体" w:cs="宋体"/>
          <w:color w:val="auto"/>
          <w:sz w:val="24"/>
          <w:szCs w:val="24"/>
          <w:highlight w:val="none"/>
          <w:lang w:val="zh-CN" w:eastAsia="zh-CN"/>
        </w:rPr>
        <w:t xml:space="preserve">4、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zh-CN" w:eastAsia="zh-CN" w:bidi="ar-SA"/>
        </w:rPr>
        <w:t xml:space="preserve">、交货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1、交货要求：</w:t>
      </w:r>
      <w:r>
        <w:rPr>
          <w:rFonts w:hint="eastAsia" w:ascii="宋体" w:hAnsi="宋体" w:cs="宋体"/>
          <w:color w:val="auto"/>
          <w:sz w:val="24"/>
          <w:szCs w:val="24"/>
          <w:highlight w:val="none"/>
          <w:lang w:val="zh-CN" w:eastAsia="zh-CN" w:bidi="ar-SA"/>
        </w:rPr>
        <w:t xml:space="preserve">在合同签订生效后一个月内送货并安装调试完成。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2、交货地点：甲方指定地点。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3、乙方须在交货时向甲方出具满足质保期要求的原厂质保证明文件，否则甲方有权终止合同并由乙方承担因此带来的一切损失。</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zh-CN" w:eastAsia="zh-CN" w:bidi="ar-SA"/>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违约责任按合同一般条款第六条执行。</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bidi="ar-SA"/>
        </w:rPr>
        <w:t xml:space="preserve">九</w:t>
      </w:r>
      <w:r>
        <w:rPr>
          <w:rFonts w:hint="eastAsia" w:ascii="宋体" w:hAnsi="宋体" w:eastAsia="宋体" w:cs="宋体"/>
          <w:b/>
          <w:bCs/>
          <w:color w:val="auto"/>
          <w:sz w:val="24"/>
          <w:szCs w:val="24"/>
          <w:highlight w:val="none"/>
          <w:lang w:val="zh-CN" w:eastAsia="zh-CN" w:bidi="ar-SA"/>
        </w:rPr>
        <w:t xml:space="preserve">、争议解决办法：</w:t>
      </w:r>
      <w:bookmarkEnd w:id="4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若因本合同或与本合同有关的一切事项发生争议，首先由双方友好协商解决。如协商不成的，任何一方均可向甲方所在地的人民法院起诉。</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十</w:t>
      </w:r>
      <w:r>
        <w:rPr>
          <w:rFonts w:hint="eastAsia" w:ascii="宋体" w:hAnsi="宋体" w:eastAsia="宋体" w:cs="宋体"/>
          <w:b/>
          <w:bCs/>
          <w:color w:val="auto"/>
          <w:sz w:val="24"/>
          <w:szCs w:val="24"/>
          <w:highlight w:val="none"/>
          <w:lang w:val="zh-CN" w:eastAsia="zh-CN" w:bidi="ar-SA"/>
        </w:rPr>
        <w:t xml:space="preserve">、合同生效及其它：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eastAsia="zh-CN" w:bidi="ar-SA"/>
        </w:rPr>
        <w:t xml:space="preserve">本合同经双方法定(授权)代表人签字(或盖章)并盖单位公章(合同章)后生效。</w:t>
      </w:r>
      <w:r>
        <w:rPr>
          <w:rFonts w:hint="eastAsia" w:ascii="宋体" w:hAnsi="宋体" w:eastAsia="宋体" w:cs="宋体"/>
          <w:color w:val="auto"/>
          <w:sz w:val="24"/>
          <w:szCs w:val="24"/>
          <w:highlight w:val="none"/>
          <w:lang w:val="zh-CN" w:eastAsia="zh-CN" w:bidi="ar-SA"/>
        </w:rPr>
        <w:t xml:space="preserve">本合同一式</w:t>
      </w: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zh-CN" w:eastAsia="zh-CN" w:bidi="ar-SA"/>
        </w:rPr>
        <w:t xml:space="preserve">份，甲方</w:t>
      </w: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zh-CN" w:eastAsia="zh-CN" w:bidi="ar-SA"/>
        </w:rPr>
        <w:t xml:space="preserve">份，乙方一份，招标代理机构一份。</w:t>
      </w:r>
      <w:r/>
    </w:p>
    <w:p>
      <w:pPr>
        <w:ind w:firstLine="480"/>
        <w:jc w:val="center"/>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2、本合同在执行过程中出现的未尽事宜，双方在不违背本合同和招标文件的原则下协商解决，协商一致后另行订立书面补充协议，作为本合同的附件，与本合同具有同等效力。</w:t>
      </w:r>
      <w:r/>
    </w:p>
    <w:p>
      <w:pPr>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br w:type="page" w:clear="all"/>
      </w:r>
      <w:r/>
    </w:p>
    <w:tbl>
      <w:tblPr>
        <w:tblStyle w:val="1092"/>
        <w:tblW w:w="9716" w:type="dxa"/>
        <w:jc w:val="center"/>
        <w:tblLayout w:type="fixed"/>
        <w:tblCellMar>
          <w:left w:w="108" w:type="dxa"/>
          <w:top w:w="0" w:type="dxa"/>
          <w:right w:w="108" w:type="dxa"/>
          <w:bottom w:w="0" w:type="dxa"/>
        </w:tblCellMar>
        <w:tblLook w:val="04A0" w:firstRow="1" w:lastRow="0" w:firstColumn="1" w:lastColumn="0" w:noHBand="0" w:noVBand="1"/>
      </w:tblPr>
      <w:tblGrid>
        <w:gridCol w:w="1646"/>
        <w:gridCol w:w="1486"/>
        <w:gridCol w:w="1839"/>
        <w:gridCol w:w="236"/>
        <w:gridCol w:w="1553"/>
        <w:gridCol w:w="2956"/>
      </w:tblGrid>
      <w:tr>
        <w:trPr>
          <w:jc w:val="center"/>
          <w:trHeight w:val="523" w:hRule="exact"/>
        </w:trPr>
        <w:tc>
          <w:tcPr>
            <w:gridSpan w:val="3"/>
            <w:tcW w:w="49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523"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10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9"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w:t>
            </w:r>
            <w:r/>
          </w:p>
        </w:tc>
        <w:tc>
          <w:tcPr>
            <w:gridSpan w:val="2"/>
            <w:tcW w:w="3325" w:type="dxa"/>
            <w:vAlign w:val="center"/>
            <w:textDirection w:val="lrTb"/>
            <w:noWrap w:val="false"/>
          </w:tcPr>
          <w:p>
            <w:pPr>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17" w:hRule="exact"/>
        </w:trPr>
        <w:tc>
          <w:tcPr>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10"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92"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285"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8" w:hRule="exact"/>
        </w:trPr>
        <w:tc>
          <w:tcPr>
            <w:tcBorders>
              <w:bottom w:val="none" w:color="000000" w:sz="4" w:space="0"/>
            </w:tcBorders>
            <w:tcW w:w="1646" w:type="dxa"/>
            <w:vAlign w:val="center"/>
            <w:textDirection w:val="lrTb"/>
            <w:noWrap w:val="false"/>
          </w:tcPr>
          <w:p>
            <w:pPr>
              <w:ind w:left="0" w:firstLine="0"/>
              <w:jc w:val="cente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80"/>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ind w:firstLine="0"/>
        <w:rPr>
          <w:rFonts w:hint="eastAsia" w:ascii="宋体" w:hAnsi="宋体" w:eastAsia="宋体" w:cs="宋体"/>
          <w:color w:val="auto"/>
          <w:sz w:val="24"/>
          <w:szCs w:val="24"/>
          <w:highlight w:val="none"/>
          <w:lang w:val="en-US" w:eastAsia="zh-CN"/>
        </w:rPr>
      </w:pPr>
      <w:r/>
      <w:bookmarkStart w:id="36" w:name="_Toc454782033"/>
      <w:r>
        <w:rPr>
          <w:rFonts w:hint="eastAsia" w:ascii="宋体" w:hAnsi="宋体" w:eastAsia="宋体" w:cs="宋体"/>
          <w:color w:val="auto"/>
          <w:sz w:val="24"/>
          <w:szCs w:val="24"/>
          <w:highlight w:val="none"/>
          <w:lang w:val="en-US" w:eastAsia="zh-CN"/>
        </w:rPr>
        <w:t xml:space="preserve">附件一：保密协议</w:t>
      </w:r>
      <w:bookmarkEnd w:id="36"/>
      <w:r/>
      <w:r/>
    </w:p>
    <w:p>
      <w:pPr>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lang w:eastAsia="zh-CN"/>
        </w:rPr>
        <w:t xml:space="preserve">件一：</w:t>
      </w:r>
      <w:bookmarkStart w:id="37" w:name="_Hlk155793295"/>
      <w:r>
        <w:rPr>
          <w:rFonts w:hint="eastAsia" w:ascii="宋体" w:hAnsi="宋体" w:eastAsia="宋体" w:cs="宋体"/>
          <w:color w:val="auto"/>
          <w:sz w:val="24"/>
          <w:szCs w:val="24"/>
          <w:highlight w:val="none"/>
          <w:lang w:val="en-US" w:eastAsia="zh-CN"/>
        </w:rPr>
        <w:t xml:space="preserve">标的物</w:t>
      </w:r>
      <w:r>
        <w:rPr>
          <w:rFonts w:hint="eastAsia" w:ascii="宋体" w:hAnsi="宋体" w:eastAsia="宋体" w:cs="宋体"/>
          <w:color w:val="auto"/>
          <w:sz w:val="24"/>
          <w:szCs w:val="24"/>
          <w:highlight w:val="none"/>
          <w:lang w:eastAsia="zh-CN"/>
        </w:rPr>
        <w:t xml:space="preserve">详细参数</w:t>
      </w:r>
      <w:bookmarkEnd w:id="37"/>
      <w:r/>
      <w:r/>
    </w:p>
    <w:p>
      <w:pPr>
        <w:ind w:firstLine="0"/>
        <w:rPr>
          <w:rFonts w:ascii="黑体" w:eastAsia="黑体" w:cs="宋体"/>
          <w:b/>
          <w:bCs/>
          <w:color w:val="auto"/>
          <w:sz w:val="40"/>
          <w:szCs w:val="40"/>
          <w:highlight w:val="none"/>
          <w:lang w:eastAsia="zh-CN" w:bidi="ar-SA"/>
        </w:rPr>
      </w:pP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bookmarkStart w:id="38" w:name="_Hlk155793311"/>
      <w:r>
        <w:rPr>
          <w:rFonts w:hint="eastAsia" w:ascii="宋体" w:hAnsi="宋体" w:eastAsia="宋体" w:cs="宋体"/>
          <w:color w:val="auto"/>
          <w:sz w:val="24"/>
          <w:szCs w:val="24"/>
          <w:highlight w:val="none"/>
          <w:lang w:eastAsia="zh-CN"/>
        </w:rPr>
        <w:t xml:space="preserve">项目服务人员名单</w:t>
      </w:r>
      <w:bookmarkEnd w:id="38"/>
      <w:r/>
      <w:r/>
    </w:p>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pStyle w:val="1106"/>
        <w:jc w:val="left"/>
        <w:rPr>
          <w:rFonts w:hint="default"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t xml:space="preserve">附件一：                            </w:t>
      </w:r>
      <w:r>
        <w:rPr>
          <w:rFonts w:hint="eastAsia" w:ascii="Times New Roman" w:hAnsi="Times New Roman" w:eastAsia="宋体" w:cs="Times New Roman"/>
          <w:b/>
          <w:bCs/>
          <w:color w:val="auto"/>
          <w:spacing w:val="0"/>
          <w:sz w:val="24"/>
          <w:szCs w:val="24"/>
          <w:highlight w:val="none"/>
          <w:lang w:val="en-US" w:eastAsia="zh-CN" w:bidi="en-US"/>
        </w:rPr>
        <w:t xml:space="preserve">保密协议</w:t>
      </w:r>
      <w:r/>
    </w:p>
    <w:p>
      <w:pPr>
        <w:ind w:firstLine="480"/>
        <w:jc w:val="left"/>
        <w:spacing w:line="288"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甲方（披露方）：苏州大学附属第一医院</w:t>
      </w:r>
      <w:r/>
    </w:p>
    <w:p>
      <w:pPr>
        <w:ind w:firstLine="480"/>
        <w:jc w:val="left"/>
        <w:spacing w:line="288"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乙方（接收方）：                   </w:t>
      </w:r>
      <w:r/>
    </w:p>
    <w:p>
      <w:pPr>
        <w:ind w:firstLine="480"/>
        <w:jc w:val="left"/>
        <w:spacing w:line="288"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为加强甲方信息技术资料和数据的保密管理，双方根据国家有关法律法规，本着平等、自愿、协商一致、诚实信用的原则，就乙方为甲方</w:t>
      </w:r>
      <w:r>
        <w:rPr>
          <w:rFonts w:hint="eastAsia" w:asciiTheme="minorEastAsia" w:hAnsiTheme="minorEastAsia" w:eastAsiaTheme="minorEastAsia" w:cstheme="minorEastAsia"/>
          <w:color w:val="auto"/>
          <w:sz w:val="24"/>
          <w:szCs w:val="24"/>
          <w:highlight w:val="none"/>
          <w:u w:val="single"/>
          <w:lang w:eastAsia="zh-CN"/>
        </w:rPr>
        <w:t xml:space="preserve"> 苏大附一院信息安全设备一批 </w:t>
      </w:r>
      <w:r>
        <w:rPr>
          <w:rFonts w:hint="eastAsia" w:asciiTheme="minorEastAsia" w:hAnsiTheme="minorEastAsia" w:eastAsiaTheme="minorEastAsia" w:cstheme="minorEastAsia"/>
          <w:color w:val="auto"/>
          <w:sz w:val="24"/>
          <w:szCs w:val="24"/>
          <w:highlight w:val="none"/>
          <w:lang w:eastAsia="zh-CN"/>
        </w:rPr>
        <w:t xml:space="preserve">项目/系统（下称项目）等工作中的保密事宜达成如下协议：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一、保密信息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（一）在项目中所涉及的项目设计、图片、开发工具、流程图、工程设计图、</w:t>
      </w:r>
      <w:r>
        <w:rPr>
          <w:rFonts w:hint="eastAsia" w:asciiTheme="minorEastAsia" w:hAnsiTheme="minorEastAsia" w:eastAsiaTheme="minorEastAsia" w:cstheme="minorEastAsia"/>
          <w:color w:val="auto"/>
          <w:sz w:val="24"/>
          <w:szCs w:val="24"/>
          <w:highlight w:val="none"/>
          <w:lang w:val="en-US" w:eastAsia="zh-CN"/>
        </w:rPr>
        <w:t xml:space="preserve">硬件设备、</w:t>
      </w:r>
      <w:r>
        <w:rPr>
          <w:rFonts w:hint="eastAsia" w:asciiTheme="minorEastAsia" w:hAnsiTheme="minorEastAsia" w:eastAsiaTheme="minorEastAsia" w:cstheme="minorEastAsia"/>
          <w:color w:val="auto"/>
          <w:sz w:val="24"/>
          <w:szCs w:val="24"/>
          <w:highlight w:val="none"/>
          <w:lang w:eastAsia="zh-CN"/>
        </w:rPr>
        <w:t xml:space="preserve">计算机程序、数据、专利技术、招标文件、</w:t>
      </w:r>
      <w:r>
        <w:rPr>
          <w:rFonts w:hint="eastAsia" w:asciiTheme="minorEastAsia" w:hAnsiTheme="minorEastAsia" w:eastAsiaTheme="minorEastAsia" w:cstheme="minorEastAsia"/>
          <w:color w:val="auto"/>
          <w:sz w:val="24"/>
          <w:szCs w:val="24"/>
          <w:highlight w:val="none"/>
          <w:lang w:val="en-US" w:eastAsia="zh-CN"/>
        </w:rPr>
        <w:t xml:space="preserve">验收文件</w:t>
      </w:r>
      <w:r>
        <w:rPr>
          <w:rFonts w:hint="eastAsia" w:asciiTheme="minorEastAsia" w:hAnsiTheme="minorEastAsia" w:eastAsiaTheme="minorEastAsia" w:cstheme="minorEastAsia"/>
          <w:color w:val="auto"/>
          <w:sz w:val="24"/>
          <w:szCs w:val="24"/>
          <w:highlight w:val="none"/>
          <w:lang w:eastAsia="zh-CN"/>
        </w:rPr>
        <w:t xml:space="preserve">等内容（</w:t>
      </w:r>
      <w:r>
        <w:rPr>
          <w:rFonts w:hint="eastAsia" w:asciiTheme="minorEastAsia" w:hAnsiTheme="minorEastAsia" w:eastAsiaTheme="minorEastAsia" w:cstheme="minorEastAsia"/>
          <w:color w:val="auto"/>
          <w:sz w:val="24"/>
          <w:szCs w:val="24"/>
          <w:highlight w:val="none"/>
          <w:lang w:val="en-US" w:eastAsia="zh-CN"/>
        </w:rPr>
        <w:t xml:space="preserve">含电子文档</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（二）甲方在合同项目实施中为乙方及乙方工作人员提供必要的数据、程序、用户名、口令和资料等；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（三）甲方应用软</w:t>
      </w:r>
      <w:r>
        <w:rPr>
          <w:rFonts w:hint="eastAsia" w:asciiTheme="minorEastAsia" w:hAnsiTheme="minorEastAsia" w:eastAsiaTheme="minorEastAsia" w:cstheme="minorEastAsia"/>
          <w:color w:val="auto"/>
          <w:sz w:val="24"/>
          <w:szCs w:val="24"/>
          <w:highlight w:val="none"/>
          <w:lang w:val="en-US" w:eastAsia="zh-CN"/>
        </w:rPr>
        <w:t xml:space="preserve">硬</w:t>
      </w:r>
      <w:r>
        <w:rPr>
          <w:rFonts w:hint="eastAsia" w:asciiTheme="minorEastAsia" w:hAnsiTheme="minorEastAsia" w:eastAsiaTheme="minorEastAsia" w:cstheme="minorEastAsia"/>
          <w:color w:val="auto"/>
          <w:sz w:val="24"/>
          <w:szCs w:val="24"/>
          <w:highlight w:val="none"/>
          <w:lang w:eastAsia="zh-CN"/>
        </w:rPr>
        <w:t xml:space="preserve">件在方案调研、开发阶段、</w:t>
      </w:r>
      <w:r>
        <w:rPr>
          <w:rFonts w:hint="eastAsia" w:asciiTheme="minorEastAsia" w:hAnsiTheme="minorEastAsia" w:eastAsiaTheme="minorEastAsia" w:cstheme="minorEastAsia"/>
          <w:color w:val="auto"/>
          <w:sz w:val="24"/>
          <w:szCs w:val="24"/>
          <w:highlight w:val="none"/>
          <w:lang w:val="en-US" w:eastAsia="zh-CN"/>
        </w:rPr>
        <w:t xml:space="preserve">实施阶段、验收阶段、维保阶段</w:t>
      </w:r>
      <w:r>
        <w:rPr>
          <w:rFonts w:hint="eastAsia" w:asciiTheme="minorEastAsia" w:hAnsiTheme="minorEastAsia" w:eastAsiaTheme="minorEastAsia" w:cstheme="minorEastAsia"/>
          <w:color w:val="auto"/>
          <w:sz w:val="24"/>
          <w:szCs w:val="24"/>
          <w:highlight w:val="none"/>
          <w:lang w:eastAsia="zh-CN"/>
        </w:rPr>
        <w:t xml:space="preserve">中</w:t>
      </w:r>
      <w:r>
        <w:rPr>
          <w:rFonts w:hint="eastAsia" w:asciiTheme="minorEastAsia" w:hAnsiTheme="minorEastAsia" w:eastAsiaTheme="minorEastAsia" w:cstheme="minorEastAsia"/>
          <w:color w:val="auto"/>
          <w:sz w:val="24"/>
          <w:szCs w:val="24"/>
          <w:highlight w:val="none"/>
          <w:lang w:val="en-US" w:eastAsia="zh-CN"/>
        </w:rPr>
        <w:t xml:space="preserve">所</w:t>
      </w:r>
      <w:r>
        <w:rPr>
          <w:rFonts w:hint="eastAsia" w:asciiTheme="minorEastAsia" w:hAnsiTheme="minorEastAsia" w:eastAsiaTheme="minorEastAsia" w:cstheme="minorEastAsia"/>
          <w:color w:val="auto"/>
          <w:sz w:val="24"/>
          <w:szCs w:val="24"/>
          <w:highlight w:val="none"/>
          <w:lang w:eastAsia="zh-CN"/>
        </w:rPr>
        <w:t xml:space="preserve">涉及的</w:t>
      </w:r>
      <w:r>
        <w:rPr>
          <w:rFonts w:hint="eastAsia" w:asciiTheme="minorEastAsia" w:hAnsiTheme="minorEastAsia" w:eastAsiaTheme="minorEastAsia" w:cstheme="minorEastAsia"/>
          <w:color w:val="auto"/>
          <w:sz w:val="24"/>
          <w:szCs w:val="24"/>
          <w:highlight w:val="none"/>
          <w:lang w:val="en-US" w:eastAsia="zh-CN"/>
        </w:rPr>
        <w:t xml:space="preserve">各类</w:t>
      </w:r>
      <w:r>
        <w:rPr>
          <w:rFonts w:hint="eastAsia" w:asciiTheme="minorEastAsia" w:hAnsiTheme="minorEastAsia" w:eastAsiaTheme="minorEastAsia" w:cstheme="minorEastAsia"/>
          <w:color w:val="auto"/>
          <w:sz w:val="24"/>
          <w:szCs w:val="24"/>
          <w:highlight w:val="none"/>
          <w:lang w:eastAsia="zh-CN"/>
        </w:rPr>
        <w:t xml:space="preserve">业务及技术文档</w:t>
      </w:r>
      <w:r>
        <w:rPr>
          <w:rFonts w:hint="eastAsia" w:asciiTheme="minorEastAsia" w:hAnsiTheme="minorEastAsia" w:eastAsiaTheme="minorEastAsia" w:cstheme="minorEastAsia"/>
          <w:color w:val="auto"/>
          <w:sz w:val="24"/>
          <w:szCs w:val="24"/>
          <w:highlight w:val="none"/>
          <w:lang w:val="en-US" w:eastAsia="zh-CN"/>
        </w:rPr>
        <w:t xml:space="preserve">（含电子文档）</w:t>
      </w:r>
      <w:r>
        <w:rPr>
          <w:rFonts w:hint="eastAsia" w:asciiTheme="minorEastAsia" w:hAnsiTheme="minorEastAsia" w:eastAsiaTheme="minorEastAsia" w:cstheme="minorEastAsia"/>
          <w:color w:val="auto"/>
          <w:sz w:val="24"/>
          <w:szCs w:val="24"/>
          <w:highlight w:val="none"/>
          <w:lang w:eastAsia="zh-CN"/>
        </w:rPr>
        <w:t xml:space="preserve">，包括</w:t>
      </w:r>
      <w:r>
        <w:rPr>
          <w:rFonts w:hint="eastAsia" w:asciiTheme="minorEastAsia" w:hAnsiTheme="minorEastAsia" w:eastAsiaTheme="minorEastAsia" w:cstheme="minorEastAsia"/>
          <w:color w:val="auto"/>
          <w:sz w:val="24"/>
          <w:szCs w:val="24"/>
          <w:highlight w:val="none"/>
          <w:lang w:val="en-US" w:eastAsia="zh-CN"/>
        </w:rPr>
        <w:t xml:space="preserve">但不限于</w:t>
      </w:r>
      <w:r>
        <w:rPr>
          <w:rFonts w:hint="eastAsia" w:asciiTheme="minorEastAsia" w:hAnsiTheme="minorEastAsia" w:eastAsiaTheme="minorEastAsia" w:cstheme="minorEastAsia"/>
          <w:color w:val="auto"/>
          <w:sz w:val="24"/>
          <w:szCs w:val="24"/>
          <w:highlight w:val="none"/>
          <w:lang w:eastAsia="zh-CN"/>
        </w:rPr>
        <w:t xml:space="preserve">税收政策、</w:t>
      </w:r>
      <w:r>
        <w:rPr>
          <w:rFonts w:hint="eastAsia" w:asciiTheme="minorEastAsia" w:hAnsiTheme="minorEastAsia" w:eastAsiaTheme="minorEastAsia" w:cstheme="minorEastAsia"/>
          <w:color w:val="auto"/>
          <w:sz w:val="24"/>
          <w:szCs w:val="24"/>
          <w:highlight w:val="none"/>
          <w:lang w:val="en-US" w:eastAsia="zh-CN"/>
        </w:rPr>
        <w:t xml:space="preserve">调研材料、</w:t>
      </w:r>
      <w:r>
        <w:rPr>
          <w:rFonts w:hint="eastAsia" w:asciiTheme="minorEastAsia" w:hAnsiTheme="minorEastAsia" w:eastAsiaTheme="minorEastAsia" w:cstheme="minorEastAsia"/>
          <w:color w:val="auto"/>
          <w:sz w:val="24"/>
          <w:szCs w:val="24"/>
          <w:highlight w:val="none"/>
          <w:lang w:eastAsia="zh-CN"/>
        </w:rPr>
        <w:t xml:space="preserve">方案设计细节、程序文件、数据结构，以及相关业务系统的软硬件、</w:t>
      </w:r>
      <w:r>
        <w:rPr>
          <w:rFonts w:hint="eastAsia" w:asciiTheme="minorEastAsia" w:hAnsiTheme="minorEastAsia" w:eastAsiaTheme="minorEastAsia" w:cstheme="minorEastAsia"/>
          <w:color w:val="auto"/>
          <w:sz w:val="24"/>
          <w:szCs w:val="24"/>
          <w:highlight w:val="none"/>
          <w:lang w:val="en-US" w:eastAsia="zh-CN"/>
        </w:rPr>
        <w:t xml:space="preserve">相关文档资料（含电子文档）</w:t>
      </w:r>
      <w:r>
        <w:rPr>
          <w:rFonts w:hint="eastAsia" w:asciiTheme="minorEastAsia" w:hAnsiTheme="minorEastAsia" w:eastAsiaTheme="minorEastAsia" w:cstheme="minorEastAsia"/>
          <w:color w:val="auto"/>
          <w:sz w:val="24"/>
          <w:szCs w:val="24"/>
          <w:highlight w:val="none"/>
          <w:lang w:eastAsia="zh-CN"/>
        </w:rPr>
        <w:t xml:space="preserve">、测试和测试产生的数据等；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（四）甲方的运营以及患者信息；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（五）其他甲方合理认为，并告知乙方属于保密的内容。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二、保密范围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（一）甲方已有的技术秘密以及上述第一条项下的保密信息；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（二）乙方持有的科研成果和技术秘密，经双方协商，乙方同意被甲方使用的。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三、保密条款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（一）乙方应严格保守甲方的有关保密信息，不得以其他任何手段谋取私利，损害甲方的利益。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（二）未经甲方书面许可，乙方不得以任何名义向有关单位或个人泄露甲方保密信息。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（三）未经甲方书面许可，甲方</w:t>
      </w:r>
      <w:r>
        <w:rPr>
          <w:rFonts w:hint="eastAsia" w:asciiTheme="minorEastAsia" w:hAnsiTheme="minorEastAsia" w:eastAsiaTheme="minorEastAsia" w:cstheme="minorEastAsia"/>
          <w:color w:val="auto"/>
          <w:sz w:val="24"/>
          <w:szCs w:val="24"/>
          <w:highlight w:val="none"/>
          <w:lang w:val="en-US" w:eastAsia="zh-CN"/>
        </w:rPr>
        <w:t xml:space="preserve">所有与项目有关</w:t>
      </w:r>
      <w:r>
        <w:rPr>
          <w:rFonts w:hint="eastAsia" w:asciiTheme="minorEastAsia" w:hAnsiTheme="minorEastAsia" w:eastAsiaTheme="minorEastAsia" w:cstheme="minorEastAsia"/>
          <w:color w:val="auto"/>
          <w:sz w:val="24"/>
          <w:szCs w:val="24"/>
          <w:highlight w:val="none"/>
          <w:lang w:eastAsia="zh-CN"/>
        </w:rPr>
        <w:t xml:space="preserve">的技术资料</w:t>
      </w:r>
      <w:r>
        <w:rPr>
          <w:rFonts w:hint="eastAsia" w:asciiTheme="minorEastAsia" w:hAnsiTheme="minorEastAsia" w:eastAsiaTheme="minorEastAsia" w:cstheme="minorEastAsia"/>
          <w:color w:val="auto"/>
          <w:sz w:val="24"/>
          <w:szCs w:val="24"/>
          <w:highlight w:val="none"/>
          <w:lang w:val="en-US" w:eastAsia="zh-CN"/>
        </w:rPr>
        <w:t xml:space="preserve">（含电子文档）</w:t>
      </w:r>
      <w:r>
        <w:rPr>
          <w:rFonts w:hint="eastAsia" w:asciiTheme="minorEastAsia" w:hAnsiTheme="minorEastAsia" w:eastAsiaTheme="minorEastAsia" w:cstheme="minorEastAsia"/>
          <w:color w:val="auto"/>
          <w:sz w:val="24"/>
          <w:szCs w:val="24"/>
          <w:highlight w:val="none"/>
          <w:lang w:eastAsia="zh-CN"/>
        </w:rPr>
        <w:t xml:space="preserve">、技术成果乙方无权利用在其他项目上。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（四）未经甲方书面许可，乙方不得对有关保密信息进行修改、补充、复制。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（五）未经甲方书面许可，不得将保密信息以任何方式（如E-mail或微信等电子方式）携带出甲方场所。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四、保密信息的所有权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以上所提及的保密信息均为甲方所有。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五、保密期限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（一）本协议的保密期限为</w:t>
      </w:r>
      <w:r>
        <w:rPr>
          <w:rFonts w:hint="eastAsia" w:asciiTheme="minorEastAsia" w:hAnsiTheme="minorEastAsia" w:eastAsiaTheme="minorEastAsia" w:cstheme="minorEastAsia"/>
          <w:color w:val="auto"/>
          <w:sz w:val="24"/>
          <w:szCs w:val="24"/>
          <w:highlight w:val="none"/>
          <w:lang w:val="en-US" w:eastAsia="zh-CN"/>
        </w:rPr>
        <w:t xml:space="preserve">十年</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（二）在本协议失效后，如果本协议中包括的某些保密信息并未失去保密性的，本协议仍对这些未失去保密性的信息发生效力，约束双方的行为。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六、关系限制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本协议不作为双方建立任何合作关系或其他业务关系的依据。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七、违约责任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八、争议解决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因本合同产生的任何争议，应由双方友好协商解决。协商不成的，任何一方均可以向甲方所在地人民法院起诉。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九、其他事项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eastAsia="zh-CN"/>
        </w:rPr>
        <w:t xml:space="preserve">（一）本协议</w:t>
      </w:r>
      <w:r>
        <w:rPr>
          <w:rFonts w:hint="eastAsia" w:asciiTheme="minorEastAsia" w:hAnsiTheme="minorEastAsia" w:eastAsiaTheme="minorEastAsia" w:cstheme="minorEastAsia"/>
          <w:color w:val="auto"/>
          <w:sz w:val="24"/>
          <w:szCs w:val="24"/>
          <w:highlight w:val="none"/>
          <w:lang w:val="zh-CN" w:eastAsia="zh-CN"/>
        </w:rPr>
        <w:t xml:space="preserve">一式</w:t>
      </w:r>
      <w:r>
        <w:rPr>
          <w:rFonts w:hint="eastAsia" w:asciiTheme="minorEastAsia" w:hAnsiTheme="minorEastAsia" w:eastAsiaTheme="minorEastAsia" w:cstheme="minorEastAsia"/>
          <w:color w:val="auto"/>
          <w:sz w:val="24"/>
          <w:szCs w:val="24"/>
          <w:highlight w:val="none"/>
          <w:u w:val="single"/>
          <w:lang w:val="zh-CN" w:eastAsia="zh-CN"/>
        </w:rPr>
        <w:t xml:space="preserve">伍</w:t>
      </w:r>
      <w:r>
        <w:rPr>
          <w:rFonts w:hint="eastAsia" w:asciiTheme="minorEastAsia" w:hAnsiTheme="minorEastAsia" w:eastAsiaTheme="minorEastAsia" w:cstheme="minorEastAsia"/>
          <w:color w:val="auto"/>
          <w:sz w:val="24"/>
          <w:szCs w:val="24"/>
          <w:highlight w:val="none"/>
          <w:lang w:val="zh-CN" w:eastAsia="zh-CN"/>
        </w:rPr>
        <w:t xml:space="preserve">份，甲方</w:t>
      </w:r>
      <w:r>
        <w:rPr>
          <w:rFonts w:hint="eastAsia" w:asciiTheme="minorEastAsia" w:hAnsiTheme="minorEastAsia" w:eastAsiaTheme="minorEastAsia" w:cstheme="minorEastAsia"/>
          <w:color w:val="auto"/>
          <w:sz w:val="24"/>
          <w:szCs w:val="24"/>
          <w:highlight w:val="none"/>
          <w:u w:val="single"/>
          <w:lang w:eastAsia="zh-CN"/>
        </w:rPr>
        <w:t xml:space="preserve">肆</w:t>
      </w:r>
      <w:r>
        <w:rPr>
          <w:rFonts w:hint="eastAsia" w:asciiTheme="minorEastAsia" w:hAnsiTheme="minorEastAsia" w:eastAsiaTheme="minorEastAsia" w:cstheme="minorEastAsia"/>
          <w:color w:val="auto"/>
          <w:sz w:val="24"/>
          <w:szCs w:val="24"/>
          <w:highlight w:val="none"/>
          <w:lang w:val="zh-CN" w:eastAsia="zh-CN"/>
        </w:rPr>
        <w:t xml:space="preserve">份，乙方</w:t>
      </w:r>
      <w:r>
        <w:rPr>
          <w:rFonts w:hint="eastAsia" w:asciiTheme="minorEastAsia" w:hAnsiTheme="minorEastAsia" w:eastAsiaTheme="minorEastAsia" w:cstheme="minorEastAsia"/>
          <w:color w:val="auto"/>
          <w:sz w:val="24"/>
          <w:szCs w:val="24"/>
          <w:highlight w:val="none"/>
          <w:u w:val="single"/>
          <w:lang w:val="zh-CN" w:eastAsia="zh-CN"/>
        </w:rPr>
        <w:t xml:space="preserve">壹</w:t>
      </w:r>
      <w:r>
        <w:rPr>
          <w:rFonts w:hint="eastAsia" w:asciiTheme="minorEastAsia" w:hAnsiTheme="minorEastAsia" w:eastAsiaTheme="minorEastAsia" w:cstheme="minorEastAsia"/>
          <w:color w:val="auto"/>
          <w:sz w:val="24"/>
          <w:szCs w:val="24"/>
          <w:highlight w:val="none"/>
          <w:lang w:val="zh-CN" w:eastAsia="zh-CN"/>
        </w:rPr>
        <w:t xml:space="preserve">份</w:t>
      </w:r>
      <w:r>
        <w:rPr>
          <w:rFonts w:hint="eastAsia" w:asciiTheme="minorEastAsia" w:hAnsiTheme="minorEastAsia" w:eastAsiaTheme="minorEastAsia" w:cstheme="minorEastAsia"/>
          <w:color w:val="auto"/>
          <w:sz w:val="24"/>
          <w:szCs w:val="24"/>
          <w:highlight w:val="none"/>
          <w:lang w:eastAsia="zh-CN"/>
        </w:rPr>
        <w:t xml:space="preserve">，各份协议具有同等法律效力。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（二）本协议未尽事宜，由甲乙双方协商解决。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（三）本协议自甲、乙双方盖章之日起生效。</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u w:val="single"/>
          <w:lang w:eastAsia="zh-CN"/>
        </w:rPr>
        <w:t xml:space="preserve">苏州大学附属第一医院</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u w:val="single"/>
          <w:lang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年   月   日         日期：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年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   日</w:t>
      </w:r>
      <w:r/>
    </w:p>
    <w:p>
      <w:pPr>
        <w:ind w:firstLine="480"/>
        <w:jc w:val="left"/>
        <w:spacing w:line="288"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p>
      <w:pPr>
        <w:ind w:firstLine="883"/>
        <w:jc w:val="center"/>
        <w:spacing w:line="360" w:lineRule="auto"/>
        <w:rPr>
          <w:rStyle w:val="1122"/>
          <w:rFonts w:hint="eastAsia" w:asciiTheme="minorEastAsia" w:hAnsiTheme="minorEastAsia" w:eastAsiaTheme="minorEastAsia" w:cstheme="minorEastAsia"/>
          <w:color w:val="auto"/>
          <w:sz w:val="44"/>
          <w:szCs w:val="44"/>
          <w:highlight w:val="none"/>
        </w:rPr>
        <w:sectPr>
          <w:footerReference w:type="default" r:id="rId13"/>
          <w:footerReference w:type="first" r:id="rId14"/>
          <w:footnotePr/>
          <w:endnotePr/>
          <w:type w:val="nextPage"/>
          <w:pgSz w:w="11906" w:h="16838" w:orient="portrait"/>
          <w:pgMar w:top="1440" w:right="1080" w:bottom="1440" w:left="1080" w:header="624" w:footer="680" w:gutter="0"/>
          <w:cols w:num="1" w:sep="0" w:space="720" w:equalWidth="1"/>
          <w:docGrid w:linePitch="360"/>
          <w:titlePg/>
        </w:sectPr>
        <w:outlineLvl w:val="0"/>
      </w:pPr>
      <w:r>
        <w:rPr>
          <w:rFonts w:hint="eastAsia" w:asciiTheme="minorEastAsia" w:hAnsiTheme="minorEastAsia" w:eastAsiaTheme="minorEastAsia" w:cstheme="minorEastAsia"/>
          <w:color w:val="auto"/>
          <w:sz w:val="44"/>
          <w:szCs w:val="44"/>
          <w:highlight w:val="none"/>
        </w:rPr>
      </w:r>
      <w:r/>
    </w:p>
    <w:p>
      <w:pPr>
        <w:ind w:firstLine="883"/>
        <w:jc w:val="center"/>
        <w:spacing w:line="360" w:lineRule="auto"/>
        <w:rPr>
          <w:rFonts w:asciiTheme="minorEastAsia" w:hAnsiTheme="minorEastAsia" w:eastAsiaTheme="minorEastAsia" w:cstheme="minorEastAsia"/>
          <w:color w:val="auto"/>
          <w:szCs w:val="44"/>
          <w:highlight w:val="none"/>
        </w:rPr>
        <w:outlineLvl w:val="0"/>
      </w:pPr>
      <w:r/>
      <w:bookmarkStart w:id="39" w:name="_Toc903"/>
      <w:r>
        <w:rPr>
          <w:rStyle w:val="1122"/>
          <w:rFonts w:hint="eastAsia" w:asciiTheme="minorEastAsia" w:hAnsiTheme="minorEastAsia" w:eastAsiaTheme="minorEastAsia" w:cstheme="minorEastAsia"/>
          <w:color w:val="auto"/>
          <w:sz w:val="44"/>
          <w:szCs w:val="44"/>
          <w:highlight w:val="none"/>
        </w:rPr>
        <w:t xml:space="preserve">第六章 评标办法及标准</w:t>
      </w:r>
      <w:bookmarkEnd w:id="28"/>
      <w:r/>
      <w:bookmarkEnd w:id="29"/>
      <w:r/>
      <w:bookmarkEnd w:id="30"/>
      <w:r/>
      <w:bookmarkEnd w:id="31"/>
      <w:r/>
      <w:bookmarkEnd w:id="39"/>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4、如出现评标总得分最高的投标人有两个或两个以上的，以投标报价较低者优先作为中标候选人，如果投标报价也相同的，则由采购代理机构组织以抽签方式确定中标候选人。</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采购人授权评标委员会直接确定</w:t>
      </w:r>
      <w:r>
        <w:rPr>
          <w:rFonts w:hint="eastAsia" w:ascii="宋体" w:hAnsi="宋体" w:eastAsia="宋体" w:cs="宋体"/>
          <w:color w:val="auto"/>
          <w:sz w:val="24"/>
          <w:szCs w:val="24"/>
          <w:highlight w:val="none"/>
          <w:lang w:eastAsia="zh-CN"/>
        </w:rPr>
        <w:t xml:space="preserve">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根据《政府采购促进中小企业发</w:t>
      </w:r>
      <w:r>
        <w:rPr>
          <w:rFonts w:hint="eastAsia" w:ascii="宋体" w:hAnsi="宋体" w:eastAsia="宋体" w:cs="宋体"/>
          <w:color w:val="auto"/>
          <w:sz w:val="24"/>
          <w:szCs w:val="24"/>
          <w:highlight w:val="none"/>
        </w:rPr>
        <w:t xml:space="preserve">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w:t>
      </w:r>
      <w:r>
        <w:rPr>
          <w:rFonts w:hint="eastAsia" w:ascii="宋体" w:hAnsi="宋体" w:eastAsia="宋体" w:cs="宋体"/>
          <w:color w:val="auto"/>
          <w:szCs w:val="24"/>
          <w:highlight w:val="none"/>
        </w:rPr>
        <w:t xml:space="preserve">中标金额则以实际投标报价为准</w:t>
      </w:r>
      <w:r>
        <w:rPr>
          <w:rFonts w:hint="eastAsia" w:ascii="宋体" w:hAnsi="宋体" w:eastAsia="宋体" w:cs="宋体"/>
          <w:color w:val="auto"/>
          <w:sz w:val="24"/>
          <w:szCs w:val="24"/>
          <w:highlight w:val="none"/>
        </w:rPr>
        <w:t xml:space="preserve">。残疾人福利性单位及监狱企业属于小型、微型企业的，不重复享受政策。</w:t>
      </w:r>
      <w:r>
        <w:rPr>
          <w:rFonts w:hint="eastAsia" w:ascii="宋体" w:hAnsi="宋体" w:eastAsia="宋体" w:cs="宋体"/>
          <w:b/>
          <w:bCs/>
          <w:color w:val="auto"/>
          <w:sz w:val="24"/>
          <w:szCs w:val="24"/>
          <w:highlight w:val="none"/>
          <w:lang w:val="en-US" w:eastAsia="zh-CN"/>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小微企业提供《中小企业声明函》；监狱企业提供由省级以上监狱管理局、戒毒管理局（含新疆生产建</w:t>
      </w:r>
      <w:r>
        <w:rPr>
          <w:rFonts w:hint="eastAsia" w:ascii="宋体" w:hAnsi="宋体" w:cs="宋体"/>
          <w:color w:val="auto"/>
          <w:sz w:val="24"/>
          <w:szCs w:val="24"/>
          <w:highlight w:val="none"/>
        </w:rPr>
        <w:t xml:space="preserve">设兵团）出具的属于监狱企业的证明文件；残疾人福利性单位提供《残疾人福利性单位声明函》。</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提供的声明函或认定证明为虚假材料，按“政府采购法”相关规定处理并报请政府监管部门给予行政处罚。</w:t>
      </w:r>
      <w:r/>
    </w:p>
    <w:p>
      <w:pPr>
        <w:pStyle w:val="1121"/>
        <w:ind w:firstLine="480"/>
        <w:keepLines w:val="0"/>
        <w:keepNext w:val="0"/>
        <w:pageBreakBefore w:val="0"/>
        <w:spacing w:line="360" w:lineRule="auto"/>
        <w:widowControl w:val="off"/>
        <w:tabs>
          <w:tab w:val="left" w:pos="6162" w:leader="none"/>
        </w:tabs>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三、采购本国产品的支持政策</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国务院办公厅关于在政府采购中实施本国产品标准及相关政策的通知》（国办发〔2025〕34号）的相关规定，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none"/>
        </w:rPr>
        <w:t xml:space="preserve">80%</w:t>
      </w:r>
      <w:r>
        <w:rPr>
          <w:rFonts w:hint="eastAsia" w:asciiTheme="minorEastAsia" w:hAnsiTheme="minorEastAsia" w:eastAsiaTheme="minorEastAsia" w:cstheme="minorEastAsia"/>
          <w:color w:val="auto"/>
          <w:sz w:val="24"/>
          <w:szCs w:val="24"/>
          <w:highlight w:val="none"/>
        </w:rPr>
        <w:t xml:space="preserve">以上时（</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需在“第</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章 投标文件格式”的“附件</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投标报价明细表”中填写比例数值），依法对该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non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eastAsiaTheme="minorEastAsia" w:cstheme="minorEastAsia"/>
          <w:b/>
          <w:bCs/>
          <w:color w:val="auto"/>
          <w:sz w:val="24"/>
          <w:szCs w:val="24"/>
          <w:highlight w:val="none"/>
        </w:rPr>
        <w:t xml:space="preserve">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1"/>
        <w:ind w:firstLine="480"/>
        <w:keepLines w:val="0"/>
        <w:keepNext w:val="0"/>
        <w:pageBreakBefore w:val="0"/>
        <w:spacing w:line="360" w:lineRule="auto"/>
        <w:widowControl w:val="off"/>
        <w:tabs>
          <w:tab w:val="left" w:pos="6162" w:leader="none"/>
        </w:tabs>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spacing w:line="360" w:lineRule="auto"/>
        <w:rPr>
          <w:rFonts w:hint="eastAsia" w:ascii="宋体" w:hAnsi="宋体" w:cs="宋体"/>
          <w:b/>
          <w:color w:val="auto"/>
          <w:szCs w:val="24"/>
          <w:highlight w:val="none"/>
        </w:rPr>
      </w:pPr>
      <w:r>
        <w:rPr>
          <w:rFonts w:hint="eastAsia" w:ascii="宋体" w:hAnsi="宋体" w:cs="宋体"/>
          <w:b/>
          <w:bCs/>
          <w:color w:val="auto"/>
          <w:szCs w:val="24"/>
          <w:highlight w:val="none"/>
        </w:rPr>
        <w:t xml:space="preserve">（一）价格（30分）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第一步：投标总报价低于或等于预算价格的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为有效投标报价。超预算的投标报价为无效投标报价。无效投标报价的投标文件不进行评审，也不得标。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第二步：价格分采用低价优先法计算，即满足招标文件要求且投标价格最低的投标报价为评标基准价，其价格分为满分30分。其他投标人的价格分统一按照下列公式计算：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投标报价得分＝（评标基准价/投标报价）×30％×100（小数点后保留两位）。</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w:t>
      </w:r>
      <w:bookmarkStart w:id="40" w:name="_Hlk151204189"/>
      <w:r>
        <w:rPr>
          <w:rFonts w:hint="eastAsia" w:asciiTheme="minorEastAsia" w:hAnsiTheme="minorEastAsia" w:eastAsiaTheme="minorEastAsia" w:cstheme="minorEastAsia"/>
          <w:b/>
          <w:bCs/>
          <w:sz w:val="24"/>
          <w:szCs w:val="24"/>
        </w:rPr>
        <w:t xml:space="preserve">技术方案及实施方案</w:t>
      </w:r>
      <w:bookmarkEnd w:id="40"/>
      <w:r>
        <w:rPr>
          <w:rFonts w:hint="eastAsia" w:asciiTheme="minorEastAsia" w:hAnsiTheme="minorEastAsia" w:eastAsiaTheme="minorEastAsia" w:cstheme="minorEastAsia"/>
          <w:b/>
          <w:bCs/>
          <w:sz w:val="24"/>
          <w:szCs w:val="24"/>
        </w:rPr>
        <w:t xml:space="preserve">（28分）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color w:val="000000"/>
          <w:sz w:val="24"/>
          <w:szCs w:val="24"/>
        </w:rPr>
        <w:t xml:space="preserve">投标人基于招标文件的采购内容和要求，结合采购人需求，提出与本项目相对应的完整技术方案</w:t>
      </w:r>
      <w:r>
        <w:rPr>
          <w:rFonts w:hint="eastAsia" w:asciiTheme="minorEastAsia" w:hAnsiTheme="minorEastAsia" w:eastAsiaTheme="minorEastAsia" w:cstheme="minorEastAsia"/>
          <w:sz w:val="24"/>
          <w:szCs w:val="24"/>
        </w:rPr>
        <w:t xml:space="preserve">（7分）</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技术方案内容完整、考虑周全，有合理化建议的得7分；技术方案内容比较完整，能达到业务需求的得5分；技术方案简单，内容表述不完整的得3分；未提供不得分。</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2、对本项目有详细的用户培训计划和服务措施比较（7分）</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用户培训计划和服务措施切实可行，方案完整详实，考虑周全，有合理化建议的得7分；用户培训计划和服务措施可实施性较好，方案能满足售后服务需要的得5分；用户培训计划和服务措施简单，表述不完整，可实施性差的得3分；未提供不得分。</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3、项目维护及应急方案比较（7分）</w:t>
      </w:r>
      <w:r/>
    </w:p>
    <w:p>
      <w:pPr>
        <w:contextualSpacing/>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详细，贴合本项目实际需求，维护方式齐全，应急预案足以应对各种突发问题的得7分；方案较详细，维护方式较齐全，应急方案能应对大部分突发情况的得5分；方案简单，有维护及应急方案，但表述不完整的得3分；未提供不得分。</w:t>
      </w:r>
      <w:r/>
    </w:p>
    <w:p>
      <w:pPr>
        <w:ind w:firstLine="48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4、售后服务内容及方案情况比较（7分）</w:t>
      </w:r>
      <w:r/>
    </w:p>
    <w:p>
      <w:pPr>
        <w:ind w:firstLine="48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了完整的售后服务人员、服务机制、响应时间、故障解决等内容且方案完整合理，切实可行的得7分；提供了完整的售后服务人员、服务机制、响应时间、故障解决等内容，方案完善度及可行性较好的得5分；方案简单，提供了部分的售后服务人员、服务机制、响应时间、故障解决等内容，但表述不完整的得3分；未提供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w:t>
      </w:r>
      <w:r>
        <w:rPr>
          <w:rFonts w:hint="eastAsia" w:asciiTheme="minorEastAsia" w:hAnsiTheme="minorEastAsia" w:eastAsiaTheme="minorEastAsia" w:cstheme="minorEastAsia"/>
          <w:b/>
          <w:bCs/>
          <w:color w:val="000000"/>
          <w:sz w:val="24"/>
          <w:szCs w:val="24"/>
        </w:rPr>
        <w:t xml:space="preserve">技术参数及配置要求（25分）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投标人所投产品的技术参数对招标文件采购需求中各项技术参数的逐项投标响应情况，由评委进行评议并打分：采购需求中“★”号技术参数为重要参数，每一项负偏离扣2分；其他非“★”号技术参数，每一项负偏离扣1分，扣完为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bookmarkStart w:id="41" w:name="_Hlk169782147"/>
      <w:r>
        <w:rPr>
          <w:rFonts w:hint="eastAsia" w:asciiTheme="minorEastAsia" w:hAnsiTheme="minorEastAsia" w:eastAsiaTheme="minorEastAsia" w:cstheme="minorEastAsia"/>
          <w:color w:val="000000"/>
          <w:sz w:val="24"/>
          <w:szCs w:val="24"/>
        </w:rPr>
        <w:t xml:space="preserve">带“★”项技术参数需提供以下任意一种证明材料：1.具有检验（检测）资质机构出具的检验（检测）报告；2.产品功能界面截图；3.厂家官网截图证明（附网站查询网址）；4.技术参数彩页。以上证明材料需加盖投标人公章。未提供或提供材料不全的视为负偏离。</w:t>
      </w:r>
      <w:bookmarkEnd w:id="41"/>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14:ligatures w14:val="none"/>
        </w:rPr>
      </w:pPr>
      <w:r>
        <w:rPr>
          <w:rFonts w:hint="eastAsia" w:asciiTheme="minorEastAsia" w:hAnsiTheme="minorEastAsia" w:eastAsiaTheme="minorEastAsia" w:cstheme="minorEastAsia"/>
          <w:b/>
          <w:sz w:val="24"/>
          <w:szCs w:val="24"/>
          <w14:ligatures w14:val="none"/>
        </w:rPr>
        <w:t xml:space="preserve">（四）投标人实施及服务能力比较（</w:t>
      </w:r>
      <w:r>
        <w:rPr>
          <w:rFonts w:hint="eastAsia" w:asciiTheme="minorEastAsia" w:hAnsiTheme="minorEastAsia" w:eastAsiaTheme="minorEastAsia" w:cstheme="minorEastAsia"/>
          <w:b/>
          <w:sz w:val="24"/>
          <w:szCs w:val="24"/>
          <w:lang w:val="en-US" w:eastAsia="zh-CN"/>
          <w14:ligatures w14:val="none"/>
        </w:rPr>
        <w:t xml:space="preserve">7</w:t>
      </w:r>
      <w:r>
        <w:rPr>
          <w:rFonts w:hint="eastAsia" w:asciiTheme="minorEastAsia" w:hAnsiTheme="minorEastAsia" w:eastAsiaTheme="minorEastAsia" w:cstheme="minorEastAsia"/>
          <w:b/>
          <w:sz w:val="24"/>
          <w:szCs w:val="24"/>
          <w14:ligatures w14: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1、投标人投入本项目的项目经理具有信息系统项目管理师、</w:t>
      </w:r>
      <w:r>
        <w:rPr>
          <w:rFonts w:hint="eastAsia" w:asciiTheme="minorEastAsia" w:hAnsiTheme="minorEastAsia" w:eastAsiaTheme="minorEastAsia" w:cstheme="minorEastAsia"/>
          <w:sz w:val="24"/>
          <w:szCs w:val="24"/>
          <w:lang w:val="en-US" w:eastAsia="zh-CN"/>
        </w:rPr>
        <w:t xml:space="preserve">电子信息类高级职称证书</w:t>
      </w:r>
      <w:r>
        <w:rPr>
          <w:rFonts w:hint="eastAsia" w:asciiTheme="minorEastAsia" w:hAnsiTheme="minorEastAsia" w:eastAsiaTheme="minorEastAsia" w:cstheme="minorEastAsia"/>
          <w:sz w:val="24"/>
          <w:szCs w:val="24"/>
        </w:rPr>
        <w:t xml:space="preserve">的，每有一类得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2、投标人投入本项目的项目部成员（不含项目经理）具有</w:t>
      </w:r>
      <w:r>
        <w:rPr>
          <w:rFonts w:hint="eastAsia" w:asciiTheme="minorEastAsia" w:hAnsiTheme="minorEastAsia" w:eastAsiaTheme="minorEastAsia" w:cstheme="minorEastAsia"/>
          <w:sz w:val="24"/>
          <w:szCs w:val="24"/>
          <w:lang w:val="en-US" w:eastAsia="zh-CN"/>
        </w:rPr>
        <w:t xml:space="preserve">电子信息类中级及以上职称证书、</w:t>
      </w:r>
      <w:r>
        <w:rPr>
          <w:rFonts w:hint="eastAsia" w:asciiTheme="minorEastAsia" w:hAnsiTheme="minorEastAsia" w:eastAsiaTheme="minorEastAsia" w:cstheme="minorEastAsia"/>
          <w:sz w:val="24"/>
          <w:szCs w:val="24"/>
        </w:rPr>
        <w:t xml:space="preserve">信息安全保障人员（安全运维、安全集成、应急处理）证书、</w:t>
      </w:r>
      <w:r>
        <w:rPr>
          <w:rFonts w:hint="eastAsia" w:ascii="宋体" w:hAnsi="宋体" w:eastAsia="宋体" w:cs="宋体"/>
          <w:sz w:val="24"/>
          <w:szCs w:val="24"/>
          <w:lang w:bidi="ar"/>
        </w:rPr>
        <w:t xml:space="preserve">注册信息安全专业人员（</w:t>
      </w:r>
      <w:r>
        <w:rPr>
          <w:rFonts w:ascii="宋体" w:hAnsi="宋体" w:eastAsia="宋体" w:cs="宋体"/>
          <w:sz w:val="24"/>
          <w:szCs w:val="24"/>
          <w:lang w:bidi="ar"/>
        </w:rPr>
        <w:t xml:space="preserve">CISP</w:t>
      </w:r>
      <w:r>
        <w:rPr>
          <w:rFonts w:hint="eastAsia" w:ascii="宋体" w:hAnsi="宋体" w:eastAsia="宋体" w:cs="宋体"/>
          <w:sz w:val="24"/>
          <w:szCs w:val="24"/>
          <w:lang w:bidi="ar"/>
        </w:rPr>
        <w:t xml:space="preserve">）</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，有一类得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分，本项目最高得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（投标文件中须同时提供人员证书及投标人为其缴纳的</w:t>
      </w:r>
      <w:r>
        <w:rPr>
          <w:rFonts w:hint="eastAsia" w:asciiTheme="minorEastAsia" w:hAnsiTheme="minorEastAsia" w:eastAsiaTheme="minorEastAsia" w:cstheme="minorEastAsia"/>
          <w:sz w:val="24"/>
          <w:szCs w:val="24"/>
          <w:lang w:val="en-US" w:eastAsia="zh-CN"/>
        </w:rPr>
        <w:t xml:space="preserve">最新一期</w:t>
      </w:r>
      <w:r>
        <w:rPr>
          <w:rFonts w:hint="eastAsia" w:asciiTheme="minorEastAsia" w:hAnsiTheme="minorEastAsia" w:eastAsiaTheme="minorEastAsia" w:cstheme="minorEastAsia"/>
          <w:sz w:val="24"/>
          <w:szCs w:val="24"/>
        </w:rPr>
        <w:t xml:space="preserve">社保证明</w:t>
      </w:r>
      <w:r>
        <w:rPr>
          <w:rFonts w:hint="eastAsia" w:asciiTheme="minorEastAsia" w:hAnsiTheme="minorEastAsia" w:eastAsiaTheme="minorEastAsia" w:cstheme="minorEastAsia"/>
          <w:b w:val="0"/>
          <w:bCs w:val="0"/>
          <w:color w:val="auto"/>
          <w:szCs w:val="24"/>
          <w:highlight w:val="none"/>
          <w:lang w:val="en-US" w:eastAsia="zh-CN"/>
        </w:rPr>
        <w:t xml:space="preserve">（加盖社保部门公章或电子章）</w:t>
      </w:r>
      <w:r>
        <w:rPr>
          <w:rFonts w:hint="eastAsia" w:asciiTheme="minorEastAsia" w:hAnsiTheme="minorEastAsia" w:eastAsiaTheme="minorEastAsia" w:cstheme="minorEastAsia"/>
          <w:sz w:val="24"/>
          <w:szCs w:val="24"/>
        </w:rPr>
        <w:t xml:space="preserve">复印件，否则不得分。）</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14:ligatures w14:val="none"/>
        </w:rPr>
      </w:pPr>
      <w:r>
        <w:rPr>
          <w:rFonts w:hint="eastAsia" w:asciiTheme="minorEastAsia" w:hAnsiTheme="minorEastAsia" w:eastAsiaTheme="minorEastAsia" w:cstheme="minorEastAsia"/>
          <w:b/>
          <w:bCs/>
          <w:sz w:val="24"/>
          <w:szCs w:val="24"/>
          <w14:ligatures w14:val="none"/>
        </w:rPr>
        <w:t xml:space="preserve">（五）投标人综合实力（</w:t>
      </w:r>
      <w:r>
        <w:rPr>
          <w:rFonts w:hint="eastAsia" w:asciiTheme="minorEastAsia" w:hAnsiTheme="minorEastAsia" w:eastAsiaTheme="minorEastAsia" w:cstheme="minorEastAsia"/>
          <w:b/>
          <w:bCs/>
          <w:sz w:val="24"/>
          <w:szCs w:val="24"/>
          <w:lang w:val="en-US" w:eastAsia="zh-CN"/>
          <w14:ligatures w14:val="none"/>
        </w:rPr>
        <w:t xml:space="preserve">10</w:t>
      </w:r>
      <w:r>
        <w:rPr>
          <w:rFonts w:hint="eastAsia" w:asciiTheme="minorEastAsia" w:hAnsiTheme="minorEastAsia" w:eastAsiaTheme="minorEastAsia" w:cstheme="minorEastAsia"/>
          <w:b/>
          <w:bCs/>
          <w:sz w:val="24"/>
          <w:szCs w:val="24"/>
          <w14:ligatures w14:val="none"/>
        </w:rPr>
        <w:t xml:space="preserve">分）</w:t>
      </w:r>
      <w:r/>
    </w:p>
    <w:p>
      <w:pPr>
        <w:pStyle w:val="1096"/>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1、投标人具有有效期内的信息安全管理体系认证证书、信息技术服务管理</w:t>
      </w:r>
      <w:r>
        <w:rPr>
          <w:rFonts w:hint="eastAsia" w:asciiTheme="minorEastAsia" w:hAnsiTheme="minorEastAsia" w:eastAsiaTheme="minorEastAsia" w:cstheme="minorEastAsia"/>
          <w:color w:val="000000"/>
          <w:sz w:val="24"/>
          <w:szCs w:val="24"/>
          <w:lang w:val="en-US" w:eastAsia="zh-CN"/>
        </w:rPr>
        <w:t xml:space="preserve">体系</w:t>
      </w:r>
      <w:r>
        <w:rPr>
          <w:rFonts w:hint="eastAsia" w:asciiTheme="minorEastAsia" w:hAnsiTheme="minorEastAsia" w:eastAsiaTheme="minorEastAsia" w:cstheme="minorEastAsia"/>
          <w:color w:val="000000"/>
          <w:sz w:val="24"/>
          <w:szCs w:val="24"/>
        </w:rPr>
        <w:t xml:space="preserve">认证证书、质量管理体系认证证书、环境管理体系认证证书‌，每提供一份得1分，最高得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w:t>
      </w:r>
      <w:r/>
    </w:p>
    <w:p>
      <w:pPr>
        <w:pStyle w:val="1096"/>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2、投标人自2023年1月1日起（以合同签订日为准）至今签订的类似项目业绩，每提供一份合同得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分，最高得</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分。（需提供完整合同复印件并加盖投标人公章；未提供证明材料的不得分。）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5"/>
      <w:footerReference w:type="first" r:id="rId16"/>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仿宋_GB2312">
    <w:panose1 w:val="02010609060101010101"/>
  </w:font>
  <w:font w:name="Courier New">
    <w:panose1 w:val="02070309020205020404"/>
  </w:font>
  <w:font w:name="Helvetica Neue">
    <w:panose1 w:val="020B0503020202020204"/>
  </w:font>
  <w:font w:name="Calibri">
    <w:panose1 w:val="020F0502020204030204"/>
  </w:font>
  <w:font w:name="方正大黑简体">
    <w:panose1 w:val="020B0503020202020204"/>
  </w:font>
  <w:font w:name="STSong">
    <w:panose1 w:val="02010600040101010101"/>
  </w:font>
  <w:font w:name="Cambria">
    <w:panose1 w:val="02040503050406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left"/>
      <w:rPr>
        <w:rFonts w:hint="eastAsia" w:eastAsia="宋体"/>
        <w:sz w:val="21"/>
        <w:szCs w:val="21"/>
        <w:lang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JSZC-320000-JZCZ-G2026-0004</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0">
    <w:name w:val="Heading 1 Char"/>
    <w:basedOn w:val="1091"/>
    <w:link w:val="1087"/>
    <w:uiPriority w:val="9"/>
    <w:rPr>
      <w:rFonts w:ascii="Arial" w:hAnsi="Arial" w:eastAsia="Arial" w:cs="Arial"/>
      <w:sz w:val="40"/>
      <w:szCs w:val="40"/>
    </w:rPr>
  </w:style>
  <w:style w:type="character" w:styleId="921">
    <w:name w:val="Heading 2 Char"/>
    <w:basedOn w:val="1091"/>
    <w:link w:val="1088"/>
    <w:uiPriority w:val="9"/>
    <w:rPr>
      <w:rFonts w:ascii="Arial" w:hAnsi="Arial" w:eastAsia="Arial" w:cs="Arial"/>
      <w:sz w:val="34"/>
    </w:rPr>
  </w:style>
  <w:style w:type="character" w:styleId="922">
    <w:name w:val="Heading 3 Char"/>
    <w:basedOn w:val="1091"/>
    <w:link w:val="1089"/>
    <w:uiPriority w:val="9"/>
    <w:rPr>
      <w:rFonts w:ascii="Arial" w:hAnsi="Arial" w:eastAsia="Arial" w:cs="Arial"/>
      <w:sz w:val="30"/>
      <w:szCs w:val="30"/>
    </w:rPr>
  </w:style>
  <w:style w:type="character" w:styleId="923">
    <w:name w:val="Heading 4 Char"/>
    <w:basedOn w:val="1091"/>
    <w:link w:val="1090"/>
    <w:uiPriority w:val="9"/>
    <w:rPr>
      <w:rFonts w:ascii="Arial" w:hAnsi="Arial" w:eastAsia="Arial" w:cs="Arial"/>
      <w:b/>
      <w:bCs/>
      <w:sz w:val="26"/>
      <w:szCs w:val="26"/>
    </w:rPr>
  </w:style>
  <w:style w:type="paragraph" w:styleId="924">
    <w:name w:val="Heading 5"/>
    <w:basedOn w:val="1086"/>
    <w:next w:val="1086"/>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basedOn w:val="1091"/>
    <w:link w:val="924"/>
    <w:uiPriority w:val="9"/>
    <w:rPr>
      <w:rFonts w:ascii="Arial" w:hAnsi="Arial" w:eastAsia="Arial" w:cs="Arial"/>
      <w:b/>
      <w:bCs/>
      <w:sz w:val="24"/>
      <w:szCs w:val="24"/>
    </w:rPr>
  </w:style>
  <w:style w:type="paragraph" w:styleId="926">
    <w:name w:val="Heading 6"/>
    <w:basedOn w:val="1086"/>
    <w:next w:val="1086"/>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basedOn w:val="1091"/>
    <w:link w:val="926"/>
    <w:uiPriority w:val="9"/>
    <w:rPr>
      <w:rFonts w:ascii="Arial" w:hAnsi="Arial" w:eastAsia="Arial" w:cs="Arial"/>
      <w:b/>
      <w:bCs/>
      <w:sz w:val="22"/>
      <w:szCs w:val="22"/>
    </w:rPr>
  </w:style>
  <w:style w:type="paragraph" w:styleId="928">
    <w:name w:val="Heading 7"/>
    <w:basedOn w:val="1086"/>
    <w:next w:val="1086"/>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basedOn w:val="1091"/>
    <w:link w:val="928"/>
    <w:uiPriority w:val="9"/>
    <w:rPr>
      <w:rFonts w:ascii="Arial" w:hAnsi="Arial" w:eastAsia="Arial" w:cs="Arial"/>
      <w:b/>
      <w:bCs/>
      <w:i/>
      <w:iCs/>
      <w:sz w:val="22"/>
      <w:szCs w:val="22"/>
    </w:rPr>
  </w:style>
  <w:style w:type="paragraph" w:styleId="930">
    <w:name w:val="Heading 8"/>
    <w:basedOn w:val="1086"/>
    <w:next w:val="1086"/>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basedOn w:val="1091"/>
    <w:link w:val="930"/>
    <w:uiPriority w:val="9"/>
    <w:rPr>
      <w:rFonts w:ascii="Arial" w:hAnsi="Arial" w:eastAsia="Arial" w:cs="Arial"/>
      <w:i/>
      <w:iCs/>
      <w:sz w:val="22"/>
      <w:szCs w:val="22"/>
    </w:rPr>
  </w:style>
  <w:style w:type="paragraph" w:styleId="932">
    <w:name w:val="Heading 9"/>
    <w:basedOn w:val="1086"/>
    <w:next w:val="1086"/>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basedOn w:val="1091"/>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style>
  <w:style w:type="character" w:styleId="935">
    <w:name w:val="Title Char"/>
    <w:basedOn w:val="1091"/>
    <w:link w:val="1110"/>
    <w:uiPriority w:val="10"/>
    <w:rPr>
      <w:sz w:val="48"/>
      <w:szCs w:val="48"/>
    </w:rPr>
  </w:style>
  <w:style w:type="character" w:styleId="936">
    <w:name w:val="Subtitle Char"/>
    <w:basedOn w:val="1091"/>
    <w:link w:val="1106"/>
    <w:uiPriority w:val="11"/>
    <w:rPr>
      <w:sz w:val="24"/>
      <w:szCs w:val="24"/>
    </w:rPr>
  </w:style>
  <w:style w:type="paragraph" w:styleId="937">
    <w:name w:val="Quote"/>
    <w:basedOn w:val="1086"/>
    <w:next w:val="1086"/>
    <w:link w:val="938"/>
    <w:uiPriority w:val="29"/>
    <w:qFormat/>
    <w:pPr>
      <w:ind w:left="720" w:right="720"/>
    </w:pPr>
    <w:rPr>
      <w:i/>
    </w:rPr>
  </w:style>
  <w:style w:type="character" w:styleId="938">
    <w:name w:val="Quote Char"/>
    <w:link w:val="937"/>
    <w:uiPriority w:val="29"/>
    <w:rPr>
      <w:i/>
    </w:rPr>
  </w:style>
  <w:style w:type="paragraph" w:styleId="939">
    <w:name w:val="Intense Quote"/>
    <w:basedOn w:val="1086"/>
    <w:next w:val="1086"/>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character" w:styleId="941">
    <w:name w:val="Header Char"/>
    <w:basedOn w:val="1091"/>
    <w:link w:val="1104"/>
    <w:uiPriority w:val="99"/>
  </w:style>
  <w:style w:type="character" w:styleId="942">
    <w:name w:val="Footer Char"/>
    <w:basedOn w:val="1091"/>
    <w:link w:val="1102"/>
    <w:uiPriority w:val="99"/>
  </w:style>
  <w:style w:type="paragraph" w:styleId="943">
    <w:name w:val="Caption"/>
    <w:basedOn w:val="1086"/>
    <w:next w:val="1086"/>
    <w:uiPriority w:val="35"/>
    <w:semiHidden/>
    <w:unhideWhenUsed/>
    <w:qFormat/>
    <w:pPr>
      <w:spacing w:line="276" w:lineRule="auto"/>
    </w:pPr>
    <w:rPr>
      <w:b/>
      <w:bCs/>
      <w:color w:val="4f81bd" w:themeColor="accent1"/>
      <w:sz w:val="18"/>
      <w:szCs w:val="18"/>
    </w:rPr>
  </w:style>
  <w:style w:type="character" w:styleId="944">
    <w:name w:val="Caption Char"/>
    <w:basedOn w:val="943"/>
    <w:link w:val="1102"/>
    <w:uiPriority w:val="99"/>
  </w:style>
  <w:style w:type="table" w:styleId="945">
    <w:name w:val="Table Grid Light"/>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81">
    <w:name w:val="Grid Table 5 Dark - Accent 2"/>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85">
    <w:name w:val="Grid Table 5 Dark - Accent 6"/>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3">
    <w:name w:val="Grid Table 7 Colorful"/>
    <w:basedOn w:val="10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9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9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16">
    <w:name w:val="List Table 3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20">
    <w:name w:val="List Table 3 - Accent 6"/>
    <w:basedOn w:val="10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23">
    <w:name w:val="List Table 4 - Accent 2"/>
    <w:basedOn w:val="10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27">
    <w:name w:val="List Table 4 - Accent 6"/>
    <w:basedOn w:val="10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37">
    <w:name w:val="List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41">
    <w:name w:val="List Table 6 Colorful - Accent 6"/>
    <w:basedOn w:val="10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44">
    <w:name w:val="List Table 7 Colorful - Accent 2"/>
    <w:basedOn w:val="10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48">
    <w:name w:val="List Table 7 Colorful - Accent 6"/>
    <w:basedOn w:val="10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1">
    <w:name w:val="Lined - Accent 2"/>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55">
    <w:name w:val="Lined - Accent 6"/>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8">
    <w:name w:val="Bordered &amp; Lined - Accent 2"/>
    <w:basedOn w:val="10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62">
    <w:name w:val="Bordered &amp; Lined - Accent 6"/>
    <w:basedOn w:val="10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086"/>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91"/>
    <w:uiPriority w:val="99"/>
    <w:unhideWhenUsed/>
    <w:rPr>
      <w:vertAlign w:val="superscript"/>
    </w:rPr>
  </w:style>
  <w:style w:type="paragraph" w:styleId="1073">
    <w:name w:val="endnote text"/>
    <w:basedOn w:val="1086"/>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91"/>
    <w:uiPriority w:val="99"/>
    <w:semiHidden/>
    <w:unhideWhenUsed/>
    <w:rPr>
      <w:vertAlign w:val="superscript"/>
    </w:r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uiPriority w:val="0"/>
    <w:qFormat/>
    <w:pPr>
      <w:jc w:val="both"/>
      <w:widowControl w:val="off"/>
    </w:pPr>
    <w:rPr>
      <w:rFonts w:ascii="Times New Roman" w:hAnsi="Times New Roman" w:eastAsia="宋体" w:cs="Times New Roman"/>
      <w:sz w:val="24"/>
      <w:lang w:val="en-US" w:eastAsia="zh-CN" w:bidi="ar-SA"/>
    </w:rPr>
  </w:style>
  <w:style w:type="paragraph" w:styleId="1087">
    <w:name w:val="Heading 1"/>
    <w:basedOn w:val="1086"/>
    <w:next w:val="1086"/>
    <w:link w:val="1126"/>
    <w:uiPriority w:val="0"/>
    <w:qFormat/>
    <w:pPr>
      <w:keepLines/>
      <w:keepNext/>
      <w:spacing w:before="340" w:after="330" w:line="578" w:lineRule="auto"/>
      <w:outlineLvl w:val="0"/>
    </w:pPr>
    <w:rPr>
      <w:rFonts w:eastAsia="楷体_GB2312"/>
      <w:b/>
      <w:sz w:val="44"/>
    </w:rPr>
  </w:style>
  <w:style w:type="paragraph" w:styleId="1088">
    <w:name w:val="Heading 2"/>
    <w:basedOn w:val="1086"/>
    <w:next w:val="1086"/>
    <w:link w:val="1122"/>
    <w:uiPriority w:val="0"/>
    <w:qFormat/>
    <w:pPr>
      <w:keepLines/>
      <w:keepNext/>
      <w:spacing w:before="260" w:after="260" w:line="416" w:lineRule="auto"/>
      <w:outlineLvl w:val="1"/>
    </w:pPr>
    <w:rPr>
      <w:rFonts w:ascii="Cambria" w:hAnsi="Cambria"/>
      <w:b/>
      <w:bCs/>
      <w:sz w:val="32"/>
      <w:szCs w:val="32"/>
    </w:rPr>
  </w:style>
  <w:style w:type="paragraph" w:styleId="1089">
    <w:name w:val="Heading 3"/>
    <w:basedOn w:val="1086"/>
    <w:next w:val="1086"/>
    <w:uiPriority w:val="0"/>
    <w:semiHidden/>
    <w:unhideWhenUsed/>
    <w:qFormat/>
    <w:pPr>
      <w:ind w:firstLine="0"/>
      <w:keepLines/>
      <w:keepNext/>
      <w:spacing w:before="200"/>
      <w:outlineLvl w:val="2"/>
    </w:pPr>
    <w:rPr>
      <w:rFonts w:eastAsia="宋体" w:asciiTheme="majorAscii" w:hAnsiTheme="majorAscii" w:cstheme="majorBidi"/>
      <w:bCs/>
      <w:color w:val="000000" w:themeColor="text1"/>
      <w:sz w:val="28"/>
      <w:szCs w:val="22"/>
      <w:lang w:eastAsia="en-US" w:bidi="en-US"/>
      <w14:textFill>
        <w14:solidFill>
          <w14:schemeClr w14:val="tx1"/>
        </w14:solidFill>
      </w14:textFill>
    </w:rPr>
  </w:style>
  <w:style w:type="paragraph" w:styleId="1090">
    <w:name w:val="Heading 4"/>
    <w:basedOn w:val="1086"/>
    <w:next w:val="1086"/>
    <w:uiPriority w:val="0"/>
    <w:unhideWhenUsed/>
    <w:qFormat/>
    <w:pPr>
      <w:keepLines/>
      <w:keepNext/>
      <w:spacing w:before="280" w:after="290" w:line="376" w:lineRule="auto"/>
      <w:outlineLvl w:val="3"/>
    </w:pPr>
    <w:rPr>
      <w:rFonts w:ascii="Cambria" w:hAnsi="Cambria"/>
      <w:b/>
      <w:bCs/>
      <w:sz w:val="28"/>
      <w:szCs w:val="28"/>
    </w:rPr>
  </w:style>
  <w:style w:type="character" w:styleId="1091" w:default="1">
    <w:name w:val="Default Paragraph Font"/>
    <w:uiPriority w:val="1"/>
    <w:semiHidden/>
    <w:unhideWhenUsed/>
    <w:qFormat/>
  </w:style>
  <w:style w:type="table" w:styleId="1092" w:default="1">
    <w:name w:val="Normal Table"/>
    <w:uiPriority w:val="99"/>
    <w:semiHidden/>
    <w:unhideWhenUsed/>
    <w:qFormat/>
    <w:tblPr>
      <w:tblCellMar>
        <w:left w:w="108" w:type="dxa"/>
        <w:top w:w="0" w:type="dxa"/>
        <w:right w:w="108" w:type="dxa"/>
        <w:bottom w:w="0" w:type="dxa"/>
      </w:tblCellMar>
    </w:tblPr>
  </w:style>
  <w:style w:type="paragraph" w:styleId="1093">
    <w:name w:val="Normal Indent"/>
    <w:basedOn w:val="1086"/>
    <w:uiPriority w:val="0"/>
    <w:unhideWhenUsed/>
    <w:qFormat/>
    <w:pPr>
      <w:ind w:firstLine="420"/>
      <w:jc w:val="left"/>
    </w:pPr>
  </w:style>
  <w:style w:type="paragraph" w:styleId="1094">
    <w:name w:val="Document Map"/>
    <w:basedOn w:val="1086"/>
    <w:uiPriority w:val="99"/>
    <w:unhideWhenUsed/>
    <w:qFormat/>
    <w:rPr>
      <w:szCs w:val="18"/>
    </w:rPr>
  </w:style>
  <w:style w:type="paragraph" w:styleId="1095">
    <w:name w:val="annotation text"/>
    <w:basedOn w:val="1086"/>
    <w:uiPriority w:val="0"/>
    <w:qFormat/>
    <w:pPr>
      <w:jc w:val="left"/>
    </w:pPr>
  </w:style>
  <w:style w:type="paragraph" w:styleId="1096">
    <w:name w:val="Body Text"/>
    <w:basedOn w:val="1086"/>
    <w:next w:val="1093"/>
    <w:uiPriority w:val="0"/>
    <w:qFormat/>
    <w:pPr>
      <w:jc w:val="center"/>
    </w:pPr>
    <w:rPr>
      <w:rFonts w:ascii="方正大黑简体" w:eastAsia="方正大黑简体"/>
      <w:position w:val="6"/>
      <w:sz w:val="30"/>
    </w:rPr>
  </w:style>
  <w:style w:type="paragraph" w:styleId="1097">
    <w:name w:val="Body Text Indent"/>
    <w:basedOn w:val="1086"/>
    <w:next w:val="1086"/>
    <w:uiPriority w:val="0"/>
    <w:unhideWhenUsed/>
    <w:qFormat/>
    <w:pPr>
      <w:ind w:firstLine="570"/>
    </w:pPr>
    <w:rPr>
      <w:rFonts w:ascii="宋体"/>
      <w:sz w:val="28"/>
    </w:rPr>
  </w:style>
  <w:style w:type="paragraph" w:styleId="1098">
    <w:name w:val="Block Text"/>
    <w:basedOn w:val="1086"/>
    <w:uiPriority w:val="99"/>
    <w:semiHidden/>
    <w:unhideWhenUsed/>
    <w:qFormat/>
    <w:pPr>
      <w:ind w:left="1440" w:right="1440"/>
      <w:spacing w:after="120"/>
    </w:pPr>
  </w:style>
  <w:style w:type="paragraph" w:styleId="1099">
    <w:name w:val="index 4"/>
    <w:basedOn w:val="1086"/>
    <w:next w:val="1086"/>
    <w:uiPriority w:val="99"/>
    <w:unhideWhenUsed/>
    <w:qFormat/>
    <w:pPr>
      <w:ind w:left="600"/>
    </w:pPr>
  </w:style>
  <w:style w:type="paragraph" w:styleId="1100">
    <w:name w:val="Plain Text"/>
    <w:basedOn w:val="1086"/>
    <w:uiPriority w:val="0"/>
    <w:unhideWhenUsed/>
    <w:qFormat/>
    <w:rPr>
      <w:rFonts w:ascii="宋体" w:hAnsi="Courier New"/>
    </w:rPr>
  </w:style>
  <w:style w:type="paragraph" w:styleId="1101">
    <w:name w:val="Balloon Text"/>
    <w:basedOn w:val="1086"/>
    <w:uiPriority w:val="0"/>
    <w:qFormat/>
    <w:rPr>
      <w:sz w:val="18"/>
      <w:szCs w:val="18"/>
    </w:rPr>
  </w:style>
  <w:style w:type="paragraph" w:styleId="1102">
    <w:name w:val="Footer"/>
    <w:basedOn w:val="1086"/>
    <w:uiPriority w:val="99"/>
    <w:unhideWhenUsed/>
    <w:qFormat/>
    <w:pPr>
      <w:jc w:val="left"/>
      <w:tabs>
        <w:tab w:val="center" w:pos="4153" w:leader="none"/>
        <w:tab w:val="right" w:pos="8306" w:leader="none"/>
      </w:tabs>
    </w:pPr>
    <w:rPr>
      <w:sz w:val="18"/>
    </w:rPr>
  </w:style>
  <w:style w:type="paragraph" w:styleId="1103">
    <w:name w:val="envelope return"/>
    <w:basedOn w:val="1086"/>
    <w:uiPriority w:val="99"/>
    <w:unhideWhenUsed/>
    <w:qFormat/>
    <w:rPr>
      <w:rFonts w:ascii="Arial" w:hAnsi="Arial"/>
    </w:rPr>
  </w:style>
  <w:style w:type="paragraph" w:styleId="1104">
    <w:name w:val="Header"/>
    <w:basedOn w:val="1086"/>
    <w:uiPriority w:val="99"/>
    <w:unhideWhenUsed/>
    <w:qFormat/>
    <w:pPr>
      <w:jc w:val="center"/>
      <w:tabs>
        <w:tab w:val="center" w:pos="4153" w:leader="none"/>
        <w:tab w:val="right" w:pos="8306" w:leader="none"/>
      </w:tabs>
      <w:pBdr>
        <w:bottom w:val="single" w:color="auto" w:sz="6" w:space="1"/>
      </w:pBdr>
    </w:pPr>
    <w:rPr>
      <w:sz w:val="18"/>
    </w:rPr>
  </w:style>
  <w:style w:type="paragraph" w:styleId="1105">
    <w:name w:val="toc 1"/>
    <w:basedOn w:val="1086"/>
    <w:next w:val="1086"/>
    <w:uiPriority w:val="39"/>
    <w:unhideWhenUsed/>
    <w:qFormat/>
    <w:pPr>
      <w:jc w:val="left"/>
    </w:pPr>
  </w:style>
  <w:style w:type="paragraph" w:styleId="1106">
    <w:name w:val="Subtitle"/>
    <w:basedOn w:val="1086"/>
    <w:next w:val="108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07">
    <w:name w:val="Body Text Indent 3"/>
    <w:basedOn w:val="1086"/>
    <w:uiPriority w:val="0"/>
    <w:qFormat/>
    <w:pPr>
      <w:ind w:firstLine="564"/>
      <w:spacing w:line="360" w:lineRule="auto"/>
    </w:pPr>
    <w:rPr>
      <w:rFonts w:ascii="宋体"/>
      <w:sz w:val="18"/>
    </w:rPr>
  </w:style>
  <w:style w:type="paragraph" w:styleId="1108">
    <w:name w:val="HTML Preformatted"/>
    <w:basedOn w:val="1086"/>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1109">
    <w:name w:val="Normal (Web)"/>
    <w:basedOn w:val="1086"/>
    <w:uiPriority w:val="99"/>
    <w:qFormat/>
    <w:pPr>
      <w:jc w:val="left"/>
      <w:spacing w:before="100" w:beforeAutospacing="1" w:after="100" w:afterAutospacing="1"/>
      <w:widowControl/>
    </w:pPr>
    <w:rPr>
      <w:rFonts w:ascii="宋体" w:hAnsi="宋体" w:eastAsia="宋体" w:cs="宋体"/>
      <w:sz w:val="24"/>
      <w:szCs w:val="24"/>
    </w:rPr>
  </w:style>
  <w:style w:type="paragraph" w:styleId="1110">
    <w:name w:val="Title"/>
    <w:basedOn w:val="1086"/>
    <w:next w:val="1086"/>
    <w:uiPriority w:val="0"/>
    <w:qFormat/>
    <w:pPr>
      <w:jc w:val="center"/>
      <w:spacing w:before="240" w:after="60"/>
      <w:outlineLvl w:val="0"/>
    </w:pPr>
    <w:rPr>
      <w:rFonts w:ascii="Cambria" w:hAnsi="Cambria"/>
      <w:b/>
      <w:bCs/>
      <w:sz w:val="32"/>
      <w:szCs w:val="32"/>
    </w:rPr>
  </w:style>
  <w:style w:type="paragraph" w:styleId="1111">
    <w:name w:val="Body Text First Indent"/>
    <w:basedOn w:val="1096"/>
    <w:next w:val="1086"/>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paragraph" w:styleId="1112">
    <w:name w:val="Body Text First Indent 2"/>
    <w:basedOn w:val="1097"/>
    <w:uiPriority w:val="0"/>
    <w:qFormat/>
    <w:pPr>
      <w:ind w:left="420" w:firstLine="420"/>
      <w:spacing w:after="120"/>
    </w:pPr>
    <w:rPr>
      <w:rFonts w:ascii="Times New Roman"/>
      <w:sz w:val="21"/>
      <w:szCs w:val="24"/>
    </w:rPr>
  </w:style>
  <w:style w:type="table" w:styleId="1113">
    <w:name w:val="Table Grid"/>
    <w:basedOn w:val="1092"/>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name w:val="Strong"/>
    <w:basedOn w:val="1091"/>
    <w:uiPriority w:val="0"/>
    <w:qFormat/>
    <w:rPr>
      <w:b/>
    </w:rPr>
  </w:style>
  <w:style w:type="character" w:styleId="1115">
    <w:name w:val="FollowedHyperlink"/>
    <w:basedOn w:val="1091"/>
    <w:uiPriority w:val="0"/>
    <w:qFormat/>
    <w:rPr>
      <w:color w:val="333333"/>
      <w:u w:val="none"/>
    </w:rPr>
  </w:style>
  <w:style w:type="character" w:styleId="1116">
    <w:name w:val="Emphasis"/>
    <w:basedOn w:val="1091"/>
    <w:uiPriority w:val="0"/>
    <w:qFormat/>
    <w:rPr>
      <w:i/>
    </w:rPr>
  </w:style>
  <w:style w:type="character" w:styleId="1117">
    <w:name w:val="Hyperlink"/>
    <w:basedOn w:val="1091"/>
    <w:uiPriority w:val="0"/>
    <w:qFormat/>
    <w:rPr>
      <w:color w:val="333333"/>
      <w:u w:val="none"/>
    </w:rPr>
  </w:style>
  <w:style w:type="character" w:styleId="1118">
    <w:name w:val="annotation reference"/>
    <w:basedOn w:val="1091"/>
    <w:uiPriority w:val="0"/>
    <w:qFormat/>
    <w:rPr>
      <w:sz w:val="21"/>
      <w:szCs w:val="21"/>
    </w:rPr>
  </w:style>
  <w:style w:type="paragraph" w:styleId="1119" w:customStyle="1">
    <w:name w:val="列出段落1"/>
    <w:basedOn w:val="1086"/>
    <w:uiPriority w:val="99"/>
    <w:qFormat/>
    <w:pPr>
      <w:ind w:firstLine="420"/>
    </w:pPr>
    <w:rPr>
      <w:rFonts w:ascii="Calibri" w:hAnsi="Calibri" w:cs="Calibri"/>
      <w:szCs w:val="21"/>
    </w:rPr>
  </w:style>
  <w:style w:type="paragraph" w:styleId="1120" w:customStyle="1">
    <w:name w:val="段"/>
    <w:next w:val="1086"/>
    <w:uiPriority w:val="0"/>
    <w:qFormat/>
    <w:pPr>
      <w:ind w:firstLine="200"/>
      <w:jc w:val="both"/>
    </w:pPr>
    <w:rPr>
      <w:rFonts w:ascii="宋体" w:hAnsi="Times New Roman" w:eastAsia="宋体" w:cs="Times New Roman"/>
      <w:sz w:val="21"/>
      <w:lang w:val="en-US" w:eastAsia="zh-CN" w:bidi="ar-SA"/>
    </w:rPr>
  </w:style>
  <w:style w:type="paragraph" w:styleId="1121" w:customStyle="1">
    <w:name w:val="首行缩进"/>
    <w:basedOn w:val="1086"/>
    <w:uiPriority w:val="0"/>
    <w:qFormat/>
    <w:pPr>
      <w:ind w:firstLine="480"/>
    </w:pPr>
    <w:rPr>
      <w:sz w:val="21"/>
      <w:lang w:val="zh-CN"/>
    </w:rPr>
  </w:style>
  <w:style w:type="character" w:styleId="1122" w:customStyle="1">
    <w:name w:val="标题 2 字符"/>
    <w:basedOn w:val="1091"/>
    <w:link w:val="1088"/>
    <w:uiPriority w:val="0"/>
    <w:qFormat/>
    <w:rPr>
      <w:rFonts w:ascii="Cambria" w:hAnsi="Cambria" w:eastAsia="宋体" w:cs="Times New Roman"/>
      <w:b/>
      <w:bCs/>
      <w:sz w:val="32"/>
      <w:szCs w:val="32"/>
    </w:rPr>
  </w:style>
  <w:style w:type="paragraph" w:styleId="1123" w:customStyle="1">
    <w:name w:val="_Style 30"/>
    <w:basedOn w:val="1086"/>
    <w:next w:val="1100"/>
    <w:uiPriority w:val="0"/>
    <w:qFormat/>
    <w:rPr>
      <w:rFonts w:ascii="宋体" w:hAnsi="Courier New"/>
      <w:sz w:val="21"/>
    </w:rPr>
  </w:style>
  <w:style w:type="paragraph" w:styleId="1124" w:customStyle="1">
    <w:name w:val="纯文本1"/>
    <w:basedOn w:val="1086"/>
    <w:next w:val="1086"/>
    <w:uiPriority w:val="0"/>
    <w:qFormat/>
    <w:rPr>
      <w:rFonts w:ascii="宋体" w:hAnsi="Courier New" w:eastAsia="楷体_GB2312"/>
      <w:sz w:val="26"/>
    </w:rPr>
  </w:style>
  <w:style w:type="paragraph" w:styleId="1125" w:customStyle="1">
    <w:name w:val="纯文本6"/>
    <w:basedOn w:val="1086"/>
    <w:uiPriority w:val="0"/>
    <w:qFormat/>
    <w:rPr>
      <w:rFonts w:ascii="宋体" w:hAnsi="Courier New"/>
    </w:rPr>
  </w:style>
  <w:style w:type="character" w:styleId="1126" w:customStyle="1">
    <w:name w:val="标题 1 字符"/>
    <w:link w:val="1087"/>
    <w:uiPriority w:val="0"/>
    <w:qFormat/>
    <w:rPr>
      <w:rFonts w:eastAsia="楷体_GB2312"/>
      <w:b/>
      <w:sz w:val="44"/>
    </w:rPr>
  </w:style>
  <w:style w:type="character" w:styleId="1127" w:customStyle="1">
    <w:name w:val="NormalCharacter"/>
    <w:uiPriority w:val="0"/>
    <w:semiHidden/>
    <w:qFormat/>
  </w:style>
  <w:style w:type="paragraph" w:styleId="1128" w:customStyle="1">
    <w:name w:val="Plain Text"/>
    <w:basedOn w:val="1086"/>
    <w:uiPriority w:val="0"/>
    <w:qFormat/>
    <w:pPr>
      <w:jc w:val="both"/>
      <w:widowControl w:val="off"/>
    </w:pPr>
    <w:rPr>
      <w:rFonts w:ascii="宋体" w:hAnsi="Courier New" w:eastAsia="楷体_GB2312"/>
      <w:sz w:val="26"/>
      <w:szCs w:val="20"/>
    </w:rPr>
  </w:style>
  <w:style w:type="paragraph" w:styleId="1129" w:customStyle="1">
    <w:name w:val="Andy_正文"/>
    <w:basedOn w:val="1086"/>
    <w:uiPriority w:val="0"/>
    <w:qFormat/>
    <w:pPr>
      <w:ind w:firstLine="480"/>
      <w:jc w:val="both"/>
      <w:spacing w:line="360" w:lineRule="auto"/>
      <w:widowControl w:val="off"/>
    </w:pPr>
    <w:rPr>
      <w:rFonts w:ascii="Calibri" w:hAnsi="Calibri"/>
    </w:rPr>
  </w:style>
  <w:style w:type="paragraph" w:styleId="1130" w:customStyle="1">
    <w:name w:val="纯文本2"/>
    <w:basedOn w:val="1086"/>
    <w:uiPriority w:val="0"/>
    <w:qFormat/>
    <w:rPr>
      <w:rFonts w:ascii="宋体" w:hAnsi="Courier New"/>
    </w:rPr>
  </w:style>
  <w:style w:type="character" w:styleId="1131" w:customStyle="1">
    <w:name w:val="font111"/>
    <w:basedOn w:val="1091"/>
    <w:uiPriority w:val="0"/>
    <w:qFormat/>
    <w:rPr>
      <w:rFonts w:hint="default" w:ascii="Times New Roman" w:hAnsi="Times New Roman" w:cs="Times New Roman"/>
      <w:b/>
      <w:bCs/>
      <w:color w:val="000000"/>
      <w:sz w:val="16"/>
      <w:szCs w:val="16"/>
      <w:u w:val="none"/>
    </w:rPr>
  </w:style>
  <w:style w:type="character" w:styleId="1132" w:customStyle="1">
    <w:name w:val="font122"/>
    <w:basedOn w:val="1091"/>
    <w:uiPriority w:val="0"/>
    <w:qFormat/>
    <w:rPr>
      <w:rFonts w:hint="eastAsia" w:ascii="宋体" w:hAnsi="宋体" w:eastAsia="宋体" w:cs="宋体"/>
      <w:b/>
      <w:bCs/>
      <w:color w:val="000000"/>
      <w:sz w:val="16"/>
      <w:szCs w:val="16"/>
      <w:u w:val="none"/>
    </w:rPr>
  </w:style>
  <w:style w:type="character" w:styleId="1133" w:customStyle="1">
    <w:name w:val="font91"/>
    <w:basedOn w:val="1091"/>
    <w:uiPriority w:val="0"/>
    <w:qFormat/>
    <w:rPr>
      <w:rFonts w:hint="eastAsia" w:ascii="宋体" w:hAnsi="宋体" w:eastAsia="宋体" w:cs="宋体"/>
      <w:color w:val="000000"/>
      <w:sz w:val="16"/>
      <w:szCs w:val="16"/>
      <w:u w:val="none"/>
    </w:rPr>
  </w:style>
  <w:style w:type="character" w:styleId="1134" w:customStyle="1">
    <w:name w:val="font131"/>
    <w:basedOn w:val="1091"/>
    <w:uiPriority w:val="0"/>
    <w:qFormat/>
    <w:rPr>
      <w:rFonts w:hint="eastAsia" w:ascii="宋体" w:hAnsi="宋体" w:eastAsia="宋体" w:cs="宋体"/>
      <w:color w:val="000000"/>
      <w:sz w:val="16"/>
      <w:szCs w:val="16"/>
      <w:u w:val="none"/>
    </w:rPr>
  </w:style>
  <w:style w:type="character" w:styleId="1135" w:customStyle="1">
    <w:name w:val="font141"/>
    <w:basedOn w:val="1091"/>
    <w:uiPriority w:val="0"/>
    <w:qFormat/>
    <w:rPr>
      <w:rFonts w:hint="eastAsia" w:ascii="宋体" w:hAnsi="宋体" w:eastAsia="宋体" w:cs="宋体"/>
      <w:color w:val="333300"/>
      <w:sz w:val="16"/>
      <w:szCs w:val="16"/>
      <w:u w:val="none"/>
    </w:rPr>
  </w:style>
  <w:style w:type="character" w:styleId="1136" w:customStyle="1">
    <w:name w:val="active"/>
    <w:basedOn w:val="1091"/>
    <w:uiPriority w:val="0"/>
    <w:qFormat/>
    <w:rPr>
      <w:color w:val="ffffff"/>
      <w:shd w:val="clear" w:color="auto" w:fill="0f5bb9"/>
    </w:rPr>
  </w:style>
  <w:style w:type="character" w:styleId="1137" w:customStyle="1">
    <w:name w:val="font21"/>
    <w:basedOn w:val="1091"/>
    <w:uiPriority w:val="0"/>
    <w:qFormat/>
    <w:rPr>
      <w:rFonts w:hint="eastAsia" w:ascii="宋体" w:hAnsi="宋体" w:eastAsia="宋体" w:cs="宋体"/>
      <w:color w:val="000000"/>
      <w:sz w:val="24"/>
      <w:szCs w:val="24"/>
      <w:u w:val="none"/>
    </w:rPr>
  </w:style>
  <w:style w:type="character" w:styleId="1138" w:customStyle="1">
    <w:name w:val="font31"/>
    <w:basedOn w:val="1091"/>
    <w:uiPriority w:val="0"/>
    <w:qFormat/>
    <w:rPr>
      <w:rFonts w:hint="eastAsia" w:ascii="宋体" w:hAnsi="宋体" w:eastAsia="宋体" w:cs="宋体"/>
      <w:color w:val="000000"/>
      <w:sz w:val="21"/>
      <w:szCs w:val="21"/>
      <w:u w:val="none"/>
    </w:rPr>
  </w:style>
  <w:style w:type="character" w:styleId="1139" w:customStyle="1">
    <w:name w:val="font41"/>
    <w:basedOn w:val="1091"/>
    <w:uiPriority w:val="0"/>
    <w:qFormat/>
    <w:rPr>
      <w:rFonts w:hint="eastAsia" w:ascii="宋体" w:hAnsi="宋体" w:eastAsia="宋体" w:cs="宋体"/>
      <w:color w:val="000000"/>
      <w:sz w:val="21"/>
      <w:szCs w:val="21"/>
      <w:u w:val="none"/>
    </w:rPr>
  </w:style>
  <w:style w:type="character" w:styleId="1140" w:customStyle="1">
    <w:name w:val="17"/>
    <w:basedOn w:val="1091"/>
    <w:uiPriority w:val="0"/>
    <w:qFormat/>
    <w:rPr>
      <w:rFonts w:hint="default" w:ascii="Times New Roman" w:hAnsi="Times New Roman" w:cs="Times New Roman"/>
      <w:b/>
      <w:bCs/>
      <w:color w:val="000000"/>
      <w:sz w:val="22"/>
      <w:szCs w:val="22"/>
    </w:rPr>
  </w:style>
  <w:style w:type="character" w:styleId="1141" w:customStyle="1">
    <w:name w:val="15"/>
    <w:basedOn w:val="1091"/>
    <w:uiPriority w:val="0"/>
    <w:qFormat/>
    <w:rPr>
      <w:rFonts w:hint="eastAsia" w:ascii="宋体" w:hAnsi="宋体" w:eastAsia="宋体" w:cs="宋体"/>
      <w:b/>
      <w:bCs/>
      <w:color w:val="000000"/>
      <w:sz w:val="22"/>
      <w:szCs w:val="22"/>
    </w:rPr>
  </w:style>
  <w:style w:type="character" w:styleId="1142" w:customStyle="1">
    <w:name w:val="16"/>
    <w:basedOn w:val="1091"/>
    <w:uiPriority w:val="0"/>
    <w:qFormat/>
    <w:rPr>
      <w:rFonts w:hint="eastAsia" w:ascii="宋体" w:hAnsi="宋体" w:eastAsia="宋体" w:cs="宋体"/>
      <w:color w:val="333300"/>
      <w:sz w:val="20"/>
      <w:szCs w:val="20"/>
    </w:rPr>
  </w:style>
  <w:style w:type="character" w:styleId="1143" w:customStyle="1">
    <w:name w:val="18"/>
    <w:basedOn w:val="1091"/>
    <w:uiPriority w:val="0"/>
    <w:qFormat/>
    <w:rPr>
      <w:rFonts w:hint="default" w:ascii="Times New Roman" w:hAnsi="Times New Roman" w:cs="Times New Roman"/>
      <w:b/>
      <w:bCs/>
      <w:color w:val="000000"/>
      <w:sz w:val="20"/>
      <w:szCs w:val="20"/>
    </w:rPr>
  </w:style>
  <w:style w:type="character" w:styleId="1144" w:customStyle="1">
    <w:name w:val="19"/>
    <w:basedOn w:val="1091"/>
    <w:uiPriority w:val="0"/>
    <w:qFormat/>
    <w:rPr>
      <w:rFonts w:hint="eastAsia" w:ascii="宋体" w:hAnsi="宋体" w:eastAsia="宋体" w:cs="宋体"/>
      <w:b/>
      <w:bCs/>
      <w:color w:val="000000"/>
      <w:sz w:val="20"/>
      <w:szCs w:val="20"/>
    </w:rPr>
  </w:style>
  <w:style w:type="character" w:styleId="1145" w:customStyle="1">
    <w:name w:val="font151"/>
    <w:basedOn w:val="1091"/>
    <w:uiPriority w:val="0"/>
    <w:qFormat/>
    <w:rPr>
      <w:rFonts w:hint="default" w:ascii="Times New Roman" w:hAnsi="Times New Roman" w:cs="Times New Roman"/>
      <w:b/>
      <w:bCs/>
      <w:color w:val="000000"/>
      <w:sz w:val="22"/>
      <w:szCs w:val="22"/>
      <w:u w:val="none"/>
    </w:rPr>
  </w:style>
  <w:style w:type="character" w:styleId="1146" w:customStyle="1">
    <w:name w:val="font161"/>
    <w:basedOn w:val="1091"/>
    <w:uiPriority w:val="0"/>
    <w:qFormat/>
    <w:rPr>
      <w:rFonts w:hint="eastAsia" w:ascii="宋体" w:hAnsi="宋体" w:eastAsia="宋体" w:cs="宋体"/>
      <w:b/>
      <w:bCs/>
      <w:color w:val="000000"/>
      <w:sz w:val="22"/>
      <w:szCs w:val="22"/>
      <w:u w:val="none"/>
    </w:rPr>
  </w:style>
  <w:style w:type="character" w:styleId="1147" w:customStyle="1">
    <w:name w:val="font171"/>
    <w:basedOn w:val="1091"/>
    <w:uiPriority w:val="0"/>
    <w:qFormat/>
    <w:rPr>
      <w:rFonts w:hint="eastAsia" w:ascii="宋体" w:hAnsi="宋体" w:eastAsia="宋体" w:cs="宋体"/>
      <w:color w:val="333300"/>
      <w:sz w:val="20"/>
      <w:szCs w:val="20"/>
      <w:u w:val="none"/>
    </w:rPr>
  </w:style>
  <w:style w:type="character" w:styleId="1148" w:customStyle="1">
    <w:name w:val="font181"/>
    <w:basedOn w:val="1091"/>
    <w:uiPriority w:val="0"/>
    <w:qFormat/>
    <w:rPr>
      <w:rFonts w:hint="default" w:ascii="Times New Roman" w:hAnsi="Times New Roman" w:cs="Times New Roman"/>
      <w:b/>
      <w:bCs/>
      <w:color w:val="000000"/>
      <w:sz w:val="20"/>
      <w:szCs w:val="20"/>
      <w:u w:val="none"/>
    </w:rPr>
  </w:style>
  <w:style w:type="character" w:styleId="1149" w:customStyle="1">
    <w:name w:val="font191"/>
    <w:basedOn w:val="1091"/>
    <w:uiPriority w:val="0"/>
    <w:qFormat/>
    <w:rPr>
      <w:rFonts w:hint="eastAsia" w:ascii="宋体" w:hAnsi="宋体" w:eastAsia="宋体" w:cs="宋体"/>
      <w:b/>
      <w:bCs/>
      <w:color w:val="000000"/>
      <w:sz w:val="20"/>
      <w:szCs w:val="20"/>
      <w:u w:val="none"/>
    </w:rPr>
  </w:style>
  <w:style w:type="character" w:styleId="1150" w:customStyle="1">
    <w:name w:val="font11"/>
    <w:basedOn w:val="1091"/>
    <w:uiPriority w:val="0"/>
    <w:qFormat/>
    <w:rPr>
      <w:rFonts w:hint="eastAsia" w:ascii="宋体" w:hAnsi="宋体" w:eastAsia="宋体" w:cs="宋体"/>
      <w:color w:val="000000"/>
      <w:sz w:val="24"/>
      <w:szCs w:val="24"/>
      <w:u w:val="none"/>
    </w:rPr>
  </w:style>
  <w:style w:type="paragraph" w:styleId="1151" w:customStyle="1">
    <w:name w:val="正文1"/>
    <w:next w:val="1086"/>
    <w:uiPriority w:val="0"/>
    <w:qFormat/>
    <w:pPr>
      <w:jc w:val="both"/>
      <w:widowControl w:val="off"/>
    </w:pPr>
    <w:rPr>
      <w:rFonts w:ascii="Times New Roman" w:hAnsi="Times New Roman" w:eastAsia="仿宋_GB2312" w:cs="Times New Roman"/>
      <w:sz w:val="24"/>
      <w:lang w:val="en-US" w:eastAsia="zh-CN" w:bidi="ar-SA"/>
    </w:rPr>
  </w:style>
  <w:style w:type="paragraph" w:styleId="1152" w:customStyle="1">
    <w:name w:val="纯文本4"/>
    <w:basedOn w:val="1086"/>
    <w:uiPriority w:val="0"/>
    <w:qFormat/>
    <w:rPr>
      <w:rFonts w:ascii="宋体" w:hAnsi="Courier New" w:eastAsia="楷体_GB2312"/>
      <w:sz w:val="26"/>
    </w:rPr>
  </w:style>
  <w:style w:type="paragraph" w:styleId="1153">
    <w:name w:val="List Paragraph"/>
    <w:basedOn w:val="1086"/>
    <w:uiPriority w:val="34"/>
    <w:qFormat/>
    <w:pPr>
      <w:contextualSpacing/>
      <w:ind w:left="720"/>
    </w:pPr>
  </w:style>
  <w:style w:type="paragraph" w:styleId="1154" w:customStyle="1">
    <w:name w:val="表正文"/>
    <w:basedOn w:val="1086"/>
    <w:uiPriority w:val="0"/>
    <w:qFormat/>
    <w:pPr>
      <w:jc w:val="left"/>
    </w:pPr>
    <w:rPr>
      <w:rFonts w:ascii="Arial" w:hAnsi="Arial" w:eastAsia="宋体"/>
      <w:sz w:val="18"/>
      <w:szCs w:val="21"/>
    </w:rPr>
  </w:style>
  <w:style w:type="paragraph" w:styleId="1155" w:customStyle="1">
    <w:name w:val="Table Text"/>
    <w:basedOn w:val="1086"/>
    <w:uiPriority w:val="0"/>
    <w:semiHidden/>
    <w:qFormat/>
    <w:rPr>
      <w:rFonts w:ascii="宋体" w:hAnsi="宋体" w:eastAsia="宋体" w:cs="宋体"/>
      <w:sz w:val="18"/>
      <w:szCs w:val="18"/>
      <w:lang w:val="en-US" w:eastAsia="en-US" w:bidi="ar-SA"/>
    </w:rPr>
  </w:style>
  <w:style w:type="paragraph" w:styleId="1156" w:customStyle="1">
    <w:name w:val="2级标题"/>
    <w:basedOn w:val="1119"/>
    <w:uiPriority w:val="0"/>
    <w:qFormat/>
    <w:pPr>
      <w:contextualSpacing/>
      <w:ind w:firstLine="0"/>
      <w:jc w:val="left"/>
      <w:keepLines/>
      <w:spacing w:line="360" w:lineRule="auto"/>
      <w:widowControl/>
      <w:outlineLvl w:val="1"/>
    </w:pPr>
    <w:rPr>
      <w:rFonts w:ascii="黑体" w:hAnsi="黑体" w:eastAsia="黑体" w:cs="宋体"/>
      <w:sz w:val="32"/>
      <w:szCs w:val="36"/>
      <w:lang w:eastAsia="en-US" w:bidi="en-US"/>
    </w:rPr>
  </w:style>
  <w:style w:type="character" w:styleId="1157" w:customStyle="1">
    <w:name w:val="font51"/>
    <w:uiPriority w:val="0"/>
    <w:qFormat/>
    <w:rPr>
      <w:rFonts w:hint="default" w:ascii="Helvetica Neue" w:hAnsi="Helvetica Neue" w:eastAsia="Helvetica Neue" w:cs="Helvetica Neue"/>
      <w:color w:val="de3c36"/>
      <w:sz w:val="16"/>
      <w:szCs w:val="16"/>
      <w:u w:val="none"/>
    </w:rPr>
  </w:style>
  <w:style w:type="paragraph" w:styleId="1158" w:customStyle="1">
    <w:name w:val="Default"/>
    <w:uiPriority w:val="0"/>
    <w:qFormat/>
    <w:pPr>
      <w:widowControl w:val="off"/>
    </w:pPr>
    <w:rPr>
      <w:rFonts w:ascii="Arial" w:hAnsi="Arial" w:eastAsia="宋体" w:cs="Arial"/>
      <w:color w:val="000000"/>
      <w:sz w:val="24"/>
      <w:szCs w:val="24"/>
      <w:lang w:val="en-US" w:eastAsia="zh-CN" w:bidi="ar-SA"/>
    </w:rPr>
  </w:style>
  <w:style w:type="paragraph" w:styleId="1159" w:customStyle="1">
    <w:name w:val="UserStyle_28"/>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160" w:customStyle="1">
    <w:name w:val="正文缩进1"/>
    <w:basedOn w:val="1086"/>
    <w:uiPriority w:val="0"/>
    <w:qFormat/>
    <w:pPr>
      <w:ind w:firstLine="420"/>
    </w:p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王丹萍</cp:lastModifiedBy>
  <cp:revision>8</cp:revision>
  <dcterms:created xsi:type="dcterms:W3CDTF">2022-10-17T05:30:00Z</dcterms:created>
  <dcterms:modified xsi:type="dcterms:W3CDTF">2026-04-13T06:57:44Z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19EC1974783D4A2FA1A6566C5FB2B576_13</vt:lpwstr>
  </property>
  <property fmtid="{D5CDD505-2E9C-101B-9397-08002B2CF9AE}" pid="4" name="KSOTemplateDocerSaveRecord">
    <vt:lpwstr>eyJoZGlkIjoiM2IyYWFhN2E0OWI4MGY3Njc3N2FlZjkzYjZiNGYzMWQiLCJ1c2VySWQiOiI2MzM1MjUwMjMifQ==</vt:lpwstr>
  </property>
</Properties>
</file>