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45"/>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45"/>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南医大常州医疗健康科技园新建工程一期科研平台细胞学仪器设备采购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JSZC-320412-XHJS-G2026-0006</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94"/>
        <w:spacing w:line="360" w:lineRule="auto"/>
        <w:rPr>
          <w:rFonts w:ascii="Calibri" w:hAnsi="Calibri"/>
          <w:b w:val="0"/>
          <w:sz w:val="21"/>
          <w:szCs w:val="22"/>
        </w:rPr>
      </w:pPr>
      <w:r>
        <w:rPr>
          <w:rFonts w:ascii="Calibri" w:hAnsi="Calibri"/>
          <w:b w:val="0"/>
          <w:sz w:val="21"/>
          <w:szCs w:val="22"/>
        </w:rPr>
      </w:r>
      <w:r/>
    </w:p>
    <w:p>
      <w:pPr>
        <w:pStyle w:val="994"/>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45"/>
        <w:rPr>
          <w:rFonts w:hint="eastAsia"/>
          <w:color w:val="auto"/>
        </w:rPr>
      </w:pPr>
      <w:r>
        <w:rPr>
          <w:rFonts w:hint="eastAsia"/>
          <w:color w:val="auto"/>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45"/>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5"/>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45"/>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南医大常州医疗健康科技园新建工程一期科研平台细胞学仪器设备采购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w:t>
      </w:r>
      <w:r>
        <w:rPr>
          <w:rFonts w:hint="eastAsia" w:ascii="宋体" w:hAnsi="宋体"/>
          <w:sz w:val="24"/>
          <w:highlight w:val="yellow"/>
        </w:rPr>
        <w:t xml:space="preserve">并于</w:t>
      </w:r>
      <w:r>
        <w:rPr>
          <w:rFonts w:ascii="宋体" w:hAnsi="宋体"/>
          <w:sz w:val="24"/>
          <w:highlight w:val="yellow"/>
        </w:rPr>
        <w:t xml:space="preserve">202</w:t>
      </w:r>
      <w:r>
        <w:rPr>
          <w:rFonts w:hint="eastAsia" w:ascii="宋体" w:hAnsi="宋体"/>
          <w:sz w:val="24"/>
          <w:highlight w:val="yellow"/>
        </w:rPr>
        <w:t xml:space="preserve">6</w:t>
      </w:r>
      <w:r>
        <w:rPr>
          <w:rFonts w:hint="eastAsia" w:ascii="宋体" w:hAnsi="宋体"/>
          <w:bCs/>
          <w:sz w:val="24"/>
          <w:highlight w:val="yellow"/>
        </w:rPr>
        <w:t xml:space="preserve">年</w:t>
      </w:r>
      <w:r>
        <w:rPr>
          <w:rFonts w:hint="eastAsia" w:ascii="宋体" w:hAnsi="宋体"/>
          <w:bCs/>
          <w:sz w:val="24"/>
          <w:highlight w:val="yellow"/>
        </w:rPr>
        <w:t xml:space="preserve"> </w:t>
      </w:r>
      <w:r>
        <w:rPr>
          <w:rFonts w:hint="eastAsia" w:ascii="宋体" w:hAnsi="宋体"/>
          <w:bCs/>
          <w:sz w:val="24"/>
          <w:highlight w:val="yellow"/>
        </w:rPr>
        <w:t xml:space="preserve">月</w:t>
      </w:r>
      <w:r>
        <w:rPr>
          <w:rFonts w:hint="eastAsia" w:ascii="宋体" w:hAnsi="宋体"/>
          <w:bCs/>
          <w:sz w:val="24"/>
          <w:highlight w:val="yellow"/>
        </w:rPr>
        <w:t xml:space="preserve"> </w:t>
      </w:r>
      <w:r>
        <w:rPr>
          <w:rFonts w:hint="eastAsia" w:ascii="宋体" w:hAnsi="宋体"/>
          <w:bCs/>
          <w:sz w:val="24"/>
          <w:highlight w:val="yellow"/>
        </w:rPr>
        <w:t xml:space="preserve">日</w:t>
      </w:r>
      <w:r>
        <w:rPr>
          <w:rFonts w:ascii="宋体" w:hAnsi="宋体"/>
          <w:bCs/>
          <w:sz w:val="24"/>
          <w:highlight w:val="yellow"/>
        </w:rPr>
        <w:t xml:space="preserve">09</w:t>
      </w:r>
      <w:r>
        <w:rPr>
          <w:rFonts w:hint="eastAsia" w:ascii="宋体" w:hAnsi="宋体"/>
          <w:bCs/>
          <w:sz w:val="24"/>
          <w:highlight w:val="yellow"/>
        </w:rPr>
        <w:t xml:space="preserve">点</w:t>
      </w:r>
      <w:r>
        <w:rPr>
          <w:rFonts w:ascii="宋体" w:hAnsi="宋体"/>
          <w:bCs/>
          <w:sz w:val="24"/>
          <w:highlight w:val="yellow"/>
        </w:rPr>
        <w:t xml:space="preserve">00</w:t>
      </w:r>
      <w:r>
        <w:rPr>
          <w:rFonts w:hint="eastAsia" w:ascii="宋体" w:hAnsi="宋体"/>
          <w:bCs/>
          <w:sz w:val="24"/>
          <w:highlight w:val="yellow"/>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81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Theme="minorEastAsia" w:hAnsiTheme="minorEastAsia" w:eastAsiaTheme="minorEastAsia"/>
          <w:sz w:val="24"/>
        </w:rPr>
        <w:t xml:space="preserve">：</w:t>
      </w:r>
      <w:r>
        <w:rPr>
          <w:rFonts w:asciiTheme="minorEastAsia" w:hAnsiTheme="minorEastAsia" w:eastAsiaTheme="minorEastAsia"/>
          <w:sz w:val="24"/>
        </w:rPr>
        <w:t xml:space="preserve">JSZC-320412-XHJS-G2026-0006</w:t>
      </w:r>
      <w:r>
        <w:rPr>
          <w:rFonts w:hint="eastAsia" w:asciiTheme="minorEastAsia" w:hAnsiTheme="minorEastAsia" w:eastAsiaTheme="minorEastAsia"/>
          <w:sz w:val="24"/>
        </w:rPr>
        <w:t xml:space="preserve"> </w:t>
      </w:r>
      <w:r>
        <w:rPr>
          <w:rFonts w:hint="eastAsia"/>
          <w:sz w:val="24"/>
        </w:rPr>
        <w:t xml:space="preserve"> </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asciiTheme="minorEastAsia" w:hAnsiTheme="minorEastAsia" w:eastAsiaTheme="minorEastAsia"/>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南医大常州医疗健康科技园新建工程一期科研平台细胞学仪器设备采购</w:t>
      </w:r>
      <w:r/>
    </w:p>
    <w:p>
      <w:pPr>
        <w:ind w:firstLine="480"/>
        <w:spacing w:line="360" w:lineRule="auto"/>
        <w:rPr>
          <w:rFonts w:hint="eastAsia" w:asciiTheme="minorEastAsia" w:hAnsiTheme="minorEastAsia" w:eastAsiaTheme="minorEastAsia"/>
          <w:sz w:val="24"/>
        </w:rPr>
      </w:pPr>
      <w:r>
        <w:rPr>
          <w:sz w:val="24"/>
        </w:rPr>
        <w:t xml:space="preserve">3.</w:t>
      </w:r>
      <w:r>
        <w:rPr>
          <w:sz w:val="24"/>
        </w:rPr>
        <w:t xml:space="preserve">项目预算</w:t>
      </w:r>
      <w:r>
        <w:rPr>
          <w:rFonts w:asciiTheme="minorEastAsia" w:hAnsiTheme="minorEastAsia" w:eastAsiaTheme="minorEastAsia"/>
          <w:sz w:val="24"/>
        </w:rPr>
        <w:t xml:space="preserve">金额：</w:t>
      </w:r>
      <w:r>
        <w:rPr>
          <w:rFonts w:hint="eastAsia" w:asciiTheme="minorEastAsia" w:hAnsiTheme="minorEastAsia" w:eastAsiaTheme="minorEastAsia"/>
          <w:sz w:val="24"/>
        </w:rPr>
        <w:t xml:space="preserve">2452</w:t>
      </w:r>
      <w:r>
        <w:rPr>
          <w:rFonts w:asciiTheme="minorEastAsia" w:hAnsiTheme="minorEastAsia" w:eastAsiaTheme="minorEastAsia"/>
          <w:sz w:val="24"/>
        </w:rPr>
        <w:t xml:space="preserve">万元</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项目最高限价：</w:t>
      </w:r>
      <w:r>
        <w:rPr>
          <w:rFonts w:hint="eastAsia" w:asciiTheme="minorEastAsia" w:hAnsiTheme="minorEastAsia" w:eastAsiaTheme="minorEastAsia"/>
          <w:sz w:val="24"/>
        </w:rPr>
        <w:t xml:space="preserve">2425</w:t>
      </w:r>
      <w:r>
        <w:rPr>
          <w:rFonts w:asciiTheme="minorEastAsia" w:hAnsiTheme="minorEastAsia" w:eastAsiaTheme="minorEastAsia"/>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b/>
          <w:bCs/>
          <w:sz w:val="24"/>
        </w:rPr>
        <w:t xml:space="preserve">本项目</w:t>
      </w:r>
      <w:r>
        <w:rPr>
          <w:b/>
          <w:bCs/>
          <w:sz w:val="24"/>
          <w:u w:val="single"/>
        </w:rPr>
        <w:t xml:space="preserve">接受</w:t>
      </w:r>
      <w:r>
        <w:rPr>
          <w:rFonts w:hint="eastAsia"/>
          <w:b/>
          <w:bCs/>
          <w:sz w:val="24"/>
        </w:rPr>
        <w:t xml:space="preserve">进口产品</w:t>
      </w:r>
      <w:r>
        <w:rPr>
          <w:b/>
          <w:bCs/>
          <w:sz w:val="24"/>
        </w:rPr>
        <w:t xml:space="preserve">投标</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w:t>
      </w:r>
      <w:r>
        <w:rPr>
          <w:rFonts w:hint="eastAsia"/>
          <w:sz w:val="24"/>
        </w:rPr>
        <w:t xml:space="preserve">。</w:t>
      </w:r>
      <w:r/>
    </w:p>
    <w:p>
      <w:pPr>
        <w:pStyle w:val="810"/>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sz w:val="24"/>
        </w:rPr>
      </w:pPr>
      <w:r>
        <w:rPr>
          <w:sz w:val="24"/>
        </w:rPr>
        <w:t xml:space="preserve">3.3</w:t>
      </w:r>
      <w:r>
        <w:rPr>
          <w:sz w:val="24"/>
        </w:rPr>
        <w:t xml:space="preserve">其他特定资格要求：</w:t>
      </w:r>
      <w:r/>
    </w:p>
    <w:p>
      <w:pPr>
        <w:ind w:firstLine="540"/>
        <w:spacing w:line="360" w:lineRule="auto"/>
        <w:rPr>
          <w:rFonts w:hint="eastAsia" w:ascii="宋体" w:hAnsi="宋体" w:cs="宋体"/>
          <w:b/>
          <w:bCs/>
          <w:sz w:val="24"/>
        </w:rPr>
      </w:pPr>
      <w:r>
        <w:rPr>
          <w:rFonts w:hint="eastAsia" w:ascii="宋体" w:hAnsi="宋体" w:cs="宋体"/>
          <w:b/>
          <w:bCs/>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1</w:t>
      </w:r>
      <w:r>
        <w:rPr>
          <w:rFonts w:hint="eastAsia" w:ascii="宋体" w:hAnsi="宋体" w:cs="宋体"/>
          <w:b/>
          <w:bCs/>
          <w:sz w:val="24"/>
        </w:rPr>
        <w:t xml:space="preserve">、投标人为所投进口设备的授权经销（代理）商，必须提供制造（生产）商授权投标人的授权书或上级经销（代理）商授权投标人的授权书,并提供逐级经销（代理）商的证书扫描件。</w:t>
      </w:r>
      <w:r/>
    </w:p>
    <w:p>
      <w:pPr>
        <w:pStyle w:val="810"/>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asciiTheme="minorEastAsia" w:hAnsiTheme="minorEastAsia" w:eastAsiaTheme="minorEastAsia"/>
          <w:sz w:val="24"/>
          <w:lang w:bidi="ar"/>
        </w:rPr>
        <w:t xml:space="preserve"> </w:t>
      </w:r>
      <w:r>
        <w:rPr>
          <w:rFonts w:asciiTheme="minorEastAsia" w:hAnsiTheme="minorEastAsia" w:eastAsiaTheme="minorEastAsia"/>
          <w:sz w:val="24"/>
          <w:lang w:bidi="ar"/>
        </w:rPr>
        <w:t xml:space="preserve">202</w:t>
      </w:r>
      <w:r>
        <w:rPr>
          <w:rFonts w:hint="eastAsia" w:asciiTheme="minorEastAsia" w:hAnsiTheme="minorEastAsia" w:eastAsiaTheme="minorEastAsia"/>
          <w:sz w:val="24"/>
          <w:lang w:bidi="ar"/>
        </w:rPr>
        <w:t xml:space="preserve">6</w:t>
      </w:r>
      <w:r>
        <w:rPr>
          <w:rFonts w:hint="eastAsia" w:asciiTheme="minorEastAsia" w:hAnsiTheme="minorEastAsia" w:eastAsiaTheme="minorEastAsia"/>
          <w:sz w:val="24"/>
          <w:lang w:bidi="ar"/>
        </w:rPr>
        <w:t xml:space="preserve">年</w:t>
      </w:r>
      <w:r>
        <w:rPr>
          <w:rFonts w:hint="eastAsia" w:asciiTheme="minorEastAsia" w:hAnsiTheme="minorEastAsia" w:eastAsiaTheme="minorEastAsia"/>
          <w:sz w:val="24"/>
          <w:lang w:bidi="ar"/>
        </w:rPr>
        <w:t xml:space="preserve">4</w:t>
      </w:r>
      <w:r>
        <w:rPr>
          <w:rFonts w:hint="eastAsia" w:asciiTheme="minorEastAsia" w:hAnsiTheme="minorEastAsia" w:eastAsiaTheme="minorEastAsia"/>
          <w:sz w:val="24"/>
          <w:lang w:bidi="ar"/>
        </w:rPr>
        <w:t xml:space="preserve">月</w:t>
      </w:r>
      <w:r>
        <w:rPr>
          <w:rFonts w:hint="eastAsia" w:asciiTheme="minorEastAsia" w:hAnsiTheme="minorEastAsia" w:eastAsiaTheme="minorEastAsia"/>
          <w:sz w:val="24"/>
          <w:lang w:bidi="ar"/>
        </w:rPr>
        <w:t xml:space="preserve">1</w:t>
      </w:r>
      <w:r>
        <w:rPr>
          <w:rFonts w:hint="eastAsia" w:asciiTheme="minorEastAsia" w:hAnsiTheme="minorEastAsia" w:eastAsiaTheme="minorEastAsia"/>
          <w:sz w:val="24"/>
          <w:lang w:bidi="ar"/>
        </w:rPr>
        <w:t xml:space="preserve">日17:</w:t>
      </w:r>
      <w:r>
        <w:rPr>
          <w:rFonts w:asciiTheme="minorEastAsia" w:hAnsiTheme="minorEastAsia" w:eastAsiaTheme="minorEastAsia"/>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45"/>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810"/>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rFonts w:asciiTheme="minorEastAsia" w:hAnsiTheme="minorEastAsia" w:eastAsiaTheme="minorEastAsia"/>
          <w:sz w:val="24"/>
          <w:lang w:bidi="ar"/>
        </w:rPr>
        <w:t xml:space="preserve">：</w:t>
      </w:r>
      <w:r>
        <w:rPr>
          <w:rFonts w:asciiTheme="minorEastAsia" w:hAnsiTheme="minorEastAsia" w:eastAsiaTheme="minorEastAsia"/>
          <w:sz w:val="24"/>
          <w:highlight w:val="yellow"/>
          <w:lang w:bidi="ar"/>
        </w:rPr>
        <w:t xml:space="preserve">202</w:t>
      </w:r>
      <w:r>
        <w:rPr>
          <w:rFonts w:hint="eastAsia" w:asciiTheme="minorEastAsia" w:hAnsiTheme="minorEastAsia" w:eastAsiaTheme="minorEastAsia"/>
          <w:sz w:val="24"/>
          <w:highlight w:val="yellow"/>
          <w:lang w:bidi="ar"/>
        </w:rPr>
        <w:t xml:space="preserve">6</w:t>
      </w:r>
      <w:r>
        <w:rPr>
          <w:rFonts w:asciiTheme="minorEastAsia" w:hAnsiTheme="minorEastAsia" w:eastAsiaTheme="minorEastAsia"/>
          <w:sz w:val="24"/>
          <w:highlight w:val="yellow"/>
          <w:lang w:bidi="ar"/>
        </w:rPr>
        <w:t xml:space="preserve">年 </w:t>
      </w:r>
      <w:r>
        <w:rPr>
          <w:rFonts w:asciiTheme="minorEastAsia" w:hAnsiTheme="minorEastAsia" w:eastAsiaTheme="minorEastAsia"/>
          <w:sz w:val="24"/>
          <w:highlight w:val="yellow"/>
          <w:lang w:bidi="ar"/>
        </w:rPr>
        <w:t xml:space="preserve">月   </w:t>
      </w:r>
      <w:r>
        <w:rPr>
          <w:rFonts w:asciiTheme="minorEastAsia" w:hAnsiTheme="minorEastAsia" w:eastAsiaTheme="minorEastAsia"/>
          <w:sz w:val="24"/>
          <w:highlight w:val="yellow"/>
          <w:lang w:bidi="ar"/>
        </w:rPr>
        <w:t xml:space="preserve">日</w:t>
      </w:r>
      <w:r>
        <w:rPr>
          <w:rFonts w:asciiTheme="minorEastAsia" w:hAnsiTheme="minorEastAsia" w:eastAsiaTheme="minorEastAsia"/>
          <w:sz w:val="24"/>
          <w:highlight w:val="yellow"/>
          <w:lang w:bidi="ar"/>
        </w:rPr>
        <w:t xml:space="preserve">09</w:t>
      </w:r>
      <w:r>
        <w:rPr>
          <w:rFonts w:hint="eastAsia" w:asciiTheme="minorEastAsia" w:hAnsiTheme="minorEastAsia" w:eastAsiaTheme="minorEastAsia"/>
          <w:sz w:val="24"/>
          <w:highlight w:val="yellow"/>
          <w:lang w:bidi="ar"/>
        </w:rPr>
        <w:t xml:space="preserve">:</w:t>
      </w:r>
      <w:r>
        <w:rPr>
          <w:rFonts w:asciiTheme="minorEastAsia" w:hAnsiTheme="minorEastAsia" w:eastAsiaTheme="minorEastAsia"/>
          <w:sz w:val="24"/>
          <w:highlight w:val="yellow"/>
          <w:lang w:bidi="ar"/>
        </w:rPr>
        <w:t xml:space="preserve">00</w:t>
      </w:r>
      <w:r>
        <w:rPr>
          <w:bCs/>
          <w:sz w:val="24"/>
          <w:highlight w:val="yellow"/>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81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810"/>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810"/>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45"/>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5"/>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10"/>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017"/>
              <w:spacing w:line="360" w:lineRule="exact"/>
              <w:rPr>
                <w:rFonts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  </w:t>
            </w:r>
            <w:r>
              <w:rPr>
                <w:rFonts w:hint="default" w:ascii="Wingdings 2" w:hAnsi="Wingdings 2" w:eastAsia="Wingdings 2" w:cs="Wingdings 2"/>
                <w:sz w:val="24"/>
                <w:szCs w:val="24"/>
              </w:rPr>
              <w:t xml:space="preserve"></w:t>
            </w:r>
            <w:r>
              <w:rPr>
                <w:rFonts w:hAnsi="宋体"/>
                <w:sz w:val="24"/>
                <w:szCs w:val="24"/>
              </w:rPr>
              <w:t xml:space="preserve">不适用。</w:t>
            </w:r>
            <w:r/>
          </w:p>
          <w:p>
            <w:pPr>
              <w:spacing w:line="360" w:lineRule="exact"/>
              <w:rPr>
                <w:rFonts w:hint="eastAsia" w:hAnsi="宋体"/>
                <w:sz w:val="24"/>
              </w:rPr>
            </w:pPr>
            <w:r>
              <w:rPr>
                <w:rFonts w:ascii="Wingdings 2" w:hAnsi="Wingdings 2" w:eastAsia="Wingdings 2" w:cs="Wingdings 2"/>
                <w:sz w:val="24"/>
              </w:rPr>
              <w:t xml:space="preserve"></w:t>
            </w:r>
            <w:r>
              <w:rPr>
                <w:rFonts w:hAnsi="宋体"/>
                <w:sz w:val="24"/>
              </w:rPr>
              <w:t xml:space="preserve">本项目为单一产品采购项目。</w:t>
            </w:r>
            <w:r/>
          </w:p>
          <w:p>
            <w:pPr>
              <w:rPr>
                <w:rFonts w:hint="eastAsia" w:ascii="宋体" w:hAnsi="宋体" w:cs="宋体"/>
                <w:sz w:val="20"/>
                <w:szCs w:val="20"/>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hint="eastAsia" w:ascii="宋体" w:hAnsi="宋体" w:cstheme="minorBidi"/>
                <w:b/>
                <w:bCs/>
                <w:sz w:val="24"/>
                <w:szCs w:val="22"/>
                <w:u w:val="single"/>
              </w:rPr>
              <w:t xml:space="preserve">光谱流式细胞分选仪</w:t>
            </w:r>
            <w:r/>
          </w:p>
          <w:p>
            <w:pPr>
              <w:jc w:val="left"/>
              <w:spacing w:line="360" w:lineRule="exact"/>
              <w:rPr>
                <w:rFonts w:hint="eastAsia" w:ascii="宋体" w:hAnsi="宋体"/>
                <w:sz w:val="24"/>
              </w:rPr>
            </w:pPr>
            <w:r>
              <w:rPr>
                <w:rFonts w:hint="eastAsia" w:ascii="宋体" w:hAnsi="宋体"/>
                <w:b/>
                <w:bCs/>
                <w:sz w:val="24"/>
                <w:u w:val="single"/>
              </w:rPr>
              <w:t xml:space="preserve">（采购清单序号</w:t>
            </w:r>
            <w:r>
              <w:rPr>
                <w:rFonts w:hint="eastAsia" w:ascii="宋体" w:hAnsi="宋体"/>
                <w:b/>
                <w:bCs/>
                <w:sz w:val="24"/>
                <w:u w:val="single"/>
              </w:rPr>
              <w:t xml:space="preserve">4</w:t>
            </w:r>
            <w:r>
              <w:rPr>
                <w:rFonts w:hint="eastAsia" w:ascii="宋体" w:hAnsi="宋体"/>
                <w:b/>
                <w:bCs/>
                <w:sz w:val="24"/>
                <w:u w:val="single"/>
              </w:rPr>
              <w:t xml:space="preserve">）</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34"/>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34"/>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34"/>
              <w:ind w:firstLine="0"/>
              <w:spacing w:before="0" w:line="300" w:lineRule="exact"/>
              <w:rPr>
                <w:rFonts w:hint="eastAsia"/>
              </w:rPr>
            </w:pPr>
            <w:r>
              <w:rPr>
                <w:rFonts w:hint="eastAsia"/>
              </w:rPr>
              <w:t xml:space="preserve">（3）样品不能出现制造厂或投标人的标志、标记。</w:t>
            </w:r>
            <w:r/>
          </w:p>
          <w:p>
            <w:pPr>
              <w:pStyle w:val="1034"/>
              <w:ind w:firstLine="0"/>
              <w:spacing w:before="0" w:line="300" w:lineRule="exact"/>
              <w:rPr>
                <w:rFonts w:hint="eastAsia"/>
              </w:rPr>
            </w:pPr>
            <w:r>
              <w:rPr>
                <w:rFonts w:hint="eastAsia"/>
              </w:rPr>
              <w:t xml:space="preserve">（4）样品递交及退还必须出具投标人的授权委托书及被授权委托人身份证。</w:t>
            </w:r>
            <w:r/>
          </w:p>
          <w:p>
            <w:pPr>
              <w:pStyle w:val="1034"/>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对采购本国产品给予政策支持，本项目：适用。</w:t>
            </w:r>
            <w:r/>
          </w:p>
          <w:p>
            <w:pPr>
              <w:jc w:val="left"/>
              <w:rPr>
                <w:rFonts w:ascii="Wingdings 2" w:hAnsi="Wingdings 2" w:eastAsia="Wingdings 2" w:cs="Wingdings 2"/>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pStyle w:val="1017"/>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br w:type="page" w:clear="all"/>
            </w:r>
            <w:r>
              <w:t xml:space="preserve">10</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17"/>
              <w:jc w:val="center"/>
              <w:spacing w:line="360" w:lineRule="exact"/>
              <w:rPr>
                <w:rFonts w:hint="default"/>
              </w:rPr>
            </w:pPr>
            <w:r>
              <w:br w:type="page" w:clear="all"/>
            </w: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4</w:t>
            </w:r>
            <w:r>
              <w:rPr>
                <w:rFonts w:ascii="宋体" w:hAnsi="宋体"/>
                <w:sz w:val="24"/>
              </w:rPr>
              <w:t xml:space="preserve">月</w:t>
            </w:r>
            <w:r>
              <w:rPr>
                <w:rFonts w:hint="eastAsia" w:ascii="宋体" w:hAnsi="宋体"/>
                <w:sz w:val="24"/>
              </w:rPr>
              <w:t xml:space="preserve">2</w:t>
            </w:r>
            <w:r>
              <w:rPr>
                <w:rFonts w:hint="eastAsia" w:ascii="宋体" w:hAnsi="宋体"/>
                <w:sz w:val="24"/>
              </w:rPr>
              <w:t xml:space="preserve"> </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4</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45"/>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45"/>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5"/>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1017"/>
              <w:jc w:val="center"/>
              <w:spacing w:line="360" w:lineRule="exact"/>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以</w:t>
            </w:r>
            <w:r>
              <w:rPr>
                <w:rFonts w:hint="eastAsia" w:asciiTheme="minorEastAsia" w:hAnsiTheme="minorEastAsia" w:eastAsiaTheme="minorEastAsia"/>
                <w:sz w:val="24"/>
              </w:rPr>
              <w:t xml:space="preserve">发改价格</w:t>
            </w:r>
            <w:r>
              <w:rPr>
                <w:rFonts w:hint="eastAsia" w:asciiTheme="minorEastAsia" w:hAnsiTheme="minorEastAsia" w:eastAsiaTheme="minorEastAsia"/>
                <w:sz w:val="24"/>
              </w:rPr>
              <w:t xml:space="preserve">【2011】534号文标准的50%</w:t>
            </w:r>
            <w:r>
              <w:rPr>
                <w:rFonts w:asciiTheme="minorEastAsia" w:hAnsiTheme="minorEastAsia" w:eastAsiaTheme="minorEastAsia"/>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由中标供应商在领取中标通知书前一次性直接支付给代理机构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810"/>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810"/>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r/>
      <w:bookmarkEnd w:id="201"/>
      <w:r/>
      <w:bookmarkEnd w:id="202"/>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spacing w:line="500" w:lineRule="exact"/>
        <w:rPr>
          <w:rFonts w:hint="eastAsia"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spacing w:line="500" w:lineRule="exact"/>
        <w:rPr>
          <w:rFonts w:hint="eastAsia"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w:t>
      </w:r>
      <w:r>
        <w:rPr>
          <w:rFonts w:hint="eastAsia" w:ascii="宋体" w:hAnsi="宋体"/>
          <w:sz w:val="24"/>
        </w:rPr>
        <w:t xml:space="preserve">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w:t>
      </w:r>
      <w:r>
        <w:rPr>
          <w:rFonts w:hint="eastAsia" w:ascii="宋体" w:hAnsi="宋体"/>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w:t>
      </w:r>
      <w:r>
        <w:rPr>
          <w:rFonts w:hint="eastAsia"/>
          <w:sz w:val="24"/>
        </w:rPr>
        <w:t xml:space="preserve">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45"/>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5"/>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45"/>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45"/>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96"/>
      <w:r/>
      <w:bookmarkEnd w:id="225"/>
      <w:r/>
      <w:bookmarkEnd w:id="226"/>
      <w:r/>
      <w:bookmarkEnd w:id="227"/>
      <w:r/>
      <w:r/>
    </w:p>
    <w:p>
      <w:pPr>
        <w:ind w:firstLine="420"/>
        <w:spacing w:line="500" w:lineRule="exact"/>
        <w:rPr>
          <w:rFonts w:hint="eastAsia" w:ascii="宋体" w:hAnsi="宋体"/>
          <w:b/>
          <w:bCs/>
          <w:color w:val="000000"/>
          <w:sz w:val="24"/>
        </w:rPr>
      </w:pPr>
      <w:r>
        <w:rPr>
          <w:rFonts w:hint="eastAsia" w:ascii="宋体" w:hAnsi="宋体"/>
          <w:b/>
          <w:bCs/>
          <w:color w:val="000000"/>
          <w:sz w:val="24"/>
        </w:rPr>
        <w:t xml:space="preserve">33.9电子履约保函政策</w:t>
      </w:r>
      <w:r/>
    </w:p>
    <w:p>
      <w:pPr>
        <w:ind w:firstLine="480"/>
        <w:spacing w:line="480" w:lineRule="exact"/>
        <w:rPr>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w:t>
      </w:r>
      <w:r>
        <w:rPr>
          <w:rFonts w:hint="eastAsia"/>
          <w:color w:val="000000"/>
          <w:sz w:val="24"/>
        </w:rPr>
        <w:t xml:space="preserve">发改运行</w:t>
      </w:r>
      <w:r>
        <w:rPr>
          <w:rFonts w:hint="eastAsia"/>
          <w:color w:val="000000"/>
          <w:sz w:val="24"/>
        </w:rPr>
        <w:t xml:space="preserve">〔</w:t>
      </w:r>
      <w:r>
        <w:rPr>
          <w:rFonts w:hint="eastAsia"/>
          <w:color w:val="000000"/>
          <w:sz w:val="24"/>
        </w:rPr>
        <w:t xml:space="preserve">2023</w:t>
      </w:r>
      <w:r>
        <w:rPr>
          <w:rFonts w:hint="eastAsia"/>
          <w:color w:val="000000"/>
          <w:sz w:val="24"/>
        </w:rPr>
        <w:t xml:space="preserve">〕</w:t>
      </w:r>
      <w:r>
        <w:rPr>
          <w:rFonts w:hint="eastAsia"/>
          <w:color w:val="000000"/>
          <w:sz w:val="24"/>
        </w:rPr>
        <w:t xml:space="preserve">645</w:t>
      </w:r>
      <w:r>
        <w:rPr>
          <w:rFonts w:hint="eastAsia"/>
          <w:color w:val="000000"/>
          <w:sz w:val="24"/>
        </w:rPr>
        <w:t xml:space="preserve">号）要求，决定在全省推行政府采购电子履约保函（保险）。政府采购履约保函</w:t>
      </w:r>
      <w:r>
        <w:rPr>
          <w:rFonts w:hint="eastAsia"/>
          <w:color w:val="000000"/>
          <w:sz w:val="24"/>
        </w:rPr>
        <w:t xml:space="preserve">（保险）是指在政府采购活动中第三方机构向采购人提供的保证政府采购中标、成交供应</w:t>
      </w:r>
      <w:r>
        <w:rPr>
          <w:rFonts w:hint="eastAsia"/>
          <w:color w:val="000000"/>
          <w:sz w:val="24"/>
        </w:rPr>
        <w:t xml:space="preserve">商履行</w:t>
      </w:r>
      <w:r>
        <w:rPr>
          <w:rFonts w:hint="eastAsia"/>
          <w:color w:val="000000"/>
          <w:sz w:val="24"/>
        </w:rPr>
        <w:t xml:space="preserve">合同义务的担保或保险。如中标、成交供应</w:t>
      </w:r>
      <w:r>
        <w:rPr>
          <w:rFonts w:hint="eastAsia"/>
          <w:color w:val="000000"/>
          <w:sz w:val="24"/>
        </w:rPr>
        <w:t xml:space="preserve">商未能</w:t>
      </w:r>
      <w:r>
        <w:rPr>
          <w:rFonts w:hint="eastAsia"/>
          <w:color w:val="000000"/>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sz w:val="24"/>
        </w:rPr>
        <w:t xml:space="preserve">苏财购〔</w:t>
      </w:r>
      <w:r>
        <w:rPr>
          <w:rFonts w:hint="eastAsia"/>
          <w:color w:val="000000"/>
          <w:sz w:val="24"/>
        </w:rPr>
        <w:t xml:space="preserve">2023</w:t>
      </w:r>
      <w:r>
        <w:rPr>
          <w:rFonts w:hint="eastAsia"/>
          <w:color w:val="000000"/>
          <w:sz w:val="24"/>
        </w:rPr>
        <w:t xml:space="preserve">〕</w:t>
      </w:r>
      <w:r>
        <w:rPr>
          <w:rFonts w:hint="eastAsia"/>
          <w:color w:val="000000"/>
          <w:sz w:val="24"/>
        </w:rPr>
        <w:t xml:space="preserve">150</w:t>
      </w:r>
      <w:r>
        <w:rPr>
          <w:rFonts w:hint="eastAsia"/>
          <w:color w:val="000000"/>
          <w:sz w:val="24"/>
        </w:rPr>
        <w:t xml:space="preserve">号）。</w:t>
      </w:r>
      <w:r/>
    </w:p>
    <w:p>
      <w:pPr>
        <w:ind w:firstLine="420"/>
        <w:spacing w:line="480" w:lineRule="exact"/>
        <w:rPr>
          <w:rFonts w:hint="eastAsia" w:ascii="宋体" w:hAnsi="宋体"/>
          <w:b/>
          <w:bCs/>
          <w:color w:val="ff0000"/>
          <w:sz w:val="24"/>
        </w:rPr>
      </w:pPr>
      <w:r>
        <w:rPr>
          <w:rFonts w:hint="eastAsia" w:ascii="宋体" w:hAnsi="宋体"/>
          <w:b/>
          <w:bCs/>
          <w:color w:val="ff0000"/>
          <w:sz w:val="24"/>
        </w:rPr>
        <w:t xml:space="preserve">33.10政府采购中实施本国产品标准及相关政策</w:t>
      </w:r>
      <w:r/>
    </w:p>
    <w:p>
      <w:pPr>
        <w:pStyle w:val="1029"/>
        <w:ind w:firstLine="480"/>
        <w:jc w:val="both"/>
        <w:spacing w:before="0" w:beforeAutospacing="0" w:after="0" w:afterAutospacing="0" w:line="480" w:lineRule="exact"/>
        <w:shd w:val="clear" w:color="auto" w:fill="ffffff"/>
        <w:rPr>
          <w:rFonts w:ascii="Times New Roman" w:hAnsi="Times New Roman" w:cs="Times New Roman"/>
          <w:color w:val="ff0000"/>
        </w:rPr>
      </w:pPr>
      <w:r>
        <w:rPr>
          <w:rFonts w:hint="eastAsia" w:ascii="Times New Roman" w:hAnsi="Times New Roman" w:cs="Times New Roman"/>
          <w:color w:val="ff0000"/>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ff0000"/>
        </w:rPr>
        <w:t xml:space="preserve">《国务院办公厅关于在政府采购中实施本国产品标准及相关政策的通知》（国办发〔</w:t>
      </w:r>
      <w:r>
        <w:rPr>
          <w:rFonts w:hint="eastAsia" w:ascii="Times New Roman" w:hAnsi="Times New Roman" w:cs="Times New Roman"/>
          <w:color w:val="ff0000"/>
        </w:rPr>
        <w:t xml:space="preserve">2025</w:t>
      </w:r>
      <w:r>
        <w:rPr>
          <w:rFonts w:hint="eastAsia" w:ascii="Times New Roman" w:hAnsi="Times New Roman" w:cs="Times New Roman"/>
          <w:color w:val="ff0000"/>
        </w:rPr>
        <w:t xml:space="preserve">〕</w:t>
      </w:r>
      <w:r>
        <w:rPr>
          <w:rFonts w:hint="eastAsia" w:ascii="Times New Roman" w:hAnsi="Times New Roman" w:cs="Times New Roman"/>
          <w:color w:val="ff0000"/>
        </w:rPr>
        <w:t xml:space="preserve">34</w:t>
      </w:r>
      <w:r>
        <w:rPr>
          <w:rFonts w:hint="eastAsia" w:ascii="Times New Roman" w:hAnsi="Times New Roman" w:cs="Times New Roman"/>
          <w:color w:val="ff0000"/>
        </w:rPr>
        <w:t xml:space="preserve">号）。</w:t>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221"/>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221"/>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221"/>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221"/>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221"/>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221"/>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45"/>
        <w:ind w:firstLine="602"/>
        <w:rPr>
          <w:rFonts w:hint="eastAsia"/>
          <w:color w:val="auto"/>
        </w:rPr>
      </w:pPr>
      <w:r>
        <w:rPr>
          <w:b/>
          <w:color w:val="auto"/>
          <w:sz w:val="30"/>
          <w:szCs w:val="30"/>
        </w:rPr>
        <w:t xml:space="preserve">一、符合性审查要求</w:t>
      </w:r>
      <w:r/>
    </w:p>
    <w:tbl>
      <w:tblPr>
        <w:tblW w:w="51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8"/>
        <w:gridCol w:w="5343"/>
        <w:gridCol w:w="850"/>
      </w:tblGrid>
      <w:tr>
        <w:trPr>
          <w:jc w:val="center"/>
          <w:trHeight w:val="300"/>
        </w:trPr>
        <w:tc>
          <w:tcPr>
            <w:tcW w:w="458" w:type="pct"/>
            <w:vAlign w:val="center"/>
            <w:textDirection w:val="lrTb"/>
            <w:noWrap w:val="false"/>
          </w:tcPr>
          <w:p>
            <w:pPr>
              <w:jc w:val="center"/>
              <w:widowControl/>
              <w:rPr>
                <w:b/>
                <w:sz w:val="24"/>
              </w:rPr>
            </w:pPr>
            <w:r>
              <w:rPr>
                <w:b/>
                <w:sz w:val="24"/>
              </w:rPr>
              <w:t xml:space="preserve">序号</w:t>
            </w:r>
            <w:r/>
          </w:p>
        </w:tc>
        <w:tc>
          <w:tcPr>
            <w:tcW w:w="899" w:type="pct"/>
            <w:vAlign w:val="center"/>
            <w:textDirection w:val="lrTb"/>
            <w:noWrap w:val="false"/>
          </w:tcPr>
          <w:p>
            <w:pPr>
              <w:jc w:val="center"/>
              <w:widowControl/>
              <w:rPr>
                <w:b/>
                <w:sz w:val="24"/>
              </w:rPr>
            </w:pPr>
            <w:r>
              <w:rPr>
                <w:b/>
                <w:sz w:val="24"/>
              </w:rPr>
              <w:t xml:space="preserve">审查因素</w:t>
            </w:r>
            <w:r/>
          </w:p>
        </w:tc>
        <w:tc>
          <w:tcPr>
            <w:tcW w:w="3143" w:type="pct"/>
            <w:vAlign w:val="center"/>
            <w:textDirection w:val="lrTb"/>
            <w:noWrap w:val="false"/>
          </w:tcPr>
          <w:p>
            <w:pPr>
              <w:jc w:val="center"/>
              <w:widowControl/>
              <w:rPr>
                <w:b/>
                <w:sz w:val="24"/>
              </w:rPr>
            </w:pPr>
            <w:r>
              <w:rPr>
                <w:b/>
                <w:sz w:val="24"/>
              </w:rPr>
              <w:t xml:space="preserve">审查内容</w:t>
            </w:r>
            <w:r/>
          </w:p>
        </w:tc>
        <w:tc>
          <w:tcPr>
            <w:tcW w:w="500"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58" w:type="pct"/>
            <w:vAlign w:val="center"/>
            <w:textDirection w:val="lrTb"/>
            <w:noWrap w:val="false"/>
          </w:tcPr>
          <w:p>
            <w:pPr>
              <w:jc w:val="center"/>
              <w:widowControl/>
              <w:rPr>
                <w:sz w:val="24"/>
              </w:rPr>
            </w:pPr>
            <w:r>
              <w:rPr>
                <w:sz w:val="24"/>
              </w:rPr>
              <w:t xml:space="preserve">1</w:t>
            </w:r>
            <w:r/>
          </w:p>
        </w:tc>
        <w:tc>
          <w:tcPr>
            <w:tcW w:w="899" w:type="pct"/>
            <w:vAlign w:val="center"/>
            <w:textDirection w:val="lrTb"/>
            <w:noWrap w:val="false"/>
          </w:tcPr>
          <w:p>
            <w:pPr>
              <w:jc w:val="left"/>
              <w:widowControl/>
              <w:rPr>
                <w:sz w:val="24"/>
              </w:rPr>
            </w:pPr>
            <w:r>
              <w:rPr>
                <w:rFonts w:hint="eastAsia"/>
                <w:sz w:val="24"/>
              </w:rPr>
              <w:t xml:space="preserve">投标函</w:t>
            </w:r>
            <w:r/>
          </w:p>
        </w:tc>
        <w:tc>
          <w:tcPr>
            <w:tcW w:w="3143"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500"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58" w:type="pct"/>
            <w:vAlign w:val="center"/>
            <w:textDirection w:val="lrTb"/>
            <w:noWrap w:val="false"/>
          </w:tcPr>
          <w:p>
            <w:pPr>
              <w:jc w:val="center"/>
              <w:widowControl/>
              <w:rPr>
                <w:sz w:val="24"/>
              </w:rPr>
            </w:pPr>
            <w:r>
              <w:rPr>
                <w:sz w:val="24"/>
              </w:rPr>
              <w:t xml:space="preserve">2</w:t>
            </w:r>
            <w:r/>
          </w:p>
        </w:tc>
        <w:tc>
          <w:tcPr>
            <w:tcW w:w="899" w:type="pct"/>
            <w:vAlign w:val="center"/>
            <w:textDirection w:val="lrTb"/>
            <w:noWrap w:val="false"/>
          </w:tcPr>
          <w:p>
            <w:pPr>
              <w:jc w:val="left"/>
              <w:widowControl/>
              <w:rPr>
                <w:sz w:val="24"/>
              </w:rPr>
            </w:pPr>
            <w:r>
              <w:rPr>
                <w:sz w:val="24"/>
              </w:rPr>
              <w:t xml:space="preserve">投标完整性</w:t>
            </w:r>
            <w:r/>
          </w:p>
        </w:tc>
        <w:tc>
          <w:tcPr>
            <w:tcW w:w="3143"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500"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58" w:type="pct"/>
            <w:vAlign w:val="center"/>
            <w:textDirection w:val="lrTb"/>
            <w:noWrap w:val="false"/>
          </w:tcPr>
          <w:p>
            <w:pPr>
              <w:jc w:val="center"/>
              <w:widowControl/>
              <w:rPr>
                <w:sz w:val="24"/>
              </w:rPr>
            </w:pPr>
            <w:r>
              <w:rPr>
                <w:sz w:val="24"/>
              </w:rPr>
              <w:t xml:space="preserve">3</w:t>
            </w:r>
            <w:r/>
          </w:p>
        </w:tc>
        <w:tc>
          <w:tcPr>
            <w:tcW w:w="899" w:type="pct"/>
            <w:vAlign w:val="center"/>
            <w:textDirection w:val="lrTb"/>
            <w:noWrap w:val="false"/>
          </w:tcPr>
          <w:p>
            <w:pPr>
              <w:jc w:val="left"/>
              <w:widowControl/>
              <w:rPr>
                <w:sz w:val="24"/>
              </w:rPr>
            </w:pPr>
            <w:r>
              <w:rPr>
                <w:sz w:val="24"/>
              </w:rPr>
              <w:t xml:space="preserve">投标报价</w:t>
            </w:r>
            <w:r/>
          </w:p>
        </w:tc>
        <w:tc>
          <w:tcPr>
            <w:tcW w:w="3143"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4</w:t>
            </w:r>
            <w:r/>
          </w:p>
        </w:tc>
        <w:tc>
          <w:tcPr>
            <w:tcW w:w="899" w:type="pct"/>
            <w:vAlign w:val="center"/>
            <w:textDirection w:val="lrTb"/>
            <w:noWrap w:val="false"/>
          </w:tcPr>
          <w:p>
            <w:pPr>
              <w:jc w:val="left"/>
              <w:widowControl/>
              <w:rPr>
                <w:sz w:val="24"/>
              </w:rPr>
            </w:pPr>
            <w:r>
              <w:rPr>
                <w:sz w:val="24"/>
              </w:rPr>
              <w:t xml:space="preserve">报价唯一性</w:t>
            </w:r>
            <w:r/>
          </w:p>
        </w:tc>
        <w:tc>
          <w:tcPr>
            <w:tcW w:w="3143"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5</w:t>
            </w:r>
            <w:r/>
          </w:p>
        </w:tc>
        <w:tc>
          <w:tcPr>
            <w:tcW w:w="899" w:type="pct"/>
            <w:vAlign w:val="center"/>
            <w:textDirection w:val="lrTb"/>
            <w:noWrap w:val="false"/>
          </w:tcPr>
          <w:p>
            <w:pPr>
              <w:jc w:val="left"/>
              <w:widowControl/>
              <w:rPr>
                <w:sz w:val="24"/>
              </w:rPr>
            </w:pPr>
            <w:r>
              <w:rPr>
                <w:sz w:val="24"/>
              </w:rPr>
              <w:t xml:space="preserve">投标有效期</w:t>
            </w:r>
            <w:r/>
          </w:p>
        </w:tc>
        <w:tc>
          <w:tcPr>
            <w:tcW w:w="3143"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6</w:t>
            </w:r>
            <w:r/>
          </w:p>
        </w:tc>
        <w:tc>
          <w:tcPr>
            <w:tcW w:w="899" w:type="pct"/>
            <w:vAlign w:val="center"/>
            <w:textDirection w:val="lrTb"/>
            <w:noWrap w:val="false"/>
          </w:tcPr>
          <w:p>
            <w:pPr>
              <w:jc w:val="left"/>
              <w:widowControl/>
              <w:rPr>
                <w:sz w:val="24"/>
              </w:rPr>
            </w:pPr>
            <w:r>
              <w:rPr>
                <w:sz w:val="24"/>
              </w:rPr>
              <w:t xml:space="preserve">签署、加盖公章</w:t>
            </w:r>
            <w:r/>
          </w:p>
        </w:tc>
        <w:tc>
          <w:tcPr>
            <w:tcW w:w="3143" w:type="pct"/>
            <w:vAlign w:val="center"/>
            <w:textDirection w:val="lrTb"/>
            <w:noWrap w:val="false"/>
          </w:tcPr>
          <w:p>
            <w:pPr>
              <w:jc w:val="left"/>
              <w:widowControl/>
              <w:rPr>
                <w:sz w:val="24"/>
              </w:rPr>
            </w:pPr>
            <w:r>
              <w:rPr>
                <w:sz w:val="24"/>
              </w:rPr>
              <w:t xml:space="preserve">按照招标文件要求签署、加盖公章的；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rFonts w:hint="eastAsia"/>
                <w:sz w:val="24"/>
              </w:rPr>
              <w:t xml:space="preserve">7</w:t>
            </w:r>
            <w:r/>
          </w:p>
        </w:tc>
        <w:tc>
          <w:tcPr>
            <w:tcW w:w="899" w:type="pct"/>
            <w:vAlign w:val="center"/>
            <w:textDirection w:val="lrTb"/>
            <w:noWrap w:val="false"/>
          </w:tcPr>
          <w:p>
            <w:pPr>
              <w:jc w:val="left"/>
              <w:widowControl/>
              <w:rPr>
                <w:sz w:val="24"/>
              </w:rPr>
            </w:pPr>
            <w:r>
              <w:rPr>
                <w:rFonts w:hint="eastAsia"/>
                <w:sz w:val="24"/>
              </w:rPr>
              <w:t xml:space="preserve">实质性格式</w:t>
            </w:r>
            <w:r/>
          </w:p>
        </w:tc>
        <w:tc>
          <w:tcPr>
            <w:tcW w:w="3143"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8</w:t>
            </w:r>
            <w:r/>
          </w:p>
        </w:tc>
        <w:tc>
          <w:tcPr>
            <w:tcW w:w="899"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143"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9</w:t>
            </w:r>
            <w:r/>
          </w:p>
        </w:tc>
        <w:tc>
          <w:tcPr>
            <w:tcW w:w="899" w:type="pct"/>
            <w:vAlign w:val="center"/>
            <w:textDirection w:val="lrTb"/>
            <w:noWrap w:val="false"/>
          </w:tcPr>
          <w:p>
            <w:pPr>
              <w:jc w:val="left"/>
              <w:widowControl/>
              <w:rPr>
                <w:sz w:val="24"/>
              </w:rPr>
            </w:pPr>
            <w:r>
              <w:rPr>
                <w:sz w:val="24"/>
              </w:rPr>
              <w:t xml:space="preserve">分包承担主体资质（如有）</w:t>
            </w:r>
            <w:r/>
          </w:p>
        </w:tc>
        <w:tc>
          <w:tcPr>
            <w:tcW w:w="3143"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10</w:t>
            </w:r>
            <w:r/>
          </w:p>
        </w:tc>
        <w:tc>
          <w:tcPr>
            <w:tcW w:w="899" w:type="pct"/>
            <w:vAlign w:val="center"/>
            <w:textDirection w:val="lrTb"/>
            <w:noWrap w:val="false"/>
          </w:tcPr>
          <w:p>
            <w:pPr>
              <w:jc w:val="left"/>
              <w:widowControl/>
              <w:rPr>
                <w:sz w:val="24"/>
              </w:rPr>
            </w:pPr>
            <w:r>
              <w:rPr>
                <w:sz w:val="24"/>
              </w:rPr>
              <w:t xml:space="preserve">分包意向协议（如有）</w:t>
            </w:r>
            <w:r/>
          </w:p>
        </w:tc>
        <w:tc>
          <w:tcPr>
            <w:tcW w:w="3143"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11</w:t>
            </w:r>
            <w:r/>
          </w:p>
        </w:tc>
        <w:tc>
          <w:tcPr>
            <w:tcW w:w="899" w:type="pct"/>
            <w:vAlign w:val="center"/>
            <w:textDirection w:val="lrTb"/>
            <w:noWrap w:val="false"/>
          </w:tcPr>
          <w:p>
            <w:pPr>
              <w:jc w:val="left"/>
              <w:widowControl/>
              <w:rPr>
                <w:sz w:val="24"/>
              </w:rPr>
            </w:pPr>
            <w:r>
              <w:rPr>
                <w:sz w:val="24"/>
              </w:rPr>
              <w:t xml:space="preserve">报价的修正（如有）</w:t>
            </w:r>
            <w:r/>
          </w:p>
        </w:tc>
        <w:tc>
          <w:tcPr>
            <w:tcW w:w="3143"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12</w:t>
            </w:r>
            <w:r/>
          </w:p>
        </w:tc>
        <w:tc>
          <w:tcPr>
            <w:tcW w:w="899" w:type="pct"/>
            <w:vAlign w:val="center"/>
            <w:textDirection w:val="lrTb"/>
            <w:noWrap w:val="false"/>
          </w:tcPr>
          <w:p>
            <w:pPr>
              <w:jc w:val="left"/>
              <w:widowControl/>
              <w:rPr>
                <w:sz w:val="24"/>
              </w:rPr>
            </w:pPr>
            <w:r>
              <w:rPr>
                <w:sz w:val="24"/>
              </w:rPr>
              <w:t xml:space="preserve">报价合理性</w:t>
            </w:r>
            <w:r/>
          </w:p>
        </w:tc>
        <w:tc>
          <w:tcPr>
            <w:tcW w:w="3143" w:type="pct"/>
            <w:vAlign w:val="center"/>
            <w:textDirection w:val="lrTb"/>
            <w:noWrap w:val="false"/>
          </w:tcPr>
          <w:p>
            <w:pPr>
              <w:ind w:firstLine="480"/>
              <w:jc w:val="left"/>
              <w:widowControl/>
              <w:rPr>
                <w:color w:val="ff0000"/>
                <w:sz w:val="24"/>
              </w:rPr>
            </w:pPr>
            <w:r>
              <w:rPr>
                <w:rFonts w:hint="eastAsia"/>
                <w:color w:val="ff0000"/>
                <w:sz w:val="24"/>
              </w:rPr>
              <w:t xml:space="preserve">根据财政部《关于推动解决政府采购异常低价问题的通知》财库〔</w:t>
            </w:r>
            <w:r>
              <w:rPr>
                <w:rFonts w:hint="eastAsia"/>
                <w:color w:val="ff0000"/>
                <w:sz w:val="24"/>
              </w:rPr>
              <w:t xml:space="preserve">2026</w:t>
            </w:r>
            <w:r>
              <w:rPr>
                <w:rFonts w:hint="eastAsia"/>
                <w:color w:val="ff0000"/>
                <w:sz w:val="24"/>
              </w:rPr>
              <w:t xml:space="preserve">〕</w:t>
            </w:r>
            <w:r>
              <w:rPr>
                <w:rFonts w:hint="eastAsia"/>
                <w:color w:val="ff0000"/>
                <w:sz w:val="24"/>
              </w:rPr>
              <w:t xml:space="preserve">2</w:t>
            </w:r>
            <w:r>
              <w:rPr>
                <w:rFonts w:hint="eastAsia"/>
                <w:color w:val="ff0000"/>
                <w:sz w:val="24"/>
              </w:rPr>
              <w:t xml:space="preserve">号文件之规定：当评审过程中出现下列情形之一的，评审委员会应当启</w:t>
            </w:r>
            <w:r>
              <w:rPr>
                <w:rFonts w:hint="eastAsia"/>
                <w:color w:val="ff0000"/>
                <w:sz w:val="24"/>
              </w:rPr>
              <w:t xml:space="preserve"> </w:t>
            </w:r>
            <w:r>
              <w:rPr>
                <w:rFonts w:hint="eastAsia"/>
                <w:color w:val="ff0000"/>
                <w:sz w:val="24"/>
              </w:rPr>
              <w:t xml:space="preserve">动异常低价投标（响应）审查程序：</w:t>
            </w:r>
            <w:r>
              <w:rPr>
                <w:rFonts w:hint="eastAsia"/>
                <w:color w:val="ff0000"/>
                <w:sz w:val="24"/>
              </w:rPr>
              <w:t xml:space="preserve"> </w:t>
            </w:r>
            <w:r/>
          </w:p>
          <w:p>
            <w:pPr>
              <w:ind w:firstLine="480"/>
              <w:jc w:val="left"/>
              <w:widowControl/>
              <w:rPr>
                <w:color w:val="ff0000"/>
                <w:sz w:val="24"/>
              </w:rPr>
            </w:pPr>
            <w:r>
              <w:rPr>
                <w:rFonts w:hint="eastAsia"/>
                <w:color w:val="ff0000"/>
                <w:sz w:val="24"/>
              </w:rPr>
              <w:t xml:space="preserve">1.</w:t>
            </w:r>
            <w:r>
              <w:rPr>
                <w:rFonts w:hint="eastAsia"/>
                <w:color w:val="ff0000"/>
                <w:sz w:val="24"/>
              </w:rPr>
              <w:t xml:space="preserve">投标（响应）报价低于全部通过符合性审查供应商投标（响应）报价平均值</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全部通过符合性审查供应商投标（响应）报价平均值×</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2.</w:t>
            </w:r>
            <w:r>
              <w:rPr>
                <w:rFonts w:hint="eastAsia"/>
                <w:color w:val="ff0000"/>
                <w:sz w:val="24"/>
              </w:rPr>
              <w:t xml:space="preserve">投标（响应）报价低于通过符合性审查的次低报价供应商投标（响应）报价</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通过符合性审查的次低报价供应商投标（响应）报价×</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3.</w:t>
            </w:r>
            <w:r>
              <w:rPr>
                <w:rFonts w:hint="eastAsia"/>
                <w:color w:val="ff0000"/>
                <w:sz w:val="24"/>
              </w:rPr>
              <w:t xml:space="preserve">投标（响应）报价低于采购项目最高限价</w:t>
            </w:r>
            <w:r>
              <w:rPr>
                <w:rFonts w:hint="eastAsia"/>
                <w:color w:val="ff0000"/>
                <w:sz w:val="24"/>
              </w:rPr>
              <w:t xml:space="preserve">45%</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采购项目最高限价×</w:t>
            </w:r>
            <w:r>
              <w:rPr>
                <w:rFonts w:hint="eastAsia"/>
                <w:color w:val="ff0000"/>
                <w:sz w:val="24"/>
              </w:rPr>
              <w:t xml:space="preserve">45%</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4.</w:t>
            </w:r>
            <w:r>
              <w:rPr>
                <w:rFonts w:hint="eastAsia"/>
                <w:color w:val="ff0000"/>
                <w:sz w:val="24"/>
              </w:rPr>
              <w:t xml:space="preserve">评审委员会基于专业判断，认为供应商报价过低，有可能影响产品质量或者不能诚信履约的其他情形。</w:t>
            </w:r>
            <w:r/>
          </w:p>
          <w:p>
            <w:pPr>
              <w:ind w:firstLine="480"/>
              <w:jc w:val="left"/>
              <w:widowControl/>
              <w:rPr>
                <w:color w:val="ff0000"/>
                <w:sz w:val="24"/>
              </w:rPr>
            </w:pPr>
            <w:r>
              <w:rPr>
                <w:rFonts w:hint="eastAsia"/>
                <w:color w:val="ff0000"/>
                <w:sz w:val="24"/>
              </w:rPr>
              <w:t xml:space="preserve">评审委员会启动异常低价投标（响应）审查后，属于前述第</w:t>
            </w:r>
            <w:r>
              <w:rPr>
                <w:rFonts w:hint="eastAsia"/>
                <w:color w:val="ff0000"/>
                <w:sz w:val="24"/>
              </w:rPr>
              <w:t xml:space="preserve">1</w:t>
            </w:r>
            <w:r>
              <w:rPr>
                <w:rFonts w:hint="eastAsia"/>
                <w:color w:val="ff0000"/>
                <w:sz w:val="24"/>
              </w:rPr>
              <w:t xml:space="preserve">项至第</w:t>
            </w:r>
            <w:r>
              <w:rPr>
                <w:rFonts w:hint="eastAsia"/>
                <w:color w:val="ff0000"/>
                <w:sz w:val="24"/>
              </w:rPr>
              <w:t xml:space="preserve">4</w:t>
            </w:r>
            <w:r>
              <w:rPr>
                <w:rFonts w:hint="eastAsia"/>
                <w:color w:val="ff0000"/>
                <w:sz w:val="24"/>
              </w:rPr>
              <w:t xml:space="preserve">项情形的，应当要求相关供应商在评审现场合理的时间内对投标（响应）价格</w:t>
            </w:r>
            <w:r>
              <w:rPr>
                <w:rFonts w:hint="eastAsia"/>
                <w:color w:val="ff0000"/>
                <w:sz w:val="24"/>
              </w:rPr>
              <w:t xml:space="preserve">作出</w:t>
            </w:r>
            <w:r>
              <w:rPr>
                <w:rFonts w:hint="eastAsia"/>
                <w:color w:val="ff0000"/>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color w:val="ff0000"/>
                <w:sz w:val="24"/>
              </w:rPr>
              <w:t xml:space="preserve">30</w:t>
            </w:r>
            <w:r>
              <w:rPr>
                <w:rFonts w:hint="eastAsia"/>
                <w:color w:val="ff0000"/>
                <w:sz w:val="24"/>
              </w:rPr>
              <w:t xml:space="preserve">分钟。其中，属于第</w:t>
            </w:r>
            <w:r>
              <w:rPr>
                <w:rFonts w:hint="eastAsia"/>
                <w:color w:val="ff0000"/>
                <w:sz w:val="24"/>
              </w:rPr>
              <w:t xml:space="preserve">3</w:t>
            </w:r>
            <w:r>
              <w:rPr>
                <w:rFonts w:hint="eastAsia"/>
                <w:color w:val="ff0000"/>
                <w:sz w:val="24"/>
              </w:rPr>
              <w:t xml:space="preserve">项情形，供应商已随投标（响应）文件一并提交相关书面说明及必要的证明材料的，在评审现场可不再重复提交。</w:t>
            </w:r>
            <w:r/>
          </w:p>
          <w:p>
            <w:pPr>
              <w:ind w:firstLine="480"/>
              <w:jc w:val="left"/>
              <w:widowControl/>
              <w:rPr>
                <w:color w:val="ff0000"/>
                <w:sz w:val="24"/>
              </w:rPr>
            </w:pPr>
            <w:r>
              <w:rPr>
                <w:rFonts w:hint="eastAsia"/>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color w:val="ff0000"/>
                <w:sz w:val="24"/>
              </w:rPr>
              <w:t xml:space="preserve">异常低价投标（响应）审查的启动原因、审查意见和审查结果应当在评审报告中记录，并随供应</w:t>
            </w:r>
            <w:r>
              <w:rPr>
                <w:rFonts w:hint="eastAsia"/>
                <w:color w:val="ff0000"/>
                <w:sz w:val="24"/>
              </w:rPr>
              <w:t xml:space="preserve">商提供的相关书面说明及证明材料，以及评审委员会有关互联网浏览、查询历史一并归档。</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13</w:t>
            </w:r>
            <w:r/>
          </w:p>
        </w:tc>
        <w:tc>
          <w:tcPr>
            <w:tcW w:w="899"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143"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500"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14</w:t>
            </w:r>
            <w:r/>
          </w:p>
        </w:tc>
        <w:tc>
          <w:tcPr>
            <w:tcW w:w="899"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143"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15</w:t>
            </w:r>
            <w:r/>
          </w:p>
        </w:tc>
        <w:tc>
          <w:tcPr>
            <w:tcW w:w="899" w:type="pct"/>
            <w:vAlign w:val="center"/>
            <w:textDirection w:val="lrTb"/>
            <w:noWrap w:val="false"/>
          </w:tcPr>
          <w:p>
            <w:pPr>
              <w:jc w:val="left"/>
              <w:widowControl/>
              <w:rPr>
                <w:sz w:val="24"/>
              </w:rPr>
            </w:pPr>
            <w:r>
              <w:rPr>
                <w:sz w:val="24"/>
              </w:rPr>
              <w:t xml:space="preserve">公平竞争</w:t>
            </w:r>
            <w:r/>
          </w:p>
        </w:tc>
        <w:tc>
          <w:tcPr>
            <w:tcW w:w="3143"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16</w:t>
            </w:r>
            <w:r/>
          </w:p>
        </w:tc>
        <w:tc>
          <w:tcPr>
            <w:tcW w:w="899" w:type="pct"/>
            <w:vAlign w:val="center"/>
            <w:textDirection w:val="lrTb"/>
            <w:noWrap w:val="false"/>
          </w:tcPr>
          <w:p>
            <w:pPr>
              <w:jc w:val="left"/>
              <w:widowControl/>
              <w:rPr>
                <w:sz w:val="24"/>
              </w:rPr>
            </w:pPr>
            <w:r>
              <w:rPr>
                <w:sz w:val="24"/>
              </w:rPr>
              <w:t xml:space="preserve">串通投标</w:t>
            </w:r>
            <w:r/>
          </w:p>
        </w:tc>
        <w:tc>
          <w:tcPr>
            <w:tcW w:w="3143"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sz w:val="24"/>
              </w:rPr>
              <w:t xml:space="preserve">17</w:t>
            </w:r>
            <w:r/>
          </w:p>
        </w:tc>
        <w:tc>
          <w:tcPr>
            <w:tcW w:w="899" w:type="pct"/>
            <w:vAlign w:val="center"/>
            <w:textDirection w:val="lrTb"/>
            <w:noWrap w:val="false"/>
          </w:tcPr>
          <w:p>
            <w:pPr>
              <w:jc w:val="left"/>
              <w:widowControl/>
              <w:rPr>
                <w:sz w:val="24"/>
              </w:rPr>
            </w:pPr>
            <w:r>
              <w:rPr>
                <w:sz w:val="24"/>
              </w:rPr>
              <w:t xml:space="preserve">附加条件</w:t>
            </w:r>
            <w:r/>
          </w:p>
        </w:tc>
        <w:tc>
          <w:tcPr>
            <w:tcW w:w="3143"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500" w:type="pct"/>
            <w:vAlign w:val="center"/>
            <w:textDirection w:val="lrTb"/>
            <w:noWrap w:val="false"/>
          </w:tcPr>
          <w:p>
            <w:pPr>
              <w:jc w:val="left"/>
              <w:widowControl/>
              <w:rPr>
                <w:sz w:val="24"/>
              </w:rPr>
            </w:pPr>
            <w:r>
              <w:rPr>
                <w:sz w:val="24"/>
              </w:rPr>
            </w:r>
            <w:r/>
          </w:p>
        </w:tc>
      </w:tr>
      <w:tr>
        <w:trPr>
          <w:jc w:val="center"/>
          <w:trHeight w:val="685"/>
        </w:trPr>
        <w:tc>
          <w:tcPr>
            <w:tcW w:w="458"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899" w:type="pct"/>
            <w:vAlign w:val="center"/>
            <w:textDirection w:val="lrTb"/>
            <w:noWrap w:val="false"/>
          </w:tcPr>
          <w:p>
            <w:pPr>
              <w:jc w:val="left"/>
              <w:widowControl/>
              <w:rPr>
                <w:sz w:val="24"/>
              </w:rPr>
            </w:pPr>
            <w:r>
              <w:rPr>
                <w:sz w:val="24"/>
              </w:rPr>
              <w:t xml:space="preserve">其他无效情形</w:t>
            </w:r>
            <w:r/>
          </w:p>
        </w:tc>
        <w:tc>
          <w:tcPr>
            <w:tcW w:w="3143"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500" w:type="pct"/>
            <w:vAlign w:val="center"/>
            <w:textDirection w:val="lrTb"/>
            <w:noWrap w:val="false"/>
          </w:tcPr>
          <w:p>
            <w:pPr>
              <w:jc w:val="left"/>
              <w:widowControl/>
              <w:rPr>
                <w:sz w:val="24"/>
              </w:rPr>
            </w:pPr>
            <w:r>
              <w:rPr>
                <w:sz w:val="24"/>
              </w:rPr>
            </w:r>
            <w:r/>
          </w:p>
        </w:tc>
      </w:tr>
    </w:tbl>
    <w:p>
      <w:pPr>
        <w:pStyle w:val="1221"/>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pStyle w:val="1221"/>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221"/>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w:t>
      </w:r>
      <w:r>
        <w:rPr>
          <w:sz w:val="24"/>
        </w:rPr>
        <w:t xml:space="preserve">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221"/>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45"/>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ind w:firstLine="480"/>
        <w:jc w:val="left"/>
        <w:spacing w:line="360" w:lineRule="auto"/>
        <w:rPr>
          <w:rFonts w:hint="eastAsia" w:ascii="宋体" w:hAnsi="宋体"/>
          <w:color w:val="ff0000"/>
          <w:sz w:val="24"/>
        </w:rPr>
      </w:pPr>
      <w:r>
        <w:rPr>
          <w:rFonts w:hint="eastAsia" w:ascii="宋体" w:hAnsi="宋体"/>
          <w:color w:val="ff0000"/>
          <w:sz w:val="24"/>
        </w:rPr>
        <w:t xml:space="preserve">7、政府采购中实施本国产品标准及相关政策：</w:t>
      </w:r>
      <w:r/>
    </w:p>
    <w:p>
      <w:pPr>
        <w:pStyle w:val="1029"/>
        <w:ind w:firstLine="420"/>
        <w:spacing w:before="0" w:beforeAutospacing="0" w:after="0" w:afterAutospacing="0" w:line="360" w:lineRule="auto"/>
        <w:shd w:val="clear" w:color="auto" w:fill="ffffff"/>
        <w:rPr>
          <w:rFonts w:ascii="Times New Roman" w:hAnsi="Times New Roman" w:cs="Times New Roman"/>
          <w:color w:val="ff0000"/>
        </w:rPr>
      </w:pPr>
      <w:r>
        <w:rPr>
          <w:rFonts w:hint="eastAsia" w:ascii="Times New Roman" w:hAnsi="Times New Roman" w:cs="Times New Roman"/>
          <w:color w:val="ff0000"/>
        </w:rPr>
        <w:t xml:space="preserve">7.1</w:t>
      </w:r>
      <w:r>
        <w:rPr>
          <w:rFonts w:hint="eastAsia" w:ascii="Times New Roman" w:hAnsi="Times New Roman" w:cs="Times New Roman"/>
          <w:color w:val="ff0000"/>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以上时（</w:t>
      </w:r>
      <w:r>
        <w:rPr>
          <w:rFonts w:hint="eastAsia" w:ascii="Times New Roman" w:hAnsi="Times New Roman" w:cs="Times New Roman"/>
          <w:b/>
          <w:bCs/>
          <w:color w:val="ff0000"/>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ff0000"/>
        </w:rPr>
        <w:t xml:space="preserve">1.</w:t>
      </w:r>
      <w:r>
        <w:rPr>
          <w:rFonts w:hint="eastAsia" w:ascii="Times New Roman" w:hAnsi="Times New Roman" w:cs="Times New Roman"/>
          <w:b/>
          <w:bCs/>
          <w:color w:val="ff0000"/>
        </w:rPr>
        <w:t xml:space="preserve">为确保产品在运输或者储存期间保持某种状态而进行的操作；</w:t>
      </w:r>
      <w:r>
        <w:rPr>
          <w:rFonts w:hint="eastAsia" w:ascii="Times New Roman" w:hAnsi="Times New Roman" w:cs="Times New Roman"/>
          <w:b/>
          <w:bCs/>
          <w:color w:val="ff0000"/>
        </w:rPr>
        <w:t xml:space="preserve">2.</w:t>
      </w:r>
      <w:r>
        <w:rPr>
          <w:rFonts w:hint="eastAsia" w:ascii="Times New Roman" w:hAnsi="Times New Roman" w:cs="Times New Roman"/>
          <w:b/>
          <w:bCs/>
          <w:color w:val="ff0000"/>
        </w:rPr>
        <w:t xml:space="preserve">为产品运输或者销售进行的包装或者展示；</w:t>
      </w:r>
      <w:r>
        <w:rPr>
          <w:rFonts w:hint="eastAsia" w:ascii="Times New Roman" w:hAnsi="Times New Roman" w:cs="Times New Roman"/>
          <w:b/>
          <w:bCs/>
          <w:color w:val="ff0000"/>
        </w:rPr>
        <w:t xml:space="preserve">3.</w:t>
      </w:r>
      <w:r>
        <w:rPr>
          <w:rFonts w:hint="eastAsia" w:ascii="Times New Roman" w:hAnsi="Times New Roman" w:cs="Times New Roman"/>
          <w:b/>
          <w:bCs/>
          <w:color w:val="ff0000"/>
        </w:rPr>
        <w:t xml:space="preserve">在产品或者其包装上粘贴或者印刷品牌、标志、标识以及其他用于区别的标记；</w:t>
      </w:r>
      <w:r>
        <w:rPr>
          <w:rFonts w:hint="eastAsia" w:ascii="Times New Roman" w:hAnsi="Times New Roman" w:cs="Times New Roman"/>
          <w:b/>
          <w:bCs/>
          <w:color w:val="ff0000"/>
        </w:rPr>
        <w:t xml:space="preserve">4.</w:t>
      </w:r>
      <w:r>
        <w:rPr>
          <w:rFonts w:hint="eastAsia" w:ascii="Times New Roman" w:hAnsi="Times New Roman" w:cs="Times New Roman"/>
          <w:b/>
          <w:bCs/>
          <w:color w:val="ff0000"/>
        </w:rPr>
        <w:t xml:space="preserve">简单的上漆、磨光和分装；</w:t>
      </w:r>
      <w:r>
        <w:rPr>
          <w:rFonts w:hint="eastAsia" w:ascii="Times New Roman" w:hAnsi="Times New Roman" w:cs="Times New Roman"/>
          <w:b/>
          <w:bCs/>
          <w:color w:val="ff0000"/>
        </w:rPr>
        <w:t xml:space="preserve">5.</w:t>
      </w:r>
      <w:r>
        <w:rPr>
          <w:rFonts w:hint="eastAsia" w:ascii="Times New Roman" w:hAnsi="Times New Roman" w:cs="Times New Roman"/>
          <w:b/>
          <w:bCs/>
          <w:color w:val="ff0000"/>
        </w:rPr>
        <w:t xml:space="preserve">其他不属于属性改变的情形。）</w:t>
      </w:r>
      <w:r>
        <w:rPr>
          <w:rFonts w:hint="eastAsia" w:ascii="Times New Roman" w:hAnsi="Times New Roman" w:cs="Times New Roman"/>
          <w:color w:val="ff0000"/>
        </w:rPr>
        <w:t xml:space="preserve">，依法对该供应商提供的全部产品的总报价给予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的价格扣除，用扣除后的价格参与评审。供应商未填写比例数值，或比例数值未达到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的，将不享受本国产品价格评审优惠。</w:t>
      </w:r>
      <w:r/>
    </w:p>
    <w:p>
      <w:pPr>
        <w:ind w:firstLine="480"/>
        <w:jc w:val="left"/>
        <w:spacing w:line="360" w:lineRule="auto"/>
        <w:rPr>
          <w:color w:val="ff0000"/>
          <w:sz w:val="24"/>
        </w:rPr>
      </w:pPr>
      <w:r>
        <w:rPr>
          <w:rFonts w:hint="eastAsia"/>
          <w:color w:val="ff0000"/>
          <w:sz w:val="24"/>
        </w:rPr>
        <w:t xml:space="preserve">7.2</w:t>
      </w:r>
      <w:r>
        <w:rPr>
          <w:rFonts w:hint="eastAsia"/>
          <w:color w:val="ff0000"/>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ff0000"/>
          <w:sz w:val="24"/>
        </w:rPr>
      </w:pPr>
      <w:r>
        <w:rPr>
          <w:rFonts w:hint="eastAsia"/>
          <w:color w:val="ff0000"/>
          <w:sz w:val="24"/>
        </w:rPr>
        <w:t xml:space="preserve">7.3</w:t>
      </w:r>
      <w:r>
        <w:rPr>
          <w:rFonts w:hint="eastAsia"/>
          <w:color w:val="ff0000"/>
          <w:sz w:val="24"/>
        </w:rPr>
        <w:t xml:space="preserve">、供应商需在《声明函》中逐一、准确填写产品名称、厂名、生产厂址三项信息（《声明函》中用</w:t>
      </w:r>
      <w:r>
        <w:rPr>
          <w:rFonts w:hint="eastAsia"/>
          <w:color w:val="ff0000"/>
          <w:sz w:val="24"/>
        </w:rPr>
        <w:t xml:space="preserve">斜线划除的</w:t>
      </w:r>
      <w:r>
        <w:rPr>
          <w:rFonts w:hint="eastAsia"/>
          <w:color w:val="ff0000"/>
          <w:sz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ff0000"/>
          <w:sz w:val="24"/>
        </w:rPr>
      </w:pPr>
      <w:r>
        <w:rPr>
          <w:rFonts w:hint="eastAsia"/>
          <w:color w:val="ff0000"/>
          <w:sz w:val="24"/>
        </w:rPr>
        <w:t xml:space="preserve">7.4</w:t>
      </w:r>
      <w:r>
        <w:rPr>
          <w:rFonts w:hint="eastAsia"/>
          <w:color w:val="ff0000"/>
          <w:sz w:val="24"/>
        </w:rPr>
        <w:t xml:space="preserve">、评标过程中，如发现供应商在《声明函》内容含义不明确、同类事项与投标（响应）文件表述不一致或者有明显文字错误等情况的，评标委员会应当以书面形式要求供应商</w:t>
      </w:r>
      <w:r>
        <w:rPr>
          <w:rFonts w:hint="eastAsia"/>
          <w:color w:val="ff0000"/>
          <w:sz w:val="24"/>
        </w:rPr>
        <w:t xml:space="preserve">作出</w:t>
      </w:r>
      <w:r>
        <w:rPr>
          <w:rFonts w:hint="eastAsia"/>
          <w:color w:val="ff0000"/>
          <w:sz w:val="24"/>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bookmarkEnd w:id="288"/>
      <w:r/>
      <w:bookmarkEnd w:id="289"/>
      <w:r/>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470"/>
        <w:gridCol w:w="2126"/>
      </w:tblGrid>
      <w:tr>
        <w:trPr>
          <w:trHeight w:val="351"/>
        </w:trPr>
        <w:tc>
          <w:tcPr>
            <w:tcW w:w="709"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74"/>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分值</w:t>
            </w:r>
            <w:r/>
          </w:p>
        </w:tc>
        <w:tc>
          <w:tcPr>
            <w:tcW w:w="5470"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评分标准</w:t>
            </w:r>
            <w:r/>
          </w:p>
        </w:tc>
        <w:tc>
          <w:tcPr>
            <w:tcW w:w="2126" w:type="dxa"/>
            <w:vAlign w:val="center"/>
            <w:textDirection w:val="lrTb"/>
            <w:noWrap w:val="false"/>
          </w:tcPr>
          <w:p>
            <w:pPr>
              <w:jc w:val="center"/>
              <w:widowControl/>
              <w:rPr>
                <w:rFonts w:hint="eastAsia" w:ascii="宋体" w:hAnsi="宋体" w:cs="宋体"/>
                <w:szCs w:val="21"/>
              </w:rPr>
            </w:pPr>
            <w:r>
              <w:rPr>
                <w:rStyle w:val="1274"/>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价格分</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30</w:t>
            </w:r>
            <w:r/>
          </w:p>
        </w:tc>
        <w:tc>
          <w:tcPr>
            <w:tcW w:w="5470"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满足采购文件要求且最低的报价为评标基准价，其价格分为满分。其他供应商的价格</w:t>
            </w:r>
            <w:r>
              <w:rPr>
                <w:rStyle w:val="1274"/>
                <w:rFonts w:hint="default"/>
                <w:color w:val="auto"/>
                <w:sz w:val="21"/>
                <w:szCs w:val="21"/>
                <w:lang w:bidi="ar"/>
              </w:rPr>
              <w:t xml:space="preserve">分统一</w:t>
            </w:r>
            <w:r>
              <w:rPr>
                <w:rStyle w:val="1274"/>
                <w:rFonts w:hint="default"/>
                <w:color w:val="auto"/>
                <w:sz w:val="21"/>
                <w:szCs w:val="21"/>
                <w:lang w:bidi="ar"/>
              </w:rPr>
              <w:t xml:space="preserve">按照下列公式计算：</w:t>
            </w:r>
            <w:r>
              <w:rPr>
                <w:rStyle w:val="1274"/>
                <w:rFonts w:hint="default"/>
                <w:color w:val="auto"/>
                <w:sz w:val="21"/>
                <w:szCs w:val="21"/>
              </w:rPr>
              <w:t xml:space="preserve">投标报价得分=(评标基准价／投标报价)×</w:t>
            </w:r>
            <w:r>
              <w:rPr>
                <w:rStyle w:val="1274"/>
                <w:rFonts w:hint="default"/>
                <w:color w:val="auto"/>
                <w:sz w:val="21"/>
                <w:szCs w:val="21"/>
              </w:rPr>
              <w:t xml:space="preserve">价格权</w:t>
            </w:r>
            <w:r>
              <w:rPr>
                <w:rStyle w:val="1274"/>
                <w:rFonts w:hint="default"/>
                <w:color w:val="auto"/>
                <w:sz w:val="21"/>
                <w:szCs w:val="21"/>
              </w:rPr>
              <w:t xml:space="preserve">值×100。</w:t>
            </w:r>
            <w:r/>
          </w:p>
        </w:tc>
        <w:tc>
          <w:tcPr>
            <w:tcW w:w="2126" w:type="dxa"/>
            <w:vAlign w:val="center"/>
            <w:textDirection w:val="lrTb"/>
            <w:noWrap w:val="false"/>
          </w:tcPr>
          <w:p>
            <w:pPr>
              <w:widowControl/>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主观分</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32</w:t>
            </w:r>
            <w:r/>
          </w:p>
        </w:tc>
        <w:tc>
          <w:tcPr>
            <w:tcW w:w="5470"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74"/>
                <w:rFonts w:hint="default"/>
                <w:color w:val="auto"/>
                <w:sz w:val="21"/>
                <w:szCs w:val="21"/>
              </w:rPr>
            </w:pPr>
            <w:r>
              <w:rPr>
                <w:rStyle w:val="1274"/>
                <w:rFonts w:hint="default"/>
                <w:color w:val="auto"/>
                <w:sz w:val="21"/>
                <w:szCs w:val="21"/>
                <w:lang w:bidi="ar"/>
              </w:rPr>
              <w:t xml:space="preserve">4</w:t>
            </w:r>
            <w:r/>
          </w:p>
        </w:tc>
        <w:tc>
          <w:tcPr>
            <w:tcW w:w="5470" w:type="dxa"/>
            <w:vAlign w:val="center"/>
            <w:textDirection w:val="lrTb"/>
            <w:noWrap w:val="false"/>
          </w:tcPr>
          <w:p>
            <w:pPr>
              <w:rPr>
                <w:rStyle w:val="1274"/>
                <w:rFonts w:hint="default"/>
                <w:color w:val="auto"/>
                <w:sz w:val="21"/>
                <w:szCs w:val="21"/>
                <w:lang w:bidi="ar"/>
              </w:rPr>
            </w:pPr>
            <w:r>
              <w:rPr>
                <w:rStyle w:val="1274"/>
                <w:rFonts w:hint="default"/>
                <w:color w:val="auto"/>
                <w:sz w:val="21"/>
                <w:szCs w:val="21"/>
                <w:lang w:bidi="ar"/>
              </w:rPr>
              <w:t xml:space="preserve">投标人针对本项目特点包括不限于总体概述、安装调试方案：措施方案完整、可行，能完全满足项目实施要求，得4分；措施方案较具体、可行，能基本满足项目实施要求，得2分；措施方案内容较简单，对项目实施要求响应一般，得1分；未提供不得分。</w:t>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74"/>
                <w:rFonts w:hint="default"/>
                <w:color w:val="auto"/>
                <w:sz w:val="21"/>
                <w:szCs w:val="21"/>
              </w:rPr>
            </w:pPr>
            <w:r>
              <w:rPr>
                <w:rStyle w:val="1274"/>
                <w:rFonts w:hint="default"/>
                <w:color w:val="auto"/>
                <w:sz w:val="21"/>
                <w:szCs w:val="21"/>
                <w:lang w:bidi="ar"/>
              </w:rPr>
              <w:t xml:space="preserve">5</w:t>
            </w:r>
            <w:r/>
          </w:p>
        </w:tc>
        <w:tc>
          <w:tcPr>
            <w:tcW w:w="5470" w:type="dxa"/>
            <w:vAlign w:val="center"/>
            <w:textDirection w:val="lrTb"/>
            <w:noWrap w:val="false"/>
          </w:tcPr>
          <w:p>
            <w:pPr>
              <w:rPr>
                <w:rStyle w:val="1274"/>
                <w:rFonts w:hint="default"/>
                <w:color w:val="auto"/>
                <w:sz w:val="21"/>
                <w:szCs w:val="21"/>
                <w:lang w:bidi="ar"/>
              </w:rPr>
            </w:pPr>
            <w:r>
              <w:rPr>
                <w:rStyle w:val="1274"/>
                <w:rFonts w:hint="default"/>
                <w:color w:val="auto"/>
                <w:sz w:val="21"/>
                <w:szCs w:val="21"/>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74"/>
                <w:rFonts w:hint="default"/>
                <w:color w:val="auto"/>
                <w:sz w:val="21"/>
                <w:szCs w:val="21"/>
              </w:rPr>
            </w:pPr>
            <w:r>
              <w:rPr>
                <w:rStyle w:val="1274"/>
                <w:rFonts w:hint="default"/>
                <w:color w:val="auto"/>
                <w:sz w:val="21"/>
                <w:szCs w:val="21"/>
                <w:lang w:bidi="ar"/>
              </w:rPr>
              <w:t xml:space="preserve">5</w:t>
            </w:r>
            <w:r/>
          </w:p>
        </w:tc>
        <w:tc>
          <w:tcPr>
            <w:tcW w:w="5470" w:type="dxa"/>
            <w:vAlign w:val="center"/>
            <w:textDirection w:val="lrTb"/>
            <w:noWrap w:val="false"/>
          </w:tcPr>
          <w:p>
            <w:pPr>
              <w:rPr>
                <w:rStyle w:val="1274"/>
                <w:rFonts w:hint="default"/>
                <w:color w:val="auto"/>
                <w:sz w:val="21"/>
                <w:szCs w:val="21"/>
                <w:lang w:bidi="ar"/>
              </w:rPr>
            </w:pPr>
            <w:r>
              <w:rPr>
                <w:rStyle w:val="1274"/>
                <w:rFonts w:hint="default"/>
                <w:color w:val="auto"/>
                <w:sz w:val="21"/>
                <w:szCs w:val="21"/>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演示</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lang w:bidi="ar"/>
              </w:rPr>
              <w:t xml:space="preserve">18</w:t>
            </w:r>
            <w:r/>
          </w:p>
        </w:tc>
        <w:tc>
          <w:tcPr>
            <w:tcW w:w="5470"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Theme="minorEastAsia" w:hAnsiTheme="minorEastAsia" w:eastAsiaTheme="minorEastAsia" w:cstheme="minorBidi"/>
                <w:b/>
                <w:bCs/>
                <w:szCs w:val="21"/>
                <w:lang w:bidi="ar"/>
              </w:rPr>
              <w:t xml:space="preserve">光谱流式细胞分选仪</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1、激光器配置：集成固态激光器，标准配置至少包含 5 </w:t>
            </w:r>
            <w:r>
              <w:rPr>
                <w:rStyle w:val="1274"/>
                <w:rFonts w:hint="default"/>
                <w:color w:val="000000" w:themeColor="text1"/>
                <w:sz w:val="21"/>
                <w:szCs w:val="21"/>
                <w:lang w:bidi="ar"/>
              </w:rPr>
              <w:t xml:space="preserve">根独立</w:t>
            </w:r>
            <w:r>
              <w:rPr>
                <w:rStyle w:val="1274"/>
                <w:rFonts w:hint="default"/>
                <w:color w:val="000000" w:themeColor="text1"/>
                <w:sz w:val="21"/>
                <w:szCs w:val="21"/>
                <w:lang w:bidi="ar"/>
              </w:rPr>
              <w:t xml:space="preserve">激光器，350±5nm；405±5nm；488±5nm；561±5nm；637±5nm；不少于5个独立光斑，要求各激光器彼此独立，无共线。</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2、检测器：</w:t>
            </w:r>
            <w:r>
              <w:rPr>
                <w:rStyle w:val="1274"/>
                <w:rFonts w:hint="default"/>
                <w:color w:val="000000" w:themeColor="text1"/>
                <w:sz w:val="21"/>
                <w:szCs w:val="21"/>
                <w:lang w:bidi="ar"/>
              </w:rPr>
              <w:t xml:space="preserve">仪器标配的</w:t>
            </w:r>
            <w:r>
              <w:rPr>
                <w:rStyle w:val="1274"/>
                <w:rFonts w:hint="default"/>
                <w:color w:val="000000" w:themeColor="text1"/>
                <w:sz w:val="21"/>
                <w:szCs w:val="21"/>
                <w:lang w:bidi="ar"/>
              </w:rPr>
              <w:t xml:space="preserve">荧光信号检测器总数不低于60</w:t>
            </w:r>
            <w:r>
              <w:rPr>
                <w:rStyle w:val="1274"/>
                <w:rFonts w:hint="default"/>
                <w:color w:val="000000" w:themeColor="text1"/>
                <w:sz w:val="21"/>
                <w:szCs w:val="21"/>
                <w:lang w:bidi="ar"/>
              </w:rPr>
              <w:t xml:space="preserve">个，散射光通道不少于2个。所有荧光通道的电压值都可以随时、独立调整。</w:t>
            </w:r>
            <w:r/>
          </w:p>
          <w:p>
            <w:pPr>
              <w:rPr>
                <w:rStyle w:val="1274"/>
                <w:rFonts w:hint="default"/>
                <w:color w:val="auto"/>
                <w:sz w:val="21"/>
                <w:szCs w:val="21"/>
                <w:lang w:bidi="ar"/>
              </w:rPr>
            </w:pPr>
            <w:r>
              <w:rPr>
                <w:rStyle w:val="1274"/>
                <w:rFonts w:hint="default"/>
                <w:color w:val="auto"/>
                <w:sz w:val="21"/>
                <w:szCs w:val="21"/>
                <w:lang w:bidi="ar"/>
              </w:rPr>
              <w:t xml:space="preserve">3、分选原理：采用</w:t>
            </w:r>
            <w:r>
              <w:rPr>
                <w:rStyle w:val="1274"/>
                <w:rFonts w:hint="default"/>
                <w:color w:val="auto"/>
                <w:sz w:val="21"/>
                <w:szCs w:val="21"/>
                <w:lang w:bidi="ar"/>
              </w:rPr>
              <w:t xml:space="preserve">石英杯式</w:t>
            </w:r>
            <w:r>
              <w:rPr>
                <w:rStyle w:val="1274"/>
                <w:rFonts w:hint="default"/>
                <w:color w:val="auto"/>
                <w:sz w:val="21"/>
                <w:szCs w:val="21"/>
                <w:lang w:bidi="ar"/>
              </w:rPr>
              <w:t xml:space="preserve">激发或芯片激发方式。采用不间断、正压压力泵上样方式。</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4、喷嘴类型：</w:t>
            </w:r>
            <w:r>
              <w:rPr>
                <w:rFonts w:hint="eastAsia" w:cs="宋体" w:asciiTheme="minorEastAsia" w:hAnsiTheme="minorEastAsia" w:eastAsiaTheme="minorEastAsia"/>
                <w:sz w:val="20"/>
                <w:szCs w:val="20"/>
              </w:rPr>
              <w:t xml:space="preserve">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Style w:val="1274"/>
                <w:rFonts w:hint="default"/>
                <w:color w:val="000000" w:themeColor="text1"/>
                <w:sz w:val="21"/>
                <w:szCs w:val="21"/>
                <w:lang w:bidi="ar"/>
              </w:rPr>
              <w:t xml:space="preserve">，可插拔使用；切换不同尺寸后，仪器自动识别，更新为当前喷嘴所需设置。</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5、仪器内置集成成像模块，并可实现图像与流式数据的关联分析。</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6、</w:t>
            </w:r>
            <w:r>
              <w:rPr>
                <w:rStyle w:val="1274"/>
                <w:rFonts w:hint="default"/>
                <w:color w:val="000000" w:themeColor="text1"/>
                <w:sz w:val="21"/>
                <w:szCs w:val="21"/>
                <w:lang w:bidi="ar"/>
              </w:rPr>
              <w:t xml:space="preserve">光谱解混能力</w:t>
            </w:r>
            <w:r>
              <w:rPr>
                <w:rStyle w:val="1274"/>
                <w:rFonts w:hint="default"/>
                <w:color w:val="000000" w:themeColor="text1"/>
                <w:sz w:val="21"/>
                <w:szCs w:val="21"/>
                <w:lang w:bidi="ar"/>
              </w:rPr>
              <w:t xml:space="preserve">：随机软件需具备先进的</w:t>
            </w:r>
            <w:r>
              <w:rPr>
                <w:rStyle w:val="1274"/>
                <w:rFonts w:hint="default"/>
                <w:color w:val="000000" w:themeColor="text1"/>
                <w:sz w:val="21"/>
                <w:szCs w:val="21"/>
                <w:lang w:bidi="ar"/>
              </w:rPr>
              <w:t xml:space="preserve">光谱解混算法</w:t>
            </w:r>
            <w:r>
              <w:rPr>
                <w:rStyle w:val="1274"/>
                <w:rFonts w:hint="default"/>
                <w:color w:val="000000" w:themeColor="text1"/>
                <w:sz w:val="21"/>
                <w:szCs w:val="21"/>
                <w:lang w:bidi="ar"/>
              </w:rPr>
              <w:t xml:space="preserve">，能够稳定并准确解析 不低于30种荧光染料同时标记的高维度实验面板。</w:t>
            </w:r>
            <w:r/>
          </w:p>
          <w:p>
            <w:pPr>
              <w:rPr>
                <w:rStyle w:val="1274"/>
                <w:rFonts w:hint="default"/>
                <w:color w:val="auto"/>
                <w:sz w:val="21"/>
                <w:szCs w:val="21"/>
                <w:lang w:bidi="ar"/>
              </w:rPr>
            </w:pPr>
            <w:r>
              <w:rPr>
                <w:rFonts w:asciiTheme="minorEastAsia" w:hAnsiTheme="minorEastAsia" w:eastAsiaTheme="minorEastAsia"/>
                <w:b/>
                <w:szCs w:val="21"/>
                <w:u w:val="single"/>
                <w:lang w:bidi="ar"/>
              </w:rPr>
              <w:t xml:space="preserve">注1：以上每一小项功能设计合理、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演示清晰完整、操作精准完整且符合采购需求的得</w:t>
            </w:r>
            <w:r>
              <w:rPr>
                <w:rFonts w:hint="eastAsia" w:asciiTheme="minorEastAsia" w:hAnsiTheme="minorEastAsia" w:eastAsiaTheme="minorEastAsia"/>
                <w:b/>
                <w:szCs w:val="21"/>
                <w:u w:val="single"/>
                <w:lang w:bidi="ar"/>
              </w:rPr>
              <w:t xml:space="preserve">3</w:t>
            </w:r>
            <w:r>
              <w:rPr>
                <w:rFonts w:asciiTheme="minorEastAsia" w:hAnsiTheme="minorEastAsia" w:eastAsiaTheme="minorEastAsia"/>
                <w:b/>
                <w:szCs w:val="21"/>
                <w:u w:val="single"/>
                <w:lang w:bidi="ar"/>
              </w:rPr>
              <w:t xml:space="preserve">分；设计较合理、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演示清晰完整相对准确、操作精准相对完整较符合采购需求的得1分；</w:t>
            </w:r>
            <w:r>
              <w:rPr>
                <w:rFonts w:hint="eastAsia" w:asciiTheme="minorEastAsia" w:hAnsiTheme="minorEastAsia" w:eastAsiaTheme="minorEastAsia"/>
                <w:b/>
                <w:szCs w:val="21"/>
                <w:u w:val="single"/>
                <w:lang w:bidi="ar"/>
              </w:rPr>
              <w:t xml:space="preserve">未提供</w:t>
            </w:r>
            <w:r>
              <w:rPr>
                <w:rFonts w:asciiTheme="minorEastAsia" w:hAnsiTheme="minorEastAsia" w:eastAsiaTheme="minorEastAsia"/>
                <w:b/>
                <w:szCs w:val="21"/>
                <w:u w:val="single"/>
                <w:lang w:bidi="ar"/>
              </w:rPr>
              <w:t xml:space="preserve">不得分。本项最高得1</w:t>
            </w:r>
            <w:r>
              <w:rPr>
                <w:rFonts w:hint="eastAsia" w:asciiTheme="minorEastAsia" w:hAnsiTheme="minorEastAsia" w:eastAsiaTheme="minorEastAsia"/>
                <w:b/>
                <w:szCs w:val="21"/>
                <w:u w:val="single"/>
                <w:lang w:bidi="ar"/>
              </w:rPr>
              <w:t xml:space="preserve">8</w:t>
            </w:r>
            <w:r>
              <w:rPr>
                <w:rFonts w:asciiTheme="minorEastAsia" w:hAnsiTheme="minorEastAsia" w:eastAsiaTheme="minorEastAsia"/>
                <w:b/>
                <w:szCs w:val="21"/>
                <w:u w:val="single"/>
                <w:lang w:bidi="ar"/>
              </w:rPr>
              <w:t xml:space="preserve">分。</w:t>
            </w:r>
            <w:r/>
          </w:p>
        </w:tc>
        <w:tc>
          <w:tcPr>
            <w:tcW w:w="2126" w:type="dxa"/>
            <w:vAlign w:val="center"/>
            <w:textDirection w:val="lrTb"/>
            <w:noWrap w:val="false"/>
          </w:tcPr>
          <w:p>
            <w:pPr>
              <w:jc w:val="left"/>
              <w:rPr>
                <w:rStyle w:val="1274"/>
                <w:rFonts w:hint="default"/>
                <w:b/>
                <w:color w:val="auto"/>
                <w:sz w:val="21"/>
                <w:szCs w:val="21"/>
              </w:rPr>
            </w:pPr>
            <w:r>
              <w:rPr>
                <w:rStyle w:val="1274"/>
                <w:rFonts w:hint="default"/>
                <w:color w:val="auto"/>
                <w:sz w:val="21"/>
                <w:szCs w:val="21"/>
              </w:rPr>
              <w:t xml:space="preserve">投标人需按照要求制作演示视频文件，视频文件的格式为*.mp4或*.</w:t>
            </w:r>
            <w:r>
              <w:rPr>
                <w:rStyle w:val="1274"/>
                <w:rFonts w:hint="default"/>
                <w:color w:val="auto"/>
                <w:sz w:val="21"/>
                <w:szCs w:val="21"/>
              </w:rPr>
              <w:t xml:space="preserve">avi</w:t>
            </w:r>
            <w:r>
              <w:rPr>
                <w:rStyle w:val="1274"/>
                <w:rFonts w:hint="default"/>
                <w:color w:val="auto"/>
                <w:sz w:val="21"/>
                <w:szCs w:val="21"/>
              </w:rPr>
              <w:t xml:space="preserve">，投标人须将视频文件分段压缩为*.zip文件上传（单个文件不得</w:t>
            </w:r>
            <w:r>
              <w:rPr>
                <w:rStyle w:val="1274"/>
                <w:rFonts w:hint="default"/>
                <w:color w:val="auto"/>
                <w:sz w:val="21"/>
                <w:szCs w:val="21"/>
              </w:rPr>
              <w:t xml:space="preserve">大于50M，所有文件总共不得大于300M）。文件上</w:t>
            </w:r>
            <w:r>
              <w:rPr>
                <w:rStyle w:val="1274"/>
                <w:rFonts w:hint="default"/>
                <w:color w:val="auto"/>
                <w:sz w:val="21"/>
                <w:szCs w:val="21"/>
              </w:rPr>
              <w:t xml:space="preserve">传方式见</w:t>
            </w:r>
            <w:r>
              <w:rPr>
                <w:rStyle w:val="1274"/>
                <w:rFonts w:hint="default"/>
                <w:color w:val="auto"/>
                <w:sz w:val="21"/>
                <w:szCs w:val="21"/>
              </w:rPr>
              <w:t xml:space="preserve">《操作手册》规定，上传的演示视频将作为投标文件的组成部分，每个视频时长总计不超过5分钟</w:t>
            </w:r>
            <w:r>
              <w:rPr>
                <w:rStyle w:val="1274"/>
                <w:rFonts w:hint="default"/>
                <w:color w:val="auto"/>
                <w:sz w:val="21"/>
                <w:szCs w:val="21"/>
              </w:rPr>
              <w:t xml:space="preserve">。</w:t>
            </w:r>
            <w:r/>
          </w:p>
          <w:p>
            <w:pPr>
              <w:jc w:val="left"/>
              <w:rPr>
                <w:rStyle w:val="1274"/>
                <w:rFonts w:hint="default"/>
                <w:b/>
                <w:color w:val="auto"/>
                <w:sz w:val="21"/>
                <w:szCs w:val="21"/>
              </w:rPr>
            </w:pPr>
            <w:r>
              <w:rPr>
                <w:rStyle w:val="1274"/>
                <w:rFonts w:hint="default"/>
                <w:b/>
                <w:color w:val="auto"/>
                <w:sz w:val="21"/>
                <w:szCs w:val="21"/>
              </w:rPr>
              <w:t xml:space="preserve">注：</w:t>
            </w:r>
            <w:r/>
          </w:p>
          <w:p>
            <w:pPr>
              <w:jc w:val="left"/>
              <w:rPr>
                <w:rStyle w:val="1274"/>
                <w:rFonts w:hint="default"/>
                <w:bCs/>
                <w:color w:val="auto"/>
                <w:sz w:val="21"/>
                <w:szCs w:val="21"/>
              </w:rPr>
            </w:pPr>
            <w:r>
              <w:rPr>
                <w:rStyle w:val="1274"/>
                <w:rFonts w:hint="default"/>
                <w:bCs/>
                <w:color w:val="auto"/>
                <w:sz w:val="21"/>
                <w:szCs w:val="21"/>
              </w:rPr>
              <w:t xml:space="preserve">1、需用视频进行清晰演示，PPT演示不得分。</w:t>
            </w:r>
            <w:r/>
          </w:p>
          <w:p>
            <w:pPr>
              <w:rPr>
                <w:rStyle w:val="1274"/>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客观分</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38</w:t>
            </w:r>
            <w:r/>
          </w:p>
        </w:tc>
        <w:tc>
          <w:tcPr>
            <w:tcW w:w="5470"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业绩</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lang w:bidi="ar"/>
              </w:rPr>
              <w:t xml:space="preserve">6</w:t>
            </w:r>
            <w:r/>
          </w:p>
        </w:tc>
        <w:tc>
          <w:tcPr>
            <w:tcW w:w="5470" w:type="dxa"/>
            <w:vAlign w:val="center"/>
            <w:textDirection w:val="lrTb"/>
            <w:noWrap w:val="false"/>
          </w:tcPr>
          <w:p>
            <w:pPr>
              <w:rPr>
                <w:rStyle w:val="1274"/>
                <w:rFonts w:hint="default"/>
                <w:color w:val="000000" w:themeColor="text1"/>
                <w:sz w:val="21"/>
                <w:szCs w:val="21"/>
                <w:lang w:bidi="ar"/>
              </w:rPr>
            </w:pPr>
            <w:r>
              <w:rPr>
                <w:rStyle w:val="1274"/>
                <w:rFonts w:hint="default"/>
                <w:color w:val="000000" w:themeColor="text1"/>
                <w:sz w:val="21"/>
                <w:szCs w:val="21"/>
                <w:lang w:bidi="ar"/>
              </w:rPr>
              <w:t xml:space="preserve">1、提供自202</w:t>
            </w:r>
            <w:r>
              <w:rPr>
                <w:rStyle w:val="1274"/>
                <w:rFonts w:hint="default"/>
                <w:color w:val="000000" w:themeColor="text1"/>
                <w:sz w:val="21"/>
                <w:szCs w:val="21"/>
                <w:lang w:bidi="ar"/>
              </w:rPr>
              <w:t xml:space="preserve">3</w:t>
            </w:r>
            <w:r>
              <w:rPr>
                <w:rStyle w:val="1274"/>
                <w:rFonts w:hint="default"/>
                <w:color w:val="000000" w:themeColor="text1"/>
                <w:sz w:val="21"/>
                <w:szCs w:val="21"/>
                <w:lang w:bidi="ar"/>
              </w:rPr>
              <w:t xml:space="preserve">年</w:t>
            </w:r>
            <w:r>
              <w:rPr>
                <w:rStyle w:val="1274"/>
                <w:rFonts w:hint="default"/>
                <w:color w:val="000000" w:themeColor="text1"/>
                <w:sz w:val="21"/>
                <w:szCs w:val="21"/>
                <w:lang w:bidi="ar"/>
              </w:rPr>
              <w:t xml:space="preserve">3</w:t>
            </w:r>
            <w:r>
              <w:rPr>
                <w:rStyle w:val="1274"/>
                <w:rFonts w:hint="default"/>
                <w:color w:val="000000" w:themeColor="text1"/>
                <w:sz w:val="21"/>
                <w:szCs w:val="21"/>
                <w:lang w:bidi="ar"/>
              </w:rPr>
              <w:t xml:space="preserve">月1日起，投标人承担过类似动物学与细胞培养仪器设备供货合同（合同中内容须包含光谱流式细胞分选仪产品），有一个得2分，本项最高得2分。</w:t>
            </w:r>
            <w:r/>
          </w:p>
          <w:p>
            <w:pPr>
              <w:rPr>
                <w:rStyle w:val="1274"/>
                <w:rFonts w:hint="default"/>
                <w:color w:val="000000" w:themeColor="text1"/>
                <w:sz w:val="21"/>
                <w:szCs w:val="21"/>
                <w:lang w:bidi="ar"/>
              </w:rPr>
            </w:pPr>
            <w:r>
              <w:rPr>
                <w:rStyle w:val="1274"/>
                <w:rFonts w:hint="default"/>
                <w:color w:val="000000" w:themeColor="text1"/>
                <w:sz w:val="21"/>
                <w:szCs w:val="21"/>
                <w:lang w:bidi="ar"/>
              </w:rPr>
              <w:t xml:space="preserve">2、提供自202</w:t>
            </w:r>
            <w:r>
              <w:rPr>
                <w:rStyle w:val="1274"/>
                <w:rFonts w:hint="default"/>
                <w:color w:val="000000" w:themeColor="text1"/>
                <w:sz w:val="21"/>
                <w:szCs w:val="21"/>
                <w:lang w:bidi="ar"/>
              </w:rPr>
              <w:t xml:space="preserve">3</w:t>
            </w:r>
            <w:r>
              <w:rPr>
                <w:rStyle w:val="1274"/>
                <w:rFonts w:hint="default"/>
                <w:color w:val="000000" w:themeColor="text1"/>
                <w:sz w:val="21"/>
                <w:szCs w:val="21"/>
                <w:lang w:bidi="ar"/>
              </w:rPr>
              <w:t xml:space="preserve">年</w:t>
            </w:r>
            <w:r>
              <w:rPr>
                <w:rStyle w:val="1274"/>
                <w:rFonts w:hint="default"/>
                <w:color w:val="000000" w:themeColor="text1"/>
                <w:sz w:val="21"/>
                <w:szCs w:val="21"/>
                <w:lang w:bidi="ar"/>
              </w:rPr>
              <w:t xml:space="preserve">3</w:t>
            </w:r>
            <w:r>
              <w:rPr>
                <w:rStyle w:val="1274"/>
                <w:rFonts w:hint="default"/>
                <w:color w:val="000000" w:themeColor="text1"/>
                <w:sz w:val="21"/>
                <w:szCs w:val="21"/>
                <w:lang w:bidi="ar"/>
              </w:rPr>
              <w:t xml:space="preserve">月1日起，投标人承担过类似动物学与细胞培养仪器设备供货合同（合同中内容须包含流式细胞分选仪产品），有一个得2分，本项最高得2分。</w:t>
            </w:r>
            <w:r/>
          </w:p>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3、提供自202</w:t>
            </w:r>
            <w:r>
              <w:rPr>
                <w:rStyle w:val="1274"/>
                <w:rFonts w:hint="default"/>
                <w:color w:val="000000" w:themeColor="text1"/>
                <w:sz w:val="21"/>
                <w:szCs w:val="21"/>
                <w:lang w:bidi="ar"/>
              </w:rPr>
              <w:t xml:space="preserve">3</w:t>
            </w:r>
            <w:r>
              <w:rPr>
                <w:rStyle w:val="1274"/>
                <w:rFonts w:hint="default"/>
                <w:color w:val="000000" w:themeColor="text1"/>
                <w:sz w:val="21"/>
                <w:szCs w:val="21"/>
                <w:lang w:bidi="ar"/>
              </w:rPr>
              <w:t xml:space="preserve">年</w:t>
            </w:r>
            <w:r>
              <w:rPr>
                <w:rStyle w:val="1274"/>
                <w:rFonts w:hint="default"/>
                <w:color w:val="000000" w:themeColor="text1"/>
                <w:sz w:val="21"/>
                <w:szCs w:val="21"/>
                <w:lang w:bidi="ar"/>
              </w:rPr>
              <w:t xml:space="preserve">3</w:t>
            </w:r>
            <w:r>
              <w:rPr>
                <w:rStyle w:val="1274"/>
                <w:rFonts w:hint="default"/>
                <w:color w:val="000000" w:themeColor="text1"/>
                <w:sz w:val="21"/>
                <w:szCs w:val="21"/>
                <w:lang w:bidi="ar"/>
              </w:rPr>
              <w:t xml:space="preserve">月1日起，投标人承担过类似动物学与细胞培养仪器设备供货合同（合同中内容须包含光谱流式细胞检测仪产品），有一个得2分，本项最高得2分。</w:t>
            </w:r>
            <w:r/>
          </w:p>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以上最高得6分</w:t>
            </w:r>
            <w:r/>
          </w:p>
        </w:tc>
        <w:tc>
          <w:tcPr>
            <w:tcW w:w="212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1、投标人提供业绩的合同</w:t>
            </w:r>
            <w:r>
              <w:rPr>
                <w:rStyle w:val="1274"/>
                <w:rFonts w:hint="default"/>
                <w:color w:val="auto"/>
                <w:sz w:val="21"/>
                <w:szCs w:val="21"/>
                <w:lang w:bidi="ar"/>
              </w:rPr>
              <w:t xml:space="preserve">及履行该合同的过程性材料，包括但不</w:t>
            </w:r>
            <w:r>
              <w:rPr>
                <w:rStyle w:val="1274"/>
                <w:rFonts w:hint="default"/>
                <w:color w:val="auto"/>
                <w:sz w:val="21"/>
                <w:szCs w:val="21"/>
                <w:lang w:bidi="ar"/>
              </w:rPr>
              <w:t xml:space="preserve">限于收</w:t>
            </w:r>
            <w:r>
              <w:rPr>
                <w:rStyle w:val="1274"/>
                <w:rFonts w:hint="default"/>
                <w:color w:val="auto"/>
                <w:sz w:val="21"/>
                <w:szCs w:val="21"/>
                <w:lang w:bidi="ar"/>
              </w:rPr>
              <w:t xml:space="preserve">付款银行转账凭证或发票等</w:t>
            </w:r>
            <w:r>
              <w:rPr>
                <w:rStyle w:val="1274"/>
                <w:rFonts w:hint="default"/>
                <w:color w:val="auto"/>
                <w:sz w:val="21"/>
                <w:szCs w:val="21"/>
                <w:lang w:bidi="ar"/>
              </w:rPr>
              <w:t xml:space="preserve">。（如合同中无法体现相关内容的，须另提供原采购单位出具的相关证明材料加盖原采购单位公章）。</w:t>
            </w:r>
            <w:r/>
          </w:p>
          <w:p>
            <w:pPr>
              <w:widowControl/>
              <w:rPr>
                <w:rStyle w:val="1274"/>
                <w:rFonts w:hint="default"/>
                <w:color w:val="auto"/>
                <w:sz w:val="21"/>
                <w:szCs w:val="21"/>
                <w:lang w:bidi="ar"/>
              </w:rPr>
            </w:pPr>
            <w:r>
              <w:rPr>
                <w:rStyle w:val="1274"/>
                <w:rFonts w:hint="default"/>
                <w:color w:val="auto"/>
                <w:sz w:val="21"/>
                <w:szCs w:val="21"/>
                <w:lang w:bidi="ar"/>
              </w:rPr>
              <w:t xml:space="preserve">2、时间以签订合同时间为准。</w:t>
            </w:r>
            <w:r/>
          </w:p>
          <w:p>
            <w:pPr>
              <w:widowControl/>
              <w:rPr>
                <w:rStyle w:val="1274"/>
                <w:rFonts w:hint="default"/>
                <w:color w:val="auto"/>
                <w:sz w:val="21"/>
                <w:szCs w:val="21"/>
                <w:lang w:bidi="ar"/>
              </w:rPr>
            </w:pPr>
            <w:r>
              <w:rPr>
                <w:rStyle w:val="1274"/>
                <w:rFonts w:hint="default"/>
                <w:color w:val="auto"/>
                <w:sz w:val="21"/>
                <w:szCs w:val="21"/>
                <w:lang w:bidi="ar"/>
              </w:rPr>
              <w:t xml:space="preserve">3、合同中同时包含光谱流式细胞分选仪、流式细胞分选仪、光谱流式细胞检测仪产品只需提供一份合同；若一份合同不能包括多项产品，可以提供多份合同。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lang w:bidi="ar"/>
              </w:rPr>
              <w:t xml:space="preserve">2</w:t>
            </w:r>
            <w:r/>
          </w:p>
        </w:tc>
        <w:tc>
          <w:tcPr>
            <w:tcW w:w="5470"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126"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274"/>
                <w:rFonts w:hint="default"/>
                <w:color w:val="auto"/>
                <w:sz w:val="21"/>
                <w:szCs w:val="21"/>
                <w:lang w:bidi="ar"/>
              </w:rPr>
            </w:pPr>
            <w:r>
              <w:rPr>
                <w:rStyle w:val="1274"/>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30</w:t>
            </w:r>
            <w:r/>
          </w:p>
        </w:tc>
        <w:tc>
          <w:tcPr>
            <w:tcW w:w="5470" w:type="dxa"/>
            <w:vAlign w:val="center"/>
            <w:textDirection w:val="lrTb"/>
            <w:noWrap w:val="false"/>
          </w:tcPr>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根据采购清单，供应商需在技术偏离表中对本招标文件中产品技术指标（参数）的响应程度打分，所投产品全部满足招标文件技术参数要求得30分。</w:t>
            </w:r>
            <w:r/>
          </w:p>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打“▲”的每项负偏离扣2分，扣完为止。</w:t>
            </w:r>
            <w:r/>
          </w:p>
        </w:tc>
        <w:tc>
          <w:tcPr>
            <w:tcW w:w="2126" w:type="dxa"/>
            <w:vAlign w:val="center"/>
            <w:textDirection w:val="lrTb"/>
            <w:noWrap w:val="false"/>
          </w:tcPr>
          <w:p>
            <w:pPr>
              <w:widowControl/>
              <w:rPr>
                <w:rStyle w:val="1274"/>
                <w:rFonts w:hint="default"/>
                <w:color w:val="000000" w:themeColor="text1"/>
                <w:sz w:val="21"/>
                <w:szCs w:val="21"/>
                <w:lang w:bidi="ar"/>
              </w:rPr>
            </w:pPr>
            <w:r>
              <w:rPr>
                <w:rStyle w:val="1274"/>
                <w:rFonts w:hint="default"/>
                <w:color w:val="000000" w:themeColor="text1"/>
                <w:sz w:val="21"/>
                <w:szCs w:val="21"/>
                <w:lang w:bidi="ar"/>
              </w:rPr>
              <w:t xml:space="preserve">“▲”提供投标人或生产厂家的相关证明材料任意一种包括不限于：</w:t>
            </w:r>
            <w:bookmarkStart w:id="290" w:name="_Hlk206157369"/>
            <w:r>
              <w:rPr>
                <w:rStyle w:val="1274"/>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w:t>
            </w:r>
            <w:r>
              <w:rPr>
                <w:rStyle w:val="1274"/>
                <w:rFonts w:hint="default"/>
                <w:b/>
                <w:bCs/>
                <w:color w:val="000000" w:themeColor="text1"/>
                <w:sz w:val="21"/>
                <w:szCs w:val="21"/>
                <w:lang w:bidi="ar"/>
              </w:rPr>
              <w:t xml:space="preserve">实物照片、</w:t>
            </w:r>
            <w:r>
              <w:rPr>
                <w:rStyle w:val="1274"/>
                <w:rFonts w:hint="default"/>
                <w:b/>
                <w:bCs/>
                <w:color w:val="000000" w:themeColor="text1"/>
                <w:sz w:val="21"/>
                <w:szCs w:val="21"/>
                <w:lang w:bidi="ar"/>
              </w:rPr>
              <w:t xml:space="preserve">官网截</w:t>
            </w:r>
            <w:r>
              <w:rPr>
                <w:rStyle w:val="1274"/>
                <w:rFonts w:hint="default"/>
                <w:b/>
                <w:bCs/>
                <w:color w:val="000000" w:themeColor="text1"/>
                <w:sz w:val="21"/>
                <w:szCs w:val="21"/>
                <w:lang w:bidi="ar"/>
              </w:rPr>
              <w:t xml:space="preserve">图、功能界面截图等</w:t>
            </w:r>
            <w:bookmarkEnd w:id="290"/>
            <w:r>
              <w:rPr>
                <w:rStyle w:val="1274"/>
                <w:rFonts w:hint="default"/>
                <w:color w:val="000000" w:themeColor="text1"/>
                <w:sz w:val="21"/>
                <w:szCs w:val="2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74"/>
                <w:rFonts w:hint="default"/>
                <w:color w:val="auto"/>
                <w:sz w:val="21"/>
                <w:szCs w:val="21"/>
                <w:lang w:bidi="ar"/>
              </w:rPr>
              <w:t xml:space="preserve">合计</w:t>
            </w:r>
            <w:r/>
          </w:p>
        </w:tc>
        <w:tc>
          <w:tcPr>
            <w:tcW w:w="1276"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74"/>
                <w:rFonts w:hint="default"/>
                <w:color w:val="auto"/>
                <w:sz w:val="21"/>
                <w:szCs w:val="21"/>
                <w:lang w:bidi="ar"/>
              </w:rPr>
            </w:pPr>
            <w:r>
              <w:rPr>
                <w:rStyle w:val="1274"/>
                <w:rFonts w:hint="default"/>
                <w:color w:val="auto"/>
                <w:sz w:val="21"/>
                <w:szCs w:val="21"/>
              </w:rPr>
              <w:t xml:space="preserve">100</w:t>
            </w:r>
            <w:r/>
          </w:p>
        </w:tc>
        <w:tc>
          <w:tcPr>
            <w:tcW w:w="5470" w:type="dxa"/>
            <w:vAlign w:val="center"/>
            <w:textDirection w:val="lrTb"/>
            <w:noWrap w:val="false"/>
          </w:tcPr>
          <w:p>
            <w:pPr>
              <w:rPr>
                <w:rStyle w:val="1274"/>
                <w:rFonts w:hint="default"/>
                <w:color w:val="auto"/>
                <w:sz w:val="21"/>
                <w:szCs w:val="21"/>
                <w:lang w:bidi="ar"/>
              </w:rPr>
            </w:pPr>
            <w:r>
              <w:rPr>
                <w:rFonts w:hint="default"/>
                <w:color w:val="auto"/>
                <w:sz w:val="21"/>
                <w:szCs w:val="21"/>
                <w:lang w:bidi="ar"/>
              </w:rPr>
            </w:r>
            <w:r/>
          </w:p>
        </w:tc>
        <w:tc>
          <w:tcPr>
            <w:tcW w:w="2126" w:type="dxa"/>
            <w:vAlign w:val="center"/>
            <w:textDirection w:val="lrTb"/>
            <w:noWrap/>
          </w:tcPr>
          <w:p>
            <w:pPr>
              <w:rPr>
                <w:rStyle w:val="1274"/>
                <w:rFonts w:hint="default"/>
                <w:color w:val="auto"/>
                <w:sz w:val="21"/>
                <w:szCs w:val="21"/>
                <w:lang w:bidi="ar"/>
              </w:rPr>
            </w:pPr>
            <w:r>
              <w:rPr>
                <w:rFonts w:hint="default"/>
                <w:color w:val="auto"/>
                <w:sz w:val="21"/>
                <w:szCs w:val="21"/>
                <w:lang w:bidi="ar"/>
              </w:rPr>
            </w:r>
            <w:r/>
          </w:p>
        </w:tc>
      </w:tr>
    </w:tbl>
    <w:p>
      <w:pPr>
        <w:pStyle w:val="1221"/>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221"/>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r/>
      <w:bookmarkEnd w:id="253"/>
      <w:r/>
      <w:bookmarkEnd w:id="254"/>
      <w:r/>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南医大常州医疗健康科技园新建工程一期科研平台细胞学仪器设备采购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120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617"/>
        <w:gridCol w:w="1074"/>
        <w:gridCol w:w="11295"/>
        <w:gridCol w:w="481"/>
        <w:gridCol w:w="481"/>
      </w:tblGrid>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序号</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设备名称</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技术参数</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数量</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单位</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流式细胞检测仪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1.仪器类型：流式细胞检测仪。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★2.激光器配置：至少配备5种固定波长激光器，波长需覆盖紫外（350-360nm）、近紫外（400-410nm）、蓝（485-490nm）、绿（560-565nm）、红（630-640nm）波段，单个激光器功率≥20mW（紫外/近紫外激光器≥15mW）</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★3.检测通道：支持≥22个荧光检测通道，可同时兼容多种常用荧光素（如FITC、PE、APC、PerCP-Cy5.5、PE-Cy7、APC-Cy7、BV421、BV510等）。</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▲4.灵敏度：荧光检测灵敏度：FITC≤90MESF，PE≤50MESF，APC≤70MESF, PE-CY5≤10MESF。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5.分辨率：前向散射光（FSC）分辨率≤2.0% CV（检测标准微球），侧向散射光（SSC）分辨率≤3.5% CV，核心荧光参数（PE、APC标记信号）分辨率≤5% CV，可清晰区分低差异细胞亚群（如Th1/Th2/Th17细胞、调节性T细胞）。</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6.检测速度：最高检测速度≥15,000细胞/秒，在高速检测模式（≥12,000细胞/秒）下，数据采集准确率≥99.8%（细胞计数偏差≤0.2%），支持大样本量（≥10</w:t>
            </w:r>
            <w:r>
              <w:rPr>
                <w:rFonts w:hint="eastAsia" w:cs="宋体" w:asciiTheme="minorEastAsia" w:hAnsiTheme="minorEastAsia" w:eastAsiaTheme="minorEastAsia"/>
                <w:sz w:val="22"/>
                <w:szCs w:val="22"/>
                <w:vertAlign w:val="superscript"/>
              </w:rPr>
              <w:t xml:space="preserve">6</w:t>
            </w:r>
            <w:r>
              <w:rPr>
                <w:rFonts w:hint="eastAsia" w:cs="宋体" w:asciiTheme="minorEastAsia" w:hAnsiTheme="minorEastAsia" w:eastAsiaTheme="minorEastAsia"/>
                <w:sz w:val="20"/>
                <w:szCs w:val="20"/>
              </w:rPr>
              <w:t xml:space="preserve">细胞/样本）快速分析，且高速模式下不损失灵敏度与分辨率。</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▲7.样本处理：需采用稳定的鞘液正压上样方式，支持样本体积范围50μL-5mL，兼容标准流式管（12×75mm）；具备样本自动混匀功能；支持4-37℃样本温度控制（温度精度±0.5℃）。</w:t>
            </w:r>
            <w:r/>
          </w:p>
          <w:p>
            <w:pPr>
              <w:rPr>
                <w:rFonts w:hint="eastAsia" w:cs="宋体" w:asciiTheme="minorEastAsia" w:hAnsiTheme="minorEastAsia" w:eastAsiaTheme="minorEastAsia"/>
                <w:b/>
                <w:bCs/>
                <w:color w:val="ee0000"/>
                <w:sz w:val="20"/>
                <w:szCs w:val="20"/>
              </w:rPr>
            </w:pPr>
            <w:r>
              <w:rPr>
                <w:rFonts w:hint="eastAsia" w:cs="宋体" w:asciiTheme="minorEastAsia" w:hAnsiTheme="minorEastAsia" w:eastAsiaTheme="minorEastAsia"/>
                <w:b/>
                <w:bCs/>
                <w:color w:val="ee0000"/>
                <w:sz w:val="20"/>
                <w:szCs w:val="20"/>
              </w:rPr>
              <w:t xml:space="preserve">▲</w:t>
            </w:r>
            <w:r>
              <w:rPr>
                <w:rFonts w:hint="eastAsia" w:cs="宋体" w:asciiTheme="minorEastAsia" w:hAnsiTheme="minorEastAsia" w:eastAsiaTheme="minorEastAsia"/>
                <w:b/>
                <w:bCs/>
                <w:color w:val="ee0000"/>
                <w:sz w:val="20"/>
                <w:szCs w:val="20"/>
                <w:highlight w:val="yellow"/>
              </w:rPr>
              <w:t xml:space="preserve">8.数据处理：配备专业数据分析软件，支持实时数据采集、多维度可视化分析（散点图、等高线图、热图、三维分布图），可实现细胞群智能门控（AI辅助识别目标细胞群）、荧光补偿自动计算、统计分析（细胞比例、平均荧光强度、中位数荧光强度）及自定义报告生成；软件兼容FCS3.1</w:t>
            </w:r>
            <w:r>
              <w:rPr>
                <w:rFonts w:hint="eastAsia" w:cs="宋体" w:asciiTheme="minorEastAsia" w:hAnsiTheme="minorEastAsia" w:eastAsiaTheme="minorEastAsia"/>
                <w:b/>
                <w:bCs/>
                <w:color w:val="ee0000"/>
                <w:sz w:val="20"/>
                <w:szCs w:val="20"/>
                <w:highlight w:val="yellow"/>
              </w:rPr>
              <w:t xml:space="preserve">或</w:t>
            </w:r>
            <w:r>
              <w:rPr>
                <w:rFonts w:hint="eastAsia" w:cs="宋体" w:asciiTheme="minorEastAsia" w:hAnsiTheme="minorEastAsia" w:eastAsiaTheme="minorEastAsia"/>
                <w:b/>
                <w:bCs/>
                <w:color w:val="ee0000"/>
                <w:sz w:val="20"/>
                <w:szCs w:val="20"/>
                <w:highlight w:val="yellow"/>
              </w:rPr>
              <w:t xml:space="preserve">FCS3.2数据格式，支持与第三</w:t>
            </w:r>
            <w:r>
              <w:rPr>
                <w:rFonts w:hint="eastAsia" w:cs="宋体" w:asciiTheme="minorEastAsia" w:hAnsiTheme="minorEastAsia" w:eastAsiaTheme="minorEastAsia"/>
                <w:b/>
                <w:bCs/>
                <w:color w:val="ee0000"/>
                <w:sz w:val="20"/>
                <w:szCs w:val="20"/>
                <w:highlight w:val="yellow"/>
              </w:rPr>
              <w:t xml:space="preserve">方分析</w:t>
            </w:r>
            <w:r>
              <w:rPr>
                <w:rFonts w:hint="eastAsia" w:cs="宋体" w:asciiTheme="minorEastAsia" w:hAnsiTheme="minorEastAsia" w:eastAsiaTheme="minorEastAsia"/>
                <w:b/>
                <w:bCs/>
                <w:color w:val="ee0000"/>
                <w:sz w:val="20"/>
                <w:szCs w:val="20"/>
                <w:highlight w:val="yellow"/>
              </w:rPr>
              <w:t xml:space="preserve">工具（如</w:t>
            </w:r>
            <w:r>
              <w:rPr>
                <w:rFonts w:hint="eastAsia" w:cs="宋体" w:asciiTheme="minorEastAsia" w:hAnsiTheme="minorEastAsia" w:eastAsiaTheme="minorEastAsia"/>
                <w:b/>
                <w:bCs/>
                <w:color w:val="ee0000"/>
                <w:sz w:val="20"/>
                <w:szCs w:val="20"/>
                <w:highlight w:val="yellow"/>
              </w:rPr>
              <w:t xml:space="preserve">FlowJo</w:t>
            </w:r>
            <w:r>
              <w:rPr>
                <w:rFonts w:hint="eastAsia" w:cs="宋体" w:asciiTheme="minorEastAsia" w:hAnsiTheme="minorEastAsia" w:eastAsiaTheme="minorEastAsia"/>
                <w:b/>
                <w:bCs/>
                <w:color w:val="ee0000"/>
                <w:sz w:val="20"/>
                <w:szCs w:val="20"/>
                <w:highlight w:val="yellow"/>
              </w:rPr>
              <w:t xml:space="preserve">、</w:t>
            </w:r>
            <w:r>
              <w:rPr>
                <w:rFonts w:hint="eastAsia" w:cs="宋体" w:asciiTheme="minorEastAsia" w:hAnsiTheme="minorEastAsia" w:eastAsiaTheme="minorEastAsia"/>
                <w:b/>
                <w:bCs/>
                <w:color w:val="ee0000"/>
                <w:sz w:val="20"/>
                <w:szCs w:val="20"/>
                <w:highlight w:val="yellow"/>
              </w:rPr>
              <w:t xml:space="preserve">Cytobank</w:t>
            </w:r>
            <w:r>
              <w:rPr>
                <w:rFonts w:hint="eastAsia" w:cs="宋体" w:asciiTheme="minorEastAsia" w:hAnsiTheme="minorEastAsia" w:eastAsiaTheme="minorEastAsia"/>
                <w:b/>
                <w:bCs/>
                <w:color w:val="ee0000"/>
                <w:sz w:val="20"/>
                <w:szCs w:val="20"/>
                <w:highlight w:val="yellow"/>
              </w:rPr>
              <w:t xml:space="preserve">）对接；具备</w:t>
            </w:r>
            <w:r>
              <w:rPr>
                <w:rFonts w:hint="eastAsia" w:cs="宋体" w:asciiTheme="minorEastAsia" w:hAnsiTheme="minorEastAsia" w:eastAsiaTheme="minorEastAsia"/>
                <w:b/>
                <w:bCs/>
                <w:color w:val="ee0000"/>
                <w:sz w:val="20"/>
                <w:szCs w:val="20"/>
                <w:highlight w:val="yellow"/>
              </w:rPr>
              <w:t xml:space="preserve">审计追踪功能，可记录操作人员、操作时间、参数修改记录及数据导出日志，满足GLP</w:t>
            </w:r>
            <w:r>
              <w:rPr>
                <w:rFonts w:hint="eastAsia" w:cs="宋体" w:asciiTheme="minorEastAsia" w:hAnsiTheme="minorEastAsia" w:eastAsiaTheme="minorEastAsia"/>
                <w:b/>
                <w:bCs/>
                <w:color w:val="ee0000"/>
                <w:sz w:val="20"/>
                <w:szCs w:val="20"/>
                <w:highlight w:val="yellow"/>
              </w:rPr>
              <w:t xml:space="preserve">或</w:t>
            </w:r>
            <w:r>
              <w:rPr>
                <w:rFonts w:hint="eastAsia" w:cs="宋体" w:asciiTheme="minorEastAsia" w:hAnsiTheme="minorEastAsia" w:eastAsiaTheme="minorEastAsia"/>
                <w:b/>
                <w:bCs/>
                <w:color w:val="ee0000"/>
                <w:sz w:val="20"/>
                <w:szCs w:val="20"/>
                <w:highlight w:val="yellow"/>
              </w:rPr>
              <w:t xml:space="preserve">GMP数据合</w:t>
            </w:r>
            <w:r>
              <w:rPr>
                <w:rFonts w:hint="eastAsia" w:cs="宋体" w:asciiTheme="minorEastAsia" w:hAnsiTheme="minorEastAsia" w:eastAsiaTheme="minorEastAsia"/>
                <w:b/>
                <w:bCs/>
                <w:color w:val="ee0000"/>
                <w:sz w:val="20"/>
                <w:szCs w:val="20"/>
                <w:highlight w:val="yellow"/>
              </w:rPr>
              <w:t xml:space="preserve">规</w:t>
            </w:r>
            <w:r>
              <w:rPr>
                <w:rFonts w:hint="eastAsia" w:cs="宋体" w:asciiTheme="minorEastAsia" w:hAnsiTheme="minorEastAsia" w:eastAsiaTheme="minorEastAsia"/>
                <w:b/>
                <w:bCs/>
                <w:color w:val="ee0000"/>
                <w:sz w:val="20"/>
                <w:szCs w:val="20"/>
                <w:highlight w:val="yellow"/>
              </w:rPr>
              <w:t xml:space="preserve">需求。</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仪器稳定性：连续运行12小时内，核心参数（荧光信号强度、分辨率、信噪比）波动范围≤1.5%；仪器校准后，2个月内无需重新校准即可维持检测精度（偏差≤2%）；平均无故障运行时间（MTBF）≥3500小时；内置自动质控模块，可定期执行光源稳定性、检测器灵敏度、流体系统精度校验，并生成质控报告，异常参数实时预警。</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光谱流式细胞检测仪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1.仪器类型：光谱流式细胞检测仪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★2.激光器配置：至少配备5种固定波长激光器，波长需覆盖紫外（350-360nm）、近紫外（400-410nm）、蓝（485-490nm）、绿（560-565nm）、红（630-640nm）波段；单个激光器功率≥20mW（紫外/近紫外激光器≥15mW）。</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★3.光谱检测能力：具备全光谱检测</w:t>
            </w:r>
            <w:r>
              <w:rPr>
                <w:rFonts w:hint="eastAsia" w:cs="宋体" w:asciiTheme="minorEastAsia" w:hAnsiTheme="minorEastAsia" w:eastAsiaTheme="minorEastAsia"/>
                <w:sz w:val="20"/>
                <w:szCs w:val="20"/>
              </w:rPr>
              <w:t xml:space="preserve">与解混功能</w:t>
            </w:r>
            <w:r>
              <w:rPr>
                <w:rFonts w:hint="eastAsia" w:cs="宋体" w:asciiTheme="minorEastAsia" w:hAnsiTheme="minorEastAsia" w:eastAsiaTheme="minorEastAsia"/>
                <w:sz w:val="20"/>
                <w:szCs w:val="20"/>
              </w:rPr>
              <w:t xml:space="preserve">，检测波长范围覆盖380-850nm；支持≥45个荧光检测通道，可同时兼容常用荧光素（FITC、PE、APC、PerCP-Cy5.5、PE-Cy7、APC-Cy7、BV421、BV510、BV605、BV711等）及新型荧光染料；</w:t>
            </w:r>
            <w:r>
              <w:rPr>
                <w:rFonts w:hint="eastAsia" w:cs="宋体" w:asciiTheme="minorEastAsia" w:hAnsiTheme="minorEastAsia" w:eastAsiaTheme="minorEastAsia"/>
                <w:sz w:val="20"/>
                <w:szCs w:val="20"/>
              </w:rPr>
              <w:t xml:space="preserve">光谱解混准确率</w:t>
            </w:r>
            <w:r>
              <w:rPr>
                <w:rFonts w:hint="eastAsia" w:cs="宋体" w:asciiTheme="minorEastAsia" w:hAnsiTheme="minorEastAsia" w:eastAsiaTheme="minorEastAsia"/>
                <w:sz w:val="20"/>
                <w:szCs w:val="20"/>
              </w:rPr>
              <w:t xml:space="preserve">≥99%每个通道电压可单独调节，可根据需求切换光谱和滤光片模式，实时自动荧光分解。</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▲4.激光光路设计：</w:t>
            </w:r>
            <w:r>
              <w:rPr>
                <w:rFonts w:hint="eastAsia" w:cs="宋体" w:asciiTheme="minorEastAsia" w:hAnsiTheme="minorEastAsia" w:eastAsiaTheme="minorEastAsia"/>
                <w:sz w:val="20"/>
                <w:szCs w:val="20"/>
              </w:rPr>
              <w:t xml:space="preserve">石英杯</w:t>
            </w:r>
            <w:r>
              <w:rPr>
                <w:rFonts w:hint="eastAsia" w:cs="宋体" w:asciiTheme="minorEastAsia" w:hAnsiTheme="minorEastAsia" w:eastAsiaTheme="minorEastAsia"/>
                <w:sz w:val="20"/>
                <w:szCs w:val="20"/>
              </w:rPr>
              <w:t xml:space="preserve">流动室激发，激光器</w:t>
            </w:r>
            <w:r>
              <w:rPr>
                <w:rFonts w:hint="eastAsia" w:cs="宋体" w:asciiTheme="minorEastAsia" w:hAnsiTheme="minorEastAsia" w:eastAsiaTheme="minorEastAsia"/>
                <w:sz w:val="20"/>
                <w:szCs w:val="20"/>
              </w:rPr>
              <w:t xml:space="preserve">不</w:t>
            </w:r>
            <w:r>
              <w:rPr>
                <w:rFonts w:hint="eastAsia" w:cs="宋体" w:asciiTheme="minorEastAsia" w:hAnsiTheme="minorEastAsia" w:eastAsiaTheme="minorEastAsia"/>
                <w:sz w:val="20"/>
                <w:szCs w:val="20"/>
              </w:rPr>
              <w:t xml:space="preserve">共线，全反射光路。每个激光器拥有</w:t>
            </w:r>
            <w:r>
              <w:rPr>
                <w:rFonts w:hint="eastAsia" w:cs="宋体" w:asciiTheme="minorEastAsia" w:hAnsiTheme="minorEastAsia" w:eastAsiaTheme="minorEastAsia"/>
                <w:sz w:val="20"/>
                <w:szCs w:val="20"/>
              </w:rPr>
              <w:t xml:space="preserve">独立光径和</w:t>
            </w:r>
            <w:r>
              <w:rPr>
                <w:rFonts w:hint="eastAsia" w:cs="宋体" w:asciiTheme="minorEastAsia" w:hAnsiTheme="minorEastAsia" w:eastAsiaTheme="minorEastAsia"/>
                <w:sz w:val="20"/>
                <w:szCs w:val="20"/>
              </w:rPr>
              <w:t xml:space="preserve">检测器。通过滤光片切分的方式将荧光连续切分成光谱信息，并可同时在线进行光谱计算与荧光补偿计算，两种数据可以同时交互验证。</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▲5.检测器类型：光电倍增管（PMT）检测。灵敏度FITC≤55MESF，PE≤20MESF。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▲6.检测速度：最高检测速度≥30,000细胞/秒；数据采集准确率≥99.8%（细胞计数偏差≤0.2%）。</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▲7.样本处理：支持样本体积范围50μL-5mL，兼容标准流式管（12×75mm）；上样方</w:t>
            </w:r>
            <w:r>
              <w:rPr>
                <w:rFonts w:hint="eastAsia" w:cs="宋体" w:asciiTheme="minorEastAsia" w:hAnsiTheme="minorEastAsia" w:eastAsiaTheme="minorEastAsia"/>
                <w:sz w:val="20"/>
                <w:szCs w:val="20"/>
              </w:rPr>
              <w:t xml:space="preserve">式采用</w:t>
            </w:r>
            <w:r>
              <w:rPr>
                <w:rFonts w:hint="eastAsia" w:cs="宋体" w:asciiTheme="minorEastAsia" w:hAnsiTheme="minorEastAsia" w:eastAsiaTheme="minorEastAsia"/>
                <w:sz w:val="20"/>
                <w:szCs w:val="20"/>
              </w:rPr>
              <w:t xml:space="preserve">气压泵正压上样。具备样本自动混匀功能；支持4-37℃样本温度控制。</w:t>
            </w:r>
            <w:r/>
          </w:p>
          <w:p>
            <w:pPr>
              <w:rPr>
                <w:rFonts w:hint="eastAsia" w:cs="宋体" w:asciiTheme="minorEastAsia" w:hAnsiTheme="minorEastAsia" w:eastAsiaTheme="minorEastAsia"/>
                <w:b/>
                <w:bCs/>
                <w:color w:val="ee0000"/>
                <w:sz w:val="20"/>
                <w:szCs w:val="20"/>
              </w:rPr>
            </w:pPr>
            <w:r>
              <w:rPr>
                <w:rFonts w:hint="eastAsia" w:cs="宋体" w:asciiTheme="minorEastAsia" w:hAnsiTheme="minorEastAsia" w:eastAsiaTheme="minorEastAsia"/>
                <w:b/>
                <w:bCs/>
                <w:color w:val="ee0000"/>
                <w:sz w:val="20"/>
                <w:szCs w:val="20"/>
                <w:highlight w:val="yellow"/>
              </w:rPr>
              <w:t xml:space="preserve">8.数据处理：配备专业光谱分析软件，支持实时全光谱数据采集、多维度可视化分析（散点图、等高线图、热图、三维光谱图）；支持荧光补偿自动计算、统计分析（细胞比例、平均荧光强度、中位数荧光强度、光谱相似度分析）及自定义报告生成；兼容FCS3.1</w:t>
            </w:r>
            <w:r>
              <w:rPr>
                <w:rFonts w:hint="eastAsia" w:cs="宋体" w:asciiTheme="minorEastAsia" w:hAnsiTheme="minorEastAsia" w:eastAsiaTheme="minorEastAsia"/>
                <w:b/>
                <w:bCs/>
                <w:color w:val="ee0000"/>
                <w:sz w:val="20"/>
                <w:szCs w:val="20"/>
                <w:highlight w:val="yellow"/>
              </w:rPr>
              <w:t xml:space="preserve">或</w:t>
            </w:r>
            <w:r>
              <w:rPr>
                <w:rFonts w:hint="eastAsia" w:cs="宋体" w:asciiTheme="minorEastAsia" w:hAnsiTheme="minorEastAsia" w:eastAsiaTheme="minorEastAsia"/>
                <w:b/>
                <w:bCs/>
                <w:color w:val="ee0000"/>
                <w:sz w:val="20"/>
                <w:szCs w:val="20"/>
                <w:highlight w:val="yellow"/>
              </w:rPr>
              <w:t xml:space="preserve">FCS 3.2数据格式，可与第三</w:t>
            </w:r>
            <w:r>
              <w:rPr>
                <w:rFonts w:hint="eastAsia" w:cs="宋体" w:asciiTheme="minorEastAsia" w:hAnsiTheme="minorEastAsia" w:eastAsiaTheme="minorEastAsia"/>
                <w:b/>
                <w:bCs/>
                <w:color w:val="ee0000"/>
                <w:sz w:val="20"/>
                <w:szCs w:val="20"/>
                <w:highlight w:val="yellow"/>
              </w:rPr>
              <w:t xml:space="preserve">方分析</w:t>
            </w:r>
            <w:r>
              <w:rPr>
                <w:rFonts w:hint="eastAsia" w:cs="宋体" w:asciiTheme="minorEastAsia" w:hAnsiTheme="minorEastAsia" w:eastAsiaTheme="minorEastAsia"/>
                <w:b/>
                <w:bCs/>
                <w:color w:val="ee0000"/>
                <w:sz w:val="20"/>
                <w:szCs w:val="20"/>
                <w:highlight w:val="yellow"/>
              </w:rPr>
              <w:t xml:space="preserve">工具（如</w:t>
            </w:r>
            <w:r>
              <w:rPr>
                <w:rFonts w:hint="eastAsia" w:cs="宋体" w:asciiTheme="minorEastAsia" w:hAnsiTheme="minorEastAsia" w:eastAsiaTheme="minorEastAsia"/>
                <w:b/>
                <w:bCs/>
                <w:color w:val="ee0000"/>
                <w:sz w:val="20"/>
                <w:szCs w:val="20"/>
                <w:highlight w:val="yellow"/>
              </w:rPr>
              <w:t xml:space="preserve">FlowJo</w:t>
            </w:r>
            <w:r>
              <w:rPr>
                <w:rFonts w:hint="eastAsia" w:cs="宋体" w:asciiTheme="minorEastAsia" w:hAnsiTheme="minorEastAsia" w:eastAsiaTheme="minorEastAsia"/>
                <w:b/>
                <w:bCs/>
                <w:color w:val="ee0000"/>
                <w:sz w:val="20"/>
                <w:szCs w:val="20"/>
                <w:highlight w:val="yellow"/>
              </w:rPr>
              <w:t xml:space="preserve">、</w:t>
            </w:r>
            <w:r>
              <w:rPr>
                <w:rFonts w:hint="eastAsia" w:cs="宋体" w:asciiTheme="minorEastAsia" w:hAnsiTheme="minorEastAsia" w:eastAsiaTheme="minorEastAsia"/>
                <w:b/>
                <w:bCs/>
                <w:color w:val="ee0000"/>
                <w:sz w:val="20"/>
                <w:szCs w:val="20"/>
                <w:highlight w:val="yellow"/>
              </w:rPr>
              <w:t xml:space="preserve">Cytobank</w:t>
            </w:r>
            <w:r>
              <w:rPr>
                <w:rFonts w:hint="eastAsia" w:cs="宋体" w:asciiTheme="minorEastAsia" w:hAnsiTheme="minorEastAsia" w:eastAsiaTheme="minorEastAsia"/>
                <w:b/>
                <w:bCs/>
                <w:color w:val="ee0000"/>
                <w:sz w:val="20"/>
                <w:szCs w:val="20"/>
                <w:highlight w:val="yellow"/>
              </w:rPr>
              <w:t xml:space="preserve">）无缝对接。</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仪器稳定性与扩展性：准确报告仪器性能基线，质控程序可以确定并描述装机时基线性能状态，优化和标准化仪器设置，追踪仪器设置。即自动调整电压、激光参数、时间延迟，监测仪器的变异系数值（CV）系统检测荧光效率（</w:t>
            </w:r>
            <w:r>
              <w:rPr>
                <w:rFonts w:hint="eastAsia" w:cs="宋体" w:asciiTheme="minorEastAsia" w:hAnsiTheme="minorEastAsia" w:eastAsiaTheme="minorEastAsia"/>
                <w:sz w:val="20"/>
                <w:szCs w:val="20"/>
              </w:rPr>
              <w:t xml:space="preserve">Qr</w:t>
            </w:r>
            <w:r>
              <w:rPr>
                <w:rFonts w:hint="eastAsia" w:cs="宋体" w:asciiTheme="minorEastAsia" w:hAnsiTheme="minorEastAsia" w:eastAsiaTheme="minorEastAsia"/>
                <w:sz w:val="20"/>
                <w:szCs w:val="20"/>
              </w:rPr>
              <w:t xml:space="preserve">）、荧光检测器检测到的实际光学背景（Br）、电子噪音 (</w:t>
            </w:r>
            <w:r>
              <w:rPr>
                <w:rFonts w:hint="eastAsia" w:cs="宋体" w:asciiTheme="minorEastAsia" w:hAnsiTheme="minorEastAsia" w:eastAsiaTheme="minorEastAsia"/>
                <w:sz w:val="20"/>
                <w:szCs w:val="20"/>
              </w:rPr>
              <w:t xml:space="preserve">SDen</w:t>
            </w:r>
            <w:r>
              <w:rPr>
                <w:rFonts w:hint="eastAsia" w:cs="宋体" w:asciiTheme="minorEastAsia" w:hAnsiTheme="minorEastAsia" w:eastAsiaTheme="minorEastAsia"/>
                <w:sz w:val="20"/>
                <w:szCs w:val="20"/>
              </w:rPr>
              <w:t xml:space="preserve">)、线性度等20方面性能，保证不同时间检测数据的一致性。</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10.安全性：适配生物安全二级（BSL-2）实验室操作。</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流式细胞分选仪</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1.仪器类型：流式细胞分选仪。</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至少配备5种固定波长激光器，波长需覆盖紫外（350-360nm）、近紫外（400-410nm）、蓝（485-490nm）、绿（560-565nm）、红（630-640nm）波段；单个激光器功率≥50mW（紫外/近紫外波段）、≥80mW（蓝/绿/红波段）。</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▲3.激光光路设计：</w:t>
            </w:r>
            <w:r>
              <w:rPr>
                <w:rFonts w:hint="eastAsia" w:cs="宋体" w:asciiTheme="minorEastAsia" w:hAnsiTheme="minorEastAsia" w:eastAsiaTheme="minorEastAsia"/>
                <w:sz w:val="20"/>
                <w:szCs w:val="20"/>
              </w:rPr>
              <w:t xml:space="preserve">石英杯</w:t>
            </w:r>
            <w:r>
              <w:rPr>
                <w:rFonts w:hint="eastAsia" w:cs="宋体" w:asciiTheme="minorEastAsia" w:hAnsiTheme="minorEastAsia" w:eastAsiaTheme="minorEastAsia"/>
                <w:sz w:val="20"/>
                <w:szCs w:val="20"/>
              </w:rPr>
              <w:t xml:space="preserve">流动室激发，激光器</w:t>
            </w:r>
            <w:r>
              <w:rPr>
                <w:rFonts w:hint="eastAsia" w:cs="宋体" w:asciiTheme="minorEastAsia" w:hAnsiTheme="minorEastAsia" w:eastAsiaTheme="minorEastAsia"/>
                <w:sz w:val="20"/>
                <w:szCs w:val="20"/>
              </w:rPr>
              <w:t xml:space="preserve">不</w:t>
            </w:r>
            <w:r>
              <w:rPr>
                <w:rFonts w:hint="eastAsia" w:cs="宋体" w:asciiTheme="minorEastAsia" w:hAnsiTheme="minorEastAsia" w:eastAsiaTheme="minorEastAsia"/>
                <w:sz w:val="20"/>
                <w:szCs w:val="20"/>
              </w:rPr>
              <w:t xml:space="preserve">共线，全反射光路。每个激光器拥有</w:t>
            </w:r>
            <w:r>
              <w:rPr>
                <w:rFonts w:hint="eastAsia" w:cs="宋体" w:asciiTheme="minorEastAsia" w:hAnsiTheme="minorEastAsia" w:eastAsiaTheme="minorEastAsia"/>
                <w:sz w:val="20"/>
                <w:szCs w:val="20"/>
              </w:rPr>
              <w:t xml:space="preserve">独立光径和</w:t>
            </w:r>
            <w:r>
              <w:rPr>
                <w:rFonts w:hint="eastAsia" w:cs="宋体" w:asciiTheme="minorEastAsia" w:hAnsiTheme="minorEastAsia" w:eastAsiaTheme="minorEastAsia"/>
                <w:sz w:val="20"/>
                <w:szCs w:val="20"/>
              </w:rPr>
              <w:t xml:space="preserve">检测器阵列。</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★4.检测与分选通道：支持≥35个荧光检测通道，可同时兼容常用荧光素（FITC、PE、APC、PerCP-Cy5.5、PE-Cy7、APC-Cy7、BV421、BV510等）；分选通道支持≥4路独立分选，支持 96 孔板或 384 孔板分选。可实现“单细胞分选”“纯度优先分选”“得率优先分选”等多种模式，分选速度≥10,000细胞/秒，高速分选模式下数据采集准确率≥99.5%。检测灵敏度FITC≤87MESF，PE≤29MES</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▲5.最大检测速度≥50000细胞/秒，最大分选速度≥50000细胞/秒。</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 分选纯度与得率：分选高丰度细胞（如外周血CD4+T细胞）时，纯度≥98%；分选低丰度细胞（如CD34+</w:t>
            </w:r>
            <w:r>
              <w:rPr>
                <w:rFonts w:hint="eastAsia" w:cs="宋体" w:asciiTheme="minorEastAsia" w:hAnsiTheme="minorEastAsia" w:eastAsiaTheme="minorEastAsia"/>
                <w:sz w:val="20"/>
                <w:szCs w:val="20"/>
              </w:rPr>
              <w:t xml:space="preserve">造血干祖细胞</w:t>
            </w:r>
            <w:r>
              <w:rPr>
                <w:rFonts w:hint="eastAsia" w:cs="宋体" w:asciiTheme="minorEastAsia" w:hAnsiTheme="minorEastAsia" w:eastAsiaTheme="minorEastAsia"/>
                <w:sz w:val="20"/>
                <w:szCs w:val="20"/>
              </w:rPr>
              <w:t xml:space="preserve">，占比0.1%-1%）时，纯度≥95%、得率≥85%；分选单细胞时，单个孔/管的单细胞落入率≥90%，无细胞污染率≤5%，确保下游实验样本质量。</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▲7.喷嘴种类：配备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Fonts w:hint="eastAsia" w:cs="宋体" w:asciiTheme="minorEastAsia" w:hAnsiTheme="minorEastAsia" w:eastAsiaTheme="minorEastAsia"/>
                <w:sz w:val="20"/>
                <w:szCs w:val="20"/>
              </w:rPr>
              <w:t xml:space="preserve">。</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样本处理：支持样本体积范围50μL-5mL，兼容标准流式管（12×75mm）；具备样本自动混匀功能，防止细胞沉淀；支持4-37℃样本温度控制（温度精度±0.5℃），维持细胞活性；样本间交叉污染率≤0.1%，分选后细胞存活率≥90%（</w:t>
            </w:r>
            <w:r>
              <w:rPr>
                <w:rFonts w:hint="eastAsia" w:cs="宋体" w:asciiTheme="minorEastAsia" w:hAnsiTheme="minorEastAsia" w:eastAsiaTheme="minorEastAsia"/>
                <w:sz w:val="20"/>
                <w:szCs w:val="20"/>
              </w:rPr>
              <w:t xml:space="preserve">台盼蓝</w:t>
            </w:r>
            <w:r>
              <w:rPr>
                <w:rFonts w:hint="eastAsia" w:cs="宋体" w:asciiTheme="minorEastAsia" w:hAnsiTheme="minorEastAsia" w:eastAsiaTheme="minorEastAsia"/>
                <w:sz w:val="20"/>
                <w:szCs w:val="20"/>
              </w:rPr>
              <w:t xml:space="preserve">染色法检测）。</w:t>
            </w:r>
            <w:r/>
          </w:p>
          <w:p>
            <w:pPr>
              <w:rPr>
                <w:rFonts w:hint="eastAsia" w:cs="宋体" w:asciiTheme="minorEastAsia" w:hAnsiTheme="minorEastAsia" w:eastAsiaTheme="minorEastAsia"/>
                <w:b/>
                <w:bCs/>
                <w:color w:val="ee0000"/>
                <w:sz w:val="20"/>
                <w:szCs w:val="20"/>
              </w:rPr>
            </w:pPr>
            <w:r>
              <w:rPr>
                <w:rFonts w:hint="eastAsia" w:cs="宋体" w:asciiTheme="minorEastAsia" w:hAnsiTheme="minorEastAsia" w:eastAsiaTheme="minorEastAsia"/>
                <w:b/>
                <w:bCs/>
                <w:color w:val="ee0000"/>
                <w:sz w:val="20"/>
                <w:szCs w:val="20"/>
                <w:highlight w:val="yellow"/>
              </w:rPr>
              <w:t xml:space="preserve">9.数据处理与控制：通过滤光片切分的方式将荧光连续切分成光谱信息，并可同时在线进行光谱计算与荧光补偿计算，两种数据可以同时交互验证。配备专业分析与分选控制软件，支持实时数据采集、多维度可视化分析（散点图、等高线图、分选策略编辑图），可自定义分选逻辑（如基于多参数组合的细胞筛选）；支持FCS3.1</w:t>
            </w:r>
            <w:r>
              <w:rPr>
                <w:rFonts w:hint="eastAsia" w:cs="宋体" w:asciiTheme="minorEastAsia" w:hAnsiTheme="minorEastAsia" w:eastAsiaTheme="minorEastAsia"/>
                <w:b/>
                <w:bCs/>
                <w:color w:val="ee0000"/>
                <w:sz w:val="20"/>
                <w:szCs w:val="20"/>
                <w:highlight w:val="yellow"/>
              </w:rPr>
              <w:t xml:space="preserve">或</w:t>
            </w:r>
            <w:r>
              <w:rPr>
                <w:rFonts w:hint="eastAsia" w:cs="宋体" w:asciiTheme="minorEastAsia" w:hAnsiTheme="minorEastAsia" w:eastAsiaTheme="minorEastAsia"/>
                <w:b/>
                <w:bCs/>
                <w:color w:val="ee0000"/>
                <w:sz w:val="20"/>
                <w:szCs w:val="20"/>
                <w:highlight w:val="yellow"/>
              </w:rPr>
              <w:t xml:space="preserve">FCS3.2数据格式，可与第三</w:t>
            </w:r>
            <w:r>
              <w:rPr>
                <w:rFonts w:hint="eastAsia" w:cs="宋体" w:asciiTheme="minorEastAsia" w:hAnsiTheme="minorEastAsia" w:eastAsiaTheme="minorEastAsia"/>
                <w:b/>
                <w:bCs/>
                <w:color w:val="ee0000"/>
                <w:sz w:val="20"/>
                <w:szCs w:val="20"/>
                <w:highlight w:val="yellow"/>
              </w:rPr>
              <w:t xml:space="preserve">方分析</w:t>
            </w:r>
            <w:r>
              <w:rPr>
                <w:rFonts w:hint="eastAsia" w:cs="宋体" w:asciiTheme="minorEastAsia" w:hAnsiTheme="minorEastAsia" w:eastAsiaTheme="minorEastAsia"/>
                <w:b/>
                <w:bCs/>
                <w:color w:val="ee0000"/>
                <w:sz w:val="20"/>
                <w:szCs w:val="20"/>
                <w:highlight w:val="yellow"/>
              </w:rPr>
              <w:t xml:space="preserve">工具（</w:t>
            </w:r>
            <w:r>
              <w:rPr>
                <w:rFonts w:hint="eastAsia" w:cs="宋体" w:asciiTheme="minorEastAsia" w:hAnsiTheme="minorEastAsia" w:eastAsiaTheme="minorEastAsia"/>
                <w:b/>
                <w:bCs/>
                <w:color w:val="ee0000"/>
                <w:sz w:val="20"/>
                <w:szCs w:val="20"/>
                <w:highlight w:val="yellow"/>
              </w:rPr>
              <w:t xml:space="preserve">FlowJo</w:t>
            </w:r>
            <w:r>
              <w:rPr>
                <w:rFonts w:hint="eastAsia" w:cs="宋体" w:asciiTheme="minorEastAsia" w:hAnsiTheme="minorEastAsia" w:eastAsiaTheme="minorEastAsia"/>
                <w:b/>
                <w:bCs/>
                <w:color w:val="ee0000"/>
                <w:sz w:val="20"/>
                <w:szCs w:val="20"/>
                <w:highlight w:val="yellow"/>
              </w:rPr>
              <w:t xml:space="preserve">）对接。</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 仪器稳定性与扩展性：连续运行12小时内，核心参数（荧光信号强度、分选纯度、得率）波动范围≤2%；仪器校准后，1个月内无需重新校准即可维持检测与分选精度；平均无故障运行时间（MTBF）≥3000小时；支持后续激光器、检测器扩展。</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11. 安全性：样本</w:t>
            </w:r>
            <w:r>
              <w:rPr>
                <w:rFonts w:hint="eastAsia" w:cs="宋体" w:asciiTheme="minorEastAsia" w:hAnsiTheme="minorEastAsia" w:eastAsiaTheme="minorEastAsia"/>
                <w:sz w:val="20"/>
                <w:szCs w:val="20"/>
              </w:rPr>
              <w:t xml:space="preserve">仓采用</w:t>
            </w:r>
            <w:r>
              <w:rPr>
                <w:rFonts w:hint="eastAsia" w:cs="宋体" w:asciiTheme="minorEastAsia" w:hAnsiTheme="minorEastAsia" w:eastAsiaTheme="minorEastAsia"/>
                <w:sz w:val="20"/>
                <w:szCs w:val="20"/>
              </w:rPr>
              <w:t xml:space="preserve">防气溶胶泄漏设计，适配生物安全二级（BSL-2）实验室操作；分选废液收集系统具备密封防漏功能，符合生物安全处理规范。</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r>
        <w:trPr/>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光谱流式细胞分选仪</w:t>
            </w:r>
            <w:r/>
          </w:p>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b/>
                <w:bCs/>
                <w:color w:val="ee0000"/>
                <w:sz w:val="20"/>
                <w:szCs w:val="20"/>
              </w:rPr>
              <w:t xml:space="preserve">（核心产品）</w:t>
            </w:r>
            <w:r/>
          </w:p>
        </w:tc>
        <w:tc>
          <w:tcPr>
            <w:tcW w:w="0" w:type="auto"/>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1.仪器原理：必须采用全光谱流式细胞术，具备连续收集全波段荧光光谱并进行</w:t>
            </w:r>
            <w:r>
              <w:rPr>
                <w:rFonts w:hint="eastAsia" w:cs="宋体" w:asciiTheme="minorEastAsia" w:hAnsiTheme="minorEastAsia" w:eastAsiaTheme="minorEastAsia"/>
                <w:sz w:val="20"/>
                <w:szCs w:val="20"/>
              </w:rPr>
              <w:t xml:space="preserve">光谱解混的</w:t>
            </w:r>
            <w:r>
              <w:rPr>
                <w:rFonts w:hint="eastAsia" w:cs="宋体" w:asciiTheme="minorEastAsia" w:hAnsiTheme="minorEastAsia" w:eastAsiaTheme="minorEastAsia"/>
                <w:sz w:val="20"/>
                <w:szCs w:val="20"/>
              </w:rPr>
              <w:t xml:space="preserve">能力。</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2.激光器配置：集成固态激光器，标准配置至少包含 5 </w:t>
            </w:r>
            <w:r>
              <w:rPr>
                <w:rFonts w:hint="eastAsia" w:cs="宋体" w:asciiTheme="minorEastAsia" w:hAnsiTheme="minorEastAsia" w:eastAsiaTheme="minorEastAsia"/>
                <w:sz w:val="20"/>
                <w:szCs w:val="20"/>
              </w:rPr>
              <w:t xml:space="preserve">根独立</w:t>
            </w:r>
            <w:r>
              <w:rPr>
                <w:rFonts w:hint="eastAsia" w:cs="宋体" w:asciiTheme="minorEastAsia" w:hAnsiTheme="minorEastAsia" w:eastAsiaTheme="minorEastAsia"/>
                <w:sz w:val="20"/>
                <w:szCs w:val="20"/>
              </w:rPr>
              <w:t xml:space="preserve">激光器，350±5nm；405±5nm；488±5nm；561±5nm；637±5nm；不少于5个独立光斑，要求各激光器彼此独立，无共线重叠干扰。</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3.检测器：</w:t>
            </w:r>
            <w:r>
              <w:rPr>
                <w:rFonts w:hint="eastAsia" w:cs="宋体" w:asciiTheme="minorEastAsia" w:hAnsiTheme="minorEastAsia" w:eastAsiaTheme="minorEastAsia"/>
                <w:sz w:val="20"/>
                <w:szCs w:val="20"/>
              </w:rPr>
              <w:t xml:space="preserve">仪器标配的</w:t>
            </w:r>
            <w:r>
              <w:rPr>
                <w:rFonts w:hint="eastAsia" w:cs="宋体" w:asciiTheme="minorEastAsia" w:hAnsiTheme="minorEastAsia" w:eastAsiaTheme="minorEastAsia"/>
                <w:sz w:val="20"/>
                <w:szCs w:val="20"/>
              </w:rPr>
              <w:t xml:space="preserve">荧光信号检测器总数不低于60个，散射光通道不少于2个。所有荧光通道的电压值都可以随时、独立调整。</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4.分选原理：采用</w:t>
            </w:r>
            <w:r>
              <w:rPr>
                <w:rFonts w:hint="eastAsia" w:cs="宋体" w:asciiTheme="minorEastAsia" w:hAnsiTheme="minorEastAsia" w:eastAsiaTheme="minorEastAsia"/>
                <w:sz w:val="20"/>
                <w:szCs w:val="20"/>
              </w:rPr>
              <w:t xml:space="preserve">石英杯式</w:t>
            </w:r>
            <w:r>
              <w:rPr>
                <w:rFonts w:hint="eastAsia" w:cs="宋体" w:asciiTheme="minorEastAsia" w:hAnsiTheme="minorEastAsia" w:eastAsiaTheme="minorEastAsia"/>
                <w:sz w:val="20"/>
                <w:szCs w:val="20"/>
              </w:rPr>
              <w:t xml:space="preserve">激发或芯片激发方式。采用不间断、正压压力泵上样方式采集样本。</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5.分选纯度与回收率：在最佳条件下，对目标细胞进行分选，纯度≥98%；对比例低于1%的稀有细胞群体进行分选，回收率≥80%。</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6.喷嘴类型：</w:t>
            </w:r>
            <w:r>
              <w:rPr>
                <w:rFonts w:hint="eastAsia" w:cs="宋体" w:asciiTheme="minorEastAsia" w:hAnsiTheme="minorEastAsia" w:eastAsiaTheme="minorEastAsia"/>
                <w:sz w:val="20"/>
                <w:szCs w:val="20"/>
              </w:rPr>
              <w:t xml:space="preserve">配备</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3种喷嘴，</w:t>
            </w:r>
            <w:r>
              <w:rPr>
                <w:rFonts w:hint="eastAsia" w:cs="宋体" w:asciiTheme="minorEastAsia" w:hAnsiTheme="minorEastAsia" w:eastAsiaTheme="minorEastAsia"/>
                <w:sz w:val="20"/>
                <w:szCs w:val="20"/>
              </w:rPr>
              <w:t xml:space="preserve">包</w:t>
            </w:r>
            <w:r>
              <w:rPr>
                <w:rFonts w:hint="eastAsia" w:cs="宋体" w:asciiTheme="minorEastAsia" w:hAnsiTheme="minorEastAsia" w:eastAsiaTheme="minorEastAsia"/>
                <w:sz w:val="20"/>
                <w:szCs w:val="20"/>
              </w:rPr>
              <w:t xml:space="preserve">含85um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100um</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130um</w:t>
            </w:r>
            <w:r>
              <w:rPr>
                <w:rFonts w:hint="eastAsia" w:cs="宋体" w:asciiTheme="minorEastAsia" w:hAnsiTheme="minorEastAsia" w:eastAsiaTheme="minorEastAsia"/>
                <w:sz w:val="20"/>
                <w:szCs w:val="20"/>
              </w:rPr>
              <w:t xml:space="preserve">，可插拔并可超声清洗长期使用；切换不同尺寸后，无需任何操作、仪器自动识别和调取相应条件，即时更新为当前喷嘴所需一切设置。</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▲7.荧光灵敏度：FITC≤60 MESF；PE（488 nm）≤20 MESF；PE（561 nm）≤20 MESF；APC≤2015 MESF。</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8.集成化细胞成像功能：仪器内置集成成像模块，并可实现图像与流式数据的关联分析。</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9.</w:t>
            </w:r>
            <w:r>
              <w:rPr>
                <w:rFonts w:hint="eastAsia" w:cs="宋体" w:asciiTheme="minorEastAsia" w:hAnsiTheme="minorEastAsia" w:eastAsiaTheme="minorEastAsia"/>
                <w:sz w:val="20"/>
                <w:szCs w:val="20"/>
              </w:rPr>
              <w:t xml:space="preserve">光谱解混能力</w:t>
            </w:r>
            <w:r>
              <w:rPr>
                <w:rFonts w:hint="eastAsia" w:cs="宋体" w:asciiTheme="minorEastAsia" w:hAnsiTheme="minorEastAsia" w:eastAsiaTheme="minorEastAsia"/>
                <w:sz w:val="20"/>
                <w:szCs w:val="20"/>
              </w:rPr>
              <w:t xml:space="preserve">：随机软件需具备先进的</w:t>
            </w:r>
            <w:r>
              <w:rPr>
                <w:rFonts w:hint="eastAsia" w:cs="宋体" w:asciiTheme="minorEastAsia" w:hAnsiTheme="minorEastAsia" w:eastAsiaTheme="minorEastAsia"/>
                <w:sz w:val="20"/>
                <w:szCs w:val="20"/>
              </w:rPr>
              <w:t xml:space="preserve">光谱解混算法</w:t>
            </w:r>
            <w:r>
              <w:rPr>
                <w:rFonts w:hint="eastAsia" w:cs="宋体" w:asciiTheme="minorEastAsia" w:hAnsiTheme="minorEastAsia" w:eastAsiaTheme="minorEastAsia"/>
                <w:sz w:val="20"/>
                <w:szCs w:val="20"/>
              </w:rPr>
              <w:t xml:space="preserve">，能够稳定并准确解析不低于30种荧光染料同时标记的高维度实验面板。</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▲10.分析及分选速度：仪器的实时分析速度最高不低于15,000个/秒；在保证高纯度和高活性的条件下，仪器的最大分选速度</w:t>
            </w:r>
            <w:r>
              <w:rPr>
                <w:rFonts w:hint="eastAsia" w:cs="宋体" w:asciiTheme="minorEastAsia" w:hAnsiTheme="minorEastAsia" w:eastAsiaTheme="minorEastAsia"/>
                <w:sz w:val="20"/>
                <w:szCs w:val="20"/>
              </w:rPr>
              <w:t xml:space="preserve">不低于 15,000 </w:t>
            </w:r>
            <w:r>
              <w:rPr>
                <w:rFonts w:hint="eastAsia" w:cs="宋体" w:asciiTheme="minorEastAsia" w:hAnsiTheme="minorEastAsia" w:eastAsiaTheme="minorEastAsia"/>
                <w:sz w:val="20"/>
                <w:szCs w:val="20"/>
              </w:rPr>
              <w:t xml:space="preserve">个</w:t>
            </w:r>
            <w:r>
              <w:rPr>
                <w:rFonts w:hint="eastAsia" w:cs="宋体" w:asciiTheme="minorEastAsia" w:hAnsiTheme="minorEastAsia" w:eastAsiaTheme="minorEastAsia"/>
                <w:sz w:val="20"/>
                <w:szCs w:val="20"/>
              </w:rPr>
              <w:t xml:space="preserve">/秒。</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11. 液流支撑：提供紧凑型液流车一台，</w:t>
            </w:r>
            <w:r>
              <w:rPr>
                <w:rFonts w:hint="eastAsia" w:cs="宋体" w:asciiTheme="minorEastAsia" w:hAnsiTheme="minorEastAsia" w:eastAsiaTheme="minorEastAsia"/>
                <w:sz w:val="20"/>
                <w:szCs w:val="20"/>
              </w:rPr>
              <w:t xml:space="preserve">标配不</w:t>
            </w:r>
            <w:r>
              <w:rPr>
                <w:rFonts w:hint="eastAsia" w:cs="宋体" w:asciiTheme="minorEastAsia" w:hAnsiTheme="minorEastAsia" w:eastAsiaTheme="minorEastAsia"/>
                <w:sz w:val="20"/>
                <w:szCs w:val="20"/>
              </w:rPr>
              <w:t xml:space="preserve">小于10L的</w:t>
            </w:r>
            <w:r>
              <w:rPr>
                <w:rFonts w:hint="eastAsia" w:cs="宋体" w:asciiTheme="minorEastAsia" w:hAnsiTheme="minorEastAsia" w:eastAsiaTheme="minorEastAsia"/>
                <w:sz w:val="20"/>
                <w:szCs w:val="20"/>
              </w:rPr>
              <w:t xml:space="preserve">鞘液桶和废液桶各一个</w:t>
            </w:r>
            <w:r>
              <w:rPr>
                <w:rFonts w:hint="eastAsia" w:cs="宋体" w:asciiTheme="minorEastAsia" w:hAnsiTheme="minorEastAsia" w:eastAsiaTheme="minorEastAsia"/>
                <w:sz w:val="20"/>
                <w:szCs w:val="20"/>
              </w:rPr>
              <w:t xml:space="preserve">，能持续进行实验而无需更换鞘液。能自动完成开关机仪器的清洗工作，可对液流自动监测并有堵塞报警功能。</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▲12. 分选模式：支持4路分选，并可灵活设置为1-4个出口。</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▲13. 细胞收集方式：支持分选</w:t>
            </w:r>
            <w:r>
              <w:rPr>
                <w:rFonts w:hint="eastAsia" w:cs="宋体" w:asciiTheme="minorEastAsia" w:hAnsiTheme="minorEastAsia" w:eastAsiaTheme="minorEastAsia"/>
                <w:sz w:val="20"/>
                <w:szCs w:val="20"/>
              </w:rPr>
              <w:t xml:space="preserve">到</w:t>
            </w:r>
            <w:r>
              <w:rPr>
                <w:rFonts w:hint="eastAsia" w:cs="宋体" w:asciiTheme="minorEastAsia" w:hAnsiTheme="minorEastAsia" w:eastAsiaTheme="minorEastAsia"/>
                <w:sz w:val="20"/>
                <w:szCs w:val="20"/>
              </w:rPr>
              <w:t xml:space="preserve">多种容器，包括但不限于流式管、15</w:t>
            </w:r>
            <w:r>
              <w:rPr>
                <w:rFonts w:hint="eastAsia" w:cs="宋体" w:asciiTheme="minorEastAsia" w:hAnsiTheme="minorEastAsia" w:eastAsiaTheme="minorEastAsia"/>
                <w:sz w:val="20"/>
                <w:szCs w:val="20"/>
              </w:rPr>
              <w:t xml:space="preserve">或</w:t>
            </w:r>
            <w:r>
              <w:rPr>
                <w:rFonts w:hint="eastAsia" w:cs="宋体" w:asciiTheme="minorEastAsia" w:hAnsiTheme="minorEastAsia" w:eastAsiaTheme="minorEastAsia"/>
                <w:sz w:val="20"/>
                <w:szCs w:val="20"/>
              </w:rPr>
              <w:t xml:space="preserve">50ml离心管、96孔板、384孔板以及载玻片。</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14. 生物安全性：仪器需提供全封闭式分选系统或可安装于II级生物安全柜内的配置选项，确保操作生物危害性样本时的安全。</w:t>
            </w:r>
            <w:r/>
          </w:p>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15. 软件系统：配备专业光谱分析软件，软件需具备光谱库创建、自动解混、大数据量处理、图像与流式数据整合分析及数据导出功能。</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w:t>
            </w:r>
            <w:r/>
          </w:p>
        </w:tc>
        <w:tc>
          <w:tcPr>
            <w:tcW w:w="0" w:type="auto"/>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台</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rPr>
        <w:t xml:space="preserve">本项目核心产品为：</w:t>
      </w:r>
      <w:r>
        <w:rPr>
          <w:rFonts w:hint="eastAsia" w:ascii="宋体" w:hAnsi="宋体" w:cstheme="minorBidi"/>
          <w:b/>
          <w:bCs/>
          <w:sz w:val="24"/>
          <w:szCs w:val="22"/>
        </w:rPr>
        <w:t xml:space="preserve">光谱流式细胞分选仪</w:t>
      </w:r>
      <w:r>
        <w:rPr>
          <w:rFonts w:hint="eastAsia" w:ascii="宋体" w:hAnsi="宋体"/>
          <w:b/>
          <w:bCs/>
          <w:sz w:val="24"/>
        </w:rPr>
        <w:t xml:space="preserve">（采购清单序号4）</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1011"/>
        <w:ind w:firstLine="480"/>
        <w:spacing w:before="0" w:line="360" w:lineRule="auto"/>
        <w:rPr>
          <w:rFonts w:hint="eastAsia" w:cs="宋体"/>
        </w:rPr>
      </w:pPr>
      <w:r>
        <w:rPr>
          <w:rFonts w:hint="eastAsia" w:cs="宋体"/>
        </w:rPr>
        <w:t xml:space="preserve">1、</w:t>
      </w:r>
      <w:bookmarkStart w:id="291" w:name="_Hlk210046406"/>
      <w:r>
        <w:rPr>
          <w:rFonts w:hint="eastAsia"/>
        </w:rPr>
        <w:t xml:space="preserve">货物报价：投标报价采用固定单价形式报价，数量按实结算。所报价格包括所投货物及其备品、备件和专用工具费用、税费及包装、运至最终目的地</w:t>
      </w:r>
      <w:r>
        <w:rPr>
          <w:rFonts w:hint="eastAsia"/>
        </w:rPr>
        <w:t xml:space="preserve">的运输、仓储、保险、现场吊装、检测验收、检测费、安装调试、技术支持与培训、售后服务</w:t>
      </w:r>
      <w:r>
        <w:rPr>
          <w:rFonts w:hint="eastAsia"/>
        </w:rPr>
        <w:t xml:space="preserve">与维保及</w:t>
      </w:r>
      <w:r>
        <w:rPr>
          <w:rFonts w:hint="eastAsia"/>
        </w:rPr>
        <w:t xml:space="preserve">相关劳务支出等工作所发生的全部费用、企业利润、税金和政策性文件规定以及质</w:t>
      </w:r>
      <w:r>
        <w:rPr>
          <w:rFonts w:hint="eastAsia"/>
        </w:rPr>
        <w:t xml:space="preserve">保期间</w:t>
      </w:r>
      <w:r>
        <w:rPr>
          <w:rFonts w:hint="eastAsia"/>
        </w:rPr>
        <w:t xml:space="preserve">费用等完成本项目的一切费用。</w:t>
      </w:r>
      <w:bookmarkEnd w:id="291"/>
      <w:r/>
      <w:r/>
    </w:p>
    <w:p>
      <w:pPr>
        <w:pStyle w:val="1011"/>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2" w:name="_Toc99301425"/>
      <w:r>
        <w:rPr>
          <w:b/>
          <w:sz w:val="36"/>
          <w:szCs w:val="36"/>
        </w:rPr>
        <w:t xml:space="preserve">第六章</w:t>
      </w:r>
      <w:r>
        <w:rPr>
          <w:b/>
          <w:sz w:val="36"/>
          <w:szCs w:val="36"/>
        </w:rPr>
        <w:t xml:space="preserve">   </w:t>
      </w:r>
      <w:r>
        <w:rPr>
          <w:b/>
          <w:sz w:val="36"/>
          <w:szCs w:val="36"/>
        </w:rPr>
        <w:t xml:space="preserve">合同文本</w:t>
      </w:r>
      <w:bookmarkEnd w:id="292"/>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南医大常州医疗健康科技园新建工程一期科研平台细胞学仪器设备采购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45"/>
        <w:rPr>
          <w:rFonts w:hint="eastAsia"/>
          <w:color w:val="auto"/>
        </w:rPr>
      </w:pPr>
      <w:r>
        <w:rPr>
          <w:color w:val="auto"/>
        </w:rPr>
        <w:t xml:space="preserve"></w:t>
      </w:r>
      <w:r>
        <w:rPr>
          <w:color w:val="auto"/>
        </w:rPr>
        <w:t xml:space="preserve"></w:t>
      </w:r>
      <w:r>
        <w:rPr>
          <w:color w:val="auto"/>
        </w:rPr>
        <w:t xml:space="preserve"></w:t>
      </w:r>
      <w:r/>
    </w:p>
    <w:p>
      <w:pPr>
        <w:ind w:firstLine="480"/>
        <w:spacing w:line="420" w:lineRule="atLeast"/>
        <w:widowControl/>
        <w:rPr>
          <w:rFonts w:hint="eastAsia" w:ascii="宋体" w:hAnsi="宋体"/>
          <w:sz w:val="24"/>
        </w:rPr>
      </w:pPr>
      <w:r/>
      <w:bookmarkStart w:id="293"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南医大常州医疗健康科技园新建工程一期科研平台细胞学仪器设备采购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ascii="宋体" w:hAnsi="宋体"/>
          <w:sz w:val="24"/>
        </w:rPr>
        <w:t xml:space="preserve">本项目为南医大常州医疗健康科技园新建工程一期科研平台细胞学仪器设备采购（包含流式细胞检测仪、光谱流式细胞检测仪、流式细胞分选仪、光谱成像流式细胞分选仪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南医大常州医疗健康科技园新建工程一期科研平台细胞学仪器设备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120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w:t>
      </w:r>
      <w:r>
        <w:rPr>
          <w:rFonts w:hint="eastAsia" w:ascii="宋体" w:hAnsi="宋体"/>
          <w:sz w:val="24"/>
        </w:rPr>
        <w:t xml:space="preserve">合同</w:t>
      </w:r>
      <w:r>
        <w:rPr>
          <w:rFonts w:hint="eastAsia" w:ascii="宋体" w:hAnsi="宋体"/>
          <w:sz w:val="24"/>
        </w:rPr>
        <w:t xml:space="preserve">采用固定单价形式，数量按实结算。</w:t>
      </w:r>
      <w:r>
        <w:rPr>
          <w:rFonts w:hint="eastAsia" w:ascii="宋体" w:hAnsi="宋体"/>
          <w:sz w:val="24"/>
        </w:rPr>
        <w:t xml:space="preserve">合同单价</w:t>
      </w:r>
      <w:r>
        <w:rPr>
          <w:rFonts w:hint="eastAsia" w:ascii="宋体" w:hAnsi="宋体"/>
          <w:sz w:val="24"/>
        </w:rPr>
        <w:t xml:space="preserve">包括所投货物及其备品、备件和专用工具费用、税费及包装、运至最终目的地的运输、仓储、保险、现场吊装、检测验收、检测费、安装调试、技术支持与培训、售后服务</w:t>
      </w:r>
      <w:r>
        <w:rPr>
          <w:rFonts w:hint="eastAsia" w:ascii="宋体" w:hAnsi="宋体"/>
          <w:sz w:val="24"/>
        </w:rPr>
        <w:t xml:space="preserve">与维保及</w:t>
      </w:r>
      <w:r>
        <w:rPr>
          <w:rFonts w:hint="eastAsia" w:ascii="宋体" w:hAnsi="宋体"/>
          <w:sz w:val="24"/>
        </w:rPr>
        <w:t xml:space="preserve">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2"/>
        <w:jc w:val="left"/>
        <w:spacing w:line="420" w:lineRule="atLeast"/>
        <w:widowControl/>
        <w:rPr>
          <w:rFonts w:hint="eastAsia" w:ascii="宋体" w:hAnsi="宋体"/>
          <w:sz w:val="24"/>
          <w:lang w:val="zh-CN"/>
        </w:rPr>
      </w:pPr>
      <w:r>
        <w:rPr>
          <w:rFonts w:hint="eastAsia" w:ascii="宋体" w:hAnsi="宋体"/>
          <w:sz w:val="24"/>
          <w:lang w:val="zh-CN"/>
        </w:rPr>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w:t>
      </w:r>
      <w:r>
        <w:rPr>
          <w:rFonts w:ascii="宋体" w:hAnsi="宋体"/>
          <w:sz w:val="24"/>
          <w:lang w:val="zh-CN"/>
        </w:rPr>
        <w:t xml:space="preserve">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sz w:val="24"/>
        </w:rPr>
        <w:t xml:space="preserve">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sz w:val="24"/>
        </w:rPr>
      </w:pPr>
      <w:r>
        <w:rPr>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822"/>
      </w:pPr>
      <w:r/>
      <w:r/>
    </w:p>
    <w:p>
      <w:pPr>
        <w:pStyle w:val="822"/>
      </w:pPr>
      <w:r/>
      <w:r/>
    </w:p>
    <w:p>
      <w:pPr>
        <w:pStyle w:val="810"/>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810"/>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45"/>
        <w:rPr>
          <w:rFonts w:hint="eastAsia"/>
          <w:color w:val="auto"/>
        </w:rPr>
      </w:pPr>
      <w:r>
        <w:rPr>
          <w:rFonts w:hint="eastAsia"/>
          <w:color w:val="auto"/>
        </w:rPr>
      </w:r>
      <w:r/>
    </w:p>
    <w:p>
      <w:pPr>
        <w:pStyle w:val="1011"/>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pStyle w:val="1011"/>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45"/>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810"/>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45"/>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5"/>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南医大常州医疗健康科技园新建工程一期科研平台细胞学仪器设备采购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46"/>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r/>
      <w:r/>
    </w:p>
    <w:p>
      <w:pPr>
        <w:pStyle w:val="810"/>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22"/>
      </w:pPr>
      <w:r/>
      <w:r/>
    </w:p>
    <w:p>
      <w:pPr>
        <w:pStyle w:val="1221"/>
        <w:rPr>
          <w:rFonts w:hint="eastAsia" w:ascii="宋体" w:hAnsi="宋体" w:cs="楷体"/>
          <w:b/>
          <w:bCs/>
          <w:sz w:val="24"/>
          <w:szCs w:val="24"/>
        </w:rPr>
      </w:pPr>
      <w:r>
        <w:rPr>
          <w:rFonts w:hint="eastAsia"/>
          <w:b/>
          <w:bCs/>
          <w:sz w:val="24"/>
          <w:szCs w:val="24"/>
        </w:rPr>
        <w:t xml:space="preserve">注意事项：</w:t>
      </w:r>
      <w:bookmarkStart w:id="294"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pStyle w:val="1011"/>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14"/>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14"/>
        <w:ind w:firstLine="480"/>
        <w:rPr>
          <w:rFonts w:hint="eastAsia" w:ascii="宋体" w:hAnsi="宋体" w:eastAsia="宋体" w:cs="楷体"/>
          <w:sz w:val="24"/>
          <w:szCs w:val="24"/>
        </w:rPr>
      </w:pPr>
      <w:r>
        <w:rPr>
          <w:rFonts w:hint="eastAsia" w:ascii="宋体" w:hAnsi="宋体" w:eastAsia="宋体" w:cs="楷体"/>
          <w:sz w:val="24"/>
          <w:szCs w:val="24"/>
        </w:rPr>
      </w:r>
      <w:r/>
    </w:p>
    <w:p>
      <w:pPr>
        <w:pStyle w:val="1214"/>
        <w:ind w:firstLine="0"/>
      </w:pPr>
      <w:r/>
      <w:r/>
    </w:p>
    <w:p>
      <w:pPr>
        <w:pStyle w:val="1214"/>
        <w:ind w:firstLine="0"/>
      </w:pPr>
      <w:r/>
      <w:r/>
    </w:p>
    <w:p>
      <w:pPr>
        <w:pStyle w:val="1214"/>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14"/>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214"/>
        <w:ind w:firstLine="400"/>
      </w:pPr>
      <w:r/>
      <w:r/>
    </w:p>
    <w:p>
      <w:pPr>
        <w:pStyle w:val="1011"/>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214"/>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11"/>
        <w:spacing w:line="440" w:lineRule="exact"/>
        <w:rPr>
          <w:rFonts w:hint="eastAsia" w:cs="楷体"/>
        </w:rPr>
      </w:pPr>
      <w:r>
        <w:rPr>
          <w:rFonts w:hint="eastAsia" w:cs="楷体"/>
        </w:rPr>
      </w:r>
      <w:r/>
    </w:p>
    <w:p>
      <w:pPr>
        <w:pStyle w:val="1011"/>
        <w:spacing w:line="440" w:lineRule="exact"/>
        <w:rPr>
          <w:rFonts w:hint="eastAsia" w:cs="楷体"/>
        </w:rPr>
      </w:pPr>
      <w:r>
        <w:rPr>
          <w:rFonts w:hint="eastAsia" w:cs="楷体"/>
        </w:rPr>
      </w:r>
      <w:r/>
    </w:p>
    <w:p>
      <w:pPr>
        <w:pStyle w:val="1011"/>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1275"/>
        <w:spacing w:line="400" w:lineRule="exact"/>
        <w:rPr>
          <w:b/>
          <w:bCs/>
          <w:sz w:val="32"/>
          <w:szCs w:val="32"/>
        </w:rPr>
        <w:outlineLvl w:val="1"/>
      </w:pPr>
      <w:r/>
      <w:bookmarkStart w:id="295" w:name="_Toc425"/>
      <w:r/>
      <w:bookmarkStart w:id="296" w:name="_Toc29116"/>
      <w:r/>
      <w:bookmarkStart w:id="297" w:name="_Toc373054875"/>
      <w:r/>
      <w:bookmarkStart w:id="298" w:name="_Toc30417"/>
      <w:r/>
      <w:bookmarkEnd w:id="294"/>
      <w:r/>
      <w:bookmarkEnd w:id="295"/>
      <w:r/>
      <w:bookmarkEnd w:id="296"/>
      <w:r/>
      <w:bookmarkEnd w:id="297"/>
      <w:r/>
      <w:bookmarkEnd w:id="298"/>
      <w:r>
        <w:rPr>
          <w:rFonts w:hint="eastAsia"/>
          <w:b/>
          <w:bCs/>
          <w:sz w:val="32"/>
          <w:szCs w:val="32"/>
        </w:rPr>
        <w:t xml:space="preserve">六、关于符合本国产品标准的声明函（实质性格式）</w:t>
      </w:r>
      <w:r/>
    </w:p>
    <w:p>
      <w:pPr>
        <w:pStyle w:val="102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1029"/>
        <w:ind w:firstLine="420"/>
        <w:spacing w:before="0" w:beforeAutospacing="0" w:after="0" w:afterAutospacing="0" w:line="500" w:lineRule="exact"/>
        <w:rPr>
          <w:rFonts w:hint="eastAsia"/>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9"/>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1.</w:t>
      </w:r>
      <w:r>
        <w:rPr>
          <w:rStyle w:val="1042"/>
          <w:rFonts w:hint="eastAsia"/>
          <w:color w:val="ff0000"/>
          <w:u w:val="single"/>
          <w:shd w:val="clear" w:color="auto" w:fill="ffffff"/>
        </w:rPr>
        <w:t xml:space="preserve">（产品名称1）</w:t>
      </w:r>
      <w:r>
        <w:rPr>
          <w:rStyle w:val="1042"/>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1042"/>
          <w:rFonts w:hint="eastAsia"/>
          <w:color w:val="ff0000"/>
          <w:u w:val="single"/>
          <w:shd w:val="clear" w:color="auto" w:fill="ffffff"/>
        </w:rPr>
        <w:t xml:space="preserve">（厂名）</w:t>
      </w:r>
      <w:r>
        <w:rPr>
          <w:rStyle w:val="1042"/>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1042"/>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1042"/>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1042"/>
          <w:rFonts w:hint="eastAsia"/>
          <w:color w:val="ff0000"/>
          <w:u w:val="single"/>
          <w:shd w:val="clear" w:color="auto" w:fill="ffffff"/>
        </w:rPr>
        <w:t xml:space="preserve">（规定比例）</w:t>
      </w:r>
      <w:r>
        <w:rPr>
          <w:rStyle w:val="1042"/>
          <w:rFonts w:hint="eastAsia"/>
          <w:color w:val="ff0000"/>
          <w:shd w:val="clear" w:color="auto" w:fill="ffffff"/>
          <w:vertAlign w:val="superscript"/>
        </w:rPr>
        <w:t xml:space="preserve">3</w:t>
      </w:r>
      <w:r>
        <w:rPr>
          <w:rFonts w:hint="eastAsia"/>
          <w:color w:val="ff0000"/>
          <w:shd w:val="clear" w:color="auto" w:fill="ffffff"/>
        </w:rPr>
        <w:t xml:space="preserve">。</w:t>
      </w:r>
      <w:r>
        <w:rPr>
          <w:rStyle w:val="1042"/>
          <w:rFonts w:hint="eastAsia"/>
          <w:color w:val="ff0000"/>
          <w:u w:val="single"/>
          <w:shd w:val="clear" w:color="auto" w:fill="ffffff"/>
        </w:rPr>
        <w:t xml:space="preserve">（产品名称1）</w:t>
      </w:r>
      <w:r>
        <w:rPr>
          <w:rFonts w:hint="eastAsia"/>
          <w:color w:val="ff0000"/>
          <w:shd w:val="clear" w:color="auto" w:fill="ffffff"/>
        </w:rPr>
        <w:t xml:space="preserve">的</w:t>
      </w:r>
      <w:r>
        <w:rPr>
          <w:rStyle w:val="1042"/>
          <w:rFonts w:hint="eastAsia"/>
          <w:color w:val="ff0000"/>
          <w:u w:val="single"/>
          <w:shd w:val="clear" w:color="auto" w:fill="ffffff"/>
        </w:rPr>
        <w:t xml:space="preserve">（关键组件）</w:t>
      </w:r>
      <w:r>
        <w:rPr>
          <w:rStyle w:val="1042"/>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1042"/>
          <w:rFonts w:hint="eastAsia"/>
          <w:color w:val="ff0000"/>
          <w:u w:val="single"/>
          <w:shd w:val="clear" w:color="auto" w:fill="ffffff"/>
        </w:rPr>
        <w:t xml:space="preserve">（产品名称1）</w:t>
      </w:r>
      <w:r>
        <w:rPr>
          <w:rFonts w:hint="eastAsia"/>
          <w:color w:val="ff0000"/>
          <w:shd w:val="clear" w:color="auto" w:fill="ffffff"/>
        </w:rPr>
        <w:t xml:space="preserve">的</w:t>
      </w:r>
      <w:r>
        <w:rPr>
          <w:rStyle w:val="1042"/>
          <w:rFonts w:hint="eastAsia"/>
          <w:color w:val="ff0000"/>
          <w:u w:val="single"/>
          <w:shd w:val="clear" w:color="auto" w:fill="ffffff"/>
        </w:rPr>
        <w:t xml:space="preserve">（关键工序）</w:t>
      </w:r>
      <w:r>
        <w:rPr>
          <w:rStyle w:val="1042"/>
          <w:rFonts w:hint="eastAsia"/>
          <w:color w:val="ff0000"/>
          <w:shd w:val="clear" w:color="auto" w:fill="ffffff"/>
          <w:vertAlign w:val="superscript"/>
        </w:rPr>
        <w:t xml:space="preserve">5</w:t>
      </w:r>
      <w:r>
        <w:rPr>
          <w:rFonts w:hint="eastAsia"/>
          <w:color w:val="ff0000"/>
          <w:shd w:val="clear" w:color="auto" w:fill="ffffff"/>
        </w:rPr>
        <w:t xml:space="preserve">在中国境内完成。</w:t>
      </w:r>
      <w:r/>
    </w:p>
    <w:p>
      <w:pPr>
        <w:pStyle w:val="1029"/>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2.</w:t>
      </w:r>
      <w:r>
        <w:rPr>
          <w:rStyle w:val="1042"/>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1042"/>
          <w:rFonts w:hint="eastAsia"/>
          <w:color w:val="ff0000"/>
          <w:u w:val="single"/>
          <w:shd w:val="clear" w:color="auto" w:fill="ffffff"/>
        </w:rPr>
        <w:t xml:space="preserve">（厂名）</w:t>
      </w:r>
      <w:r>
        <w:rPr>
          <w:rFonts w:hint="eastAsia"/>
          <w:color w:val="ff0000"/>
          <w:shd w:val="clear" w:color="auto" w:fill="ffffff"/>
        </w:rPr>
        <w:t xml:space="preserve">，厂址为</w:t>
      </w:r>
      <w:r>
        <w:rPr>
          <w:rStyle w:val="1042"/>
          <w:rFonts w:hint="eastAsia"/>
          <w:color w:val="ff0000"/>
          <w:u w:val="single"/>
          <w:shd w:val="clear" w:color="auto" w:fill="ffffff"/>
        </w:rPr>
        <w:t xml:space="preserve">（生产厂址）</w:t>
      </w:r>
      <w:r>
        <w:rPr>
          <w:rFonts w:hint="eastAsia"/>
          <w:color w:val="ff0000"/>
          <w:shd w:val="clear" w:color="auto" w:fill="ffffff"/>
        </w:rPr>
        <w:t xml:space="preserve">。</w:t>
      </w:r>
      <w:r>
        <w:rPr>
          <w:rStyle w:val="1042"/>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1042"/>
          <w:rFonts w:hint="eastAsia"/>
          <w:color w:val="ff0000"/>
          <w:u w:val="single"/>
          <w:shd w:val="clear" w:color="auto" w:fill="ffffff"/>
        </w:rPr>
        <w:t xml:space="preserve">（规定比例）</w:t>
      </w:r>
      <w:r>
        <w:rPr>
          <w:rFonts w:hint="eastAsia"/>
          <w:color w:val="ff0000"/>
          <w:shd w:val="clear" w:color="auto" w:fill="ffffff"/>
        </w:rPr>
        <w:t xml:space="preserve">。</w:t>
      </w:r>
      <w:r>
        <w:rPr>
          <w:rStyle w:val="1042"/>
          <w:rFonts w:hint="eastAsia"/>
          <w:color w:val="ff0000"/>
          <w:u w:val="single"/>
          <w:shd w:val="clear" w:color="auto" w:fill="ffffff"/>
        </w:rPr>
        <w:t xml:space="preserve">（产品名称2）</w:t>
      </w:r>
      <w:r>
        <w:rPr>
          <w:rFonts w:hint="eastAsia"/>
          <w:color w:val="ff0000"/>
          <w:shd w:val="clear" w:color="auto" w:fill="ffffff"/>
        </w:rPr>
        <w:t xml:space="preserve">的</w:t>
      </w:r>
      <w:r>
        <w:rPr>
          <w:rStyle w:val="1042"/>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1042"/>
          <w:rFonts w:hint="eastAsia"/>
          <w:color w:val="ff0000"/>
          <w:u w:val="single"/>
          <w:shd w:val="clear" w:color="auto" w:fill="ffffff"/>
        </w:rPr>
        <w:t xml:space="preserve">（产品名称1）</w:t>
      </w:r>
      <w:r>
        <w:rPr>
          <w:rFonts w:hint="eastAsia"/>
          <w:color w:val="ff0000"/>
          <w:shd w:val="clear" w:color="auto" w:fill="ffffff"/>
        </w:rPr>
        <w:t xml:space="preserve">的</w:t>
      </w:r>
      <w:r>
        <w:rPr>
          <w:rStyle w:val="1042"/>
          <w:rFonts w:hint="eastAsia"/>
          <w:color w:val="ff0000"/>
          <w:u w:val="single"/>
          <w:shd w:val="clear" w:color="auto" w:fill="ffffff"/>
        </w:rPr>
        <w:t xml:space="preserve">（关键工序）</w:t>
      </w:r>
      <w:r>
        <w:rPr>
          <w:rFonts w:hint="eastAsia"/>
          <w:color w:val="ff0000"/>
          <w:shd w:val="clear" w:color="auto" w:fill="ffffff"/>
        </w:rPr>
        <w:t xml:space="preserve">在中国境内完成。</w:t>
      </w:r>
      <w:r/>
    </w:p>
    <w:p>
      <w:pPr>
        <w:pStyle w:val="1029"/>
        <w:ind w:firstLine="420"/>
        <w:spacing w:before="0" w:beforeAutospacing="0" w:after="0" w:afterAutospacing="0" w:line="500" w:lineRule="exact"/>
        <w:rPr>
          <w:rFonts w:hint="eastAsia"/>
          <w:color w:val="ff0000"/>
        </w:rPr>
      </w:pPr>
      <w:r>
        <w:rPr>
          <w:rFonts w:hint="eastAsia"/>
          <w:color w:val="ff0000"/>
          <w:shd w:val="clear" w:color="auto" w:fill="ffffff"/>
        </w:rPr>
        <w:t xml:space="preserve">……</w:t>
      </w:r>
      <w:r/>
    </w:p>
    <w:p>
      <w:pPr>
        <w:pStyle w:val="1029"/>
        <w:ind w:firstLine="420"/>
        <w:spacing w:before="0" w:beforeAutospacing="0" w:after="0" w:afterAutospacing="0" w:line="500" w:lineRule="exact"/>
        <w:rPr>
          <w:rFonts w:hint="eastAsia"/>
          <w:color w:val="ff0000"/>
        </w:rPr>
      </w:pPr>
      <w:r>
        <w:rPr>
          <w:rFonts w:hint="eastAsia"/>
          <w:color w:val="ff0000"/>
          <w:shd w:val="clear" w:color="auto" w:fill="ffffff"/>
        </w:rPr>
        <w:t xml:space="preserve">本公司（单位）对上述声明内容的真实性负责。如有虚假，愿承担相应法律责任。</w:t>
      </w:r>
      <w:r/>
    </w:p>
    <w:p>
      <w:pPr>
        <w:pStyle w:val="1029"/>
        <w:spacing w:before="0" w:beforeAutospacing="0" w:after="0" w:afterAutospacing="0" w:line="500" w:lineRule="exact"/>
        <w:rPr>
          <w:rFonts w:hint="eastAsia"/>
          <w:color w:val="ff0000"/>
        </w:rPr>
      </w:pPr>
      <w:r>
        <w:rPr>
          <w:rFonts w:hint="eastAsia"/>
          <w:color w:val="ff0000"/>
        </w:rPr>
      </w:r>
      <w:r/>
    </w:p>
    <w:p>
      <w:pPr>
        <w:pStyle w:val="1029"/>
        <w:ind w:firstLine="3960"/>
        <w:spacing w:before="0" w:beforeAutospacing="0" w:after="0" w:afterAutospacing="0" w:line="500" w:lineRule="exact"/>
        <w:rPr>
          <w:rFonts w:hint="eastAsia"/>
          <w:color w:val="ff0000"/>
        </w:rPr>
      </w:pPr>
      <w:r>
        <w:rPr>
          <w:rFonts w:hint="eastAsia"/>
          <w:color w:val="ff0000"/>
          <w:shd w:val="clear" w:color="auto" w:fill="ffffff"/>
        </w:rPr>
        <w:t xml:space="preserve">公司（单位）名称（盖章）：　        </w:t>
      </w:r>
      <w:r/>
    </w:p>
    <w:p>
      <w:pPr>
        <w:pStyle w:val="1029"/>
        <w:jc w:val="center"/>
        <w:spacing w:before="0" w:beforeAutospacing="0" w:after="0" w:afterAutospacing="0" w:line="500" w:lineRule="exact"/>
        <w:rPr>
          <w:rFonts w:hint="eastAsia"/>
          <w:color w:val="ff0000"/>
        </w:rPr>
      </w:pPr>
      <w:r>
        <w:rPr>
          <w:rFonts w:hint="eastAsia"/>
          <w:color w:val="ff0000"/>
          <w:shd w:val="clear" w:color="auto" w:fill="ffffff"/>
        </w:rPr>
        <w:t xml:space="preserve">                                日期：　   年　  月　  日         </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__________________</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1.产品如有型号，请在“产品名称”栏一并填写。</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2.生产厂名与厂址应与生产厂营业执照载明的相关信息保持一致。</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3.该产品的中国境内生产的组件成本占比相关要求实施前，“规定比例”栏可不填，下同。</w:t>
      </w:r>
      <w:r/>
    </w:p>
    <w:p>
      <w:pPr>
        <w:pStyle w:val="1029"/>
        <w:spacing w:before="0" w:beforeAutospacing="0" w:after="0" w:afterAutospacing="0" w:line="500" w:lineRule="exact"/>
        <w:rPr>
          <w:rFonts w:hint="eastAsia"/>
          <w:color w:val="ff0000"/>
        </w:rPr>
      </w:pPr>
      <w:r>
        <w:rPr>
          <w:rFonts w:hint="eastAsia"/>
          <w:color w:val="ff0000"/>
          <w:shd w:val="clear" w:color="auto" w:fill="ffffff"/>
        </w:rPr>
        <w:t xml:space="preserve">4.该产品的关键组件要求实施前，“关键组件”栏可不填，下同。</w:t>
      </w:r>
      <w:r/>
    </w:p>
    <w:p>
      <w:pPr>
        <w:pStyle w:val="1029"/>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5.该产品的关键工序要求实施前，“关键工序”栏可不填，下同。</w:t>
      </w:r>
      <w:r/>
    </w:p>
    <w:p>
      <w:pPr>
        <w:pStyle w:val="1029"/>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6.用</w:t>
      </w:r>
      <w:r>
        <w:rPr>
          <w:rFonts w:hint="eastAsia"/>
          <w:color w:val="ff0000"/>
          <w:shd w:val="clear" w:color="auto" w:fill="ffffff"/>
        </w:rPr>
        <w:t xml:space="preserve">斜线划除的</w:t>
      </w:r>
      <w:r>
        <w:rPr>
          <w:rFonts w:hint="eastAsia"/>
          <w:color w:val="ff0000"/>
          <w:shd w:val="clear" w:color="auto" w:fill="ffffff"/>
        </w:rPr>
        <w:t xml:space="preserve">地方无需填写。</w:t>
      </w:r>
      <w:r/>
    </w:p>
    <w:p>
      <w:pPr>
        <w:pStyle w:val="1029"/>
        <w:spacing w:before="0" w:beforeAutospacing="0" w:after="0" w:afterAutospacing="0" w:line="500" w:lineRule="exact"/>
        <w:rPr>
          <w:rFonts w:hint="eastAsia"/>
          <w:color w:val="ff0000"/>
          <w:shd w:val="clear" w:color="auto" w:fill="ffffff"/>
        </w:rPr>
      </w:pPr>
      <w:r>
        <w:rPr>
          <w:rFonts w:hint="eastAsia"/>
          <w:color w:val="ff0000"/>
          <w:shd w:val="clear" w:color="auto" w:fill="ffffff"/>
        </w:rPr>
      </w:r>
      <w:r/>
    </w:p>
    <w:p>
      <w:pPr>
        <w:ind w:firstLine="2890"/>
        <w:spacing w:line="400" w:lineRule="exact"/>
        <w:rPr>
          <w:b/>
          <w:spacing w:val="20"/>
          <w:sz w:val="32"/>
          <w:szCs w:val="32"/>
        </w:rPr>
        <w:outlineLvl w:val="1"/>
      </w:pPr>
      <w:r>
        <w:rPr>
          <w:rFonts w:hint="eastAsia"/>
          <w:b/>
          <w:spacing w:val="20"/>
          <w:sz w:val="32"/>
          <w:szCs w:val="32"/>
        </w:rPr>
        <w:t xml:space="preserve">七</w:t>
      </w:r>
      <w:r>
        <w:rPr>
          <w:rFonts w:hint="eastAsia"/>
          <w:b/>
          <w:spacing w:val="20"/>
          <w:sz w:val="32"/>
          <w:szCs w:val="32"/>
        </w:rPr>
        <w:t xml:space="preserve">、项目实施方案</w:t>
      </w:r>
      <w:r>
        <w:rPr>
          <w:rFonts w:hint="eastAsia"/>
          <w:b/>
          <w:spacing w:val="20"/>
          <w:sz w:val="32"/>
          <w:szCs w:val="32"/>
        </w:rPr>
        <w:t xml:space="preserve"> </w:t>
      </w:r>
      <w:r/>
    </w:p>
    <w:p>
      <w:pPr>
        <w:pStyle w:val="1011"/>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45"/>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221"/>
      </w:pPr>
      <w:r/>
      <w:r/>
    </w:p>
    <w:p>
      <w:pPr>
        <w:pStyle w:val="1221"/>
      </w:pPr>
      <w:r/>
      <w:r/>
    </w:p>
    <w:p>
      <w:pPr>
        <w:pStyle w:val="1221"/>
      </w:pPr>
      <w:r/>
      <w:r/>
    </w:p>
    <w:p>
      <w:pPr>
        <w:pStyle w:val="1221"/>
      </w:pPr>
      <w:r/>
      <w:r/>
    </w:p>
    <w:p>
      <w:pPr>
        <w:ind w:firstLine="2529"/>
        <w:spacing w:line="400" w:lineRule="exact"/>
        <w:rPr>
          <w:b/>
          <w:spacing w:val="20"/>
          <w:sz w:val="32"/>
          <w:szCs w:val="32"/>
        </w:rPr>
        <w:outlineLvl w:val="1"/>
      </w:pPr>
      <w:r>
        <w:rPr>
          <w:rFonts w:hint="eastAsia"/>
          <w:b/>
          <w:spacing w:val="20"/>
          <w:sz w:val="32"/>
          <w:szCs w:val="32"/>
        </w:rPr>
        <w:t xml:space="preserve">八</w:t>
      </w:r>
      <w:r>
        <w:rPr>
          <w:rFonts w:hint="eastAsia"/>
          <w:b/>
          <w:spacing w:val="20"/>
          <w:sz w:val="32"/>
          <w:szCs w:val="32"/>
        </w:rPr>
        <w:t xml:space="preserve">、基本服务承诺书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45"/>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221"/>
      </w:p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w:t>
      </w:r>
      <w:r>
        <w:rPr>
          <w:rFonts w:hint="eastAsia"/>
          <w:b/>
          <w:spacing w:val="20"/>
          <w:sz w:val="32"/>
          <w:szCs w:val="32"/>
        </w:rPr>
        <w:t xml:space="preserve">、法人授权书（实质性格式）</w:t>
      </w:r>
      <w:r/>
    </w:p>
    <w:p>
      <w:pPr>
        <w:pStyle w:val="1045"/>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299" w:name="_Hlk82432533"/>
      <w:r>
        <w:rPr>
          <w:rFonts w:hint="eastAsia" w:ascii="宋体" w:hAnsi="宋体"/>
          <w:sz w:val="24"/>
        </w:rPr>
        <w:t xml:space="preserve">代理人作出</w:t>
      </w:r>
      <w:bookmarkStart w:id="300" w:name="_Hlk89243734"/>
      <w:r>
        <w:rPr>
          <w:rFonts w:hint="eastAsia" w:ascii="宋体" w:hAnsi="宋体"/>
          <w:sz w:val="24"/>
        </w:rPr>
        <w:t xml:space="preserve">任何我单位放弃权利或承担义务的意思表示</w:t>
      </w:r>
      <w:bookmarkEnd w:id="300"/>
      <w:r>
        <w:rPr>
          <w:rFonts w:hint="eastAsia" w:ascii="宋体" w:hAnsi="宋体"/>
          <w:sz w:val="24"/>
        </w:rPr>
        <w:t xml:space="preserve">，</w:t>
      </w:r>
      <w:bookmarkStart w:id="301" w:name="_Hlk89243746"/>
      <w:r>
        <w:rPr>
          <w:rFonts w:hint="eastAsia" w:ascii="宋体" w:hAnsi="宋体"/>
          <w:sz w:val="24"/>
        </w:rPr>
        <w:t xml:space="preserve">应加盖我单位有效印章</w:t>
      </w:r>
      <w:bookmarkEnd w:id="301"/>
      <w:r>
        <w:rPr>
          <w:rFonts w:hint="eastAsia" w:ascii="宋体" w:hAnsi="宋体"/>
          <w:sz w:val="24"/>
        </w:rPr>
        <w:t xml:space="preserve">方对我单位具有约束力</w:t>
      </w:r>
      <w:bookmarkEnd w:id="299"/>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2" w:name="_格式3__银行出具的资信证明"/>
      <w:r/>
      <w:bookmarkStart w:id="303" w:name="_Hlt26671380"/>
      <w:r/>
      <w:bookmarkStart w:id="304" w:name="_Hlt26955070"/>
      <w:r/>
      <w:bookmarkEnd w:id="302"/>
      <w:r/>
      <w:bookmarkEnd w:id="303"/>
      <w:r/>
      <w:bookmarkEnd w:id="304"/>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14"/>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221"/>
      </w:pPr>
      <w:r/>
      <w:r/>
    </w:p>
    <w:p>
      <w:pPr>
        <w:jc w:val="center"/>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一</w:t>
      </w:r>
      <w:r>
        <w:rPr>
          <w:rFonts w:hint="eastAsia"/>
          <w:b/>
          <w:spacing w:val="20"/>
          <w:sz w:val="32"/>
          <w:szCs w:val="32"/>
        </w:rPr>
        <w:t xml:space="preserve">、政府采购供应商信用承诺书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1"/>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二</w:t>
      </w:r>
      <w:r>
        <w:rPr>
          <w:rFonts w:hint="eastAsia"/>
          <w:b/>
          <w:spacing w:val="20"/>
          <w:sz w:val="32"/>
          <w:szCs w:val="32"/>
        </w:rPr>
        <w:t xml:space="preserve">、</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5"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5"/>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三</w:t>
      </w:r>
      <w:r>
        <w:rPr>
          <w:rFonts w:hint="eastAsia"/>
          <w:b/>
          <w:spacing w:val="20"/>
          <w:sz w:val="32"/>
          <w:szCs w:val="32"/>
        </w:rPr>
        <w:t xml:space="preserve">、投标函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6"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6"/>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11"/>
        <w:rPr>
          <w:rFonts w:ascii="Times New Roman" w:hAnsi="Times New Roman"/>
          <w:sz w:val="20"/>
          <w:szCs w:val="20"/>
        </w:rPr>
      </w:pPr>
      <w:r>
        <w:rPr>
          <w:rFonts w:ascii="Times New Roman" w:hAnsi="Times New Roman"/>
          <w:sz w:val="20"/>
          <w:szCs w:val="20"/>
        </w:rPr>
      </w:r>
      <w:r/>
    </w:p>
    <w:p>
      <w:pPr>
        <w:pStyle w:val="1011"/>
        <w:rPr>
          <w:rFonts w:hint="eastAsia"/>
        </w:rPr>
      </w:pPr>
      <w:r>
        <w:rPr>
          <w:rFonts w:hint="eastAsia"/>
        </w:rPr>
      </w:r>
      <w:r/>
    </w:p>
    <w:p>
      <w:pPr>
        <w:pStyle w:val="1011"/>
        <w:rPr>
          <w:rFonts w:hint="eastAsia"/>
        </w:rPr>
      </w:pPr>
      <w:r>
        <w:rPr>
          <w:rFonts w:hint="eastAsia"/>
        </w:rPr>
      </w:r>
      <w:r/>
    </w:p>
    <w:p>
      <w:pPr>
        <w:jc w:val="center"/>
        <w:rPr>
          <w:b/>
          <w:spacing w:val="20"/>
          <w:sz w:val="32"/>
          <w:szCs w:val="32"/>
        </w:rPr>
      </w:pPr>
      <w:r>
        <w:rPr>
          <w:b/>
          <w:spacing w:val="20"/>
          <w:sz w:val="32"/>
          <w:szCs w:val="32"/>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四</w:t>
      </w:r>
      <w:r>
        <w:rPr>
          <w:rFonts w:hint="eastAsia"/>
          <w:b/>
          <w:spacing w:val="20"/>
          <w:sz w:val="32"/>
          <w:szCs w:val="32"/>
        </w:rPr>
        <w:t xml:space="preserve">、技术偏离表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221"/>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w:t>
      </w:r>
      <w:r>
        <w:rPr>
          <w:rFonts w:hint="eastAsia"/>
          <w:b/>
          <w:bCs/>
          <w:sz w:val="32"/>
          <w:szCs w:val="32"/>
        </w:rPr>
        <w:t xml:space="preserve">五</w:t>
      </w:r>
      <w:r>
        <w:rPr>
          <w:rFonts w:hint="eastAsia"/>
          <w:b/>
          <w:bCs/>
          <w:sz w:val="32"/>
          <w:szCs w:val="32"/>
        </w:rPr>
        <w:t xml:space="preserve">、合同条款偏离表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w:t>
      </w:r>
      <w:r>
        <w:rPr>
          <w:rFonts w:hint="eastAsia"/>
          <w:b/>
          <w:sz w:val="30"/>
          <w:szCs w:val="30"/>
        </w:rPr>
        <w:t xml:space="preserve">六</w:t>
      </w:r>
      <w:r>
        <w:rPr>
          <w:rFonts w:hint="eastAsia"/>
          <w:b/>
          <w:sz w:val="30"/>
          <w:szCs w:val="30"/>
        </w:rPr>
        <w:t xml:space="preserve">、采购需求偏离表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w:t>
      </w:r>
      <w:r>
        <w:rPr>
          <w:rFonts w:hint="eastAsia"/>
          <w:b/>
          <w:spacing w:val="20"/>
          <w:sz w:val="32"/>
          <w:szCs w:val="32"/>
        </w:rPr>
        <w:t xml:space="preserve">七</w:t>
      </w:r>
      <w:r>
        <w:rPr>
          <w:rFonts w:hint="eastAsia"/>
          <w:b/>
          <w:spacing w:val="20"/>
          <w:sz w:val="32"/>
          <w:szCs w:val="32"/>
        </w:rPr>
        <w:t xml:space="preserve">、其他格式材料</w:t>
      </w:r>
      <w:r/>
    </w:p>
    <w:p>
      <w:pPr>
        <w:pStyle w:val="1045"/>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bCs/>
          <w:color w:val="auto"/>
        </w:rPr>
      </w:pPr>
      <w:r>
        <w:rPr>
          <w:rFonts w:hint="eastAsia" w:ascii="宋体" w:hAnsi="宋体"/>
          <w:bCs/>
          <w:color w:val="auto"/>
        </w:rPr>
      </w:r>
      <w:r/>
    </w:p>
    <w:p>
      <w:pPr>
        <w:pStyle w:val="1045"/>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45"/>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45"/>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45"/>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221"/>
      </w:pPr>
      <w:r/>
      <w:r/>
    </w:p>
    <w:p>
      <w:pPr>
        <w:pStyle w:val="1045"/>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p>
      <w:pPr>
        <w:pStyle w:val="1045"/>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1040"/>
      </w:rPr>
      <w:framePr w:wrap="around" w:vAnchor="text" w:hAnchor="margin" w:xAlign="right" w:y="1"/>
    </w:pPr>
    <w:r/>
    <w:r/>
  </w:p>
  <w:p>
    <w:pPr>
      <w:pStyle w:val="856"/>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1040"/>
      </w:rPr>
      <w:framePr w:wrap="around" w:vAnchor="text" w:hAnchor="margin" w:xAlign="right" w:y="1"/>
    </w:pPr>
    <w:r>
      <w:rPr>
        <w:rStyle w:val="1040"/>
      </w:rPr>
      <w:fldChar w:fldCharType="begin"/>
    </w:r>
    <w:r>
      <w:rPr>
        <w:rStyle w:val="1040"/>
      </w:rPr>
      <w:instrText xml:space="preserve">PAGE  </w:instrText>
    </w:r>
    <w:r>
      <w:rPr>
        <w:rStyle w:val="1040"/>
      </w:rPr>
      <w:fldChar w:fldCharType="end"/>
    </w:r>
    <w:r/>
  </w:p>
  <w:p>
    <w:pPr>
      <w:pStyle w:val="856"/>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6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2"/>
      <w:isLgl w:val="false"/>
      <w:suff w:val="nothing"/>
      <w:lvlText w:val="%1.%2.%3.%4.%5.%6　"/>
      <w:lvlJc w:val="left"/>
      <w:pPr>
        <w:ind w:left="-25" w:firstLine="0"/>
      </w:pPr>
      <w:rPr>
        <w:rFonts w:ascii="Times New Roman" w:hAnsi="Times New Roman" w:eastAsia="宋体"/>
        <w:b/>
        <w:i w:val="0"/>
        <w:sz w:val="28"/>
      </w:rPr>
    </w:lvl>
    <w:lvl w:ilvl="6">
      <w:start w:val="1"/>
      <w:numFmt w:val="lowerLetter"/>
      <w:pStyle w:val="1125"/>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88"/>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06"/>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4">
    <w:multiLevelType w:val="hybridMultilevel"/>
    <w:lvl w:ilvl="0">
      <w:start w:val="1"/>
      <w:numFmt w:val="lowerLetter"/>
      <w:pStyle w:val="114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5">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074"/>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119"/>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7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172"/>
      <w:isLgl w:val="false"/>
      <w:suff w:val="tab"/>
      <w:lvlText w:val="%1"/>
      <w:lvlJc w:val="left"/>
      <w:pPr>
        <w:ind w:left="680" w:hanging="680"/>
      </w:pPr>
      <w:rPr>
        <w:rFonts w:hint="eastAsia" w:ascii="宋体" w:hAnsi="宋体" w:eastAsia="宋体"/>
      </w:rPr>
    </w:lvl>
    <w:lvl w:ilvl="1">
      <w:start w:val="1"/>
      <w:numFmt w:val="decimal"/>
      <w:pStyle w:val="1173"/>
      <w:isLgl w:val="false"/>
      <w:suff w:val="tab"/>
      <w:lvlText w:val="%1.%2"/>
      <w:lvlJc w:val="left"/>
      <w:pPr>
        <w:ind w:left="851" w:hanging="851"/>
      </w:pPr>
      <w:rPr>
        <w:rFonts w:hint="eastAsia" w:ascii="宋体" w:hAnsi="宋体" w:eastAsia="宋体"/>
        <w:color w:val="000000"/>
      </w:rPr>
    </w:lvl>
    <w:lvl w:ilvl="2">
      <w:start w:val="1"/>
      <w:numFmt w:val="decimal"/>
      <w:pStyle w:val="11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8"/>
  </w:num>
  <w:num w:numId="2">
    <w:abstractNumId w:val="16"/>
  </w:num>
  <w:num w:numId="3">
    <w:abstractNumId w:val="18"/>
  </w:num>
  <w:num w:numId="4">
    <w:abstractNumId w:val="13"/>
  </w:num>
  <w:num w:numId="5">
    <w:abstractNumId w:val="17"/>
  </w:num>
  <w:num w:numId="6">
    <w:abstractNumId w:val="14"/>
  </w:num>
  <w:num w:numId="7">
    <w:abstractNumId w:val="22"/>
  </w:num>
  <w:num w:numId="8">
    <w:abstractNumId w:val="11"/>
  </w:num>
  <w:num w:numId="9">
    <w:abstractNumId w:val="10"/>
  </w:num>
  <w:num w:numId="10">
    <w:abstractNumId w:val="15"/>
  </w:num>
  <w:num w:numId="11">
    <w:abstractNumId w:val="1"/>
  </w:num>
  <w:num w:numId="12">
    <w:abstractNumId w:val="4"/>
  </w:num>
  <w:num w:numId="13">
    <w:abstractNumId w:val="19"/>
  </w:num>
  <w:num w:numId="14">
    <w:abstractNumId w:val="12"/>
  </w:num>
  <w:num w:numId="15">
    <w:abstractNumId w:val="5"/>
  </w:num>
  <w:num w:numId="16">
    <w:abstractNumId w:val="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num>
  <w:num w:numId="19">
    <w:abstractNumId w:val="9"/>
    <w:lvlOverride w:ilvl="0">
      <w:startOverride w:val="1"/>
    </w:lvlOverride>
  </w:num>
  <w:num w:numId="20">
    <w:abstractNumId w:val="0"/>
  </w:num>
  <w:num w:numId="21">
    <w:abstractNumId w:val="20"/>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Subtitle Char"/>
    <w:basedOn w:val="818"/>
    <w:link w:val="847"/>
    <w:uiPriority w:val="11"/>
    <w:rPr>
      <w:sz w:val="24"/>
      <w:szCs w:val="24"/>
    </w:rPr>
  </w:style>
  <w:style w:type="character" w:styleId="785">
    <w:name w:val="Quote Char"/>
    <w:link w:val="849"/>
    <w:uiPriority w:val="29"/>
    <w:rPr>
      <w:i/>
    </w:rPr>
  </w:style>
  <w:style w:type="character" w:styleId="786">
    <w:name w:val="Intense Quote Char"/>
    <w:link w:val="851"/>
    <w:uiPriority w:val="30"/>
    <w:rPr>
      <w:i/>
    </w:rPr>
  </w:style>
  <w:style w:type="table" w:styleId="787">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988"/>
    <w:uiPriority w:val="99"/>
    <w:rPr>
      <w:sz w:val="18"/>
    </w:rPr>
  </w:style>
  <w:style w:type="character" w:styleId="807">
    <w:name w:val="Endnote Text Char"/>
    <w:link w:val="991"/>
    <w:uiPriority w:val="99"/>
    <w:rPr>
      <w:sz w:val="20"/>
    </w:rPr>
  </w:style>
  <w:style w:type="paragraph" w:styleId="808" w:default="1">
    <w:name w:val="Normal"/>
    <w:qFormat/>
    <w:pPr>
      <w:jc w:val="both"/>
      <w:widowControl w:val="off"/>
    </w:pPr>
    <w:rPr>
      <w:sz w:val="21"/>
      <w:szCs w:val="24"/>
    </w:rPr>
  </w:style>
  <w:style w:type="paragraph" w:styleId="809">
    <w:name w:val="Heading 1"/>
    <w:basedOn w:val="808"/>
    <w:next w:val="808"/>
    <w:link w:val="821"/>
    <w:uiPriority w:val="99"/>
    <w:qFormat/>
    <w:pPr>
      <w:jc w:val="center"/>
      <w:keepLines/>
      <w:keepNext/>
      <w:spacing w:before="240" w:after="120" w:line="300" w:lineRule="auto"/>
      <w:outlineLvl w:val="0"/>
    </w:pPr>
    <w:rPr>
      <w:rFonts w:ascii="宋体"/>
      <w:b/>
      <w:sz w:val="32"/>
      <w:szCs w:val="20"/>
    </w:rPr>
  </w:style>
  <w:style w:type="paragraph" w:styleId="810">
    <w:name w:val="Heading 2"/>
    <w:basedOn w:val="808"/>
    <w:next w:val="822"/>
    <w:link w:val="824"/>
    <w:uiPriority w:val="99"/>
    <w:qFormat/>
    <w:pPr>
      <w:jc w:val="center"/>
      <w:keepLines/>
      <w:keepNext/>
      <w:spacing w:before="120" w:line="300" w:lineRule="auto"/>
      <w:outlineLvl w:val="1"/>
    </w:pPr>
    <w:rPr>
      <w:rFonts w:ascii="Arial" w:hAnsi="Arial" w:eastAsia="黑体"/>
      <w:b/>
      <w:sz w:val="30"/>
      <w:szCs w:val="20"/>
    </w:rPr>
  </w:style>
  <w:style w:type="paragraph" w:styleId="811">
    <w:name w:val="Heading 3"/>
    <w:basedOn w:val="808"/>
    <w:next w:val="808"/>
    <w:link w:val="825"/>
    <w:uiPriority w:val="99"/>
    <w:qFormat/>
    <w:pPr>
      <w:jc w:val="left"/>
      <w:keepLines/>
      <w:keepNext/>
      <w:spacing w:before="360" w:after="120"/>
      <w:outlineLvl w:val="2"/>
    </w:pPr>
    <w:rPr>
      <w:rFonts w:ascii="宋体"/>
      <w:b/>
      <w:sz w:val="24"/>
      <w:szCs w:val="20"/>
      <w:u w:val="single"/>
    </w:rPr>
  </w:style>
  <w:style w:type="paragraph" w:styleId="812">
    <w:name w:val="Heading 4"/>
    <w:basedOn w:val="808"/>
    <w:next w:val="808"/>
    <w:link w:val="826"/>
    <w:qFormat/>
    <w:pPr>
      <w:keepLines/>
      <w:keepNext/>
      <w:spacing w:before="280" w:after="290" w:line="376" w:lineRule="atLeast"/>
      <w:outlineLvl w:val="3"/>
    </w:pPr>
    <w:rPr>
      <w:rFonts w:ascii="Arial" w:hAnsi="Arial" w:eastAsia="黑体"/>
      <w:b/>
      <w:sz w:val="28"/>
      <w:szCs w:val="20"/>
    </w:rPr>
  </w:style>
  <w:style w:type="paragraph" w:styleId="813">
    <w:name w:val="Heading 5"/>
    <w:basedOn w:val="808"/>
    <w:next w:val="808"/>
    <w:link w:val="827"/>
    <w:qFormat/>
    <w:pPr>
      <w:keepLines/>
      <w:keepNext/>
      <w:spacing w:before="280" w:after="290" w:line="376" w:lineRule="atLeast"/>
      <w:outlineLvl w:val="4"/>
    </w:pPr>
    <w:rPr>
      <w:b/>
      <w:sz w:val="28"/>
      <w:szCs w:val="20"/>
    </w:rPr>
  </w:style>
  <w:style w:type="paragraph" w:styleId="814">
    <w:name w:val="Heading 6"/>
    <w:basedOn w:val="808"/>
    <w:next w:val="808"/>
    <w:link w:val="828"/>
    <w:qFormat/>
    <w:pPr>
      <w:keepLines/>
      <w:keepNext/>
      <w:spacing w:before="240" w:after="64" w:line="320" w:lineRule="atLeast"/>
      <w:outlineLvl w:val="5"/>
    </w:pPr>
    <w:rPr>
      <w:rFonts w:ascii="Arial" w:hAnsi="Arial" w:eastAsia="黑体"/>
      <w:b/>
      <w:sz w:val="24"/>
      <w:szCs w:val="20"/>
    </w:rPr>
  </w:style>
  <w:style w:type="paragraph" w:styleId="815">
    <w:name w:val="Heading 7"/>
    <w:basedOn w:val="808"/>
    <w:next w:val="808"/>
    <w:link w:val="829"/>
    <w:qFormat/>
    <w:pPr>
      <w:keepLines/>
      <w:keepNext/>
      <w:spacing w:before="240" w:after="64" w:line="320" w:lineRule="atLeast"/>
      <w:outlineLvl w:val="6"/>
    </w:pPr>
    <w:rPr>
      <w:b/>
      <w:sz w:val="24"/>
      <w:szCs w:val="20"/>
    </w:rPr>
  </w:style>
  <w:style w:type="paragraph" w:styleId="816">
    <w:name w:val="Heading 8"/>
    <w:basedOn w:val="808"/>
    <w:next w:val="808"/>
    <w:link w:val="830"/>
    <w:qFormat/>
    <w:pPr>
      <w:keepLines/>
      <w:keepNext/>
      <w:spacing w:before="240" w:after="64" w:line="320" w:lineRule="atLeast"/>
      <w:outlineLvl w:val="7"/>
    </w:pPr>
    <w:rPr>
      <w:rFonts w:ascii="Arial" w:hAnsi="Arial" w:eastAsia="黑体"/>
      <w:sz w:val="24"/>
      <w:szCs w:val="20"/>
    </w:rPr>
  </w:style>
  <w:style w:type="paragraph" w:styleId="817">
    <w:name w:val="Heading 9"/>
    <w:basedOn w:val="808"/>
    <w:next w:val="808"/>
    <w:link w:val="831"/>
    <w:qFormat/>
    <w:pPr>
      <w:keepLines/>
      <w:keepNext/>
      <w:spacing w:before="240" w:after="64" w:line="320" w:lineRule="atLeast"/>
      <w:outlineLvl w:val="8"/>
    </w:pPr>
    <w:rPr>
      <w:rFonts w:ascii="Arial" w:hAnsi="Arial" w:eastAsia="黑体"/>
      <w:szCs w:val="20"/>
    </w:rPr>
  </w:style>
  <w:style w:type="character" w:styleId="818" w:default="1">
    <w:name w:val="Default Paragraph Font"/>
    <w:uiPriority w:val="1"/>
    <w:semiHidden/>
    <w:unhideWhenUsed/>
  </w:style>
  <w:style w:type="table" w:styleId="819" w:default="1">
    <w:name w:val="Normal Table"/>
    <w:uiPriority w:val="99"/>
    <w:semiHidden/>
    <w:unhideWhenUsed/>
    <w:tblPr>
      <w:tblInd w:w="0" w:type="dxa"/>
      <w:tblCellMar>
        <w:left w:w="108" w:type="dxa"/>
        <w:top w:w="0" w:type="dxa"/>
        <w:right w:w="108" w:type="dxa"/>
        <w:bottom w:w="0" w:type="dxa"/>
      </w:tblCellMar>
    </w:tblPr>
  </w:style>
  <w:style w:type="numbering" w:styleId="820" w:default="1">
    <w:name w:val="No List"/>
    <w:uiPriority w:val="99"/>
    <w:semiHidden/>
    <w:unhideWhenUsed/>
  </w:style>
  <w:style w:type="character" w:styleId="821" w:customStyle="1">
    <w:name w:val="标题 1 字符"/>
    <w:link w:val="809"/>
    <w:uiPriority w:val="99"/>
    <w:qFormat/>
    <w:rPr>
      <w:rFonts w:ascii="宋体"/>
      <w:b/>
      <w:sz w:val="32"/>
    </w:rPr>
  </w:style>
  <w:style w:type="paragraph" w:styleId="822">
    <w:name w:val="Normal Indent"/>
    <w:basedOn w:val="808"/>
    <w:link w:val="823"/>
    <w:uiPriority w:val="99"/>
    <w:qFormat/>
    <w:pPr>
      <w:ind w:firstLine="420"/>
      <w:jc w:val="left"/>
    </w:pPr>
    <w:rPr>
      <w:rFonts w:ascii="宋体"/>
      <w:sz w:val="24"/>
    </w:rPr>
  </w:style>
  <w:style w:type="character" w:styleId="823" w:customStyle="1">
    <w:name w:val="正文缩进 字符"/>
    <w:link w:val="822"/>
    <w:qFormat/>
    <w:rPr>
      <w:rFonts w:ascii="宋体" w:eastAsia="宋体"/>
      <w:sz w:val="24"/>
      <w:szCs w:val="24"/>
      <w:lang w:val="en-US" w:eastAsia="zh-CN" w:bidi="ar-SA"/>
    </w:rPr>
  </w:style>
  <w:style w:type="character" w:styleId="824" w:customStyle="1">
    <w:name w:val="标题 2 字符"/>
    <w:link w:val="810"/>
    <w:qFormat/>
    <w:rPr>
      <w:rFonts w:ascii="Arial" w:hAnsi="Arial" w:eastAsia="黑体"/>
      <w:b/>
      <w:sz w:val="30"/>
      <w:lang w:val="en-US" w:eastAsia="zh-CN" w:bidi="ar-SA"/>
    </w:rPr>
  </w:style>
  <w:style w:type="character" w:styleId="825" w:customStyle="1">
    <w:name w:val="标题 3 字符"/>
    <w:link w:val="811"/>
    <w:uiPriority w:val="99"/>
    <w:qFormat/>
    <w:rPr>
      <w:rFonts w:ascii="宋体" w:eastAsia="宋体"/>
      <w:b/>
      <w:sz w:val="24"/>
      <w:u w:val="single"/>
      <w:lang w:val="en-US" w:eastAsia="zh-CN" w:bidi="ar-SA"/>
    </w:rPr>
  </w:style>
  <w:style w:type="character" w:styleId="826" w:customStyle="1">
    <w:name w:val="标题 4 字符"/>
    <w:link w:val="812"/>
    <w:qFormat/>
    <w:rPr>
      <w:rFonts w:ascii="Arial" w:hAnsi="Arial" w:eastAsia="黑体"/>
      <w:b/>
      <w:sz w:val="28"/>
    </w:rPr>
  </w:style>
  <w:style w:type="character" w:styleId="827" w:customStyle="1">
    <w:name w:val="标题 5 字符"/>
    <w:link w:val="813"/>
    <w:qFormat/>
    <w:rPr>
      <w:b/>
      <w:sz w:val="28"/>
    </w:rPr>
  </w:style>
  <w:style w:type="character" w:styleId="828" w:customStyle="1">
    <w:name w:val="标题 6 字符"/>
    <w:link w:val="814"/>
    <w:qFormat/>
    <w:rPr>
      <w:rFonts w:ascii="Arial" w:hAnsi="Arial" w:eastAsia="黑体"/>
      <w:b/>
      <w:sz w:val="24"/>
    </w:rPr>
  </w:style>
  <w:style w:type="character" w:styleId="829" w:customStyle="1">
    <w:name w:val="标题 7 字符"/>
    <w:link w:val="815"/>
    <w:qFormat/>
    <w:rPr>
      <w:b/>
      <w:sz w:val="24"/>
    </w:rPr>
  </w:style>
  <w:style w:type="character" w:styleId="830" w:customStyle="1">
    <w:name w:val="标题 8 字符"/>
    <w:link w:val="816"/>
    <w:qFormat/>
    <w:rPr>
      <w:rFonts w:ascii="Arial" w:hAnsi="Arial" w:eastAsia="黑体"/>
      <w:sz w:val="24"/>
    </w:rPr>
  </w:style>
  <w:style w:type="character" w:styleId="831" w:customStyle="1">
    <w:name w:val="标题 9 字符"/>
    <w:link w:val="817"/>
    <w:qFormat/>
    <w:rPr>
      <w:rFonts w:ascii="Arial" w:hAnsi="Arial" w:eastAsia="黑体"/>
      <w:sz w:val="21"/>
    </w:rPr>
  </w:style>
  <w:style w:type="character" w:styleId="832" w:customStyle="1">
    <w:name w:val="Heading 1 Char"/>
    <w:uiPriority w:val="9"/>
    <w:rPr>
      <w:rFonts w:ascii="Arial" w:hAnsi="Arial" w:eastAsia="Arial" w:cs="Arial"/>
      <w:sz w:val="40"/>
      <w:szCs w:val="40"/>
    </w:rPr>
  </w:style>
  <w:style w:type="character" w:styleId="833" w:customStyle="1">
    <w:name w:val="Heading 2 Char"/>
    <w:uiPriority w:val="9"/>
    <w:rPr>
      <w:rFonts w:ascii="Arial" w:hAnsi="Arial" w:eastAsia="Arial" w:cs="Arial"/>
      <w:sz w:val="34"/>
    </w:rPr>
  </w:style>
  <w:style w:type="character" w:styleId="834" w:customStyle="1">
    <w:name w:val="Heading 3 Char"/>
    <w:uiPriority w:val="9"/>
    <w:rPr>
      <w:rFonts w:ascii="Arial" w:hAnsi="Arial" w:eastAsia="Arial" w:cs="Arial"/>
      <w:sz w:val="30"/>
      <w:szCs w:val="30"/>
    </w:rPr>
  </w:style>
  <w:style w:type="character" w:styleId="835" w:customStyle="1">
    <w:name w:val="Heading 4 Char"/>
    <w:uiPriority w:val="9"/>
    <w:rPr>
      <w:rFonts w:ascii="Arial" w:hAnsi="Arial" w:eastAsia="Arial" w:cs="Arial"/>
      <w:b/>
      <w:bCs/>
      <w:sz w:val="26"/>
      <w:szCs w:val="26"/>
    </w:rPr>
  </w:style>
  <w:style w:type="character" w:styleId="836" w:customStyle="1">
    <w:name w:val="Heading 5 Char"/>
    <w:uiPriority w:val="9"/>
    <w:rPr>
      <w:rFonts w:ascii="Arial" w:hAnsi="Arial" w:eastAsia="Arial" w:cs="Arial"/>
      <w:b/>
      <w:bCs/>
      <w:sz w:val="24"/>
      <w:szCs w:val="24"/>
    </w:rPr>
  </w:style>
  <w:style w:type="character" w:styleId="837" w:customStyle="1">
    <w:name w:val="Heading 6 Char"/>
    <w:uiPriority w:val="9"/>
    <w:rPr>
      <w:rFonts w:ascii="Arial" w:hAnsi="Arial" w:eastAsia="Arial" w:cs="Arial"/>
      <w:b/>
      <w:bCs/>
      <w:sz w:val="22"/>
      <w:szCs w:val="22"/>
    </w:rPr>
  </w:style>
  <w:style w:type="character" w:styleId="838" w:customStyle="1">
    <w:name w:val="Heading 7 Char"/>
    <w:uiPriority w:val="9"/>
    <w:rPr>
      <w:rFonts w:ascii="Arial" w:hAnsi="Arial" w:eastAsia="Arial" w:cs="Arial"/>
      <w:b/>
      <w:bCs/>
      <w:i/>
      <w:iCs/>
      <w:sz w:val="22"/>
      <w:szCs w:val="22"/>
    </w:rPr>
  </w:style>
  <w:style w:type="character" w:styleId="839" w:customStyle="1">
    <w:name w:val="Heading 8 Char"/>
    <w:uiPriority w:val="9"/>
    <w:rPr>
      <w:rFonts w:ascii="Arial" w:hAnsi="Arial" w:eastAsia="Arial" w:cs="Arial"/>
      <w:i/>
      <w:iCs/>
      <w:sz w:val="22"/>
      <w:szCs w:val="22"/>
    </w:rPr>
  </w:style>
  <w:style w:type="character" w:styleId="840" w:customStyle="1">
    <w:name w:val="Heading 9 Char"/>
    <w:uiPriority w:val="9"/>
    <w:rPr>
      <w:rFonts w:ascii="Arial" w:hAnsi="Arial" w:eastAsia="Arial" w:cs="Arial"/>
      <w:i/>
      <w:iCs/>
      <w:sz w:val="21"/>
      <w:szCs w:val="21"/>
    </w:rPr>
  </w:style>
  <w:style w:type="paragraph" w:styleId="841">
    <w:name w:val="List Paragraph"/>
    <w:basedOn w:val="808"/>
    <w:link w:val="842"/>
    <w:uiPriority w:val="34"/>
    <w:qFormat/>
    <w:pPr>
      <w:ind w:firstLine="420"/>
    </w:pPr>
    <w:rPr>
      <w:rFonts w:ascii="Calibri" w:hAnsi="Calibri"/>
      <w:szCs w:val="22"/>
    </w:rPr>
  </w:style>
  <w:style w:type="character" w:styleId="842" w:customStyle="1">
    <w:name w:val="列表段落 字符1"/>
    <w:link w:val="841"/>
    <w:uiPriority w:val="34"/>
    <w:qFormat/>
    <w:rPr>
      <w:rFonts w:ascii="Calibri" w:hAnsi="Calibri" w:eastAsia="宋体"/>
      <w:sz w:val="21"/>
      <w:szCs w:val="22"/>
      <w:lang w:val="en-US" w:eastAsia="zh-CN" w:bidi="ar-SA"/>
    </w:rPr>
  </w:style>
  <w:style w:type="paragraph" w:styleId="843">
    <w:name w:val="No Spacing"/>
    <w:qFormat/>
    <w:pPr>
      <w:jc w:val="both"/>
      <w:widowControl w:val="off"/>
    </w:pPr>
    <w:rPr>
      <w:sz w:val="21"/>
      <w:szCs w:val="24"/>
    </w:rPr>
  </w:style>
  <w:style w:type="paragraph" w:styleId="844">
    <w:name w:val="Title"/>
    <w:basedOn w:val="808"/>
    <w:link w:val="845"/>
    <w:qFormat/>
    <w:pPr>
      <w:jc w:val="center"/>
      <w:outlineLvl w:val="0"/>
    </w:pPr>
    <w:rPr>
      <w:b/>
      <w:sz w:val="32"/>
      <w:szCs w:val="20"/>
    </w:rPr>
  </w:style>
  <w:style w:type="character" w:styleId="845" w:customStyle="1">
    <w:name w:val="标题 字符"/>
    <w:link w:val="844"/>
    <w:qFormat/>
    <w:rPr>
      <w:b/>
      <w:sz w:val="32"/>
    </w:rPr>
  </w:style>
  <w:style w:type="character" w:styleId="846" w:customStyle="1">
    <w:name w:val="Title Char"/>
    <w:uiPriority w:val="10"/>
    <w:rPr>
      <w:sz w:val="48"/>
      <w:szCs w:val="48"/>
    </w:rPr>
  </w:style>
  <w:style w:type="paragraph" w:styleId="847">
    <w:name w:val="Subtitle"/>
    <w:basedOn w:val="808"/>
    <w:next w:val="808"/>
    <w:link w:val="848"/>
    <w:uiPriority w:val="11"/>
    <w:qFormat/>
    <w:pPr>
      <w:spacing w:before="200" w:after="200"/>
    </w:pPr>
    <w:rPr>
      <w:sz w:val="24"/>
    </w:rPr>
  </w:style>
  <w:style w:type="character" w:styleId="848" w:customStyle="1">
    <w:name w:val="副标题 字符"/>
    <w:link w:val="847"/>
    <w:uiPriority w:val="11"/>
    <w:rPr>
      <w:sz w:val="24"/>
      <w:szCs w:val="24"/>
    </w:rPr>
  </w:style>
  <w:style w:type="paragraph" w:styleId="849">
    <w:name w:val="Quote"/>
    <w:basedOn w:val="808"/>
    <w:next w:val="808"/>
    <w:link w:val="850"/>
    <w:uiPriority w:val="29"/>
    <w:qFormat/>
    <w:pPr>
      <w:ind w:left="720" w:right="720"/>
    </w:pPr>
    <w:rPr>
      <w:i/>
    </w:rPr>
  </w:style>
  <w:style w:type="character" w:styleId="850" w:customStyle="1">
    <w:name w:val="引用 字符"/>
    <w:link w:val="849"/>
    <w:uiPriority w:val="29"/>
    <w:rPr>
      <w:i/>
    </w:rPr>
  </w:style>
  <w:style w:type="paragraph" w:styleId="851">
    <w:name w:val="Intense Quote"/>
    <w:basedOn w:val="808"/>
    <w:next w:val="808"/>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rPr>
      <w:i/>
    </w:rPr>
  </w:style>
  <w:style w:type="paragraph" w:styleId="853">
    <w:name w:val="Header"/>
    <w:basedOn w:val="808"/>
    <w:link w:val="854"/>
    <w:uiPriority w:val="99"/>
    <w:qFormat/>
    <w:pPr>
      <w:jc w:val="center"/>
      <w:tabs>
        <w:tab w:val="center" w:pos="4153" w:leader="none"/>
        <w:tab w:val="right" w:pos="8306" w:leader="none"/>
      </w:tabs>
      <w:pBdr>
        <w:bottom w:val="single" w:color="000000" w:sz="6" w:space="1"/>
      </w:pBdr>
    </w:pPr>
    <w:rPr>
      <w:sz w:val="18"/>
      <w:szCs w:val="18"/>
    </w:rPr>
  </w:style>
  <w:style w:type="character" w:styleId="854" w:customStyle="1">
    <w:name w:val="页眉 字符"/>
    <w:link w:val="853"/>
    <w:qFormat/>
    <w:rPr>
      <w:rFonts w:eastAsia="宋体"/>
      <w:sz w:val="18"/>
      <w:szCs w:val="18"/>
      <w:lang w:val="en-US" w:eastAsia="zh-CN" w:bidi="ar-SA"/>
    </w:rPr>
  </w:style>
  <w:style w:type="character" w:styleId="855" w:customStyle="1">
    <w:name w:val="Header Char"/>
    <w:uiPriority w:val="99"/>
  </w:style>
  <w:style w:type="paragraph" w:styleId="856">
    <w:name w:val="Footer"/>
    <w:basedOn w:val="808"/>
    <w:link w:val="857"/>
    <w:uiPriority w:val="99"/>
    <w:qFormat/>
    <w:pPr>
      <w:jc w:val="left"/>
      <w:tabs>
        <w:tab w:val="center" w:pos="4153" w:leader="none"/>
        <w:tab w:val="right" w:pos="8306" w:leader="none"/>
      </w:tabs>
    </w:pPr>
    <w:rPr>
      <w:rFonts w:ascii="宋体"/>
      <w:sz w:val="18"/>
      <w:szCs w:val="20"/>
    </w:rPr>
  </w:style>
  <w:style w:type="character" w:styleId="857" w:customStyle="1">
    <w:name w:val="页脚 字符"/>
    <w:link w:val="856"/>
    <w:uiPriority w:val="99"/>
    <w:qFormat/>
    <w:rPr>
      <w:rFonts w:ascii="宋体" w:eastAsia="宋体"/>
      <w:sz w:val="18"/>
      <w:lang w:val="en-US" w:eastAsia="zh-CN" w:bidi="ar-SA"/>
    </w:rPr>
  </w:style>
  <w:style w:type="character" w:styleId="858" w:customStyle="1">
    <w:name w:val="Footer Char"/>
    <w:uiPriority w:val="99"/>
  </w:style>
  <w:style w:type="paragraph" w:styleId="859">
    <w:name w:val="Caption"/>
    <w:basedOn w:val="808"/>
    <w:next w:val="808"/>
    <w:qFormat/>
    <w:pPr>
      <w:spacing w:line="480" w:lineRule="auto"/>
    </w:pPr>
    <w:rPr>
      <w:rFonts w:ascii="华文中宋" w:hAnsi="华文中宋" w:eastAsia="华文中宋"/>
      <w:sz w:val="36"/>
      <w:szCs w:val="20"/>
    </w:rPr>
  </w:style>
  <w:style w:type="character" w:styleId="860" w:customStyle="1">
    <w:name w:val="Caption Char"/>
    <w:uiPriority w:val="99"/>
  </w:style>
  <w:style w:type="table" w:styleId="861">
    <w:name w:val="Table Grid"/>
    <w:basedOn w:val="819"/>
    <w:uiPriority w:val="39"/>
    <w:qFormat/>
    <w:tblPr/>
  </w:style>
  <w:style w:type="table" w:styleId="86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3"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0"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1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1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1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1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1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1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17"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2"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5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9"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6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6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6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6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6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6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6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name w:val="Hyperlink"/>
    <w:uiPriority w:val="99"/>
    <w:qFormat/>
    <w:rPr>
      <w:color w:val="333333"/>
      <w:u w:val="none"/>
    </w:rPr>
  </w:style>
  <w:style w:type="paragraph" w:styleId="988">
    <w:name w:val="footnote text"/>
    <w:basedOn w:val="808"/>
    <w:link w:val="989"/>
    <w:uiPriority w:val="99"/>
    <w:semiHidden/>
    <w:unhideWhenUsed/>
    <w:pPr>
      <w:spacing w:after="40"/>
    </w:pPr>
    <w:rPr>
      <w:sz w:val="18"/>
    </w:rPr>
  </w:style>
  <w:style w:type="character" w:styleId="989" w:customStyle="1">
    <w:name w:val="脚注文本 字符"/>
    <w:link w:val="988"/>
    <w:uiPriority w:val="99"/>
    <w:rPr>
      <w:sz w:val="18"/>
    </w:rPr>
  </w:style>
  <w:style w:type="character" w:styleId="990">
    <w:name w:val="footnote reference"/>
    <w:uiPriority w:val="99"/>
    <w:unhideWhenUsed/>
    <w:rPr>
      <w:vertAlign w:val="superscript"/>
    </w:rPr>
  </w:style>
  <w:style w:type="paragraph" w:styleId="991">
    <w:name w:val="endnote text"/>
    <w:basedOn w:val="808"/>
    <w:link w:val="992"/>
    <w:uiPriority w:val="99"/>
    <w:semiHidden/>
    <w:unhideWhenUsed/>
    <w:rPr>
      <w:sz w:val="20"/>
    </w:rPr>
  </w:style>
  <w:style w:type="character" w:styleId="992" w:customStyle="1">
    <w:name w:val="尾注文本 字符"/>
    <w:link w:val="991"/>
    <w:uiPriority w:val="99"/>
    <w:rPr>
      <w:sz w:val="20"/>
    </w:rPr>
  </w:style>
  <w:style w:type="character" w:styleId="993">
    <w:name w:val="endnote reference"/>
    <w:uiPriority w:val="99"/>
    <w:semiHidden/>
    <w:unhideWhenUsed/>
    <w:rPr>
      <w:vertAlign w:val="superscript"/>
    </w:rPr>
  </w:style>
  <w:style w:type="paragraph" w:styleId="994">
    <w:name w:val="toc 1"/>
    <w:basedOn w:val="808"/>
    <w:next w:val="808"/>
    <w:uiPriority w:val="99"/>
    <w:qFormat/>
    <w:pPr>
      <w:spacing w:line="300" w:lineRule="auto"/>
      <w:tabs>
        <w:tab w:val="left" w:pos="1050" w:leader="none"/>
        <w:tab w:val="right" w:pos="8937" w:leader="dot"/>
      </w:tabs>
    </w:pPr>
    <w:rPr>
      <w:rFonts w:ascii="宋体" w:hAnsi="宋体"/>
      <w:b/>
      <w:sz w:val="24"/>
    </w:rPr>
  </w:style>
  <w:style w:type="paragraph" w:styleId="995">
    <w:name w:val="toc 2"/>
    <w:basedOn w:val="808"/>
    <w:next w:val="808"/>
    <w:uiPriority w:val="99"/>
    <w:qFormat/>
    <w:pPr>
      <w:ind w:left="420"/>
      <w:spacing w:line="312" w:lineRule="auto"/>
      <w:tabs>
        <w:tab w:val="right" w:pos="8937" w:leader="dot"/>
      </w:tabs>
    </w:pPr>
  </w:style>
  <w:style w:type="paragraph" w:styleId="996">
    <w:name w:val="toc 3"/>
    <w:basedOn w:val="808"/>
    <w:next w:val="808"/>
    <w:uiPriority w:val="99"/>
    <w:qFormat/>
    <w:pPr>
      <w:ind w:left="840"/>
    </w:pPr>
  </w:style>
  <w:style w:type="paragraph" w:styleId="997">
    <w:name w:val="toc 4"/>
    <w:basedOn w:val="808"/>
    <w:next w:val="808"/>
    <w:uiPriority w:val="99"/>
    <w:qFormat/>
    <w:pPr>
      <w:ind w:left="1260"/>
    </w:pPr>
  </w:style>
  <w:style w:type="paragraph" w:styleId="998">
    <w:name w:val="toc 5"/>
    <w:basedOn w:val="808"/>
    <w:next w:val="808"/>
    <w:uiPriority w:val="99"/>
    <w:qFormat/>
    <w:pPr>
      <w:ind w:left="1680"/>
    </w:pPr>
  </w:style>
  <w:style w:type="paragraph" w:styleId="999">
    <w:name w:val="toc 6"/>
    <w:basedOn w:val="808"/>
    <w:next w:val="808"/>
    <w:uiPriority w:val="99"/>
    <w:qFormat/>
    <w:pPr>
      <w:ind w:left="2100"/>
    </w:pPr>
  </w:style>
  <w:style w:type="paragraph" w:styleId="1000">
    <w:name w:val="toc 7"/>
    <w:basedOn w:val="808"/>
    <w:next w:val="808"/>
    <w:uiPriority w:val="99"/>
    <w:qFormat/>
    <w:pPr>
      <w:ind w:left="2520"/>
    </w:pPr>
  </w:style>
  <w:style w:type="paragraph" w:styleId="1001">
    <w:name w:val="toc 8"/>
    <w:basedOn w:val="808"/>
    <w:next w:val="808"/>
    <w:uiPriority w:val="99"/>
    <w:qFormat/>
    <w:pPr>
      <w:ind w:left="2940"/>
    </w:pPr>
  </w:style>
  <w:style w:type="paragraph" w:styleId="1002">
    <w:name w:val="toc 9"/>
    <w:basedOn w:val="808"/>
    <w:next w:val="808"/>
    <w:uiPriority w:val="99"/>
    <w:qFormat/>
    <w:pPr>
      <w:ind w:left="3360"/>
    </w:pPr>
  </w:style>
  <w:style w:type="paragraph" w:styleId="1003">
    <w:name w:val="TOC Heading"/>
    <w:uiPriority w:val="39"/>
    <w:unhideWhenUsed/>
  </w:style>
  <w:style w:type="paragraph" w:styleId="1004">
    <w:name w:val="table of figures"/>
    <w:basedOn w:val="808"/>
    <w:next w:val="808"/>
    <w:uiPriority w:val="99"/>
    <w:unhideWhenUsed/>
  </w:style>
  <w:style w:type="paragraph" w:styleId="1005">
    <w:name w:val="Document Map"/>
    <w:basedOn w:val="808"/>
    <w:link w:val="1006"/>
    <w:qFormat/>
    <w:pPr>
      <w:shd w:val="clear" w:color="auto" w:fill="000080"/>
    </w:pPr>
  </w:style>
  <w:style w:type="character" w:styleId="1006" w:customStyle="1">
    <w:name w:val="文档结构图 字符"/>
    <w:link w:val="1005"/>
    <w:qFormat/>
    <w:rPr>
      <w:sz w:val="21"/>
      <w:szCs w:val="24"/>
      <w:shd w:val="clear" w:color="auto" w:fill="000080"/>
    </w:rPr>
  </w:style>
  <w:style w:type="paragraph" w:styleId="1007">
    <w:name w:val="annotation text"/>
    <w:basedOn w:val="808"/>
    <w:link w:val="1008"/>
    <w:uiPriority w:val="99"/>
    <w:qFormat/>
    <w:pPr>
      <w:jc w:val="left"/>
    </w:pPr>
  </w:style>
  <w:style w:type="character" w:styleId="1008" w:customStyle="1">
    <w:name w:val="批注文字 字符2"/>
    <w:link w:val="1007"/>
    <w:uiPriority w:val="99"/>
    <w:qFormat/>
    <w:rPr>
      <w:sz w:val="21"/>
      <w:szCs w:val="24"/>
    </w:rPr>
  </w:style>
  <w:style w:type="paragraph" w:styleId="1009">
    <w:name w:val="Body Text 3"/>
    <w:basedOn w:val="808"/>
    <w:link w:val="1010"/>
    <w:qFormat/>
    <w:pPr>
      <w:spacing w:after="120"/>
    </w:pPr>
    <w:rPr>
      <w:sz w:val="16"/>
      <w:szCs w:val="16"/>
    </w:rPr>
  </w:style>
  <w:style w:type="character" w:styleId="1010" w:customStyle="1">
    <w:name w:val="正文文本 3 字符"/>
    <w:link w:val="1009"/>
    <w:qFormat/>
    <w:rPr>
      <w:sz w:val="16"/>
      <w:szCs w:val="16"/>
    </w:rPr>
  </w:style>
  <w:style w:type="paragraph" w:styleId="1011">
    <w:name w:val="Body Text"/>
    <w:basedOn w:val="808"/>
    <w:link w:val="1012"/>
    <w:qFormat/>
    <w:pPr>
      <w:spacing w:before="120" w:line="22" w:lineRule="atLeast"/>
      <w:tabs>
        <w:tab w:val="left" w:pos="567" w:leader="none"/>
      </w:tabs>
    </w:pPr>
    <w:rPr>
      <w:rFonts w:ascii="宋体" w:hAnsi="宋体"/>
      <w:sz w:val="24"/>
    </w:rPr>
  </w:style>
  <w:style w:type="character" w:styleId="1012" w:customStyle="1">
    <w:name w:val="正文文本 字符"/>
    <w:link w:val="1011"/>
    <w:qFormat/>
    <w:rPr>
      <w:rFonts w:ascii="宋体" w:hAnsi="宋体"/>
      <w:sz w:val="24"/>
      <w:szCs w:val="24"/>
    </w:rPr>
  </w:style>
  <w:style w:type="paragraph" w:styleId="1013">
    <w:name w:val="Body Text Indent"/>
    <w:basedOn w:val="808"/>
    <w:link w:val="1014"/>
    <w:qFormat/>
    <w:pPr>
      <w:ind w:firstLine="570"/>
      <w:spacing w:line="360" w:lineRule="auto"/>
    </w:pPr>
    <w:rPr>
      <w:sz w:val="24"/>
    </w:rPr>
  </w:style>
  <w:style w:type="character" w:styleId="1014" w:customStyle="1">
    <w:name w:val="正文文本缩进 字符"/>
    <w:link w:val="1013"/>
    <w:qFormat/>
    <w:rPr>
      <w:rFonts w:eastAsia="宋体"/>
      <w:sz w:val="24"/>
      <w:szCs w:val="24"/>
      <w:lang w:val="en-US" w:eastAsia="zh-CN" w:bidi="ar-SA"/>
    </w:rPr>
  </w:style>
  <w:style w:type="paragraph" w:styleId="1015">
    <w:name w:val="List 2"/>
    <w:basedOn w:val="808"/>
    <w:qFormat/>
    <w:pPr>
      <w:ind w:left="100" w:hanging="200"/>
    </w:pPr>
  </w:style>
  <w:style w:type="paragraph" w:styleId="1016">
    <w:name w:val="Block Text"/>
    <w:basedOn w:val="808"/>
    <w:qFormat/>
    <w:pPr>
      <w:ind w:left="480" w:right="-341" w:firstLine="513"/>
      <w:widowControl/>
    </w:pPr>
    <w:rPr>
      <w:sz w:val="24"/>
      <w:szCs w:val="20"/>
    </w:rPr>
  </w:style>
  <w:style w:type="paragraph" w:styleId="1017">
    <w:name w:val="Plain Text"/>
    <w:basedOn w:val="808"/>
    <w:link w:val="1018"/>
    <w:uiPriority w:val="99"/>
    <w:qFormat/>
    <w:rPr>
      <w:rFonts w:hint="eastAsia" w:ascii="宋体" w:hAnsi="Courier New"/>
      <w:szCs w:val="20"/>
    </w:rPr>
  </w:style>
  <w:style w:type="character" w:styleId="1018" w:customStyle="1">
    <w:name w:val="纯文本 字符2"/>
    <w:link w:val="1017"/>
    <w:uiPriority w:val="99"/>
    <w:qFormat/>
    <w:rPr>
      <w:rFonts w:hint="eastAsia" w:ascii="宋体" w:hAnsi="Courier New" w:eastAsia="宋体" w:cs="宋体"/>
      <w:sz w:val="21"/>
    </w:rPr>
  </w:style>
  <w:style w:type="paragraph" w:styleId="1019">
    <w:name w:val="Date"/>
    <w:basedOn w:val="808"/>
    <w:next w:val="808"/>
    <w:link w:val="1020"/>
    <w:uiPriority w:val="99"/>
    <w:qFormat/>
    <w:pPr>
      <w:ind w:left="100"/>
    </w:pPr>
    <w:rPr>
      <w:rFonts w:ascii="仿宋_GB2312" w:hAnsi="宋体" w:eastAsia="仿宋_GB2312"/>
      <w:color w:val="000000"/>
      <w:sz w:val="24"/>
    </w:rPr>
  </w:style>
  <w:style w:type="character" w:styleId="1020" w:customStyle="1">
    <w:name w:val="日期 字符"/>
    <w:link w:val="1019"/>
    <w:uiPriority w:val="99"/>
    <w:qFormat/>
    <w:rPr>
      <w:rFonts w:ascii="仿宋_GB2312" w:hAnsi="宋体" w:eastAsia="仿宋_GB2312"/>
      <w:color w:val="000000"/>
      <w:sz w:val="24"/>
      <w:szCs w:val="24"/>
    </w:rPr>
  </w:style>
  <w:style w:type="paragraph" w:styleId="1021">
    <w:name w:val="Body Text Indent 2"/>
    <w:basedOn w:val="808"/>
    <w:link w:val="1022"/>
    <w:qFormat/>
    <w:pPr>
      <w:ind w:firstLine="480"/>
    </w:pPr>
    <w:rPr>
      <w:rFonts w:ascii="仿宋_GB2312" w:eastAsia="仿宋_GB2312"/>
      <w:sz w:val="24"/>
    </w:rPr>
  </w:style>
  <w:style w:type="character" w:styleId="1022" w:customStyle="1">
    <w:name w:val="正文文本缩进 2 字符"/>
    <w:link w:val="1021"/>
    <w:qFormat/>
    <w:rPr>
      <w:rFonts w:ascii="仿宋_GB2312" w:eastAsia="仿宋_GB2312"/>
      <w:sz w:val="24"/>
      <w:szCs w:val="24"/>
    </w:rPr>
  </w:style>
  <w:style w:type="paragraph" w:styleId="1023">
    <w:name w:val="Balloon Text"/>
    <w:basedOn w:val="808"/>
    <w:link w:val="1024"/>
    <w:uiPriority w:val="99"/>
    <w:qFormat/>
    <w:rPr>
      <w:sz w:val="18"/>
      <w:szCs w:val="18"/>
    </w:rPr>
  </w:style>
  <w:style w:type="character" w:styleId="1024" w:customStyle="1">
    <w:name w:val="批注框文本 字符"/>
    <w:link w:val="1023"/>
    <w:uiPriority w:val="99"/>
    <w:qFormat/>
    <w:rPr>
      <w:sz w:val="18"/>
      <w:szCs w:val="18"/>
    </w:rPr>
  </w:style>
  <w:style w:type="paragraph" w:styleId="1025">
    <w:name w:val="Body Text Indent 3"/>
    <w:basedOn w:val="808"/>
    <w:link w:val="1026"/>
    <w:qFormat/>
    <w:pPr>
      <w:ind w:left="720" w:firstLine="480"/>
      <w:jc w:val="left"/>
      <w:spacing w:before="120" w:line="22" w:lineRule="atLeast"/>
    </w:pPr>
    <w:rPr>
      <w:rFonts w:ascii="宋体"/>
      <w:sz w:val="24"/>
      <w:szCs w:val="20"/>
    </w:rPr>
  </w:style>
  <w:style w:type="character" w:styleId="1026" w:customStyle="1">
    <w:name w:val="正文文本缩进 3 字符"/>
    <w:link w:val="1025"/>
    <w:qFormat/>
    <w:rPr>
      <w:rFonts w:ascii="宋体"/>
      <w:sz w:val="24"/>
    </w:rPr>
  </w:style>
  <w:style w:type="paragraph" w:styleId="1027">
    <w:name w:val="HTML Preformatted"/>
    <w:basedOn w:val="808"/>
    <w:link w:val="10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8" w:customStyle="1">
    <w:name w:val="HTML 预设格式 字符"/>
    <w:link w:val="1027"/>
    <w:qFormat/>
    <w:rPr>
      <w:rFonts w:ascii="宋体" w:hAnsi="宋体" w:cs="宋体"/>
      <w:sz w:val="24"/>
      <w:szCs w:val="24"/>
    </w:rPr>
  </w:style>
  <w:style w:type="paragraph" w:styleId="1029">
    <w:name w:val="Normal (Web)"/>
    <w:basedOn w:val="808"/>
    <w:uiPriority w:val="99"/>
    <w:unhideWhenUsed/>
    <w:qFormat/>
    <w:pPr>
      <w:jc w:val="left"/>
      <w:spacing w:before="100" w:beforeAutospacing="1" w:after="100" w:afterAutospacing="1"/>
      <w:widowControl/>
    </w:pPr>
    <w:rPr>
      <w:rFonts w:ascii="宋体" w:hAnsi="宋体" w:cs="宋体"/>
      <w:sz w:val="24"/>
    </w:rPr>
  </w:style>
  <w:style w:type="paragraph" w:styleId="1030">
    <w:name w:val="index 1"/>
    <w:basedOn w:val="808"/>
    <w:next w:val="808"/>
    <w:qFormat/>
    <w:rPr>
      <w:szCs w:val="20"/>
    </w:rPr>
  </w:style>
  <w:style w:type="paragraph" w:styleId="1031">
    <w:name w:val="index 2"/>
    <w:basedOn w:val="808"/>
    <w:next w:val="808"/>
    <w:uiPriority w:val="99"/>
    <w:qFormat/>
    <w:pPr>
      <w:ind w:left="200"/>
    </w:pPr>
    <w:rPr>
      <w:szCs w:val="20"/>
    </w:rPr>
  </w:style>
  <w:style w:type="paragraph" w:styleId="1032">
    <w:name w:val="annotation subject"/>
    <w:basedOn w:val="1007"/>
    <w:next w:val="1007"/>
    <w:link w:val="1033"/>
    <w:qFormat/>
    <w:rPr>
      <w:b/>
      <w:bCs/>
    </w:rPr>
  </w:style>
  <w:style w:type="character" w:styleId="1033" w:customStyle="1">
    <w:name w:val="批注主题 字符"/>
    <w:link w:val="1032"/>
    <w:qFormat/>
    <w:rPr>
      <w:rFonts w:ascii="Times New Roman" w:hAnsi="Times New Roman" w:eastAsia="宋体" w:cs="Times New Roman"/>
      <w:b/>
      <w:bCs/>
      <w:sz w:val="21"/>
      <w:szCs w:val="24"/>
      <w:lang w:val="en-US" w:eastAsia="zh-CN" w:bidi="ar-SA"/>
    </w:rPr>
  </w:style>
  <w:style w:type="paragraph" w:styleId="1034">
    <w:name w:val="Body Text First Indent"/>
    <w:basedOn w:val="1011"/>
    <w:link w:val="1035"/>
    <w:uiPriority w:val="99"/>
    <w:qFormat/>
    <w:pPr>
      <w:ind w:firstLine="420"/>
    </w:pPr>
  </w:style>
  <w:style w:type="character" w:styleId="1035" w:customStyle="1">
    <w:name w:val="正文文本首行缩进 字符"/>
    <w:link w:val="1034"/>
    <w:uiPriority w:val="99"/>
  </w:style>
  <w:style w:type="paragraph" w:styleId="1036">
    <w:name w:val="Body Text First Indent 2"/>
    <w:basedOn w:val="1013"/>
    <w:link w:val="1037"/>
    <w:qFormat/>
    <w:pPr>
      <w:ind w:left="420" w:firstLine="420"/>
      <w:spacing w:after="120" w:line="480" w:lineRule="exact"/>
    </w:pPr>
    <w:rPr>
      <w:szCs w:val="20"/>
    </w:rPr>
  </w:style>
  <w:style w:type="character" w:styleId="1037" w:customStyle="1">
    <w:name w:val="正文文本首行缩进 2 字符"/>
    <w:link w:val="1036"/>
    <w:qFormat/>
    <w:rPr>
      <w:rFonts w:eastAsia="宋体"/>
      <w:sz w:val="24"/>
      <w:szCs w:val="24"/>
      <w:lang w:val="en-US" w:eastAsia="zh-CN" w:bidi="ar-SA"/>
    </w:rPr>
  </w:style>
  <w:style w:type="table" w:styleId="1038" w:customStyle="1">
    <w:name w:val="中等深浅网格 1 - 强调文字颜色 21"/>
    <w:basedOn w:val="819"/>
    <w:qFormat/>
    <w:rPr>
      <w:sz w:val="21"/>
      <w:szCs w:val="24"/>
    </w:rPr>
    <w:tblPr/>
  </w:style>
  <w:style w:type="character" w:styleId="1039">
    <w:name w:val="Strong"/>
    <w:uiPriority w:val="99"/>
    <w:qFormat/>
    <w:rPr>
      <w:b/>
      <w:bCs/>
    </w:rPr>
  </w:style>
  <w:style w:type="character" w:styleId="1040">
    <w:name w:val="page number"/>
    <w:uiPriority w:val="99"/>
    <w:qFormat/>
  </w:style>
  <w:style w:type="character" w:styleId="1041">
    <w:name w:val="FollowedHyperlink"/>
    <w:uiPriority w:val="99"/>
    <w:qFormat/>
    <w:rPr>
      <w:color w:val="333333"/>
      <w:u w:val="none"/>
    </w:rPr>
  </w:style>
  <w:style w:type="character" w:styleId="1042">
    <w:name w:val="Emphasis"/>
    <w:uiPriority w:val="20"/>
    <w:qFormat/>
    <w:rPr>
      <w:color w:val="cc0033"/>
    </w:rPr>
  </w:style>
  <w:style w:type="character" w:styleId="1043">
    <w:name w:val="annotation reference"/>
    <w:qFormat/>
    <w:rPr>
      <w:sz w:val="21"/>
      <w:szCs w:val="21"/>
    </w:rPr>
  </w:style>
  <w:style w:type="character" w:styleId="1044">
    <w:name w:val="HTML Cite"/>
    <w:qFormat/>
    <w:rPr>
      <w:i/>
      <w:iCs/>
    </w:rPr>
  </w:style>
  <w:style w:type="paragraph" w:styleId="1045" w:customStyle="1">
    <w:name w:val="Default"/>
    <w:link w:val="1347"/>
    <w:qFormat/>
    <w:pPr>
      <w:widowControl w:val="off"/>
    </w:pPr>
    <w:rPr>
      <w:rFonts w:ascii="Symbol" w:hAnsi="Symbol" w:cs="Symbol"/>
      <w:color w:val="000000"/>
      <w:sz w:val="24"/>
      <w:szCs w:val="24"/>
    </w:rPr>
  </w:style>
  <w:style w:type="character" w:styleId="1046" w:customStyle="1">
    <w:name w:val="批注文字 字符"/>
    <w:uiPriority w:val="99"/>
    <w:qFormat/>
    <w:rPr>
      <w:rFonts w:ascii="Times New Roman" w:hAnsi="Times New Roman" w:eastAsia="宋体" w:cs="Times New Roman"/>
      <w:sz w:val="24"/>
      <w:lang w:val="en-US" w:eastAsia="zh-CN" w:bidi="ar-SA"/>
    </w:rPr>
  </w:style>
  <w:style w:type="character" w:styleId="1047" w:customStyle="1">
    <w:name w:val="c21"/>
    <w:qFormat/>
    <w:rPr>
      <w:rFonts w:ascii="ˎ̥" w:hAnsi="ˎ̥"/>
      <w:color w:val="000000"/>
      <w:sz w:val="20"/>
      <w:szCs w:val="20"/>
      <w:u w:val="none"/>
    </w:rPr>
  </w:style>
  <w:style w:type="character" w:styleId="1048" w:customStyle="1">
    <w:name w:val="title4"/>
    <w:qFormat/>
    <w:rPr>
      <w:b/>
      <w:bCs/>
      <w:color w:val="1d87b3"/>
      <w:sz w:val="15"/>
      <w:szCs w:val="15"/>
    </w:rPr>
  </w:style>
  <w:style w:type="character" w:styleId="1049" w:customStyle="1">
    <w:name w:val="标题 2 Char Char"/>
    <w:qFormat/>
    <w:rPr>
      <w:rFonts w:ascii="Arial" w:hAnsi="Arial" w:eastAsia="黑体"/>
      <w:b/>
      <w:bCs/>
      <w:sz w:val="32"/>
      <w:szCs w:val="32"/>
      <w:lang w:val="en-US" w:eastAsia="zh-CN" w:bidi="ar-SA"/>
    </w:rPr>
  </w:style>
  <w:style w:type="character" w:styleId="1050" w:customStyle="1">
    <w:name w:val="black1"/>
    <w:qFormat/>
    <w:rPr>
      <w:color w:val="000000"/>
    </w:rPr>
  </w:style>
  <w:style w:type="character" w:styleId="1051" w:customStyle="1">
    <w:name w:val="street-address"/>
    <w:qFormat/>
  </w:style>
  <w:style w:type="character" w:styleId="1052" w:customStyle="1">
    <w:name w:val="locality"/>
    <w:qFormat/>
  </w:style>
  <w:style w:type="character" w:styleId="1053" w:customStyle="1">
    <w:name w:val="正文文本缩进 Char1"/>
    <w:link w:val="1054"/>
    <w:qFormat/>
    <w:rPr>
      <w:rFonts w:ascii="宋体" w:hAnsi="宋体" w:eastAsia="宋体"/>
      <w:sz w:val="24"/>
      <w:szCs w:val="24"/>
      <w:lang w:bidi="ar-SA"/>
    </w:rPr>
  </w:style>
  <w:style w:type="paragraph" w:styleId="1054" w:customStyle="1">
    <w:name w:val="正文文本缩进1"/>
    <w:basedOn w:val="808"/>
    <w:link w:val="1053"/>
    <w:qFormat/>
    <w:pPr>
      <w:ind w:firstLine="480"/>
      <w:spacing w:line="480" w:lineRule="exact"/>
    </w:pPr>
    <w:rPr>
      <w:rFonts w:ascii="宋体" w:hAnsi="宋体"/>
      <w:sz w:val="24"/>
    </w:rPr>
  </w:style>
  <w:style w:type="character" w:styleId="1055" w:customStyle="1">
    <w:name w:val="Char Char11"/>
    <w:qFormat/>
    <w:rPr>
      <w:rFonts w:ascii="宋体" w:eastAsia="宋体"/>
      <w:b/>
      <w:sz w:val="24"/>
      <w:u w:val="single"/>
      <w:lang w:val="en-US" w:eastAsia="zh-CN" w:bidi="ar-SA"/>
    </w:rPr>
  </w:style>
  <w:style w:type="character" w:styleId="1056" w:customStyle="1">
    <w:name w:val="txt"/>
    <w:qFormat/>
  </w:style>
  <w:style w:type="character" w:styleId="1057" w:customStyle="1">
    <w:name w:val="正文缩进 Char Char"/>
    <w:link w:val="1058"/>
    <w:qFormat/>
    <w:rPr>
      <w:rFonts w:ascii="宋体" w:eastAsia="宋体"/>
      <w:color w:val="000000"/>
      <w:sz w:val="28"/>
      <w:lang w:bidi="ar-SA"/>
    </w:rPr>
  </w:style>
  <w:style w:type="paragraph" w:styleId="1058" w:customStyle="1">
    <w:name w:val="正文缩进1"/>
    <w:basedOn w:val="808"/>
    <w:link w:val="1057"/>
    <w:qFormat/>
    <w:pPr>
      <w:ind w:firstLine="567"/>
      <w:spacing w:line="480" w:lineRule="exact"/>
      <w:widowControl/>
    </w:pPr>
    <w:rPr>
      <w:rFonts w:ascii="宋体"/>
      <w:color w:val="000000"/>
      <w:sz w:val="28"/>
      <w:szCs w:val="20"/>
    </w:rPr>
  </w:style>
  <w:style w:type="character" w:styleId="1059" w:customStyle="1">
    <w:name w:val="普通文字1 Char1"/>
    <w:qFormat/>
    <w:rPr>
      <w:rFonts w:ascii="宋体" w:hAnsi="Courier New" w:eastAsia="宋体"/>
      <w:sz w:val="21"/>
      <w:lang w:val="en-US" w:eastAsia="zh-CN" w:bidi="ar-SA"/>
    </w:rPr>
  </w:style>
  <w:style w:type="character" w:styleId="1060" w:customStyle="1">
    <w:name w:val="chanpin1"/>
    <w:qFormat/>
    <w:rPr>
      <w:rFonts w:ascii="ˎ̥" w:hAnsi="ˎ̥"/>
      <w:color w:val="000000"/>
      <w:sz w:val="20"/>
      <w:szCs w:val="20"/>
      <w:u w:val="none"/>
    </w:rPr>
  </w:style>
  <w:style w:type="character" w:styleId="1061" w:customStyle="1">
    <w:name w:val="标题 3 Char Char"/>
    <w:qFormat/>
    <w:rPr>
      <w:rFonts w:eastAsia="宋体"/>
      <w:b/>
      <w:bCs/>
      <w:sz w:val="32"/>
      <w:szCs w:val="32"/>
      <w:lang w:val="en-US" w:eastAsia="zh-CN" w:bidi="ar-SA"/>
    </w:rPr>
  </w:style>
  <w:style w:type="character" w:styleId="1062" w:customStyle="1">
    <w:name w:val="段1 Char"/>
    <w:qFormat/>
    <w:rPr>
      <w:rFonts w:ascii="宋体" w:eastAsia="宋体"/>
      <w:sz w:val="24"/>
      <w:lang w:val="en-US" w:eastAsia="zh-CN" w:bidi="ar-SA"/>
    </w:rPr>
  </w:style>
  <w:style w:type="character" w:styleId="1063" w:customStyle="1">
    <w:name w:val="chanpin拷贝"/>
    <w:qFormat/>
  </w:style>
  <w:style w:type="character" w:styleId="1064" w:customStyle="1">
    <w:name w:val="纯文本 Char1"/>
    <w:qFormat/>
    <w:rPr>
      <w:rFonts w:ascii="宋体" w:hAnsi="Courier New" w:eastAsia="宋体"/>
      <w:sz w:val="21"/>
      <w:lang w:val="en-US" w:eastAsia="zh-CN" w:bidi="ar-SA"/>
    </w:rPr>
  </w:style>
  <w:style w:type="character" w:styleId="1065" w:customStyle="1">
    <w:name w:val="apple-style-span"/>
    <w:qFormat/>
    <w:rPr>
      <w:rFonts w:cs="Times New Roman"/>
    </w:rPr>
  </w:style>
  <w:style w:type="paragraph" w:styleId="1066" w:customStyle="1">
    <w:name w:val="二级条标题"/>
    <w:basedOn w:val="1067"/>
    <w:next w:val="808"/>
    <w:qFormat/>
    <w:pPr>
      <w:numPr>
        <w:ilvl w:val="0"/>
        <w:numId w:val="0"/>
      </w:numPr>
      <w:ind w:hanging="840"/>
      <w:outlineLvl w:val="2"/>
    </w:pPr>
    <w:rPr>
      <w:rFonts w:ascii="宋体" w:eastAsia="宋体"/>
      <w:b w:val="0"/>
    </w:rPr>
  </w:style>
  <w:style w:type="paragraph" w:styleId="1067" w:customStyle="1">
    <w:name w:val="一级条标题"/>
    <w:basedOn w:val="1068"/>
    <w:next w:val="808"/>
    <w:qFormat/>
    <w:pPr>
      <w:numPr>
        <w:ilvl w:val="1"/>
      </w:numPr>
      <w:ind w:left="0" w:hanging="840"/>
      <w:tabs>
        <w:tab w:val="left" w:pos="360" w:leader="none"/>
        <w:tab w:val="left" w:pos="840" w:leader="none"/>
      </w:tabs>
      <w:outlineLvl w:val="1"/>
    </w:pPr>
  </w:style>
  <w:style w:type="paragraph" w:styleId="1068" w:customStyle="1">
    <w:name w:val="章标题"/>
    <w:next w:val="808"/>
    <w:qFormat/>
    <w:pPr>
      <w:numPr>
        <w:numId w:val="1"/>
      </w:numPr>
      <w:ind w:left="0"/>
      <w:jc w:val="both"/>
      <w:spacing w:before="156" w:after="156" w:line="460" w:lineRule="exact"/>
      <w:outlineLvl w:val="0"/>
    </w:pPr>
    <w:rPr>
      <w:rFonts w:ascii="黑体" w:eastAsia="黑体"/>
      <w:b/>
      <w:sz w:val="28"/>
    </w:rPr>
  </w:style>
  <w:style w:type="paragraph" w:styleId="1069" w:customStyle="1">
    <w:name w:val="font7"/>
    <w:basedOn w:val="808"/>
    <w:qFormat/>
    <w:pPr>
      <w:jc w:val="left"/>
      <w:spacing w:before="100" w:beforeAutospacing="1" w:after="100" w:afterAutospacing="1"/>
      <w:widowControl/>
    </w:pPr>
    <w:rPr>
      <w:rFonts w:eastAsia="Arial Unicode MS"/>
      <w:b/>
      <w:bCs/>
      <w:color w:val="000000"/>
      <w:sz w:val="20"/>
      <w:szCs w:val="20"/>
    </w:rPr>
  </w:style>
  <w:style w:type="paragraph" w:styleId="1070" w:customStyle="1">
    <w:name w:val="字元 字元"/>
    <w:basedOn w:val="808"/>
    <w:qFormat/>
    <w:rPr>
      <w:rFonts w:ascii="Tahoma" w:hAnsi="Tahoma"/>
      <w:sz w:val="24"/>
      <w:szCs w:val="20"/>
    </w:rPr>
  </w:style>
  <w:style w:type="paragraph" w:styleId="1071" w:customStyle="1">
    <w:name w:val="Char3 Char Char Char"/>
    <w:basedOn w:val="808"/>
    <w:qFormat/>
    <w:rPr>
      <w:rFonts w:ascii="Tahoma" w:hAnsi="Tahoma"/>
      <w:sz w:val="24"/>
      <w:szCs w:val="20"/>
    </w:rPr>
  </w:style>
  <w:style w:type="paragraph" w:styleId="1072" w:customStyle="1">
    <w:name w:val="font6"/>
    <w:basedOn w:val="808"/>
    <w:qFormat/>
    <w:pPr>
      <w:jc w:val="left"/>
      <w:spacing w:before="100" w:beforeAutospacing="1" w:after="100" w:afterAutospacing="1"/>
      <w:widowControl/>
    </w:pPr>
    <w:rPr>
      <w:rFonts w:ascii="宋体" w:hAnsi="宋体" w:cs="宋体"/>
      <w:sz w:val="20"/>
      <w:szCs w:val="20"/>
    </w:rPr>
  </w:style>
  <w:style w:type="paragraph" w:styleId="1073" w:customStyle="1">
    <w:name w:val="项目编号2"/>
    <w:basedOn w:val="1074"/>
    <w:qFormat/>
    <w:pPr>
      <w:numPr>
        <w:numId w:val="3"/>
      </w:numPr>
    </w:pPr>
  </w:style>
  <w:style w:type="paragraph" w:styleId="1074" w:customStyle="1">
    <w:name w:val="项目编号1"/>
    <w:basedOn w:val="808"/>
    <w:qFormat/>
    <w:pPr>
      <w:numPr>
        <w:numId w:val="2"/>
      </w:numPr>
      <w:spacing w:before="100" w:beforeAutospacing="1" w:after="100" w:afterAutospacing="1" w:line="360" w:lineRule="auto"/>
    </w:pPr>
    <w:rPr>
      <w:sz w:val="24"/>
    </w:rPr>
  </w:style>
  <w:style w:type="paragraph" w:styleId="1075" w:customStyle="1">
    <w:name w:val="图中文字"/>
    <w:basedOn w:val="808"/>
    <w:qFormat/>
    <w:pPr>
      <w:jc w:val="center"/>
      <w:spacing w:line="0" w:lineRule="atLeast"/>
    </w:pPr>
    <w:rPr>
      <w:sz w:val="24"/>
      <w:szCs w:val="20"/>
    </w:rPr>
  </w:style>
  <w:style w:type="paragraph" w:styleId="1076" w:customStyle="1">
    <w:name w:val="xl46"/>
    <w:basedOn w:val="80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7" w:customStyle="1">
    <w:name w:val="xl25"/>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customStyle="1">
    <w:name w:val="Char2"/>
    <w:basedOn w:val="808"/>
    <w:qFormat/>
    <w:rPr>
      <w:rFonts w:ascii="Tahoma" w:hAnsi="Tahoma"/>
      <w:sz w:val="24"/>
      <w:szCs w:val="20"/>
    </w:rPr>
  </w:style>
  <w:style w:type="paragraph" w:styleId="1079" w:customStyle="1">
    <w:name w:val="xl35"/>
    <w:basedOn w:val="80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0" w:customStyle="1">
    <w:name w:val="xl40"/>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1" w:customStyle="1">
    <w:name w:val="xl52"/>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2" w:customStyle="1">
    <w:name w:val="xl43"/>
    <w:basedOn w:val="80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3" w:customStyle="1">
    <w:name w:val="background1"/>
    <w:basedOn w:val="808"/>
    <w:qFormat/>
    <w:pPr>
      <w:jc w:val="left"/>
      <w:spacing w:before="100" w:beforeAutospacing="1" w:after="100" w:afterAutospacing="1"/>
      <w:widowControl/>
    </w:pPr>
    <w:rPr>
      <w:rFonts w:ascii="宋体" w:hAnsi="宋体" w:cs="宋体"/>
      <w:sz w:val="24"/>
    </w:rPr>
  </w:style>
  <w:style w:type="paragraph" w:styleId="1084" w:customStyle="1">
    <w:name w:val="Char Char Char Char Char Char Char"/>
    <w:basedOn w:val="808"/>
    <w:qFormat/>
    <w:pPr>
      <w:ind w:firstLine="200"/>
      <w:spacing w:line="360" w:lineRule="auto"/>
    </w:pPr>
    <w:rPr>
      <w:rFonts w:eastAsia="仿宋_GB2312"/>
      <w:sz w:val="24"/>
    </w:rPr>
  </w:style>
  <w:style w:type="paragraph" w:styleId="1085" w:customStyle="1">
    <w:name w:val="xl38"/>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6" w:customStyle="1">
    <w:name w:val="xl36"/>
    <w:basedOn w:val="80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7" w:customStyle="1">
    <w:name w:val="正文 + 宋体"/>
    <w:basedOn w:val="808"/>
    <w:qFormat/>
    <w:pPr>
      <w:ind w:left="360" w:hanging="360"/>
      <w:jc w:val="left"/>
      <w:widowControl/>
    </w:pPr>
    <w:rPr>
      <w:rFonts w:ascii="宋体" w:hAnsi="宋体" w:cs="宋体"/>
      <w:b/>
      <w:bCs/>
      <w:color w:val="000000"/>
      <w:sz w:val="18"/>
      <w:szCs w:val="18"/>
    </w:rPr>
  </w:style>
  <w:style w:type="paragraph" w:styleId="1088" w:customStyle="1">
    <w:name w:val="正文列项_数字"/>
    <w:basedOn w:val="808"/>
    <w:qFormat/>
    <w:pPr>
      <w:numPr>
        <w:ilvl w:val="7"/>
        <w:numId w:val="1"/>
      </w:numPr>
      <w:ind w:left="680" w:hanging="150"/>
      <w:spacing w:line="460" w:lineRule="exact"/>
      <w:tabs>
        <w:tab w:val="clear" w:pos="860" w:leader="none"/>
      </w:tabs>
      <w:outlineLvl w:val="7"/>
    </w:pPr>
    <w:rPr>
      <w:rFonts w:ascii="宋体"/>
      <w:sz w:val="28"/>
      <w:szCs w:val="20"/>
    </w:rPr>
  </w:style>
  <w:style w:type="paragraph" w:styleId="1089" w:customStyle="1">
    <w:name w:val="xl39"/>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customStyle="1">
    <w:name w:val="xl37"/>
    <w:basedOn w:val="80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1" w:customStyle="1">
    <w:name w:val="xl32"/>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customStyle="1">
    <w:name w:val="font8"/>
    <w:basedOn w:val="808"/>
    <w:qFormat/>
    <w:pPr>
      <w:jc w:val="left"/>
      <w:spacing w:before="100" w:beforeAutospacing="1" w:after="100" w:afterAutospacing="1"/>
      <w:widowControl/>
    </w:pPr>
    <w:rPr>
      <w:sz w:val="36"/>
      <w:szCs w:val="36"/>
    </w:rPr>
  </w:style>
  <w:style w:type="paragraph" w:styleId="1093" w:customStyle="1">
    <w:name w:val="Char"/>
    <w:basedOn w:val="808"/>
    <w:qFormat/>
    <w:pPr>
      <w:tabs>
        <w:tab w:val="left" w:pos="360" w:leader="none"/>
      </w:tabs>
    </w:pPr>
    <w:rPr>
      <w:sz w:val="24"/>
    </w:rPr>
  </w:style>
  <w:style w:type="paragraph" w:styleId="1094" w:customStyle="1">
    <w:name w:val="Char Char Char Char Char Char Char Char Char Char Char Char Char Char Char Char"/>
    <w:basedOn w:val="808"/>
    <w:qFormat/>
    <w:pPr>
      <w:jc w:val="center"/>
      <w:spacing w:after="160" w:line="240" w:lineRule="exact"/>
      <w:widowControl/>
    </w:pPr>
    <w:rPr>
      <w:rFonts w:ascii="宋体" w:hAnsi="宋体"/>
      <w:b/>
      <w:sz w:val="30"/>
      <w:szCs w:val="30"/>
      <w:lang w:eastAsia="en-US"/>
    </w:rPr>
  </w:style>
  <w:style w:type="paragraph" w:styleId="1095" w:customStyle="1">
    <w:name w:val="xl45"/>
    <w:basedOn w:val="80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6" w:customStyle="1">
    <w:name w:val="Char Char1 Char Char Char Char Char Char"/>
    <w:basedOn w:val="808"/>
    <w:qFormat/>
    <w:pPr>
      <w:jc w:val="left"/>
      <w:spacing w:after="160" w:line="240" w:lineRule="exact"/>
      <w:widowControl/>
    </w:pPr>
    <w:rPr>
      <w:rFonts w:ascii="Verdana" w:hAnsi="Verdana" w:eastAsia="仿宋_GB2312"/>
      <w:sz w:val="24"/>
      <w:szCs w:val="20"/>
      <w:lang w:eastAsia="en-US"/>
    </w:rPr>
  </w:style>
  <w:style w:type="paragraph" w:styleId="1097" w:customStyle="1">
    <w:name w:val="Char Char1"/>
    <w:basedOn w:val="1005"/>
    <w:qFormat/>
    <w:rPr>
      <w:rFonts w:ascii="Tahoma" w:hAnsi="Tahoma"/>
      <w:sz w:val="24"/>
    </w:rPr>
  </w:style>
  <w:style w:type="paragraph" w:styleId="1098" w:customStyle="1">
    <w:name w:val="xl26"/>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9" w:customStyle="1">
    <w:name w:val="xl30"/>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customStyle="1">
    <w:name w:val="xl41"/>
    <w:basedOn w:val="8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1" w:customStyle="1">
    <w:name w:val="样式 宋体 五号 行距: 单倍行距"/>
    <w:basedOn w:val="808"/>
    <w:qFormat/>
    <w:pPr>
      <w:jc w:val="left"/>
    </w:pPr>
    <w:rPr>
      <w:rFonts w:ascii="宋体" w:hAnsi="宋体"/>
      <w:szCs w:val="20"/>
    </w:rPr>
  </w:style>
  <w:style w:type="paragraph" w:styleId="1102" w:customStyle="1">
    <w:name w:val="Char1 Char Char Char1"/>
    <w:basedOn w:val="808"/>
    <w:qFormat/>
    <w:rPr>
      <w:rFonts w:ascii="Tahoma" w:hAnsi="Tahoma" w:cs="仿宋_GB2312"/>
      <w:sz w:val="24"/>
      <w:szCs w:val="28"/>
    </w:rPr>
  </w:style>
  <w:style w:type="paragraph" w:styleId="1103" w:customStyle="1">
    <w:name w:val="四级条标题"/>
    <w:basedOn w:val="1104"/>
    <w:next w:val="808"/>
    <w:qFormat/>
    <w:pPr>
      <w:numPr>
        <w:ilvl w:val="4"/>
      </w:numPr>
      <w:ind w:left="0" w:hanging="840"/>
      <w:outlineLvl w:val="4"/>
    </w:pPr>
  </w:style>
  <w:style w:type="paragraph" w:styleId="1104" w:customStyle="1">
    <w:name w:val="三级条标题"/>
    <w:basedOn w:val="1066"/>
    <w:next w:val="808"/>
    <w:qFormat/>
    <w:pPr>
      <w:numPr>
        <w:ilvl w:val="3"/>
        <w:numId w:val="1"/>
      </w:numPr>
      <w:ind w:left="0" w:hanging="840"/>
      <w:outlineLvl w:val="3"/>
    </w:pPr>
  </w:style>
  <w:style w:type="paragraph" w:styleId="1105" w:customStyle="1">
    <w:name w:val="??"/>
    <w:qFormat/>
    <w:pPr>
      <w:jc w:val="both"/>
      <w:widowControl w:val="off"/>
    </w:pPr>
    <w:rPr>
      <w:sz w:val="21"/>
      <w:lang w:eastAsia="en-US"/>
    </w:rPr>
  </w:style>
  <w:style w:type="paragraph" w:styleId="1106" w:customStyle="1">
    <w:name w:val="样式 标题 2 + 宋体 五号 行距: 单倍行距"/>
    <w:basedOn w:val="81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7" w:customStyle="1">
    <w:name w:val="List Paragraph1"/>
    <w:basedOn w:val="808"/>
    <w:qFormat/>
    <w:pPr>
      <w:ind w:firstLine="420"/>
    </w:pPr>
    <w:rPr>
      <w:rFonts w:ascii="Calibri" w:hAnsi="Calibri"/>
      <w:szCs w:val="22"/>
    </w:rPr>
  </w:style>
  <w:style w:type="paragraph" w:styleId="1108" w:customStyle="1">
    <w:name w:val="项目符号1"/>
    <w:basedOn w:val="1109"/>
    <w:qFormat/>
    <w:pPr>
      <w:ind w:left="-25" w:firstLine="0"/>
    </w:pPr>
  </w:style>
  <w:style w:type="paragraph" w:styleId="1109" w:customStyle="1">
    <w:name w:val="正文文本样式"/>
    <w:basedOn w:val="808"/>
    <w:qFormat/>
    <w:pPr>
      <w:ind w:firstLine="482"/>
      <w:spacing w:line="360" w:lineRule="auto"/>
    </w:pPr>
    <w:rPr>
      <w:rFonts w:cs="宋体"/>
      <w:sz w:val="24"/>
      <w:szCs w:val="20"/>
    </w:rPr>
  </w:style>
  <w:style w:type="paragraph" w:styleId="1110" w:customStyle="1">
    <w:name w:val="xl27"/>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customStyle="1">
    <w:name w:val="font5"/>
    <w:basedOn w:val="808"/>
    <w:qFormat/>
    <w:pPr>
      <w:jc w:val="left"/>
      <w:spacing w:before="100" w:beforeAutospacing="1" w:after="100" w:afterAutospacing="1"/>
      <w:widowControl/>
    </w:pPr>
    <w:rPr>
      <w:rFonts w:ascii="宋体" w:hAnsi="宋体" w:cs="宋体"/>
      <w:sz w:val="18"/>
      <w:szCs w:val="18"/>
    </w:rPr>
  </w:style>
  <w:style w:type="paragraph" w:styleId="1112" w:customStyle="1">
    <w:name w:val="五级条标题"/>
    <w:basedOn w:val="1103"/>
    <w:next w:val="808"/>
    <w:qFormat/>
    <w:pPr>
      <w:numPr>
        <w:ilvl w:val="5"/>
      </w:numPr>
      <w:ind w:left="0" w:hanging="840"/>
      <w:outlineLvl w:val="5"/>
    </w:pPr>
  </w:style>
  <w:style w:type="paragraph" w:styleId="1113" w:customStyle="1">
    <w:name w:val="xl49"/>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4" w:customStyle="1">
    <w:name w:val="文档正文"/>
    <w:basedOn w:val="808"/>
    <w:qFormat/>
    <w:pPr>
      <w:spacing w:before="120" w:after="120" w:line="180" w:lineRule="auto"/>
    </w:pPr>
    <w:rPr>
      <w:rFonts w:ascii="Arial" w:hAnsi="Arial"/>
      <w:szCs w:val="20"/>
    </w:rPr>
  </w:style>
  <w:style w:type="paragraph" w:styleId="1115" w:customStyle="1">
    <w:name w:val="xl33"/>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6" w:customStyle="1">
    <w:name w:val="xl42"/>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7" w:customStyle="1">
    <w:name w:val="Char Char Char1 Char"/>
    <w:basedOn w:val="808"/>
    <w:uiPriority w:val="99"/>
    <w:qFormat/>
    <w:rPr>
      <w:rFonts w:ascii="Tahoma" w:hAnsi="Tahoma"/>
      <w:sz w:val="24"/>
      <w:szCs w:val="20"/>
    </w:rPr>
  </w:style>
  <w:style w:type="paragraph" w:styleId="1118" w:customStyle="1">
    <w:name w:val="xl44"/>
    <w:basedOn w:val="8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9" w:customStyle="1">
    <w:name w:val="1名"/>
    <w:basedOn w:val="808"/>
    <w:qFormat/>
    <w:pPr>
      <w:numPr>
        <w:numId w:val="5"/>
      </w:numPr>
      <w:spacing w:before="120"/>
      <w:tabs>
        <w:tab w:val="left" w:pos="360" w:leader="none"/>
      </w:tabs>
    </w:pPr>
    <w:rPr>
      <w:rFonts w:ascii="宋体"/>
      <w:sz w:val="28"/>
      <w:szCs w:val="20"/>
    </w:rPr>
  </w:style>
  <w:style w:type="paragraph" w:styleId="1120" w:customStyle="1">
    <w:name w:val="font9"/>
    <w:basedOn w:val="808"/>
    <w:qFormat/>
    <w:pPr>
      <w:jc w:val="left"/>
      <w:spacing w:before="100" w:beforeAutospacing="1" w:after="100" w:afterAutospacing="1"/>
      <w:widowControl/>
    </w:pPr>
    <w:rPr>
      <w:rFonts w:hint="eastAsia" w:ascii="宋体" w:hAnsi="宋体" w:cs="Arial Unicode MS"/>
      <w:color w:val="000000"/>
      <w:sz w:val="20"/>
      <w:szCs w:val="20"/>
    </w:rPr>
  </w:style>
  <w:style w:type="paragraph" w:styleId="1121" w:customStyle="1">
    <w:name w:val="Char Char Char1 Char1"/>
    <w:basedOn w:val="808"/>
    <w:uiPriority w:val="99"/>
    <w:qFormat/>
    <w:rPr>
      <w:rFonts w:ascii="Tahoma" w:hAnsi="Tahoma"/>
      <w:sz w:val="24"/>
      <w:szCs w:val="20"/>
    </w:rPr>
  </w:style>
  <w:style w:type="paragraph" w:styleId="1122" w:customStyle="1">
    <w:name w:val="Char Char Char Char Char Char Char Char Char Char"/>
    <w:basedOn w:val="808"/>
    <w:qFormat/>
  </w:style>
  <w:style w:type="paragraph" w:styleId="1123" w:customStyle="1">
    <w:name w:val="Char Char1 Char Char Char Char Char Char Char Char"/>
    <w:basedOn w:val="808"/>
    <w:qFormat/>
    <w:pPr>
      <w:jc w:val="left"/>
      <w:spacing w:after="160" w:line="240" w:lineRule="exact"/>
      <w:widowControl/>
    </w:pPr>
    <w:rPr>
      <w:rFonts w:ascii="Verdana" w:hAnsi="Verdana"/>
      <w:sz w:val="20"/>
      <w:szCs w:val="20"/>
      <w:lang w:eastAsia="en-US"/>
    </w:rPr>
  </w:style>
  <w:style w:type="paragraph" w:styleId="1124" w:customStyle="1">
    <w:name w:val="Char1"/>
    <w:basedOn w:val="808"/>
    <w:qFormat/>
    <w:pPr>
      <w:tabs>
        <w:tab w:val="left" w:pos="360" w:leader="none"/>
      </w:tabs>
    </w:pPr>
    <w:rPr>
      <w:sz w:val="24"/>
    </w:rPr>
  </w:style>
  <w:style w:type="paragraph" w:styleId="1125" w:customStyle="1">
    <w:name w:val="正文列项_字母"/>
    <w:basedOn w:val="808"/>
    <w:qFormat/>
    <w:pPr>
      <w:numPr>
        <w:ilvl w:val="6"/>
        <w:numId w:val="1"/>
      </w:numPr>
      <w:ind w:left="480" w:hanging="180"/>
      <w:spacing w:line="460" w:lineRule="exact"/>
      <w:tabs>
        <w:tab w:val="clear" w:pos="635" w:leader="none"/>
      </w:tabs>
      <w:outlineLvl w:val="6"/>
    </w:pPr>
    <w:rPr>
      <w:rFonts w:ascii="宋体"/>
      <w:sz w:val="28"/>
      <w:szCs w:val="20"/>
    </w:rPr>
  </w:style>
  <w:style w:type="paragraph" w:styleId="1126" w:customStyle="1">
    <w:name w:val="xl28"/>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customStyle="1">
    <w:name w:val="xl47"/>
    <w:basedOn w:val="8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customStyle="1">
    <w:name w:val="默认段落字体 Para Char Char Char Char"/>
    <w:basedOn w:val="808"/>
    <w:qFormat/>
    <w:rPr>
      <w:rFonts w:ascii="Arial" w:hAnsi="Arial" w:cs="Arial"/>
      <w:szCs w:val="21"/>
    </w:rPr>
  </w:style>
  <w:style w:type="paragraph" w:styleId="1129" w:customStyle="1">
    <w:name w:val="xl48"/>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0" w:customStyle="1">
    <w:name w:val="xl31"/>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1" w:customStyle="1">
    <w:name w:val="xl53"/>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2" w:customStyle="1">
    <w:name w:val="Char Char Char"/>
    <w:basedOn w:val="808"/>
    <w:qFormat/>
    <w:rPr>
      <w:rFonts w:ascii="Tahoma" w:hAnsi="Tahoma"/>
      <w:sz w:val="24"/>
      <w:szCs w:val="20"/>
    </w:rPr>
  </w:style>
  <w:style w:type="paragraph" w:styleId="1133" w:customStyle="1">
    <w:name w:val="xl50"/>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4" w:customStyle="1">
    <w:name w:val="缺省文本"/>
    <w:basedOn w:val="808"/>
    <w:qFormat/>
    <w:pPr>
      <w:jc w:val="left"/>
    </w:pPr>
    <w:rPr>
      <w:sz w:val="24"/>
    </w:rPr>
  </w:style>
  <w:style w:type="paragraph" w:styleId="1135" w:customStyle="1">
    <w:name w:val="Char Char Char1"/>
    <w:basedOn w:val="808"/>
    <w:qFormat/>
    <w:rPr>
      <w:rFonts w:ascii="Tahoma" w:hAnsi="Tahoma"/>
      <w:sz w:val="24"/>
      <w:szCs w:val="20"/>
    </w:rPr>
  </w:style>
  <w:style w:type="paragraph" w:styleId="1136" w:customStyle="1">
    <w:name w:val="Char Char Char Char Char Char Char1"/>
    <w:basedOn w:val="808"/>
    <w:qFormat/>
    <w:pPr>
      <w:ind w:firstLine="200"/>
      <w:spacing w:line="360" w:lineRule="auto"/>
    </w:pPr>
    <w:rPr>
      <w:rFonts w:eastAsia="仿宋_GB2312"/>
      <w:sz w:val="24"/>
    </w:rPr>
  </w:style>
  <w:style w:type="paragraph" w:styleId="1137" w:customStyle="1">
    <w:name w:val="xl51"/>
    <w:basedOn w:val="8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customStyle="1">
    <w:name w:val="样式2"/>
    <w:basedOn w:val="1030"/>
    <w:uiPriority w:val="99"/>
    <w:qFormat/>
    <w:pPr>
      <w:jc w:val="center"/>
      <w:spacing w:line="360" w:lineRule="auto"/>
    </w:pPr>
    <w:rPr>
      <w:sz w:val="24"/>
    </w:rPr>
  </w:style>
  <w:style w:type="paragraph" w:styleId="1139" w:customStyle="1">
    <w:name w:val="xl24"/>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xl29"/>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1" w:customStyle="1">
    <w:name w:val="正文 + 楷体_GB2312"/>
    <w:basedOn w:val="808"/>
    <w:qFormat/>
    <w:pPr>
      <w:jc w:val="left"/>
      <w:widowControl/>
    </w:pPr>
    <w:rPr>
      <w:rFonts w:ascii="楷体_GB2312" w:eastAsia="楷体_GB2312" w:cs="Arial"/>
      <w:sz w:val="24"/>
    </w:rPr>
  </w:style>
  <w:style w:type="paragraph" w:styleId="1142" w:customStyle="1">
    <w:name w:val="xl34"/>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3" w:customStyle="1">
    <w:name w:val="1 Char Char Char Char"/>
    <w:basedOn w:val="808"/>
    <w:qFormat/>
    <w:rPr>
      <w:rFonts w:ascii="Tahoma" w:hAnsi="Tahoma"/>
      <w:sz w:val="24"/>
      <w:szCs w:val="20"/>
    </w:rPr>
  </w:style>
  <w:style w:type="paragraph" w:styleId="1144" w:customStyle="1">
    <w:name w:val="列出段落1"/>
    <w:basedOn w:val="808"/>
    <w:qFormat/>
    <w:pPr>
      <w:ind w:firstLine="420"/>
    </w:pPr>
    <w:rPr>
      <w:rFonts w:ascii="Calibri" w:hAnsi="Calibri"/>
      <w:szCs w:val="22"/>
    </w:rPr>
  </w:style>
  <w:style w:type="paragraph" w:styleId="1145" w:customStyle="1">
    <w:name w:val="default"/>
    <w:basedOn w:val="808"/>
    <w:qFormat/>
    <w:pPr>
      <w:jc w:val="left"/>
      <w:spacing w:before="100" w:beforeAutospacing="1" w:after="100" w:afterAutospacing="1"/>
      <w:widowControl/>
    </w:pPr>
    <w:rPr>
      <w:rFonts w:ascii="宋体" w:hAnsi="宋体" w:cs="宋体"/>
      <w:sz w:val="24"/>
    </w:rPr>
  </w:style>
  <w:style w:type="paragraph" w:styleId="1146" w:customStyle="1">
    <w:name w:val="字元 字元1"/>
    <w:basedOn w:val="808"/>
    <w:qFormat/>
    <w:rPr>
      <w:rFonts w:ascii="Tahoma" w:hAnsi="Tahoma"/>
      <w:sz w:val="24"/>
      <w:szCs w:val="20"/>
    </w:rPr>
  </w:style>
  <w:style w:type="paragraph" w:styleId="1147" w:customStyle="1">
    <w:name w:val="_Style 160"/>
    <w:qFormat/>
    <w:rPr>
      <w:sz w:val="21"/>
      <w:szCs w:val="24"/>
    </w:rPr>
  </w:style>
  <w:style w:type="paragraph" w:styleId="1148" w:customStyle="1">
    <w:name w:val="项目编号3"/>
    <w:basedOn w:val="1109"/>
    <w:qFormat/>
    <w:pPr>
      <w:numPr>
        <w:numId w:val="6"/>
      </w:numPr>
    </w:pPr>
  </w:style>
  <w:style w:type="paragraph" w:styleId="1149" w:customStyle="1">
    <w:name w:val="Char21"/>
    <w:basedOn w:val="808"/>
    <w:qFormat/>
    <w:rPr>
      <w:rFonts w:ascii="Tahoma" w:hAnsi="Tahoma"/>
      <w:sz w:val="24"/>
      <w:szCs w:val="20"/>
    </w:rPr>
  </w:style>
  <w:style w:type="paragraph" w:styleId="1150" w:customStyle="1">
    <w:name w:val="表格文字"/>
    <w:basedOn w:val="1013"/>
    <w:qFormat/>
    <w:pPr>
      <w:ind w:firstLine="0"/>
      <w:spacing w:before="20" w:after="20" w:line="240" w:lineRule="auto"/>
    </w:pPr>
    <w:rPr>
      <w:rFonts w:ascii="Century Gothic" w:hAnsi="Century Gothic"/>
      <w:sz w:val="20"/>
      <w:szCs w:val="20"/>
    </w:rPr>
  </w:style>
  <w:style w:type="paragraph" w:styleId="1151" w:customStyle="1">
    <w:name w:val="Char Char Char Char Char Char Char Char Char Char1"/>
    <w:basedOn w:val="808"/>
    <w:qFormat/>
    <w:rPr>
      <w:rFonts w:ascii="宋体" w:hAnsi="宋体" w:cs="Courier New"/>
      <w:sz w:val="32"/>
      <w:szCs w:val="32"/>
    </w:rPr>
  </w:style>
  <w:style w:type="paragraph" w:styleId="1152" w:customStyle="1">
    <w:name w:val="正文文本样式 加粗"/>
    <w:basedOn w:val="1109"/>
    <w:qFormat/>
    <w:rPr>
      <w:b/>
    </w:rPr>
  </w:style>
  <w:style w:type="paragraph" w:styleId="1153" w:customStyle="1">
    <w:name w:val="Char2 Char Char Char Char Char Char"/>
    <w:basedOn w:val="808"/>
    <w:qFormat/>
    <w:pPr>
      <w:jc w:val="center"/>
      <w:spacing w:line="400" w:lineRule="exact"/>
      <w:widowControl/>
    </w:pPr>
  </w:style>
  <w:style w:type="paragraph" w:styleId="1154" w:customStyle="1">
    <w:name w:val="Char Char4"/>
    <w:basedOn w:val="808"/>
    <w:qFormat/>
    <w:pPr>
      <w:jc w:val="center"/>
      <w:spacing w:line="400" w:lineRule="exact"/>
      <w:widowControl/>
    </w:pPr>
  </w:style>
  <w:style w:type="paragraph" w:styleId="1155" w:customStyle="1">
    <w:name w:val="Char3 Char Char Char1"/>
    <w:basedOn w:val="808"/>
    <w:qFormat/>
    <w:rPr>
      <w:rFonts w:ascii="Tahoma" w:hAnsi="Tahoma"/>
      <w:sz w:val="24"/>
      <w:szCs w:val="20"/>
    </w:rPr>
  </w:style>
  <w:style w:type="paragraph" w:styleId="1156" w:customStyle="1">
    <w:name w:val="22222222222222"/>
    <w:basedOn w:val="808"/>
    <w:qFormat/>
    <w:pPr>
      <w:ind w:firstLine="480"/>
      <w:jc w:val="left"/>
      <w:spacing w:line="360" w:lineRule="auto"/>
      <w:widowControl/>
    </w:pPr>
    <w:rPr>
      <w:color w:val="ff0000"/>
      <w:sz w:val="24"/>
      <w:szCs w:val="20"/>
    </w:rPr>
  </w:style>
  <w:style w:type="character" w:styleId="1157" w:customStyle="1">
    <w:name w:val="中等深浅网格 1 - 强调文字颜色 2 Char"/>
    <w:link w:val="1158"/>
    <w:qFormat/>
    <w:rPr>
      <w:sz w:val="21"/>
      <w:szCs w:val="24"/>
      <w:lang w:val="zh-CN" w:eastAsia="zh-CN" w:bidi="ar-SA"/>
    </w:rPr>
  </w:style>
  <w:style w:type="paragraph" w:styleId="1158" w:customStyle="1">
    <w:name w:val="1"/>
    <w:link w:val="1157"/>
    <w:qFormat/>
    <w:rPr>
      <w:sz w:val="21"/>
      <w:szCs w:val="24"/>
      <w:lang w:val="zh-CN"/>
    </w:rPr>
  </w:style>
  <w:style w:type="paragraph" w:styleId="1159" w:customStyle="1">
    <w:name w:val="图文"/>
    <w:basedOn w:val="808"/>
    <w:qFormat/>
    <w:pPr>
      <w:spacing w:after="50" w:line="360" w:lineRule="auto"/>
    </w:pPr>
    <w:rPr>
      <w:sz w:val="24"/>
    </w:rPr>
  </w:style>
  <w:style w:type="paragraph" w:styleId="1160" w:customStyle="1">
    <w:name w:val="xl23"/>
    <w:basedOn w:val="808"/>
    <w:qFormat/>
    <w:pPr>
      <w:spacing w:before="100" w:beforeAutospacing="1" w:after="100" w:afterAutospacing="1" w:line="360" w:lineRule="auto"/>
      <w:widowControl/>
    </w:pPr>
    <w:rPr>
      <w:sz w:val="24"/>
      <w:szCs w:val="20"/>
    </w:rPr>
  </w:style>
  <w:style w:type="paragraph" w:styleId="1161" w:customStyle="1">
    <w:name w:val="正文表格"/>
    <w:basedOn w:val="808"/>
    <w:link w:val="1162"/>
    <w:qFormat/>
    <w:pPr>
      <w:jc w:val="left"/>
    </w:pPr>
    <w:rPr>
      <w:rFonts w:ascii="宋体" w:hAnsi="宋体"/>
      <w:color w:val="000000"/>
      <w:szCs w:val="21"/>
    </w:rPr>
  </w:style>
  <w:style w:type="character" w:styleId="1162" w:customStyle="1">
    <w:name w:val="正文表格 Char"/>
    <w:link w:val="1161"/>
    <w:qFormat/>
    <w:rPr>
      <w:rFonts w:ascii="宋体" w:hAnsi="宋体"/>
      <w:color w:val="000000"/>
      <w:sz w:val="21"/>
      <w:szCs w:val="21"/>
    </w:rPr>
  </w:style>
  <w:style w:type="paragraph" w:styleId="1163" w:customStyle="1">
    <w:name w:val="正文重点"/>
    <w:basedOn w:val="808"/>
    <w:link w:val="1164"/>
    <w:qFormat/>
    <w:pPr>
      <w:ind w:firstLine="482"/>
      <w:jc w:val="left"/>
      <w:spacing w:line="360" w:lineRule="auto"/>
    </w:pPr>
    <w:rPr>
      <w:b/>
      <w:sz w:val="24"/>
      <w:szCs w:val="20"/>
    </w:rPr>
  </w:style>
  <w:style w:type="character" w:styleId="1164" w:customStyle="1">
    <w:name w:val="正文重点 Char"/>
    <w:link w:val="1163"/>
    <w:qFormat/>
    <w:rPr>
      <w:b/>
      <w:sz w:val="24"/>
    </w:rPr>
  </w:style>
  <w:style w:type="paragraph" w:styleId="1165" w:customStyle="1">
    <w:name w:val="标题1-附件"/>
    <w:basedOn w:val="809"/>
    <w:qFormat/>
    <w:pPr>
      <w:jc w:val="left"/>
    </w:pPr>
    <w:rPr>
      <w:sz w:val="24"/>
      <w:szCs w:val="24"/>
    </w:rPr>
  </w:style>
  <w:style w:type="paragraph" w:styleId="1166" w:customStyle="1">
    <w:name w:val="正文小标题"/>
    <w:basedOn w:val="808"/>
    <w:next w:val="822"/>
    <w:link w:val="1167"/>
    <w:qFormat/>
    <w:pPr>
      <w:ind w:firstLine="482"/>
      <w:jc w:val="left"/>
      <w:spacing w:before="312" w:after="312"/>
    </w:pPr>
    <w:rPr>
      <w:rFonts w:ascii="宋体" w:hAnsi="宋体"/>
      <w:b/>
      <w:i/>
      <w:color w:val="ff0000"/>
      <w:sz w:val="24"/>
      <w:szCs w:val="20"/>
    </w:rPr>
  </w:style>
  <w:style w:type="character" w:styleId="1167" w:customStyle="1">
    <w:name w:val="正文小标题 Char"/>
    <w:link w:val="1166"/>
    <w:qFormat/>
    <w:rPr>
      <w:rFonts w:ascii="宋体" w:hAnsi="宋体"/>
      <w:b/>
      <w:i/>
      <w:color w:val="ff0000"/>
      <w:sz w:val="24"/>
    </w:rPr>
  </w:style>
  <w:style w:type="paragraph" w:styleId="1168" w:customStyle="1">
    <w:name w:val="正文大标题"/>
    <w:basedOn w:val="1166"/>
    <w:next w:val="822"/>
    <w:link w:val="1169"/>
    <w:qFormat/>
    <w:pPr>
      <w:jc w:val="center"/>
    </w:pPr>
    <w:rPr>
      <w:i w:val="0"/>
      <w:color w:val="000000"/>
      <w:sz w:val="28"/>
      <w:szCs w:val="21"/>
    </w:rPr>
  </w:style>
  <w:style w:type="character" w:styleId="1169" w:customStyle="1">
    <w:name w:val="正文大标题 Char"/>
    <w:link w:val="1168"/>
    <w:qFormat/>
    <w:rPr>
      <w:rFonts w:ascii="宋体" w:hAnsi="宋体"/>
      <w:b/>
      <w:color w:val="000000"/>
      <w:sz w:val="28"/>
      <w:szCs w:val="21"/>
    </w:rPr>
  </w:style>
  <w:style w:type="paragraph" w:styleId="1170" w:customStyle="1">
    <w:name w:val="注释"/>
    <w:basedOn w:val="808"/>
    <w:link w:val="1171"/>
    <w:qFormat/>
    <w:pPr>
      <w:ind w:left="420" w:hanging="420"/>
      <w:jc w:val="left"/>
    </w:pPr>
    <w:rPr>
      <w:rFonts w:ascii="宋体" w:hAnsi="宋体"/>
      <w:szCs w:val="21"/>
    </w:rPr>
  </w:style>
  <w:style w:type="character" w:styleId="1171" w:customStyle="1">
    <w:name w:val="注释 Char"/>
    <w:link w:val="1170"/>
    <w:qFormat/>
    <w:rPr>
      <w:rFonts w:ascii="宋体" w:hAnsi="宋体"/>
      <w:sz w:val="21"/>
      <w:szCs w:val="21"/>
    </w:rPr>
  </w:style>
  <w:style w:type="paragraph" w:styleId="1172" w:customStyle="1">
    <w:name w:val="正文须知-1级"/>
    <w:basedOn w:val="808"/>
    <w:next w:val="808"/>
    <w:qFormat/>
    <w:pPr>
      <w:numPr>
        <w:numId w:val="7"/>
      </w:numPr>
      <w:spacing w:line="300" w:lineRule="auto"/>
    </w:pPr>
    <w:rPr>
      <w:rFonts w:ascii="宋体" w:hAnsi="Calibri"/>
      <w:sz w:val="24"/>
      <w:szCs w:val="21"/>
    </w:rPr>
  </w:style>
  <w:style w:type="paragraph" w:styleId="1173" w:customStyle="1">
    <w:name w:val="正文须知-2级"/>
    <w:basedOn w:val="808"/>
    <w:qFormat/>
    <w:pPr>
      <w:numPr>
        <w:ilvl w:val="1"/>
        <w:numId w:val="7"/>
      </w:numPr>
      <w:spacing w:line="300" w:lineRule="auto"/>
    </w:pPr>
    <w:rPr>
      <w:rFonts w:ascii="宋体" w:hAnsi="Calibri"/>
      <w:sz w:val="24"/>
      <w:szCs w:val="21"/>
    </w:rPr>
  </w:style>
  <w:style w:type="paragraph" w:styleId="1174" w:customStyle="1">
    <w:name w:val="正文须知-3级"/>
    <w:basedOn w:val="808"/>
    <w:qFormat/>
    <w:pPr>
      <w:numPr>
        <w:ilvl w:val="2"/>
        <w:numId w:val="7"/>
      </w:numPr>
      <w:ind w:hanging="355"/>
      <w:spacing w:line="300" w:lineRule="auto"/>
    </w:pPr>
    <w:rPr>
      <w:rFonts w:ascii="宋体" w:hAnsi="Calibri"/>
      <w:sz w:val="24"/>
      <w:szCs w:val="21"/>
    </w:rPr>
  </w:style>
  <w:style w:type="character" w:styleId="1175" w:customStyle="1">
    <w:name w:val="纯文本 字符"/>
    <w:uiPriority w:val="99"/>
    <w:qFormat/>
    <w:rPr>
      <w:rFonts w:ascii="宋体" w:hAnsi="Courier New" w:eastAsia="宋体" w:cs="Times New Roman"/>
      <w:sz w:val="21"/>
      <w:szCs w:val="21"/>
      <w:lang w:val="en-US" w:eastAsia="zh-CN" w:bidi="ar-SA"/>
    </w:rPr>
  </w:style>
  <w:style w:type="paragraph" w:styleId="1176" w:customStyle="1">
    <w:name w:val="表格1"/>
    <w:basedOn w:val="808"/>
    <w:qFormat/>
    <w:pPr>
      <w:ind w:firstLine="480"/>
      <w:jc w:val="center"/>
    </w:pPr>
    <w:rPr>
      <w:sz w:val="24"/>
      <w:szCs w:val="20"/>
    </w:rPr>
  </w:style>
  <w:style w:type="character" w:styleId="1177" w:customStyle="1">
    <w:name w:val="纯文本 字符1"/>
    <w:qFormat/>
    <w:rPr>
      <w:rFonts w:ascii="宋体" w:hAnsi="Courier New"/>
    </w:rPr>
  </w:style>
  <w:style w:type="character" w:styleId="1178" w:customStyle="1">
    <w:name w:val="bjh-p"/>
    <w:qFormat/>
  </w:style>
  <w:style w:type="paragraph" w:styleId="1179" w:customStyle="1">
    <w:name w:val="无标题条"/>
    <w:next w:val="808"/>
    <w:qFormat/>
    <w:pPr>
      <w:jc w:val="both"/>
    </w:pPr>
    <w:rPr>
      <w:sz w:val="21"/>
    </w:rPr>
  </w:style>
  <w:style w:type="character" w:styleId="1180" w:customStyle="1">
    <w:name w:val="正文格式 Char"/>
    <w:link w:val="1181"/>
    <w:qFormat/>
    <w:rPr>
      <w:rFonts w:ascii="宋体" w:hAnsi="宋体"/>
      <w:sz w:val="24"/>
      <w:szCs w:val="24"/>
      <w:lang w:val="en-GB"/>
    </w:rPr>
  </w:style>
  <w:style w:type="paragraph" w:styleId="1181" w:customStyle="1">
    <w:name w:val="正文格式"/>
    <w:basedOn w:val="808"/>
    <w:link w:val="1180"/>
    <w:qFormat/>
    <w:pPr>
      <w:ind w:firstLine="480"/>
      <w:spacing w:line="360" w:lineRule="auto"/>
    </w:pPr>
    <w:rPr>
      <w:rFonts w:ascii="宋体" w:hAnsi="宋体"/>
      <w:sz w:val="24"/>
      <w:lang w:val="en-GB"/>
    </w:rPr>
  </w:style>
  <w:style w:type="character" w:styleId="1182" w:customStyle="1">
    <w:name w:val="标题 3 Char"/>
    <w:uiPriority w:val="99"/>
    <w:qFormat/>
    <w:rPr>
      <w:rFonts w:ascii="宋体" w:eastAsia="宋体"/>
      <w:b/>
      <w:sz w:val="24"/>
      <w:u w:val="single"/>
      <w:lang w:val="en-US" w:eastAsia="zh-CN" w:bidi="ar-SA"/>
    </w:rPr>
  </w:style>
  <w:style w:type="character" w:styleId="1183" w:customStyle="1">
    <w:name w:val="正文缩进 Char"/>
    <w:uiPriority w:val="99"/>
    <w:qFormat/>
    <w:rPr>
      <w:rFonts w:ascii="宋体" w:eastAsia="宋体"/>
      <w:sz w:val="24"/>
      <w:szCs w:val="24"/>
      <w:lang w:val="en-US" w:eastAsia="zh-CN" w:bidi="ar-SA"/>
    </w:rPr>
  </w:style>
  <w:style w:type="character" w:styleId="1184" w:customStyle="1">
    <w:name w:val="Char Char111"/>
    <w:qFormat/>
    <w:rPr>
      <w:rFonts w:ascii="宋体" w:eastAsia="宋体"/>
      <w:b/>
      <w:sz w:val="24"/>
      <w:u w:val="single"/>
      <w:lang w:val="en-US" w:eastAsia="zh-CN" w:bidi="ar-SA"/>
    </w:rPr>
  </w:style>
  <w:style w:type="character" w:styleId="1185" w:customStyle="1">
    <w:name w:val="正文文本缩进 Char"/>
    <w:qFormat/>
    <w:rPr>
      <w:rFonts w:eastAsia="宋体"/>
      <w:sz w:val="24"/>
      <w:szCs w:val="24"/>
      <w:lang w:val="en-US" w:eastAsia="zh-CN" w:bidi="ar-SA"/>
    </w:rPr>
  </w:style>
  <w:style w:type="character" w:styleId="1186" w:customStyle="1">
    <w:name w:val="列出段落 Char"/>
    <w:uiPriority w:val="34"/>
    <w:qFormat/>
    <w:rPr>
      <w:rFonts w:ascii="Calibri" w:hAnsi="Calibri" w:eastAsia="宋体"/>
      <w:sz w:val="21"/>
      <w:szCs w:val="22"/>
      <w:lang w:val="en-US" w:eastAsia="zh-CN" w:bidi="ar-SA"/>
    </w:rPr>
  </w:style>
  <w:style w:type="character" w:styleId="1187" w:customStyle="1">
    <w:name w:val="页眉 Char"/>
    <w:uiPriority w:val="99"/>
    <w:qFormat/>
    <w:rPr>
      <w:rFonts w:eastAsia="宋体"/>
      <w:sz w:val="18"/>
      <w:szCs w:val="18"/>
      <w:lang w:val="en-US" w:eastAsia="zh-CN" w:bidi="ar-SA"/>
    </w:rPr>
  </w:style>
  <w:style w:type="character" w:styleId="1188" w:customStyle="1">
    <w:name w:val="标题 2 Char"/>
    <w:uiPriority w:val="99"/>
    <w:qFormat/>
    <w:rPr>
      <w:rFonts w:ascii="Arial" w:hAnsi="Arial" w:eastAsia="黑体"/>
      <w:b/>
      <w:sz w:val="30"/>
      <w:lang w:val="en-US" w:eastAsia="zh-CN" w:bidi="ar-SA"/>
    </w:rPr>
  </w:style>
  <w:style w:type="paragraph" w:styleId="1189" w:customStyle="1">
    <w:name w:val="字元 字元2"/>
    <w:basedOn w:val="808"/>
    <w:qFormat/>
    <w:rPr>
      <w:rFonts w:ascii="Tahoma" w:hAnsi="Tahoma"/>
      <w:sz w:val="24"/>
      <w:szCs w:val="20"/>
    </w:rPr>
  </w:style>
  <w:style w:type="paragraph" w:styleId="1190" w:customStyle="1">
    <w:name w:val="Char3 Char Char Char2"/>
    <w:basedOn w:val="808"/>
    <w:qFormat/>
    <w:rPr>
      <w:rFonts w:ascii="Tahoma" w:hAnsi="Tahoma"/>
      <w:sz w:val="24"/>
      <w:szCs w:val="20"/>
    </w:rPr>
  </w:style>
  <w:style w:type="paragraph" w:styleId="1191" w:customStyle="1">
    <w:name w:val="正文文本缩进2"/>
    <w:basedOn w:val="808"/>
    <w:qFormat/>
    <w:pPr>
      <w:ind w:firstLine="480"/>
      <w:spacing w:line="480" w:lineRule="exact"/>
    </w:pPr>
    <w:rPr>
      <w:rFonts w:ascii="宋体" w:hAnsi="宋体"/>
      <w:sz w:val="24"/>
      <w:lang w:val="zh-CN"/>
    </w:rPr>
  </w:style>
  <w:style w:type="paragraph" w:styleId="1192" w:customStyle="1">
    <w:name w:val="Char3"/>
    <w:basedOn w:val="808"/>
    <w:qFormat/>
    <w:pPr>
      <w:tabs>
        <w:tab w:val="left" w:pos="360" w:leader="none"/>
      </w:tabs>
    </w:pPr>
    <w:rPr>
      <w:sz w:val="24"/>
    </w:rPr>
  </w:style>
  <w:style w:type="paragraph" w:styleId="1193" w:customStyle="1">
    <w:name w:val="Char Char Char Char Char Char Char Char Char Char Char Char Char Char Char Char1"/>
    <w:basedOn w:val="808"/>
    <w:qFormat/>
    <w:pPr>
      <w:jc w:val="center"/>
      <w:spacing w:after="160" w:line="240" w:lineRule="exact"/>
      <w:widowControl/>
    </w:pPr>
    <w:rPr>
      <w:rFonts w:ascii="宋体" w:hAnsi="宋体"/>
      <w:b/>
      <w:sz w:val="30"/>
      <w:szCs w:val="30"/>
      <w:lang w:eastAsia="en-US"/>
    </w:rPr>
  </w:style>
  <w:style w:type="paragraph" w:styleId="1194" w:customStyle="1">
    <w:name w:val="Char Char1 Char Char Char Char Char Char1"/>
    <w:basedOn w:val="808"/>
    <w:qFormat/>
    <w:pPr>
      <w:jc w:val="left"/>
      <w:spacing w:after="160" w:line="240" w:lineRule="exact"/>
      <w:widowControl/>
    </w:pPr>
    <w:rPr>
      <w:rFonts w:ascii="Verdana" w:hAnsi="Verdana" w:eastAsia="仿宋_GB2312"/>
      <w:sz w:val="24"/>
      <w:szCs w:val="20"/>
      <w:lang w:eastAsia="en-US"/>
    </w:rPr>
  </w:style>
  <w:style w:type="paragraph" w:styleId="1195" w:customStyle="1">
    <w:name w:val="列出段落2"/>
    <w:basedOn w:val="808"/>
    <w:qFormat/>
    <w:pPr>
      <w:ind w:firstLine="420"/>
    </w:pPr>
    <w:rPr>
      <w:rFonts w:ascii="Calibri" w:hAnsi="Calibri"/>
      <w:szCs w:val="22"/>
    </w:rPr>
  </w:style>
  <w:style w:type="paragraph" w:styleId="1196" w:customStyle="1">
    <w:name w:val="Char Char Char1 Char2"/>
    <w:basedOn w:val="808"/>
    <w:uiPriority w:val="99"/>
    <w:qFormat/>
    <w:rPr>
      <w:rFonts w:ascii="Tahoma" w:hAnsi="Tahoma"/>
      <w:sz w:val="24"/>
      <w:szCs w:val="20"/>
    </w:rPr>
  </w:style>
  <w:style w:type="paragraph" w:styleId="1197" w:customStyle="1">
    <w:name w:val="Char Char Char2"/>
    <w:basedOn w:val="808"/>
    <w:qFormat/>
    <w:rPr>
      <w:rFonts w:ascii="Tahoma" w:hAnsi="Tahoma"/>
      <w:sz w:val="24"/>
      <w:szCs w:val="20"/>
    </w:rPr>
  </w:style>
  <w:style w:type="paragraph" w:styleId="1198" w:customStyle="1">
    <w:name w:val="Char Char Char Char Char Char Char2"/>
    <w:basedOn w:val="808"/>
    <w:qFormat/>
    <w:pPr>
      <w:ind w:firstLine="200"/>
      <w:spacing w:line="360" w:lineRule="auto"/>
    </w:pPr>
    <w:rPr>
      <w:rFonts w:eastAsia="仿宋_GB2312"/>
      <w:sz w:val="24"/>
    </w:rPr>
  </w:style>
  <w:style w:type="paragraph" w:styleId="1199" w:customStyle="1">
    <w:name w:val="正文缩进2"/>
    <w:basedOn w:val="808"/>
    <w:qFormat/>
    <w:pPr>
      <w:ind w:firstLine="567"/>
      <w:spacing w:line="480" w:lineRule="exact"/>
      <w:widowControl/>
    </w:pPr>
    <w:rPr>
      <w:rFonts w:ascii="宋体"/>
      <w:color w:val="000000"/>
      <w:sz w:val="28"/>
      <w:szCs w:val="20"/>
      <w:lang w:val="zh-CN"/>
    </w:rPr>
  </w:style>
  <w:style w:type="paragraph" w:styleId="1200" w:customStyle="1">
    <w:name w:val="Revision1"/>
    <w:qFormat/>
    <w:rPr>
      <w:sz w:val="21"/>
      <w:szCs w:val="24"/>
    </w:rPr>
  </w:style>
  <w:style w:type="paragraph" w:styleId="1201" w:customStyle="1">
    <w:name w:val="Char22"/>
    <w:basedOn w:val="808"/>
    <w:qFormat/>
    <w:rPr>
      <w:rFonts w:ascii="Tahoma" w:hAnsi="Tahoma"/>
      <w:sz w:val="24"/>
      <w:szCs w:val="20"/>
    </w:rPr>
  </w:style>
  <w:style w:type="paragraph" w:styleId="1202" w:customStyle="1">
    <w:name w:val="Char Char Char Char Char Char Char Char Char Char2"/>
    <w:basedOn w:val="808"/>
    <w:qFormat/>
    <w:rPr>
      <w:rFonts w:ascii="宋体" w:hAnsi="宋体" w:cs="Courier New"/>
      <w:sz w:val="32"/>
      <w:szCs w:val="32"/>
    </w:rPr>
  </w:style>
  <w:style w:type="paragraph" w:styleId="1203" w:customStyle="1">
    <w:name w:val="Char2 Char Char Char Char Char Char1"/>
    <w:basedOn w:val="808"/>
    <w:qFormat/>
    <w:pPr>
      <w:jc w:val="center"/>
      <w:spacing w:line="400" w:lineRule="exact"/>
      <w:widowControl/>
    </w:pPr>
  </w:style>
  <w:style w:type="character" w:styleId="1204" w:customStyle="1">
    <w:name w:val="页脚 Char"/>
    <w:uiPriority w:val="99"/>
    <w:qFormat/>
    <w:rPr>
      <w:rFonts w:ascii="宋体" w:eastAsia="宋体"/>
      <w:sz w:val="18"/>
      <w:lang w:val="en-US" w:eastAsia="zh-CN" w:bidi="ar-SA"/>
    </w:rPr>
  </w:style>
  <w:style w:type="paragraph" w:styleId="1205" w:customStyle="1">
    <w:name w:val="Char Char41"/>
    <w:basedOn w:val="808"/>
    <w:qFormat/>
    <w:pPr>
      <w:jc w:val="center"/>
      <w:spacing w:line="400" w:lineRule="exact"/>
      <w:widowControl/>
    </w:pPr>
  </w:style>
  <w:style w:type="character" w:styleId="1206" w:customStyle="1">
    <w:name w:val="批注文字 Char"/>
    <w:uiPriority w:val="99"/>
    <w:qFormat/>
    <w:rPr>
      <w:sz w:val="21"/>
      <w:szCs w:val="24"/>
    </w:rPr>
  </w:style>
  <w:style w:type="character" w:styleId="1207" w:customStyle="1">
    <w:name w:val="标题 Char"/>
    <w:qFormat/>
    <w:rPr>
      <w:b/>
      <w:sz w:val="32"/>
    </w:rPr>
  </w:style>
  <w:style w:type="paragraph" w:styleId="1208" w:customStyle="1">
    <w:name w:val="图例"/>
    <w:basedOn w:val="808"/>
    <w:qFormat/>
    <w:pPr>
      <w:jc w:val="center"/>
      <w:spacing w:before="120" w:after="120" w:line="360" w:lineRule="auto"/>
    </w:pPr>
    <w:rPr>
      <w:rFonts w:eastAsia="仿宋_GB2312"/>
      <w:b/>
      <w:sz w:val="24"/>
      <w:szCs w:val="20"/>
    </w:rPr>
  </w:style>
  <w:style w:type="table" w:styleId="1209"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10" w:customStyle="1">
    <w:name w:val="Table Paragraph"/>
    <w:basedOn w:val="808"/>
    <w:uiPriority w:val="1"/>
    <w:qFormat/>
    <w:pPr>
      <w:jc w:val="left"/>
    </w:pPr>
    <w:rPr>
      <w:rFonts w:ascii="宋体" w:hAnsi="宋体" w:cs="宋体"/>
      <w:sz w:val="22"/>
      <w:szCs w:val="22"/>
      <w:lang w:eastAsia="en-US"/>
    </w:rPr>
  </w:style>
  <w:style w:type="paragraph" w:styleId="1211" w:customStyle="1">
    <w:name w:val="成文日期"/>
    <w:basedOn w:val="808"/>
    <w:link w:val="1212"/>
    <w:qFormat/>
    <w:pPr>
      <w:ind w:right="400" w:firstLine="200"/>
      <w:jc w:val="right"/>
      <w:spacing w:line="570" w:lineRule="exact"/>
    </w:pPr>
    <w:rPr>
      <w:rFonts w:ascii="仿宋_GB2312" w:eastAsia="仿宋_GB2312"/>
      <w:sz w:val="32"/>
      <w:szCs w:val="20"/>
    </w:rPr>
  </w:style>
  <w:style w:type="character" w:styleId="1212" w:customStyle="1">
    <w:name w:val="成文日期 Char"/>
    <w:link w:val="1211"/>
    <w:qFormat/>
    <w:rPr>
      <w:rFonts w:ascii="仿宋_GB2312" w:eastAsia="仿宋_GB2312"/>
      <w:sz w:val="32"/>
    </w:rPr>
  </w:style>
  <w:style w:type="paragraph" w:styleId="1213">
    <w:name w:val="Revision"/>
    <w:uiPriority w:val="99"/>
    <w:unhideWhenUsed/>
    <w:rPr>
      <w:sz w:val="21"/>
      <w:szCs w:val="24"/>
    </w:rPr>
  </w:style>
  <w:style w:type="paragraph" w:styleId="1214" w:customStyle="1">
    <w:name w:val="正文1"/>
    <w:basedOn w:val="808"/>
    <w:qFormat/>
    <w:pPr>
      <w:contextualSpacing/>
      <w:ind w:firstLine="200"/>
      <w:jc w:val="left"/>
      <w:spacing w:before="120" w:after="120"/>
      <w:widowControl/>
    </w:pPr>
    <w:rPr>
      <w:rFonts w:ascii="Calibri" w:hAnsi="Calibri" w:eastAsia="Adobe 仿宋 Std R"/>
      <w:sz w:val="20"/>
      <w:szCs w:val="21"/>
    </w:rPr>
  </w:style>
  <w:style w:type="character" w:styleId="1215" w:customStyle="1">
    <w:name w:val="材料标题 Char"/>
    <w:link w:val="1216"/>
    <w:qFormat/>
    <w:rPr>
      <w:rFonts w:ascii="方正小标宋简体" w:eastAsia="方正小标宋简体"/>
      <w:color w:val="000000"/>
      <w:sz w:val="44"/>
      <w:szCs w:val="44"/>
    </w:rPr>
  </w:style>
  <w:style w:type="paragraph" w:styleId="1216" w:customStyle="1">
    <w:name w:val="材料标题"/>
    <w:basedOn w:val="808"/>
    <w:link w:val="1215"/>
    <w:qFormat/>
    <w:pPr>
      <w:jc w:val="center"/>
      <w:spacing w:line="700" w:lineRule="exact"/>
    </w:pPr>
    <w:rPr>
      <w:rFonts w:ascii="方正小标宋简体" w:eastAsia="方正小标宋简体"/>
      <w:color w:val="000000"/>
      <w:sz w:val="44"/>
      <w:szCs w:val="44"/>
    </w:rPr>
  </w:style>
  <w:style w:type="character" w:styleId="1217" w:customStyle="1">
    <w:name w:val="未处理的提及1"/>
    <w:uiPriority w:val="99"/>
    <w:unhideWhenUsed/>
    <w:rPr>
      <w:color w:val="605e5c"/>
      <w:shd w:val="clear" w:color="auto" w:fill="e1dfdd"/>
    </w:rPr>
  </w:style>
  <w:style w:type="character" w:styleId="1218" w:customStyle="1">
    <w:name w:val="grame"/>
  </w:style>
  <w:style w:type="paragraph" w:styleId="1219" w:customStyle="1">
    <w:name w:val="_Style 259"/>
    <w:uiPriority w:val="99"/>
    <w:qFormat/>
    <w:rPr>
      <w:sz w:val="21"/>
      <w:szCs w:val="24"/>
    </w:rPr>
  </w:style>
  <w:style w:type="character" w:styleId="1220" w:customStyle="1">
    <w:name w:val="☆ 正文 Char"/>
    <w:link w:val="1221"/>
    <w:qFormat/>
    <w:rPr>
      <w:sz w:val="21"/>
      <w:szCs w:val="22"/>
    </w:rPr>
  </w:style>
  <w:style w:type="paragraph" w:styleId="1221" w:customStyle="1">
    <w:name w:val="☆ 正文"/>
    <w:basedOn w:val="808"/>
    <w:link w:val="1220"/>
    <w:qFormat/>
    <w:rPr>
      <w:szCs w:val="22"/>
    </w:rPr>
  </w:style>
  <w:style w:type="paragraph" w:styleId="1222" w:customStyle="1">
    <w:name w:val="_Style 493"/>
    <w:basedOn w:val="808"/>
    <w:next w:val="841"/>
    <w:qFormat/>
    <w:pPr>
      <w:ind w:firstLine="420"/>
    </w:pPr>
    <w:rPr>
      <w:rFonts w:ascii="Calibri" w:hAnsi="Calibri"/>
      <w:szCs w:val="22"/>
    </w:rPr>
  </w:style>
  <w:style w:type="paragraph" w:styleId="1223" w:customStyle="1">
    <w:name w:val="二级目录"/>
    <w:next w:val="808"/>
    <w:uiPriority w:val="99"/>
    <w:qFormat/>
    <w:pPr>
      <w:ind w:left="720" w:hanging="720"/>
      <w:tabs>
        <w:tab w:val="left" w:pos="720" w:leader="none"/>
      </w:tabs>
      <w:outlineLvl w:val="1"/>
    </w:pPr>
    <w:rPr>
      <w:rFonts w:cs="Calibri"/>
      <w:b/>
      <w:bCs/>
      <w:sz w:val="30"/>
      <w:szCs w:val="30"/>
    </w:rPr>
  </w:style>
  <w:style w:type="table" w:styleId="1224" w:customStyle="1">
    <w:name w:val="中等深浅网格 1 - 着色 21"/>
    <w:basedOn w:val="819"/>
    <w:qFormat/>
    <w:rPr>
      <w:sz w:val="21"/>
      <w:szCs w:val="24"/>
    </w:rPr>
    <w:tblPr/>
  </w:style>
  <w:style w:type="character" w:styleId="1225" w:customStyle="1">
    <w:name w:val="访问过的超链接1"/>
    <w:uiPriority w:val="99"/>
    <w:qFormat/>
    <w:rPr>
      <w:color w:val="333333"/>
      <w:u w:val="none"/>
    </w:rPr>
  </w:style>
  <w:style w:type="paragraph" w:styleId="1226" w:customStyle="1">
    <w:name w:val="列出段落11"/>
    <w:basedOn w:val="808"/>
    <w:qFormat/>
    <w:pPr>
      <w:ind w:firstLine="420"/>
    </w:pPr>
    <w:rPr>
      <w:rFonts w:ascii="Calibri" w:hAnsi="Calibri"/>
      <w:szCs w:val="22"/>
    </w:rPr>
  </w:style>
  <w:style w:type="paragraph" w:styleId="1227" w:customStyle="1">
    <w:name w:val="无间隔1"/>
    <w:qFormat/>
    <w:pPr>
      <w:jc w:val="both"/>
      <w:widowControl w:val="off"/>
    </w:pPr>
    <w:rPr>
      <w:sz w:val="21"/>
      <w:szCs w:val="24"/>
    </w:rPr>
  </w:style>
  <w:style w:type="paragraph" w:styleId="1228" w:customStyle="1">
    <w:name w:val="修订1"/>
    <w:qFormat/>
    <w:rPr>
      <w:sz w:val="21"/>
      <w:szCs w:val="24"/>
    </w:rPr>
  </w:style>
  <w:style w:type="paragraph" w:styleId="1229" w:customStyle="1">
    <w:name w:val="修订2"/>
    <w:uiPriority w:val="99"/>
    <w:unhideWhenUsed/>
    <w:qFormat/>
    <w:rPr>
      <w:sz w:val="21"/>
      <w:szCs w:val="24"/>
    </w:rPr>
  </w:style>
  <w:style w:type="paragraph" w:styleId="1230" w:customStyle="1">
    <w:name w:val="msolistparagraph"/>
    <w:basedOn w:val="808"/>
    <w:qFormat/>
    <w:pPr>
      <w:ind w:firstLine="420"/>
    </w:pPr>
    <w:rPr>
      <w:rFonts w:ascii="Calibri" w:hAnsi="Calibri"/>
      <w:sz w:val="20"/>
      <w:szCs w:val="22"/>
    </w:rPr>
  </w:style>
  <w:style w:type="paragraph" w:styleId="1231" w:customStyle="1">
    <w:name w:val="首行缩进"/>
    <w:basedOn w:val="808"/>
    <w:qFormat/>
    <w:pPr>
      <w:ind w:firstLine="480"/>
      <w:jc w:val="left"/>
      <w:spacing w:line="360" w:lineRule="auto"/>
    </w:pPr>
    <w:rPr>
      <w:rFonts w:ascii="宋体" w:hAnsi="宋体"/>
      <w:sz w:val="20"/>
      <w:szCs w:val="22"/>
    </w:rPr>
  </w:style>
  <w:style w:type="paragraph" w:styleId="1232" w:customStyle="1">
    <w:name w:val="xl65"/>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3" w:customStyle="1">
    <w:name w:val="xl66"/>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4" w:customStyle="1">
    <w:name w:val="xl67"/>
    <w:basedOn w:val="808"/>
    <w:qFormat/>
    <w:pPr>
      <w:jc w:val="center"/>
      <w:spacing w:before="100" w:beforeAutospacing="1" w:after="100" w:afterAutospacing="1"/>
      <w:widowControl/>
    </w:pPr>
    <w:rPr>
      <w:rFonts w:ascii="宋体" w:hAnsi="宋体" w:cs="宋体"/>
      <w:b/>
      <w:bCs/>
      <w:sz w:val="18"/>
      <w:szCs w:val="18"/>
    </w:rPr>
  </w:style>
  <w:style w:type="paragraph" w:styleId="1235" w:customStyle="1">
    <w:name w:val="xl68"/>
    <w:basedOn w:val="808"/>
    <w:qFormat/>
    <w:pPr>
      <w:jc w:val="center"/>
      <w:spacing w:before="100" w:beforeAutospacing="1" w:after="100" w:afterAutospacing="1"/>
      <w:widowControl/>
    </w:pPr>
    <w:rPr>
      <w:rFonts w:ascii="宋体" w:hAnsi="宋体" w:cs="宋体"/>
      <w:sz w:val="24"/>
    </w:rPr>
  </w:style>
  <w:style w:type="paragraph" w:styleId="1236" w:customStyle="1">
    <w:name w:val="xl69"/>
    <w:basedOn w:val="8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37" w:customStyle="1">
    <w:name w:val="xl70"/>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8" w:customStyle="1">
    <w:name w:val="xl71"/>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9" w:customStyle="1">
    <w:name w:val="xl72"/>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0" w:customStyle="1">
    <w:name w:val="xl73"/>
    <w:basedOn w:val="808"/>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41" w:customStyle="1">
    <w:name w:val="xl74"/>
    <w:basedOn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2" w:customStyle="1">
    <w:name w:val="xl75"/>
    <w:basedOn w:val="80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43" w:customStyle="1">
    <w:name w:val="xl76"/>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4" w:customStyle="1">
    <w:name w:val="xl77"/>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5" w:customStyle="1">
    <w:name w:val="xl78"/>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6" w:customStyle="1">
    <w:name w:val="xl79"/>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7" w:customStyle="1">
    <w:name w:val="xl80"/>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8" w:customStyle="1">
    <w:name w:val="xl81"/>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9" w:customStyle="1">
    <w:name w:val="xl82"/>
    <w:basedOn w:val="80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50" w:customStyle="1">
    <w:name w:val="xl83"/>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1" w:customStyle="1">
    <w:name w:val="xl84"/>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2" w:customStyle="1">
    <w:name w:val="xl85"/>
    <w:basedOn w:val="8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3" w:customStyle="1">
    <w:name w:val="xl86"/>
    <w:basedOn w:val="80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4" w:customStyle="1">
    <w:name w:val="xl87"/>
    <w:basedOn w:val="80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5" w:customStyle="1">
    <w:name w:val="xl88"/>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6" w:customStyle="1">
    <w:name w:val="xl89"/>
    <w:basedOn w:val="8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7" w:customStyle="1">
    <w:name w:val="xl90"/>
    <w:basedOn w:val="808"/>
    <w:qFormat/>
    <w:pPr>
      <w:jc w:val="center"/>
      <w:spacing w:before="100" w:beforeAutospacing="1" w:after="100" w:afterAutospacing="1"/>
      <w:widowControl/>
    </w:pPr>
    <w:rPr>
      <w:rFonts w:ascii="宋体" w:hAnsi="宋体" w:cs="宋体"/>
      <w:b/>
      <w:bCs/>
      <w:sz w:val="24"/>
    </w:rPr>
  </w:style>
  <w:style w:type="paragraph" w:styleId="1258" w:customStyle="1">
    <w:name w:val="xl91"/>
    <w:basedOn w:val="808"/>
    <w:pPr>
      <w:jc w:val="center"/>
      <w:spacing w:before="100" w:beforeAutospacing="1" w:after="100" w:afterAutospacing="1"/>
      <w:widowControl/>
    </w:pPr>
    <w:rPr>
      <w:rFonts w:ascii="宋体" w:hAnsi="宋体" w:cs="宋体"/>
      <w:sz w:val="24"/>
    </w:rPr>
  </w:style>
  <w:style w:type="paragraph" w:styleId="1259" w:customStyle="1">
    <w:name w:val="xl92"/>
    <w:basedOn w:val="808"/>
    <w:qFormat/>
    <w:pPr>
      <w:jc w:val="left"/>
      <w:spacing w:before="100" w:beforeAutospacing="1" w:after="100" w:afterAutospacing="1"/>
      <w:widowControl/>
    </w:pPr>
    <w:rPr>
      <w:rFonts w:ascii="宋体" w:hAnsi="宋体" w:cs="宋体"/>
      <w:sz w:val="24"/>
    </w:rPr>
  </w:style>
  <w:style w:type="paragraph" w:styleId="1260" w:customStyle="1">
    <w:name w:val="xl93"/>
    <w:basedOn w:val="808"/>
    <w:qFormat/>
    <w:pPr>
      <w:jc w:val="left"/>
      <w:spacing w:before="100" w:beforeAutospacing="1" w:after="100" w:afterAutospacing="1"/>
      <w:widowControl/>
    </w:pPr>
    <w:rPr>
      <w:rFonts w:ascii="宋体" w:hAnsi="宋体" w:cs="宋体"/>
      <w:sz w:val="24"/>
    </w:rPr>
  </w:style>
  <w:style w:type="paragraph" w:styleId="1261" w:customStyle="1">
    <w:name w:val="xl94"/>
    <w:basedOn w:val="808"/>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2" w:customStyle="1">
    <w:name w:val="xl95"/>
    <w:basedOn w:val="8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3" w:customStyle="1">
    <w:name w:val="xl96"/>
    <w:basedOn w:val="808"/>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4" w:customStyle="1">
    <w:name w:val="xl97"/>
    <w:basedOn w:val="8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65" w:customStyle="1">
    <w:name w:val="font41"/>
    <w:qFormat/>
    <w:rPr>
      <w:rFonts w:hint="eastAsia" w:ascii="宋体" w:hAnsi="宋体" w:eastAsia="宋体" w:cs="宋体"/>
      <w:color w:val="000000"/>
      <w:sz w:val="20"/>
      <w:szCs w:val="20"/>
      <w:u w:val="none"/>
    </w:rPr>
  </w:style>
  <w:style w:type="character" w:styleId="1266" w:customStyle="1">
    <w:name w:val="font21"/>
    <w:qFormat/>
    <w:rPr>
      <w:rFonts w:ascii="Times New Roman" w:hAnsi="Times New Roman" w:cs="Times New Roman"/>
      <w:color w:val="000000"/>
      <w:sz w:val="20"/>
      <w:szCs w:val="20"/>
      <w:u w:val="none"/>
    </w:rPr>
  </w:style>
  <w:style w:type="paragraph" w:styleId="1267" w:customStyle="1">
    <w:name w:val="xl98"/>
    <w:basedOn w:val="808"/>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68" w:customStyle="1">
    <w:name w:val="xl99"/>
    <w:basedOn w:val="808"/>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9" w:customStyle="1">
    <w:name w:val="正文文本缩进 Char Char"/>
    <w:basedOn w:val="808"/>
    <w:uiPriority w:val="99"/>
    <w:qFormat/>
    <w:pPr>
      <w:ind w:left="420"/>
      <w:spacing w:after="120"/>
    </w:pPr>
    <w:rPr>
      <w:szCs w:val="20"/>
    </w:rPr>
  </w:style>
  <w:style w:type="character" w:styleId="1270" w:customStyle="1">
    <w:name w:val="font31"/>
    <w:qFormat/>
    <w:rPr>
      <w:rFonts w:hint="eastAsia" w:ascii="宋体" w:hAnsi="宋体" w:eastAsia="宋体" w:cs="宋体"/>
      <w:i w:val="0"/>
      <w:color w:val="000000"/>
      <w:sz w:val="22"/>
      <w:szCs w:val="22"/>
      <w:u w:val="none"/>
    </w:rPr>
  </w:style>
  <w:style w:type="character" w:styleId="1271" w:customStyle="1">
    <w:name w:val="Placeholder Text1"/>
    <w:uiPriority w:val="99"/>
    <w:semiHidden/>
    <w:qFormat/>
    <w:rPr>
      <w:rFonts w:cs="Times New Roman"/>
      <w:color w:val="808080"/>
    </w:rPr>
  </w:style>
  <w:style w:type="character" w:styleId="1272" w:customStyle="1">
    <w:name w:val="font01"/>
    <w:rPr>
      <w:rFonts w:ascii="font-weight : 400" w:hAnsi="font-weight : 400" w:eastAsia="font-weight : 400" w:cs="font-weight : 400"/>
      <w:i w:val="0"/>
      <w:color w:val="000000"/>
      <w:sz w:val="22"/>
      <w:szCs w:val="22"/>
      <w:u w:val="none"/>
    </w:rPr>
  </w:style>
  <w:style w:type="character" w:styleId="1273" w:customStyle="1">
    <w:name w:val="info1"/>
    <w:uiPriority w:val="99"/>
    <w:qFormat/>
    <w:rPr>
      <w:sz w:val="29"/>
    </w:rPr>
  </w:style>
  <w:style w:type="character" w:styleId="1274" w:customStyle="1">
    <w:name w:val="font11"/>
    <w:rPr>
      <w:rFonts w:hint="eastAsia" w:ascii="宋体" w:hAnsi="宋体" w:eastAsia="宋体" w:cs="宋体"/>
      <w:i w:val="0"/>
      <w:color w:val="000000"/>
      <w:sz w:val="22"/>
      <w:szCs w:val="22"/>
      <w:u w:val="none"/>
    </w:rPr>
  </w:style>
  <w:style w:type="character" w:styleId="1275" w:customStyle="1">
    <w:name w:val="引用 Char"/>
    <w:link w:val="1276"/>
    <w:uiPriority w:val="99"/>
    <w:qFormat/>
    <w:rPr>
      <w:rFonts w:eastAsia="仿宋_GB2312"/>
      <w:color w:val="000000"/>
      <w:sz w:val="24"/>
    </w:rPr>
  </w:style>
  <w:style w:type="paragraph" w:styleId="1276" w:customStyle="1">
    <w:name w:val="引用1"/>
    <w:basedOn w:val="808"/>
    <w:next w:val="808"/>
    <w:link w:val="1275"/>
    <w:uiPriority w:val="99"/>
    <w:qFormat/>
    <w:rPr>
      <w:rFonts w:eastAsia="仿宋_GB2312"/>
      <w:color w:val="000000"/>
      <w:sz w:val="24"/>
      <w:szCs w:val="20"/>
    </w:rPr>
  </w:style>
  <w:style w:type="character" w:styleId="1277" w:customStyle="1">
    <w:name w:val="已访问的超链接1"/>
    <w:uiPriority w:val="99"/>
    <w:qFormat/>
    <w:rPr>
      <w:rFonts w:ascii="Times New Roman"/>
    </w:rPr>
  </w:style>
  <w:style w:type="paragraph" w:styleId="1278" w:customStyle="1">
    <w:name w:val="Char Char Char Char1"/>
    <w:basedOn w:val="808"/>
    <w:uiPriority w:val="99"/>
    <w:qFormat/>
    <w:pPr>
      <w:ind w:firstLine="200"/>
      <w:spacing w:line="360" w:lineRule="auto"/>
    </w:pPr>
    <w:rPr>
      <w:szCs w:val="20"/>
    </w:rPr>
  </w:style>
  <w:style w:type="paragraph" w:styleId="1279" w:customStyle="1">
    <w:name w:val="xl105"/>
    <w:basedOn w:val="808"/>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80" w:customStyle="1">
    <w:name w:val="p0"/>
    <w:basedOn w:val="808"/>
    <w:uiPriority w:val="99"/>
    <w:qFormat/>
    <w:pPr>
      <w:widowControl/>
    </w:pPr>
    <w:rPr>
      <w:szCs w:val="20"/>
    </w:rPr>
  </w:style>
  <w:style w:type="paragraph" w:styleId="1281" w:customStyle="1">
    <w:name w:val="样式4"/>
    <w:basedOn w:val="810"/>
    <w:uiPriority w:val="99"/>
    <w:qFormat/>
    <w:pPr>
      <w:spacing w:before="0" w:line="240" w:lineRule="auto"/>
    </w:pPr>
    <w:rPr>
      <w:b w:val="0"/>
      <w:sz w:val="28"/>
    </w:rPr>
  </w:style>
  <w:style w:type="paragraph" w:styleId="1282" w:customStyle="1">
    <w:name w:val="Char Char Char1 Char4"/>
    <w:basedOn w:val="808"/>
    <w:uiPriority w:val="99"/>
    <w:qFormat/>
    <w:pPr>
      <w:ind w:firstLine="200"/>
      <w:spacing w:line="360" w:lineRule="auto"/>
    </w:pPr>
    <w:rPr>
      <w:rFonts w:ascii="宋体" w:hAnsi="宋体"/>
      <w:sz w:val="24"/>
      <w:szCs w:val="20"/>
    </w:rPr>
  </w:style>
  <w:style w:type="paragraph" w:styleId="1283" w:customStyle="1">
    <w:name w:val="Char Char Char Char"/>
    <w:basedOn w:val="808"/>
    <w:uiPriority w:val="99"/>
    <w:qFormat/>
    <w:rPr>
      <w:szCs w:val="20"/>
    </w:rPr>
  </w:style>
  <w:style w:type="paragraph" w:styleId="1284" w:customStyle="1">
    <w:name w:val="Char Char Char1 Char6"/>
    <w:basedOn w:val="808"/>
    <w:uiPriority w:val="99"/>
    <w:qFormat/>
    <w:pPr>
      <w:ind w:firstLine="200"/>
      <w:spacing w:line="360" w:lineRule="auto"/>
    </w:pPr>
    <w:rPr>
      <w:rFonts w:ascii="宋体" w:hAnsi="宋体"/>
      <w:sz w:val="24"/>
      <w:szCs w:val="20"/>
    </w:rPr>
  </w:style>
  <w:style w:type="paragraph" w:styleId="1285" w:customStyle="1">
    <w:name w:val="正文文本缩进 3 Char Char"/>
    <w:basedOn w:val="808"/>
    <w:uiPriority w:val="99"/>
    <w:qFormat/>
    <w:pPr>
      <w:ind w:firstLine="479"/>
      <w:spacing w:line="400" w:lineRule="exact"/>
    </w:pPr>
    <w:rPr>
      <w:rFonts w:ascii="仿宋_GB2312" w:eastAsia="仿宋_GB2312"/>
      <w:szCs w:val="20"/>
    </w:rPr>
  </w:style>
  <w:style w:type="paragraph" w:styleId="1286" w:customStyle="1">
    <w:name w:val="Char Char Char1 Char Char Char Char"/>
    <w:basedOn w:val="808"/>
    <w:uiPriority w:val="99"/>
    <w:qFormat/>
    <w:rPr>
      <w:rFonts w:ascii="宋体" w:hAnsi="宋体" w:cs="Courier New"/>
      <w:sz w:val="32"/>
      <w:szCs w:val="32"/>
    </w:rPr>
  </w:style>
  <w:style w:type="paragraph" w:styleId="1287" w:customStyle="1">
    <w:name w:val="xl103"/>
    <w:basedOn w:val="8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8" w:customStyle="1">
    <w:name w:val="样式1"/>
    <w:basedOn w:val="810"/>
    <w:uiPriority w:val="99"/>
    <w:qFormat/>
    <w:pPr>
      <w:spacing w:before="0" w:line="415" w:lineRule="auto"/>
    </w:pPr>
    <w:rPr>
      <w:b w:val="0"/>
      <w:sz w:val="28"/>
    </w:rPr>
  </w:style>
  <w:style w:type="paragraph" w:styleId="1289" w:customStyle="1">
    <w:name w:val="xl100"/>
    <w:basedOn w:val="80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90" w:customStyle="1">
    <w:name w:val="xl104"/>
    <w:basedOn w:val="80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91" w:customStyle="1">
    <w:name w:val="xl101"/>
    <w:basedOn w:val="808"/>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92" w:customStyle="1">
    <w:name w:val="Char Char Char1 Char8"/>
    <w:basedOn w:val="808"/>
    <w:uiPriority w:val="99"/>
    <w:qFormat/>
    <w:pPr>
      <w:ind w:firstLine="200"/>
      <w:spacing w:line="360" w:lineRule="auto"/>
    </w:pPr>
    <w:rPr>
      <w:szCs w:val="20"/>
    </w:rPr>
  </w:style>
  <w:style w:type="paragraph" w:styleId="1293" w:customStyle="1">
    <w:name w:val="Char Char Char1 Char5"/>
    <w:basedOn w:val="808"/>
    <w:uiPriority w:val="99"/>
    <w:qFormat/>
    <w:pPr>
      <w:ind w:firstLine="200"/>
      <w:spacing w:line="360" w:lineRule="auto"/>
    </w:pPr>
    <w:rPr>
      <w:rFonts w:ascii="宋体" w:hAnsi="宋体"/>
      <w:sz w:val="24"/>
      <w:szCs w:val="20"/>
    </w:rPr>
  </w:style>
  <w:style w:type="paragraph" w:styleId="1294" w:customStyle="1">
    <w:name w:val="普通(网站)1"/>
    <w:basedOn w:val="808"/>
    <w:uiPriority w:val="99"/>
    <w:qFormat/>
    <w:pPr>
      <w:jc w:val="left"/>
      <w:spacing w:before="100" w:beforeAutospacing="1" w:after="100" w:afterAutospacing="1"/>
      <w:widowControl/>
    </w:pPr>
    <w:rPr>
      <w:rFonts w:ascii="宋体" w:hAnsi="宋体"/>
      <w:sz w:val="24"/>
      <w:szCs w:val="20"/>
    </w:rPr>
  </w:style>
  <w:style w:type="paragraph" w:styleId="1295" w:customStyle="1">
    <w:name w:val="样式3"/>
    <w:basedOn w:val="810"/>
    <w:uiPriority w:val="99"/>
    <w:qFormat/>
    <w:pPr>
      <w:spacing w:before="0" w:line="240" w:lineRule="auto"/>
    </w:pPr>
    <w:rPr>
      <w:b w:val="0"/>
      <w:sz w:val="28"/>
    </w:rPr>
  </w:style>
  <w:style w:type="paragraph" w:styleId="1296" w:customStyle="1">
    <w:name w:val="xl106"/>
    <w:basedOn w:val="8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97" w:customStyle="1">
    <w:name w:val="_Style 49"/>
    <w:basedOn w:val="808"/>
    <w:next w:val="1017"/>
    <w:uiPriority w:val="99"/>
    <w:qFormat/>
    <w:rPr>
      <w:rFonts w:ascii="宋体" w:hAnsi="Courier New"/>
      <w:sz w:val="24"/>
      <w:szCs w:val="20"/>
    </w:rPr>
  </w:style>
  <w:style w:type="paragraph" w:styleId="1298" w:customStyle="1">
    <w:name w:val="xl64"/>
    <w:basedOn w:val="8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9" w:customStyle="1">
    <w:name w:val="Char Char Char1 Char3"/>
    <w:basedOn w:val="808"/>
    <w:uiPriority w:val="99"/>
    <w:qFormat/>
    <w:pPr>
      <w:ind w:firstLine="200"/>
      <w:spacing w:line="360" w:lineRule="auto"/>
    </w:pPr>
    <w:rPr>
      <w:rFonts w:ascii="宋体" w:hAnsi="宋体"/>
      <w:sz w:val="24"/>
      <w:szCs w:val="20"/>
    </w:rPr>
  </w:style>
  <w:style w:type="paragraph" w:styleId="1300" w:customStyle="1">
    <w:name w:val="Char Char Char1 Char7"/>
    <w:basedOn w:val="808"/>
    <w:uiPriority w:val="99"/>
    <w:qFormat/>
    <w:pPr>
      <w:ind w:firstLine="200"/>
      <w:spacing w:line="360" w:lineRule="auto"/>
    </w:pPr>
    <w:rPr>
      <w:rFonts w:ascii="宋体" w:hAnsi="宋体"/>
      <w:sz w:val="24"/>
      <w:szCs w:val="20"/>
    </w:rPr>
  </w:style>
  <w:style w:type="paragraph" w:styleId="1301" w:customStyle="1">
    <w:name w:val="xl63"/>
    <w:basedOn w:val="8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2" w:customStyle="1">
    <w:name w:val="xl102"/>
    <w:basedOn w:val="80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03" w:customStyle="1">
    <w:name w:val="默认段落字体 Para Char Char Char Char Char Char Char Char Char1 Char Char Char Char Char Char Char Char"/>
    <w:basedOn w:val="1005"/>
    <w:qFormat/>
  </w:style>
  <w:style w:type="paragraph" w:styleId="1304" w:customStyle="1">
    <w:name w:val="xl107"/>
    <w:basedOn w:val="80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5" w:customStyle="1">
    <w:name w:val="msonormal"/>
    <w:basedOn w:val="808"/>
    <w:pPr>
      <w:jc w:val="left"/>
      <w:spacing w:before="100" w:beforeAutospacing="1" w:after="100" w:afterAutospacing="1"/>
      <w:widowControl/>
    </w:pPr>
    <w:rPr>
      <w:rFonts w:ascii="宋体" w:hAnsi="宋体" w:cs="宋体"/>
      <w:sz w:val="24"/>
    </w:rPr>
  </w:style>
  <w:style w:type="character" w:styleId="1306" w:customStyle="1">
    <w:name w:val="批注文字 字符1"/>
    <w:uiPriority w:val="99"/>
    <w:qFormat/>
    <w:rPr>
      <w:sz w:val="21"/>
      <w:szCs w:val="24"/>
    </w:rPr>
  </w:style>
  <w:style w:type="paragraph" w:styleId="1307" w:customStyle="1">
    <w:name w:val="主要内容"/>
    <w:basedOn w:val="808"/>
    <w:qFormat/>
    <w:pPr>
      <w:ind w:firstLine="480"/>
      <w:spacing w:line="360" w:lineRule="auto"/>
      <w:widowControl/>
    </w:pPr>
    <w:rPr>
      <w:rFonts w:ascii="宋体" w:hAnsi="宋体"/>
      <w:bCs/>
      <w:color w:val="000000"/>
      <w:sz w:val="24"/>
      <w:szCs w:val="20"/>
    </w:rPr>
  </w:style>
  <w:style w:type="paragraph" w:styleId="1308" w:customStyle="1">
    <w:name w:val="Body text|1"/>
    <w:basedOn w:val="808"/>
    <w:qFormat/>
    <w:pPr>
      <w:ind w:firstLine="400"/>
      <w:jc w:val="left"/>
      <w:spacing w:line="360" w:lineRule="auto"/>
    </w:pPr>
    <w:rPr>
      <w:rFonts w:ascii="宋体" w:hAnsi="宋体" w:cs="宋体"/>
      <w:sz w:val="22"/>
      <w:szCs w:val="22"/>
      <w:lang w:val="zh-TW" w:eastAsia="zh-TW" w:bidi="zh-TW"/>
    </w:rPr>
  </w:style>
  <w:style w:type="character" w:styleId="1309" w:customStyle="1">
    <w:name w:val="NormalCharacter1"/>
    <w:qFormat/>
    <w:rPr>
      <w:rFonts w:ascii="Times New Roman" w:hAnsi="Times New Roman" w:eastAsia="宋体" w:cs="Times New Roman"/>
      <w:sz w:val="21"/>
      <w:szCs w:val="24"/>
      <w:lang w:val="en-US" w:eastAsia="zh-CN" w:bidi="ar-SA"/>
    </w:rPr>
  </w:style>
  <w:style w:type="character" w:styleId="1310" w:customStyle="1">
    <w:name w:val="列表段落 字符"/>
    <w:uiPriority w:val="34"/>
    <w:qFormat/>
    <w:rPr>
      <w:rFonts w:ascii="Calibri" w:hAnsi="Calibri" w:eastAsia="宋体"/>
    </w:rPr>
  </w:style>
  <w:style w:type="paragraph" w:styleId="1311" w:customStyle="1">
    <w:name w:val="正文_1"/>
    <w:qFormat/>
    <w:pPr>
      <w:jc w:val="both"/>
      <w:widowControl w:val="off"/>
    </w:pPr>
    <w:rPr>
      <w:sz w:val="21"/>
    </w:rPr>
  </w:style>
  <w:style w:type="character" w:styleId="1312" w:customStyle="1">
    <w:name w:val="normaltextrun"/>
    <w:qFormat/>
  </w:style>
  <w:style w:type="character" w:styleId="1313" w:customStyle="1">
    <w:name w:val="标题 1 Char"/>
    <w:uiPriority w:val="99"/>
    <w:qFormat/>
    <w:rPr>
      <w:rFonts w:ascii="宋体"/>
      <w:b/>
      <w:sz w:val="32"/>
    </w:rPr>
  </w:style>
  <w:style w:type="character" w:styleId="1314" w:customStyle="1">
    <w:name w:val="标题 2 Char1"/>
    <w:qFormat/>
    <w:rPr>
      <w:rFonts w:ascii="Arial" w:hAnsi="Arial" w:eastAsia="黑体"/>
      <w:b/>
      <w:sz w:val="30"/>
      <w:lang w:val="en-US" w:eastAsia="zh-CN" w:bidi="ar-SA"/>
    </w:rPr>
  </w:style>
  <w:style w:type="character" w:styleId="1315" w:customStyle="1">
    <w:name w:val="正文缩进 Char1"/>
    <w:qFormat/>
    <w:rPr>
      <w:rFonts w:ascii="宋体" w:eastAsia="宋体"/>
      <w:sz w:val="24"/>
      <w:szCs w:val="24"/>
      <w:lang w:val="en-US" w:eastAsia="zh-CN" w:bidi="ar-SA"/>
    </w:rPr>
  </w:style>
  <w:style w:type="character" w:styleId="1316" w:customStyle="1">
    <w:name w:val="标题 3 Char1"/>
    <w:uiPriority w:val="99"/>
    <w:qFormat/>
    <w:rPr>
      <w:rFonts w:ascii="宋体" w:eastAsia="宋体"/>
      <w:b/>
      <w:sz w:val="24"/>
      <w:u w:val="single"/>
      <w:lang w:val="en-US" w:eastAsia="zh-CN" w:bidi="ar-SA"/>
    </w:rPr>
  </w:style>
  <w:style w:type="character" w:styleId="1317" w:customStyle="1">
    <w:name w:val="标题 4 Char"/>
    <w:qFormat/>
    <w:rPr>
      <w:rFonts w:ascii="Arial" w:hAnsi="Arial" w:eastAsia="黑体"/>
      <w:b/>
      <w:sz w:val="28"/>
    </w:rPr>
  </w:style>
  <w:style w:type="character" w:styleId="1318" w:customStyle="1">
    <w:name w:val="标题 5 Char"/>
    <w:qFormat/>
    <w:rPr>
      <w:b/>
      <w:sz w:val="28"/>
    </w:rPr>
  </w:style>
  <w:style w:type="character" w:styleId="1319" w:customStyle="1">
    <w:name w:val="标题 6 Char"/>
    <w:qFormat/>
    <w:rPr>
      <w:rFonts w:ascii="Arial" w:hAnsi="Arial" w:eastAsia="黑体"/>
      <w:b/>
      <w:sz w:val="24"/>
    </w:rPr>
  </w:style>
  <w:style w:type="character" w:styleId="1320" w:customStyle="1">
    <w:name w:val="标题 7 Char"/>
    <w:qFormat/>
    <w:rPr>
      <w:b/>
      <w:sz w:val="24"/>
    </w:rPr>
  </w:style>
  <w:style w:type="character" w:styleId="1321" w:customStyle="1">
    <w:name w:val="标题 8 Char"/>
    <w:qFormat/>
    <w:rPr>
      <w:rFonts w:ascii="Arial" w:hAnsi="Arial" w:eastAsia="黑体"/>
      <w:sz w:val="24"/>
    </w:rPr>
  </w:style>
  <w:style w:type="character" w:styleId="1322" w:customStyle="1">
    <w:name w:val="标题 9 Char"/>
    <w:qFormat/>
    <w:rPr>
      <w:rFonts w:ascii="Arial" w:hAnsi="Arial" w:eastAsia="黑体"/>
      <w:sz w:val="21"/>
    </w:rPr>
  </w:style>
  <w:style w:type="character" w:styleId="1323" w:customStyle="1">
    <w:name w:val="文档结构图 Char"/>
    <w:qFormat/>
    <w:rPr>
      <w:sz w:val="21"/>
      <w:szCs w:val="24"/>
      <w:shd w:val="clear" w:color="auto" w:fill="000080"/>
    </w:rPr>
  </w:style>
  <w:style w:type="character" w:styleId="1324" w:customStyle="1">
    <w:name w:val="批注文字 Char1"/>
    <w:uiPriority w:val="99"/>
    <w:qFormat/>
    <w:rPr>
      <w:sz w:val="21"/>
      <w:szCs w:val="24"/>
    </w:rPr>
  </w:style>
  <w:style w:type="character" w:styleId="1325" w:customStyle="1">
    <w:name w:val="正文文本 3 Char"/>
    <w:qFormat/>
    <w:rPr>
      <w:sz w:val="16"/>
      <w:szCs w:val="16"/>
    </w:rPr>
  </w:style>
  <w:style w:type="character" w:styleId="1326" w:customStyle="1">
    <w:name w:val="正文文本 Char"/>
    <w:qFormat/>
    <w:rPr>
      <w:rFonts w:ascii="宋体" w:hAnsi="宋体"/>
      <w:sz w:val="24"/>
      <w:szCs w:val="24"/>
    </w:rPr>
  </w:style>
  <w:style w:type="character" w:styleId="1327" w:customStyle="1">
    <w:name w:val="正文文本缩进 Char2"/>
    <w:qFormat/>
    <w:rPr>
      <w:rFonts w:eastAsia="宋体"/>
      <w:sz w:val="24"/>
      <w:szCs w:val="24"/>
      <w:lang w:val="en-US" w:eastAsia="zh-CN" w:bidi="ar-SA"/>
    </w:rPr>
  </w:style>
  <w:style w:type="character" w:styleId="1328" w:customStyle="1">
    <w:name w:val="纯文本 Char"/>
    <w:uiPriority w:val="99"/>
    <w:qFormat/>
    <w:rPr>
      <w:rFonts w:hint="eastAsia" w:ascii="宋体" w:hAnsi="Courier New" w:eastAsia="宋体" w:cs="宋体"/>
      <w:sz w:val="21"/>
    </w:rPr>
  </w:style>
  <w:style w:type="character" w:styleId="1329" w:customStyle="1">
    <w:name w:val="日期 Char"/>
    <w:uiPriority w:val="99"/>
    <w:qFormat/>
    <w:rPr>
      <w:rFonts w:ascii="仿宋_GB2312" w:hAnsi="宋体" w:eastAsia="仿宋_GB2312"/>
      <w:color w:val="000000"/>
      <w:sz w:val="24"/>
      <w:szCs w:val="24"/>
    </w:rPr>
  </w:style>
  <w:style w:type="character" w:styleId="1330" w:customStyle="1">
    <w:name w:val="正文文本缩进 2 Char"/>
    <w:qFormat/>
    <w:rPr>
      <w:rFonts w:ascii="仿宋_GB2312" w:eastAsia="仿宋_GB2312"/>
      <w:sz w:val="24"/>
      <w:szCs w:val="24"/>
    </w:rPr>
  </w:style>
  <w:style w:type="character" w:styleId="1331" w:customStyle="1">
    <w:name w:val="批注框文本 Char"/>
    <w:uiPriority w:val="99"/>
    <w:qFormat/>
    <w:rPr>
      <w:sz w:val="18"/>
      <w:szCs w:val="18"/>
    </w:rPr>
  </w:style>
  <w:style w:type="character" w:styleId="1332" w:customStyle="1">
    <w:name w:val="页脚 Char1"/>
    <w:uiPriority w:val="99"/>
    <w:qFormat/>
    <w:rPr>
      <w:rFonts w:ascii="宋体" w:eastAsia="宋体"/>
      <w:sz w:val="18"/>
      <w:lang w:val="en-US" w:eastAsia="zh-CN" w:bidi="ar-SA"/>
    </w:rPr>
  </w:style>
  <w:style w:type="character" w:styleId="1333" w:customStyle="1">
    <w:name w:val="页眉 Char1"/>
    <w:qFormat/>
    <w:rPr>
      <w:rFonts w:eastAsia="宋体"/>
      <w:sz w:val="18"/>
      <w:szCs w:val="18"/>
      <w:lang w:val="en-US" w:eastAsia="zh-CN" w:bidi="ar-SA"/>
    </w:rPr>
  </w:style>
  <w:style w:type="character" w:styleId="1334" w:customStyle="1">
    <w:name w:val="正文文本缩进 3 Char"/>
    <w:qFormat/>
    <w:rPr>
      <w:rFonts w:ascii="宋体"/>
      <w:sz w:val="24"/>
    </w:rPr>
  </w:style>
  <w:style w:type="character" w:styleId="1335" w:customStyle="1">
    <w:name w:val="HTML 预设格式 Char"/>
    <w:qFormat/>
    <w:rPr>
      <w:rFonts w:ascii="宋体" w:hAnsi="宋体" w:cs="宋体"/>
      <w:sz w:val="24"/>
      <w:szCs w:val="24"/>
    </w:rPr>
  </w:style>
  <w:style w:type="character" w:styleId="1336" w:customStyle="1">
    <w:name w:val="标题 Char1"/>
    <w:qFormat/>
    <w:rPr>
      <w:b/>
      <w:sz w:val="32"/>
    </w:rPr>
  </w:style>
  <w:style w:type="character" w:styleId="1337" w:customStyle="1">
    <w:name w:val="批注主题 Char"/>
    <w:qFormat/>
    <w:rPr>
      <w:rFonts w:ascii="Times New Roman" w:hAnsi="Times New Roman" w:eastAsia="宋体" w:cs="Times New Roman"/>
      <w:b/>
      <w:bCs/>
      <w:sz w:val="21"/>
      <w:szCs w:val="24"/>
      <w:lang w:val="en-US" w:eastAsia="zh-CN" w:bidi="ar-SA"/>
    </w:rPr>
  </w:style>
  <w:style w:type="character" w:styleId="1338" w:customStyle="1">
    <w:name w:val="正文首行缩进 Char"/>
    <w:uiPriority w:val="99"/>
  </w:style>
  <w:style w:type="character" w:styleId="1339" w:customStyle="1">
    <w:name w:val="正文首行缩进 2 Char"/>
    <w:qFormat/>
    <w:rPr>
      <w:rFonts w:eastAsia="宋体"/>
      <w:sz w:val="24"/>
      <w:szCs w:val="24"/>
      <w:lang w:val="en-US" w:eastAsia="zh-CN" w:bidi="ar-SA"/>
    </w:rPr>
  </w:style>
  <w:style w:type="character" w:styleId="1340" w:customStyle="1">
    <w:name w:val="列出段落 Char1"/>
    <w:uiPriority w:val="34"/>
    <w:qFormat/>
    <w:rPr>
      <w:rFonts w:ascii="Calibri" w:hAnsi="Calibri" w:eastAsia="宋体"/>
      <w:sz w:val="21"/>
      <w:szCs w:val="22"/>
      <w:lang w:val="en-US" w:eastAsia="zh-CN" w:bidi="ar-SA"/>
    </w:rPr>
  </w:style>
  <w:style w:type="paragraph" w:styleId="1341" w:customStyle="1">
    <w:name w:val="_Style 2591"/>
    <w:uiPriority w:val="99"/>
    <w:qFormat/>
    <w:rPr>
      <w:sz w:val="21"/>
      <w:szCs w:val="24"/>
    </w:rPr>
  </w:style>
  <w:style w:type="character" w:styleId="1342" w:customStyle="1">
    <w:name w:val="font51"/>
    <w:qFormat/>
    <w:rPr>
      <w:rFonts w:hint="eastAsia" w:ascii="宋体" w:hAnsi="宋体" w:eastAsia="宋体" w:cs="宋体"/>
      <w:color w:val="000000"/>
      <w:sz w:val="18"/>
      <w:szCs w:val="18"/>
      <w:u w:val="none"/>
    </w:rPr>
  </w:style>
  <w:style w:type="character" w:styleId="1343" w:customStyle="1">
    <w:name w:val="font121"/>
    <w:qFormat/>
    <w:rPr>
      <w:rFonts w:hint="eastAsia" w:ascii="宋体" w:hAnsi="宋体" w:eastAsia="宋体" w:cs="宋体"/>
      <w:b/>
      <w:bCs/>
      <w:color w:val="000000"/>
      <w:sz w:val="18"/>
      <w:szCs w:val="18"/>
      <w:u w:val="none"/>
    </w:rPr>
  </w:style>
  <w:style w:type="character" w:styleId="1344" w:customStyle="1">
    <w:name w:val="font131"/>
    <w:qFormat/>
    <w:rPr>
      <w:rFonts w:ascii="Calibri" w:hAnsi="Calibri" w:cs="Calibri"/>
      <w:color w:val="000000"/>
      <w:sz w:val="18"/>
      <w:szCs w:val="18"/>
      <w:u w:val="none"/>
    </w:rPr>
  </w:style>
  <w:style w:type="table" w:styleId="1345" w:customStyle="1">
    <w:name w:val="无格式表格 12"/>
    <w:basedOn w:val="819"/>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46" w:customStyle="1">
    <w:name w:val="网格型浅色1"/>
    <w:basedOn w:val="819"/>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47" w:customStyle="1">
    <w:name w:val="Default Char"/>
    <w:link w:val="1045"/>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钟冠华</cp:lastModifiedBy>
  <cp:revision>21</cp:revision>
  <dcterms:created xsi:type="dcterms:W3CDTF">2025-11-26T08:40:00Z</dcterms:created>
  <dcterms:modified xsi:type="dcterms:W3CDTF">2026-04-30T07:25:45Z</dcterms:modified>
  <cp:version>917504</cp:version>
</cp:coreProperties>
</file>