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BA133">
      <w:pPr>
        <w:spacing w:before="120" w:after="120" w:line="360" w:lineRule="auto"/>
        <w:ind w:firstLine="1687"/>
        <w:jc w:val="left"/>
        <w:rPr>
          <w:rFonts w:hint="eastAsia" w:ascii="宋体" w:hAnsi="宋体" w:eastAsia="宋体" w:cs="宋体"/>
          <w:b/>
          <w:bCs/>
          <w:color w:val="auto"/>
          <w:sz w:val="84"/>
          <w:szCs w:val="24"/>
          <w:highlight w:val="none"/>
        </w:rPr>
      </w:pPr>
    </w:p>
    <w:p w14:paraId="1CD2BFC3">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 标 文 件</w:t>
      </w:r>
    </w:p>
    <w:p w14:paraId="77A725DF">
      <w:pPr>
        <w:spacing w:before="120" w:after="120" w:line="360" w:lineRule="auto"/>
        <w:ind w:firstLine="643"/>
        <w:jc w:val="left"/>
        <w:rPr>
          <w:rFonts w:hint="eastAsia" w:ascii="宋体" w:hAnsi="宋体" w:eastAsia="宋体" w:cs="宋体"/>
          <w:b/>
          <w:bCs/>
          <w:color w:val="auto"/>
          <w:sz w:val="32"/>
          <w:szCs w:val="24"/>
          <w:highlight w:val="none"/>
        </w:rPr>
      </w:pPr>
    </w:p>
    <w:p w14:paraId="64C0C62F">
      <w:pPr>
        <w:spacing w:before="120" w:after="120" w:line="360" w:lineRule="auto"/>
        <w:ind w:firstLine="643"/>
        <w:jc w:val="left"/>
        <w:rPr>
          <w:rFonts w:hint="eastAsia" w:ascii="宋体" w:hAnsi="宋体" w:eastAsia="宋体" w:cs="宋体"/>
          <w:b/>
          <w:bCs/>
          <w:color w:val="auto"/>
          <w:sz w:val="32"/>
          <w:szCs w:val="24"/>
          <w:highlight w:val="none"/>
        </w:rPr>
      </w:pPr>
    </w:p>
    <w:p w14:paraId="17F56B1B">
      <w:pPr>
        <w:spacing w:before="120" w:after="120" w:line="360" w:lineRule="auto"/>
        <w:ind w:firstLine="643"/>
        <w:jc w:val="left"/>
        <w:rPr>
          <w:rFonts w:hint="eastAsia" w:ascii="宋体" w:hAnsi="宋体" w:eastAsia="宋体" w:cs="宋体"/>
          <w:b/>
          <w:bCs/>
          <w:color w:val="auto"/>
          <w:sz w:val="32"/>
          <w:szCs w:val="24"/>
          <w:highlight w:val="none"/>
        </w:rPr>
      </w:pPr>
    </w:p>
    <w:p w14:paraId="2D23DD02">
      <w:pPr>
        <w:spacing w:line="600" w:lineRule="exact"/>
        <w:ind w:firstLine="723"/>
        <w:jc w:val="left"/>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项目编号：</w:t>
      </w:r>
      <w:r>
        <w:rPr>
          <w:rFonts w:hint="eastAsia" w:ascii="宋体" w:hAnsi="宋体" w:eastAsia="宋体" w:cs="宋体"/>
          <w:b/>
          <w:bCs/>
          <w:color w:val="auto"/>
          <w:sz w:val="36"/>
          <w:szCs w:val="24"/>
          <w:highlight w:val="none"/>
          <w:lang w:eastAsia="zh-CN"/>
        </w:rPr>
        <w:t>JSZC-320581-SZDS-G2026-0005</w:t>
      </w:r>
    </w:p>
    <w:p w14:paraId="5DCF9106">
      <w:pPr>
        <w:spacing w:line="600" w:lineRule="exact"/>
        <w:ind w:firstLine="723"/>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项目名称：</w:t>
      </w:r>
      <w:r>
        <w:rPr>
          <w:rFonts w:hint="eastAsia" w:ascii="宋体" w:hAnsi="宋体" w:eastAsia="宋体" w:cs="宋体"/>
          <w:b/>
          <w:bCs/>
          <w:color w:val="auto"/>
          <w:sz w:val="36"/>
          <w:szCs w:val="24"/>
          <w:highlight w:val="none"/>
          <w:lang w:eastAsia="zh-CN"/>
        </w:rPr>
        <w:t>常熟第二人民医院医用氧采购项目</w:t>
      </w:r>
    </w:p>
    <w:p w14:paraId="629119F7">
      <w:pPr>
        <w:spacing w:line="600" w:lineRule="exact"/>
        <w:ind w:firstLine="723"/>
        <w:jc w:val="lef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项目属性：货物类项目</w:t>
      </w:r>
    </w:p>
    <w:p w14:paraId="1720AAC5">
      <w:pPr>
        <w:spacing w:line="600" w:lineRule="exact"/>
        <w:ind w:firstLine="723"/>
        <w:jc w:val="lef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标的所属行业：工业</w:t>
      </w:r>
    </w:p>
    <w:p w14:paraId="3C587442">
      <w:pPr>
        <w:ind w:left="2100" w:firstLine="48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p>
    <w:p w14:paraId="5607AA4E">
      <w:pPr>
        <w:spacing w:line="360" w:lineRule="auto"/>
        <w:jc w:val="left"/>
        <w:rPr>
          <w:rFonts w:hint="eastAsia" w:ascii="宋体" w:hAnsi="宋体" w:eastAsia="宋体" w:cs="宋体"/>
          <w:color w:val="auto"/>
          <w:sz w:val="24"/>
          <w:szCs w:val="24"/>
          <w:highlight w:val="none"/>
        </w:rPr>
      </w:pPr>
    </w:p>
    <w:p w14:paraId="1AE53490">
      <w:pPr>
        <w:spacing w:line="360" w:lineRule="auto"/>
        <w:jc w:val="left"/>
        <w:rPr>
          <w:rFonts w:hint="eastAsia" w:ascii="宋体" w:hAnsi="宋体" w:eastAsia="宋体" w:cs="宋体"/>
          <w:color w:val="auto"/>
          <w:sz w:val="24"/>
          <w:szCs w:val="24"/>
          <w:highlight w:val="none"/>
        </w:rPr>
      </w:pPr>
    </w:p>
    <w:p w14:paraId="2E48B44D">
      <w:pPr>
        <w:spacing w:line="360" w:lineRule="auto"/>
        <w:jc w:val="left"/>
        <w:rPr>
          <w:rFonts w:hint="eastAsia" w:ascii="宋体" w:hAnsi="宋体" w:eastAsia="宋体" w:cs="宋体"/>
          <w:color w:val="auto"/>
          <w:sz w:val="24"/>
          <w:szCs w:val="24"/>
          <w:highlight w:val="none"/>
        </w:rPr>
      </w:pPr>
    </w:p>
    <w:p w14:paraId="694E0FE4">
      <w:pPr>
        <w:spacing w:line="360" w:lineRule="auto"/>
        <w:jc w:val="left"/>
        <w:rPr>
          <w:rFonts w:hint="eastAsia" w:ascii="宋体" w:hAnsi="宋体" w:eastAsia="宋体" w:cs="宋体"/>
          <w:color w:val="auto"/>
          <w:sz w:val="24"/>
          <w:szCs w:val="24"/>
          <w:highlight w:val="none"/>
        </w:rPr>
      </w:pPr>
    </w:p>
    <w:p w14:paraId="3A9B6774">
      <w:pPr>
        <w:spacing w:line="360" w:lineRule="auto"/>
        <w:jc w:val="left"/>
        <w:rPr>
          <w:rFonts w:hint="eastAsia" w:ascii="宋体" w:hAnsi="宋体" w:eastAsia="宋体" w:cs="宋体"/>
          <w:color w:val="auto"/>
          <w:sz w:val="24"/>
          <w:szCs w:val="24"/>
          <w:highlight w:val="none"/>
        </w:rPr>
      </w:pPr>
    </w:p>
    <w:p w14:paraId="070157BA">
      <w:pPr>
        <w:spacing w:line="360" w:lineRule="auto"/>
        <w:jc w:val="left"/>
        <w:rPr>
          <w:rFonts w:hint="eastAsia" w:ascii="宋体" w:hAnsi="宋体" w:eastAsia="宋体" w:cs="宋体"/>
          <w:color w:val="auto"/>
          <w:sz w:val="24"/>
          <w:szCs w:val="24"/>
          <w:highlight w:val="none"/>
        </w:rPr>
      </w:pPr>
    </w:p>
    <w:p w14:paraId="345E920A">
      <w:pPr>
        <w:pStyle w:val="14"/>
        <w:rPr>
          <w:rFonts w:hint="eastAsia" w:ascii="宋体" w:hAnsi="宋体" w:eastAsia="宋体" w:cs="宋体"/>
          <w:color w:val="auto"/>
          <w:sz w:val="24"/>
          <w:szCs w:val="24"/>
          <w:highlight w:val="none"/>
        </w:rPr>
      </w:pPr>
    </w:p>
    <w:p w14:paraId="31F1EE6F">
      <w:pPr>
        <w:pStyle w:val="14"/>
        <w:rPr>
          <w:rFonts w:hint="eastAsia" w:ascii="宋体" w:hAnsi="宋体" w:eastAsia="宋体" w:cs="宋体"/>
          <w:color w:val="auto"/>
          <w:highlight w:val="none"/>
        </w:rPr>
      </w:pPr>
    </w:p>
    <w:p w14:paraId="10B456B0">
      <w:pPr>
        <w:spacing w:line="360" w:lineRule="auto"/>
        <w:jc w:val="left"/>
        <w:rPr>
          <w:rFonts w:hint="eastAsia" w:ascii="宋体" w:hAnsi="宋体" w:eastAsia="宋体" w:cs="宋体"/>
          <w:color w:val="auto"/>
          <w:sz w:val="24"/>
          <w:szCs w:val="24"/>
          <w:highlight w:val="none"/>
        </w:rPr>
      </w:pPr>
    </w:p>
    <w:p w14:paraId="4D59B9D4">
      <w:pPr>
        <w:spacing w:before="120" w:after="120" w:line="360" w:lineRule="auto"/>
        <w:ind w:firstLine="723"/>
        <w:jc w:val="center"/>
        <w:rPr>
          <w:rFonts w:hint="eastAsia" w:ascii="宋体" w:hAnsi="宋体" w:eastAsia="宋体" w:cs="宋体"/>
          <w:b/>
          <w:bCs/>
          <w:color w:val="auto"/>
          <w:sz w:val="40"/>
          <w:szCs w:val="28"/>
          <w:highlight w:val="none"/>
          <w:lang w:eastAsia="zh-CN"/>
        </w:rPr>
      </w:pPr>
      <w:r>
        <w:rPr>
          <w:rFonts w:hint="eastAsia" w:ascii="宋体" w:hAnsi="宋体" w:eastAsia="宋体" w:cs="宋体"/>
          <w:b/>
          <w:bCs/>
          <w:color w:val="auto"/>
          <w:sz w:val="40"/>
          <w:szCs w:val="28"/>
          <w:highlight w:val="none"/>
          <w:lang w:eastAsia="zh-CN"/>
        </w:rPr>
        <w:t>苏州信达顺工程建设咨询有限公司</w:t>
      </w:r>
    </w:p>
    <w:p w14:paraId="210D85A4">
      <w:pPr>
        <w:spacing w:before="120" w:after="120" w:line="360" w:lineRule="auto"/>
        <w:ind w:firstLine="723"/>
        <w:jc w:val="center"/>
        <w:rPr>
          <w:rFonts w:hint="eastAsia" w:ascii="宋体" w:hAnsi="宋体" w:eastAsia="宋体" w:cs="宋体"/>
          <w:color w:val="auto"/>
          <w:sz w:val="32"/>
          <w:szCs w:val="28"/>
          <w:highlight w:val="none"/>
        </w:rPr>
      </w:pPr>
      <w:r>
        <w:rPr>
          <w:rFonts w:hint="eastAsia" w:ascii="宋体" w:hAnsi="宋体" w:eastAsia="宋体" w:cs="宋体"/>
          <w:b/>
          <w:bCs/>
          <w:color w:val="auto"/>
          <w:sz w:val="40"/>
          <w:szCs w:val="28"/>
          <w:highlight w:val="none"/>
          <w:lang w:eastAsia="zh-CN"/>
        </w:rPr>
        <w:t>2026</w:t>
      </w:r>
      <w:r>
        <w:rPr>
          <w:rFonts w:hint="eastAsia" w:ascii="宋体" w:hAnsi="宋体" w:eastAsia="宋体" w:cs="宋体"/>
          <w:b/>
          <w:bCs/>
          <w:color w:val="auto"/>
          <w:sz w:val="40"/>
          <w:szCs w:val="28"/>
          <w:highlight w:val="none"/>
        </w:rPr>
        <w:t>年</w:t>
      </w:r>
      <w:r>
        <w:rPr>
          <w:rFonts w:hint="eastAsia" w:ascii="宋体" w:hAnsi="宋体" w:eastAsia="宋体" w:cs="宋体"/>
          <w:b/>
          <w:bCs/>
          <w:color w:val="auto"/>
          <w:sz w:val="40"/>
          <w:szCs w:val="28"/>
          <w:highlight w:val="none"/>
          <w:lang w:val="en-US" w:eastAsia="zh-CN"/>
        </w:rPr>
        <w:t>05</w:t>
      </w:r>
      <w:r>
        <w:rPr>
          <w:rFonts w:hint="eastAsia" w:ascii="宋体" w:hAnsi="宋体" w:eastAsia="宋体" w:cs="宋体"/>
          <w:b/>
          <w:bCs/>
          <w:color w:val="auto"/>
          <w:sz w:val="40"/>
          <w:szCs w:val="28"/>
          <w:highlight w:val="none"/>
        </w:rPr>
        <w:t>月</w:t>
      </w:r>
      <w:r>
        <w:rPr>
          <w:rFonts w:hint="eastAsia" w:ascii="宋体" w:hAnsi="宋体" w:cs="宋体"/>
          <w:b/>
          <w:bCs/>
          <w:color w:val="auto"/>
          <w:sz w:val="40"/>
          <w:szCs w:val="28"/>
          <w:highlight w:val="none"/>
          <w:lang w:val="en-US" w:eastAsia="zh-CN"/>
        </w:rPr>
        <w:t>26</w:t>
      </w:r>
      <w:r>
        <w:rPr>
          <w:rFonts w:hint="eastAsia" w:ascii="宋体" w:hAnsi="宋体" w:eastAsia="宋体" w:cs="宋体"/>
          <w:b/>
          <w:bCs/>
          <w:color w:val="auto"/>
          <w:sz w:val="40"/>
          <w:szCs w:val="28"/>
          <w:highlight w:val="none"/>
        </w:rPr>
        <w:t>日</w:t>
      </w:r>
    </w:p>
    <w:p w14:paraId="151338B8">
      <w:pPr>
        <w:pStyle w:val="361"/>
        <w:ind w:firstLine="640"/>
        <w:jc w:val="center"/>
        <w:rPr>
          <w:rFonts w:hint="eastAsia" w:ascii="宋体" w:hAnsi="宋体" w:eastAsia="宋体" w:cs="宋体"/>
          <w:b/>
          <w:bCs/>
          <w:color w:val="auto"/>
          <w:highlight w:val="none"/>
        </w:rPr>
      </w:pPr>
      <w:r>
        <w:rPr>
          <w:rFonts w:hint="eastAsia" w:ascii="宋体" w:hAnsi="宋体" w:eastAsia="宋体" w:cs="宋体"/>
          <w:color w:val="auto"/>
          <w:szCs w:val="21"/>
          <w:highlight w:val="none"/>
        </w:rPr>
        <w:br w:type="page" w:clear="all"/>
      </w:r>
      <w:bookmarkStart w:id="0" w:name="_Toc120614210"/>
      <w:bookmarkStart w:id="1" w:name="_Toc20823272"/>
      <w:bookmarkStart w:id="2" w:name="_Toc479757206"/>
      <w:bookmarkStart w:id="3" w:name="_Toc16938516"/>
      <w:bookmarkStart w:id="4" w:name="_Toc523127445"/>
      <w:bookmarkStart w:id="5" w:name="_Toc513029200"/>
      <w:r>
        <w:rPr>
          <w:rFonts w:hint="eastAsia" w:ascii="宋体" w:hAnsi="宋体" w:eastAsia="宋体" w:cs="宋体"/>
          <w:b/>
          <w:bCs/>
          <w:color w:val="auto"/>
          <w:highlight w:val="none"/>
          <w:lang w:val="zh-CN"/>
        </w:rPr>
        <w:t>目录</w:t>
      </w:r>
    </w:p>
    <w:p w14:paraId="04F50897">
      <w:pPr>
        <w:pStyle w:val="27"/>
        <w:tabs>
          <w:tab w:val="right" w:leader="dot" w:pos="10466"/>
        </w:tabs>
        <w:rPr>
          <w:rFonts w:hint="eastAsia" w:ascii="宋体" w:hAnsi="宋体" w:eastAsia="宋体" w:cs="宋体"/>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_Toc7712 </w:instrText>
      </w:r>
      <w:r>
        <w:rPr>
          <w:rFonts w:hint="eastAsia" w:ascii="宋体" w:hAnsi="宋体" w:eastAsia="宋体" w:cs="宋体"/>
          <w:szCs w:val="24"/>
          <w:highlight w:val="none"/>
        </w:rPr>
        <w:fldChar w:fldCharType="separate"/>
      </w:r>
      <w:r>
        <w:rPr>
          <w:rFonts w:hint="eastAsia" w:ascii="宋体" w:hAnsi="宋体" w:eastAsia="宋体" w:cs="宋体"/>
          <w:bCs/>
          <w:szCs w:val="40"/>
          <w:highlight w:val="none"/>
        </w:rPr>
        <w:t>第一章  投标邀请</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_Toc7712 \h </w:instrText>
      </w:r>
      <w:r>
        <w:rPr>
          <w:rFonts w:hint="eastAsia" w:ascii="宋体" w:hAnsi="宋体" w:eastAsia="宋体" w:cs="宋体"/>
          <w:highlight w:val="none"/>
        </w:rPr>
        <w:fldChar w:fldCharType="separate"/>
      </w:r>
      <w:r>
        <w:rPr>
          <w:rFonts w:hint="eastAsia" w:ascii="宋体" w:hAnsi="宋体" w:eastAsia="宋体" w:cs="宋体"/>
          <w:highlight w:val="none"/>
        </w:rPr>
        <w:t>1</w:t>
      </w:r>
      <w:r>
        <w:rPr>
          <w:rFonts w:hint="eastAsia" w:ascii="宋体" w:hAnsi="宋体" w:eastAsia="宋体" w:cs="宋体"/>
          <w:highlight w:val="none"/>
        </w:rPr>
        <w:fldChar w:fldCharType="end"/>
      </w:r>
      <w:r>
        <w:rPr>
          <w:rFonts w:hint="eastAsia" w:ascii="宋体" w:hAnsi="宋体" w:eastAsia="宋体" w:cs="宋体"/>
          <w:color w:val="auto"/>
          <w:szCs w:val="24"/>
          <w:highlight w:val="none"/>
        </w:rPr>
        <w:fldChar w:fldCharType="end"/>
      </w:r>
    </w:p>
    <w:p w14:paraId="17147723">
      <w:pPr>
        <w:pStyle w:val="27"/>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_Toc21902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_Toc21902 \h </w:instrText>
      </w:r>
      <w:r>
        <w:rPr>
          <w:rFonts w:hint="eastAsia" w:ascii="宋体" w:hAnsi="宋体" w:eastAsia="宋体" w:cs="宋体"/>
          <w:highlight w:val="none"/>
        </w:rPr>
        <w:fldChar w:fldCharType="separate"/>
      </w:r>
      <w:r>
        <w:rPr>
          <w:rFonts w:hint="eastAsia" w:ascii="宋体" w:hAnsi="宋体" w:eastAsia="宋体" w:cs="宋体"/>
          <w:highlight w:val="none"/>
        </w:rPr>
        <w:t>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3EFF1D43">
      <w:pPr>
        <w:pStyle w:val="27"/>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_Toc21317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第三章  合同文本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_Toc21317 \h </w:instrText>
      </w:r>
      <w:r>
        <w:rPr>
          <w:rFonts w:hint="eastAsia" w:ascii="宋体" w:hAnsi="宋体" w:eastAsia="宋体" w:cs="宋体"/>
          <w:highlight w:val="none"/>
        </w:rPr>
        <w:fldChar w:fldCharType="separate"/>
      </w:r>
      <w:r>
        <w:rPr>
          <w:rFonts w:hint="eastAsia" w:ascii="宋体" w:hAnsi="宋体" w:eastAsia="宋体" w:cs="宋体"/>
          <w:highlight w:val="none"/>
        </w:rPr>
        <w:t>13</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5E5A325D">
      <w:pPr>
        <w:pStyle w:val="27"/>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_Toc1426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_Toc1426 \h </w:instrText>
      </w:r>
      <w:r>
        <w:rPr>
          <w:rFonts w:hint="eastAsia" w:ascii="宋体" w:hAnsi="宋体" w:eastAsia="宋体" w:cs="宋体"/>
          <w:highlight w:val="none"/>
        </w:rPr>
        <w:fldChar w:fldCharType="separate"/>
      </w:r>
      <w:r>
        <w:rPr>
          <w:rFonts w:hint="eastAsia" w:ascii="宋体" w:hAnsi="宋体" w:eastAsia="宋体" w:cs="宋体"/>
          <w:highlight w:val="none"/>
        </w:rPr>
        <w:t>21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0D6CC921">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_Toc26113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一、项目说明：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_Toc26113 \h </w:instrText>
      </w:r>
      <w:r>
        <w:rPr>
          <w:rFonts w:hint="eastAsia" w:ascii="宋体" w:hAnsi="宋体" w:eastAsia="宋体" w:cs="宋体"/>
          <w:highlight w:val="none"/>
        </w:rPr>
        <w:fldChar w:fldCharType="separate"/>
      </w:r>
      <w:r>
        <w:rPr>
          <w:rFonts w:hint="eastAsia" w:ascii="宋体" w:hAnsi="宋体" w:eastAsia="宋体" w:cs="宋体"/>
          <w:highlight w:val="none"/>
        </w:rPr>
        <w:t>21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3C344CD3">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_Toc12700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二、需求清单：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_Toc12700 \h </w:instrText>
      </w:r>
      <w:r>
        <w:rPr>
          <w:rFonts w:hint="eastAsia" w:ascii="宋体" w:hAnsi="宋体" w:eastAsia="宋体" w:cs="宋体"/>
          <w:highlight w:val="none"/>
        </w:rPr>
        <w:fldChar w:fldCharType="separate"/>
      </w:r>
      <w:r>
        <w:rPr>
          <w:rFonts w:hint="eastAsia" w:ascii="宋体" w:hAnsi="宋体" w:eastAsia="宋体" w:cs="宋体"/>
          <w:highlight w:val="none"/>
        </w:rPr>
        <w:t>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4010A97C">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_Toc20292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三、技术性能参数要求：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_Toc20292 \h </w:instrText>
      </w:r>
      <w:r>
        <w:rPr>
          <w:rFonts w:hint="eastAsia" w:ascii="宋体" w:hAnsi="宋体" w:eastAsia="宋体" w:cs="宋体"/>
          <w:highlight w:val="none"/>
        </w:rPr>
        <w:fldChar w:fldCharType="separate"/>
      </w:r>
      <w:r>
        <w:rPr>
          <w:rFonts w:hint="eastAsia" w:ascii="宋体" w:hAnsi="宋体" w:eastAsia="宋体" w:cs="宋体"/>
          <w:highlight w:val="none"/>
        </w:rPr>
        <w:t>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72BA60F8">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_Toc24404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（一）技术规格要求：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_Toc24404 \h </w:instrText>
      </w:r>
      <w:r>
        <w:rPr>
          <w:rFonts w:hint="eastAsia" w:ascii="宋体" w:hAnsi="宋体" w:eastAsia="宋体" w:cs="宋体"/>
          <w:highlight w:val="none"/>
        </w:rPr>
        <w:fldChar w:fldCharType="separate"/>
      </w:r>
      <w:r>
        <w:rPr>
          <w:rFonts w:hint="eastAsia" w:ascii="宋体" w:hAnsi="宋体" w:eastAsia="宋体" w:cs="宋体"/>
          <w:highlight w:val="none"/>
        </w:rPr>
        <w:t>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3374D113">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_Toc29881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（二）其他要求：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_Toc29881 \h </w:instrText>
      </w:r>
      <w:r>
        <w:rPr>
          <w:rFonts w:hint="eastAsia" w:ascii="宋体" w:hAnsi="宋体" w:eastAsia="宋体" w:cs="宋体"/>
          <w:highlight w:val="none"/>
        </w:rPr>
        <w:fldChar w:fldCharType="separate"/>
      </w:r>
      <w:r>
        <w:rPr>
          <w:rFonts w:hint="eastAsia" w:ascii="宋体" w:hAnsi="宋体" w:eastAsia="宋体" w:cs="宋体"/>
          <w:highlight w:val="none"/>
        </w:rPr>
        <w:t>22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08B5DAE1">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_Toc8631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四</w:t>
      </w:r>
      <w:r>
        <w:rPr>
          <w:rFonts w:hint="eastAsia" w:ascii="宋体" w:hAnsi="宋体" w:eastAsia="宋体" w:cs="宋体"/>
          <w:bCs/>
          <w:highlight w:val="none"/>
        </w:rPr>
        <w:t>、投标报价要求：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_Toc8631 \h </w:instrText>
      </w:r>
      <w:r>
        <w:rPr>
          <w:rFonts w:hint="eastAsia" w:ascii="宋体" w:hAnsi="宋体" w:eastAsia="宋体" w:cs="宋体"/>
          <w:highlight w:val="none"/>
        </w:rPr>
        <w:fldChar w:fldCharType="separate"/>
      </w:r>
      <w:r>
        <w:rPr>
          <w:rFonts w:hint="eastAsia" w:ascii="宋体" w:hAnsi="宋体" w:eastAsia="宋体" w:cs="宋体"/>
          <w:highlight w:val="none"/>
        </w:rPr>
        <w:t>23</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48F241E9">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_Toc22892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五、质量保证及售后服务要求：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_Toc22892 \h </w:instrText>
      </w:r>
      <w:r>
        <w:rPr>
          <w:rFonts w:hint="eastAsia" w:ascii="宋体" w:hAnsi="宋体" w:eastAsia="宋体" w:cs="宋体"/>
          <w:highlight w:val="none"/>
        </w:rPr>
        <w:fldChar w:fldCharType="separate"/>
      </w:r>
      <w:r>
        <w:rPr>
          <w:rFonts w:hint="eastAsia" w:ascii="宋体" w:hAnsi="宋体" w:eastAsia="宋体" w:cs="宋体"/>
          <w:highlight w:val="none"/>
        </w:rPr>
        <w:t>24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153B7D4C">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_Toc9142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六、验收要求：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_Toc9142 \h </w:instrText>
      </w:r>
      <w:r>
        <w:rPr>
          <w:rFonts w:hint="eastAsia" w:ascii="宋体" w:hAnsi="宋体" w:eastAsia="宋体" w:cs="宋体"/>
          <w:highlight w:val="none"/>
        </w:rPr>
        <w:fldChar w:fldCharType="separate"/>
      </w:r>
      <w:r>
        <w:rPr>
          <w:rFonts w:hint="eastAsia" w:ascii="宋体" w:hAnsi="宋体" w:eastAsia="宋体" w:cs="宋体"/>
          <w:highlight w:val="none"/>
        </w:rPr>
        <w:t>24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0CFFA280">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_Toc10311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七、其他：</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_Toc10311 \h </w:instrText>
      </w:r>
      <w:r>
        <w:rPr>
          <w:rFonts w:hint="eastAsia" w:ascii="宋体" w:hAnsi="宋体" w:eastAsia="宋体" w:cs="宋体"/>
          <w:highlight w:val="none"/>
        </w:rPr>
        <w:fldChar w:fldCharType="separate"/>
      </w:r>
      <w:r>
        <w:rPr>
          <w:rFonts w:hint="eastAsia" w:ascii="宋体" w:hAnsi="宋体" w:eastAsia="宋体" w:cs="宋体"/>
          <w:highlight w:val="none"/>
        </w:rPr>
        <w:t>25</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26BA56F5">
      <w:pPr>
        <w:pStyle w:val="27"/>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_Toc2352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第五章  评标方法与评标标准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_Toc2352 \h </w:instrText>
      </w:r>
      <w:r>
        <w:rPr>
          <w:rFonts w:hint="eastAsia" w:ascii="宋体" w:hAnsi="宋体" w:eastAsia="宋体" w:cs="宋体"/>
          <w:highlight w:val="none"/>
        </w:rPr>
        <w:fldChar w:fldCharType="separate"/>
      </w:r>
      <w:r>
        <w:rPr>
          <w:rFonts w:hint="eastAsia" w:ascii="宋体" w:hAnsi="宋体" w:eastAsia="宋体" w:cs="宋体"/>
          <w:highlight w:val="none"/>
        </w:rPr>
        <w:t>26</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2368DFF5">
      <w:pPr>
        <w:pStyle w:val="27"/>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_Toc4052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第六章  投标文件格式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_Toc4052 \h </w:instrText>
      </w:r>
      <w:r>
        <w:rPr>
          <w:rFonts w:hint="eastAsia" w:ascii="宋体" w:hAnsi="宋体" w:eastAsia="宋体" w:cs="宋体"/>
          <w:highlight w:val="none"/>
        </w:rPr>
        <w:fldChar w:fldCharType="separate"/>
      </w:r>
      <w:r>
        <w:rPr>
          <w:rFonts w:hint="eastAsia" w:ascii="宋体" w:hAnsi="宋体" w:eastAsia="宋体" w:cs="宋体"/>
          <w:highlight w:val="none"/>
        </w:rPr>
        <w:t>31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7B6AF85B">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_Toc24641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 开标一览表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_Toc24641 \h </w:instrText>
      </w:r>
      <w:r>
        <w:rPr>
          <w:rFonts w:hint="eastAsia" w:ascii="宋体" w:hAnsi="宋体" w:eastAsia="宋体" w:cs="宋体"/>
          <w:highlight w:val="none"/>
        </w:rPr>
        <w:fldChar w:fldCharType="separate"/>
      </w:r>
      <w:r>
        <w:rPr>
          <w:rFonts w:hint="eastAsia" w:ascii="宋体" w:hAnsi="宋体" w:eastAsia="宋体" w:cs="宋体"/>
          <w:highlight w:val="none"/>
        </w:rPr>
        <w:t>34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2399A68">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_Toc24737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附件2 报价明细表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_Toc24737 \h </w:instrText>
      </w:r>
      <w:r>
        <w:rPr>
          <w:rFonts w:hint="eastAsia" w:ascii="宋体" w:hAnsi="宋体" w:eastAsia="宋体" w:cs="宋体"/>
          <w:highlight w:val="none"/>
        </w:rPr>
        <w:fldChar w:fldCharType="separate"/>
      </w:r>
      <w:r>
        <w:rPr>
          <w:rFonts w:hint="eastAsia" w:ascii="宋体" w:hAnsi="宋体" w:eastAsia="宋体" w:cs="宋体"/>
          <w:highlight w:val="none"/>
        </w:rPr>
        <w:t>35</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C368142">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_Toc28281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附件3 技术参数响应及偏离表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_Toc28281 \h </w:instrText>
      </w:r>
      <w:r>
        <w:rPr>
          <w:rFonts w:hint="eastAsia" w:ascii="宋体" w:hAnsi="宋体" w:eastAsia="宋体" w:cs="宋体"/>
          <w:highlight w:val="none"/>
        </w:rPr>
        <w:fldChar w:fldCharType="separate"/>
      </w:r>
      <w:r>
        <w:rPr>
          <w:rFonts w:hint="eastAsia" w:ascii="宋体" w:hAnsi="宋体" w:eastAsia="宋体" w:cs="宋体"/>
          <w:highlight w:val="none"/>
        </w:rPr>
        <w:t>36</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1C56BFA1">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_Toc11324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附件4 投标货物综合说明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_Toc11324 \h </w:instrText>
      </w:r>
      <w:r>
        <w:rPr>
          <w:rFonts w:hint="eastAsia" w:ascii="宋体" w:hAnsi="宋体" w:eastAsia="宋体" w:cs="宋体"/>
          <w:highlight w:val="none"/>
        </w:rPr>
        <w:fldChar w:fldCharType="separate"/>
      </w:r>
      <w:r>
        <w:rPr>
          <w:rFonts w:hint="eastAsia" w:ascii="宋体" w:hAnsi="宋体" w:eastAsia="宋体" w:cs="宋体"/>
          <w:highlight w:val="none"/>
        </w:rPr>
        <w:t>37</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34976F35">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_Toc16516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5</w:t>
      </w:r>
      <w:r>
        <w:rPr>
          <w:rFonts w:hint="eastAsia" w:ascii="宋体" w:hAnsi="宋体" w:eastAsia="宋体" w:cs="宋体"/>
          <w:bCs/>
          <w:szCs w:val="28"/>
          <w:highlight w:val="none"/>
        </w:rPr>
        <w:t xml:space="preserve"> 项目实施方案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_Toc16516 \h </w:instrText>
      </w:r>
      <w:r>
        <w:rPr>
          <w:rFonts w:hint="eastAsia" w:ascii="宋体" w:hAnsi="宋体" w:eastAsia="宋体" w:cs="宋体"/>
          <w:highlight w:val="none"/>
        </w:rPr>
        <w:fldChar w:fldCharType="separate"/>
      </w:r>
      <w:r>
        <w:rPr>
          <w:rFonts w:hint="eastAsia" w:ascii="宋体" w:hAnsi="宋体" w:eastAsia="宋体" w:cs="宋体"/>
          <w:highlight w:val="none"/>
        </w:rPr>
        <w:t>38</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1CDBAC14">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_Toc20645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附件6 </w:t>
      </w:r>
      <w:r>
        <w:rPr>
          <w:rFonts w:hint="eastAsia" w:ascii="宋体" w:hAnsi="宋体" w:eastAsia="宋体" w:cs="宋体"/>
          <w:bCs/>
          <w:szCs w:val="28"/>
          <w:highlight w:val="none"/>
          <w:lang w:val="en-US" w:eastAsia="zh-CN"/>
        </w:rPr>
        <w:t>实质性要求响应及偏离表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_Toc20645 \h </w:instrText>
      </w:r>
      <w:r>
        <w:rPr>
          <w:rFonts w:hint="eastAsia" w:ascii="宋体" w:hAnsi="宋体" w:eastAsia="宋体" w:cs="宋体"/>
          <w:highlight w:val="none"/>
        </w:rPr>
        <w:fldChar w:fldCharType="separate"/>
      </w:r>
      <w:r>
        <w:rPr>
          <w:rFonts w:hint="eastAsia" w:ascii="宋体" w:hAnsi="宋体" w:eastAsia="宋体" w:cs="宋体"/>
          <w:highlight w:val="none"/>
        </w:rPr>
        <w:t>39</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5F534F52">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_Toc22593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附件7 </w:t>
      </w:r>
      <w:r>
        <w:rPr>
          <w:rFonts w:hint="eastAsia" w:ascii="宋体" w:hAnsi="宋体" w:eastAsia="宋体" w:cs="宋体"/>
          <w:bCs/>
          <w:szCs w:val="28"/>
          <w:highlight w:val="none"/>
          <w:lang w:val="en-US" w:eastAsia="zh-CN"/>
        </w:rPr>
        <w:t>质量保证及售后服务承诺</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_Toc22593 \h </w:instrText>
      </w:r>
      <w:r>
        <w:rPr>
          <w:rFonts w:hint="eastAsia" w:ascii="宋体" w:hAnsi="宋体" w:eastAsia="宋体" w:cs="宋体"/>
          <w:highlight w:val="none"/>
        </w:rPr>
        <w:fldChar w:fldCharType="separate"/>
      </w:r>
      <w:r>
        <w:rPr>
          <w:rFonts w:hint="eastAsia" w:ascii="宋体" w:hAnsi="宋体" w:eastAsia="宋体" w:cs="宋体"/>
          <w:highlight w:val="none"/>
        </w:rPr>
        <w:t>40</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9AC734F">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_Toc31904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附件8 业绩一览表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_Toc31904 \h </w:instrText>
      </w:r>
      <w:r>
        <w:rPr>
          <w:rFonts w:hint="eastAsia" w:ascii="宋体" w:hAnsi="宋体" w:eastAsia="宋体" w:cs="宋体"/>
          <w:highlight w:val="none"/>
        </w:rPr>
        <w:fldChar w:fldCharType="separate"/>
      </w:r>
      <w:r>
        <w:rPr>
          <w:rFonts w:hint="eastAsia" w:ascii="宋体" w:hAnsi="宋体" w:eastAsia="宋体" w:cs="宋体"/>
          <w:highlight w:val="none"/>
        </w:rPr>
        <w:t>41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F0B7971">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_Toc29788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附件9 商务要求响应及偏离表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_Toc29788 \h </w:instrText>
      </w:r>
      <w:r>
        <w:rPr>
          <w:rFonts w:hint="eastAsia" w:ascii="宋体" w:hAnsi="宋体" w:eastAsia="宋体" w:cs="宋体"/>
          <w:highlight w:val="none"/>
        </w:rPr>
        <w:fldChar w:fldCharType="separate"/>
      </w:r>
      <w:r>
        <w:rPr>
          <w:rFonts w:hint="eastAsia" w:ascii="宋体" w:hAnsi="宋体" w:eastAsia="宋体" w:cs="宋体"/>
          <w:highlight w:val="none"/>
        </w:rPr>
        <w:t>42</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5228B2CF">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_Toc23378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10</w:t>
      </w:r>
      <w:r>
        <w:rPr>
          <w:rFonts w:hint="eastAsia" w:ascii="宋体" w:hAnsi="宋体" w:eastAsia="宋体" w:cs="宋体"/>
          <w:bCs/>
          <w:szCs w:val="28"/>
          <w:highlight w:val="none"/>
        </w:rPr>
        <w:t xml:space="preserve"> 具备履行合同所必需的人员和专业技术能力的书面声明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_Toc23378 \h </w:instrText>
      </w:r>
      <w:r>
        <w:rPr>
          <w:rFonts w:hint="eastAsia" w:ascii="宋体" w:hAnsi="宋体" w:eastAsia="宋体" w:cs="宋体"/>
          <w:highlight w:val="none"/>
        </w:rPr>
        <w:fldChar w:fldCharType="separate"/>
      </w:r>
      <w:r>
        <w:rPr>
          <w:rFonts w:hint="eastAsia" w:ascii="宋体" w:hAnsi="宋体" w:eastAsia="宋体" w:cs="宋体"/>
          <w:highlight w:val="none"/>
        </w:rPr>
        <w:t>43</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4211581A">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_Toc1505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11</w:t>
      </w:r>
      <w:r>
        <w:rPr>
          <w:rFonts w:hint="eastAsia" w:ascii="宋体" w:hAnsi="宋体" w:eastAsia="宋体" w:cs="宋体"/>
          <w:bCs/>
          <w:szCs w:val="28"/>
          <w:highlight w:val="none"/>
        </w:rPr>
        <w:t xml:space="preserve"> 参加政府采购活动前 3 年内在经营活动中没有重大违法记录的书面声明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_Toc1505 \h </w:instrText>
      </w:r>
      <w:r>
        <w:rPr>
          <w:rFonts w:hint="eastAsia" w:ascii="宋体" w:hAnsi="宋体" w:eastAsia="宋体" w:cs="宋体"/>
          <w:highlight w:val="none"/>
        </w:rPr>
        <w:fldChar w:fldCharType="separate"/>
      </w:r>
      <w:r>
        <w:rPr>
          <w:rFonts w:hint="eastAsia" w:ascii="宋体" w:hAnsi="宋体" w:eastAsia="宋体" w:cs="宋体"/>
          <w:highlight w:val="none"/>
        </w:rPr>
        <w:t>44</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14F18FAA">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_Toc18957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12</w:t>
      </w:r>
      <w:r>
        <w:rPr>
          <w:rFonts w:hint="eastAsia" w:ascii="宋体" w:hAnsi="宋体" w:eastAsia="宋体" w:cs="宋体"/>
          <w:bCs/>
          <w:szCs w:val="28"/>
          <w:highlight w:val="none"/>
        </w:rPr>
        <w:t xml:space="preserve"> 法人授权书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_Toc18957 \h </w:instrText>
      </w:r>
      <w:r>
        <w:rPr>
          <w:rFonts w:hint="eastAsia" w:ascii="宋体" w:hAnsi="宋体" w:eastAsia="宋体" w:cs="宋体"/>
          <w:highlight w:val="none"/>
        </w:rPr>
        <w:fldChar w:fldCharType="separate"/>
      </w:r>
      <w:r>
        <w:rPr>
          <w:rFonts w:hint="eastAsia" w:ascii="宋体" w:hAnsi="宋体" w:eastAsia="宋体" w:cs="宋体"/>
          <w:highlight w:val="none"/>
        </w:rPr>
        <w:t>45</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4EEF8231">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_Toc19314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13</w:t>
      </w:r>
      <w:r>
        <w:rPr>
          <w:rFonts w:hint="eastAsia" w:ascii="宋体" w:hAnsi="宋体" w:eastAsia="宋体" w:cs="宋体"/>
          <w:bCs/>
          <w:szCs w:val="28"/>
          <w:highlight w:val="none"/>
        </w:rPr>
        <w:t xml:space="preserve"> 中小企业声明函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_Toc19314 \h </w:instrText>
      </w:r>
      <w:r>
        <w:rPr>
          <w:rFonts w:hint="eastAsia" w:ascii="宋体" w:hAnsi="宋体" w:eastAsia="宋体" w:cs="宋体"/>
          <w:highlight w:val="none"/>
        </w:rPr>
        <w:fldChar w:fldCharType="separate"/>
      </w:r>
      <w:r>
        <w:rPr>
          <w:rFonts w:hint="eastAsia" w:ascii="宋体" w:hAnsi="宋体" w:eastAsia="宋体" w:cs="宋体"/>
          <w:highlight w:val="none"/>
        </w:rPr>
        <w:t>46</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8FD0BD6">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_Toc20792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w:t>
      </w:r>
      <w:r>
        <w:rPr>
          <w:rFonts w:hint="eastAsia" w:ascii="宋体" w:hAnsi="宋体" w:eastAsia="宋体" w:cs="宋体"/>
          <w:bCs/>
          <w:szCs w:val="28"/>
          <w:highlight w:val="none"/>
          <w:lang w:val="en-US" w:eastAsia="zh-CN"/>
        </w:rPr>
        <w:t>4</w:t>
      </w:r>
      <w:r>
        <w:rPr>
          <w:rFonts w:hint="eastAsia" w:ascii="宋体" w:hAnsi="宋体" w:eastAsia="宋体" w:cs="宋体"/>
          <w:bCs/>
          <w:szCs w:val="28"/>
          <w:highlight w:val="none"/>
        </w:rPr>
        <w:t xml:space="preserve"> 残疾人福利性单位声明函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_Toc20792 \h </w:instrText>
      </w:r>
      <w:r>
        <w:rPr>
          <w:rFonts w:hint="eastAsia" w:ascii="宋体" w:hAnsi="宋体" w:eastAsia="宋体" w:cs="宋体"/>
          <w:highlight w:val="none"/>
        </w:rPr>
        <w:fldChar w:fldCharType="separate"/>
      </w:r>
      <w:r>
        <w:rPr>
          <w:rFonts w:hint="eastAsia" w:ascii="宋体" w:hAnsi="宋体" w:eastAsia="宋体" w:cs="宋体"/>
          <w:highlight w:val="none"/>
        </w:rPr>
        <w:t>47</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70730C8A">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_Toc1783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w:t>
      </w:r>
      <w:r>
        <w:rPr>
          <w:rFonts w:hint="eastAsia" w:ascii="宋体" w:hAnsi="宋体" w:eastAsia="宋体" w:cs="宋体"/>
          <w:bCs/>
          <w:szCs w:val="28"/>
          <w:highlight w:val="none"/>
          <w:lang w:val="en-US" w:eastAsia="zh-CN"/>
        </w:rPr>
        <w:t>5</w:t>
      </w:r>
      <w:r>
        <w:rPr>
          <w:rFonts w:hint="eastAsia" w:ascii="宋体" w:hAnsi="宋体" w:eastAsia="宋体" w:cs="宋体"/>
          <w:bCs/>
          <w:szCs w:val="28"/>
          <w:highlight w:val="none"/>
        </w:rPr>
        <w:t xml:space="preserve"> 投标函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_Toc1783 \h </w:instrText>
      </w:r>
      <w:r>
        <w:rPr>
          <w:rFonts w:hint="eastAsia" w:ascii="宋体" w:hAnsi="宋体" w:eastAsia="宋体" w:cs="宋体"/>
          <w:highlight w:val="none"/>
        </w:rPr>
        <w:fldChar w:fldCharType="separate"/>
      </w:r>
      <w:r>
        <w:rPr>
          <w:rFonts w:hint="eastAsia" w:ascii="宋体" w:hAnsi="宋体" w:eastAsia="宋体" w:cs="宋体"/>
          <w:highlight w:val="none"/>
        </w:rPr>
        <w:t>48</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85D9F8C">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_Toc8628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w:t>
      </w:r>
      <w:r>
        <w:rPr>
          <w:rFonts w:hint="eastAsia" w:ascii="宋体" w:hAnsi="宋体" w:eastAsia="宋体" w:cs="宋体"/>
          <w:bCs/>
          <w:szCs w:val="28"/>
          <w:highlight w:val="none"/>
          <w:lang w:val="en-US" w:eastAsia="zh-CN"/>
        </w:rPr>
        <w:t>6</w:t>
      </w:r>
      <w:r>
        <w:rPr>
          <w:rFonts w:hint="eastAsia" w:ascii="宋体" w:hAnsi="宋体" w:eastAsia="宋体" w:cs="宋体"/>
          <w:bCs/>
          <w:szCs w:val="28"/>
          <w:highlight w:val="none"/>
        </w:rPr>
        <w:t xml:space="preserve"> </w:t>
      </w:r>
      <w:r>
        <w:rPr>
          <w:rFonts w:hint="eastAsia" w:ascii="宋体" w:hAnsi="宋体" w:eastAsia="宋体" w:cs="宋体"/>
          <w:bCs/>
          <w:szCs w:val="28"/>
          <w:highlight w:val="none"/>
          <w:lang w:val="en-US" w:eastAsia="zh-CN"/>
        </w:rPr>
        <w:t>供应商与其他</w:t>
      </w:r>
      <w:bookmarkStart w:id="411" w:name="_GoBack"/>
      <w:bookmarkEnd w:id="411"/>
      <w:r>
        <w:rPr>
          <w:rFonts w:hint="eastAsia" w:ascii="宋体" w:hAnsi="宋体" w:eastAsia="宋体" w:cs="宋体"/>
          <w:bCs/>
          <w:szCs w:val="28"/>
          <w:highlight w:val="none"/>
          <w:lang w:val="en-US" w:eastAsia="zh-CN"/>
        </w:rPr>
        <w:t>单位存在直接控股、管理关系情况表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_Toc8628 \h </w:instrText>
      </w:r>
      <w:r>
        <w:rPr>
          <w:rFonts w:hint="eastAsia" w:ascii="宋体" w:hAnsi="宋体" w:eastAsia="宋体" w:cs="宋体"/>
          <w:highlight w:val="none"/>
        </w:rPr>
        <w:fldChar w:fldCharType="separate"/>
      </w:r>
      <w:r>
        <w:rPr>
          <w:rFonts w:hint="eastAsia" w:ascii="宋体" w:hAnsi="宋体" w:eastAsia="宋体" w:cs="宋体"/>
          <w:highlight w:val="none"/>
        </w:rPr>
        <w:t>49</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41918AE6">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_Toc10756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w:t>
      </w:r>
      <w:r>
        <w:rPr>
          <w:rFonts w:hint="eastAsia" w:ascii="宋体" w:hAnsi="宋体" w:eastAsia="宋体" w:cs="宋体"/>
          <w:bCs/>
          <w:szCs w:val="28"/>
          <w:highlight w:val="none"/>
          <w:lang w:val="en-US" w:eastAsia="zh-CN"/>
        </w:rPr>
        <w:t xml:space="preserve">7 </w:t>
      </w:r>
      <w:r>
        <w:rPr>
          <w:rFonts w:hint="eastAsia" w:ascii="宋体" w:hAnsi="宋体" w:eastAsia="宋体" w:cs="宋体"/>
          <w:bCs/>
          <w:szCs w:val="28"/>
          <w:highlight w:val="none"/>
        </w:rPr>
        <w:t>关于符合本国产品标准的声明函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_Toc10756 \h </w:instrText>
      </w:r>
      <w:r>
        <w:rPr>
          <w:rFonts w:hint="eastAsia" w:ascii="宋体" w:hAnsi="宋体" w:eastAsia="宋体" w:cs="宋体"/>
          <w:highlight w:val="none"/>
        </w:rPr>
        <w:fldChar w:fldCharType="separate"/>
      </w:r>
      <w:r>
        <w:rPr>
          <w:rFonts w:hint="eastAsia" w:ascii="宋体" w:hAnsi="宋体" w:eastAsia="宋体" w:cs="宋体"/>
          <w:highlight w:val="none"/>
        </w:rPr>
        <w:t>50</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69094BE8">
      <w:pPr>
        <w:pStyle w:val="33"/>
        <w:tabs>
          <w:tab w:val="right" w:leader="dot" w:pos="10466"/>
        </w:tabs>
        <w:rPr>
          <w:rFonts w:hint="eastAsia" w:ascii="宋体" w:hAnsi="宋体" w:eastAsia="宋体" w:cs="宋体"/>
          <w:highlight w:val="none"/>
        </w:rPr>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_Toc8749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en-US" w:eastAsia="zh-CN"/>
        </w:rPr>
        <w:t>附件18 质疑函范本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_Toc8749 \h </w:instrText>
      </w:r>
      <w:r>
        <w:rPr>
          <w:rFonts w:hint="eastAsia" w:ascii="宋体" w:hAnsi="宋体" w:eastAsia="宋体" w:cs="宋体"/>
          <w:highlight w:val="none"/>
        </w:rPr>
        <w:fldChar w:fldCharType="separate"/>
      </w:r>
      <w:r>
        <w:rPr>
          <w:rFonts w:hint="eastAsia" w:ascii="宋体" w:hAnsi="宋体" w:eastAsia="宋体" w:cs="宋体"/>
          <w:highlight w:val="none"/>
        </w:rPr>
        <w:t>51</w:t>
      </w:r>
      <w:r>
        <w:rPr>
          <w:rFonts w:hint="eastAsia" w:ascii="宋体" w:hAnsi="宋体" w:eastAsia="宋体" w:cs="宋体"/>
          <w:highlight w:val="none"/>
        </w:rPr>
        <w:fldChar w:fldCharType="end"/>
      </w:r>
      <w:r>
        <w:rPr>
          <w:rFonts w:hint="eastAsia" w:ascii="宋体" w:hAnsi="宋体" w:eastAsia="宋体" w:cs="宋体"/>
          <w:caps/>
          <w:color w:val="auto"/>
          <w:szCs w:val="24"/>
          <w:highlight w:val="none"/>
        </w:rPr>
        <w:fldChar w:fldCharType="end"/>
      </w:r>
    </w:p>
    <w:p w14:paraId="04C72223">
      <w:pPr>
        <w:spacing w:line="440" w:lineRule="exact"/>
        <w:jc w:val="left"/>
        <w:rPr>
          <w:rFonts w:hint="eastAsia" w:ascii="宋体" w:hAnsi="宋体" w:eastAsia="宋体" w:cs="宋体"/>
          <w:caps/>
          <w:color w:val="auto"/>
          <w:sz w:val="24"/>
          <w:szCs w:val="24"/>
          <w:highlight w:val="none"/>
        </w:rPr>
      </w:pPr>
      <w:r>
        <w:rPr>
          <w:rFonts w:hint="eastAsia" w:ascii="宋体" w:hAnsi="宋体" w:eastAsia="宋体" w:cs="宋体"/>
          <w:caps/>
          <w:color w:val="auto"/>
          <w:szCs w:val="24"/>
          <w:highlight w:val="none"/>
        </w:rPr>
        <w:fldChar w:fldCharType="end"/>
      </w:r>
    </w:p>
    <w:p w14:paraId="0CAF04D5">
      <w:pPr>
        <w:keepNext/>
        <w:ind w:firstLine="880"/>
        <w:jc w:val="center"/>
        <w:outlineLvl w:val="0"/>
        <w:rPr>
          <w:rFonts w:hint="eastAsia" w:ascii="宋体" w:hAnsi="宋体" w:eastAsia="宋体" w:cs="宋体"/>
          <w:b/>
          <w:bCs/>
          <w:color w:val="auto"/>
          <w:sz w:val="24"/>
          <w:szCs w:val="24"/>
          <w:highlight w:val="none"/>
        </w:rPr>
        <w:sectPr>
          <w:headerReference r:id="rId4" w:type="first"/>
          <w:headerReference r:id="rId3" w:type="default"/>
          <w:footerReference r:id="rId5" w:type="default"/>
          <w:footerReference r:id="rId6" w:type="even"/>
          <w:pgSz w:w="11906" w:h="16838"/>
          <w:pgMar w:top="771" w:right="720" w:bottom="527" w:left="720" w:header="231" w:footer="200" w:gutter="0"/>
          <w:cols w:space="720" w:num="1"/>
          <w:titlePg/>
          <w:docGrid w:linePitch="360" w:charSpace="0"/>
        </w:sectPr>
      </w:pPr>
    </w:p>
    <w:p w14:paraId="5C15F621">
      <w:pPr>
        <w:keepNext/>
        <w:ind w:firstLine="880"/>
        <w:jc w:val="center"/>
        <w:outlineLvl w:val="0"/>
        <w:rPr>
          <w:rFonts w:hint="eastAsia" w:ascii="宋体" w:hAnsi="宋体" w:eastAsia="宋体" w:cs="宋体"/>
          <w:b/>
          <w:bCs/>
          <w:color w:val="auto"/>
          <w:sz w:val="40"/>
          <w:szCs w:val="40"/>
          <w:highlight w:val="none"/>
        </w:rPr>
      </w:pPr>
      <w:bookmarkStart w:id="6" w:name="_Toc7712"/>
      <w:r>
        <w:rPr>
          <w:rFonts w:hint="eastAsia" w:ascii="宋体" w:hAnsi="宋体" w:eastAsia="宋体" w:cs="宋体"/>
          <w:b/>
          <w:bCs/>
          <w:color w:val="auto"/>
          <w:sz w:val="40"/>
          <w:szCs w:val="40"/>
          <w:highlight w:val="none"/>
        </w:rPr>
        <w:t xml:space="preserve">第一章  </w:t>
      </w:r>
      <w:bookmarkEnd w:id="0"/>
      <w:r>
        <w:rPr>
          <w:rFonts w:hint="eastAsia" w:ascii="宋体" w:hAnsi="宋体" w:eastAsia="宋体" w:cs="宋体"/>
          <w:b/>
          <w:bCs/>
          <w:color w:val="auto"/>
          <w:sz w:val="40"/>
          <w:szCs w:val="40"/>
          <w:highlight w:val="none"/>
        </w:rPr>
        <w:t>投标邀请</w:t>
      </w:r>
      <w:bookmarkEnd w:id="6"/>
    </w:p>
    <w:p w14:paraId="0B771957">
      <w:pPr>
        <w:pBdr>
          <w:top w:val="single" w:color="000000" w:sz="4" w:space="1"/>
          <w:left w:val="single" w:color="000000" w:sz="4" w:space="4"/>
          <w:bottom w:val="single" w:color="000000" w:sz="4" w:space="1"/>
          <w:right w:val="single" w:color="000000" w:sz="4" w:space="4"/>
        </w:pBd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48B7605">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常熟第二人民医院医用氧采购项目JSZC-320581-SZDS-G2026-0005</w:t>
      </w:r>
      <w:r>
        <w:rPr>
          <w:rFonts w:hint="eastAsia" w:ascii="宋体" w:hAnsi="宋体" w:eastAsia="宋体" w:cs="宋体"/>
          <w:color w:val="auto"/>
          <w:sz w:val="24"/>
          <w:szCs w:val="24"/>
          <w:highlight w:val="none"/>
        </w:rPr>
        <w:t>招标项目的潜在投标人应在“苏采云政府采购一体化平台”获取</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文件，并于</w:t>
      </w:r>
      <w:r>
        <w:rPr>
          <w:rFonts w:hint="eastAsia" w:ascii="宋体" w:hAnsi="宋体" w:eastAsia="宋体" w:cs="宋体"/>
          <w:color w:val="auto"/>
          <w:sz w:val="24"/>
          <w:szCs w:val="21"/>
          <w:highlight w:val="none"/>
          <w:u w:val="single"/>
          <w:lang w:eastAsia="zh-CN"/>
        </w:rPr>
        <w:t>2026</w:t>
      </w:r>
      <w:r>
        <w:rPr>
          <w:rFonts w:hint="eastAsia" w:ascii="宋体" w:hAnsi="宋体" w:eastAsia="宋体" w:cs="宋体"/>
          <w:color w:val="auto"/>
          <w:sz w:val="24"/>
          <w:szCs w:val="21"/>
          <w:highlight w:val="none"/>
          <w:u w:val="single"/>
        </w:rPr>
        <w:t>年</w:t>
      </w:r>
      <w:r>
        <w:rPr>
          <w:rFonts w:hint="eastAsia" w:ascii="宋体" w:hAnsi="宋体" w:eastAsia="宋体" w:cs="宋体"/>
          <w:color w:val="auto"/>
          <w:sz w:val="24"/>
          <w:szCs w:val="21"/>
          <w:highlight w:val="none"/>
          <w:u w:val="single"/>
          <w:lang w:val="en-US" w:eastAsia="zh-CN"/>
        </w:rPr>
        <w:t>06</w:t>
      </w:r>
      <w:r>
        <w:rPr>
          <w:rFonts w:hint="eastAsia" w:ascii="宋体" w:hAnsi="宋体" w:eastAsia="宋体" w:cs="宋体"/>
          <w:color w:val="auto"/>
          <w:sz w:val="24"/>
          <w:szCs w:val="21"/>
          <w:highlight w:val="none"/>
          <w:u w:val="single"/>
        </w:rPr>
        <w:t>月</w:t>
      </w:r>
      <w:r>
        <w:rPr>
          <w:rFonts w:hint="eastAsia" w:ascii="宋体" w:hAnsi="宋体" w:cs="宋体"/>
          <w:color w:val="auto"/>
          <w:sz w:val="24"/>
          <w:szCs w:val="21"/>
          <w:highlight w:val="none"/>
          <w:u w:val="single"/>
          <w:lang w:val="en-US" w:eastAsia="zh-CN"/>
        </w:rPr>
        <w:t>17</w:t>
      </w:r>
      <w:r>
        <w:rPr>
          <w:rFonts w:hint="eastAsia" w:ascii="宋体" w:hAnsi="宋体" w:eastAsia="宋体" w:cs="宋体"/>
          <w:color w:val="auto"/>
          <w:sz w:val="24"/>
          <w:szCs w:val="21"/>
          <w:highlight w:val="none"/>
          <w:u w:val="single"/>
        </w:rPr>
        <w:t>日</w:t>
      </w:r>
      <w:r>
        <w:rPr>
          <w:rFonts w:hint="eastAsia" w:ascii="宋体" w:hAnsi="宋体" w:cs="宋体"/>
          <w:color w:val="auto"/>
          <w:sz w:val="24"/>
          <w:szCs w:val="21"/>
          <w:highlight w:val="none"/>
          <w:u w:val="single"/>
          <w:lang w:val="en-US" w:eastAsia="zh-CN"/>
        </w:rPr>
        <w:t>9</w:t>
      </w:r>
      <w:r>
        <w:rPr>
          <w:rFonts w:hint="eastAsia" w:ascii="宋体" w:hAnsi="宋体" w:eastAsia="宋体" w:cs="宋体"/>
          <w:color w:val="auto"/>
          <w:sz w:val="24"/>
          <w:szCs w:val="21"/>
          <w:highlight w:val="none"/>
          <w:u w:val="single"/>
        </w:rPr>
        <w:t>点</w:t>
      </w:r>
      <w:r>
        <w:rPr>
          <w:rFonts w:hint="eastAsia" w:ascii="宋体" w:hAnsi="宋体" w:eastAsia="宋体" w:cs="宋体"/>
          <w:color w:val="auto"/>
          <w:sz w:val="24"/>
          <w:szCs w:val="21"/>
          <w:highlight w:val="none"/>
          <w:u w:val="single"/>
          <w:lang w:val="en-US" w:eastAsia="zh-CN"/>
        </w:rPr>
        <w:t>0</w:t>
      </w:r>
      <w:r>
        <w:rPr>
          <w:rFonts w:hint="eastAsia" w:ascii="宋体" w:hAnsi="宋体" w:eastAsia="宋体" w:cs="宋体"/>
          <w:color w:val="auto"/>
          <w:sz w:val="24"/>
          <w:szCs w:val="21"/>
          <w:highlight w:val="none"/>
          <w:u w:val="single"/>
        </w:rPr>
        <w:t>0分（北京时间）</w:t>
      </w:r>
      <w:r>
        <w:rPr>
          <w:rFonts w:hint="eastAsia" w:ascii="宋体" w:hAnsi="宋体" w:eastAsia="宋体" w:cs="宋体"/>
          <w:color w:val="auto"/>
          <w:sz w:val="24"/>
          <w:szCs w:val="21"/>
          <w:highlight w:val="none"/>
        </w:rPr>
        <w:t>前</w:t>
      </w:r>
      <w:r>
        <w:rPr>
          <w:rFonts w:hint="eastAsia" w:ascii="宋体" w:hAnsi="宋体" w:eastAsia="宋体" w:cs="宋体"/>
          <w:color w:val="auto"/>
          <w:sz w:val="24"/>
          <w:szCs w:val="21"/>
          <w:highlight w:val="none"/>
          <w:lang w:val="en-US" w:eastAsia="zh-CN"/>
        </w:rPr>
        <w:t>递交</w:t>
      </w:r>
      <w:r>
        <w:rPr>
          <w:rFonts w:hint="eastAsia" w:ascii="宋体" w:hAnsi="宋体" w:eastAsia="宋体" w:cs="宋体"/>
          <w:color w:val="auto"/>
          <w:sz w:val="24"/>
          <w:szCs w:val="21"/>
          <w:highlight w:val="none"/>
        </w:rPr>
        <w:t>投标文件。</w:t>
      </w:r>
    </w:p>
    <w:p w14:paraId="0EC7A7EF">
      <w:pPr>
        <w:keepNext/>
        <w:keepLines/>
        <w:spacing w:line="440" w:lineRule="exact"/>
        <w:ind w:firstLine="482"/>
        <w:rPr>
          <w:rFonts w:hint="eastAsia" w:ascii="宋体" w:hAnsi="宋体" w:eastAsia="宋体" w:cs="宋体"/>
          <w:b/>
          <w:bCs/>
          <w:color w:val="auto"/>
          <w:sz w:val="24"/>
          <w:szCs w:val="24"/>
          <w:highlight w:val="none"/>
        </w:rPr>
      </w:pPr>
      <w:bookmarkStart w:id="7" w:name="_Toc28359079"/>
      <w:bookmarkStart w:id="8" w:name="_Toc35393790"/>
      <w:bookmarkStart w:id="9" w:name="_Toc35393621"/>
      <w:bookmarkStart w:id="10" w:name="_Toc38985263"/>
      <w:bookmarkStart w:id="11" w:name="_Toc28359002"/>
      <w:bookmarkStart w:id="12" w:name="_Hlk24379207"/>
      <w:r>
        <w:rPr>
          <w:rFonts w:hint="eastAsia" w:ascii="宋体" w:hAnsi="宋体" w:eastAsia="宋体" w:cs="宋体"/>
          <w:b/>
          <w:bCs/>
          <w:color w:val="auto"/>
          <w:sz w:val="24"/>
          <w:szCs w:val="24"/>
          <w:highlight w:val="none"/>
        </w:rPr>
        <w:t>一、项目基本情况</w:t>
      </w:r>
      <w:bookmarkEnd w:id="7"/>
      <w:bookmarkEnd w:id="8"/>
      <w:bookmarkEnd w:id="9"/>
      <w:bookmarkEnd w:id="10"/>
      <w:bookmarkEnd w:id="11"/>
    </w:p>
    <w:p w14:paraId="35D55CF0">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JSZC-320581-SZDS-G2026-0005</w:t>
      </w:r>
    </w:p>
    <w:p w14:paraId="427FAE03">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常熟第二人民医院医用氧采购项目</w:t>
      </w:r>
    </w:p>
    <w:bookmarkEnd w:id="12"/>
    <w:p w14:paraId="6CCAAC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254.000000万</w:t>
      </w:r>
      <w:r>
        <w:rPr>
          <w:rFonts w:hint="eastAsia" w:ascii="宋体" w:hAnsi="宋体" w:eastAsia="宋体" w:cs="宋体"/>
          <w:color w:val="auto"/>
          <w:sz w:val="24"/>
          <w:szCs w:val="24"/>
          <w:highlight w:val="none"/>
        </w:rPr>
        <w:t>元</w:t>
      </w:r>
    </w:p>
    <w:p w14:paraId="5313DFB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b w:val="0"/>
          <w:bCs w:val="0"/>
          <w:color w:val="auto"/>
          <w:sz w:val="24"/>
          <w:szCs w:val="24"/>
          <w:highlight w:val="none"/>
        </w:rPr>
        <w:t>253</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674000</w:t>
      </w:r>
      <w:r>
        <w:rPr>
          <w:rFonts w:hint="eastAsia" w:ascii="宋体" w:hAnsi="宋体" w:eastAsia="宋体" w:cs="宋体"/>
          <w:b w:val="0"/>
          <w:bCs w:val="0"/>
          <w:color w:val="auto"/>
          <w:sz w:val="24"/>
          <w:szCs w:val="24"/>
          <w:highlight w:val="none"/>
          <w:lang w:val="en-US" w:eastAsia="zh-CN"/>
        </w:rPr>
        <w:t>万元</w:t>
      </w:r>
    </w:p>
    <w:p w14:paraId="63FFEAAB">
      <w:pPr>
        <w:spacing w:line="460" w:lineRule="exact"/>
        <w:ind w:firstLine="480"/>
        <w:rPr>
          <w:rFonts w:hint="eastAsia" w:ascii="宋体" w:hAnsi="宋体" w:eastAsia="宋体" w:cs="宋体"/>
          <w:color w:val="auto"/>
          <w:sz w:val="24"/>
          <w:szCs w:val="24"/>
          <w:highlight w:val="none"/>
        </w:rPr>
      </w:pPr>
      <w:bookmarkStart w:id="13" w:name="_Toc35393622"/>
      <w:bookmarkStart w:id="14" w:name="_Toc28359080"/>
      <w:bookmarkStart w:id="15" w:name="_Toc38985264"/>
      <w:bookmarkStart w:id="16" w:name="_Toc35393791"/>
      <w:bookmarkStart w:id="17" w:name="_Toc28359003"/>
      <w:r>
        <w:rPr>
          <w:rFonts w:hint="eastAsia" w:ascii="宋体" w:hAnsi="宋体" w:eastAsia="宋体" w:cs="宋体"/>
          <w:color w:val="auto"/>
          <w:sz w:val="24"/>
          <w:szCs w:val="24"/>
          <w:highlight w:val="none"/>
        </w:rPr>
        <w:t>采购需求概况：</w:t>
      </w:r>
      <w:r>
        <w:rPr>
          <w:rFonts w:hint="eastAsia" w:ascii="宋体" w:hAnsi="宋体" w:eastAsia="宋体" w:cs="宋体"/>
          <w:color w:val="auto"/>
          <w:sz w:val="24"/>
          <w:szCs w:val="24"/>
          <w:highlight w:val="none"/>
          <w:lang w:eastAsia="zh-CN"/>
        </w:rPr>
        <w:t>常熟市第二人民医院</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常熟第二人民医院医用氧采购项目，</w:t>
      </w:r>
      <w:r>
        <w:rPr>
          <w:rFonts w:hint="eastAsia" w:ascii="宋体" w:hAnsi="宋体" w:eastAsia="宋体" w:cs="宋体"/>
          <w:color w:val="auto"/>
          <w:sz w:val="24"/>
          <w:szCs w:val="24"/>
          <w:highlight w:val="none"/>
          <w:lang w:val="en-US" w:eastAsia="zh-CN"/>
        </w:rPr>
        <w:t>主要包括两院区的医用液态氧、瓶装医用氧气等</w:t>
      </w:r>
      <w:r>
        <w:rPr>
          <w:rFonts w:hint="eastAsia" w:ascii="宋体" w:hAnsi="宋体" w:eastAsia="宋体" w:cs="宋体"/>
          <w:color w:val="auto"/>
          <w:sz w:val="24"/>
          <w:szCs w:val="24"/>
          <w:highlight w:val="none"/>
        </w:rPr>
        <w:t>。</w:t>
      </w:r>
    </w:p>
    <w:p w14:paraId="368E62E8">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自合同签订之日起2年</w:t>
      </w:r>
      <w:r>
        <w:rPr>
          <w:rFonts w:hint="eastAsia" w:ascii="宋体" w:hAnsi="宋体" w:eastAsia="宋体" w:cs="宋体"/>
          <w:color w:val="auto"/>
          <w:sz w:val="24"/>
          <w:szCs w:val="24"/>
          <w:highlight w:val="none"/>
        </w:rPr>
        <w:t>。</w:t>
      </w:r>
    </w:p>
    <w:p w14:paraId="0F388752">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14:paraId="37C4C562">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13"/>
      <w:bookmarkEnd w:id="14"/>
      <w:bookmarkEnd w:id="15"/>
      <w:bookmarkEnd w:id="16"/>
      <w:bookmarkEnd w:id="17"/>
      <w:bookmarkStart w:id="18" w:name="_Toc35393623"/>
      <w:bookmarkStart w:id="19" w:name="_Toc28359081"/>
      <w:bookmarkStart w:id="20" w:name="_Toc38985265"/>
      <w:bookmarkStart w:id="21" w:name="_Toc35393792"/>
      <w:bookmarkStart w:id="22" w:name="_Toc28359004"/>
    </w:p>
    <w:p w14:paraId="43A85777">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w:t>
      </w:r>
      <w:r>
        <w:rPr>
          <w:rFonts w:hint="eastAsia" w:ascii="宋体" w:hAnsi="宋体" w:eastAsia="宋体" w:cs="宋体"/>
          <w:color w:val="auto"/>
          <w:sz w:val="24"/>
          <w:szCs w:val="24"/>
          <w:highlight w:val="none"/>
          <w:lang w:eastAsia="zh-CN"/>
        </w:rPr>
        <w:t>：</w:t>
      </w:r>
    </w:p>
    <w:p w14:paraId="2908A608">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7AED5D9E">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46DC165C">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597BC610">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4BDF05A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参加采购活动前三年内，在经营活动中没有重大违法记录。</w:t>
      </w:r>
    </w:p>
    <w:p w14:paraId="3D6D59FB">
      <w:pPr>
        <w:spacing w:line="44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02446E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33A4F30">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本项目专门面向中小企业采购，所属行业为工业，投标时须提供《中小企业声明函》。</w:t>
      </w:r>
    </w:p>
    <w:p w14:paraId="0B344212">
      <w:pPr>
        <w:spacing w:line="44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5CF75F3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00D431D2">
      <w:pPr>
        <w:spacing w:line="44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为生产企业</w:t>
      </w:r>
      <w:r>
        <w:rPr>
          <w:rFonts w:hint="eastAsia" w:ascii="宋体" w:hAnsi="宋体" w:eastAsia="宋体" w:cs="宋体"/>
          <w:color w:val="auto"/>
          <w:sz w:val="24"/>
          <w:szCs w:val="24"/>
          <w:highlight w:val="none"/>
          <w:lang w:val="en-US" w:eastAsia="zh-CN"/>
        </w:rPr>
        <w:t>的，必须</w:t>
      </w:r>
      <w:r>
        <w:rPr>
          <w:rFonts w:hint="eastAsia" w:ascii="宋体" w:hAnsi="宋体" w:eastAsia="宋体" w:cs="宋体"/>
          <w:color w:val="auto"/>
          <w:sz w:val="24"/>
          <w:szCs w:val="24"/>
          <w:highlight w:val="none"/>
        </w:rPr>
        <w:t>具备有效的《安全生产许可证》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《药品生产许可证》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危险化学品经营许可证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药品注册证（药品注册批件或药品再注册批件）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《气瓶充装许可证》；投标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为经销商</w:t>
      </w:r>
      <w:r>
        <w:rPr>
          <w:rFonts w:hint="eastAsia" w:ascii="宋体" w:hAnsi="宋体" w:eastAsia="宋体" w:cs="宋体"/>
          <w:color w:val="auto"/>
          <w:sz w:val="24"/>
          <w:szCs w:val="24"/>
          <w:highlight w:val="none"/>
          <w:lang w:val="en-US" w:eastAsia="zh-CN"/>
        </w:rPr>
        <w:t>的，必须</w:t>
      </w:r>
      <w:r>
        <w:rPr>
          <w:rFonts w:hint="eastAsia" w:ascii="宋体" w:hAnsi="宋体" w:eastAsia="宋体" w:cs="宋体"/>
          <w:color w:val="auto"/>
          <w:sz w:val="24"/>
          <w:szCs w:val="24"/>
          <w:highlight w:val="none"/>
        </w:rPr>
        <w:t>具备有效的</w:t>
      </w:r>
      <w:r>
        <w:rPr>
          <w:rFonts w:hint="eastAsia" w:ascii="宋体" w:hAnsi="宋体" w:eastAsia="宋体" w:cs="宋体"/>
          <w:bCs/>
          <w:color w:val="auto"/>
          <w:sz w:val="24"/>
          <w:highlight w:val="none"/>
        </w:rPr>
        <w:t>《药品经营许可证》</w:t>
      </w:r>
      <w:r>
        <w:rPr>
          <w:rFonts w:hint="eastAsia" w:ascii="宋体" w:hAnsi="宋体" w:eastAsia="宋体" w:cs="宋体"/>
          <w:bCs/>
          <w:color w:val="auto"/>
          <w:sz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危险化学品经营许可证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与生产企业的合作性协议</w:t>
      </w:r>
      <w:r>
        <w:rPr>
          <w:rFonts w:hint="eastAsia" w:ascii="宋体" w:hAnsi="宋体" w:eastAsia="宋体" w:cs="宋体"/>
          <w:color w:val="auto"/>
          <w:sz w:val="24"/>
          <w:szCs w:val="24"/>
          <w:highlight w:val="none"/>
          <w:lang w:val="en-US" w:eastAsia="zh-CN"/>
        </w:rPr>
        <w:t>以及</w:t>
      </w:r>
      <w:r>
        <w:rPr>
          <w:rFonts w:hint="eastAsia" w:ascii="宋体" w:hAnsi="宋体" w:eastAsia="宋体" w:cs="宋体"/>
          <w:color w:val="auto"/>
          <w:sz w:val="24"/>
          <w:szCs w:val="24"/>
          <w:highlight w:val="none"/>
        </w:rPr>
        <w:t>生产企业的相关证件</w:t>
      </w:r>
      <w:r>
        <w:rPr>
          <w:rFonts w:hint="eastAsia" w:ascii="宋体" w:hAnsi="宋体" w:eastAsia="宋体" w:cs="宋体"/>
          <w:color w:val="auto"/>
          <w:sz w:val="24"/>
          <w:szCs w:val="24"/>
          <w:highlight w:val="none"/>
          <w:lang w:eastAsia="zh-CN"/>
        </w:rPr>
        <w:t>。</w:t>
      </w:r>
    </w:p>
    <w:p w14:paraId="477FC063">
      <w:pPr>
        <w:spacing w:line="440" w:lineRule="exact"/>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人必</w:t>
      </w:r>
      <w:r>
        <w:rPr>
          <w:rFonts w:hint="eastAsia" w:ascii="宋体" w:hAnsi="宋体" w:eastAsia="宋体" w:cs="宋体"/>
          <w:color w:val="auto"/>
          <w:sz w:val="24"/>
          <w:szCs w:val="24"/>
          <w:highlight w:val="none"/>
        </w:rPr>
        <w:t>须具</w:t>
      </w:r>
      <w:r>
        <w:rPr>
          <w:rFonts w:hint="eastAsia" w:ascii="宋体" w:hAnsi="宋体" w:eastAsia="宋体" w:cs="宋体"/>
          <w:color w:val="auto"/>
          <w:sz w:val="24"/>
          <w:szCs w:val="24"/>
          <w:highlight w:val="none"/>
          <w:lang w:val="en-US" w:eastAsia="zh-CN"/>
        </w:rPr>
        <w:t>备</w:t>
      </w:r>
      <w:r>
        <w:rPr>
          <w:rFonts w:hint="eastAsia" w:ascii="宋体" w:hAnsi="宋体" w:eastAsia="宋体" w:cs="宋体"/>
          <w:color w:val="auto"/>
          <w:sz w:val="24"/>
          <w:szCs w:val="24"/>
          <w:highlight w:val="none"/>
        </w:rPr>
        <w:t>有效期内的《道路危险货物运输许可证》或《道路运输经营许可证》（须包含危险货物运输2类等类似描述）。如投标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委托第三方运输企业承担气体运输服务，则投标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需同时提供与该运输企业有效期内的协议书，且运输企业</w:t>
      </w:r>
      <w:r>
        <w:rPr>
          <w:rFonts w:hint="eastAsia" w:ascii="宋体" w:hAnsi="宋体" w:eastAsia="宋体" w:cs="宋体"/>
          <w:color w:val="auto"/>
          <w:sz w:val="24"/>
          <w:szCs w:val="24"/>
          <w:highlight w:val="none"/>
          <w:lang w:val="en-US" w:eastAsia="zh-CN"/>
        </w:rPr>
        <w:t>必</w:t>
      </w:r>
      <w:r>
        <w:rPr>
          <w:rFonts w:hint="eastAsia" w:ascii="宋体" w:hAnsi="宋体" w:eastAsia="宋体" w:cs="宋体"/>
          <w:color w:val="auto"/>
          <w:sz w:val="24"/>
          <w:szCs w:val="24"/>
          <w:highlight w:val="none"/>
        </w:rPr>
        <w:t>须具</w:t>
      </w:r>
      <w:r>
        <w:rPr>
          <w:rFonts w:hint="eastAsia" w:ascii="宋体" w:hAnsi="宋体" w:eastAsia="宋体" w:cs="宋体"/>
          <w:color w:val="auto"/>
          <w:sz w:val="24"/>
          <w:szCs w:val="24"/>
          <w:highlight w:val="none"/>
          <w:lang w:val="en-US" w:eastAsia="zh-CN"/>
        </w:rPr>
        <w:t>备</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《道路危险货物运输许可证》或《道路运输经营许可证》（须包含危险货物运输2类等类似描述）</w:t>
      </w:r>
      <w:r>
        <w:rPr>
          <w:rFonts w:hint="eastAsia" w:ascii="宋体" w:hAnsi="宋体" w:eastAsia="宋体" w:cs="宋体"/>
          <w:color w:val="auto"/>
          <w:sz w:val="24"/>
          <w:szCs w:val="24"/>
          <w:highlight w:val="none"/>
          <w:lang w:eastAsia="zh-CN"/>
        </w:rPr>
        <w:t>。</w:t>
      </w:r>
    </w:p>
    <w:p w14:paraId="13A141D6">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bookmarkEnd w:id="18"/>
      <w:bookmarkEnd w:id="19"/>
      <w:bookmarkEnd w:id="20"/>
      <w:bookmarkEnd w:id="21"/>
      <w:bookmarkEnd w:id="22"/>
      <w:bookmarkStart w:id="23" w:name="_Toc28359082"/>
      <w:bookmarkStart w:id="24" w:name="_Toc38985266"/>
      <w:bookmarkStart w:id="25" w:name="_Toc35393624"/>
      <w:bookmarkStart w:id="26" w:name="_Toc35393793"/>
      <w:bookmarkStart w:id="27" w:name="_Toc28359005"/>
    </w:p>
    <w:p w14:paraId="1A08FA3D">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1B13D48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w:t>
      </w:r>
    </w:p>
    <w:p w14:paraId="54C72AB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47F19B9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6F3B00FC">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End w:id="23"/>
      <w:bookmarkEnd w:id="24"/>
      <w:bookmarkEnd w:id="25"/>
      <w:bookmarkEnd w:id="26"/>
      <w:bookmarkEnd w:id="27"/>
      <w:r>
        <w:rPr>
          <w:rFonts w:hint="eastAsia" w:ascii="宋体" w:hAnsi="宋体" w:eastAsia="宋体" w:cs="宋体"/>
          <w:b/>
          <w:bCs/>
          <w:color w:val="auto"/>
          <w:sz w:val="24"/>
          <w:szCs w:val="24"/>
          <w:highlight w:val="none"/>
        </w:rPr>
        <w:t>提交投标文件截止时间、开标时间和地点</w:t>
      </w:r>
    </w:p>
    <w:p w14:paraId="79C8E57A">
      <w:pPr>
        <w:spacing w:line="440" w:lineRule="exact"/>
        <w:ind w:firstLine="480" w:firstLineChars="200"/>
        <w:rPr>
          <w:rFonts w:hint="eastAsia" w:ascii="宋体" w:hAnsi="宋体" w:eastAsia="宋体" w:cs="宋体"/>
          <w:color w:val="auto"/>
          <w:sz w:val="24"/>
          <w:szCs w:val="24"/>
          <w:highlight w:val="none"/>
        </w:rPr>
      </w:pPr>
      <w:bookmarkStart w:id="28" w:name="_Toc35393794"/>
      <w:bookmarkStart w:id="29" w:name="_Toc28359007"/>
      <w:bookmarkStart w:id="30" w:name="_Toc38985267"/>
      <w:bookmarkStart w:id="31" w:name="_Toc35393625"/>
      <w:bookmarkStart w:id="32" w:name="_Toc28359084"/>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0（北京时间）</w:t>
      </w:r>
    </w:p>
    <w:p w14:paraId="6DE1E97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w:t>
      </w:r>
    </w:p>
    <w:p w14:paraId="3A9642BE">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bookmarkEnd w:id="28"/>
      <w:bookmarkEnd w:id="29"/>
      <w:bookmarkEnd w:id="30"/>
      <w:bookmarkEnd w:id="31"/>
      <w:bookmarkEnd w:id="32"/>
      <w:r>
        <w:rPr>
          <w:rFonts w:hint="eastAsia" w:ascii="宋体" w:hAnsi="宋体" w:eastAsia="宋体" w:cs="宋体"/>
          <w:b/>
          <w:bCs/>
          <w:color w:val="auto"/>
          <w:sz w:val="24"/>
          <w:szCs w:val="24"/>
          <w:highlight w:val="none"/>
        </w:rPr>
        <w:t>公告期限</w:t>
      </w:r>
    </w:p>
    <w:p w14:paraId="28AB623E">
      <w:pPr>
        <w:spacing w:line="440" w:lineRule="exact"/>
        <w:ind w:firstLine="480" w:firstLineChars="200"/>
        <w:rPr>
          <w:rFonts w:hint="eastAsia" w:ascii="宋体" w:hAnsi="宋体" w:eastAsia="宋体" w:cs="宋体"/>
          <w:color w:val="auto"/>
          <w:sz w:val="24"/>
          <w:szCs w:val="24"/>
          <w:highlight w:val="none"/>
        </w:rPr>
      </w:pPr>
      <w:bookmarkStart w:id="33" w:name="_Toc38985268"/>
      <w:bookmarkStart w:id="34" w:name="_Toc35393795"/>
      <w:bookmarkStart w:id="35" w:name="_Toc35393626"/>
      <w:r>
        <w:rPr>
          <w:rFonts w:hint="eastAsia" w:ascii="宋体" w:hAnsi="宋体" w:eastAsia="宋体" w:cs="宋体"/>
          <w:color w:val="auto"/>
          <w:sz w:val="24"/>
          <w:szCs w:val="24"/>
          <w:highlight w:val="none"/>
        </w:rPr>
        <w:t>公告期限：自本公告发布之日起5个工作日。</w:t>
      </w:r>
    </w:p>
    <w:p w14:paraId="6771558B">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bookmarkEnd w:id="33"/>
      <w:bookmarkEnd w:id="34"/>
      <w:bookmarkEnd w:id="35"/>
    </w:p>
    <w:p w14:paraId="5C4A50AA">
      <w:pPr>
        <w:spacing w:line="440" w:lineRule="exact"/>
        <w:ind w:firstLine="480" w:firstLineChars="200"/>
        <w:rPr>
          <w:rFonts w:hint="eastAsia" w:ascii="宋体" w:hAnsi="宋体" w:eastAsia="宋体" w:cs="宋体"/>
          <w:color w:val="auto"/>
          <w:sz w:val="24"/>
          <w:szCs w:val="32"/>
          <w:highlight w:val="none"/>
        </w:rPr>
      </w:pPr>
      <w:bookmarkStart w:id="36" w:name="_Toc28359008"/>
      <w:bookmarkStart w:id="37" w:name="_Toc28359085"/>
      <w:bookmarkStart w:id="38" w:name="_Toc35393796"/>
      <w:bookmarkStart w:id="39" w:name="_Toc38985269"/>
      <w:bookmarkStart w:id="40" w:name="_Toc35393627"/>
      <w:r>
        <w:rPr>
          <w:rFonts w:hint="eastAsia" w:ascii="宋体" w:hAnsi="宋体" w:eastAsia="宋体" w:cs="宋体"/>
          <w:color w:val="auto"/>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518EDD88">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2、供应商在“苏采云”系统操作过程中如有疑问，请按以下方式联系：</w:t>
      </w:r>
    </w:p>
    <w:p w14:paraId="45DB28B6">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CA技术咨询电话：400-608-6099；电子签章技术咨询电话:15380932027、13675197356、025-83633811、025-83633812；系统使用指导与咨询电话：18261002950、13914088964、0519-86722802；智能客服：登录苏采云系统后，联系系统右下方智能客服图标进行咨询。</w:t>
      </w:r>
    </w:p>
    <w:p w14:paraId="2E14847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3、有关本次采购的事项若存在变动或修改，敬请及时关注“苏州市政府采购网”发布的更正公告</w:t>
      </w:r>
      <w:bookmarkStart w:id="41" w:name="_Hlk87882297"/>
      <w:r>
        <w:rPr>
          <w:rFonts w:hint="eastAsia" w:ascii="宋体" w:hAnsi="宋体" w:eastAsia="宋体" w:cs="宋体"/>
          <w:color w:val="auto"/>
          <w:sz w:val="24"/>
          <w:szCs w:val="32"/>
          <w:highlight w:val="none"/>
        </w:rPr>
        <w:t>，并按规定获取相关信息内容。</w:t>
      </w:r>
      <w:bookmarkEnd w:id="41"/>
    </w:p>
    <w:p w14:paraId="76A64DAC">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4、本次采购项目有关时间要求均以北京时间为标准，使用24小时制。</w:t>
      </w:r>
    </w:p>
    <w:p w14:paraId="354E82DF">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5、公告媒体：</w:t>
      </w:r>
      <w:r>
        <w:rPr>
          <w:rFonts w:hint="eastAsia" w:ascii="宋体" w:hAnsi="宋体" w:eastAsia="宋体" w:cs="宋体"/>
          <w:color w:val="auto"/>
          <w:sz w:val="24"/>
          <w:highlight w:val="none"/>
        </w:rPr>
        <w:t>苏州市政府采购网、江苏政府采购网</w:t>
      </w:r>
      <w:r>
        <w:rPr>
          <w:rFonts w:hint="eastAsia" w:ascii="宋体" w:hAnsi="宋体" w:eastAsia="宋体" w:cs="宋体"/>
          <w:color w:val="auto"/>
          <w:sz w:val="24"/>
          <w:szCs w:val="32"/>
          <w:highlight w:val="none"/>
        </w:rPr>
        <w:t>。</w:t>
      </w:r>
    </w:p>
    <w:p w14:paraId="67C573D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6、</w:t>
      </w:r>
      <w:r>
        <w:rPr>
          <w:rFonts w:hint="eastAsia" w:ascii="宋体" w:hAnsi="宋体" w:eastAsia="宋体" w:cs="宋体"/>
          <w:color w:val="auto"/>
          <w:sz w:val="24"/>
          <w:szCs w:val="24"/>
          <w:highlight w:val="none"/>
        </w:rPr>
        <w:t>其他要求：</w:t>
      </w:r>
    </w:p>
    <w:p w14:paraId="33052A4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75495398">
      <w:pPr>
        <w:keepNext/>
        <w:keepLines/>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6E05E2CF">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七、本次招标联系</w:t>
      </w:r>
      <w:bookmarkEnd w:id="36"/>
      <w:bookmarkEnd w:id="37"/>
      <w:bookmarkEnd w:id="38"/>
      <w:bookmarkEnd w:id="39"/>
      <w:bookmarkEnd w:id="40"/>
      <w:r>
        <w:rPr>
          <w:rFonts w:hint="eastAsia" w:ascii="宋体" w:hAnsi="宋体" w:eastAsia="宋体" w:cs="宋体"/>
          <w:b/>
          <w:bCs/>
          <w:color w:val="auto"/>
          <w:sz w:val="24"/>
          <w:szCs w:val="24"/>
          <w:highlight w:val="none"/>
        </w:rPr>
        <w:t>方式</w:t>
      </w:r>
    </w:p>
    <w:p w14:paraId="10146BE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4DF54327">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常熟市第二人民医院</w:t>
      </w:r>
    </w:p>
    <w:p w14:paraId="121F7BC0">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w:t>
      </w:r>
      <w:r>
        <w:rPr>
          <w:rFonts w:hint="eastAsia" w:ascii="宋体" w:hAnsi="宋体" w:eastAsia="宋体" w:cs="宋体"/>
          <w:color w:val="auto"/>
          <w:sz w:val="24"/>
          <w:szCs w:val="24"/>
          <w:highlight w:val="none"/>
          <w:lang w:val="en-US" w:eastAsia="zh-CN"/>
        </w:rPr>
        <w:t>台山</w:t>
      </w:r>
      <w:r>
        <w:rPr>
          <w:rFonts w:hint="eastAsia" w:ascii="宋体" w:hAnsi="宋体" w:eastAsia="宋体" w:cs="宋体"/>
          <w:color w:val="auto"/>
          <w:sz w:val="24"/>
          <w:szCs w:val="24"/>
          <w:highlight w:val="none"/>
        </w:rPr>
        <w:t>路1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号</w:t>
      </w:r>
    </w:p>
    <w:p w14:paraId="6D3E0DA6">
      <w:pPr>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龚立强</w:t>
      </w:r>
    </w:p>
    <w:p w14:paraId="0C49BB4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42" w:name="_Toc28359009"/>
      <w:bookmarkStart w:id="43" w:name="_Toc28359086"/>
      <w:r>
        <w:rPr>
          <w:rFonts w:hint="eastAsia" w:ascii="宋体" w:hAnsi="宋体" w:eastAsia="宋体" w:cs="宋体"/>
          <w:color w:val="auto"/>
          <w:sz w:val="24"/>
          <w:szCs w:val="24"/>
          <w:highlight w:val="none"/>
          <w:lang w:eastAsia="zh-CN"/>
        </w:rPr>
        <w:t>0512-52277255</w:t>
      </w:r>
    </w:p>
    <w:bookmarkEnd w:id="42"/>
    <w:bookmarkEnd w:id="43"/>
    <w:p w14:paraId="6422775F">
      <w:pPr>
        <w:spacing w:line="440" w:lineRule="exact"/>
        <w:ind w:firstLine="480"/>
        <w:rPr>
          <w:rFonts w:hint="eastAsia" w:ascii="宋体" w:hAnsi="宋体" w:eastAsia="宋体" w:cs="宋体"/>
          <w:color w:val="auto"/>
          <w:sz w:val="24"/>
          <w:szCs w:val="24"/>
          <w:highlight w:val="none"/>
        </w:rPr>
      </w:pPr>
      <w:bookmarkStart w:id="44" w:name="_Toc28359087"/>
      <w:bookmarkStart w:id="45" w:name="_Toc28359010"/>
      <w:r>
        <w:rPr>
          <w:rFonts w:hint="eastAsia" w:ascii="宋体" w:hAnsi="宋体" w:eastAsia="宋体" w:cs="宋体"/>
          <w:color w:val="auto"/>
          <w:sz w:val="24"/>
          <w:szCs w:val="24"/>
          <w:highlight w:val="none"/>
        </w:rPr>
        <w:t>2、采购代理机构信息</w:t>
      </w:r>
    </w:p>
    <w:p w14:paraId="194A674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单位名称：苏州信达顺工程建设咨询有限公司</w:t>
      </w:r>
    </w:p>
    <w:p w14:paraId="5669F579">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单位地址：常熟市海虞镇河滨路100-5号</w:t>
      </w:r>
    </w:p>
    <w:p w14:paraId="39FB1081">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王丹婷、王春佳</w:t>
      </w:r>
    </w:p>
    <w:p w14:paraId="6FB4EDC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联系方式：0512-52156272</w:t>
      </w:r>
    </w:p>
    <w:p w14:paraId="0B126E4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D1DF0E9">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项目联系人：王丹婷、王</w:t>
      </w:r>
      <w:r>
        <w:rPr>
          <w:rFonts w:hint="eastAsia" w:ascii="宋体" w:hAnsi="宋体" w:eastAsia="宋体" w:cs="宋体"/>
          <w:color w:val="auto"/>
          <w:sz w:val="24"/>
          <w:szCs w:val="24"/>
          <w:highlight w:val="none"/>
          <w:lang w:val="en-US" w:eastAsia="zh-CN"/>
        </w:rPr>
        <w:t>春佳</w:t>
      </w:r>
    </w:p>
    <w:p w14:paraId="60B0074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电话：0512-52156272</w:t>
      </w:r>
    </w:p>
    <w:p w14:paraId="53B7BA03">
      <w:pPr>
        <w:spacing w:line="440" w:lineRule="exact"/>
        <w:ind w:firstLine="480"/>
        <w:rPr>
          <w:rFonts w:hint="eastAsia" w:ascii="宋体" w:hAnsi="宋体" w:eastAsia="宋体" w:cs="宋体"/>
          <w:color w:val="auto"/>
          <w:sz w:val="24"/>
          <w:szCs w:val="24"/>
          <w:highlight w:val="none"/>
        </w:rPr>
      </w:pPr>
    </w:p>
    <w:bookmarkEnd w:id="44"/>
    <w:bookmarkEnd w:id="45"/>
    <w:p w14:paraId="094A8B4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1A43C55">
      <w:pPr>
        <w:keepNext/>
        <w:ind w:firstLine="880"/>
        <w:jc w:val="center"/>
        <w:outlineLvl w:val="0"/>
        <w:rPr>
          <w:rFonts w:hint="eastAsia" w:ascii="宋体" w:hAnsi="宋体" w:eastAsia="宋体" w:cs="宋体"/>
          <w:b/>
          <w:bCs/>
          <w:color w:val="auto"/>
          <w:sz w:val="40"/>
          <w:szCs w:val="40"/>
          <w:highlight w:val="none"/>
        </w:rPr>
      </w:pPr>
      <w:bookmarkStart w:id="46" w:name="_Toc120614211"/>
      <w:bookmarkStart w:id="47" w:name="_Toc21902"/>
      <w:r>
        <w:rPr>
          <w:rFonts w:hint="eastAsia" w:ascii="宋体" w:hAnsi="宋体" w:eastAsia="宋体" w:cs="宋体"/>
          <w:b/>
          <w:bCs/>
          <w:color w:val="auto"/>
          <w:sz w:val="40"/>
          <w:szCs w:val="40"/>
          <w:highlight w:val="none"/>
        </w:rPr>
        <w:t xml:space="preserve">第二章  </w:t>
      </w:r>
      <w:bookmarkEnd w:id="1"/>
      <w:bookmarkEnd w:id="2"/>
      <w:bookmarkEnd w:id="3"/>
      <w:bookmarkEnd w:id="4"/>
      <w:bookmarkEnd w:id="5"/>
      <w:bookmarkEnd w:id="46"/>
      <w:bookmarkStart w:id="48" w:name="_Toc20823274"/>
      <w:bookmarkStart w:id="49" w:name="_Toc513029202"/>
      <w:bookmarkStart w:id="50" w:name="_Toc16938518"/>
      <w:bookmarkStart w:id="51" w:name="_Toc120614213"/>
      <w:r>
        <w:rPr>
          <w:rFonts w:hint="eastAsia" w:ascii="宋体" w:hAnsi="宋体" w:eastAsia="宋体" w:cs="宋体"/>
          <w:b/>
          <w:bCs/>
          <w:color w:val="auto"/>
          <w:sz w:val="40"/>
          <w:szCs w:val="40"/>
          <w:highlight w:val="none"/>
        </w:rPr>
        <w:t>投标人须知</w:t>
      </w:r>
      <w:bookmarkEnd w:id="47"/>
      <w:bookmarkEnd w:id="48"/>
      <w:bookmarkEnd w:id="49"/>
      <w:bookmarkEnd w:id="50"/>
      <w:bookmarkEnd w:id="51"/>
    </w:p>
    <w:p w14:paraId="5457422A">
      <w:pPr>
        <w:keepNext/>
        <w:keepLines/>
        <w:spacing w:line="440" w:lineRule="exact"/>
        <w:ind w:firstLine="562"/>
        <w:rPr>
          <w:rFonts w:hint="eastAsia" w:ascii="宋体" w:hAnsi="宋体" w:eastAsia="宋体" w:cs="宋体"/>
          <w:b/>
          <w:bCs/>
          <w:color w:val="auto"/>
          <w:sz w:val="28"/>
          <w:szCs w:val="28"/>
          <w:highlight w:val="none"/>
        </w:rPr>
      </w:pPr>
      <w:bookmarkStart w:id="52" w:name="_Toc16938519"/>
      <w:bookmarkStart w:id="53" w:name="_Toc513029203"/>
      <w:bookmarkStart w:id="54" w:name="_Toc20823275"/>
      <w:bookmarkStart w:id="55" w:name="_Toc120614214"/>
      <w:r>
        <w:rPr>
          <w:rFonts w:hint="eastAsia" w:ascii="宋体" w:hAnsi="宋体" w:eastAsia="宋体" w:cs="宋体"/>
          <w:b/>
          <w:bCs/>
          <w:color w:val="auto"/>
          <w:sz w:val="28"/>
          <w:szCs w:val="28"/>
          <w:highlight w:val="none"/>
        </w:rPr>
        <w:t>一、总则</w:t>
      </w:r>
      <w:bookmarkEnd w:id="52"/>
      <w:bookmarkEnd w:id="53"/>
      <w:bookmarkEnd w:id="54"/>
      <w:bookmarkEnd w:id="55"/>
    </w:p>
    <w:p w14:paraId="448C1004">
      <w:pPr>
        <w:keepNext/>
        <w:keepLines/>
        <w:spacing w:line="440" w:lineRule="exact"/>
        <w:ind w:firstLine="480"/>
        <w:rPr>
          <w:rFonts w:hint="eastAsia" w:ascii="宋体" w:hAnsi="宋体" w:eastAsia="宋体" w:cs="宋体"/>
          <w:color w:val="auto"/>
          <w:sz w:val="24"/>
          <w:szCs w:val="24"/>
          <w:highlight w:val="none"/>
        </w:rPr>
      </w:pPr>
      <w:bookmarkStart w:id="56" w:name="_Hlt16619475"/>
      <w:bookmarkEnd w:id="56"/>
      <w:bookmarkStart w:id="57" w:name="_Toc458694821"/>
      <w:bookmarkStart w:id="58" w:name="_Toc513029204"/>
      <w:bookmarkStart w:id="59" w:name="_Toc20823276"/>
      <w:bookmarkStart w:id="60" w:name="_Toc16938520"/>
      <w:r>
        <w:rPr>
          <w:rFonts w:hint="eastAsia" w:ascii="宋体" w:hAnsi="宋体" w:eastAsia="宋体" w:cs="宋体"/>
          <w:color w:val="auto"/>
          <w:sz w:val="24"/>
          <w:szCs w:val="24"/>
          <w:highlight w:val="none"/>
        </w:rPr>
        <w:t>1</w:t>
      </w:r>
      <w:bookmarkEnd w:id="57"/>
      <w:r>
        <w:rPr>
          <w:rFonts w:hint="eastAsia" w:ascii="宋体" w:hAnsi="宋体" w:eastAsia="宋体" w:cs="宋体"/>
          <w:color w:val="auto"/>
          <w:sz w:val="24"/>
          <w:szCs w:val="24"/>
          <w:highlight w:val="none"/>
        </w:rPr>
        <w:t>、</w:t>
      </w:r>
      <w:bookmarkEnd w:id="58"/>
      <w:bookmarkEnd w:id="59"/>
      <w:bookmarkEnd w:id="60"/>
      <w:r>
        <w:rPr>
          <w:rFonts w:hint="eastAsia" w:ascii="宋体" w:hAnsi="宋体" w:eastAsia="宋体" w:cs="宋体"/>
          <w:color w:val="auto"/>
          <w:sz w:val="24"/>
          <w:szCs w:val="24"/>
          <w:highlight w:val="none"/>
          <w:lang w:eastAsia="zh-CN"/>
        </w:rPr>
        <w:t>采购方式</w:t>
      </w:r>
      <w:r>
        <w:rPr>
          <w:rFonts w:hint="eastAsia" w:ascii="宋体" w:hAnsi="宋体" w:eastAsia="宋体" w:cs="宋体"/>
          <w:color w:val="auto"/>
          <w:sz w:val="24"/>
          <w:szCs w:val="24"/>
          <w:highlight w:val="none"/>
        </w:rPr>
        <w:t>及适用法律</w:t>
      </w:r>
    </w:p>
    <w:p w14:paraId="1E4E7321">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30AA4864">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本次招标及由此产生的合同受中华人民共和国有关的法律法规制约和保护。</w:t>
      </w:r>
    </w:p>
    <w:p w14:paraId="5DA17AB0">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2、定义</w:t>
      </w:r>
    </w:p>
    <w:p w14:paraId="7EB9983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“采购人”系指购买本项目货物并接受相关服务的国家机关、事业单位、团体组织。</w:t>
      </w:r>
    </w:p>
    <w:p w14:paraId="79B8BA61">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w:t>
      </w:r>
    </w:p>
    <w:p w14:paraId="2A09DBB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“投标人”系指响应招标、参加投标竞争的供应商。</w:t>
      </w:r>
    </w:p>
    <w:p w14:paraId="5D28E8D8">
      <w:pPr>
        <w:keepNext/>
        <w:keepLines/>
        <w:spacing w:line="440" w:lineRule="exact"/>
        <w:ind w:firstLine="480"/>
        <w:rPr>
          <w:rFonts w:hint="eastAsia" w:ascii="宋体" w:hAnsi="宋体" w:eastAsia="宋体" w:cs="宋体"/>
          <w:color w:val="auto"/>
          <w:sz w:val="24"/>
          <w:szCs w:val="24"/>
          <w:highlight w:val="none"/>
        </w:rPr>
      </w:pPr>
      <w:bookmarkStart w:id="61" w:name="_Toc16938521"/>
      <w:bookmarkStart w:id="62" w:name="_Toc513029205"/>
      <w:bookmarkStart w:id="63" w:name="_Toc20823277"/>
      <w:r>
        <w:rPr>
          <w:rFonts w:hint="eastAsia" w:ascii="宋体" w:hAnsi="宋体" w:eastAsia="宋体" w:cs="宋体"/>
          <w:color w:val="auto"/>
          <w:sz w:val="24"/>
          <w:szCs w:val="24"/>
          <w:highlight w:val="none"/>
        </w:rPr>
        <w:t>3、合格的投标人</w:t>
      </w:r>
      <w:bookmarkEnd w:id="61"/>
      <w:bookmarkEnd w:id="62"/>
      <w:bookmarkEnd w:id="63"/>
    </w:p>
    <w:p w14:paraId="79849B7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满足招标公告中供应商的资格要求的规定，详见《第一章 投标邀请》中投标人资格要求。</w:t>
      </w:r>
    </w:p>
    <w:p w14:paraId="199AF1D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满足本文件实质性要求和条件的规定。</w:t>
      </w:r>
    </w:p>
    <w:p w14:paraId="2EDF8AC5">
      <w:pPr>
        <w:keepNext/>
        <w:keepLines/>
        <w:spacing w:line="440" w:lineRule="exact"/>
        <w:ind w:firstLine="480"/>
        <w:rPr>
          <w:rFonts w:hint="eastAsia" w:ascii="宋体" w:hAnsi="宋体" w:eastAsia="宋体" w:cs="宋体"/>
          <w:color w:val="auto"/>
          <w:sz w:val="24"/>
          <w:szCs w:val="24"/>
          <w:highlight w:val="none"/>
        </w:rPr>
      </w:pPr>
      <w:bookmarkStart w:id="64" w:name="_Toc462564067"/>
      <w:bookmarkStart w:id="65" w:name="_Toc16938523"/>
      <w:bookmarkStart w:id="66" w:name="_Toc513029207"/>
      <w:bookmarkStart w:id="67" w:name="_Toc20823279"/>
      <w:r>
        <w:rPr>
          <w:rFonts w:hint="eastAsia" w:ascii="宋体" w:hAnsi="宋体" w:eastAsia="宋体" w:cs="宋体"/>
          <w:color w:val="auto"/>
          <w:sz w:val="24"/>
          <w:szCs w:val="24"/>
          <w:highlight w:val="none"/>
        </w:rPr>
        <w:t>4、投标费用</w:t>
      </w:r>
      <w:bookmarkEnd w:id="64"/>
      <w:bookmarkEnd w:id="65"/>
      <w:bookmarkEnd w:id="66"/>
      <w:bookmarkEnd w:id="67"/>
    </w:p>
    <w:p w14:paraId="0DECD99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无论投标过程中的做法和结果如何，投标人应自行承担所有与准备和参加投标有关的全部费用。</w:t>
      </w:r>
    </w:p>
    <w:p w14:paraId="2B81501B">
      <w:pPr>
        <w:spacing w:line="440" w:lineRule="exact"/>
        <w:ind w:firstLine="793" w:firstLineChars="32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本次招标不收取采购文件工本费</w:t>
      </w:r>
    </w:p>
    <w:p w14:paraId="37CFF116">
      <w:pPr>
        <w:spacing w:line="440" w:lineRule="exact"/>
        <w:ind w:firstLine="793" w:firstLineChars="32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采购代理服务费用：</w:t>
      </w:r>
    </w:p>
    <w:p w14:paraId="4D2A0E52">
      <w:pPr>
        <w:spacing w:line="440" w:lineRule="exact"/>
        <w:ind w:firstLine="790" w:firstLineChars="32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本项目中标服务费由</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人支付，中标服务费</w:t>
      </w:r>
      <w:r>
        <w:rPr>
          <w:rFonts w:hint="eastAsia" w:ascii="宋体" w:hAnsi="宋体" w:eastAsia="宋体" w:cs="宋体"/>
          <w:b/>
          <w:bCs/>
          <w:color w:val="auto"/>
          <w:sz w:val="24"/>
          <w:szCs w:val="24"/>
          <w:highlight w:val="none"/>
          <w:lang w:val="en-US" w:eastAsia="zh-CN"/>
        </w:rPr>
        <w:t>金额¥18000.00元</w:t>
      </w:r>
      <w:r>
        <w:rPr>
          <w:rFonts w:hint="eastAsia" w:ascii="宋体" w:hAnsi="宋体" w:eastAsia="宋体" w:cs="宋体"/>
          <w:b/>
          <w:bCs/>
          <w:color w:val="auto"/>
          <w:sz w:val="24"/>
          <w:szCs w:val="24"/>
          <w:highlight w:val="none"/>
        </w:rPr>
        <w:t>（人民币</w:t>
      </w:r>
      <w:r>
        <w:rPr>
          <w:rFonts w:hint="eastAsia" w:ascii="宋体" w:hAnsi="宋体" w:eastAsia="宋体" w:cs="宋体"/>
          <w:b/>
          <w:bCs/>
          <w:color w:val="auto"/>
          <w:sz w:val="24"/>
          <w:szCs w:val="24"/>
          <w:highlight w:val="none"/>
          <w:lang w:val="en-US" w:eastAsia="zh-CN"/>
        </w:rPr>
        <w:t>壹万捌仟</w:t>
      </w:r>
      <w:r>
        <w:rPr>
          <w:rFonts w:hint="eastAsia" w:ascii="宋体" w:hAnsi="宋体" w:eastAsia="宋体" w:cs="宋体"/>
          <w:b/>
          <w:bCs/>
          <w:color w:val="auto"/>
          <w:sz w:val="24"/>
          <w:szCs w:val="24"/>
          <w:highlight w:val="none"/>
        </w:rPr>
        <w:t>元整）。</w:t>
      </w:r>
    </w:p>
    <w:p w14:paraId="23ED6632">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55759E1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717CA25C">
      <w:pPr>
        <w:keepNext/>
        <w:keepLines/>
        <w:spacing w:line="440" w:lineRule="exact"/>
        <w:ind w:firstLine="562"/>
        <w:rPr>
          <w:rFonts w:hint="eastAsia" w:ascii="宋体" w:hAnsi="宋体" w:eastAsia="宋体" w:cs="宋体"/>
          <w:b/>
          <w:bCs/>
          <w:color w:val="auto"/>
          <w:sz w:val="28"/>
          <w:szCs w:val="28"/>
          <w:highlight w:val="none"/>
        </w:rPr>
      </w:pPr>
      <w:bookmarkStart w:id="68" w:name="_Toc513029209"/>
      <w:bookmarkStart w:id="69" w:name="_Toc16938525"/>
      <w:bookmarkStart w:id="70" w:name="_Toc120614215"/>
      <w:bookmarkStart w:id="71" w:name="_Toc20823281"/>
      <w:r>
        <w:rPr>
          <w:rFonts w:hint="eastAsia" w:ascii="宋体" w:hAnsi="宋体" w:eastAsia="宋体" w:cs="宋体"/>
          <w:b/>
          <w:bCs/>
          <w:color w:val="auto"/>
          <w:sz w:val="28"/>
          <w:szCs w:val="28"/>
          <w:highlight w:val="none"/>
        </w:rPr>
        <w:t>二、招标文件</w:t>
      </w:r>
      <w:bookmarkEnd w:id="68"/>
      <w:bookmarkEnd w:id="69"/>
      <w:bookmarkEnd w:id="70"/>
      <w:bookmarkEnd w:id="71"/>
    </w:p>
    <w:p w14:paraId="764DED30">
      <w:pPr>
        <w:keepNext/>
        <w:keepLines/>
        <w:spacing w:line="440" w:lineRule="exact"/>
        <w:ind w:firstLine="480"/>
        <w:rPr>
          <w:rFonts w:hint="eastAsia" w:ascii="宋体" w:hAnsi="宋体" w:eastAsia="宋体" w:cs="宋体"/>
          <w:color w:val="auto"/>
          <w:sz w:val="24"/>
          <w:szCs w:val="24"/>
          <w:highlight w:val="none"/>
        </w:rPr>
      </w:pPr>
      <w:bookmarkStart w:id="72" w:name="_Toc16938526"/>
      <w:bookmarkStart w:id="73" w:name="_Toc20823282"/>
      <w:bookmarkStart w:id="74" w:name="_Toc513029210"/>
      <w:r>
        <w:rPr>
          <w:rFonts w:hint="eastAsia" w:ascii="宋体" w:hAnsi="宋体" w:eastAsia="宋体" w:cs="宋体"/>
          <w:color w:val="auto"/>
          <w:sz w:val="24"/>
          <w:szCs w:val="24"/>
          <w:highlight w:val="none"/>
        </w:rPr>
        <w:t>1、招标文件构成</w:t>
      </w:r>
      <w:bookmarkEnd w:id="72"/>
      <w:bookmarkEnd w:id="73"/>
      <w:bookmarkEnd w:id="74"/>
    </w:p>
    <w:p w14:paraId="51BD443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 xml:space="preserve"> 招标文件由以下部分组成：</w:t>
      </w:r>
    </w:p>
    <w:p w14:paraId="31458C47">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4EAC38F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7717748">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1008BC5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A2EBD6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6D1539A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1E4777E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请仔细检查招标文件是否齐全，如有缺漏请立即与代理机构联系解决。</w:t>
      </w:r>
    </w:p>
    <w:p w14:paraId="27276725">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8E943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招标文件及其更正事项如不是直接从指定媒体地址下载获得的，采购人或代理机构对招标文件及其补遗的真实性、完整性不承担任何责任。</w:t>
      </w:r>
    </w:p>
    <w:p w14:paraId="4969993A">
      <w:pPr>
        <w:keepNext/>
        <w:keepLines/>
        <w:spacing w:line="440" w:lineRule="exact"/>
        <w:ind w:firstLine="480"/>
        <w:rPr>
          <w:rFonts w:hint="eastAsia" w:ascii="宋体" w:hAnsi="宋体" w:eastAsia="宋体" w:cs="宋体"/>
          <w:color w:val="auto"/>
          <w:sz w:val="24"/>
          <w:szCs w:val="24"/>
          <w:highlight w:val="none"/>
        </w:rPr>
      </w:pPr>
      <w:bookmarkStart w:id="75" w:name="_Toc462564070"/>
      <w:bookmarkStart w:id="76" w:name="_Toc20823283"/>
      <w:bookmarkStart w:id="77" w:name="_Toc513029211"/>
      <w:bookmarkStart w:id="78" w:name="_Toc16938527"/>
      <w:r>
        <w:rPr>
          <w:rFonts w:hint="eastAsia" w:ascii="宋体" w:hAnsi="宋体" w:eastAsia="宋体" w:cs="宋体"/>
          <w:color w:val="auto"/>
          <w:sz w:val="24"/>
          <w:szCs w:val="24"/>
          <w:highlight w:val="none"/>
        </w:rPr>
        <w:t>2、招标文件的澄清、修改</w:t>
      </w:r>
    </w:p>
    <w:p w14:paraId="7E8BFF4D">
      <w:pPr>
        <w:spacing w:line="440" w:lineRule="exact"/>
        <w:ind w:firstLine="789" w:firstLineChars="32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2.1 出于实际需要或澄清投标人问题的情况下，代理机构可对已发出的招标文件进行必要的澄清或者修改，并将在指定媒体上发布。</w:t>
      </w:r>
      <w:r>
        <w:rPr>
          <w:rFonts w:hint="eastAsia" w:ascii="宋体" w:hAnsi="宋体" w:eastAsia="宋体" w:cs="宋体"/>
          <w:b/>
          <w:bCs/>
          <w:color w:val="auto"/>
          <w:sz w:val="24"/>
          <w:szCs w:val="24"/>
          <w:highlight w:val="none"/>
        </w:rPr>
        <w:t>各投标人应在投标截止时间前关注政府采购信息发布媒体上“补充通知”栏，按规定获取相关信息内容，否则其投标风险由投标人承担。</w:t>
      </w:r>
    </w:p>
    <w:p w14:paraId="60A3DDF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代理机构有权按照法定的要求顺延投标截止时间和开标时间。</w:t>
      </w:r>
    </w:p>
    <w:p w14:paraId="055C30C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有关澄清或者修改的内容将作为招标文件的组成部分，对所有投标人具有约束力。</w:t>
      </w:r>
    </w:p>
    <w:bookmarkEnd w:id="75"/>
    <w:bookmarkEnd w:id="76"/>
    <w:bookmarkEnd w:id="77"/>
    <w:bookmarkEnd w:id="78"/>
    <w:p w14:paraId="6D549B2A">
      <w:pPr>
        <w:keepNext/>
        <w:keepLines/>
        <w:spacing w:line="440" w:lineRule="exact"/>
        <w:ind w:firstLine="562"/>
        <w:rPr>
          <w:rFonts w:hint="eastAsia" w:ascii="宋体" w:hAnsi="宋体" w:eastAsia="宋体" w:cs="宋体"/>
          <w:b/>
          <w:bCs/>
          <w:color w:val="auto"/>
          <w:sz w:val="28"/>
          <w:szCs w:val="28"/>
          <w:highlight w:val="none"/>
        </w:rPr>
      </w:pPr>
      <w:bookmarkStart w:id="79" w:name="_Toc16938529"/>
      <w:bookmarkStart w:id="80" w:name="_Toc462564072"/>
      <w:bookmarkStart w:id="81" w:name="_Toc20823285"/>
      <w:bookmarkStart w:id="82" w:name="_Toc120614216"/>
      <w:bookmarkStart w:id="83" w:name="_Toc513029213"/>
      <w:r>
        <w:rPr>
          <w:rFonts w:hint="eastAsia" w:ascii="宋体" w:hAnsi="宋体" w:eastAsia="宋体" w:cs="宋体"/>
          <w:b/>
          <w:bCs/>
          <w:color w:val="auto"/>
          <w:sz w:val="28"/>
          <w:szCs w:val="28"/>
          <w:highlight w:val="none"/>
        </w:rPr>
        <w:t>三、投标文件的编制</w:t>
      </w:r>
      <w:bookmarkEnd w:id="79"/>
      <w:bookmarkEnd w:id="80"/>
      <w:bookmarkEnd w:id="81"/>
      <w:bookmarkEnd w:id="82"/>
      <w:bookmarkEnd w:id="83"/>
    </w:p>
    <w:p w14:paraId="0B7930E7">
      <w:pPr>
        <w:keepNext/>
        <w:keepLines/>
        <w:spacing w:line="440" w:lineRule="exact"/>
        <w:ind w:firstLine="480"/>
        <w:rPr>
          <w:rFonts w:hint="eastAsia" w:ascii="宋体" w:hAnsi="宋体" w:eastAsia="宋体" w:cs="宋体"/>
          <w:b/>
          <w:color w:val="auto"/>
          <w:sz w:val="24"/>
          <w:szCs w:val="24"/>
          <w:highlight w:val="none"/>
        </w:rPr>
      </w:pPr>
      <w:bookmarkStart w:id="84" w:name="_Toc462564073"/>
      <w:bookmarkStart w:id="85" w:name="_Toc513029214"/>
      <w:bookmarkStart w:id="86" w:name="_Toc20823286"/>
      <w:bookmarkStart w:id="87" w:name="_Toc16938530"/>
      <w:r>
        <w:rPr>
          <w:rFonts w:hint="eastAsia" w:ascii="宋体" w:hAnsi="宋体" w:eastAsia="宋体" w:cs="宋体"/>
          <w:color w:val="auto"/>
          <w:sz w:val="24"/>
          <w:szCs w:val="24"/>
          <w:highlight w:val="none"/>
        </w:rPr>
        <w:t>1、投标文件的语言及度量衡单位</w:t>
      </w:r>
      <w:bookmarkEnd w:id="84"/>
      <w:bookmarkEnd w:id="85"/>
      <w:bookmarkEnd w:id="86"/>
      <w:bookmarkEnd w:id="87"/>
    </w:p>
    <w:p w14:paraId="5410A6C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3E7503B5">
      <w:pPr>
        <w:spacing w:line="440" w:lineRule="exact"/>
        <w:ind w:firstLine="789" w:firstLineChars="329"/>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1.2 除技术性能另有规定外，投标文件所使用的度量衡单位，均须采用国家法定计量单位。</w:t>
      </w:r>
    </w:p>
    <w:p w14:paraId="2776CC9F">
      <w:pPr>
        <w:keepNext/>
        <w:keepLines/>
        <w:spacing w:line="440" w:lineRule="exact"/>
        <w:ind w:firstLine="480"/>
        <w:rPr>
          <w:rFonts w:hint="eastAsia" w:ascii="宋体" w:hAnsi="宋体" w:eastAsia="宋体" w:cs="宋体"/>
          <w:color w:val="auto"/>
          <w:sz w:val="24"/>
          <w:szCs w:val="24"/>
          <w:highlight w:val="none"/>
        </w:rPr>
      </w:pPr>
      <w:bookmarkStart w:id="88" w:name="_Toc20823287"/>
      <w:bookmarkStart w:id="89" w:name="_Toc462564074"/>
      <w:bookmarkStart w:id="90" w:name="_Toc16938531"/>
      <w:bookmarkStart w:id="91" w:name="_Toc513029215"/>
      <w:r>
        <w:rPr>
          <w:rFonts w:hint="eastAsia" w:ascii="宋体" w:hAnsi="宋体" w:eastAsia="宋体" w:cs="宋体"/>
          <w:color w:val="auto"/>
          <w:sz w:val="24"/>
          <w:szCs w:val="24"/>
          <w:highlight w:val="none"/>
        </w:rPr>
        <w:t>2、投标文件构成</w:t>
      </w:r>
      <w:bookmarkEnd w:id="88"/>
      <w:bookmarkEnd w:id="89"/>
      <w:bookmarkEnd w:id="90"/>
      <w:bookmarkEnd w:id="91"/>
    </w:p>
    <w:p w14:paraId="08003C8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投标人编写的投标文件应包括资格证明文件、开标一览表、报价明细表、投标函、服务（或商务）要求响应及偏离表、项目实施方案、其他证明文件等部分。</w:t>
      </w:r>
    </w:p>
    <w:p w14:paraId="10A74D37">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如标书制作工具中格式和内容与指定媒体发布的招标文件不一致，请以指定媒体发布的招标文件为准。</w:t>
      </w:r>
    </w:p>
    <w:p w14:paraId="037A914A">
      <w:pPr>
        <w:keepNext/>
        <w:keepLines/>
        <w:spacing w:line="440" w:lineRule="exact"/>
        <w:ind w:firstLine="480"/>
        <w:rPr>
          <w:rFonts w:hint="eastAsia" w:ascii="宋体" w:hAnsi="宋体" w:eastAsia="宋体" w:cs="宋体"/>
          <w:color w:val="auto"/>
          <w:sz w:val="24"/>
          <w:szCs w:val="24"/>
          <w:highlight w:val="none"/>
        </w:rPr>
      </w:pPr>
      <w:bookmarkStart w:id="92" w:name="_Hlt26954838"/>
      <w:bookmarkEnd w:id="92"/>
      <w:bookmarkStart w:id="93" w:name="_Hlt26668975"/>
      <w:bookmarkEnd w:id="93"/>
      <w:bookmarkStart w:id="94" w:name="_Hlt26670360"/>
      <w:bookmarkEnd w:id="94"/>
      <w:bookmarkStart w:id="95" w:name="_Toc513029219"/>
      <w:bookmarkStart w:id="96" w:name="_Toc49090509"/>
      <w:bookmarkStart w:id="97" w:name="_Toc14577357"/>
      <w:bookmarkStart w:id="98" w:name="_Toc513029216"/>
      <w:bookmarkStart w:id="99" w:name="_Toc49090507"/>
      <w:bookmarkStart w:id="100" w:name="_Toc14577354"/>
      <w:bookmarkStart w:id="101" w:name="_Toc14577355"/>
      <w:bookmarkStart w:id="102" w:name="_Toc49090508"/>
      <w:r>
        <w:rPr>
          <w:rFonts w:hint="eastAsia" w:ascii="宋体" w:hAnsi="宋体" w:eastAsia="宋体" w:cs="宋体"/>
          <w:color w:val="auto"/>
          <w:sz w:val="24"/>
          <w:szCs w:val="24"/>
          <w:highlight w:val="none"/>
        </w:rPr>
        <w:t>3、证明投标人及投标标的符合招标文件规定的文件</w:t>
      </w:r>
      <w:bookmarkEnd w:id="95"/>
      <w:bookmarkEnd w:id="96"/>
      <w:bookmarkEnd w:id="97"/>
    </w:p>
    <w:bookmarkEnd w:id="98"/>
    <w:bookmarkEnd w:id="99"/>
    <w:bookmarkEnd w:id="100"/>
    <w:p w14:paraId="26EC666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投标人应按照招标文件要求提交证明文件，证明其及投标标的符合招标文件规定。</w:t>
      </w:r>
    </w:p>
    <w:p w14:paraId="522E5F4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3.2招标文件对证明文件无明确形式要求的，证明文件可以以文字资料、图纸和数据等形式提交。</w:t>
      </w:r>
    </w:p>
    <w:bookmarkEnd w:id="101"/>
    <w:bookmarkEnd w:id="102"/>
    <w:p w14:paraId="3A162923">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4、投标函和开标一览表</w:t>
      </w:r>
    </w:p>
    <w:p w14:paraId="0C46709F">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投标人应按照招标文件中提供的格式完整、正确填写投标函、开标一览表。</w:t>
      </w:r>
    </w:p>
    <w:p w14:paraId="5765231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对于采用货币报价的项目，开标一览表中的投标总报价应与报价明细表中的投标总报价一致，如不一致不作为无效投标处理，但评标时按开标一览表中价格为准。</w:t>
      </w:r>
    </w:p>
    <w:p w14:paraId="57DB2E07">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5、报价明细表</w:t>
      </w:r>
    </w:p>
    <w:p w14:paraId="2AB5FB3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投标人应按照招标文件规定格式填报报价明细表。</w:t>
      </w:r>
    </w:p>
    <w:p w14:paraId="78DEFDD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投标货币。投标文件中的单价和总价无特殊规定的采用人民币报价，以元为单位标注。招标文件中另有规定的按规定执行。</w:t>
      </w:r>
    </w:p>
    <w:p w14:paraId="7B087365">
      <w:pPr>
        <w:keepNext/>
        <w:keepLines/>
        <w:spacing w:line="440" w:lineRule="exact"/>
        <w:ind w:firstLine="480"/>
        <w:rPr>
          <w:rFonts w:hint="eastAsia" w:ascii="宋体" w:hAnsi="宋体" w:eastAsia="宋体" w:cs="宋体"/>
          <w:color w:val="auto"/>
          <w:sz w:val="24"/>
          <w:szCs w:val="24"/>
          <w:highlight w:val="none"/>
        </w:rPr>
      </w:pPr>
      <w:bookmarkStart w:id="103" w:name="_Hlt26954846"/>
      <w:bookmarkEnd w:id="103"/>
      <w:bookmarkStart w:id="104" w:name="_Hlt26670482"/>
      <w:bookmarkEnd w:id="104"/>
      <w:bookmarkStart w:id="105" w:name="_Hlt26670486"/>
      <w:bookmarkEnd w:id="105"/>
      <w:bookmarkStart w:id="106" w:name="_Hlt26954731"/>
      <w:bookmarkEnd w:id="106"/>
      <w:bookmarkStart w:id="107" w:name="_Hlt26954848"/>
      <w:bookmarkEnd w:id="107"/>
      <w:bookmarkStart w:id="108" w:name="_Hlk155763835"/>
      <w:r>
        <w:rPr>
          <w:rFonts w:hint="eastAsia" w:ascii="宋体" w:hAnsi="宋体" w:eastAsia="宋体" w:cs="宋体"/>
          <w:color w:val="auto"/>
          <w:sz w:val="24"/>
          <w:szCs w:val="24"/>
          <w:highlight w:val="none"/>
        </w:rPr>
        <w:t>6、技术参数、商务要求响应及偏离表</w:t>
      </w:r>
    </w:p>
    <w:p w14:paraId="32C0BF9A">
      <w:pPr>
        <w:spacing w:line="440" w:lineRule="exact"/>
        <w:ind w:firstLine="789" w:firstLineChars="32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zh-CN"/>
        </w:rPr>
        <w:t xml:space="preserve"> 投标人需对招标文件中的技术参数与商务要求逐项作出响应或偏离，并说明原因。</w:t>
      </w:r>
    </w:p>
    <w:p w14:paraId="6F2EBCF3">
      <w:pPr>
        <w:spacing w:line="440" w:lineRule="exact"/>
        <w:ind w:firstLine="789" w:firstLineChars="32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lang w:val="zh-CN"/>
        </w:rPr>
        <w:t xml:space="preserve"> 投标人需按照招标文件要求，在投标文件中提供与服务要求和商务要求相关的证明材料。</w:t>
      </w:r>
      <w:bookmarkEnd w:id="108"/>
      <w:r>
        <w:rPr>
          <w:rFonts w:hint="eastAsia" w:ascii="宋体" w:hAnsi="宋体" w:eastAsia="宋体" w:cs="宋体"/>
          <w:color w:val="auto"/>
          <w:sz w:val="24"/>
          <w:szCs w:val="24"/>
          <w:highlight w:val="none"/>
          <w:lang w:val="zh-CN"/>
        </w:rPr>
        <w:t>（如有）</w:t>
      </w:r>
    </w:p>
    <w:p w14:paraId="61EDF0E2">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7、项目实施方案、项目组人员一览表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质量保证、业绩情况</w:t>
      </w:r>
    </w:p>
    <w:p w14:paraId="235C4FE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投标人需根据招标文件要求提供有关投标货物项目实施方案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质量保证等。</w:t>
      </w:r>
    </w:p>
    <w:p w14:paraId="606E1D6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投标人需根据招标文件要求提供实施的类似项目业绩情况。</w:t>
      </w:r>
      <w:bookmarkStart w:id="109" w:name="_Toc49090510"/>
      <w:bookmarkStart w:id="110" w:name="_Toc14577359"/>
    </w:p>
    <w:p w14:paraId="00050CF3">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End w:id="109"/>
      <w:bookmarkEnd w:id="110"/>
      <w:bookmarkStart w:id="111" w:name="_Toc49090511"/>
      <w:bookmarkStart w:id="112" w:name="_Toc14577360"/>
      <w:r>
        <w:rPr>
          <w:rFonts w:hint="eastAsia" w:ascii="宋体" w:hAnsi="宋体" w:eastAsia="宋体" w:cs="宋体"/>
          <w:color w:val="auto"/>
          <w:sz w:val="24"/>
          <w:szCs w:val="24"/>
          <w:highlight w:val="none"/>
        </w:rPr>
        <w:t>投标有效期</w:t>
      </w:r>
      <w:bookmarkEnd w:id="111"/>
      <w:bookmarkEnd w:id="112"/>
    </w:p>
    <w:p w14:paraId="56922C59">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.1投标有效期为代理机构</w:t>
      </w:r>
      <w:r>
        <w:rPr>
          <w:rFonts w:hint="eastAsia" w:ascii="宋体" w:hAnsi="宋体" w:eastAsia="宋体" w:cs="宋体"/>
          <w:bCs/>
          <w:color w:val="auto"/>
          <w:sz w:val="24"/>
          <w:szCs w:val="24"/>
          <w:highlight w:val="none"/>
        </w:rPr>
        <w:t>规定的开标之日后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bCs/>
          <w:color w:val="auto"/>
          <w:sz w:val="24"/>
          <w:szCs w:val="24"/>
          <w:highlight w:val="none"/>
        </w:rPr>
        <w:t>。投标有效期比规定短的将被视为未实质性响应招标文件而予以拒绝。</w:t>
      </w:r>
    </w:p>
    <w:p w14:paraId="41E689DC">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、投标有效期的延长</w:t>
      </w:r>
    </w:p>
    <w:p w14:paraId="78434A8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B2C1957">
      <w:pPr>
        <w:keepNext/>
        <w:keepLines/>
        <w:spacing w:line="440" w:lineRule="exact"/>
        <w:ind w:firstLine="562"/>
        <w:rPr>
          <w:rFonts w:hint="eastAsia" w:ascii="宋体" w:hAnsi="宋体" w:eastAsia="宋体" w:cs="宋体"/>
          <w:b/>
          <w:bCs/>
          <w:color w:val="auto"/>
          <w:sz w:val="28"/>
          <w:szCs w:val="28"/>
          <w:highlight w:val="none"/>
        </w:rPr>
      </w:pPr>
      <w:bookmarkStart w:id="113" w:name="_Hlt26954739"/>
      <w:bookmarkEnd w:id="113"/>
      <w:bookmarkStart w:id="114" w:name="_Hlt26954852"/>
      <w:bookmarkEnd w:id="114"/>
      <w:bookmarkStart w:id="115" w:name="_Toc120614217"/>
      <w:bookmarkStart w:id="116" w:name="_Toc513029224"/>
      <w:bookmarkStart w:id="117" w:name="_Toc20823296"/>
      <w:bookmarkStart w:id="118" w:name="_Toc16938540"/>
      <w:r>
        <w:rPr>
          <w:rFonts w:hint="eastAsia" w:ascii="宋体" w:hAnsi="宋体" w:eastAsia="宋体" w:cs="宋体"/>
          <w:b/>
          <w:bCs/>
          <w:color w:val="auto"/>
          <w:sz w:val="28"/>
          <w:szCs w:val="28"/>
          <w:highlight w:val="none"/>
        </w:rPr>
        <w:t>四、投标文件的递交</w:t>
      </w:r>
      <w:bookmarkEnd w:id="115"/>
      <w:bookmarkEnd w:id="116"/>
      <w:bookmarkEnd w:id="117"/>
      <w:bookmarkEnd w:id="118"/>
    </w:p>
    <w:p w14:paraId="1CDFC3D6">
      <w:pPr>
        <w:keepNext/>
        <w:keepLines/>
        <w:spacing w:line="440" w:lineRule="exact"/>
        <w:ind w:firstLine="480" w:firstLineChars="200"/>
        <w:rPr>
          <w:rFonts w:hint="eastAsia" w:ascii="宋体" w:hAnsi="宋体" w:eastAsia="宋体" w:cs="宋体"/>
          <w:color w:val="auto"/>
          <w:sz w:val="24"/>
          <w:szCs w:val="24"/>
          <w:highlight w:val="none"/>
        </w:rPr>
      </w:pPr>
      <w:bookmarkStart w:id="119" w:name="_Toc20823297"/>
      <w:bookmarkStart w:id="120" w:name="_Toc513029225"/>
      <w:bookmarkStart w:id="121" w:name="_Toc16938541"/>
      <w:bookmarkStart w:id="122" w:name="_Toc462564084"/>
      <w:r>
        <w:rPr>
          <w:rFonts w:hint="eastAsia" w:ascii="宋体" w:hAnsi="宋体" w:eastAsia="宋体" w:cs="宋体"/>
          <w:color w:val="auto"/>
          <w:sz w:val="24"/>
          <w:szCs w:val="24"/>
          <w:highlight w:val="none"/>
        </w:rPr>
        <w:t>1、电子投标文件</w:t>
      </w:r>
      <w:bookmarkEnd w:id="119"/>
      <w:bookmarkEnd w:id="120"/>
      <w:bookmarkEnd w:id="121"/>
      <w:bookmarkEnd w:id="122"/>
      <w:r>
        <w:rPr>
          <w:rFonts w:hint="eastAsia" w:ascii="宋体" w:hAnsi="宋体" w:eastAsia="宋体" w:cs="宋体"/>
          <w:color w:val="auto"/>
          <w:sz w:val="24"/>
          <w:szCs w:val="24"/>
          <w:highlight w:val="none"/>
        </w:rPr>
        <w:t>的递交</w:t>
      </w:r>
    </w:p>
    <w:p w14:paraId="775BF0B2">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1.1投标人应当按照《苏采云系统供应商操作手册》规定，在投标截止时间前制作并上传电子投标文件。</w:t>
      </w:r>
      <w:bookmarkStart w:id="123" w:name="_Toc16938542"/>
      <w:bookmarkStart w:id="124" w:name="_Toc20823298"/>
      <w:bookmarkStart w:id="125" w:name="_Toc513029226"/>
    </w:p>
    <w:p w14:paraId="622EB136">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2、投标截止日期</w:t>
      </w:r>
      <w:bookmarkEnd w:id="123"/>
      <w:bookmarkEnd w:id="124"/>
      <w:bookmarkEnd w:id="125"/>
    </w:p>
    <w:p w14:paraId="442A19F3">
      <w:pPr>
        <w:spacing w:line="440" w:lineRule="exact"/>
        <w:ind w:firstLine="789" w:firstLineChars="329"/>
        <w:rPr>
          <w:rFonts w:hint="eastAsia" w:ascii="宋体" w:hAnsi="宋体" w:eastAsia="宋体" w:cs="宋体"/>
          <w:bCs/>
          <w:iCs/>
          <w:color w:val="auto"/>
          <w:sz w:val="24"/>
          <w:szCs w:val="24"/>
          <w:highlight w:val="none"/>
          <w:u w:val="none"/>
        </w:rPr>
      </w:pPr>
      <w:r>
        <w:rPr>
          <w:rFonts w:hint="eastAsia" w:ascii="宋体" w:hAnsi="宋体" w:eastAsia="宋体" w:cs="宋体"/>
          <w:iCs/>
          <w:color w:val="auto"/>
          <w:sz w:val="24"/>
          <w:szCs w:val="24"/>
          <w:highlight w:val="none"/>
          <w:u w:val="none"/>
        </w:rPr>
        <w:t>2.1</w:t>
      </w:r>
      <w:r>
        <w:rPr>
          <w:rFonts w:hint="eastAsia" w:ascii="宋体" w:hAnsi="宋体" w:eastAsia="宋体" w:cs="宋体"/>
          <w:bCs/>
          <w:iCs/>
          <w:color w:val="auto"/>
          <w:sz w:val="24"/>
          <w:szCs w:val="24"/>
          <w:highlight w:val="none"/>
          <w:u w:val="none"/>
        </w:rPr>
        <w:t xml:space="preserve"> 投标人上传电子投标文件的时间不得迟于招标公告中规定的投标截止时间。</w:t>
      </w:r>
    </w:p>
    <w:p w14:paraId="4B8B266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67C4759A">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p>
    <w:p w14:paraId="5D3A28DD">
      <w:pPr>
        <w:keepNext/>
        <w:keepLines/>
        <w:spacing w:line="440" w:lineRule="exact"/>
        <w:ind w:firstLine="480"/>
        <w:rPr>
          <w:rFonts w:hint="eastAsia" w:ascii="宋体" w:hAnsi="宋体" w:eastAsia="宋体" w:cs="宋体"/>
          <w:color w:val="auto"/>
          <w:sz w:val="24"/>
          <w:szCs w:val="24"/>
          <w:highlight w:val="none"/>
        </w:rPr>
      </w:pPr>
      <w:bookmarkStart w:id="126" w:name="_Toc16938543"/>
      <w:bookmarkStart w:id="127" w:name="_Toc20823299"/>
      <w:bookmarkStart w:id="128" w:name="_Toc513029227"/>
      <w:r>
        <w:rPr>
          <w:rFonts w:hint="eastAsia" w:ascii="宋体" w:hAnsi="宋体" w:eastAsia="宋体" w:cs="宋体"/>
          <w:color w:val="auto"/>
          <w:sz w:val="24"/>
          <w:szCs w:val="24"/>
          <w:highlight w:val="none"/>
        </w:rPr>
        <w:t>3、投标文件</w:t>
      </w:r>
      <w:bookmarkEnd w:id="126"/>
      <w:bookmarkEnd w:id="127"/>
      <w:bookmarkEnd w:id="128"/>
      <w:r>
        <w:rPr>
          <w:rFonts w:hint="eastAsia" w:ascii="宋体" w:hAnsi="宋体" w:eastAsia="宋体" w:cs="宋体"/>
          <w:color w:val="auto"/>
          <w:sz w:val="24"/>
          <w:szCs w:val="24"/>
          <w:highlight w:val="none"/>
        </w:rPr>
        <w:t>的拒收</w:t>
      </w:r>
    </w:p>
    <w:p w14:paraId="786BFD44">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 代理机构拒绝接收在其规定的投标截止时间后上传的任何投标文件。</w:t>
      </w:r>
    </w:p>
    <w:p w14:paraId="6673A0D8">
      <w:pPr>
        <w:keepNext/>
        <w:keepLines/>
        <w:spacing w:line="440" w:lineRule="exact"/>
        <w:ind w:firstLine="480"/>
        <w:rPr>
          <w:rFonts w:hint="eastAsia" w:ascii="宋体" w:hAnsi="宋体" w:eastAsia="宋体" w:cs="宋体"/>
          <w:color w:val="auto"/>
          <w:sz w:val="24"/>
          <w:szCs w:val="24"/>
          <w:highlight w:val="none"/>
        </w:rPr>
      </w:pPr>
      <w:bookmarkStart w:id="129" w:name="_Toc513029228"/>
      <w:bookmarkStart w:id="130" w:name="_Toc16938544"/>
      <w:bookmarkStart w:id="131" w:name="_Toc20823300"/>
      <w:r>
        <w:rPr>
          <w:rFonts w:hint="eastAsia" w:ascii="宋体" w:hAnsi="宋体" w:eastAsia="宋体" w:cs="宋体"/>
          <w:color w:val="auto"/>
          <w:sz w:val="24"/>
          <w:szCs w:val="24"/>
          <w:highlight w:val="none"/>
        </w:rPr>
        <w:t>4、投标文件的撤回和修改</w:t>
      </w:r>
      <w:bookmarkEnd w:id="129"/>
      <w:bookmarkEnd w:id="130"/>
      <w:bookmarkEnd w:id="131"/>
    </w:p>
    <w:p w14:paraId="3CB1537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投标文件的撤回</w:t>
      </w:r>
    </w:p>
    <w:p w14:paraId="737220D5">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电子投标文件的撤回</w:t>
      </w:r>
    </w:p>
    <w:p w14:paraId="5D1238A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投标人可在投标截止时间前，撤回其电子投标文件，具体操作方法见《苏采云系统供应商操作手册》。</w:t>
      </w:r>
    </w:p>
    <w:p w14:paraId="61804C82">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投标人撤回电子投标文件，则认为其不再参与本项目投标活动。</w:t>
      </w:r>
    </w:p>
    <w:p w14:paraId="7219F93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投标文件的修改</w:t>
      </w:r>
    </w:p>
    <w:p w14:paraId="4EB1F819">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4.2.1投标人可在投标截止时间前，对其电子投标文件进行修改，具体操作方法见《苏采云系统供应商操作手册》。</w:t>
      </w:r>
    </w:p>
    <w:p w14:paraId="78E70BEF">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在投标截止时间之后，投标人不得对其电子投标文件作任何修改。</w:t>
      </w:r>
    </w:p>
    <w:p w14:paraId="216247C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在投标截止时间至招标文件中规定的投标有效期满之间的这段时间内，投标人不得撤回其投标。</w:t>
      </w:r>
    </w:p>
    <w:p w14:paraId="6032001A">
      <w:pPr>
        <w:keepNext/>
        <w:keepLines/>
        <w:spacing w:line="440" w:lineRule="exact"/>
        <w:ind w:firstLine="562"/>
        <w:rPr>
          <w:rFonts w:hint="eastAsia" w:ascii="宋体" w:hAnsi="宋体" w:eastAsia="宋体" w:cs="宋体"/>
          <w:b/>
          <w:bCs/>
          <w:color w:val="auto"/>
          <w:sz w:val="28"/>
          <w:szCs w:val="28"/>
          <w:highlight w:val="none"/>
        </w:rPr>
      </w:pPr>
      <w:bookmarkStart w:id="132" w:name="_Toc16938545"/>
      <w:bookmarkStart w:id="133" w:name="_Toc513029229"/>
      <w:bookmarkStart w:id="134" w:name="_Toc120614218"/>
      <w:bookmarkStart w:id="135" w:name="_Toc20823301"/>
      <w:r>
        <w:rPr>
          <w:rFonts w:hint="eastAsia" w:ascii="宋体" w:hAnsi="宋体" w:eastAsia="宋体" w:cs="宋体"/>
          <w:b/>
          <w:bCs/>
          <w:color w:val="auto"/>
          <w:sz w:val="28"/>
          <w:szCs w:val="28"/>
          <w:highlight w:val="none"/>
        </w:rPr>
        <w:t>五、开标与评标</w:t>
      </w:r>
      <w:bookmarkEnd w:id="132"/>
      <w:bookmarkEnd w:id="133"/>
      <w:bookmarkEnd w:id="134"/>
      <w:bookmarkEnd w:id="135"/>
    </w:p>
    <w:p w14:paraId="563B09E4">
      <w:pPr>
        <w:keepNext/>
        <w:keepLines/>
        <w:spacing w:line="440" w:lineRule="exact"/>
        <w:ind w:firstLine="480"/>
        <w:rPr>
          <w:rFonts w:hint="eastAsia" w:ascii="宋体" w:hAnsi="宋体" w:eastAsia="宋体" w:cs="宋体"/>
          <w:color w:val="auto"/>
          <w:sz w:val="24"/>
          <w:szCs w:val="24"/>
          <w:highlight w:val="none"/>
        </w:rPr>
      </w:pPr>
      <w:bookmarkStart w:id="136" w:name="_Toc16938546"/>
      <w:bookmarkStart w:id="137" w:name="_Toc20823302"/>
      <w:bookmarkStart w:id="138" w:name="_Toc513029230"/>
      <w:r>
        <w:rPr>
          <w:rFonts w:hint="eastAsia" w:ascii="宋体" w:hAnsi="宋体" w:eastAsia="宋体" w:cs="宋体"/>
          <w:color w:val="auto"/>
          <w:sz w:val="24"/>
          <w:szCs w:val="24"/>
          <w:highlight w:val="none"/>
        </w:rPr>
        <w:t>1、开标</w:t>
      </w:r>
      <w:bookmarkEnd w:id="136"/>
      <w:bookmarkEnd w:id="137"/>
      <w:bookmarkEnd w:id="138"/>
    </w:p>
    <w:p w14:paraId="61F8757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代理机构将在招标公告中规定的时间和地点组织公开开标。投标人应当按照《苏采云系统供应商操作手册》规定，参加开标活动和在苏采云系统规定的时间内对投标文件进行解密。</w:t>
      </w:r>
    </w:p>
    <w:p w14:paraId="0F3208E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1.2开标仪式由代理机构组织。苏采云系统将自动对项目进行开标，并宣布各投标人名称和投标价格。</w:t>
      </w:r>
    </w:p>
    <w:p w14:paraId="6D423BD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1.3投标人在开标过程中涉及到的投标文件解密、开标结果确认等工作，应按照《苏采云系统供应商操作手册》规定执行。</w:t>
      </w:r>
    </w:p>
    <w:p w14:paraId="5A0F62F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1.4投标人如果对开标过程和开标记录有疑义，应当根据《操作手册》规定提出，如苏采云系统中《开标记录表》宣布后5分钟内未提出的，视同认可开标结果。</w:t>
      </w:r>
    </w:p>
    <w:p w14:paraId="7ACEFDD4">
      <w:pPr>
        <w:keepNext/>
        <w:keepLines/>
        <w:spacing w:line="440" w:lineRule="exact"/>
        <w:ind w:firstLine="480"/>
        <w:rPr>
          <w:rFonts w:hint="eastAsia" w:ascii="宋体" w:hAnsi="宋体" w:eastAsia="宋体" w:cs="宋体"/>
          <w:color w:val="auto"/>
          <w:sz w:val="24"/>
          <w:szCs w:val="24"/>
          <w:highlight w:val="none"/>
        </w:rPr>
      </w:pPr>
      <w:bookmarkStart w:id="139" w:name="_Toc20823303"/>
      <w:bookmarkStart w:id="140" w:name="_Toc16938547"/>
      <w:bookmarkStart w:id="141" w:name="_Toc513029231"/>
      <w:r>
        <w:rPr>
          <w:rFonts w:hint="eastAsia" w:ascii="宋体" w:hAnsi="宋体" w:eastAsia="宋体" w:cs="宋体"/>
          <w:color w:val="auto"/>
          <w:sz w:val="24"/>
          <w:szCs w:val="24"/>
          <w:highlight w:val="none"/>
        </w:rPr>
        <w:t>2、评标委员会</w:t>
      </w:r>
    </w:p>
    <w:p w14:paraId="0652E53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开标后，代理机构将立即组织评标委员会（以下简称评委会）进行评标。</w:t>
      </w:r>
    </w:p>
    <w:p w14:paraId="006CA63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评委会由采购人代表和有关技术、经济等方面的专家组成，且人员构成符合政府采购有关规定。</w:t>
      </w:r>
    </w:p>
    <w:p w14:paraId="6B4DC260">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2.3评委会独立工作，负责评审所有投标文件并确定中标侯选人。</w:t>
      </w:r>
    </w:p>
    <w:p w14:paraId="7E03C0AD">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3．评标过程的保密与公正</w:t>
      </w:r>
    </w:p>
    <w:bookmarkEnd w:id="139"/>
    <w:bookmarkEnd w:id="140"/>
    <w:bookmarkEnd w:id="141"/>
    <w:p w14:paraId="70A39F2F">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bCs/>
          <w:color w:val="auto"/>
          <w:sz w:val="24"/>
          <w:szCs w:val="24"/>
          <w:highlight w:val="none"/>
        </w:rPr>
        <w:t>凡是与审查、澄清、评价和比较投标的有关资料以及授标建议等，采购人、评委、代理机构均不得向投标人或与评标无关的其他人员透露。</w:t>
      </w:r>
    </w:p>
    <w:p w14:paraId="6928747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3.2在评标过程中，投标人不得以任何行为影响评标过程，否则其投标文件将被作为无效投标文件。</w:t>
      </w:r>
    </w:p>
    <w:p w14:paraId="529B33C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代理机构和评委会不向未中标的投标人解释未中标原因，也不公布评标过程中的相关细节。</w:t>
      </w:r>
    </w:p>
    <w:p w14:paraId="58AEB21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采用综合评分法的项目，未中标的投标人可于中标结果公告期限届满之日起通过苏采云系统查看自己的评审得分及排序情况。</w:t>
      </w:r>
    </w:p>
    <w:p w14:paraId="3E1D4F2E">
      <w:pPr>
        <w:keepNext/>
        <w:keepLines/>
        <w:spacing w:line="440" w:lineRule="exact"/>
        <w:ind w:firstLine="480"/>
        <w:rPr>
          <w:rFonts w:hint="eastAsia" w:ascii="宋体" w:hAnsi="宋体" w:eastAsia="宋体" w:cs="宋体"/>
          <w:color w:val="auto"/>
          <w:sz w:val="24"/>
          <w:szCs w:val="24"/>
          <w:highlight w:val="none"/>
        </w:rPr>
      </w:pPr>
      <w:bookmarkStart w:id="142" w:name="_Toc16938548"/>
      <w:bookmarkStart w:id="143" w:name="_Toc20823304"/>
      <w:bookmarkStart w:id="144" w:name="_Toc513029232"/>
      <w:r>
        <w:rPr>
          <w:rFonts w:hint="eastAsia" w:ascii="宋体" w:hAnsi="宋体" w:eastAsia="宋体" w:cs="宋体"/>
          <w:color w:val="auto"/>
          <w:sz w:val="24"/>
          <w:szCs w:val="24"/>
          <w:highlight w:val="none"/>
        </w:rPr>
        <w:t>4. 投标文件的澄清</w:t>
      </w:r>
      <w:bookmarkEnd w:id="142"/>
      <w:bookmarkEnd w:id="143"/>
      <w:bookmarkEnd w:id="144"/>
    </w:p>
    <w:p w14:paraId="5496A4A8">
      <w:pPr>
        <w:spacing w:line="440" w:lineRule="exact"/>
        <w:ind w:firstLine="789" w:firstLineChars="329"/>
        <w:rPr>
          <w:rFonts w:hint="eastAsia" w:ascii="宋体" w:hAnsi="宋体" w:eastAsia="宋体" w:cs="宋体"/>
          <w:color w:val="auto"/>
          <w:sz w:val="24"/>
          <w:szCs w:val="24"/>
          <w:highlight w:val="none"/>
        </w:rPr>
      </w:pPr>
      <w:bookmarkStart w:id="145" w:name="_Toc513029233"/>
      <w:bookmarkStart w:id="146" w:name="_Toc16938549"/>
      <w:bookmarkStart w:id="147" w:name="_Toc20823305"/>
      <w:r>
        <w:rPr>
          <w:rFonts w:hint="eastAsia" w:ascii="宋体" w:hAnsi="宋体" w:eastAsia="宋体" w:cs="宋体"/>
          <w:color w:val="auto"/>
          <w:sz w:val="24"/>
          <w:szCs w:val="24"/>
          <w:highlight w:val="none"/>
        </w:rPr>
        <w:t>4.1评标期间，评委会对投标文件中含义不明确、同类问题表述不一致或者有明显文字和计算错误的内容 ，有权要求投标人作出必要的澄清、说明或者补正。</w:t>
      </w:r>
    </w:p>
    <w:p w14:paraId="78F3335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145A352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C2BEE5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35635C9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接到评委会澄清、说明和补正要求的投标人如未按规定做出澄清、说明和补正，其风险由投标人自行承担。</w:t>
      </w:r>
    </w:p>
    <w:p w14:paraId="2664E984">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对投标文件的初审</w:t>
      </w:r>
      <w:bookmarkEnd w:id="145"/>
      <w:bookmarkEnd w:id="146"/>
      <w:bookmarkEnd w:id="147"/>
    </w:p>
    <w:p w14:paraId="420571B7">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bCs/>
          <w:color w:val="auto"/>
          <w:sz w:val="24"/>
          <w:szCs w:val="24"/>
          <w:highlight w:val="none"/>
        </w:rPr>
        <w:t>投标文件初审分为资格审查和符合性审查。</w:t>
      </w:r>
    </w:p>
    <w:p w14:paraId="539CAA6A">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27E0F2DF">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采购人在进行资格性审查的同时，将在信用中国 （ https://www.creditchina.gov.cn/ ）查询投标人的信用记录，以确定投标人是否具备投标资格,查询结果留存并归档。</w:t>
      </w:r>
    </w:p>
    <w:p w14:paraId="3DFD1AD6">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01D2E47">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419763BF">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145444A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21D0DA37">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评委决定投标文件的响应性只根据投标文件本身的内容，而不寻求外部的证据。</w:t>
      </w:r>
    </w:p>
    <w:p w14:paraId="7424E15A">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2B52B42E">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5.4</w:t>
      </w:r>
      <w:r>
        <w:rPr>
          <w:rFonts w:hint="eastAsia" w:ascii="宋体" w:hAnsi="宋体" w:eastAsia="宋体" w:cs="宋体"/>
          <w:bCs/>
          <w:color w:val="auto"/>
          <w:sz w:val="24"/>
          <w:szCs w:val="24"/>
          <w:highlight w:val="none"/>
        </w:rPr>
        <w:t>评委会将对确定为实质性响应的投标进行进一步审核，看其是否有计算上或累加上的算术错误，修正错误的原则如下：</w:t>
      </w:r>
    </w:p>
    <w:p w14:paraId="008525FE">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351C305B">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51FE94FA">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68DEAA7B">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58E099B9">
      <w:pPr>
        <w:spacing w:line="440" w:lineRule="exact"/>
        <w:ind w:firstLine="960" w:firstLineChars="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同时出现两种以上错误的，按照前款规定的顺序修正。</w:t>
      </w:r>
    </w:p>
    <w:p w14:paraId="5942A2F6">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5.5</w:t>
      </w:r>
      <w:r>
        <w:rPr>
          <w:rFonts w:hint="eastAsia" w:ascii="宋体" w:hAnsi="宋体" w:eastAsia="宋体" w:cs="宋体"/>
          <w:bCs/>
          <w:color w:val="auto"/>
          <w:sz w:val="24"/>
          <w:szCs w:val="24"/>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告知投标人，调整后的价格应对投标人具有约束力。如果投标人不接受修正后的价格，则其投标将被拒绝。</w:t>
      </w:r>
    </w:p>
    <w:p w14:paraId="3C797DB5">
      <w:pPr>
        <w:spacing w:line="440" w:lineRule="exact"/>
        <w:ind w:firstLine="789" w:firstLineChars="329"/>
        <w:rPr>
          <w:rFonts w:hint="eastAsia" w:ascii="宋体" w:hAnsi="宋体" w:eastAsia="宋体" w:cs="宋体"/>
          <w:color w:val="auto"/>
          <w:sz w:val="24"/>
          <w:szCs w:val="24"/>
          <w:highlight w:val="none"/>
        </w:rPr>
      </w:pPr>
      <w:bookmarkStart w:id="148" w:name="_Toc20823306"/>
      <w:bookmarkStart w:id="149" w:name="_Toc513029234"/>
      <w:bookmarkStart w:id="150" w:name="_Toc16938550"/>
      <w:r>
        <w:rPr>
          <w:rFonts w:hint="eastAsia" w:ascii="宋体" w:hAnsi="宋体" w:eastAsia="宋体" w:cs="宋体"/>
          <w:color w:val="auto"/>
          <w:sz w:val="24"/>
          <w:szCs w:val="24"/>
          <w:highlight w:val="none"/>
        </w:rPr>
        <w:t>5.6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DE7EAA3">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061E7CE7">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5.7投标人在开、评标全过程中应保持通讯畅通，及时登录苏采云系统查阅、答复相关信息，并安排专人与代理机构及</w:t>
      </w:r>
      <w:r>
        <w:rPr>
          <w:rFonts w:hint="eastAsia" w:ascii="宋体" w:hAnsi="宋体" w:eastAsia="宋体" w:cs="宋体"/>
          <w:bCs/>
          <w:color w:val="auto"/>
          <w:sz w:val="24"/>
          <w:szCs w:val="24"/>
          <w:highlight w:val="none"/>
        </w:rPr>
        <w:t>评委会</w:t>
      </w:r>
      <w:r>
        <w:rPr>
          <w:rFonts w:hint="eastAsia" w:ascii="宋体" w:hAnsi="宋体" w:eastAsia="宋体" w:cs="宋体"/>
          <w:color w:val="auto"/>
          <w:sz w:val="24"/>
          <w:szCs w:val="24"/>
          <w:highlight w:val="none"/>
        </w:rPr>
        <w:t>联系。</w:t>
      </w:r>
    </w:p>
    <w:p w14:paraId="0D5CAEFE">
      <w:pPr>
        <w:keepNext/>
        <w:keepLine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bookmarkEnd w:id="148"/>
      <w:bookmarkEnd w:id="149"/>
      <w:bookmarkEnd w:id="150"/>
      <w:r>
        <w:rPr>
          <w:rFonts w:hint="eastAsia" w:ascii="宋体" w:hAnsi="宋体" w:eastAsia="宋体" w:cs="宋体"/>
          <w:color w:val="auto"/>
          <w:sz w:val="24"/>
          <w:szCs w:val="24"/>
          <w:highlight w:val="none"/>
        </w:rPr>
        <w:t>.无效投标条款和废标条款</w:t>
      </w:r>
    </w:p>
    <w:p w14:paraId="4205E623">
      <w:pPr>
        <w:spacing w:line="440" w:lineRule="exact"/>
        <w:ind w:firstLine="789" w:firstLineChars="329"/>
        <w:rPr>
          <w:rFonts w:hint="eastAsia" w:ascii="宋体" w:hAnsi="宋体" w:eastAsia="宋体" w:cs="宋体"/>
          <w:color w:val="auto"/>
          <w:sz w:val="24"/>
          <w:szCs w:val="24"/>
          <w:highlight w:val="none"/>
        </w:rPr>
      </w:pPr>
      <w:bookmarkStart w:id="151" w:name="_Toc513029235"/>
      <w:bookmarkStart w:id="152" w:name="_Toc20823307"/>
      <w:bookmarkStart w:id="153" w:name="_Toc16938551"/>
      <w:r>
        <w:rPr>
          <w:rFonts w:hint="eastAsia" w:ascii="宋体" w:hAnsi="宋体" w:eastAsia="宋体" w:cs="宋体"/>
          <w:color w:val="auto"/>
          <w:sz w:val="24"/>
          <w:szCs w:val="24"/>
          <w:highlight w:val="none"/>
        </w:rPr>
        <w:t>6.1无效投标条款</w:t>
      </w:r>
    </w:p>
    <w:p w14:paraId="396E4F56">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 投标人在苏采云系统规定的时间内未成功解密电子投标文件的。</w:t>
      </w:r>
    </w:p>
    <w:p w14:paraId="075BCE58">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6.1.2 投标人未按照招标文件要求上传电子投标文件的。</w:t>
      </w:r>
    </w:p>
    <w:p w14:paraId="1BA3239D">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6.1.3同一投标人提交两个（含两个）以上不同的投标报价的。</w:t>
      </w:r>
    </w:p>
    <w:p w14:paraId="1FF598D7">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6.1.4投标人不具备招标文件中规定资格要求的。</w:t>
      </w:r>
    </w:p>
    <w:p w14:paraId="0037325F">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6.1.5投标人的报价超过了采购预算或最高限价的。</w:t>
      </w:r>
    </w:p>
    <w:p w14:paraId="39D48CB1">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6.1.6未通过符合性审查的。</w:t>
      </w:r>
    </w:p>
    <w:p w14:paraId="38F69626">
      <w:pPr>
        <w:spacing w:line="440" w:lineRule="exact"/>
        <w:ind w:firstLine="1027" w:firstLineChars="428"/>
        <w:rPr>
          <w:rFonts w:hint="eastAsia" w:ascii="宋体" w:hAnsi="宋体" w:eastAsia="宋体" w:cs="宋体"/>
          <w:iCs/>
          <w:color w:val="auto"/>
          <w:sz w:val="24"/>
          <w:szCs w:val="24"/>
          <w:highlight w:val="none"/>
        </w:rPr>
      </w:pPr>
      <w:r>
        <w:rPr>
          <w:rFonts w:hint="eastAsia" w:ascii="宋体" w:hAnsi="宋体" w:eastAsia="宋体" w:cs="宋体"/>
          <w:bCs/>
          <w:color w:val="auto"/>
          <w:sz w:val="24"/>
          <w:szCs w:val="24"/>
          <w:highlight w:val="none"/>
        </w:rPr>
        <w:t>6.1.7不符合招标文件中规定的实质性要求和条件的</w:t>
      </w:r>
      <w:r>
        <w:rPr>
          <w:rFonts w:hint="eastAsia" w:ascii="宋体" w:hAnsi="宋体" w:eastAsia="宋体" w:cs="宋体"/>
          <w:iCs/>
          <w:color w:val="auto"/>
          <w:sz w:val="24"/>
          <w:szCs w:val="24"/>
          <w:highlight w:val="none"/>
        </w:rPr>
        <w:t>。</w:t>
      </w:r>
    </w:p>
    <w:p w14:paraId="4BDDC046">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6.1.8 投标人在信用中国 （ https://www.creditchina.gov.cn/ ）等网站存在下列依法拒绝投标人参加政府采购的失信信息的。</w:t>
      </w:r>
    </w:p>
    <w:p w14:paraId="690A562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（1）政府采购严重违法记录，即投标人被全国各级财政部门列入“政府采购严重违法失信行为记录名单”，且在处罚有效期内的。</w:t>
      </w:r>
    </w:p>
    <w:p w14:paraId="7469B825">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4DE4CB3A">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6.1.9  投标文件含有采购人不能接受的附加条件的。</w:t>
      </w:r>
    </w:p>
    <w:p w14:paraId="72B6778E">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4E61D1D9">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8690A5">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6.1.12 投标文件未按照招标文件要求加盖CA电子公章的。</w:t>
      </w:r>
    </w:p>
    <w:p w14:paraId="17E19E13">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6.1.13其他法律、法规及本招标文件规定的属无效投标的情形。</w:t>
      </w:r>
    </w:p>
    <w:p w14:paraId="55FC752F">
      <w:pPr>
        <w:spacing w:line="440" w:lineRule="exact"/>
        <w:ind w:left="479"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6.2废标条款</w:t>
      </w:r>
    </w:p>
    <w:p w14:paraId="1AC19C66">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6.2.1符合专业条件的供应商或者对招标文件作实质响应的供应商不足三家的。</w:t>
      </w:r>
    </w:p>
    <w:p w14:paraId="0BE7FA96">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6.2.2出现影响采购公正的违法、违规行为的。</w:t>
      </w:r>
    </w:p>
    <w:p w14:paraId="567E8423">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6.2.3因重大变故，采购任务取消的。</w:t>
      </w:r>
    </w:p>
    <w:p w14:paraId="09D5895C">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6.2.4评标委员会认定招标文件存在歧义、重大缺陷导致评审工作无法进行。</w:t>
      </w:r>
    </w:p>
    <w:p w14:paraId="4F21B09E">
      <w:pPr>
        <w:spacing w:line="440" w:lineRule="exact"/>
        <w:ind w:left="479"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6.2.5 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系统故障原因造成开标不成功的。</w:t>
      </w:r>
    </w:p>
    <w:p w14:paraId="1B535A21">
      <w:pPr>
        <w:spacing w:line="440" w:lineRule="exact"/>
        <w:ind w:left="479"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 投标截止时间结束后参加投标的供应商不足三家的处理：</w:t>
      </w:r>
    </w:p>
    <w:p w14:paraId="7BB35D6E">
      <w:pPr>
        <w:spacing w:line="440" w:lineRule="exact"/>
        <w:ind w:firstLine="1027" w:firstLineChars="4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7E519333">
      <w:pPr>
        <w:keepNext/>
        <w:keepLines/>
        <w:spacing w:line="440" w:lineRule="exact"/>
        <w:ind w:firstLine="562"/>
        <w:rPr>
          <w:rFonts w:hint="eastAsia" w:ascii="宋体" w:hAnsi="宋体" w:eastAsia="宋体" w:cs="宋体"/>
          <w:b/>
          <w:bCs/>
          <w:color w:val="auto"/>
          <w:sz w:val="28"/>
          <w:szCs w:val="28"/>
          <w:highlight w:val="none"/>
        </w:rPr>
      </w:pPr>
      <w:bookmarkStart w:id="154" w:name="_Toc120614219"/>
      <w:r>
        <w:rPr>
          <w:rFonts w:hint="eastAsia" w:ascii="宋体" w:hAnsi="宋体" w:eastAsia="宋体" w:cs="宋体"/>
          <w:b/>
          <w:bCs/>
          <w:color w:val="auto"/>
          <w:sz w:val="28"/>
          <w:szCs w:val="28"/>
          <w:highlight w:val="none"/>
        </w:rPr>
        <w:t>六、</w:t>
      </w:r>
      <w:bookmarkEnd w:id="151"/>
      <w:bookmarkEnd w:id="152"/>
      <w:bookmarkEnd w:id="153"/>
      <w:r>
        <w:rPr>
          <w:rFonts w:hint="eastAsia" w:ascii="宋体" w:hAnsi="宋体" w:eastAsia="宋体" w:cs="宋体"/>
          <w:b/>
          <w:bCs/>
          <w:color w:val="auto"/>
          <w:sz w:val="28"/>
          <w:szCs w:val="28"/>
          <w:highlight w:val="none"/>
        </w:rPr>
        <w:t>定标</w:t>
      </w:r>
      <w:bookmarkEnd w:id="154"/>
    </w:p>
    <w:p w14:paraId="5B56559B">
      <w:pPr>
        <w:keepNext/>
        <w:keepLines/>
        <w:spacing w:line="440" w:lineRule="exact"/>
        <w:ind w:firstLine="480"/>
        <w:rPr>
          <w:rFonts w:hint="eastAsia" w:ascii="宋体" w:hAnsi="宋体" w:eastAsia="宋体" w:cs="宋体"/>
          <w:bCs/>
          <w:color w:val="auto"/>
          <w:sz w:val="24"/>
          <w:szCs w:val="24"/>
          <w:highlight w:val="none"/>
        </w:rPr>
      </w:pPr>
      <w:bookmarkStart w:id="155" w:name="_Toc513029238"/>
      <w:bookmarkStart w:id="156" w:name="_Toc16938554"/>
      <w:bookmarkStart w:id="157" w:name="_Toc20823310"/>
      <w:r>
        <w:rPr>
          <w:rFonts w:hint="eastAsia" w:ascii="宋体" w:hAnsi="宋体" w:eastAsia="宋体" w:cs="宋体"/>
          <w:bCs/>
          <w:color w:val="auto"/>
          <w:sz w:val="24"/>
          <w:szCs w:val="24"/>
          <w:highlight w:val="none"/>
        </w:rPr>
        <w:t>1、</w:t>
      </w:r>
      <w:bookmarkEnd w:id="155"/>
      <w:r>
        <w:rPr>
          <w:rFonts w:hint="eastAsia" w:ascii="宋体" w:hAnsi="宋体" w:eastAsia="宋体" w:cs="宋体"/>
          <w:bCs/>
          <w:color w:val="auto"/>
          <w:sz w:val="24"/>
          <w:szCs w:val="24"/>
          <w:highlight w:val="none"/>
        </w:rPr>
        <w:t>确定</w:t>
      </w:r>
      <w:bookmarkEnd w:id="156"/>
      <w:bookmarkEnd w:id="157"/>
      <w:r>
        <w:rPr>
          <w:rFonts w:hint="eastAsia" w:ascii="宋体" w:hAnsi="宋体" w:eastAsia="宋体" w:cs="宋体"/>
          <w:bCs/>
          <w:color w:val="auto"/>
          <w:sz w:val="24"/>
          <w:szCs w:val="24"/>
          <w:highlight w:val="none"/>
        </w:rPr>
        <w:t>中标单位</w:t>
      </w:r>
    </w:p>
    <w:p w14:paraId="5E841261">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1.1中标候选人的选取原则和数量见招标文件第五章规定。 </w:t>
      </w:r>
    </w:p>
    <w:p w14:paraId="389B98DF">
      <w:pPr>
        <w:spacing w:line="440" w:lineRule="exact"/>
        <w:ind w:firstLine="789" w:firstLineChars="32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采购人应根据评委会推荐的中标候选人确定中标人。</w:t>
      </w:r>
    </w:p>
    <w:p w14:paraId="2C5F7CB9">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 </w:t>
      </w:r>
      <w:r>
        <w:rPr>
          <w:rFonts w:hint="eastAsia" w:ascii="宋体" w:hAnsi="宋体" w:eastAsia="宋体" w:cs="宋体"/>
          <w:color w:val="auto"/>
          <w:sz w:val="24"/>
          <w:szCs w:val="24"/>
          <w:highlight w:val="none"/>
        </w:rPr>
        <w:t>代理机构将在指定媒体上发布中标公告，公告期限为1个工作日。</w:t>
      </w:r>
    </w:p>
    <w:p w14:paraId="725A9CA5">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若有充分证据证明，中标人出现下列情况之一的，一经查实，将被取消中标资格：</w:t>
      </w:r>
    </w:p>
    <w:p w14:paraId="70511262">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1.4.1提供虚假材料谋取中标的。</w:t>
      </w:r>
    </w:p>
    <w:p w14:paraId="5FF65246">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1.4.2向采购人、代理机构行贿或者提供其他不正当利益的。</w:t>
      </w:r>
    </w:p>
    <w:p w14:paraId="543F6ADD">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1.4.3属于本文件规定的无效条件，但在评标过程中又未被评委会发现的。</w:t>
      </w:r>
    </w:p>
    <w:p w14:paraId="51208631">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1.4.4与采购人或者其他供应商恶意串通的。</w:t>
      </w:r>
    </w:p>
    <w:p w14:paraId="6F65FC09">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1.4.5采取不正当手段诋毁、排挤其他供应商的。</w:t>
      </w:r>
    </w:p>
    <w:p w14:paraId="30137C9A">
      <w:pPr>
        <w:spacing w:line="440" w:lineRule="exact"/>
        <w:ind w:firstLine="789" w:firstLineChars="329"/>
        <w:rPr>
          <w:rFonts w:hint="eastAsia" w:ascii="宋体" w:hAnsi="宋体" w:eastAsia="宋体" w:cs="宋体"/>
          <w:color w:val="auto"/>
          <w:sz w:val="24"/>
          <w:szCs w:val="24"/>
          <w:highlight w:val="none"/>
        </w:rPr>
      </w:pPr>
      <w:bookmarkStart w:id="158" w:name="_Toc200451960"/>
      <w:r>
        <w:rPr>
          <w:rFonts w:hint="eastAsia" w:ascii="宋体" w:hAnsi="宋体" w:eastAsia="宋体" w:cs="宋体"/>
          <w:color w:val="auto"/>
          <w:sz w:val="24"/>
          <w:szCs w:val="24"/>
          <w:highlight w:val="none"/>
        </w:rPr>
        <w:t>1.5. 有下列情形之一的，视为投标人串通投标，投标无效：</w:t>
      </w:r>
    </w:p>
    <w:p w14:paraId="43EDBE29">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1.5.1不同投标人的投标文件由同一单位或者个人编制；</w:t>
      </w:r>
    </w:p>
    <w:p w14:paraId="1524E731">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1.5.2不同投标人委托同一单位或者个人办理投标事宜；</w:t>
      </w:r>
    </w:p>
    <w:p w14:paraId="6B4EAF7A">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不同投标人的投标文件载明的项目管理成员或者联系人员为同一人；</w:t>
      </w:r>
    </w:p>
    <w:p w14:paraId="134ACF48">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1.5.4不同投标人的投标文件异常一致或者投标报价呈规律性差异；</w:t>
      </w:r>
    </w:p>
    <w:p w14:paraId="6F302C42">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2、质疑处理</w:t>
      </w:r>
      <w:bookmarkEnd w:id="158"/>
    </w:p>
    <w:p w14:paraId="3D06F41D">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提出质疑的供应商应当是参与所质疑项目采购活动的供应商。潜在供应商依法获取其可质疑的采购文件的，可以对采购文件提出质疑。请将</w:t>
      </w:r>
      <w:bookmarkStart w:id="159" w:name="_Hlk98510751"/>
      <w:r>
        <w:rPr>
          <w:rFonts w:hint="eastAsia" w:ascii="宋体" w:hAnsi="宋体" w:eastAsia="宋体" w:cs="宋体"/>
          <w:color w:val="auto"/>
          <w:sz w:val="24"/>
          <w:szCs w:val="24"/>
          <w:highlight w:val="none"/>
        </w:rPr>
        <w:t>获取采购文件后打印留存的《投标供应商确认函》等</w:t>
      </w:r>
      <w:bookmarkEnd w:id="159"/>
      <w:r>
        <w:rPr>
          <w:rFonts w:hint="eastAsia" w:ascii="宋体" w:hAnsi="宋体" w:eastAsia="宋体" w:cs="宋体"/>
          <w:color w:val="auto"/>
          <w:sz w:val="24"/>
          <w:szCs w:val="24"/>
          <w:highlight w:val="none"/>
        </w:rPr>
        <w:t>必要的证明材料与质疑函一起递交，否则不予受理。</w:t>
      </w:r>
    </w:p>
    <w:p w14:paraId="7995065E">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2.2供应商认为采购文件、采购过程和采购结果使自己的权益受到损害的，可以在知道或应知其权益受到损害之日起七个工作日内，以书面形式提出质疑。上述应知其权益受到损害之日，是指：</w:t>
      </w:r>
    </w:p>
    <w:p w14:paraId="2DBECBFE">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2.2.1对可以质疑的采购文件提出质疑的，为收到采购文件之日或者采购文件公告期限届满之日；</w:t>
      </w:r>
    </w:p>
    <w:p w14:paraId="16B9A275">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2.2.2对采购过程提出质疑的，为各采购程序环节结束之日；</w:t>
      </w:r>
    </w:p>
    <w:p w14:paraId="3135AC8E">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2.2.3对中标或者成交结果提出质疑的，为中标或者成交结果公告期限届满之日。</w:t>
      </w:r>
    </w:p>
    <w:p w14:paraId="709389FE">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192A9BDC">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5569313">
      <w:pPr>
        <w:pBdr>
          <w:top w:val="none" w:color="000000" w:sz="0" w:space="0"/>
          <w:left w:val="none" w:color="000000" w:sz="0" w:space="0"/>
          <w:bottom w:val="none" w:color="000000" w:sz="0" w:space="0"/>
          <w:right w:val="none" w:color="000000" w:sz="0" w:space="0"/>
        </w:pBdr>
        <w:spacing w:line="440" w:lineRule="exact"/>
        <w:ind w:firstLine="787" w:firstLineChars="32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2.4代理机构只接收以纸质原件形式送达的质疑</w:t>
      </w:r>
      <w:r>
        <w:rPr>
          <w:rFonts w:hint="eastAsia" w:ascii="宋体" w:hAnsi="宋体" w:eastAsia="宋体" w:cs="宋体"/>
          <w:b/>
          <w:bCs/>
          <w:color w:val="auto"/>
          <w:sz w:val="24"/>
          <w:szCs w:val="24"/>
          <w:highlight w:val="none"/>
        </w:rPr>
        <w:t>（采购人和代理机构不接受未填写快递运单的快件），</w:t>
      </w:r>
      <w:r>
        <w:rPr>
          <w:rFonts w:hint="eastAsia" w:ascii="宋体" w:hAnsi="宋体" w:eastAsia="宋体" w:cs="宋体"/>
          <w:color w:val="auto"/>
          <w:sz w:val="24"/>
          <w:highlight w:val="none"/>
        </w:rPr>
        <w:t>质疑接收单位为</w:t>
      </w:r>
      <w:r>
        <w:rPr>
          <w:rFonts w:hint="eastAsia" w:ascii="宋体" w:hAnsi="宋体" w:eastAsia="宋体" w:cs="宋体"/>
          <w:color w:val="auto"/>
          <w:sz w:val="24"/>
          <w:highlight w:val="none"/>
          <w:lang w:eastAsia="zh-CN"/>
        </w:rPr>
        <w:t>苏州信达顺工程建设咨询有限公司。联系地址、</w:t>
      </w:r>
      <w:r>
        <w:rPr>
          <w:rFonts w:hint="eastAsia" w:ascii="宋体" w:hAnsi="宋体" w:eastAsia="宋体" w:cs="宋体"/>
          <w:color w:val="auto"/>
          <w:sz w:val="24"/>
          <w:highlight w:val="none"/>
        </w:rPr>
        <w:t>质疑接收人及联系方式见招标文件“第一章 投标邀请”。潜在投标人提出书面质疑必须有理、有据，不得捏造事实、提供虚假材料进行恶意质疑。否则，一经查实，将报请监管部门对该供应商进行相应的处罚。</w:t>
      </w:r>
    </w:p>
    <w:p w14:paraId="5A735D6B">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以下情形的质疑不予受理</w:t>
      </w:r>
    </w:p>
    <w:p w14:paraId="7BF1D992">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内容不符合《政府采购质疑和投诉办法》第十二条规定的质疑。</w:t>
      </w:r>
    </w:p>
    <w:p w14:paraId="6B2CA633">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超出政府采购法定期限的质疑。</w:t>
      </w:r>
    </w:p>
    <w:p w14:paraId="1A01804D">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以传真、电子邮件等方式递交的非原件形式的质疑。</w:t>
      </w:r>
    </w:p>
    <w:p w14:paraId="2503984F">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未参加投标活动的供应商或在投标活动中自身权益未受到损害的供应商所提出的质疑。</w:t>
      </w:r>
    </w:p>
    <w:p w14:paraId="3C0BB8D2">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2.5.5供应商组成联合体参加投标，联合体中任何一方或多方未按要求签字、盖章、加盖公章的质疑。</w:t>
      </w:r>
    </w:p>
    <w:p w14:paraId="0435C728">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7E7E4E37">
      <w:pPr>
        <w:keepNext/>
        <w:keepLine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3、中标通知书</w:t>
      </w:r>
    </w:p>
    <w:p w14:paraId="11101E68">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D1AE83A">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3.2中标通知书将是合同的一个组成部分。对采购人和中标供应商均具有法律效力。中标通知书发出后，采购人改变中标结果的，或者中标供应商放弃中标项目的，应当依法承担法律责任。</w:t>
      </w:r>
    </w:p>
    <w:p w14:paraId="2D5AF481">
      <w:pPr>
        <w:keepNext/>
        <w:keepLines/>
        <w:spacing w:line="440" w:lineRule="exact"/>
        <w:ind w:firstLine="562"/>
        <w:rPr>
          <w:rFonts w:hint="eastAsia" w:ascii="宋体" w:hAnsi="宋体" w:eastAsia="宋体" w:cs="宋体"/>
          <w:b/>
          <w:bCs/>
          <w:color w:val="auto"/>
          <w:sz w:val="28"/>
          <w:szCs w:val="28"/>
          <w:highlight w:val="none"/>
        </w:rPr>
      </w:pPr>
      <w:bookmarkStart w:id="160" w:name="_Toc120614220"/>
      <w:bookmarkStart w:id="161" w:name="_Toc20823308"/>
      <w:bookmarkStart w:id="162" w:name="_Toc513029236"/>
      <w:bookmarkStart w:id="163" w:name="_Toc16938552"/>
      <w:r>
        <w:rPr>
          <w:rFonts w:hint="eastAsia" w:ascii="宋体" w:hAnsi="宋体" w:eastAsia="宋体" w:cs="宋体"/>
          <w:b/>
          <w:bCs/>
          <w:color w:val="auto"/>
          <w:sz w:val="28"/>
          <w:szCs w:val="28"/>
          <w:highlight w:val="none"/>
        </w:rPr>
        <w:t>七、授予合同</w:t>
      </w:r>
      <w:bookmarkEnd w:id="160"/>
    </w:p>
    <w:bookmarkEnd w:id="161"/>
    <w:bookmarkEnd w:id="162"/>
    <w:bookmarkEnd w:id="163"/>
    <w:p w14:paraId="5DDE683B">
      <w:pPr>
        <w:keepNext/>
        <w:keepLines/>
        <w:spacing w:line="440" w:lineRule="exact"/>
        <w:ind w:firstLine="480"/>
        <w:rPr>
          <w:rFonts w:hint="eastAsia" w:ascii="宋体" w:hAnsi="宋体" w:eastAsia="宋体" w:cs="宋体"/>
          <w:bCs/>
          <w:color w:val="auto"/>
          <w:sz w:val="24"/>
          <w:szCs w:val="24"/>
          <w:highlight w:val="none"/>
        </w:rPr>
      </w:pPr>
      <w:bookmarkStart w:id="164" w:name="_Toc513029237"/>
      <w:bookmarkStart w:id="165" w:name="_Toc16938553"/>
      <w:bookmarkStart w:id="166" w:name="_Toc20823309"/>
      <w:r>
        <w:rPr>
          <w:rFonts w:hint="eastAsia" w:ascii="宋体" w:hAnsi="宋体" w:eastAsia="宋体" w:cs="宋体"/>
          <w:bCs/>
          <w:color w:val="auto"/>
          <w:sz w:val="24"/>
          <w:szCs w:val="24"/>
          <w:highlight w:val="none"/>
        </w:rPr>
        <w:t>1、签订合同</w:t>
      </w:r>
    </w:p>
    <w:p w14:paraId="1577E211">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1.l中标人应当在中标通知书发出之日起三十日内，按照招标文件确定的事项与采购人签订政府采购合同。</w:t>
      </w:r>
    </w:p>
    <w:p w14:paraId="22DC6646">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0D553A5E">
      <w:pPr>
        <w:spacing w:line="440" w:lineRule="exact"/>
        <w:ind w:firstLine="789" w:firstLineChars="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签订合同后，</w:t>
      </w:r>
      <w:r>
        <w:rPr>
          <w:rFonts w:hint="eastAsia" w:ascii="宋体" w:hAnsi="宋体" w:eastAsia="宋体" w:cs="宋体"/>
          <w:iCs/>
          <w:color w:val="auto"/>
          <w:sz w:val="24"/>
          <w:szCs w:val="24"/>
          <w:highlight w:val="non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0AC4DCFD">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2、服务（包含与项目有关的服务）的追加</w:t>
      </w:r>
    </w:p>
    <w:p w14:paraId="481C6894">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64"/>
    <w:bookmarkEnd w:id="165"/>
    <w:bookmarkEnd w:id="166"/>
    <w:p w14:paraId="353DAFF4">
      <w:pPr>
        <w:keepNext/>
        <w:keepLines/>
        <w:spacing w:line="440" w:lineRule="exact"/>
        <w:ind w:firstLine="480"/>
        <w:rPr>
          <w:rFonts w:hint="eastAsia" w:ascii="宋体" w:hAnsi="宋体" w:eastAsia="宋体" w:cs="宋体"/>
          <w:bCs/>
          <w:color w:val="auto"/>
          <w:sz w:val="24"/>
          <w:szCs w:val="24"/>
          <w:highlight w:val="none"/>
        </w:rPr>
      </w:pPr>
      <w:bookmarkStart w:id="167" w:name="_Toc16938558"/>
      <w:bookmarkStart w:id="168" w:name="_Toc479757207"/>
      <w:bookmarkStart w:id="169" w:name="_Toc513029242"/>
      <w:bookmarkStart w:id="170" w:name="_Toc120614221"/>
      <w:bookmarkStart w:id="171" w:name="_Toc20823314"/>
      <w:r>
        <w:rPr>
          <w:rFonts w:hint="eastAsia" w:ascii="宋体" w:hAnsi="宋体" w:eastAsia="宋体" w:cs="宋体"/>
          <w:bCs/>
          <w:color w:val="auto"/>
          <w:sz w:val="24"/>
          <w:szCs w:val="24"/>
          <w:highlight w:val="none"/>
        </w:rPr>
        <w:t>3、政府采购信用融资政策</w:t>
      </w:r>
    </w:p>
    <w:p w14:paraId="0ECEE9D3">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中标供应商可凭政府采购合同办理融资贷款，详情请见苏州市政府采购网“政府采购合同信用融资”专栏。</w:t>
      </w:r>
    </w:p>
    <w:p w14:paraId="68E623CF">
      <w:pPr>
        <w:keepNext/>
        <w:keepLines/>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4、合同公示</w:t>
      </w:r>
    </w:p>
    <w:p w14:paraId="08149FFB">
      <w:pPr>
        <w:spacing w:line="440" w:lineRule="exact"/>
        <w:ind w:firstLine="1027" w:firstLineChars="4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4.1采购合同将在签订之日起2个工作日内在指定媒体公示，涉及国家秘密、商业秘密的内容除外。</w:t>
      </w:r>
    </w:p>
    <w:p w14:paraId="455A472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6521BEF">
      <w:pPr>
        <w:keepNext/>
        <w:ind w:firstLine="880"/>
        <w:jc w:val="center"/>
        <w:outlineLvl w:val="0"/>
        <w:rPr>
          <w:rFonts w:hint="eastAsia" w:ascii="宋体" w:hAnsi="宋体" w:eastAsia="宋体" w:cs="宋体"/>
          <w:b/>
          <w:bCs/>
          <w:color w:val="auto"/>
          <w:sz w:val="40"/>
          <w:szCs w:val="40"/>
          <w:highlight w:val="none"/>
        </w:rPr>
      </w:pPr>
      <w:bookmarkStart w:id="172" w:name="_Toc21317"/>
      <w:r>
        <w:rPr>
          <w:rFonts w:hint="eastAsia" w:ascii="宋体" w:hAnsi="宋体" w:eastAsia="宋体" w:cs="宋体"/>
          <w:b/>
          <w:bCs/>
          <w:color w:val="auto"/>
          <w:sz w:val="40"/>
          <w:szCs w:val="40"/>
          <w:highlight w:val="none"/>
        </w:rPr>
        <w:t>第三章  合同</w:t>
      </w:r>
      <w:bookmarkEnd w:id="167"/>
      <w:bookmarkEnd w:id="168"/>
      <w:bookmarkEnd w:id="169"/>
      <w:bookmarkEnd w:id="170"/>
      <w:bookmarkEnd w:id="171"/>
      <w:r>
        <w:rPr>
          <w:rFonts w:hint="eastAsia" w:ascii="宋体" w:hAnsi="宋体" w:eastAsia="宋体" w:cs="宋体"/>
          <w:b/>
          <w:bCs/>
          <w:color w:val="auto"/>
          <w:sz w:val="40"/>
          <w:szCs w:val="40"/>
          <w:highlight w:val="none"/>
        </w:rPr>
        <w:t>文本</w:t>
      </w:r>
      <w:bookmarkEnd w:id="172"/>
    </w:p>
    <w:p w14:paraId="74BB5363">
      <w:pPr>
        <w:spacing w:before="240" w:beforeLines="100"/>
        <w:ind w:right="105" w:rightChars="50" w:firstLine="6720" w:firstLineChars="2800"/>
        <w:rPr>
          <w:rFonts w:hint="eastAsia" w:ascii="宋体" w:hAnsi="宋体" w:eastAsia="宋体" w:cs="宋体"/>
          <w:b/>
          <w:bCs/>
          <w:color w:val="auto"/>
          <w:sz w:val="72"/>
          <w:szCs w:val="72"/>
          <w:highlight w:val="none"/>
        </w:rPr>
      </w:pPr>
      <w:bookmarkStart w:id="173" w:name="_Hlt16619369"/>
      <w:bookmarkEnd w:id="173"/>
      <w:bookmarkStart w:id="174" w:name="_Hlt16619350"/>
      <w:bookmarkStart w:id="175" w:name="_Toc16938590"/>
      <w:bookmarkStart w:id="176" w:name="_Toc20823346"/>
      <w:bookmarkStart w:id="177" w:name="_Toc120614244"/>
      <w:bookmarkStart w:id="178" w:name="_Toc462564139"/>
      <w:bookmarkStart w:id="179" w:name="_Toc479757211"/>
      <w:r>
        <w:rPr>
          <w:rFonts w:hint="eastAsia" w:ascii="宋体" w:hAnsi="宋体" w:eastAsia="宋体" w:cs="宋体"/>
          <w:color w:val="auto"/>
          <w:sz w:val="24"/>
          <w:szCs w:val="24"/>
          <w:highlight w:val="none"/>
        </w:rPr>
        <w:t>合同编号：</w:t>
      </w:r>
    </w:p>
    <w:p w14:paraId="2FAA61FA">
      <w:pPr>
        <w:spacing w:before="240" w:beforeLines="100"/>
        <w:ind w:right="105" w:rightChars="50" w:firstLine="2530" w:firstLineChars="350"/>
        <w:rPr>
          <w:rFonts w:hint="eastAsia" w:ascii="宋体" w:hAnsi="宋体" w:eastAsia="宋体" w:cs="宋体"/>
          <w:b/>
          <w:bCs/>
          <w:color w:val="auto"/>
          <w:sz w:val="72"/>
          <w:szCs w:val="72"/>
          <w:highlight w:val="none"/>
        </w:rPr>
      </w:pPr>
    </w:p>
    <w:p w14:paraId="7E772623">
      <w:pPr>
        <w:spacing w:before="240" w:beforeLines="100"/>
        <w:ind w:right="105" w:rightChars="5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政府采购合同</w:t>
      </w:r>
    </w:p>
    <w:p w14:paraId="10B8C18F">
      <w:pPr>
        <w:spacing w:line="420" w:lineRule="exact"/>
        <w:ind w:firstLine="1807" w:firstLineChars="250"/>
        <w:rPr>
          <w:rFonts w:hint="eastAsia" w:ascii="宋体" w:hAnsi="宋体" w:eastAsia="宋体" w:cs="宋体"/>
          <w:b/>
          <w:bCs/>
          <w:color w:val="auto"/>
          <w:sz w:val="72"/>
          <w:szCs w:val="72"/>
          <w:highlight w:val="none"/>
        </w:rPr>
      </w:pPr>
    </w:p>
    <w:p w14:paraId="54BC886C">
      <w:pPr>
        <w:spacing w:line="420" w:lineRule="exact"/>
        <w:ind w:firstLine="1807" w:firstLineChars="250"/>
        <w:rPr>
          <w:rFonts w:hint="eastAsia" w:ascii="宋体" w:hAnsi="宋体" w:eastAsia="宋体" w:cs="宋体"/>
          <w:b/>
          <w:bCs/>
          <w:color w:val="auto"/>
          <w:sz w:val="72"/>
          <w:szCs w:val="72"/>
          <w:highlight w:val="none"/>
        </w:rPr>
      </w:pPr>
    </w:p>
    <w:p w14:paraId="6E6D8173">
      <w:pPr>
        <w:autoSpaceDE w:val="0"/>
        <w:autoSpaceDN w:val="0"/>
        <w:adjustRightInd w:val="0"/>
        <w:spacing w:line="480" w:lineRule="exact"/>
        <w:ind w:firstLine="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第一部分 合同书</w:t>
      </w:r>
    </w:p>
    <w:p w14:paraId="0039688F">
      <w:pPr>
        <w:widowControl/>
        <w:spacing w:before="120" w:after="160" w:line="22" w:lineRule="atLeast"/>
        <w:rPr>
          <w:rFonts w:hint="eastAsia" w:ascii="宋体" w:hAnsi="宋体" w:eastAsia="宋体" w:cs="宋体"/>
          <w:bCs/>
          <w:color w:val="auto"/>
          <w:sz w:val="24"/>
          <w:szCs w:val="24"/>
          <w:highlight w:val="none"/>
        </w:rPr>
      </w:pPr>
    </w:p>
    <w:p w14:paraId="1F193D34">
      <w:pPr>
        <w:widowControl/>
        <w:spacing w:before="120" w:after="160" w:line="22" w:lineRule="atLeast"/>
        <w:jc w:val="center"/>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z w:val="36"/>
          <w:szCs w:val="36"/>
          <w:highlight w:val="none"/>
        </w:rPr>
        <w:t>项目名称：</w:t>
      </w:r>
      <w:r>
        <w:rPr>
          <w:rFonts w:hint="eastAsia" w:ascii="宋体" w:hAnsi="宋体" w:eastAsia="宋体" w:cs="宋体"/>
          <w:color w:val="auto"/>
          <w:sz w:val="36"/>
          <w:szCs w:val="36"/>
          <w:highlight w:val="none"/>
          <w:u w:val="single"/>
          <w:lang w:eastAsia="zh-CN"/>
        </w:rPr>
        <w:t>常熟第二人民医院医用氧采购项目</w:t>
      </w:r>
    </w:p>
    <w:p w14:paraId="0EA1FB5F">
      <w:pPr>
        <w:widowControl/>
        <w:spacing w:before="120" w:after="160" w:line="22" w:lineRule="atLeast"/>
        <w:ind w:firstLine="1807" w:firstLineChars="500"/>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项目编号：</w:t>
      </w:r>
      <w:r>
        <w:rPr>
          <w:rFonts w:hint="eastAsia" w:ascii="宋体" w:hAnsi="宋体" w:eastAsia="宋体" w:cs="宋体"/>
          <w:color w:val="auto"/>
          <w:sz w:val="36"/>
          <w:szCs w:val="36"/>
          <w:highlight w:val="none"/>
          <w:u w:val="single"/>
          <w:lang w:eastAsia="zh-CN"/>
        </w:rPr>
        <w:t>JSZC-320581-SZDS-G2026-0005</w:t>
      </w:r>
    </w:p>
    <w:p w14:paraId="3D42A622">
      <w:pPr>
        <w:spacing w:line="420" w:lineRule="exact"/>
        <w:ind w:firstLine="1807" w:firstLineChars="250"/>
        <w:rPr>
          <w:rFonts w:hint="eastAsia" w:ascii="宋体" w:hAnsi="宋体" w:eastAsia="宋体" w:cs="宋体"/>
          <w:b/>
          <w:bCs/>
          <w:color w:val="auto"/>
          <w:sz w:val="72"/>
          <w:szCs w:val="72"/>
          <w:highlight w:val="none"/>
        </w:rPr>
      </w:pPr>
    </w:p>
    <w:p w14:paraId="6980B9D2">
      <w:pPr>
        <w:spacing w:before="120" w:line="480" w:lineRule="auto"/>
        <w:ind w:left="960" w:firstLine="840" w:firstLineChars="350"/>
        <w:rPr>
          <w:rFonts w:hint="eastAsia" w:ascii="宋体" w:hAnsi="宋体" w:eastAsia="宋体" w:cs="宋体"/>
          <w:bCs/>
          <w:color w:val="auto"/>
          <w:sz w:val="24"/>
          <w:szCs w:val="24"/>
          <w:highlight w:val="none"/>
        </w:rPr>
      </w:pPr>
    </w:p>
    <w:p w14:paraId="68261F3B">
      <w:pPr>
        <w:spacing w:before="120" w:line="480" w:lineRule="auto"/>
        <w:ind w:left="960" w:firstLine="840" w:firstLineChars="350"/>
        <w:rPr>
          <w:rFonts w:hint="eastAsia" w:ascii="宋体" w:hAnsi="宋体" w:eastAsia="宋体" w:cs="宋体"/>
          <w:bCs/>
          <w:color w:val="auto"/>
          <w:sz w:val="24"/>
          <w:szCs w:val="24"/>
          <w:highlight w:val="none"/>
        </w:rPr>
      </w:pPr>
    </w:p>
    <w:p w14:paraId="166F6B29">
      <w:pPr>
        <w:spacing w:before="120" w:line="480" w:lineRule="auto"/>
        <w:ind w:left="960" w:firstLine="840" w:firstLineChars="350"/>
        <w:rPr>
          <w:rFonts w:hint="eastAsia" w:ascii="宋体" w:hAnsi="宋体" w:eastAsia="宋体" w:cs="宋体"/>
          <w:bCs/>
          <w:color w:val="auto"/>
          <w:sz w:val="24"/>
          <w:szCs w:val="24"/>
          <w:highlight w:val="none"/>
        </w:rPr>
      </w:pPr>
    </w:p>
    <w:p w14:paraId="6DB99F05">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  购  人）：</w:t>
      </w:r>
      <w:r>
        <w:rPr>
          <w:rFonts w:hint="eastAsia" w:ascii="宋体" w:hAnsi="宋体" w:eastAsia="宋体" w:cs="宋体"/>
          <w:bCs/>
          <w:color w:val="auto"/>
          <w:sz w:val="24"/>
          <w:szCs w:val="24"/>
          <w:highlight w:val="none"/>
          <w:u w:val="single"/>
        </w:rPr>
        <w:t xml:space="preserve">                                   </w:t>
      </w:r>
    </w:p>
    <w:p w14:paraId="4C630F3C">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  标  人）：</w:t>
      </w:r>
      <w:r>
        <w:rPr>
          <w:rFonts w:hint="eastAsia" w:ascii="宋体" w:hAnsi="宋体" w:eastAsia="宋体" w:cs="宋体"/>
          <w:bCs/>
          <w:color w:val="auto"/>
          <w:sz w:val="24"/>
          <w:szCs w:val="24"/>
          <w:highlight w:val="none"/>
          <w:u w:val="single"/>
        </w:rPr>
        <w:t xml:space="preserve">                                   </w:t>
      </w:r>
    </w:p>
    <w:p w14:paraId="64C6F07E">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信用融资回款账户：</w:t>
      </w:r>
      <w:r>
        <w:rPr>
          <w:rFonts w:hint="eastAsia" w:ascii="宋体" w:hAnsi="宋体" w:eastAsia="宋体" w:cs="宋体"/>
          <w:bCs/>
          <w:color w:val="auto"/>
          <w:sz w:val="24"/>
          <w:szCs w:val="24"/>
          <w:highlight w:val="none"/>
          <w:u w:val="single"/>
        </w:rPr>
        <w:t xml:space="preserve">                                   </w:t>
      </w:r>
    </w:p>
    <w:p w14:paraId="6691B529">
      <w:pPr>
        <w:spacing w:before="120" w:line="480" w:lineRule="auto"/>
        <w:ind w:left="96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r>
        <w:rPr>
          <w:rFonts w:hint="eastAsia" w:ascii="宋体" w:hAnsi="宋体" w:eastAsia="宋体" w:cs="宋体"/>
          <w:bCs/>
          <w:color w:val="auto"/>
          <w:sz w:val="24"/>
          <w:szCs w:val="24"/>
          <w:highlight w:val="none"/>
          <w:u w:val="single"/>
        </w:rPr>
        <w:t xml:space="preserve">                                   </w:t>
      </w:r>
    </w:p>
    <w:p w14:paraId="24E7DD75">
      <w:pPr>
        <w:spacing w:before="120" w:line="480" w:lineRule="auto"/>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签 订 地：</w:t>
      </w:r>
      <w:r>
        <w:rPr>
          <w:rFonts w:hint="eastAsia" w:ascii="宋体" w:hAnsi="宋体" w:eastAsia="宋体" w:cs="宋体"/>
          <w:bCs/>
          <w:color w:val="auto"/>
          <w:sz w:val="24"/>
          <w:szCs w:val="24"/>
          <w:highlight w:val="none"/>
          <w:u w:val="single"/>
        </w:rPr>
        <w:t xml:space="preserve">            常熟市                </w:t>
      </w:r>
    </w:p>
    <w:p w14:paraId="6AA57F81">
      <w:pPr>
        <w:spacing w:before="120" w:line="480" w:lineRule="auto"/>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BFEA7FE">
      <w:pPr>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br w:type="page"/>
      </w:r>
    </w:p>
    <w:p w14:paraId="1475B24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项目进行了采购。经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为该项目中标人。现于中标通知书发出之日起三十日内，按照采购文件确定的事项签订本合同。</w:t>
      </w:r>
    </w:p>
    <w:p w14:paraId="799EA459">
      <w:pPr>
        <w:spacing w:line="440" w:lineRule="exact"/>
        <w:ind w:firstLine="480" w:firstLineChars="200"/>
        <w:rPr>
          <w:rFonts w:hint="eastAsia" w:ascii="宋体" w:hAnsi="宋体" w:eastAsia="宋体" w:cs="宋体"/>
          <w:color w:val="auto"/>
          <w:sz w:val="24"/>
          <w:szCs w:val="24"/>
          <w:highlight w:val="none"/>
        </w:rPr>
      </w:pPr>
      <w:bookmarkStart w:id="180" w:name="_Hlk63008672"/>
      <w:bookmarkStart w:id="181" w:name="_Hlk63008690"/>
      <w:r>
        <w:rPr>
          <w:rFonts w:hint="eastAsia" w:ascii="宋体" w:hAnsi="宋体" w:eastAsia="宋体" w:cs="宋体"/>
          <w:color w:val="auto"/>
          <w:sz w:val="24"/>
          <w:szCs w:val="24"/>
          <w:highlight w:val="none"/>
        </w:rPr>
        <w:t>根据《中华人民共和国政府采购法》及其实施条例、《中华人民共和国民法典》</w:t>
      </w:r>
      <w:bookmarkEnd w:id="180"/>
      <w:r>
        <w:rPr>
          <w:rFonts w:hint="eastAsia" w:ascii="宋体" w:hAnsi="宋体" w:eastAsia="宋体" w:cs="宋体"/>
          <w:color w:val="auto"/>
          <w:sz w:val="24"/>
          <w:szCs w:val="24"/>
          <w:highlight w:val="none"/>
        </w:rPr>
        <w:t>等法律法规的规定</w:t>
      </w:r>
      <w:bookmarkEnd w:id="181"/>
      <w:r>
        <w:rPr>
          <w:rFonts w:hint="eastAsia" w:ascii="宋体" w:hAnsi="宋体" w:eastAsia="宋体" w:cs="宋体"/>
          <w:color w:val="auto"/>
          <w:sz w:val="24"/>
          <w:szCs w:val="24"/>
          <w:highlight w:val="none"/>
          <w:lang w:val="zh-CN"/>
        </w:rPr>
        <w:t>，按照平等、自愿、公平和诚实信用的原则，经</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eastAsia="zh-CN"/>
        </w:rPr>
        <w:t>常熟市第二人民医院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（以下简称：乙方）协商一致，约定以下合同</w:t>
      </w:r>
      <w:r>
        <w:rPr>
          <w:rFonts w:hint="eastAsia" w:ascii="宋体" w:hAnsi="宋体" w:eastAsia="宋体" w:cs="宋体"/>
          <w:color w:val="auto"/>
          <w:sz w:val="24"/>
          <w:szCs w:val="24"/>
          <w:highlight w:val="none"/>
        </w:rPr>
        <w:t>条款，以兹共同遵守、全面履行。</w:t>
      </w:r>
    </w:p>
    <w:p w14:paraId="314E2043">
      <w:pPr>
        <w:spacing w:line="440" w:lineRule="exact"/>
        <w:rPr>
          <w:rFonts w:hint="eastAsia" w:ascii="宋体" w:hAnsi="宋体" w:eastAsia="宋体" w:cs="宋体"/>
          <w:color w:val="auto"/>
          <w:sz w:val="24"/>
          <w:szCs w:val="24"/>
          <w:highlight w:val="none"/>
        </w:rPr>
      </w:pPr>
      <w:bookmarkStart w:id="182" w:name="_Toc28855"/>
      <w:bookmarkStart w:id="183" w:name="_Toc15367"/>
      <w:bookmarkStart w:id="184" w:name="_Toc20421"/>
      <w:bookmarkStart w:id="185" w:name="_Toc22967"/>
      <w:bookmarkStart w:id="186" w:name="_Toc19273"/>
      <w:r>
        <w:rPr>
          <w:rFonts w:hint="eastAsia" w:ascii="宋体" w:hAnsi="宋体" w:eastAsia="宋体" w:cs="宋体"/>
          <w:b/>
          <w:color w:val="auto"/>
          <w:sz w:val="24"/>
          <w:szCs w:val="24"/>
          <w:highlight w:val="none"/>
        </w:rPr>
        <w:t>1.1 合同组成部分</w:t>
      </w:r>
      <w:bookmarkEnd w:id="182"/>
      <w:bookmarkEnd w:id="183"/>
      <w:bookmarkEnd w:id="184"/>
      <w:bookmarkEnd w:id="185"/>
      <w:bookmarkEnd w:id="186"/>
    </w:p>
    <w:p w14:paraId="25620AF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A0BA33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72AD932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0D5782C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0BB8492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463BB35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63FD4E3E">
      <w:pPr>
        <w:keepNext w:val="0"/>
        <w:keepLines w:val="0"/>
        <w:pageBreakBefore w:val="0"/>
        <w:widowControl w:val="0"/>
        <w:spacing w:line="440" w:lineRule="exact"/>
        <w:rPr>
          <w:rFonts w:hint="eastAsia" w:ascii="宋体" w:hAnsi="宋体" w:eastAsia="宋体" w:cs="宋体"/>
          <w:color w:val="auto"/>
          <w:sz w:val="24"/>
          <w:szCs w:val="24"/>
          <w:highlight w:val="none"/>
          <w:lang w:val="en-US" w:eastAsia="zh-CN"/>
        </w:rPr>
      </w:pPr>
      <w:bookmarkStart w:id="187" w:name="_Toc6773"/>
      <w:bookmarkStart w:id="188" w:name="_Toc22185"/>
      <w:bookmarkStart w:id="189" w:name="_Toc18585"/>
      <w:bookmarkStart w:id="190" w:name="_Toc2918"/>
      <w:bookmarkStart w:id="191" w:name="_Toc6311"/>
      <w:r>
        <w:rPr>
          <w:rFonts w:hint="eastAsia" w:ascii="宋体" w:hAnsi="宋体" w:eastAsia="宋体" w:cs="宋体"/>
          <w:b/>
          <w:color w:val="auto"/>
          <w:sz w:val="24"/>
          <w:szCs w:val="24"/>
          <w:highlight w:val="none"/>
        </w:rPr>
        <w:t xml:space="preserve">1.2 </w:t>
      </w:r>
      <w:bookmarkEnd w:id="187"/>
      <w:bookmarkEnd w:id="188"/>
      <w:bookmarkEnd w:id="189"/>
      <w:bookmarkEnd w:id="190"/>
      <w:bookmarkEnd w:id="191"/>
      <w:bookmarkStart w:id="192" w:name="_Toc30158"/>
      <w:bookmarkStart w:id="193" w:name="_Toc26916"/>
      <w:bookmarkStart w:id="194" w:name="_Toc30506"/>
      <w:bookmarkStart w:id="195" w:name="_Toc3654"/>
      <w:bookmarkStart w:id="196" w:name="_Toc14993"/>
      <w:r>
        <w:rPr>
          <w:rFonts w:hint="eastAsia" w:ascii="宋体" w:hAnsi="宋体" w:eastAsia="宋体" w:cs="宋体"/>
          <w:color w:val="auto"/>
          <w:sz w:val="24"/>
          <w:szCs w:val="22"/>
          <w:highlight w:val="none"/>
        </w:rPr>
        <w:t>本合同项下</w:t>
      </w:r>
      <w:r>
        <w:rPr>
          <w:rFonts w:hint="eastAsia" w:ascii="宋体" w:hAnsi="宋体" w:eastAsia="宋体" w:cs="宋体"/>
          <w:color w:val="auto"/>
          <w:sz w:val="24"/>
          <w:szCs w:val="22"/>
          <w:highlight w:val="none"/>
          <w:lang w:eastAsia="zh-CN"/>
        </w:rPr>
        <w:t>中标</w:t>
      </w:r>
      <w:r>
        <w:rPr>
          <w:rFonts w:hint="eastAsia" w:ascii="宋体" w:hAnsi="宋体" w:eastAsia="宋体" w:cs="宋体"/>
          <w:color w:val="auto"/>
          <w:sz w:val="24"/>
          <w:szCs w:val="24"/>
          <w:highlight w:val="none"/>
          <w:lang w:val="en-US" w:eastAsia="zh-CN"/>
        </w:rPr>
        <w:t>优惠率</w:t>
      </w:r>
      <w:r>
        <w:rPr>
          <w:rFonts w:hint="eastAsia" w:ascii="宋体" w:hAnsi="宋体" w:eastAsia="宋体" w:cs="宋体"/>
          <w:color w:val="auto"/>
          <w:sz w:val="24"/>
          <w:szCs w:val="22"/>
          <w:highlight w:val="none"/>
        </w:rPr>
        <w:t>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none"/>
          <w:lang w:eastAsia="zh-CN"/>
        </w:rPr>
        <w:t>。</w:t>
      </w:r>
    </w:p>
    <w:p w14:paraId="6F8ECABA">
      <w:pPr>
        <w:keepNext w:val="0"/>
        <w:keepLines w:val="0"/>
        <w:pageBreakBefore w:val="0"/>
        <w:widowControl w:val="0"/>
        <w:spacing w:line="440" w:lineRule="exact"/>
        <w:ind w:firstLine="5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lang w:eastAsia="zh-CN"/>
        </w:rPr>
        <w:t>本合同的中标单价（合同单价）</w:t>
      </w:r>
      <w:r>
        <w:rPr>
          <w:rFonts w:hint="eastAsia" w:ascii="宋体" w:hAnsi="宋体" w:eastAsia="宋体" w:cs="宋体"/>
          <w:color w:val="auto"/>
          <w:sz w:val="24"/>
          <w:szCs w:val="24"/>
          <w:highlight w:val="none"/>
          <w:lang w:val="en-US" w:eastAsia="zh-CN"/>
        </w:rPr>
        <w:t>为对应单价最高限价乘以（1-中标优惠率），</w:t>
      </w:r>
      <w:r>
        <w:rPr>
          <w:rFonts w:hint="eastAsia" w:ascii="宋体" w:hAnsi="宋体" w:eastAsia="宋体" w:cs="宋体"/>
          <w:color w:val="auto"/>
          <w:sz w:val="24"/>
          <w:szCs w:val="24"/>
          <w:highlight w:val="none"/>
        </w:rPr>
        <w:t>本合同执行期间</w:t>
      </w:r>
      <w:r>
        <w:rPr>
          <w:rFonts w:hint="eastAsia" w:ascii="宋体" w:hAnsi="宋体" w:eastAsia="宋体" w:cs="宋体"/>
          <w:color w:val="auto"/>
          <w:sz w:val="24"/>
          <w:szCs w:val="24"/>
          <w:highlight w:val="none"/>
          <w:lang w:eastAsia="zh-CN"/>
        </w:rPr>
        <w:t>中标单价（</w:t>
      </w:r>
      <w:r>
        <w:rPr>
          <w:rFonts w:hint="eastAsia" w:ascii="宋体" w:hAnsi="宋体" w:eastAsia="宋体" w:cs="宋体"/>
          <w:color w:val="auto"/>
          <w:sz w:val="24"/>
          <w:szCs w:val="24"/>
          <w:highlight w:val="none"/>
        </w:rPr>
        <w:t>合同单价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不变。</w:t>
      </w:r>
      <w:r>
        <w:rPr>
          <w:rFonts w:hint="eastAsia" w:ascii="宋体" w:hAnsi="宋体" w:eastAsia="宋体" w:cs="宋体"/>
          <w:color w:val="auto"/>
          <w:sz w:val="24"/>
          <w:szCs w:val="24"/>
          <w:highlight w:val="none"/>
          <w:lang w:val="en-US" w:eastAsia="zh-CN"/>
        </w:rPr>
        <w:t>详见下表</w:t>
      </w:r>
      <w:r>
        <w:rPr>
          <w:rFonts w:hint="eastAsia" w:ascii="宋体" w:hAnsi="宋体" w:eastAsia="宋体" w:cs="宋体"/>
          <w:color w:val="auto"/>
          <w:sz w:val="24"/>
          <w:szCs w:val="24"/>
          <w:highlight w:val="none"/>
        </w:rPr>
        <w:t>：</w:t>
      </w:r>
    </w:p>
    <w:tbl>
      <w:tblPr>
        <w:tblStyle w:val="38"/>
        <w:tblW w:w="6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512"/>
        <w:gridCol w:w="2207"/>
      </w:tblGrid>
      <w:tr w14:paraId="35F8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86" w:type="dxa"/>
            <w:noWrap w:val="0"/>
            <w:vAlign w:val="center"/>
          </w:tcPr>
          <w:p w14:paraId="66CAF0BD">
            <w:pPr>
              <w:widowControl/>
              <w:spacing w:before="100" w:beforeAutospacing="1" w:after="100" w:afterAutospacing="1"/>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序号</w:t>
            </w:r>
          </w:p>
        </w:tc>
        <w:tc>
          <w:tcPr>
            <w:tcW w:w="3512" w:type="dxa"/>
            <w:noWrap w:val="0"/>
            <w:vAlign w:val="center"/>
          </w:tcPr>
          <w:p w14:paraId="595991A2">
            <w:pPr>
              <w:widowControl/>
              <w:spacing w:before="100" w:beforeAutospacing="1" w:after="100" w:afterAutospacing="1"/>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货物名称</w:t>
            </w:r>
          </w:p>
        </w:tc>
        <w:tc>
          <w:tcPr>
            <w:tcW w:w="2207" w:type="dxa"/>
            <w:noWrap w:val="0"/>
            <w:vAlign w:val="center"/>
          </w:tcPr>
          <w:p w14:paraId="56C70C63">
            <w:pPr>
              <w:widowControl/>
              <w:spacing w:before="100" w:beforeAutospacing="1" w:after="100" w:afterAutospacing="1"/>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气体中标单价</w:t>
            </w:r>
          </w:p>
        </w:tc>
      </w:tr>
      <w:tr w14:paraId="7E40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86" w:type="dxa"/>
            <w:noWrap w:val="0"/>
            <w:vAlign w:val="center"/>
          </w:tcPr>
          <w:p w14:paraId="03D73166">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3512" w:type="dxa"/>
            <w:noWrap w:val="0"/>
            <w:vAlign w:val="center"/>
          </w:tcPr>
          <w:p w14:paraId="60C0B38E">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医用液氧</w:t>
            </w:r>
          </w:p>
        </w:tc>
        <w:tc>
          <w:tcPr>
            <w:tcW w:w="2207" w:type="dxa"/>
            <w:noWrap w:val="0"/>
            <w:vAlign w:val="center"/>
          </w:tcPr>
          <w:p w14:paraId="6EF42CE6">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元/吨</w:t>
            </w:r>
          </w:p>
        </w:tc>
      </w:tr>
      <w:tr w14:paraId="0CCA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86" w:type="dxa"/>
            <w:noWrap w:val="0"/>
            <w:vAlign w:val="center"/>
          </w:tcPr>
          <w:p w14:paraId="53E77437">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512" w:type="dxa"/>
            <w:noWrap w:val="0"/>
            <w:vAlign w:val="center"/>
          </w:tcPr>
          <w:p w14:paraId="06022798">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40L医用氧</w:t>
            </w:r>
          </w:p>
        </w:tc>
        <w:tc>
          <w:tcPr>
            <w:tcW w:w="2207" w:type="dxa"/>
            <w:noWrap w:val="0"/>
            <w:vAlign w:val="center"/>
          </w:tcPr>
          <w:p w14:paraId="2C0363F2">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元/瓶</w:t>
            </w:r>
          </w:p>
        </w:tc>
      </w:tr>
      <w:tr w14:paraId="29602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086" w:type="dxa"/>
            <w:noWrap w:val="0"/>
            <w:vAlign w:val="center"/>
          </w:tcPr>
          <w:p w14:paraId="36C1B3D6">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3512" w:type="dxa"/>
            <w:noWrap w:val="0"/>
            <w:vAlign w:val="center"/>
          </w:tcPr>
          <w:p w14:paraId="61D76F88">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10L医用氧</w:t>
            </w:r>
          </w:p>
        </w:tc>
        <w:tc>
          <w:tcPr>
            <w:tcW w:w="2207" w:type="dxa"/>
            <w:noWrap w:val="0"/>
            <w:vAlign w:val="center"/>
          </w:tcPr>
          <w:p w14:paraId="5FB0B4D6">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元/瓶</w:t>
            </w:r>
          </w:p>
        </w:tc>
      </w:tr>
      <w:tr w14:paraId="43F3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6" w:type="dxa"/>
            <w:noWrap w:val="0"/>
            <w:vAlign w:val="center"/>
          </w:tcPr>
          <w:p w14:paraId="1C69DB28">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512" w:type="dxa"/>
            <w:noWrap w:val="0"/>
            <w:vAlign w:val="center"/>
          </w:tcPr>
          <w:p w14:paraId="2E58DCF4">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4L医用氧（组合瓶）</w:t>
            </w:r>
          </w:p>
        </w:tc>
        <w:tc>
          <w:tcPr>
            <w:tcW w:w="2207" w:type="dxa"/>
            <w:noWrap w:val="0"/>
            <w:vAlign w:val="center"/>
          </w:tcPr>
          <w:p w14:paraId="3CFF9E29">
            <w:pPr>
              <w:widowControl/>
              <w:spacing w:before="100" w:beforeAutospacing="1" w:after="100" w:afterAutospacing="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元/瓶</w:t>
            </w:r>
          </w:p>
        </w:tc>
      </w:tr>
    </w:tbl>
    <w:p w14:paraId="470CE5CF">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 付款方式和发票开具方式</w:t>
      </w:r>
      <w:bookmarkEnd w:id="192"/>
      <w:bookmarkEnd w:id="193"/>
      <w:bookmarkEnd w:id="194"/>
      <w:bookmarkEnd w:id="195"/>
      <w:bookmarkEnd w:id="196"/>
    </w:p>
    <w:p w14:paraId="2AEE4E3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1.3.1本合同项下所有款项均以人民币支付。</w:t>
      </w:r>
    </w:p>
    <w:p w14:paraId="7E83C89A">
      <w:pPr>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val="en-US" w:eastAsia="zh-CN"/>
        </w:rPr>
        <w:t>结算</w:t>
      </w:r>
      <w:r>
        <w:rPr>
          <w:rFonts w:hint="eastAsia" w:ascii="宋体" w:hAnsi="宋体" w:eastAsia="宋体" w:cs="宋体"/>
          <w:color w:val="auto"/>
          <w:sz w:val="24"/>
          <w:szCs w:val="24"/>
          <w:highlight w:val="none"/>
        </w:rPr>
        <w:t>付款方式：</w:t>
      </w:r>
    </w:p>
    <w:p w14:paraId="3A8CF30F">
      <w:pPr>
        <w:keepNext w:val="0"/>
        <w:keepLines w:val="0"/>
        <w:pageBreakBefore w:val="0"/>
        <w:widowControl w:val="0"/>
        <w:kinsoku/>
        <w:wordWrap/>
        <w:overflowPunct/>
        <w:topLinePunct w:val="0"/>
        <w:bidi w:val="0"/>
        <w:snapToGrid/>
        <w:spacing w:line="500" w:lineRule="exact"/>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1.3.2.1结算方式：当月气体实际供货费用为各类气体实际供货数量乘以该气体对应中标单价</w:t>
      </w:r>
      <w:r>
        <w:rPr>
          <w:rFonts w:hint="eastAsia" w:ascii="宋体" w:hAnsi="宋体" w:eastAsia="宋体" w:cs="宋体"/>
          <w:color w:val="auto"/>
          <w:sz w:val="24"/>
          <w:szCs w:val="24"/>
          <w:highlight w:val="none"/>
          <w:lang w:eastAsia="zh-CN"/>
        </w:rPr>
        <w:t>；</w:t>
      </w:r>
    </w:p>
    <w:p w14:paraId="7A5EE069">
      <w:pPr>
        <w:spacing w:line="46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1.3.2.2付款方式：甲方按月度核算实际货款，在月后的三个月内向乙方支付当月实际货款。</w:t>
      </w:r>
    </w:p>
    <w:p w14:paraId="09D5DCF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发票开具方式：</w:t>
      </w:r>
      <w:r>
        <w:rPr>
          <w:rFonts w:hint="eastAsia" w:ascii="宋体" w:hAnsi="宋体" w:eastAsia="宋体" w:cs="宋体"/>
          <w:color w:val="auto"/>
          <w:sz w:val="24"/>
          <w:szCs w:val="24"/>
          <w:highlight w:val="none"/>
          <w:u w:val="single"/>
        </w:rPr>
        <w:t xml:space="preserve"> 增值税专用发票或增值税普通发票（具体以甲方要求为准）   </w:t>
      </w:r>
      <w:r>
        <w:rPr>
          <w:rFonts w:hint="eastAsia" w:ascii="宋体" w:hAnsi="宋体" w:eastAsia="宋体" w:cs="宋体"/>
          <w:color w:val="auto"/>
          <w:sz w:val="24"/>
          <w:szCs w:val="24"/>
          <w:highlight w:val="none"/>
        </w:rPr>
        <w:t>。</w:t>
      </w:r>
      <w:bookmarkStart w:id="197" w:name="_Toc2846"/>
      <w:bookmarkStart w:id="198" w:name="_Toc19304"/>
      <w:bookmarkStart w:id="199" w:name="_Toc32071"/>
    </w:p>
    <w:p w14:paraId="00ECF40F">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注：（1）付款前，中标人提供符合采购人要求的同等金额的合法有效发票。否则，采购人有权顺延付款时间，且不承担任何违约及赔偿责任。（2）本项目支付方式支持数字人民币方式。</w:t>
      </w:r>
    </w:p>
    <w:p w14:paraId="727458A0">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 交</w:t>
      </w:r>
      <w:r>
        <w:rPr>
          <w:rFonts w:hint="eastAsia" w:ascii="宋体" w:hAnsi="宋体" w:eastAsia="宋体" w:cs="宋体"/>
          <w:b/>
          <w:color w:val="auto"/>
          <w:sz w:val="24"/>
          <w:szCs w:val="24"/>
          <w:highlight w:val="none"/>
          <w:lang w:val="en-US" w:eastAsia="zh-CN"/>
        </w:rPr>
        <w:t>付</w:t>
      </w:r>
      <w:r>
        <w:rPr>
          <w:rFonts w:hint="eastAsia" w:ascii="宋体" w:hAnsi="宋体" w:eastAsia="宋体" w:cs="宋体"/>
          <w:b/>
          <w:color w:val="auto"/>
          <w:sz w:val="24"/>
          <w:szCs w:val="24"/>
          <w:highlight w:val="none"/>
        </w:rPr>
        <w:t>时间</w:t>
      </w:r>
      <w:r>
        <w:rPr>
          <w:rFonts w:hint="eastAsia" w:ascii="宋体" w:hAnsi="宋体" w:eastAsia="宋体" w:cs="宋体"/>
          <w:b/>
          <w:color w:val="auto"/>
          <w:sz w:val="24"/>
          <w:szCs w:val="24"/>
          <w:highlight w:val="none"/>
          <w:lang w:val="en-US" w:eastAsia="zh-CN"/>
        </w:rPr>
        <w:t>及交付</w:t>
      </w:r>
      <w:r>
        <w:rPr>
          <w:rFonts w:hint="eastAsia" w:ascii="宋体" w:hAnsi="宋体" w:eastAsia="宋体" w:cs="宋体"/>
          <w:b/>
          <w:color w:val="auto"/>
          <w:sz w:val="24"/>
          <w:szCs w:val="24"/>
          <w:highlight w:val="none"/>
        </w:rPr>
        <w:t>地点</w:t>
      </w:r>
      <w:bookmarkEnd w:id="197"/>
      <w:bookmarkEnd w:id="198"/>
      <w:bookmarkEnd w:id="199"/>
    </w:p>
    <w:p w14:paraId="62595A23">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1.4.1 </w:t>
      </w:r>
      <w:r>
        <w:rPr>
          <w:rFonts w:hint="eastAsia" w:ascii="宋体" w:hAnsi="宋体" w:eastAsia="宋体" w:cs="宋体"/>
          <w:color w:val="auto"/>
          <w:sz w:val="24"/>
          <w:szCs w:val="24"/>
          <w:highlight w:val="none"/>
          <w:lang w:val="en-US" w:eastAsia="zh-CN"/>
        </w:rPr>
        <w:t>服务期限：自合同签订之日起2年。</w:t>
      </w:r>
    </w:p>
    <w:p w14:paraId="5172E91F">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1.4.2供货期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甲方提出供货需求起2个自然日内。</w:t>
      </w:r>
    </w:p>
    <w:p w14:paraId="175E920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在供货期内，乙方按甲方要求按时分批将货物配送至甲方指定地点。</w:t>
      </w:r>
    </w:p>
    <w:p w14:paraId="0E12AB0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w:t>
      </w:r>
      <w:r>
        <w:rPr>
          <w:rFonts w:hint="eastAsia" w:ascii="宋体" w:hAnsi="宋体" w:eastAsia="宋体" w:cs="宋体"/>
          <w:color w:val="auto"/>
          <w:sz w:val="24"/>
          <w:szCs w:val="24"/>
          <w:highlight w:val="none"/>
        </w:rPr>
        <w:t>交付地点：</w:t>
      </w:r>
      <w:r>
        <w:rPr>
          <w:rFonts w:hint="eastAsia" w:ascii="宋体" w:hAnsi="宋体" w:eastAsia="宋体" w:cs="宋体"/>
          <w:color w:val="auto"/>
          <w:sz w:val="24"/>
          <w:szCs w:val="24"/>
          <w:highlight w:val="none"/>
          <w:lang w:val="en-US" w:eastAsia="zh-CN"/>
        </w:rPr>
        <w:t>常</w:t>
      </w:r>
      <w:r>
        <w:rPr>
          <w:rFonts w:hint="eastAsia" w:ascii="宋体" w:hAnsi="宋体" w:eastAsia="宋体" w:cs="宋体"/>
          <w:color w:val="auto"/>
          <w:sz w:val="24"/>
          <w:szCs w:val="22"/>
          <w:highlight w:val="none"/>
          <w:lang w:val="en-US" w:eastAsia="zh-CN"/>
        </w:rPr>
        <w:t>熟市第二人民医院（一院二区：常熟市台山路18号、常熟市海虞南路68号。</w:t>
      </w:r>
    </w:p>
    <w:p w14:paraId="62B3FC52">
      <w:pPr>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w:t>
      </w:r>
      <w:r>
        <w:rPr>
          <w:rFonts w:hint="eastAsia" w:ascii="宋体" w:hAnsi="宋体" w:eastAsia="宋体" w:cs="宋体"/>
          <w:b/>
          <w:bCs/>
          <w:color w:val="auto"/>
          <w:sz w:val="24"/>
          <w:highlight w:val="none"/>
        </w:rPr>
        <w:t>双方权利和义务</w:t>
      </w:r>
    </w:p>
    <w:p w14:paraId="48E0C396">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1.5.1甲方权利义务</w:t>
      </w:r>
    </w:p>
    <w:p w14:paraId="6CF1669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（1）负责提供场地和有关</w:t>
      </w:r>
      <w:r>
        <w:rPr>
          <w:rFonts w:hint="eastAsia" w:ascii="宋体" w:hAnsi="宋体" w:eastAsia="宋体" w:cs="宋体"/>
          <w:color w:val="auto"/>
          <w:sz w:val="24"/>
          <w:highlight w:val="none"/>
          <w:lang w:val="en-US" w:eastAsia="zh-CN"/>
        </w:rPr>
        <w:t>货物</w:t>
      </w:r>
      <w:r>
        <w:rPr>
          <w:rFonts w:hint="eastAsia" w:ascii="宋体" w:hAnsi="宋体" w:eastAsia="宋体" w:cs="宋体"/>
          <w:color w:val="auto"/>
          <w:sz w:val="24"/>
          <w:highlight w:val="none"/>
        </w:rPr>
        <w:t>的安装位置；</w:t>
      </w:r>
    </w:p>
    <w:p w14:paraId="3491D73F">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）配合乙方做好有关的辅助性事务；</w:t>
      </w:r>
    </w:p>
    <w:p w14:paraId="089ADCC2">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）对乙方的工作进行监督管理。</w:t>
      </w:r>
    </w:p>
    <w:p w14:paraId="50151D2D">
      <w:pPr>
        <w:spacing w:line="4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）配合乙方协调。</w:t>
      </w:r>
    </w:p>
    <w:p w14:paraId="12C6C770">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1.5.2乙方权利义务</w:t>
      </w:r>
    </w:p>
    <w:p w14:paraId="49FD795E">
      <w:pPr>
        <w:spacing w:line="440" w:lineRule="exact"/>
        <w:ind w:firstLine="480" w:firstLineChars="200"/>
        <w:rPr>
          <w:rFonts w:hint="eastAsia" w:ascii="宋体" w:hAnsi="宋体" w:eastAsia="宋体" w:cs="宋体"/>
          <w:color w:val="auto"/>
          <w:sz w:val="24"/>
          <w:highlight w:val="none"/>
        </w:rPr>
      </w:pPr>
      <w:bookmarkStart w:id="200" w:name="_Toc19554"/>
      <w:bookmarkStart w:id="201" w:name="_Toc27250"/>
      <w:bookmarkStart w:id="202" w:name="_Toc21423"/>
      <w:r>
        <w:rPr>
          <w:rFonts w:hint="eastAsia" w:ascii="宋体" w:hAnsi="宋体" w:eastAsia="宋体" w:cs="宋体"/>
          <w:color w:val="auto"/>
          <w:sz w:val="24"/>
          <w:highlight w:val="none"/>
        </w:rPr>
        <w:t>（1）负责货物运抵指定地点后的搬运及看护保管；</w:t>
      </w:r>
    </w:p>
    <w:p w14:paraId="437FA04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）负责现场</w:t>
      </w:r>
      <w:r>
        <w:rPr>
          <w:rFonts w:hint="eastAsia" w:ascii="宋体" w:hAnsi="宋体" w:eastAsia="宋体" w:cs="宋体"/>
          <w:color w:val="auto"/>
          <w:sz w:val="24"/>
          <w:highlight w:val="none"/>
          <w:lang w:val="en-US" w:eastAsia="zh-CN"/>
        </w:rPr>
        <w:t>工作</w:t>
      </w:r>
      <w:r>
        <w:rPr>
          <w:rFonts w:hint="eastAsia" w:ascii="宋体" w:hAnsi="宋体" w:eastAsia="宋体" w:cs="宋体"/>
          <w:color w:val="auto"/>
          <w:sz w:val="24"/>
          <w:highlight w:val="none"/>
        </w:rPr>
        <w:t>人员的保险和一切安全责任；</w:t>
      </w:r>
    </w:p>
    <w:p w14:paraId="6548B53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）负责质量的自检验收，配合甲方完成验收工作及项目的移交；</w:t>
      </w:r>
    </w:p>
    <w:p w14:paraId="17E74F1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）负责</w:t>
      </w:r>
      <w:r>
        <w:rPr>
          <w:rFonts w:hint="eastAsia" w:ascii="宋体" w:hAnsi="宋体" w:eastAsia="宋体" w:cs="宋体"/>
          <w:color w:val="auto"/>
          <w:sz w:val="24"/>
          <w:highlight w:val="none"/>
          <w:lang w:val="en-US" w:eastAsia="zh-CN"/>
        </w:rPr>
        <w:t>供货</w:t>
      </w:r>
      <w:r>
        <w:rPr>
          <w:rFonts w:hint="eastAsia" w:ascii="宋体" w:hAnsi="宋体" w:eastAsia="宋体" w:cs="宋体"/>
          <w:color w:val="auto"/>
          <w:sz w:val="24"/>
          <w:highlight w:val="none"/>
        </w:rPr>
        <w:t>期间由于乙方过错所造成的一切损失。</w:t>
      </w:r>
    </w:p>
    <w:p w14:paraId="241AFC8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）对甲方人员进行免费培训。</w:t>
      </w:r>
    </w:p>
    <w:p w14:paraId="01962430">
      <w:pPr>
        <w:autoSpaceDE w:val="0"/>
        <w:autoSpaceDN w:val="0"/>
        <w:adjustRightInd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 违约责任</w:t>
      </w:r>
      <w:bookmarkEnd w:id="200"/>
      <w:bookmarkEnd w:id="201"/>
      <w:bookmarkEnd w:id="202"/>
    </w:p>
    <w:p w14:paraId="5992C009">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rPr>
        <w:t>10%</w:t>
      </w:r>
      <w:r>
        <w:rPr>
          <w:rFonts w:hint="eastAsia" w:ascii="宋体" w:hAnsi="宋体" w:eastAsia="宋体" w:cs="宋体"/>
          <w:color w:val="auto"/>
          <w:sz w:val="24"/>
          <w:szCs w:val="24"/>
          <w:highlight w:val="none"/>
        </w:rPr>
        <w:t>；迟延交付货物的违约金计算数额达到前述最高限额之日起，甲方有权在要求乙方支付违约金的同时，书面通知乙方解除本合同。但违约金不足补偿甲方实际损失及/或损害的，乙方还应赔偿甲方的实 际损失及/或损害。若乙方未经甲方书面同意不能按照本合同约定交货逾期超过 10 日，将视为严重违约， 甲方有权单方面解除本合同而不承担任何责任，本合同自甲方书面通知乙方之日起自动终止，同时乙方应 在甲方书面通知之日起 10 日内向甲方支付本合同货款总额的 30%，作为违约金。</w:t>
      </w:r>
    </w:p>
    <w:p w14:paraId="4CB8B46C">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highlight w:val="none"/>
          <w:u w:val="single"/>
        </w:rPr>
        <w:t>0.5%</w:t>
      </w:r>
      <w:r>
        <w:rPr>
          <w:rFonts w:hint="eastAsia" w:ascii="宋体" w:hAnsi="宋体" w:eastAsia="宋体" w:cs="宋体"/>
          <w:color w:val="auto"/>
          <w:sz w:val="24"/>
          <w:highlight w:val="none"/>
        </w:rPr>
        <w:t>计算，最高限额为本合同总价的</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；迟延付款的违约金计算数额达到前述最高限额之日起，乙方有权在要求甲方支付违约金的同时，书面通知甲方解除本合同。</w:t>
      </w:r>
    </w:p>
    <w:p w14:paraId="69A3DA3F">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5EFA01F">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781B57F">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6E5BE7E">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1.6.6 如果出现政府采购监督管理部门在处理投诉事项期间，书面通知甲方暂停采购活动的情形，或者询问或质疑事项可能影响中标结果的，导致甲方中止履行合同的情形，均不视为甲方违约。</w:t>
      </w:r>
    </w:p>
    <w:p w14:paraId="3258EB12">
      <w:pPr>
        <w:spacing w:line="440" w:lineRule="exact"/>
        <w:rPr>
          <w:rFonts w:hint="eastAsia" w:ascii="宋体" w:hAnsi="宋体" w:eastAsia="宋体" w:cs="宋体"/>
          <w:b/>
          <w:color w:val="auto"/>
          <w:sz w:val="24"/>
          <w:highlight w:val="none"/>
        </w:rPr>
      </w:pPr>
      <w:bookmarkStart w:id="203" w:name="_Toc18683"/>
      <w:bookmarkStart w:id="204" w:name="_Toc32454"/>
      <w:bookmarkStart w:id="205" w:name="_Toc26807"/>
      <w:bookmarkStart w:id="206" w:name="_Toc30329"/>
      <w:bookmarkStart w:id="207" w:name="_Toc9497"/>
      <w:r>
        <w:rPr>
          <w:rFonts w:hint="eastAsia" w:ascii="宋体" w:hAnsi="宋体" w:eastAsia="宋体" w:cs="宋体"/>
          <w:b/>
          <w:color w:val="auto"/>
          <w:sz w:val="24"/>
          <w:highlight w:val="none"/>
        </w:rPr>
        <w:t>1.7 合同争议的解决</w:t>
      </w:r>
      <w:bookmarkEnd w:id="203"/>
      <w:bookmarkEnd w:id="204"/>
      <w:bookmarkEnd w:id="205"/>
      <w:bookmarkEnd w:id="206"/>
      <w:bookmarkEnd w:id="207"/>
    </w:p>
    <w:p w14:paraId="7BABF230">
      <w:pPr>
        <w:spacing w:line="440" w:lineRule="exact"/>
        <w:ind w:firstLine="480" w:firstLineChars="200"/>
        <w:rPr>
          <w:rFonts w:hint="eastAsia" w:ascii="宋体" w:hAnsi="宋体" w:eastAsia="宋体" w:cs="宋体"/>
          <w:bCs/>
          <w:color w:val="auto"/>
          <w:sz w:val="24"/>
          <w:szCs w:val="24"/>
          <w:highlight w:val="none"/>
        </w:rPr>
      </w:pPr>
      <w:bookmarkStart w:id="208" w:name="_Toc12273"/>
      <w:bookmarkStart w:id="209" w:name="_Toc23784"/>
      <w:bookmarkStart w:id="210" w:name="_Toc16417"/>
      <w:bookmarkStart w:id="211" w:name="_Toc26227"/>
      <w:bookmarkStart w:id="212" w:name="_Toc15827"/>
      <w:r>
        <w:rPr>
          <w:rFonts w:hint="eastAsia" w:ascii="宋体" w:hAnsi="宋体" w:eastAsia="宋体" w:cs="宋体"/>
          <w:bCs/>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1.7.1</w:t>
      </w:r>
      <w:r>
        <w:rPr>
          <w:rFonts w:hint="eastAsia" w:ascii="宋体" w:hAnsi="宋体" w:eastAsia="宋体" w:cs="宋体"/>
          <w:bCs/>
          <w:color w:val="auto"/>
          <w:sz w:val="24"/>
          <w:szCs w:val="24"/>
          <w:highlight w:val="none"/>
        </w:rPr>
        <w:t>种方式解决：</w:t>
      </w:r>
    </w:p>
    <w:p w14:paraId="35D236BB">
      <w:pPr>
        <w:spacing w:line="43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1.7.1向</w:t>
      </w:r>
      <w:r>
        <w:rPr>
          <w:rFonts w:hint="eastAsia" w:ascii="宋体" w:hAnsi="宋体" w:eastAsia="宋体" w:cs="宋体"/>
          <w:bCs/>
          <w:color w:val="auto"/>
          <w:sz w:val="24"/>
          <w:szCs w:val="24"/>
          <w:highlight w:val="none"/>
          <w:u w:val="single"/>
        </w:rPr>
        <w:t>（项目所在地、合同履行地、标的物所在地等）</w:t>
      </w:r>
      <w:r>
        <w:rPr>
          <w:rFonts w:hint="eastAsia" w:ascii="宋体" w:hAnsi="宋体" w:eastAsia="宋体" w:cs="宋体"/>
          <w:bCs/>
          <w:color w:val="auto"/>
          <w:sz w:val="24"/>
          <w:szCs w:val="24"/>
          <w:highlight w:val="none"/>
        </w:rPr>
        <w:t>人民法院起诉。</w:t>
      </w:r>
    </w:p>
    <w:p w14:paraId="17130CA5">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1.8 合同生效</w:t>
      </w:r>
      <w:bookmarkEnd w:id="208"/>
      <w:bookmarkEnd w:id="209"/>
      <w:bookmarkEnd w:id="210"/>
      <w:bookmarkEnd w:id="211"/>
      <w:bookmarkEnd w:id="212"/>
    </w:p>
    <w:p w14:paraId="4352B3FF">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1.8.1合同应在甲乙双方代表签字并加盖公章后生效。</w:t>
      </w:r>
    </w:p>
    <w:p w14:paraId="7FEF4992">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1.8.2本合同一式</w:t>
      </w: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份，以简体中文书写，甲乙</w:t>
      </w:r>
      <w:r>
        <w:rPr>
          <w:rFonts w:hint="eastAsia" w:ascii="宋体" w:hAnsi="宋体" w:eastAsia="宋体" w:cs="宋体"/>
          <w:bCs/>
          <w:color w:val="auto"/>
          <w:sz w:val="24"/>
          <w:szCs w:val="24"/>
          <w:highlight w:val="none"/>
          <w:lang w:val="en-US" w:eastAsia="zh-CN"/>
        </w:rPr>
        <w:t>双</w:t>
      </w:r>
      <w:r>
        <w:rPr>
          <w:rFonts w:hint="eastAsia" w:ascii="宋体" w:hAnsi="宋体" w:eastAsia="宋体" w:cs="宋体"/>
          <w:bCs/>
          <w:color w:val="auto"/>
          <w:sz w:val="24"/>
          <w:szCs w:val="24"/>
          <w:highlight w:val="none"/>
        </w:rPr>
        <w:t>方</w:t>
      </w:r>
      <w:r>
        <w:rPr>
          <w:rFonts w:hint="eastAsia" w:ascii="宋体" w:hAnsi="宋体" w:eastAsia="宋体" w:cs="宋体"/>
          <w:bCs/>
          <w:color w:val="auto"/>
          <w:sz w:val="24"/>
          <w:szCs w:val="24"/>
          <w:highlight w:val="none"/>
          <w:lang w:val="en-US" w:eastAsia="zh-CN"/>
        </w:rPr>
        <w:t>各执</w:t>
      </w:r>
      <w:r>
        <w:rPr>
          <w:rFonts w:hint="eastAsia" w:ascii="宋体" w:hAnsi="宋体" w:eastAsia="宋体" w:cs="宋体"/>
          <w:bCs/>
          <w:color w:val="auto"/>
          <w:sz w:val="24"/>
          <w:szCs w:val="24"/>
          <w:highlight w:val="none"/>
        </w:rPr>
        <w:t>两份。</w:t>
      </w:r>
    </w:p>
    <w:p w14:paraId="3C1BD4BB">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1.8.3本合同应按照中华人民共和国的现行法律进行解释。</w:t>
      </w:r>
    </w:p>
    <w:p w14:paraId="1E0C10B0">
      <w:pPr>
        <w:spacing w:line="440" w:lineRule="exact"/>
        <w:ind w:firstLine="420" w:firstLineChars="200"/>
        <w:rPr>
          <w:rFonts w:hint="eastAsia" w:ascii="宋体" w:hAnsi="宋体" w:eastAsia="宋体" w:cs="宋体"/>
          <w:color w:val="auto"/>
          <w:highlight w:val="none"/>
        </w:rPr>
      </w:pPr>
    </w:p>
    <w:p w14:paraId="5825D0CE">
      <w:pPr>
        <w:autoSpaceDE w:val="0"/>
        <w:autoSpaceDN w:val="0"/>
        <w:adjustRightInd w:val="0"/>
        <w:spacing w:line="480" w:lineRule="exact"/>
        <w:ind w:firstLine="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第二部分 合同一般条款</w:t>
      </w:r>
    </w:p>
    <w:p w14:paraId="3BA0E241">
      <w:pPr>
        <w:spacing w:line="440" w:lineRule="exact"/>
        <w:rPr>
          <w:rFonts w:hint="eastAsia" w:ascii="宋体" w:hAnsi="宋体" w:eastAsia="宋体" w:cs="宋体"/>
          <w:b/>
          <w:color w:val="auto"/>
          <w:sz w:val="24"/>
          <w:szCs w:val="24"/>
          <w:highlight w:val="none"/>
        </w:rPr>
      </w:pPr>
      <w:bookmarkStart w:id="213" w:name="_Ref467379109"/>
      <w:bookmarkStart w:id="214" w:name="_Ref467378463"/>
      <w:bookmarkStart w:id="215" w:name="_Ref467379094"/>
      <w:bookmarkStart w:id="216" w:name="_Ref467378404"/>
      <w:bookmarkStart w:id="217" w:name="_Ref467379195"/>
      <w:bookmarkStart w:id="218" w:name="_Toc16917"/>
      <w:bookmarkStart w:id="219" w:name="_Ref467379214"/>
      <w:bookmarkStart w:id="220" w:name="_Ref467378499"/>
      <w:bookmarkStart w:id="221" w:name="_Toc28763"/>
      <w:bookmarkStart w:id="222" w:name="_Ref467379225"/>
      <w:bookmarkStart w:id="223" w:name="_Toc259093669"/>
      <w:bookmarkStart w:id="224" w:name="_Toc279701240"/>
      <w:bookmarkStart w:id="225" w:name="_Ref467379101"/>
      <w:bookmarkStart w:id="226" w:name="_Toc487900349"/>
      <w:bookmarkStart w:id="227" w:name="_Toc19614"/>
      <w:bookmarkStart w:id="228" w:name="_Ref467379205"/>
      <w:r>
        <w:rPr>
          <w:rFonts w:hint="eastAsia" w:ascii="宋体" w:hAnsi="宋体" w:eastAsia="宋体" w:cs="宋体"/>
          <w:b/>
          <w:color w:val="auto"/>
          <w:sz w:val="24"/>
          <w:szCs w:val="24"/>
          <w:highlight w:val="none"/>
        </w:rPr>
        <w:t>2.1 定义</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506358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本合同中的下列词语应按以下内容进行解释：</w:t>
      </w:r>
    </w:p>
    <w:p w14:paraId="37BC6E8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2.1.1“合同”系指采购人和中标供应商签订的载明双方当事人所达成的协议，并包括所有的附件、附录和构成合同的其他文件。</w:t>
      </w:r>
    </w:p>
    <w:p w14:paraId="3F9C98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2.1.2“合同价”系指根据合同约定，中标供应商在完全履行合同义务后，采购人应支付给中标供应商的价格。</w:t>
      </w:r>
    </w:p>
    <w:p w14:paraId="0AE98B3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2.1.3“货物”系指中标供应商根据合同约定应向采购人交付的一切各种形态和种类的物品，包括原材料、燃料、设备、机械、仪表、备件、计算机软件、产品等，并包括工具、手册等其他相关资料。</w:t>
      </w:r>
    </w:p>
    <w:p w14:paraId="0AE78A2F">
      <w:pPr>
        <w:spacing w:line="440" w:lineRule="exact"/>
        <w:ind w:firstLine="480" w:firstLineChars="200"/>
        <w:rPr>
          <w:rFonts w:hint="eastAsia" w:ascii="宋体" w:hAnsi="宋体" w:eastAsia="宋体" w:cs="宋体"/>
          <w:color w:val="auto"/>
          <w:sz w:val="24"/>
          <w:szCs w:val="24"/>
          <w:highlight w:val="none"/>
        </w:rPr>
      </w:pPr>
      <w:bookmarkStart w:id="229" w:name="_Ref467378840"/>
      <w:r>
        <w:rPr>
          <w:rFonts w:hint="eastAsia" w:ascii="宋体" w:hAnsi="宋体" w:eastAsia="宋体" w:cs="宋体"/>
          <w:color w:val="auto"/>
          <w:sz w:val="24"/>
          <w:szCs w:val="24"/>
          <w:highlight w:val="none"/>
        </w:rPr>
        <w:t>2.1.4“甲方”系指与中标供应商签署合同的采购人</w:t>
      </w:r>
      <w:bookmarkEnd w:id="229"/>
      <w:r>
        <w:rPr>
          <w:rFonts w:hint="eastAsia" w:ascii="宋体" w:hAnsi="宋体" w:eastAsia="宋体" w:cs="宋体"/>
          <w:color w:val="auto"/>
          <w:sz w:val="24"/>
          <w:szCs w:val="24"/>
          <w:highlight w:val="none"/>
        </w:rPr>
        <w:t>；采购人委托采购代理机构代表其与乙方签订合同的，采购人的授权委托书作为合同附件。</w:t>
      </w:r>
    </w:p>
    <w:p w14:paraId="71A81916">
      <w:pPr>
        <w:spacing w:line="440" w:lineRule="exact"/>
        <w:ind w:firstLine="480" w:firstLineChars="200"/>
        <w:rPr>
          <w:rFonts w:hint="eastAsia" w:ascii="宋体" w:hAnsi="宋体" w:eastAsia="宋体" w:cs="宋体"/>
          <w:color w:val="auto"/>
          <w:sz w:val="24"/>
          <w:szCs w:val="24"/>
          <w:highlight w:val="none"/>
        </w:rPr>
      </w:pPr>
      <w:bookmarkStart w:id="230" w:name="_Ref467379400"/>
      <w:r>
        <w:rPr>
          <w:rFonts w:hint="eastAsia" w:ascii="宋体" w:hAnsi="宋体" w:eastAsia="宋体" w:cs="宋体"/>
          <w:color w:val="auto"/>
          <w:sz w:val="24"/>
          <w:szCs w:val="24"/>
          <w:highlight w:val="none"/>
        </w:rPr>
        <w:t>2.1.5“乙方”系指根据合同约定交付货物的中标供应商</w:t>
      </w:r>
      <w:bookmarkEnd w:id="230"/>
      <w:r>
        <w:rPr>
          <w:rFonts w:hint="eastAsia" w:ascii="宋体" w:hAnsi="宋体" w:eastAsia="宋体" w:cs="宋体"/>
          <w:color w:val="auto"/>
          <w:sz w:val="24"/>
          <w:szCs w:val="24"/>
          <w:highlight w:val="none"/>
        </w:rPr>
        <w:t>。</w:t>
      </w:r>
    </w:p>
    <w:p w14:paraId="342D9DF8">
      <w:pPr>
        <w:spacing w:line="440" w:lineRule="exact"/>
        <w:ind w:firstLine="480" w:firstLineChars="200"/>
        <w:rPr>
          <w:rFonts w:hint="eastAsia" w:ascii="宋体" w:hAnsi="宋体" w:eastAsia="宋体" w:cs="宋体"/>
          <w:color w:val="auto"/>
          <w:sz w:val="24"/>
          <w:szCs w:val="24"/>
          <w:highlight w:val="none"/>
        </w:rPr>
      </w:pPr>
      <w:bookmarkStart w:id="231" w:name="_Ref467379436"/>
      <w:r>
        <w:rPr>
          <w:rFonts w:hint="eastAsia" w:ascii="宋体" w:hAnsi="宋体" w:eastAsia="宋体" w:cs="宋体"/>
          <w:color w:val="auto"/>
          <w:sz w:val="24"/>
          <w:szCs w:val="24"/>
          <w:highlight w:val="none"/>
        </w:rPr>
        <w:t>2.1.6“现场”系指合同约定货物将要运至或者安装的地点。</w:t>
      </w:r>
      <w:bookmarkEnd w:id="231"/>
    </w:p>
    <w:p w14:paraId="5E523184">
      <w:pPr>
        <w:spacing w:line="440" w:lineRule="exact"/>
        <w:rPr>
          <w:rFonts w:hint="eastAsia" w:ascii="宋体" w:hAnsi="宋体" w:eastAsia="宋体" w:cs="宋体"/>
          <w:b/>
          <w:color w:val="auto"/>
          <w:sz w:val="24"/>
          <w:szCs w:val="24"/>
          <w:highlight w:val="none"/>
        </w:rPr>
      </w:pPr>
      <w:bookmarkStart w:id="232" w:name="_Toc27635"/>
      <w:bookmarkStart w:id="233" w:name="_Toc13336"/>
      <w:bookmarkStart w:id="234" w:name="_Toc32504"/>
      <w:bookmarkStart w:id="235" w:name="_Toc487900350"/>
      <w:bookmarkStart w:id="236" w:name="_Toc279701241"/>
      <w:bookmarkStart w:id="237" w:name="_Toc259093670"/>
      <w:r>
        <w:rPr>
          <w:rFonts w:hint="eastAsia" w:ascii="宋体" w:hAnsi="宋体" w:eastAsia="宋体" w:cs="宋体"/>
          <w:b/>
          <w:color w:val="auto"/>
          <w:sz w:val="24"/>
          <w:szCs w:val="24"/>
          <w:highlight w:val="none"/>
        </w:rPr>
        <w:t>2.2 技术规范</w:t>
      </w:r>
      <w:bookmarkEnd w:id="232"/>
      <w:bookmarkEnd w:id="233"/>
      <w:bookmarkEnd w:id="234"/>
      <w:bookmarkEnd w:id="235"/>
      <w:bookmarkEnd w:id="236"/>
      <w:bookmarkEnd w:id="237"/>
    </w:p>
    <w:p w14:paraId="1B6529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7CEBFB8F">
      <w:pPr>
        <w:spacing w:line="440" w:lineRule="exact"/>
        <w:rPr>
          <w:rFonts w:hint="eastAsia" w:ascii="宋体" w:hAnsi="宋体" w:eastAsia="宋体" w:cs="宋体"/>
          <w:b/>
          <w:color w:val="auto"/>
          <w:sz w:val="24"/>
          <w:szCs w:val="24"/>
          <w:highlight w:val="none"/>
        </w:rPr>
      </w:pPr>
      <w:bookmarkStart w:id="238" w:name="_Toc9829"/>
      <w:bookmarkStart w:id="239" w:name="_Toc27853"/>
      <w:bookmarkStart w:id="240" w:name="_Toc487900351"/>
      <w:bookmarkStart w:id="241" w:name="_Toc259093671"/>
      <w:bookmarkStart w:id="242" w:name="_Toc31634"/>
      <w:bookmarkStart w:id="243" w:name="_Toc279701242"/>
      <w:r>
        <w:rPr>
          <w:rFonts w:hint="eastAsia" w:ascii="宋体" w:hAnsi="宋体" w:eastAsia="宋体" w:cs="宋体"/>
          <w:b/>
          <w:color w:val="auto"/>
          <w:sz w:val="24"/>
          <w:szCs w:val="24"/>
          <w:highlight w:val="none"/>
        </w:rPr>
        <w:t>2.3 知识产权</w:t>
      </w:r>
      <w:bookmarkEnd w:id="238"/>
      <w:bookmarkEnd w:id="239"/>
      <w:bookmarkEnd w:id="240"/>
      <w:bookmarkEnd w:id="241"/>
      <w:bookmarkEnd w:id="242"/>
      <w:bookmarkEnd w:id="243"/>
    </w:p>
    <w:p w14:paraId="7FD194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369982D9">
      <w:pPr>
        <w:spacing w:line="440" w:lineRule="exact"/>
        <w:rPr>
          <w:rFonts w:hint="eastAsia" w:ascii="宋体" w:hAnsi="宋体" w:eastAsia="宋体" w:cs="宋体"/>
          <w:b/>
          <w:color w:val="auto"/>
          <w:sz w:val="24"/>
          <w:szCs w:val="24"/>
          <w:highlight w:val="none"/>
        </w:rPr>
      </w:pPr>
      <w:bookmarkStart w:id="244" w:name="_Toc29149"/>
      <w:bookmarkStart w:id="245" w:name="_Toc4194"/>
      <w:bookmarkStart w:id="246" w:name="_Toc11932"/>
      <w:r>
        <w:rPr>
          <w:rFonts w:hint="eastAsia" w:ascii="宋体" w:hAnsi="宋体" w:eastAsia="宋体" w:cs="宋体"/>
          <w:b/>
          <w:color w:val="auto"/>
          <w:sz w:val="24"/>
          <w:szCs w:val="24"/>
          <w:highlight w:val="none"/>
        </w:rPr>
        <w:t>2.4 包装和装运</w:t>
      </w:r>
      <w:bookmarkEnd w:id="244"/>
      <w:bookmarkEnd w:id="245"/>
      <w:bookmarkEnd w:id="246"/>
    </w:p>
    <w:p w14:paraId="4C0E18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9C73C6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2.4.2装运货物的要求和通知均应按照甲方的要求。</w:t>
      </w:r>
    </w:p>
    <w:p w14:paraId="57D5D2AA">
      <w:pPr>
        <w:spacing w:line="440" w:lineRule="exact"/>
        <w:rPr>
          <w:rFonts w:hint="eastAsia" w:ascii="宋体" w:hAnsi="宋体" w:eastAsia="宋体" w:cs="宋体"/>
          <w:b/>
          <w:color w:val="auto"/>
          <w:sz w:val="24"/>
          <w:szCs w:val="24"/>
          <w:highlight w:val="none"/>
        </w:rPr>
      </w:pPr>
      <w:bookmarkStart w:id="247" w:name="_Toc279701245"/>
      <w:bookmarkStart w:id="248" w:name="_Ref467379542"/>
      <w:bookmarkStart w:id="249" w:name="_Ref467378591"/>
      <w:bookmarkStart w:id="250" w:name="_Toc259093674"/>
      <w:bookmarkStart w:id="251" w:name="_Ref467379536"/>
      <w:bookmarkStart w:id="252" w:name="_Ref467379527"/>
      <w:bookmarkStart w:id="253" w:name="_Toc487900354"/>
      <w:bookmarkStart w:id="254" w:name="_Ref467378541"/>
      <w:bookmarkStart w:id="255" w:name="_Toc19074"/>
      <w:bookmarkStart w:id="256" w:name="_Toc26182"/>
      <w:bookmarkStart w:id="257" w:name="_Toc30272"/>
      <w:r>
        <w:rPr>
          <w:rFonts w:hint="eastAsia" w:ascii="宋体" w:hAnsi="宋体" w:eastAsia="宋体" w:cs="宋体"/>
          <w:b/>
          <w:color w:val="auto"/>
          <w:sz w:val="24"/>
          <w:szCs w:val="24"/>
          <w:highlight w:val="none"/>
        </w:rPr>
        <w:t>2.</w:t>
      </w:r>
      <w:bookmarkEnd w:id="247"/>
      <w:bookmarkEnd w:id="248"/>
      <w:bookmarkEnd w:id="249"/>
      <w:bookmarkEnd w:id="250"/>
      <w:bookmarkEnd w:id="251"/>
      <w:bookmarkEnd w:id="252"/>
      <w:bookmarkEnd w:id="253"/>
      <w:bookmarkEnd w:id="254"/>
      <w:r>
        <w:rPr>
          <w:rFonts w:hint="eastAsia" w:ascii="宋体" w:hAnsi="宋体" w:eastAsia="宋体" w:cs="宋体"/>
          <w:b/>
          <w:color w:val="auto"/>
          <w:sz w:val="24"/>
          <w:szCs w:val="24"/>
          <w:highlight w:val="none"/>
        </w:rPr>
        <w:t>5 履约检查和问题反馈</w:t>
      </w:r>
      <w:bookmarkEnd w:id="255"/>
      <w:bookmarkEnd w:id="256"/>
      <w:bookmarkEnd w:id="257"/>
    </w:p>
    <w:p w14:paraId="076943DB">
      <w:pPr>
        <w:spacing w:line="440" w:lineRule="exact"/>
        <w:ind w:firstLine="480" w:firstLineChars="200"/>
        <w:rPr>
          <w:rFonts w:hint="eastAsia" w:ascii="宋体" w:hAnsi="宋体" w:eastAsia="宋体" w:cs="宋体"/>
          <w:color w:val="auto"/>
          <w:sz w:val="24"/>
          <w:szCs w:val="24"/>
          <w:highlight w:val="none"/>
        </w:rPr>
      </w:pPr>
      <w:bookmarkStart w:id="258" w:name="_Ref467379657"/>
      <w:r>
        <w:rPr>
          <w:rFonts w:hint="eastAsia" w:ascii="宋体" w:hAnsi="宋体" w:eastAsia="宋体" w:cs="宋体"/>
          <w:color w:val="auto"/>
          <w:sz w:val="24"/>
          <w:szCs w:val="24"/>
          <w:highlight w:val="none"/>
        </w:rPr>
        <w:t>2.5.1</w:t>
      </w:r>
      <w:bookmarkEnd w:id="258"/>
      <w:bookmarkStart w:id="259" w:name="_Toc186431854"/>
      <w:r>
        <w:rPr>
          <w:rFonts w:hint="eastAsia" w:ascii="宋体" w:hAnsi="宋体" w:eastAsia="宋体" w:cs="宋体"/>
          <w:color w:val="auto"/>
          <w:sz w:val="24"/>
          <w:szCs w:val="24"/>
          <w:highlight w:val="none"/>
        </w:rPr>
        <w:t>甲方有权在其认为必要时，对乙方是否能够按照合同约定交付货物进行履约检查，以确保乙方所交付的货物能够依约满足甲方之项目需求，但不得因履约检查妨碍乙方的正常工作，乙方应予积极配合。</w:t>
      </w:r>
    </w:p>
    <w:p w14:paraId="2269851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合同履行期间，甲方有权将履行过程中出现的问题反馈给乙方，双方当事人应以书面形式约定需要完善和改进的内容</w:t>
      </w:r>
      <w:bookmarkEnd w:id="259"/>
      <w:bookmarkStart w:id="260" w:name="_Toc186431855"/>
      <w:r>
        <w:rPr>
          <w:rFonts w:hint="eastAsia" w:ascii="宋体" w:hAnsi="宋体" w:eastAsia="宋体" w:cs="宋体"/>
          <w:color w:val="auto"/>
          <w:sz w:val="24"/>
          <w:szCs w:val="24"/>
          <w:highlight w:val="none"/>
        </w:rPr>
        <w:t>。</w:t>
      </w:r>
    </w:p>
    <w:bookmarkEnd w:id="260"/>
    <w:p w14:paraId="54719109">
      <w:pPr>
        <w:spacing w:line="440" w:lineRule="exact"/>
        <w:rPr>
          <w:rFonts w:hint="eastAsia" w:ascii="宋体" w:hAnsi="宋体" w:eastAsia="宋体" w:cs="宋体"/>
          <w:b/>
          <w:color w:val="auto"/>
          <w:sz w:val="24"/>
          <w:szCs w:val="24"/>
          <w:highlight w:val="none"/>
        </w:rPr>
      </w:pPr>
      <w:bookmarkStart w:id="261" w:name="_Toc279701248"/>
      <w:bookmarkStart w:id="262" w:name="_Toc487900358"/>
      <w:bookmarkStart w:id="263" w:name="_Ref467379863"/>
      <w:bookmarkStart w:id="264" w:name="_Ref467379852"/>
      <w:bookmarkStart w:id="265" w:name="_Toc259093677"/>
      <w:bookmarkStart w:id="266" w:name="_Ref467379923"/>
      <w:bookmarkStart w:id="267" w:name="_Toc3225"/>
      <w:bookmarkStart w:id="268" w:name="_Toc16110"/>
      <w:bookmarkStart w:id="269" w:name="_Toc774"/>
      <w:r>
        <w:rPr>
          <w:rFonts w:hint="eastAsia" w:ascii="宋体" w:hAnsi="宋体" w:eastAsia="宋体" w:cs="宋体"/>
          <w:b/>
          <w:color w:val="auto"/>
          <w:sz w:val="24"/>
          <w:szCs w:val="24"/>
          <w:highlight w:val="none"/>
        </w:rPr>
        <w:t>2.6 技术资料</w:t>
      </w:r>
      <w:bookmarkEnd w:id="261"/>
      <w:bookmarkEnd w:id="262"/>
      <w:bookmarkEnd w:id="263"/>
      <w:bookmarkEnd w:id="264"/>
      <w:bookmarkEnd w:id="265"/>
      <w:bookmarkEnd w:id="266"/>
      <w:r>
        <w:rPr>
          <w:rFonts w:hint="eastAsia" w:ascii="宋体" w:hAnsi="宋体" w:eastAsia="宋体" w:cs="宋体"/>
          <w:b/>
          <w:color w:val="auto"/>
          <w:sz w:val="24"/>
          <w:szCs w:val="24"/>
          <w:highlight w:val="none"/>
        </w:rPr>
        <w:t>和保密义务</w:t>
      </w:r>
      <w:bookmarkEnd w:id="267"/>
      <w:bookmarkEnd w:id="268"/>
      <w:bookmarkEnd w:id="269"/>
    </w:p>
    <w:p w14:paraId="382791B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乙方有权依据合同约定和项目需要，向甲方了解有关情况，调阅有关资料等，甲方应予积极配合。</w:t>
      </w:r>
    </w:p>
    <w:p w14:paraId="43D4F40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乙方有义务妥善保管和保护由甲方提供的前款信息和资料等。</w:t>
      </w:r>
    </w:p>
    <w:p w14:paraId="7832355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AC5B254">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 质量保证</w:t>
      </w:r>
    </w:p>
    <w:p w14:paraId="1E42CB5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乙方应建立和完善履行合同的内部质量保证体系，并提供相关内部规章制度给甲方，以便甲方进行监督检查。</w:t>
      </w:r>
    </w:p>
    <w:p w14:paraId="4298C1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乙方保证货物完全符合国家相关法律法规和质量标准的规定，不会有任何三无、假冒、伪劣或违禁、走私的物品。</w:t>
      </w:r>
    </w:p>
    <w:p w14:paraId="4B25F2E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bCs/>
          <w:color w:val="auto"/>
          <w:sz w:val="24"/>
          <w:szCs w:val="24"/>
          <w:highlight w:val="none"/>
        </w:rPr>
        <w:t>其他</w:t>
      </w:r>
      <w:r>
        <w:rPr>
          <w:rFonts w:hint="eastAsia" w:ascii="宋体" w:hAnsi="宋体" w:eastAsia="宋体" w:cs="宋体"/>
          <w:color w:val="auto"/>
          <w:sz w:val="24"/>
          <w:szCs w:val="24"/>
          <w:highlight w:val="none"/>
        </w:rPr>
        <w:t>各项服务承诺指标及所采取的措施符合“招标文件”要求及投标承诺。</w:t>
      </w:r>
    </w:p>
    <w:p w14:paraId="4E5CEB67">
      <w:pPr>
        <w:spacing w:line="42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2.7.4</w:t>
      </w:r>
      <w:r>
        <w:rPr>
          <w:rFonts w:hint="eastAsia" w:ascii="宋体" w:hAnsi="宋体" w:eastAsia="宋体" w:cs="宋体"/>
          <w:color w:val="auto"/>
          <w:sz w:val="24"/>
          <w:szCs w:val="24"/>
          <w:highlight w:val="none"/>
          <w:lang w:val="zh-CN"/>
        </w:rPr>
        <w:t>除合同特殊条款规定外，</w:t>
      </w:r>
      <w:r>
        <w:rPr>
          <w:rFonts w:hint="eastAsia" w:ascii="宋体" w:hAnsi="宋体" w:eastAsia="宋体" w:cs="宋体"/>
          <w:b w:val="0"/>
          <w:bCs w:val="0"/>
          <w:color w:val="auto"/>
          <w:sz w:val="24"/>
          <w:highlight w:val="none"/>
          <w:lang w:val="en-US" w:eastAsia="zh-CN"/>
        </w:rPr>
        <w:t>投标</w:t>
      </w:r>
      <w:r>
        <w:rPr>
          <w:rFonts w:hint="eastAsia" w:ascii="宋体" w:hAnsi="宋体" w:eastAsia="宋体" w:cs="宋体"/>
          <w:color w:val="auto"/>
          <w:sz w:val="24"/>
          <w:szCs w:val="24"/>
          <w:highlight w:val="none"/>
        </w:rPr>
        <w:t>医用液氧</w:t>
      </w:r>
      <w:r>
        <w:rPr>
          <w:rFonts w:hint="eastAsia" w:ascii="宋体" w:hAnsi="宋体" w:eastAsia="宋体" w:cs="宋体"/>
          <w:b w:val="0"/>
          <w:bCs w:val="0"/>
          <w:color w:val="auto"/>
          <w:sz w:val="24"/>
          <w:highlight w:val="none"/>
        </w:rPr>
        <w:t>的免费质量保证期</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自验收合格之日起计算。</w:t>
      </w:r>
      <w:r>
        <w:rPr>
          <w:rFonts w:hint="eastAsia" w:ascii="宋体" w:hAnsi="宋体" w:eastAsia="宋体" w:cs="宋体"/>
          <w:b w:val="0"/>
          <w:bCs w:val="0"/>
          <w:color w:val="auto"/>
          <w:sz w:val="24"/>
          <w:highlight w:val="none"/>
          <w:lang w:val="en-US" w:eastAsia="zh-CN"/>
        </w:rPr>
        <w:t>投标</w:t>
      </w:r>
      <w:r>
        <w:rPr>
          <w:rFonts w:hint="eastAsia" w:ascii="宋体" w:hAnsi="宋体" w:eastAsia="宋体" w:cs="宋体"/>
          <w:color w:val="auto"/>
          <w:sz w:val="24"/>
          <w:szCs w:val="24"/>
          <w:highlight w:val="none"/>
        </w:rPr>
        <w:t>医用</w:t>
      </w:r>
      <w:r>
        <w:rPr>
          <w:rFonts w:hint="eastAsia" w:ascii="宋体" w:hAnsi="宋体" w:eastAsia="宋体" w:cs="宋体"/>
          <w:color w:val="auto"/>
          <w:sz w:val="24"/>
          <w:szCs w:val="24"/>
          <w:highlight w:val="none"/>
          <w:lang w:val="en-US" w:eastAsia="zh-CN"/>
        </w:rPr>
        <w:t>瓶装氧（40L医用氧、10L医用氧、4L医用氧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组合瓶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highlight w:val="none"/>
        </w:rPr>
        <w:t>的免费质量保证期</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自验收合格之日起计算</w:t>
      </w:r>
      <w:r>
        <w:rPr>
          <w:rFonts w:hint="eastAsia" w:ascii="宋体" w:hAnsi="宋体" w:eastAsia="宋体" w:cs="宋体"/>
          <w:color w:val="auto"/>
          <w:sz w:val="24"/>
          <w:szCs w:val="24"/>
          <w:highlight w:val="none"/>
          <w:lang w:val="zh-CN"/>
        </w:rPr>
        <w:t>。</w:t>
      </w:r>
    </w:p>
    <w:p w14:paraId="67BAE85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小时内维修完毕使货物恢复正常使用或根据甲方要求免费更换新货物。</w:t>
      </w:r>
      <w:r>
        <w:rPr>
          <w:rFonts w:hint="eastAsia" w:ascii="宋体" w:hAnsi="宋体" w:eastAsia="宋体" w:cs="宋体"/>
          <w:color w:val="auto"/>
          <w:sz w:val="24"/>
          <w:szCs w:val="24"/>
          <w:highlight w:val="none"/>
          <w:lang w:val="en-US" w:eastAsia="zh-CN"/>
        </w:rPr>
        <w:t>乙方应按甲方的要求进行送货，确保紧急情况下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小时内配送到位、一般情况下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小时内配送到位、最迟不得超过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小时配送到位。</w:t>
      </w:r>
    </w:p>
    <w:p w14:paraId="642B10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报修电话：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u w:val="single"/>
        </w:rPr>
        <w:t xml:space="preserve">                 </w:t>
      </w:r>
    </w:p>
    <w:p w14:paraId="620D928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2.7.6免费保修期内，乙方免收甲方所有费用，包括但不限于零部件费用、人工费、交通费、住宿费等。</w:t>
      </w:r>
    </w:p>
    <w:p w14:paraId="24A2B9F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2.7.7若在免费保修期内，乙方拒绝维修或迟延维修的，甲方有权自行或委托第三方维修，因此产生的所有费用由乙方承担。</w:t>
      </w:r>
    </w:p>
    <w:p w14:paraId="690606B0">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2.7.8免费保修期满后，若甲方要求乙方提供维修的，甲方承担维修所需更换零部件/配件费用，乙方同意按成本价收费。</w:t>
      </w:r>
    </w:p>
    <w:p w14:paraId="3468C025">
      <w:pPr>
        <w:spacing w:line="440" w:lineRule="exact"/>
        <w:rPr>
          <w:rFonts w:hint="eastAsia" w:ascii="宋体" w:hAnsi="宋体" w:eastAsia="宋体" w:cs="宋体"/>
          <w:b/>
          <w:color w:val="auto"/>
          <w:sz w:val="24"/>
          <w:szCs w:val="24"/>
          <w:highlight w:val="none"/>
        </w:rPr>
      </w:pPr>
      <w:bookmarkStart w:id="270" w:name="_Toc17244"/>
      <w:r>
        <w:rPr>
          <w:rFonts w:hint="eastAsia" w:ascii="宋体" w:hAnsi="宋体" w:eastAsia="宋体" w:cs="宋体"/>
          <w:b/>
          <w:color w:val="auto"/>
          <w:sz w:val="24"/>
          <w:szCs w:val="24"/>
          <w:highlight w:val="none"/>
        </w:rPr>
        <w:t xml:space="preserve">2.8 </w:t>
      </w:r>
      <w:bookmarkEnd w:id="270"/>
      <w:bookmarkStart w:id="271" w:name="_Toc7502"/>
      <w:r>
        <w:rPr>
          <w:rFonts w:hint="eastAsia" w:ascii="宋体" w:hAnsi="宋体" w:eastAsia="宋体" w:cs="宋体"/>
          <w:b/>
          <w:color w:val="auto"/>
          <w:sz w:val="24"/>
          <w:szCs w:val="24"/>
          <w:highlight w:val="none"/>
        </w:rPr>
        <w:t>合同变更</w:t>
      </w:r>
      <w:bookmarkEnd w:id="271"/>
    </w:p>
    <w:p w14:paraId="5E3E778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.1双方当事人协商一致，可以签订书面补充合同的形式变更合同，但不得违背采购文件确定的事项，且如果系追加与合同标的相同的货物的，那么所有补充合同的采购金额不得超过原合同价的10%。</w:t>
      </w:r>
    </w:p>
    <w:p w14:paraId="3BD4BA5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ascii="宋体" w:hAnsi="宋体" w:eastAsia="宋体" w:cs="宋体"/>
          <w:bCs/>
          <w:color w:val="auto"/>
          <w:sz w:val="24"/>
          <w:szCs w:val="24"/>
          <w:highlight w:val="none"/>
        </w:rPr>
        <w:t>合同继续履行将损害国家利益和社会公共利益的，甲方有权变更合同。有过错的一方应当承担赔偿责任，双方当事人都有过错的，各自承担相应的责任</w:t>
      </w:r>
      <w:r>
        <w:rPr>
          <w:rFonts w:hint="eastAsia" w:ascii="宋体" w:hAnsi="宋体" w:eastAsia="宋体" w:cs="宋体"/>
          <w:color w:val="auto"/>
          <w:sz w:val="24"/>
          <w:szCs w:val="24"/>
          <w:highlight w:val="none"/>
        </w:rPr>
        <w:t>。</w:t>
      </w:r>
    </w:p>
    <w:p w14:paraId="0EEC798F">
      <w:pPr>
        <w:spacing w:line="440" w:lineRule="exact"/>
        <w:rPr>
          <w:rFonts w:hint="eastAsia" w:ascii="宋体" w:hAnsi="宋体" w:eastAsia="宋体" w:cs="宋体"/>
          <w:b/>
          <w:color w:val="auto"/>
          <w:sz w:val="24"/>
          <w:szCs w:val="24"/>
          <w:highlight w:val="none"/>
        </w:rPr>
      </w:pPr>
      <w:bookmarkStart w:id="272" w:name="_Toc10366"/>
      <w:bookmarkStart w:id="273" w:name="_Toc22955"/>
      <w:bookmarkStart w:id="274" w:name="_Toc15237"/>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 xml:space="preserve"> 合同转让和分包</w:t>
      </w:r>
      <w:bookmarkEnd w:id="272"/>
      <w:bookmarkEnd w:id="273"/>
      <w:bookmarkEnd w:id="274"/>
    </w:p>
    <w:p w14:paraId="007A8A9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717C2DB">
      <w:pPr>
        <w:spacing w:line="440" w:lineRule="exact"/>
        <w:rPr>
          <w:rFonts w:hint="eastAsia" w:ascii="宋体" w:hAnsi="宋体" w:eastAsia="宋体" w:cs="宋体"/>
          <w:b/>
          <w:color w:val="auto"/>
          <w:sz w:val="24"/>
          <w:szCs w:val="24"/>
          <w:highlight w:val="none"/>
        </w:rPr>
      </w:pPr>
      <w:bookmarkStart w:id="275" w:name="_Toc14371"/>
      <w:bookmarkStart w:id="276" w:name="_Toc32494"/>
      <w:bookmarkStart w:id="277" w:name="_Toc4720"/>
      <w:bookmarkStart w:id="278" w:name="_Toc26633"/>
      <w:bookmarkStart w:id="279" w:name="_Toc25571"/>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 xml:space="preserve"> 不可抗力</w:t>
      </w:r>
      <w:bookmarkEnd w:id="275"/>
      <w:bookmarkEnd w:id="276"/>
      <w:bookmarkEnd w:id="277"/>
      <w:bookmarkEnd w:id="278"/>
      <w:bookmarkEnd w:id="279"/>
    </w:p>
    <w:p w14:paraId="4F5715C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.1如果任何一方遭遇法律规定的不可抗力，致使合同履行受阻时，履行合同的期限应予延长，延长的期限应相当于不可抗力所影响的时间。</w:t>
      </w:r>
    </w:p>
    <w:p w14:paraId="25FC710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 因不可抗力致使不能实现合同目的的，当事人可以解除合同。</w:t>
      </w:r>
    </w:p>
    <w:p w14:paraId="4C4A53A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因不可抗力致使合同有变更必要的，双方当事人应在</w:t>
      </w:r>
      <w:r>
        <w:rPr>
          <w:rFonts w:hint="eastAsia" w:ascii="宋体" w:hAnsi="宋体" w:eastAsia="宋体" w:cs="宋体"/>
          <w:b/>
          <w:i/>
          <w:color w:val="auto"/>
          <w:sz w:val="24"/>
          <w:szCs w:val="24"/>
          <w:highlight w:val="none"/>
          <w:u w:val="single"/>
        </w:rPr>
        <w:t>7个工作日内</w:t>
      </w:r>
      <w:r>
        <w:rPr>
          <w:rFonts w:hint="eastAsia" w:ascii="宋体" w:hAnsi="宋体" w:eastAsia="宋体" w:cs="宋体"/>
          <w:color w:val="auto"/>
          <w:sz w:val="24"/>
          <w:szCs w:val="24"/>
          <w:highlight w:val="none"/>
        </w:rPr>
        <w:t>以书面形式变更合同。</w:t>
      </w:r>
    </w:p>
    <w:p w14:paraId="305C262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.4受不可抗力影响的一方在不可抗力发生后，应在</w:t>
      </w:r>
      <w:r>
        <w:rPr>
          <w:rFonts w:hint="eastAsia" w:ascii="宋体" w:hAnsi="宋体" w:eastAsia="宋体" w:cs="宋体"/>
          <w:b/>
          <w:i/>
          <w:color w:val="auto"/>
          <w:sz w:val="24"/>
          <w:szCs w:val="24"/>
          <w:highlight w:val="none"/>
          <w:u w:val="single"/>
        </w:rPr>
        <w:t>7个工作日</w:t>
      </w:r>
      <w:r>
        <w:rPr>
          <w:rFonts w:hint="eastAsia" w:ascii="宋体" w:hAnsi="宋体" w:eastAsia="宋体" w:cs="宋体"/>
          <w:color w:val="auto"/>
          <w:sz w:val="24"/>
          <w:szCs w:val="24"/>
          <w:highlight w:val="none"/>
        </w:rPr>
        <w:t>内以书面形式通知对方当事人，并在</w:t>
      </w:r>
      <w:r>
        <w:rPr>
          <w:rFonts w:hint="eastAsia" w:ascii="宋体" w:hAnsi="宋体" w:eastAsia="宋体" w:cs="宋体"/>
          <w:b/>
          <w:i/>
          <w:color w:val="auto"/>
          <w:sz w:val="24"/>
          <w:szCs w:val="24"/>
          <w:highlight w:val="none"/>
          <w:u w:val="single"/>
        </w:rPr>
        <w:t>7个工作日</w:t>
      </w:r>
      <w:r>
        <w:rPr>
          <w:rFonts w:hint="eastAsia" w:ascii="宋体" w:hAnsi="宋体" w:eastAsia="宋体" w:cs="宋体"/>
          <w:color w:val="auto"/>
          <w:sz w:val="24"/>
          <w:szCs w:val="24"/>
          <w:highlight w:val="none"/>
        </w:rPr>
        <w:t>内，将有关部门出具的证明文件送达对方当事人。</w:t>
      </w:r>
      <w:bookmarkStart w:id="280" w:name="_Toc259093684"/>
      <w:bookmarkStart w:id="281" w:name="_Toc6969"/>
      <w:bookmarkStart w:id="282" w:name="_Toc487900365"/>
      <w:bookmarkStart w:id="283" w:name="_Toc689"/>
      <w:bookmarkStart w:id="284" w:name="_Toc279701255"/>
      <w:bookmarkStart w:id="285" w:name="_Toc30676"/>
    </w:p>
    <w:p w14:paraId="65E0073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.5 任何一方因不可抗力不能履行本合同规定的全部或部分义务，应尽快以书面形式将不可抗力的 情况、原因及对履行本合同的影响等及时通知另一方。同时，遭受不可抗力影响的一方有义务尽可能及时 采取适当或必要措施减少或消除不可抗力的影响，因未尽本义务而造成的相关损失由其承担。 </w:t>
      </w:r>
    </w:p>
    <w:p w14:paraId="468BF05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.6 发生不可抗力事件，任何一方均不对因不可抗力无法履行或迟延履行本合同义务而使另一方蒙 受的任何损失承担责任，法律另有规定的除外。</w:t>
      </w:r>
    </w:p>
    <w:p w14:paraId="247F01E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 合同各方应根据不可抗力对本合同履行的影响程度，协商确定是否终止本合同或是继续履行本 合同。</w:t>
      </w:r>
    </w:p>
    <w:p w14:paraId="312B2263">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 xml:space="preserve"> 税费</w:t>
      </w:r>
      <w:bookmarkEnd w:id="280"/>
      <w:bookmarkEnd w:id="281"/>
      <w:bookmarkEnd w:id="282"/>
      <w:bookmarkEnd w:id="283"/>
      <w:bookmarkEnd w:id="284"/>
      <w:bookmarkEnd w:id="285"/>
    </w:p>
    <w:p w14:paraId="161211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与合同有关的一切税费，均按照中华人民共和国法律的相关规定。</w:t>
      </w:r>
    </w:p>
    <w:p w14:paraId="63741298">
      <w:pPr>
        <w:spacing w:line="440" w:lineRule="exact"/>
        <w:rPr>
          <w:rFonts w:hint="eastAsia" w:ascii="宋体" w:hAnsi="宋体" w:eastAsia="宋体" w:cs="宋体"/>
          <w:b/>
          <w:color w:val="auto"/>
          <w:sz w:val="24"/>
          <w:szCs w:val="24"/>
          <w:highlight w:val="none"/>
        </w:rPr>
      </w:pPr>
      <w:bookmarkStart w:id="286" w:name="_Toc487900368"/>
      <w:bookmarkStart w:id="287" w:name="_Toc279701258"/>
      <w:bookmarkStart w:id="288" w:name="_Toc16959"/>
      <w:bookmarkStart w:id="289" w:name="_Toc8298"/>
      <w:bookmarkStart w:id="290" w:name="_Toc259093687"/>
      <w:bookmarkStart w:id="291" w:name="_Toc7102"/>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 xml:space="preserve"> 乙方破产</w:t>
      </w:r>
      <w:bookmarkEnd w:id="286"/>
      <w:bookmarkEnd w:id="287"/>
      <w:bookmarkEnd w:id="288"/>
      <w:bookmarkEnd w:id="289"/>
      <w:bookmarkEnd w:id="290"/>
      <w:bookmarkEnd w:id="291"/>
    </w:p>
    <w:p w14:paraId="3A0B2EE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1CF603C">
      <w:pPr>
        <w:spacing w:line="440" w:lineRule="exact"/>
        <w:rPr>
          <w:rFonts w:hint="eastAsia" w:ascii="宋体" w:hAnsi="宋体" w:eastAsia="宋体" w:cs="宋体"/>
          <w:b/>
          <w:color w:val="auto"/>
          <w:sz w:val="24"/>
          <w:szCs w:val="24"/>
          <w:highlight w:val="none"/>
        </w:rPr>
      </w:pPr>
      <w:bookmarkStart w:id="292" w:name="_Toc6134"/>
      <w:bookmarkStart w:id="293" w:name="_Toc15387"/>
      <w:bookmarkStart w:id="294" w:name="_Toc29333"/>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 xml:space="preserve"> 合同中止、终止</w:t>
      </w:r>
      <w:bookmarkEnd w:id="292"/>
      <w:bookmarkEnd w:id="293"/>
      <w:bookmarkEnd w:id="294"/>
    </w:p>
    <w:p w14:paraId="0B39E2E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双方当事人不得擅自中止或者终止合同。</w:t>
      </w:r>
    </w:p>
    <w:p w14:paraId="3D5558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合同继续履行将损害国家利益和社会公共利益的，甲方有权中止或者终止、解除合同。有过错的一方应当承担赔偿责任，双方当事人都有过错的，各自承担相应的责任</w:t>
      </w:r>
      <w:r>
        <w:rPr>
          <w:rFonts w:hint="eastAsia" w:ascii="宋体" w:hAnsi="宋体" w:eastAsia="宋体" w:cs="宋体"/>
          <w:color w:val="auto"/>
          <w:sz w:val="24"/>
          <w:szCs w:val="24"/>
          <w:highlight w:val="none"/>
        </w:rPr>
        <w:t>。</w:t>
      </w:r>
    </w:p>
    <w:p w14:paraId="4A1A8BE2">
      <w:pPr>
        <w:spacing w:line="440" w:lineRule="exact"/>
        <w:rPr>
          <w:rFonts w:hint="eastAsia" w:ascii="宋体" w:hAnsi="宋体" w:eastAsia="宋体" w:cs="宋体"/>
          <w:b/>
          <w:color w:val="auto"/>
          <w:sz w:val="24"/>
          <w:szCs w:val="24"/>
          <w:highlight w:val="none"/>
        </w:rPr>
      </w:pPr>
      <w:bookmarkStart w:id="295" w:name="_Toc1125"/>
      <w:bookmarkStart w:id="296" w:name="_Toc14563"/>
      <w:bookmarkStart w:id="297" w:name="_Toc6596"/>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检验和验收</w:t>
      </w:r>
      <w:bookmarkEnd w:id="295"/>
      <w:bookmarkEnd w:id="296"/>
      <w:bookmarkEnd w:id="297"/>
    </w:p>
    <w:p w14:paraId="0B3408D2">
      <w:pPr>
        <w:spacing w:line="440" w:lineRule="exact"/>
        <w:ind w:firstLine="480" w:firstLineChars="200"/>
        <w:rPr>
          <w:rFonts w:hint="eastAsia" w:ascii="宋体" w:hAnsi="宋体" w:eastAsia="宋体" w:cs="宋体"/>
          <w:color w:val="auto"/>
          <w:sz w:val="24"/>
          <w:szCs w:val="24"/>
          <w:highlight w:val="none"/>
        </w:rPr>
      </w:pPr>
      <w:bookmarkStart w:id="298" w:name="_Toc259093690"/>
      <w:bookmarkStart w:id="299" w:name="_Toc279701261"/>
      <w:bookmarkStart w:id="300" w:name="_Toc487900371"/>
      <w:bookmarkStart w:id="301" w:name="_Toc12666"/>
      <w:bookmarkStart w:id="302" w:name="_Toc2308"/>
      <w:bookmarkStart w:id="303" w:name="_Toc9808"/>
      <w:bookmarkStart w:id="304" w:name="_Toc25198"/>
      <w:bookmarkStart w:id="305" w:name="_Toc31892"/>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交付前验收货物交付前，乙方应对货物的质量、数量等方面进行详细、全面的检验；</w:t>
      </w:r>
    </w:p>
    <w:p w14:paraId="2CE6550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到货验收</w:t>
      </w:r>
    </w:p>
    <w:p w14:paraId="4F0D426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①货物全部到达甲方指定地点后，甲乙双方应派员共同对货物当场开箱进行外观验收，如乙方不能按甲方通知按时到达现场又未告知正当理由的，甲方有权单方开箱检验，相应检验结果对乙方有效。 </w:t>
      </w:r>
    </w:p>
    <w:p w14:paraId="2808425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乙方交付的货物应当完全符合本合同、招标文件及投标文件所约定的货物、数量和规格要求。乙方提供的货物不符合本合同、招标文件及投标文件约定及甲方要求的，甲方有权拒收货物，并由乙方承担相应的违约责任。</w:t>
      </w:r>
    </w:p>
    <w:p w14:paraId="2C88B65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③乙方应将所提供</w:t>
      </w:r>
      <w:r>
        <w:rPr>
          <w:rFonts w:hint="eastAsia" w:ascii="宋体" w:hAnsi="宋体" w:eastAsia="宋体" w:cs="宋体"/>
          <w:color w:val="auto"/>
          <w:sz w:val="24"/>
          <w:szCs w:val="24"/>
          <w:highlight w:val="none"/>
          <w:lang w:val="en-US" w:eastAsia="zh-CN"/>
        </w:rPr>
        <w:t>每批次</w:t>
      </w:r>
      <w:r>
        <w:rPr>
          <w:rFonts w:hint="eastAsia" w:ascii="宋体" w:hAnsi="宋体" w:eastAsia="宋体" w:cs="宋体"/>
          <w:color w:val="auto"/>
          <w:sz w:val="24"/>
          <w:szCs w:val="24"/>
          <w:highlight w:val="none"/>
        </w:rPr>
        <w:t>医用液氧</w:t>
      </w:r>
      <w:r>
        <w:rPr>
          <w:rFonts w:hint="eastAsia" w:ascii="宋体" w:hAnsi="宋体" w:eastAsia="宋体" w:cs="宋体"/>
          <w:color w:val="auto"/>
          <w:sz w:val="24"/>
          <w:szCs w:val="24"/>
          <w:highlight w:val="none"/>
          <w:lang w:val="en-US" w:eastAsia="zh-CN"/>
        </w:rPr>
        <w:t>及医用瓶装氧的批号及质检合格证</w:t>
      </w:r>
      <w:r>
        <w:rPr>
          <w:rFonts w:hint="eastAsia" w:ascii="宋体" w:hAnsi="宋体" w:eastAsia="宋体" w:cs="宋体"/>
          <w:color w:val="auto"/>
          <w:sz w:val="24"/>
          <w:szCs w:val="24"/>
          <w:highlight w:val="none"/>
        </w:rPr>
        <w:t>给甲方；乙方不能完整交付上述规定的资料的，视为未按合同约定交货，乙方负责补齐，因此导致逾期交付的，由乙方承担相应的违约责任。</w:t>
      </w:r>
    </w:p>
    <w:p w14:paraId="307935F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④有关货物质量、规格、性能、数量或重量的检验不应视为最终检验。 </w:t>
      </w:r>
    </w:p>
    <w:p w14:paraId="5FD98A4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最终验收</w:t>
      </w:r>
    </w:p>
    <w:p w14:paraId="16AF1CA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w:t>
      </w:r>
      <w:r>
        <w:rPr>
          <w:rFonts w:hint="eastAsia" w:ascii="宋体" w:hAnsi="宋体" w:eastAsia="宋体" w:cs="宋体"/>
          <w:color w:val="auto"/>
          <w:sz w:val="24"/>
          <w:highlight w:val="none"/>
        </w:rPr>
        <w:t>货物供货</w:t>
      </w:r>
      <w:r>
        <w:rPr>
          <w:rFonts w:hint="eastAsia" w:ascii="宋体" w:hAnsi="宋体" w:eastAsia="宋体" w:cs="宋体"/>
          <w:color w:val="auto"/>
          <w:sz w:val="24"/>
          <w:highlight w:val="none"/>
          <w:lang w:val="en-US" w:eastAsia="zh-CN"/>
        </w:rPr>
        <w:t>到位</w:t>
      </w:r>
      <w:r>
        <w:rPr>
          <w:rFonts w:hint="eastAsia" w:ascii="宋体" w:hAnsi="宋体" w:eastAsia="宋体" w:cs="宋体"/>
          <w:color w:val="auto"/>
          <w:sz w:val="24"/>
          <w:highlight w:val="none"/>
        </w:rPr>
        <w:t>后</w:t>
      </w:r>
      <w:r>
        <w:rPr>
          <w:rFonts w:hint="eastAsia" w:ascii="宋体" w:hAnsi="宋体" w:eastAsia="宋体" w:cs="宋体"/>
          <w:color w:val="auto"/>
          <w:sz w:val="24"/>
          <w:szCs w:val="24"/>
          <w:highlight w:val="none"/>
        </w:rPr>
        <w:t>，乙方应及时通知甲方对项目进行验收。经甲方组织相关人员验收合格后，由甲方签署验收单</w:t>
      </w:r>
      <w:r>
        <w:rPr>
          <w:rFonts w:hint="eastAsia" w:ascii="宋体" w:hAnsi="宋体" w:eastAsia="宋体" w:cs="宋体"/>
          <w:color w:val="auto"/>
          <w:sz w:val="24"/>
          <w:highlight w:val="none"/>
        </w:rPr>
        <w:t>。若甲方验收不认可，</w:t>
      </w:r>
      <w:r>
        <w:rPr>
          <w:rFonts w:hint="eastAsia" w:ascii="宋体" w:hAnsi="宋体" w:eastAsia="宋体" w:cs="宋体"/>
          <w:color w:val="auto"/>
          <w:sz w:val="24"/>
          <w:szCs w:val="24"/>
          <w:highlight w:val="none"/>
        </w:rPr>
        <w:t>可由乙方向相关法定质量监督部门申报验收，验收不合格的，费用由乙方承担。若验收合格，则由甲方承担相应费用。</w:t>
      </w:r>
    </w:p>
    <w:p w14:paraId="134A32E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②设备验收包括：数量、外观、质量、性能、质保单、包装和乙方承诺及甲方要求的其它指标。</w:t>
      </w:r>
    </w:p>
    <w:p w14:paraId="73E0156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费用及责任等均由乙方承担。</w:t>
      </w:r>
    </w:p>
    <w:p w14:paraId="2BCF707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④验收标准应遵循国家相关标准、行业通行标准、厂方出厂标准、招标文件要求和乙方投标文件的承诺、甲方要求等。</w:t>
      </w:r>
    </w:p>
    <w:p w14:paraId="1F58E736">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xml:space="preserve"> 通知</w:t>
      </w:r>
      <w:bookmarkEnd w:id="298"/>
      <w:bookmarkEnd w:id="299"/>
      <w:bookmarkEnd w:id="300"/>
      <w:r>
        <w:rPr>
          <w:rFonts w:hint="eastAsia" w:ascii="宋体" w:hAnsi="宋体" w:eastAsia="宋体" w:cs="宋体"/>
          <w:b/>
          <w:color w:val="auto"/>
          <w:sz w:val="24"/>
          <w:szCs w:val="24"/>
          <w:highlight w:val="none"/>
        </w:rPr>
        <w:t>和送达</w:t>
      </w:r>
      <w:bookmarkEnd w:id="301"/>
      <w:bookmarkEnd w:id="302"/>
      <w:bookmarkEnd w:id="303"/>
      <w:bookmarkEnd w:id="304"/>
      <w:bookmarkEnd w:id="305"/>
    </w:p>
    <w:p w14:paraId="209F05A7">
      <w:pPr>
        <w:spacing w:line="440" w:lineRule="exact"/>
        <w:ind w:firstLine="480" w:firstLineChars="200"/>
        <w:rPr>
          <w:rFonts w:hint="eastAsia" w:ascii="宋体" w:hAnsi="宋体" w:eastAsia="宋体" w:cs="宋体"/>
          <w:color w:val="auto"/>
          <w:sz w:val="24"/>
          <w:szCs w:val="24"/>
          <w:highlight w:val="none"/>
        </w:rPr>
      </w:pPr>
      <w:bookmarkStart w:id="306" w:name="_Toc29220"/>
      <w:bookmarkStart w:id="307" w:name="_Toc7073"/>
      <w:bookmarkStart w:id="308" w:name="_Toc279701262"/>
      <w:bookmarkStart w:id="309" w:name="_Toc487900372"/>
      <w:bookmarkStart w:id="310" w:name="_Toc259093691"/>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任何一方因履行合同而以合同第一部分尾部所列明的</w:t>
      </w:r>
      <w:r>
        <w:rPr>
          <w:rFonts w:hint="eastAsia" w:ascii="宋体" w:hAnsi="宋体" w:eastAsia="宋体" w:cs="宋体"/>
          <w:b/>
          <w:i/>
          <w:color w:val="auto"/>
          <w:sz w:val="24"/>
          <w:szCs w:val="24"/>
          <w:highlight w:val="none"/>
          <w:u w:val="single"/>
        </w:rPr>
        <w:t>内容</w:t>
      </w:r>
      <w:r>
        <w:rPr>
          <w:rFonts w:hint="eastAsia" w:ascii="宋体" w:hAnsi="宋体" w:eastAsia="宋体" w:cs="宋体"/>
          <w:color w:val="auto"/>
          <w:sz w:val="24"/>
          <w:szCs w:val="24"/>
          <w:highlight w:val="none"/>
        </w:rPr>
        <w:t>发出的所有通知、文件、材料，均视为已向对方当事人送达；任何一方变更上述送达方式或者地址的，应于</w:t>
      </w:r>
      <w:r>
        <w:rPr>
          <w:rFonts w:hint="eastAsia" w:ascii="宋体" w:hAnsi="宋体" w:eastAsia="宋体" w:cs="宋体"/>
          <w:b/>
          <w:i/>
          <w:color w:val="auto"/>
          <w:sz w:val="24"/>
          <w:szCs w:val="24"/>
          <w:highlight w:val="none"/>
          <w:u w:val="single"/>
        </w:rPr>
        <w:t>5个工作日</w:t>
      </w:r>
      <w:r>
        <w:rPr>
          <w:rFonts w:hint="eastAsia" w:ascii="宋体" w:hAnsi="宋体" w:eastAsia="宋体" w:cs="宋体"/>
          <w:color w:val="auto"/>
          <w:sz w:val="24"/>
          <w:szCs w:val="24"/>
          <w:highlight w:val="none"/>
        </w:rPr>
        <w:t>内书面通知对方当事人，在对方当事人收到有关变更通知之前，变更前的约定送达方式或者地址仍视为有效。</w:t>
      </w:r>
      <w:bookmarkEnd w:id="306"/>
      <w:bookmarkEnd w:id="307"/>
    </w:p>
    <w:p w14:paraId="701E2F37">
      <w:pPr>
        <w:spacing w:line="440" w:lineRule="exact"/>
        <w:ind w:firstLine="480" w:firstLineChars="200"/>
        <w:rPr>
          <w:rFonts w:hint="eastAsia" w:ascii="宋体" w:hAnsi="宋体" w:eastAsia="宋体" w:cs="宋体"/>
          <w:color w:val="auto"/>
          <w:sz w:val="24"/>
          <w:szCs w:val="24"/>
          <w:highlight w:val="none"/>
        </w:rPr>
      </w:pPr>
      <w:bookmarkStart w:id="311" w:name="_Toc27674"/>
      <w:bookmarkStart w:id="312" w:name="_Toc18401"/>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1"/>
      <w:bookmarkEnd w:id="312"/>
    </w:p>
    <w:bookmarkEnd w:id="308"/>
    <w:bookmarkEnd w:id="309"/>
    <w:bookmarkEnd w:id="310"/>
    <w:p w14:paraId="5B747D17">
      <w:pPr>
        <w:spacing w:line="440" w:lineRule="exact"/>
        <w:rPr>
          <w:rFonts w:hint="eastAsia" w:ascii="宋体" w:hAnsi="宋体" w:eastAsia="宋体" w:cs="宋体"/>
          <w:b/>
          <w:color w:val="auto"/>
          <w:sz w:val="24"/>
          <w:szCs w:val="24"/>
          <w:highlight w:val="none"/>
        </w:rPr>
      </w:pPr>
      <w:bookmarkStart w:id="313" w:name="_Toc4355"/>
      <w:bookmarkStart w:id="314" w:name="_Toc18540"/>
      <w:bookmarkStart w:id="315" w:name="_Toc30599"/>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 xml:space="preserve"> 计量单位</w:t>
      </w:r>
      <w:bookmarkEnd w:id="313"/>
      <w:bookmarkEnd w:id="314"/>
      <w:bookmarkEnd w:id="315"/>
    </w:p>
    <w:p w14:paraId="1C70D3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除技术规范中另有规定外，合同的计量单位均使用国家法定计量单位。</w:t>
      </w:r>
    </w:p>
    <w:p w14:paraId="47FA3E92">
      <w:pPr>
        <w:spacing w:line="440" w:lineRule="exact"/>
        <w:rPr>
          <w:rFonts w:hint="eastAsia" w:ascii="宋体" w:hAnsi="宋体" w:eastAsia="宋体" w:cs="宋体"/>
          <w:b/>
          <w:color w:val="auto"/>
          <w:sz w:val="24"/>
          <w:highlight w:val="none"/>
        </w:rPr>
      </w:pPr>
      <w:bookmarkStart w:id="316" w:name="_Toc12773"/>
      <w:bookmarkStart w:id="317" w:name="_Toc18567"/>
      <w:bookmarkStart w:id="318" w:name="_Toc10330"/>
      <w:bookmarkStart w:id="319" w:name="_Toc279701263"/>
      <w:bookmarkStart w:id="320" w:name="_Toc259093692"/>
      <w:bookmarkStart w:id="321" w:name="_Toc487900373"/>
      <w:r>
        <w:rPr>
          <w:rFonts w:hint="eastAsia" w:ascii="宋体" w:hAnsi="宋体" w:eastAsia="宋体" w:cs="宋体"/>
          <w:b/>
          <w:color w:val="auto"/>
          <w:sz w:val="24"/>
          <w:highlight w:val="none"/>
        </w:rPr>
        <w:t>2.1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 xml:space="preserve"> 合同使用的文字和适用的法律</w:t>
      </w:r>
      <w:bookmarkEnd w:id="316"/>
      <w:bookmarkEnd w:id="317"/>
      <w:bookmarkEnd w:id="318"/>
      <w:bookmarkEnd w:id="319"/>
      <w:bookmarkEnd w:id="320"/>
      <w:bookmarkEnd w:id="321"/>
    </w:p>
    <w:p w14:paraId="158524CB">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2.19.1 合同使用汉语书就、变更和解释。</w:t>
      </w:r>
    </w:p>
    <w:p w14:paraId="624E1E7D">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2.19.2 合同适用中华人民共和国法律。</w:t>
      </w:r>
    </w:p>
    <w:p w14:paraId="1000AC8F">
      <w:pPr>
        <w:spacing w:line="440" w:lineRule="exact"/>
        <w:rPr>
          <w:rFonts w:hint="eastAsia" w:ascii="宋体" w:hAnsi="宋体" w:eastAsia="宋体" w:cs="宋体"/>
          <w:b/>
          <w:color w:val="auto"/>
          <w:sz w:val="24"/>
          <w:highlight w:val="none"/>
        </w:rPr>
      </w:pPr>
      <w:bookmarkStart w:id="322" w:name="_Toc30096"/>
      <w:bookmarkStart w:id="323" w:name="_Toc22266"/>
      <w:bookmarkStart w:id="324" w:name="_Toc1492"/>
      <w:bookmarkStart w:id="325" w:name="_Toc259093693"/>
      <w:bookmarkStart w:id="326" w:name="_Toc279701264"/>
      <w:bookmarkStart w:id="327" w:name="_Toc27403"/>
      <w:bookmarkStart w:id="328" w:name="_Toc27127"/>
      <w:bookmarkStart w:id="329" w:name="_Toc487900374"/>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18</w:t>
      </w:r>
      <w:r>
        <w:rPr>
          <w:rFonts w:hint="eastAsia" w:ascii="宋体" w:hAnsi="宋体" w:eastAsia="宋体" w:cs="宋体"/>
          <w:b/>
          <w:color w:val="auto"/>
          <w:sz w:val="24"/>
          <w:highlight w:val="none"/>
        </w:rPr>
        <w:t xml:space="preserve"> 履约保证金</w:t>
      </w:r>
      <w:bookmarkEnd w:id="322"/>
      <w:bookmarkEnd w:id="323"/>
      <w:bookmarkEnd w:id="324"/>
      <w:bookmarkEnd w:id="325"/>
      <w:bookmarkEnd w:id="326"/>
      <w:bookmarkEnd w:id="327"/>
      <w:bookmarkEnd w:id="328"/>
    </w:p>
    <w:p w14:paraId="145773A6">
      <w:pPr>
        <w:autoSpaceDE w:val="0"/>
        <w:autoSpaceDN w:val="0"/>
        <w:adjustRightInd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2.20.1</w:t>
      </w:r>
      <w:r>
        <w:rPr>
          <w:rFonts w:hint="eastAsia" w:ascii="宋体" w:hAnsi="宋体" w:eastAsia="宋体" w:cs="宋体"/>
          <w:color w:val="auto"/>
          <w:sz w:val="24"/>
          <w:highlight w:val="none"/>
          <w:lang w:val="zh-CN"/>
        </w:rPr>
        <w:t xml:space="preserve"> 本项目不收取履约保证金。</w:t>
      </w:r>
    </w:p>
    <w:bookmarkEnd w:id="329"/>
    <w:p w14:paraId="1B0DB261">
      <w:pPr>
        <w:spacing w:line="440" w:lineRule="exact"/>
        <w:jc w:val="center"/>
        <w:rPr>
          <w:rFonts w:hint="eastAsia" w:ascii="宋体" w:hAnsi="宋体" w:eastAsia="宋体" w:cs="宋体"/>
          <w:b/>
          <w:color w:val="auto"/>
          <w:sz w:val="28"/>
          <w:szCs w:val="28"/>
          <w:highlight w:val="none"/>
        </w:rPr>
      </w:pPr>
    </w:p>
    <w:p w14:paraId="06C1B0E8">
      <w:pPr>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第三部分  合同专用条款</w:t>
      </w:r>
    </w:p>
    <w:p w14:paraId="7B718ED9">
      <w:pPr>
        <w:widowControl/>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8"/>
        <w:tblW w:w="966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04D06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left w:val="single" w:color="auto" w:sz="4" w:space="0"/>
            </w:tcBorders>
            <w:vAlign w:val="center"/>
          </w:tcPr>
          <w:p w14:paraId="26C58E6A">
            <w:pPr>
              <w:widowControl/>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8505" w:type="dxa"/>
            <w:vAlign w:val="center"/>
          </w:tcPr>
          <w:p w14:paraId="1457D0AC">
            <w:pPr>
              <w:widowControl/>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约定内容</w:t>
            </w:r>
          </w:p>
        </w:tc>
      </w:tr>
      <w:tr w14:paraId="357B8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1162" w:type="dxa"/>
            <w:tcBorders>
              <w:left w:val="single" w:color="auto" w:sz="4" w:space="0"/>
            </w:tcBorders>
            <w:vAlign w:val="center"/>
          </w:tcPr>
          <w:p w14:paraId="264E0568">
            <w:pPr>
              <w:widowControl/>
              <w:spacing w:line="480" w:lineRule="exact"/>
              <w:jc w:val="center"/>
              <w:rPr>
                <w:rFonts w:hint="eastAsia" w:ascii="宋体" w:hAnsi="宋体" w:eastAsia="宋体" w:cs="宋体"/>
                <w:bCs/>
                <w:color w:val="auto"/>
                <w:sz w:val="24"/>
                <w:szCs w:val="24"/>
                <w:highlight w:val="none"/>
              </w:rPr>
            </w:pPr>
          </w:p>
        </w:tc>
        <w:tc>
          <w:tcPr>
            <w:tcW w:w="8505" w:type="dxa"/>
            <w:vAlign w:val="center"/>
          </w:tcPr>
          <w:p w14:paraId="42F5B47E">
            <w:pPr>
              <w:widowControl/>
              <w:rPr>
                <w:rFonts w:hint="eastAsia" w:ascii="宋体" w:hAnsi="宋体" w:eastAsia="宋体" w:cs="宋体"/>
                <w:color w:val="auto"/>
                <w:sz w:val="24"/>
                <w:szCs w:val="24"/>
                <w:highlight w:val="none"/>
              </w:rPr>
            </w:pPr>
          </w:p>
        </w:tc>
      </w:tr>
      <w:tr w14:paraId="763F4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1162" w:type="dxa"/>
            <w:tcBorders>
              <w:left w:val="single" w:color="auto" w:sz="4" w:space="0"/>
            </w:tcBorders>
            <w:vAlign w:val="center"/>
          </w:tcPr>
          <w:p w14:paraId="0B808702">
            <w:pPr>
              <w:widowControl/>
              <w:spacing w:line="480" w:lineRule="exact"/>
              <w:jc w:val="center"/>
              <w:rPr>
                <w:rFonts w:hint="eastAsia" w:ascii="宋体" w:hAnsi="宋体" w:eastAsia="宋体" w:cs="宋体"/>
                <w:bCs/>
                <w:color w:val="auto"/>
                <w:sz w:val="24"/>
                <w:szCs w:val="24"/>
                <w:highlight w:val="none"/>
              </w:rPr>
            </w:pPr>
          </w:p>
        </w:tc>
        <w:tc>
          <w:tcPr>
            <w:tcW w:w="8505" w:type="dxa"/>
            <w:vAlign w:val="center"/>
          </w:tcPr>
          <w:p w14:paraId="43CFC21A">
            <w:pPr>
              <w:widowControl/>
              <w:spacing w:line="420" w:lineRule="exact"/>
              <w:rPr>
                <w:rFonts w:hint="eastAsia" w:ascii="宋体" w:hAnsi="宋体" w:eastAsia="宋体" w:cs="宋体"/>
                <w:color w:val="auto"/>
                <w:sz w:val="24"/>
                <w:szCs w:val="24"/>
                <w:highlight w:val="none"/>
              </w:rPr>
            </w:pPr>
          </w:p>
        </w:tc>
      </w:tr>
    </w:tbl>
    <w:p w14:paraId="55001D21">
      <w:pPr>
        <w:widowControl/>
        <w:autoSpaceDE w:val="0"/>
        <w:autoSpaceDN w:val="0"/>
        <w:adjustRightInd w:val="0"/>
        <w:spacing w:line="440" w:lineRule="exact"/>
        <w:rPr>
          <w:rFonts w:hint="eastAsia" w:ascii="宋体" w:hAnsi="宋体" w:eastAsia="宋体" w:cs="宋体"/>
          <w:bCs/>
          <w:color w:val="auto"/>
          <w:sz w:val="24"/>
          <w:szCs w:val="24"/>
          <w:highlight w:val="none"/>
        </w:rPr>
      </w:pPr>
    </w:p>
    <w:p w14:paraId="2A465280">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甲方（盖章）：                         乙方（盖章）：</w:t>
      </w:r>
    </w:p>
    <w:p w14:paraId="05C1FDED">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法定代表人（签名）：                   法定代表人（签名）：</w:t>
      </w:r>
    </w:p>
    <w:p w14:paraId="57803D2C">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或委托代理人（签名）：                 或委托代理人（签名）：</w:t>
      </w:r>
    </w:p>
    <w:p w14:paraId="321696FF">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p>
    <w:p w14:paraId="75572D88">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地址：</w:t>
      </w:r>
    </w:p>
    <w:p w14:paraId="778793DA">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电话：</w:t>
      </w:r>
    </w:p>
    <w:p w14:paraId="1020C1BB">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传真：</w:t>
      </w:r>
    </w:p>
    <w:p w14:paraId="2C74A665">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开户银行：</w:t>
      </w:r>
    </w:p>
    <w:p w14:paraId="6BD6AFCA">
      <w:pPr>
        <w:widowControl/>
        <w:autoSpaceDE w:val="0"/>
        <w:autoSpaceDN w:val="0"/>
        <w:adjustRightInd w:val="0"/>
        <w:spacing w:line="440" w:lineRule="exact"/>
        <w:ind w:left="0" w:leftChars="0" w:firstLine="420" w:firstLineChars="175"/>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银行账号：</w:t>
      </w:r>
    </w:p>
    <w:p w14:paraId="123826D0">
      <w:pPr>
        <w:ind w:left="0" w:leftChars="0" w:firstLine="420" w:firstLineChars="175"/>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t>社会统一信用代码:                      社会统一信用代码：</w:t>
      </w:r>
    </w:p>
    <w:p w14:paraId="218E9A61">
      <w:pPr>
        <w:keepNext/>
        <w:ind w:firstLine="880"/>
        <w:jc w:val="center"/>
        <w:outlineLvl w:val="0"/>
        <w:rPr>
          <w:rFonts w:hint="eastAsia" w:ascii="宋体" w:hAnsi="宋体" w:eastAsia="宋体" w:cs="宋体"/>
          <w:b/>
          <w:bCs/>
          <w:color w:val="auto"/>
          <w:sz w:val="40"/>
          <w:szCs w:val="40"/>
          <w:highlight w:val="none"/>
        </w:rPr>
      </w:pPr>
      <w:r>
        <w:rPr>
          <w:rFonts w:hint="eastAsia" w:ascii="宋体" w:hAnsi="宋体" w:eastAsia="宋体" w:cs="宋体"/>
          <w:bCs/>
          <w:color w:val="auto"/>
          <w:sz w:val="44"/>
          <w:szCs w:val="21"/>
          <w:highlight w:val="none"/>
        </w:rPr>
        <w:br w:type="page" w:clear="all"/>
      </w:r>
      <w:bookmarkStart w:id="330" w:name="_Toc1426"/>
      <w:r>
        <w:rPr>
          <w:rFonts w:hint="eastAsia" w:ascii="宋体" w:hAnsi="宋体" w:eastAsia="宋体" w:cs="宋体"/>
          <w:b/>
          <w:bCs/>
          <w:color w:val="auto"/>
          <w:sz w:val="40"/>
          <w:szCs w:val="40"/>
          <w:highlight w:val="none"/>
        </w:rPr>
        <w:t>第</w:t>
      </w:r>
      <w:bookmarkEnd w:id="174"/>
      <w:r>
        <w:rPr>
          <w:rFonts w:hint="eastAsia" w:ascii="宋体" w:hAnsi="宋体" w:eastAsia="宋体" w:cs="宋体"/>
          <w:b/>
          <w:bCs/>
          <w:color w:val="auto"/>
          <w:sz w:val="40"/>
          <w:szCs w:val="40"/>
          <w:highlight w:val="none"/>
        </w:rPr>
        <w:t>四章  采购需求</w:t>
      </w:r>
      <w:bookmarkEnd w:id="175"/>
      <w:bookmarkEnd w:id="176"/>
      <w:bookmarkEnd w:id="177"/>
      <w:bookmarkEnd w:id="330"/>
    </w:p>
    <w:p w14:paraId="1527A71C">
      <w:pPr>
        <w:keepNext w:val="0"/>
        <w:keepLines w:val="0"/>
        <w:pageBreakBefore w:val="0"/>
        <w:widowControl w:val="0"/>
        <w:kinsoku/>
        <w:wordWrap/>
        <w:overflowPunct/>
        <w:topLinePunct w:val="0"/>
        <w:autoSpaceDE w:val="0"/>
        <w:autoSpaceDN w:val="0"/>
        <w:bidi w:val="0"/>
        <w:adjustRightInd w:val="0"/>
        <w:snapToGrid/>
        <w:spacing w:line="460" w:lineRule="exact"/>
        <w:textAlignment w:val="auto"/>
        <w:rPr>
          <w:rFonts w:hint="eastAsia" w:ascii="宋体" w:hAnsi="宋体" w:eastAsia="宋体" w:cs="宋体"/>
          <w:b/>
          <w:bCs/>
          <w:color w:val="auto"/>
          <w:sz w:val="28"/>
          <w:szCs w:val="28"/>
          <w:highlight w:val="none"/>
          <w:lang w:val="zh-CN"/>
        </w:rPr>
      </w:pPr>
      <w:bookmarkStart w:id="331" w:name="_Toc157604637"/>
      <w:bookmarkStart w:id="332" w:name="_Toc26554093"/>
      <w:bookmarkStart w:id="333" w:name="_Toc120614281"/>
      <w:bookmarkStart w:id="334" w:name="_Toc49090575"/>
      <w:r>
        <w:rPr>
          <w:rFonts w:hint="eastAsia" w:ascii="宋体" w:hAnsi="宋体" w:eastAsia="宋体" w:cs="宋体"/>
          <w:b/>
          <w:bCs/>
          <w:color w:val="auto"/>
          <w:sz w:val="28"/>
          <w:szCs w:val="28"/>
          <w:highlight w:val="none"/>
          <w:lang w:val="zh-CN"/>
        </w:rPr>
        <w:t>项目名称：常熟第二人民医院医用氧采购项目</w:t>
      </w:r>
    </w:p>
    <w:p w14:paraId="2EC666F6">
      <w:pPr>
        <w:keepNext w:val="0"/>
        <w:keepLines w:val="0"/>
        <w:pageBreakBefore w:val="0"/>
        <w:widowControl w:val="0"/>
        <w:kinsoku/>
        <w:wordWrap/>
        <w:overflowPunct/>
        <w:topLinePunct w:val="0"/>
        <w:autoSpaceDE w:val="0"/>
        <w:autoSpaceDN w:val="0"/>
        <w:bidi w:val="0"/>
        <w:adjustRightInd w:val="0"/>
        <w:snapToGrid/>
        <w:spacing w:line="460" w:lineRule="exact"/>
        <w:textAlignment w:val="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项目编号：JSZC-320581-SZDS-G2026-0005</w:t>
      </w:r>
    </w:p>
    <w:p w14:paraId="0791346E">
      <w:pPr>
        <w:keepNext w:val="0"/>
        <w:keepLines w:val="0"/>
        <w:pageBreakBefore w:val="0"/>
        <w:widowControl w:val="0"/>
        <w:kinsoku/>
        <w:wordWrap/>
        <w:overflowPunct/>
        <w:topLinePunct w:val="0"/>
        <w:autoSpaceDE w:val="0"/>
        <w:autoSpaceDN w:val="0"/>
        <w:bidi w:val="0"/>
        <w:adjustRightInd w:val="0"/>
        <w:snapToGrid/>
        <w:spacing w:line="460" w:lineRule="exact"/>
        <w:textAlignment w:val="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采 购 人：常熟市第二人民医院</w:t>
      </w:r>
    </w:p>
    <w:bookmarkEnd w:id="331"/>
    <w:p w14:paraId="1D336054">
      <w:pPr>
        <w:keepNext w:val="0"/>
        <w:keepLines w:val="0"/>
        <w:pageBreakBefore w:val="0"/>
        <w:widowControl w:val="0"/>
        <w:kinsoku/>
        <w:wordWrap/>
        <w:overflowPunct/>
        <w:topLinePunct w:val="0"/>
        <w:autoSpaceDE w:val="0"/>
        <w:autoSpaceDN w:val="0"/>
        <w:bidi w:val="0"/>
        <w:adjustRightInd w:val="0"/>
        <w:snapToGrid/>
        <w:spacing w:line="460" w:lineRule="exact"/>
        <w:textAlignment w:val="auto"/>
        <w:outlineLvl w:val="1"/>
        <w:rPr>
          <w:rFonts w:hint="eastAsia" w:ascii="宋体" w:hAnsi="宋体" w:eastAsia="宋体" w:cs="宋体"/>
          <w:b/>
          <w:bCs/>
          <w:color w:val="auto"/>
          <w:sz w:val="28"/>
          <w:szCs w:val="28"/>
          <w:highlight w:val="none"/>
          <w:lang w:val="zh-CN"/>
        </w:rPr>
      </w:pPr>
      <w:bookmarkStart w:id="335" w:name="_Toc132653370"/>
      <w:bookmarkStart w:id="336" w:name="_Toc26113"/>
      <w:bookmarkStart w:id="337" w:name="OLE_LINK1"/>
      <w:r>
        <w:rPr>
          <w:rFonts w:hint="eastAsia" w:ascii="宋体" w:hAnsi="宋体" w:eastAsia="宋体" w:cs="宋体"/>
          <w:b/>
          <w:bCs/>
          <w:color w:val="auto"/>
          <w:sz w:val="28"/>
          <w:szCs w:val="28"/>
          <w:highlight w:val="none"/>
          <w:lang w:val="zh-CN"/>
        </w:rPr>
        <w:t>一、项目说明：</w:t>
      </w:r>
      <w:bookmarkEnd w:id="335"/>
      <w:bookmarkEnd w:id="336"/>
    </w:p>
    <w:p w14:paraId="1DF96CC1">
      <w:pPr>
        <w:keepNext w:val="0"/>
        <w:keepLines w:val="0"/>
        <w:pageBreakBefore w:val="0"/>
        <w:widowControl w:val="0"/>
        <w:kinsoku/>
        <w:wordWrap/>
        <w:overflowPunct/>
        <w:topLinePunct w:val="0"/>
        <w:bidi w:val="0"/>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1、本项目不接受进口产品投标（进口产品是指“通过中国海关报关验放进入中国境内且产自关境外的产品”）。</w:t>
      </w:r>
    </w:p>
    <w:p w14:paraId="6BED3A44">
      <w:pPr>
        <w:keepNext w:val="0"/>
        <w:keepLines w:val="0"/>
        <w:pageBreakBefore w:val="0"/>
        <w:widowControl w:val="0"/>
        <w:kinsoku/>
        <w:wordWrap/>
        <w:overflowPunct/>
        <w:topLinePunct w:val="0"/>
        <w:bidi w:val="0"/>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2、本项目采购内容为</w:t>
      </w:r>
      <w:r>
        <w:rPr>
          <w:rFonts w:hint="eastAsia" w:ascii="宋体" w:hAnsi="宋体" w:eastAsia="宋体" w:cs="宋体"/>
          <w:color w:val="auto"/>
          <w:sz w:val="24"/>
          <w:szCs w:val="24"/>
          <w:highlight w:val="none"/>
          <w:lang w:eastAsia="zh-CN"/>
        </w:rPr>
        <w:t>常熟市第二人民医院</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常熟第二人民医院医用氧采购项目，</w:t>
      </w:r>
      <w:r>
        <w:rPr>
          <w:rFonts w:hint="eastAsia" w:ascii="宋体" w:hAnsi="宋体" w:eastAsia="宋体" w:cs="宋体"/>
          <w:color w:val="auto"/>
          <w:sz w:val="24"/>
          <w:szCs w:val="24"/>
          <w:highlight w:val="none"/>
          <w:lang w:val="en-US" w:eastAsia="zh-CN"/>
        </w:rPr>
        <w:t>主要包括两院区的医用液态氧、瓶装医用氧气等</w:t>
      </w:r>
      <w:r>
        <w:rPr>
          <w:rFonts w:hint="eastAsia" w:ascii="宋体" w:hAnsi="宋体" w:eastAsia="宋体" w:cs="宋体"/>
          <w:color w:val="auto"/>
          <w:sz w:val="24"/>
          <w:szCs w:val="24"/>
          <w:highlight w:val="none"/>
        </w:rPr>
        <w:t>。</w:t>
      </w:r>
    </w:p>
    <w:p w14:paraId="601E9BDA">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3、投标人应对项目现场进行踏勘，但相关费用须自理。现场踏勘联系人：</w:t>
      </w:r>
      <w:r>
        <w:rPr>
          <w:rFonts w:hint="eastAsia" w:ascii="宋体" w:hAnsi="宋体" w:eastAsia="宋体" w:cs="宋体"/>
          <w:color w:val="auto"/>
          <w:sz w:val="24"/>
          <w:szCs w:val="24"/>
          <w:highlight w:val="none"/>
          <w:lang w:eastAsia="zh-CN"/>
        </w:rPr>
        <w:t>龚立强</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0512-52277255</w:t>
      </w:r>
      <w:r>
        <w:rPr>
          <w:rFonts w:hint="eastAsia" w:ascii="宋体" w:hAnsi="宋体" w:eastAsia="宋体" w:cs="宋体"/>
          <w:color w:val="auto"/>
          <w:sz w:val="24"/>
          <w:szCs w:val="24"/>
          <w:highlight w:val="none"/>
        </w:rPr>
        <w:t>。投标人在投标时应充分考虑现场实际情况，采购人不负担因投标人对项目现场情况考虑不周而产生的其他任何费用。</w:t>
      </w:r>
    </w:p>
    <w:p w14:paraId="75C3399D">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交付时间</w:t>
      </w:r>
      <w:r>
        <w:rPr>
          <w:rFonts w:hint="eastAsia" w:ascii="宋体" w:hAnsi="宋体" w:eastAsia="宋体" w:cs="宋体"/>
          <w:color w:val="auto"/>
          <w:sz w:val="24"/>
          <w:szCs w:val="24"/>
          <w:highlight w:val="none"/>
        </w:rPr>
        <w:t>：</w:t>
      </w:r>
    </w:p>
    <w:p w14:paraId="2AD90DF4">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4.1服务期限：自合同签订之日起2年。</w:t>
      </w:r>
    </w:p>
    <w:p w14:paraId="7E4C6068">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4.2供货期：采购人提出供货需求起2个自然日内。</w:t>
      </w:r>
    </w:p>
    <w:p w14:paraId="54A0D45A">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4.3在供货期内，投标人按采购人要求按时分批将货物配送至采购人指定地点。</w:t>
      </w:r>
    </w:p>
    <w:p w14:paraId="7610E8B5">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5、交付地点：</w:t>
      </w:r>
      <w:r>
        <w:rPr>
          <w:rFonts w:hint="eastAsia" w:ascii="宋体" w:hAnsi="宋体" w:eastAsia="宋体" w:cs="宋体"/>
          <w:color w:val="auto"/>
          <w:sz w:val="24"/>
          <w:szCs w:val="24"/>
          <w:highlight w:val="none"/>
          <w:lang w:val="en-US" w:eastAsia="zh-CN"/>
        </w:rPr>
        <w:t>常</w:t>
      </w:r>
      <w:r>
        <w:rPr>
          <w:rFonts w:hint="eastAsia" w:ascii="宋体" w:hAnsi="宋体" w:eastAsia="宋体" w:cs="宋体"/>
          <w:color w:val="auto"/>
          <w:sz w:val="24"/>
          <w:szCs w:val="22"/>
          <w:highlight w:val="none"/>
          <w:lang w:val="en-US" w:eastAsia="zh-CN"/>
        </w:rPr>
        <w:t>熟市第二人民医院（一院二区：常熟市台山路18号、常熟市海虞南路68号）</w:t>
      </w:r>
      <w:r>
        <w:rPr>
          <w:rFonts w:hint="eastAsia" w:ascii="宋体" w:hAnsi="宋体" w:eastAsia="宋体" w:cs="宋体"/>
          <w:color w:val="auto"/>
          <w:sz w:val="24"/>
          <w:szCs w:val="24"/>
          <w:highlight w:val="none"/>
        </w:rPr>
        <w:t>。</w:t>
      </w:r>
    </w:p>
    <w:p w14:paraId="36D46005">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结算</w:t>
      </w:r>
      <w:r>
        <w:rPr>
          <w:rFonts w:hint="eastAsia" w:ascii="宋体" w:hAnsi="宋体" w:eastAsia="宋体" w:cs="宋体"/>
          <w:color w:val="auto"/>
          <w:sz w:val="24"/>
          <w:szCs w:val="24"/>
          <w:highlight w:val="none"/>
        </w:rPr>
        <w:t>付款方式：</w:t>
      </w:r>
    </w:p>
    <w:p w14:paraId="69C85BAD">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6.1结算方式：当月气体实际供货费用为各类气体实际供货数量乘以该气体对应中标单价</w:t>
      </w:r>
      <w:r>
        <w:rPr>
          <w:rFonts w:hint="eastAsia" w:ascii="宋体" w:hAnsi="宋体" w:eastAsia="宋体" w:cs="宋体"/>
          <w:color w:val="auto"/>
          <w:sz w:val="24"/>
          <w:szCs w:val="24"/>
          <w:highlight w:val="none"/>
          <w:lang w:eastAsia="zh-CN"/>
        </w:rPr>
        <w:t>；</w:t>
      </w:r>
    </w:p>
    <w:p w14:paraId="49C7F518">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6.2付款方式：采购人按月度核算实际货款，在月后的三个月内向中标人支付当月实际货款。</w:t>
      </w:r>
    </w:p>
    <w:p w14:paraId="3BB81012">
      <w:pPr>
        <w:keepNext w:val="0"/>
        <w:keepLines w:val="0"/>
        <w:pageBreakBefore w:val="0"/>
        <w:widowControl w:val="0"/>
        <w:kinsoku/>
        <w:wordWrap/>
        <w:overflowPunct/>
        <w:topLinePunct w:val="0"/>
        <w:bidi w:val="0"/>
        <w:snapToGrid/>
        <w:spacing w:line="460" w:lineRule="exact"/>
        <w:ind w:firstLine="723" w:firstLineChars="3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注：（1）付款前，中标人提供符合采购人要求的同等金额的合法有效发票。否则，采购人有权顺延付款时间，且不承担任何违约及赔偿责任。</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w:t>
      </w:r>
      <w:r>
        <w:rPr>
          <w:rFonts w:hint="eastAsia" w:ascii="宋体" w:hAnsi="宋体" w:eastAsia="宋体" w:cs="宋体"/>
          <w:b/>
          <w:bCs/>
          <w:color w:val="auto"/>
          <w:sz w:val="24"/>
          <w:szCs w:val="24"/>
          <w:highlight w:val="none"/>
        </w:rPr>
        <w:t>本项目支付方式支持数字人民币方式。</w:t>
      </w:r>
    </w:p>
    <w:p w14:paraId="78165756">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不满足上述</w:t>
      </w:r>
      <w:r>
        <w:rPr>
          <w:rFonts w:hint="eastAsia" w:ascii="宋体" w:hAnsi="宋体" w:eastAsia="宋体" w:cs="宋体"/>
          <w:b/>
          <w:bCs/>
          <w:color w:val="auto"/>
          <w:sz w:val="24"/>
          <w:szCs w:val="24"/>
          <w:highlight w:val="none"/>
          <w:lang w:val="en-US" w:eastAsia="zh-CN"/>
        </w:rPr>
        <w:t>结算</w:t>
      </w:r>
      <w:r>
        <w:rPr>
          <w:rFonts w:hint="eastAsia" w:ascii="宋体" w:hAnsi="宋体" w:eastAsia="宋体" w:cs="宋体"/>
          <w:b/>
          <w:bCs/>
          <w:color w:val="auto"/>
          <w:sz w:val="24"/>
          <w:szCs w:val="24"/>
          <w:highlight w:val="none"/>
        </w:rPr>
        <w:t>付款</w:t>
      </w:r>
      <w:r>
        <w:rPr>
          <w:rFonts w:hint="eastAsia" w:ascii="宋体" w:hAnsi="宋体" w:eastAsia="宋体" w:cs="宋体"/>
          <w:b/>
          <w:bCs/>
          <w:color w:val="auto"/>
          <w:sz w:val="24"/>
          <w:szCs w:val="24"/>
          <w:highlight w:val="none"/>
          <w:lang w:val="en-US" w:eastAsia="zh-CN"/>
        </w:rPr>
        <w:t>方式</w:t>
      </w:r>
      <w:r>
        <w:rPr>
          <w:rFonts w:hint="eastAsia" w:ascii="宋体" w:hAnsi="宋体" w:eastAsia="宋体" w:cs="宋体"/>
          <w:b/>
          <w:bCs/>
          <w:color w:val="auto"/>
          <w:sz w:val="24"/>
          <w:szCs w:val="24"/>
          <w:highlight w:val="none"/>
        </w:rPr>
        <w:t>的作无效投标处理。</w:t>
      </w:r>
    </w:p>
    <w:p w14:paraId="19DBC4F0">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7、结算方式：本项目以</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rPr>
        <w:t>合同方式结算。</w:t>
      </w:r>
    </w:p>
    <w:p w14:paraId="1ECDFA16">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val="zh-CN"/>
        </w:rPr>
        <w:t>、本项目不得以任何形式进行转包及分包。</w:t>
      </w:r>
    </w:p>
    <w:p w14:paraId="415EB184">
      <w:pPr>
        <w:numPr>
          <w:ilvl w:val="0"/>
          <w:numId w:val="0"/>
        </w:numPr>
        <w:spacing w:line="420" w:lineRule="exact"/>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9、本项目采购预算为¥2540000.00元（人民币贰佰伍拾肆万元整），最高限价为¥2536740.00元（人民币贰佰伍拾叁万陆仟柒佰肆拾元整）。</w:t>
      </w:r>
    </w:p>
    <w:p w14:paraId="6C5196F3">
      <w:pPr>
        <w:numPr>
          <w:ilvl w:val="0"/>
          <w:numId w:val="0"/>
        </w:numPr>
        <w:spacing w:line="4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10、</w:t>
      </w:r>
      <w:r>
        <w:rPr>
          <w:rFonts w:hint="eastAsia" w:ascii="宋体" w:hAnsi="宋体" w:eastAsia="宋体" w:cs="宋体"/>
          <w:b/>
          <w:bCs/>
          <w:color w:val="auto"/>
          <w:sz w:val="24"/>
          <w:szCs w:val="24"/>
          <w:highlight w:val="none"/>
        </w:rPr>
        <w:t>本项目按投标优惠率进行</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报价，设定投标优惠率报价范围，详见《</w:t>
      </w:r>
      <w:r>
        <w:rPr>
          <w:rFonts w:hint="eastAsia" w:ascii="宋体" w:hAnsi="宋体" w:eastAsia="宋体" w:cs="宋体"/>
          <w:b/>
          <w:bCs/>
          <w:color w:val="auto"/>
          <w:sz w:val="24"/>
          <w:szCs w:val="24"/>
          <w:highlight w:val="none"/>
          <w:lang w:val="en-US" w:eastAsia="zh-CN"/>
        </w:rPr>
        <w:t>最高限价分类</w:t>
      </w:r>
      <w:r>
        <w:rPr>
          <w:rFonts w:hint="eastAsia" w:ascii="宋体" w:hAnsi="宋体" w:eastAsia="宋体" w:cs="宋体"/>
          <w:b/>
          <w:bCs/>
          <w:color w:val="auto"/>
          <w:sz w:val="24"/>
          <w:szCs w:val="24"/>
          <w:highlight w:val="none"/>
        </w:rPr>
        <w:t>表》，优惠率不得超过报价范围，否则作无效投标处理。《</w:t>
      </w:r>
      <w:r>
        <w:rPr>
          <w:rFonts w:hint="eastAsia" w:ascii="宋体" w:hAnsi="宋体" w:eastAsia="宋体" w:cs="宋体"/>
          <w:b/>
          <w:bCs/>
          <w:color w:val="auto"/>
          <w:sz w:val="24"/>
          <w:szCs w:val="24"/>
          <w:highlight w:val="none"/>
          <w:lang w:val="en-US" w:eastAsia="zh-CN"/>
        </w:rPr>
        <w:t>最高限价分类</w:t>
      </w:r>
      <w:r>
        <w:rPr>
          <w:rFonts w:hint="eastAsia" w:ascii="宋体" w:hAnsi="宋体" w:eastAsia="宋体" w:cs="宋体"/>
          <w:b/>
          <w:bCs/>
          <w:color w:val="auto"/>
          <w:sz w:val="24"/>
          <w:szCs w:val="24"/>
          <w:highlight w:val="none"/>
        </w:rPr>
        <w:t>表》中所有</w:t>
      </w:r>
      <w:r>
        <w:rPr>
          <w:rFonts w:hint="eastAsia" w:ascii="宋体" w:hAnsi="宋体" w:eastAsia="宋体" w:cs="宋体"/>
          <w:b/>
          <w:bCs/>
          <w:color w:val="auto"/>
          <w:sz w:val="24"/>
          <w:szCs w:val="24"/>
          <w:highlight w:val="none"/>
          <w:lang w:val="en-US" w:eastAsia="zh-CN"/>
        </w:rPr>
        <w:t>类别</w:t>
      </w:r>
      <w:r>
        <w:rPr>
          <w:rFonts w:hint="eastAsia" w:ascii="宋体" w:hAnsi="宋体" w:eastAsia="宋体" w:cs="宋体"/>
          <w:b/>
          <w:bCs/>
          <w:color w:val="auto"/>
          <w:sz w:val="24"/>
          <w:szCs w:val="24"/>
          <w:highlight w:val="none"/>
        </w:rPr>
        <w:t>的投标优惠率相等，如不相等，将作无效投标处理。</w:t>
      </w:r>
    </w:p>
    <w:p w14:paraId="7A699108">
      <w:pPr>
        <w:numPr>
          <w:ilvl w:val="0"/>
          <w:numId w:val="0"/>
        </w:numPr>
        <w:spacing w:line="420" w:lineRule="exact"/>
        <w:ind w:left="0"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最高限价分类</w:t>
      </w:r>
      <w:r>
        <w:rPr>
          <w:rFonts w:hint="eastAsia" w:ascii="宋体" w:hAnsi="宋体" w:eastAsia="宋体" w:cs="宋体"/>
          <w:b/>
          <w:bCs/>
          <w:color w:val="auto"/>
          <w:sz w:val="24"/>
          <w:szCs w:val="24"/>
          <w:highlight w:val="none"/>
        </w:rPr>
        <w:t>表</w:t>
      </w:r>
    </w:p>
    <w:tbl>
      <w:tblPr>
        <w:tblStyle w:val="38"/>
        <w:tblW w:w="7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2435"/>
        <w:gridCol w:w="2221"/>
        <w:gridCol w:w="2423"/>
      </w:tblGrid>
      <w:tr w14:paraId="7367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4" w:type="dxa"/>
            <w:noWrap w:val="0"/>
            <w:vAlign w:val="center"/>
          </w:tcPr>
          <w:p w14:paraId="30326CAD">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435" w:type="dxa"/>
            <w:noWrap w:val="0"/>
            <w:vAlign w:val="center"/>
          </w:tcPr>
          <w:p w14:paraId="42BCE706">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货物名称</w:t>
            </w:r>
          </w:p>
        </w:tc>
        <w:tc>
          <w:tcPr>
            <w:tcW w:w="2221" w:type="dxa"/>
            <w:noWrap w:val="0"/>
            <w:vAlign w:val="center"/>
          </w:tcPr>
          <w:p w14:paraId="75FEE823">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气体</w:t>
            </w:r>
            <w:r>
              <w:rPr>
                <w:rFonts w:hint="eastAsia" w:ascii="宋体" w:hAnsi="宋体" w:eastAsia="宋体" w:cs="宋体"/>
                <w:b/>
                <w:bCs/>
                <w:color w:val="auto"/>
                <w:sz w:val="24"/>
                <w:szCs w:val="24"/>
                <w:highlight w:val="none"/>
                <w:lang w:val="en-US" w:eastAsia="zh-CN"/>
              </w:rPr>
              <w:t>单价</w:t>
            </w:r>
            <w:r>
              <w:rPr>
                <w:rFonts w:hint="eastAsia" w:ascii="宋体" w:hAnsi="宋体" w:eastAsia="宋体" w:cs="宋体"/>
                <w:b/>
                <w:bCs/>
                <w:color w:val="auto"/>
                <w:sz w:val="24"/>
                <w:szCs w:val="24"/>
                <w:highlight w:val="none"/>
              </w:rPr>
              <w:t>最高限价</w:t>
            </w:r>
          </w:p>
        </w:tc>
        <w:tc>
          <w:tcPr>
            <w:tcW w:w="2423" w:type="dxa"/>
            <w:noWrap w:val="0"/>
            <w:vAlign w:val="center"/>
          </w:tcPr>
          <w:p w14:paraId="7566267F">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投标优惠率报价范围</w:t>
            </w:r>
          </w:p>
        </w:tc>
      </w:tr>
      <w:tr w14:paraId="3653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84" w:type="dxa"/>
            <w:noWrap w:val="0"/>
            <w:vAlign w:val="center"/>
          </w:tcPr>
          <w:p w14:paraId="7F239D31">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435" w:type="dxa"/>
            <w:noWrap w:val="0"/>
            <w:vAlign w:val="center"/>
          </w:tcPr>
          <w:p w14:paraId="002B2500">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医用液氧</w:t>
            </w:r>
          </w:p>
        </w:tc>
        <w:tc>
          <w:tcPr>
            <w:tcW w:w="2221" w:type="dxa"/>
            <w:noWrap w:val="0"/>
            <w:vAlign w:val="center"/>
          </w:tcPr>
          <w:p w14:paraId="16C99E0A">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987.54</w:t>
            </w:r>
            <w:r>
              <w:rPr>
                <w:rFonts w:hint="eastAsia" w:ascii="宋体" w:hAnsi="宋体" w:eastAsia="宋体" w:cs="宋体"/>
                <w:color w:val="auto"/>
                <w:sz w:val="24"/>
                <w:szCs w:val="24"/>
                <w:highlight w:val="none"/>
              </w:rPr>
              <w:t>元/吨</w:t>
            </w:r>
          </w:p>
        </w:tc>
        <w:tc>
          <w:tcPr>
            <w:tcW w:w="2423" w:type="dxa"/>
            <w:vMerge w:val="restart"/>
            <w:noWrap w:val="0"/>
            <w:vAlign w:val="center"/>
          </w:tcPr>
          <w:p w14:paraId="673E4907">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0≤投标优惠率＜100%</w:t>
            </w:r>
          </w:p>
        </w:tc>
      </w:tr>
      <w:tr w14:paraId="7659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84" w:type="dxa"/>
            <w:noWrap w:val="0"/>
            <w:vAlign w:val="center"/>
          </w:tcPr>
          <w:p w14:paraId="31A1868C">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435" w:type="dxa"/>
            <w:noWrap w:val="0"/>
            <w:vAlign w:val="center"/>
          </w:tcPr>
          <w:p w14:paraId="49C30CDB">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40L医用氧</w:t>
            </w:r>
          </w:p>
        </w:tc>
        <w:tc>
          <w:tcPr>
            <w:tcW w:w="2221" w:type="dxa"/>
            <w:noWrap w:val="0"/>
            <w:vAlign w:val="center"/>
          </w:tcPr>
          <w:p w14:paraId="65255E13">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58.30</w:t>
            </w:r>
            <w:r>
              <w:rPr>
                <w:rFonts w:hint="eastAsia" w:ascii="宋体" w:hAnsi="宋体" w:eastAsia="宋体" w:cs="宋体"/>
                <w:color w:val="auto"/>
                <w:sz w:val="24"/>
                <w:szCs w:val="24"/>
                <w:highlight w:val="none"/>
              </w:rPr>
              <w:t>元/瓶</w:t>
            </w:r>
          </w:p>
        </w:tc>
        <w:tc>
          <w:tcPr>
            <w:tcW w:w="2423" w:type="dxa"/>
            <w:vMerge w:val="continue"/>
            <w:noWrap w:val="0"/>
            <w:vAlign w:val="center"/>
          </w:tcPr>
          <w:p w14:paraId="1BB2A99E">
            <w:pPr>
              <w:widowControl/>
              <w:spacing w:before="100" w:beforeAutospacing="1" w:after="100" w:afterAutospacing="1"/>
              <w:jc w:val="center"/>
              <w:rPr>
                <w:rFonts w:hint="eastAsia" w:ascii="宋体" w:hAnsi="宋体" w:eastAsia="宋体" w:cs="宋体"/>
                <w:color w:val="auto"/>
                <w:sz w:val="24"/>
                <w:szCs w:val="24"/>
                <w:highlight w:val="none"/>
              </w:rPr>
            </w:pPr>
          </w:p>
        </w:tc>
      </w:tr>
      <w:tr w14:paraId="702C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84" w:type="dxa"/>
            <w:noWrap w:val="0"/>
            <w:vAlign w:val="center"/>
          </w:tcPr>
          <w:p w14:paraId="43D04666">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435" w:type="dxa"/>
            <w:noWrap w:val="0"/>
            <w:vAlign w:val="center"/>
          </w:tcPr>
          <w:p w14:paraId="0001BA4C">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10L医用氧</w:t>
            </w:r>
          </w:p>
        </w:tc>
        <w:tc>
          <w:tcPr>
            <w:tcW w:w="2221" w:type="dxa"/>
            <w:noWrap w:val="0"/>
            <w:vAlign w:val="center"/>
          </w:tcPr>
          <w:p w14:paraId="6B6E3C2C">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32.09</w:t>
            </w:r>
            <w:r>
              <w:rPr>
                <w:rFonts w:hint="eastAsia" w:ascii="宋体" w:hAnsi="宋体" w:eastAsia="宋体" w:cs="宋体"/>
                <w:color w:val="auto"/>
                <w:sz w:val="24"/>
                <w:szCs w:val="24"/>
                <w:highlight w:val="none"/>
              </w:rPr>
              <w:t>元/瓶</w:t>
            </w:r>
          </w:p>
        </w:tc>
        <w:tc>
          <w:tcPr>
            <w:tcW w:w="2423" w:type="dxa"/>
            <w:vMerge w:val="continue"/>
            <w:noWrap w:val="0"/>
            <w:vAlign w:val="center"/>
          </w:tcPr>
          <w:p w14:paraId="7C45FA39">
            <w:pPr>
              <w:widowControl/>
              <w:spacing w:before="100" w:beforeAutospacing="1" w:after="100" w:afterAutospacing="1"/>
              <w:jc w:val="center"/>
              <w:rPr>
                <w:rFonts w:hint="eastAsia" w:ascii="宋体" w:hAnsi="宋体" w:eastAsia="宋体" w:cs="宋体"/>
                <w:color w:val="auto"/>
                <w:sz w:val="24"/>
                <w:szCs w:val="24"/>
                <w:highlight w:val="none"/>
              </w:rPr>
            </w:pPr>
          </w:p>
        </w:tc>
      </w:tr>
      <w:tr w14:paraId="772DB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84" w:type="dxa"/>
            <w:noWrap w:val="0"/>
            <w:vAlign w:val="center"/>
          </w:tcPr>
          <w:p w14:paraId="38D510C1">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435" w:type="dxa"/>
            <w:noWrap w:val="0"/>
            <w:vAlign w:val="center"/>
          </w:tcPr>
          <w:p w14:paraId="3844F1D0">
            <w:pPr>
              <w:widowControl/>
              <w:spacing w:before="100" w:beforeAutospacing="1" w:after="100" w:afterAutospacing="1"/>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4L医用氧（</w:t>
            </w:r>
            <w:r>
              <w:rPr>
                <w:rFonts w:hint="eastAsia" w:ascii="宋体" w:hAnsi="宋体" w:eastAsia="宋体" w:cs="宋体"/>
                <w:color w:val="auto"/>
                <w:sz w:val="24"/>
                <w:szCs w:val="24"/>
                <w:highlight w:val="none"/>
                <w:lang w:val="en-US" w:eastAsia="zh-CN"/>
              </w:rPr>
              <w:t>组合瓶</w:t>
            </w:r>
            <w:r>
              <w:rPr>
                <w:rFonts w:hint="eastAsia" w:ascii="宋体" w:hAnsi="宋体" w:eastAsia="宋体" w:cs="宋体"/>
                <w:color w:val="auto"/>
                <w:sz w:val="24"/>
                <w:szCs w:val="24"/>
                <w:highlight w:val="none"/>
                <w:lang w:eastAsia="zh-CN"/>
              </w:rPr>
              <w:t>）</w:t>
            </w:r>
          </w:p>
        </w:tc>
        <w:tc>
          <w:tcPr>
            <w:tcW w:w="2221" w:type="dxa"/>
            <w:noWrap w:val="0"/>
            <w:vAlign w:val="center"/>
          </w:tcPr>
          <w:p w14:paraId="3CCA8505">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24.40</w:t>
            </w:r>
            <w:r>
              <w:rPr>
                <w:rFonts w:hint="eastAsia" w:ascii="宋体" w:hAnsi="宋体" w:eastAsia="宋体" w:cs="宋体"/>
                <w:color w:val="auto"/>
                <w:sz w:val="24"/>
                <w:szCs w:val="24"/>
                <w:highlight w:val="none"/>
              </w:rPr>
              <w:t>元/瓶</w:t>
            </w:r>
          </w:p>
        </w:tc>
        <w:tc>
          <w:tcPr>
            <w:tcW w:w="2423" w:type="dxa"/>
            <w:vMerge w:val="continue"/>
            <w:noWrap w:val="0"/>
            <w:vAlign w:val="center"/>
          </w:tcPr>
          <w:p w14:paraId="7AFBFA4F">
            <w:pPr>
              <w:widowControl/>
              <w:spacing w:before="100" w:beforeAutospacing="1" w:after="100" w:afterAutospacing="1"/>
              <w:jc w:val="center"/>
              <w:rPr>
                <w:rFonts w:hint="eastAsia" w:ascii="宋体" w:hAnsi="宋体" w:eastAsia="宋体" w:cs="宋体"/>
                <w:color w:val="auto"/>
                <w:sz w:val="24"/>
                <w:szCs w:val="24"/>
                <w:highlight w:val="none"/>
              </w:rPr>
            </w:pPr>
          </w:p>
        </w:tc>
      </w:tr>
    </w:tbl>
    <w:p w14:paraId="4B1EC5C8">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en-US" w:eastAsia="zh-CN"/>
        </w:rPr>
        <w:t>注：中标单价=对应单价最高限价*（1-投标优惠率）。</w:t>
      </w:r>
    </w:p>
    <w:bookmarkEnd w:id="337"/>
    <w:p w14:paraId="21748D23">
      <w:pPr>
        <w:keepNext w:val="0"/>
        <w:keepLines w:val="0"/>
        <w:pageBreakBefore w:val="0"/>
        <w:widowControl w:val="0"/>
        <w:kinsoku/>
        <w:wordWrap/>
        <w:overflowPunct/>
        <w:topLinePunct w:val="0"/>
        <w:autoSpaceDE w:val="0"/>
        <w:autoSpaceDN w:val="0"/>
        <w:bidi w:val="0"/>
        <w:adjustRightInd w:val="0"/>
        <w:snapToGrid/>
        <w:spacing w:line="460" w:lineRule="exact"/>
        <w:textAlignment w:val="auto"/>
        <w:outlineLvl w:val="1"/>
        <w:rPr>
          <w:rFonts w:hint="eastAsia" w:ascii="宋体" w:hAnsi="宋体" w:eastAsia="宋体" w:cs="宋体"/>
          <w:b/>
          <w:bCs/>
          <w:color w:val="auto"/>
          <w:sz w:val="28"/>
          <w:szCs w:val="28"/>
          <w:highlight w:val="none"/>
          <w:lang w:val="zh-CN"/>
        </w:rPr>
      </w:pPr>
      <w:bookmarkStart w:id="338" w:name="_Toc12700"/>
      <w:bookmarkStart w:id="339" w:name="_Toc103781675"/>
      <w:bookmarkStart w:id="340" w:name="_Toc101375110"/>
      <w:bookmarkStart w:id="341" w:name="_Toc115443342"/>
      <w:bookmarkStart w:id="342" w:name="_Toc132653376"/>
      <w:r>
        <w:rPr>
          <w:rFonts w:hint="eastAsia" w:ascii="宋体" w:hAnsi="宋体" w:eastAsia="宋体" w:cs="宋体"/>
          <w:b/>
          <w:bCs/>
          <w:color w:val="auto"/>
          <w:sz w:val="28"/>
          <w:szCs w:val="28"/>
          <w:highlight w:val="none"/>
          <w:lang w:val="zh-CN"/>
        </w:rPr>
        <w:t>二、需求清单：</w:t>
      </w:r>
      <w:bookmarkEnd w:id="338"/>
    </w:p>
    <w:bookmarkEnd w:id="339"/>
    <w:tbl>
      <w:tblPr>
        <w:tblStyle w:val="38"/>
        <w:tblW w:w="6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2809"/>
        <w:gridCol w:w="2216"/>
      </w:tblGrid>
      <w:tr w14:paraId="04E8D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400" w:type="dxa"/>
            <w:noWrap w:val="0"/>
            <w:vAlign w:val="center"/>
          </w:tcPr>
          <w:p w14:paraId="5E539D9C">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809" w:type="dxa"/>
            <w:noWrap w:val="0"/>
            <w:vAlign w:val="center"/>
          </w:tcPr>
          <w:p w14:paraId="56009F4A">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货物名称</w:t>
            </w:r>
          </w:p>
        </w:tc>
        <w:tc>
          <w:tcPr>
            <w:tcW w:w="2216" w:type="dxa"/>
            <w:noWrap w:val="0"/>
            <w:vAlign w:val="center"/>
          </w:tcPr>
          <w:p w14:paraId="573D3452">
            <w:pPr>
              <w:widowControl/>
              <w:spacing w:before="100" w:beforeAutospacing="1" w:after="100" w:afterAutospacing="1"/>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一年气体需求数量</w:t>
            </w:r>
          </w:p>
        </w:tc>
      </w:tr>
      <w:tr w14:paraId="232E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400" w:type="dxa"/>
            <w:noWrap w:val="0"/>
            <w:vAlign w:val="center"/>
          </w:tcPr>
          <w:p w14:paraId="1CDAB695">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09" w:type="dxa"/>
            <w:noWrap w:val="0"/>
            <w:vAlign w:val="center"/>
          </w:tcPr>
          <w:p w14:paraId="1AF62319">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医用液氧</w:t>
            </w:r>
          </w:p>
        </w:tc>
        <w:tc>
          <w:tcPr>
            <w:tcW w:w="2216" w:type="dxa"/>
            <w:noWrap w:val="0"/>
            <w:vAlign w:val="center"/>
          </w:tcPr>
          <w:p w14:paraId="10D3F57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1200</w:t>
            </w:r>
            <w:r>
              <w:rPr>
                <w:rFonts w:hint="eastAsia" w:ascii="宋体" w:hAnsi="宋体" w:eastAsia="宋体" w:cs="宋体"/>
                <w:color w:val="auto"/>
                <w:sz w:val="24"/>
                <w:highlight w:val="none"/>
              </w:rPr>
              <w:t>吨</w:t>
            </w:r>
          </w:p>
        </w:tc>
      </w:tr>
      <w:tr w14:paraId="261D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400" w:type="dxa"/>
            <w:noWrap w:val="0"/>
            <w:vAlign w:val="center"/>
          </w:tcPr>
          <w:p w14:paraId="07A68CF6">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809" w:type="dxa"/>
            <w:noWrap w:val="0"/>
            <w:vAlign w:val="center"/>
          </w:tcPr>
          <w:p w14:paraId="3EFFFEF9">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40L医用氧</w:t>
            </w:r>
          </w:p>
        </w:tc>
        <w:tc>
          <w:tcPr>
            <w:tcW w:w="2216" w:type="dxa"/>
            <w:noWrap w:val="0"/>
            <w:vAlign w:val="center"/>
          </w:tcPr>
          <w:p w14:paraId="708540F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60瓶</w:t>
            </w:r>
          </w:p>
        </w:tc>
      </w:tr>
      <w:tr w14:paraId="0047B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400" w:type="dxa"/>
            <w:noWrap w:val="0"/>
            <w:vAlign w:val="center"/>
          </w:tcPr>
          <w:p w14:paraId="6D155FA0">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809" w:type="dxa"/>
            <w:noWrap w:val="0"/>
            <w:vAlign w:val="center"/>
          </w:tcPr>
          <w:p w14:paraId="7B858F6F">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10L医用氧</w:t>
            </w:r>
          </w:p>
        </w:tc>
        <w:tc>
          <w:tcPr>
            <w:tcW w:w="2216" w:type="dxa"/>
            <w:noWrap w:val="0"/>
            <w:vAlign w:val="center"/>
          </w:tcPr>
          <w:p w14:paraId="5C7B714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130瓶</w:t>
            </w:r>
          </w:p>
        </w:tc>
      </w:tr>
      <w:tr w14:paraId="3411D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400" w:type="dxa"/>
            <w:noWrap w:val="0"/>
            <w:vAlign w:val="center"/>
          </w:tcPr>
          <w:p w14:paraId="0BBF7573">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809" w:type="dxa"/>
            <w:noWrap w:val="0"/>
            <w:vAlign w:val="center"/>
          </w:tcPr>
          <w:p w14:paraId="1F9BA366">
            <w:pPr>
              <w:widowControl/>
              <w:spacing w:before="100" w:beforeAutospacing="1" w:after="100" w:afterAutospacing="1"/>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4L医用氧（</w:t>
            </w:r>
            <w:r>
              <w:rPr>
                <w:rFonts w:hint="eastAsia" w:ascii="宋体" w:hAnsi="宋体" w:eastAsia="宋体" w:cs="宋体"/>
                <w:color w:val="auto"/>
                <w:sz w:val="24"/>
                <w:szCs w:val="24"/>
                <w:highlight w:val="none"/>
                <w:lang w:val="en-US" w:eastAsia="zh-CN"/>
              </w:rPr>
              <w:t>组合瓶</w:t>
            </w:r>
            <w:r>
              <w:rPr>
                <w:rFonts w:hint="eastAsia" w:ascii="宋体" w:hAnsi="宋体" w:eastAsia="宋体" w:cs="宋体"/>
                <w:color w:val="auto"/>
                <w:sz w:val="24"/>
                <w:szCs w:val="24"/>
                <w:highlight w:val="none"/>
                <w:lang w:eastAsia="zh-CN"/>
              </w:rPr>
              <w:t>）</w:t>
            </w:r>
          </w:p>
        </w:tc>
        <w:tc>
          <w:tcPr>
            <w:tcW w:w="2216" w:type="dxa"/>
            <w:noWrap w:val="0"/>
            <w:vAlign w:val="center"/>
          </w:tcPr>
          <w:p w14:paraId="25A6E188">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3100瓶</w:t>
            </w:r>
          </w:p>
        </w:tc>
      </w:tr>
    </w:tbl>
    <w:p w14:paraId="27D9EA1E">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注：1、本项目的核心产品为医用液氧。</w:t>
      </w:r>
    </w:p>
    <w:p w14:paraId="0E57CCF8">
      <w:pPr>
        <w:keepNext w:val="0"/>
        <w:keepLines w:val="0"/>
        <w:pageBreakBefore w:val="0"/>
        <w:widowControl w:val="0"/>
        <w:numPr>
          <w:ilvl w:val="0"/>
          <w:numId w:val="5"/>
        </w:numPr>
        <w:kinsoku/>
        <w:wordWrap/>
        <w:overflowPunct/>
        <w:topLinePunct w:val="0"/>
        <w:bidi w:val="0"/>
        <w:snapToGrid/>
        <w:spacing w:line="460" w:lineRule="exact"/>
        <w:ind w:firstLine="964" w:firstLineChars="40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中标人需在合同履行供货期内，免费提供40L医用氧约45瓶、10L医用氧约10瓶以及4L医用氧（组合瓶）约207瓶，供常熟市第二人民医院（一院二区：常熟市台山路18号、常熟市海虞南路68号）在周期内周转。</w:t>
      </w:r>
    </w:p>
    <w:p w14:paraId="53AC1FD1">
      <w:pPr>
        <w:keepNext w:val="0"/>
        <w:keepLines w:val="0"/>
        <w:pageBreakBefore w:val="0"/>
        <w:widowControl w:val="0"/>
        <w:numPr>
          <w:ilvl w:val="0"/>
          <w:numId w:val="5"/>
        </w:numPr>
        <w:kinsoku/>
        <w:wordWrap/>
        <w:overflowPunct/>
        <w:topLinePunct w:val="0"/>
        <w:bidi w:val="0"/>
        <w:snapToGrid/>
        <w:spacing w:line="460" w:lineRule="exact"/>
        <w:ind w:firstLine="964" w:firstLineChars="40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上述一年需求数量为预估数量，具体以采购人的实际量为准。</w:t>
      </w:r>
    </w:p>
    <w:p w14:paraId="7C684F29">
      <w:pPr>
        <w:keepNext w:val="0"/>
        <w:keepLines w:val="0"/>
        <w:pageBreakBefore w:val="0"/>
        <w:widowControl w:val="0"/>
        <w:kinsoku/>
        <w:wordWrap/>
        <w:overflowPunct/>
        <w:topLinePunct w:val="0"/>
        <w:autoSpaceDE w:val="0"/>
        <w:autoSpaceDN w:val="0"/>
        <w:bidi w:val="0"/>
        <w:adjustRightInd w:val="0"/>
        <w:snapToGrid/>
        <w:spacing w:line="460" w:lineRule="exact"/>
        <w:textAlignment w:val="auto"/>
        <w:outlineLvl w:val="1"/>
        <w:rPr>
          <w:rFonts w:hint="eastAsia" w:ascii="宋体" w:hAnsi="宋体" w:eastAsia="宋体" w:cs="宋体"/>
          <w:b/>
          <w:bCs/>
          <w:color w:val="auto"/>
          <w:sz w:val="28"/>
          <w:szCs w:val="28"/>
          <w:highlight w:val="none"/>
          <w:lang w:val="zh-CN"/>
        </w:rPr>
      </w:pPr>
      <w:bookmarkStart w:id="343" w:name="_Toc20292"/>
      <w:r>
        <w:rPr>
          <w:rFonts w:hint="eastAsia" w:ascii="宋体" w:hAnsi="宋体" w:eastAsia="宋体" w:cs="宋体"/>
          <w:b/>
          <w:bCs/>
          <w:color w:val="auto"/>
          <w:sz w:val="28"/>
          <w:szCs w:val="28"/>
          <w:highlight w:val="none"/>
          <w:lang w:val="zh-CN"/>
        </w:rPr>
        <w:t>三、技术性能参数要求：</w:t>
      </w:r>
      <w:bookmarkEnd w:id="343"/>
    </w:p>
    <w:p w14:paraId="7A368938">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b/>
          <w:bCs/>
          <w:color w:val="auto"/>
          <w:sz w:val="28"/>
          <w:highlight w:val="none"/>
          <w:lang w:val="en-US" w:eastAsia="zh-CN"/>
        </w:rPr>
      </w:pPr>
      <w:bookmarkStart w:id="344" w:name="_Toc24404"/>
      <w:r>
        <w:rPr>
          <w:rFonts w:hint="eastAsia" w:ascii="宋体" w:hAnsi="宋体" w:eastAsia="宋体" w:cs="宋体"/>
          <w:b/>
          <w:bCs/>
          <w:color w:val="auto"/>
          <w:sz w:val="28"/>
          <w:highlight w:val="none"/>
          <w:lang w:val="en-US" w:eastAsia="zh-CN"/>
        </w:rPr>
        <w:t>（一）技术规格要求：</w:t>
      </w:r>
      <w:bookmarkEnd w:id="344"/>
    </w:p>
    <w:p w14:paraId="05833D9F">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1、医用液氧</w:t>
      </w:r>
    </w:p>
    <w:p w14:paraId="134243CB">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1.1纯度：≥99.5%。</w:t>
      </w:r>
    </w:p>
    <w:p w14:paraId="1E6B3AA3">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2、40L医用氧</w:t>
      </w:r>
    </w:p>
    <w:p w14:paraId="05731EF2">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2.1规格：40L。</w:t>
      </w:r>
    </w:p>
    <w:p w14:paraId="6535032C">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2.2纯度：≥99.5%。</w:t>
      </w:r>
    </w:p>
    <w:p w14:paraId="44746DBB">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2.3压力：≥135bar。</w:t>
      </w:r>
    </w:p>
    <w:p w14:paraId="017F5774">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3、10L医用氧</w:t>
      </w:r>
    </w:p>
    <w:p w14:paraId="21B7A2C6">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3.1规格：10L。</w:t>
      </w:r>
    </w:p>
    <w:p w14:paraId="30DA1B31">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3.2纯度：≥99.5%。</w:t>
      </w:r>
    </w:p>
    <w:p w14:paraId="4FCBD1D4">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3.3压力：≥135bar。</w:t>
      </w:r>
    </w:p>
    <w:p w14:paraId="7DDBE43C">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4、4L医用氧（组合瓶）</w:t>
      </w:r>
    </w:p>
    <w:p w14:paraId="5C39972C">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4.1规格：4L。</w:t>
      </w:r>
    </w:p>
    <w:p w14:paraId="257DD5FF">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4.2纯度：≥99.5%。</w:t>
      </w:r>
    </w:p>
    <w:p w14:paraId="70E97665">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4.3压力：≥135bar。</w:t>
      </w:r>
    </w:p>
    <w:p w14:paraId="10661814">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b/>
          <w:bCs/>
          <w:color w:val="auto"/>
          <w:sz w:val="28"/>
          <w:highlight w:val="none"/>
          <w:lang w:val="en-US" w:eastAsia="zh-CN"/>
        </w:rPr>
      </w:pPr>
      <w:bookmarkStart w:id="345" w:name="_Toc29881"/>
      <w:r>
        <w:rPr>
          <w:rFonts w:hint="eastAsia" w:ascii="宋体" w:hAnsi="宋体" w:eastAsia="宋体" w:cs="宋体"/>
          <w:b/>
          <w:bCs/>
          <w:color w:val="auto"/>
          <w:sz w:val="28"/>
          <w:highlight w:val="none"/>
          <w:lang w:val="en-US" w:eastAsia="zh-CN"/>
        </w:rPr>
        <w:t>（二）其他要求：</w:t>
      </w:r>
      <w:bookmarkEnd w:id="345"/>
    </w:p>
    <w:p w14:paraId="2E7CF37C">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1、投标人应按采购人的要求进行送货，确保紧急情况下2小时内配送到位、一般情况下24小时内配送到位、最迟不得超过48小时配送到位。</w:t>
      </w:r>
    </w:p>
    <w:p w14:paraId="7EDB4310">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2、投标人不得以送货数量的多少、距离远近等拖延送货。</w:t>
      </w:r>
    </w:p>
    <w:p w14:paraId="113BD544">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3、投标人应具有完善的药品生产经营制度和产品质量控制流程，且符合国家相关标准与规范。</w:t>
      </w:r>
    </w:p>
    <w:p w14:paraId="00174D7B">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4、投标人提供的供气设备须符合GB50751-2012要求。</w:t>
      </w:r>
    </w:p>
    <w:p w14:paraId="0172FD46">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5、投标人应具有专用的医用液氧充装接口，且具有防错充措施。</w:t>
      </w:r>
    </w:p>
    <w:p w14:paraId="483751C6">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6、投标人应具有完整的医用氧实验室设备。</w:t>
      </w:r>
    </w:p>
    <w:p w14:paraId="6F9E4103">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7、投标人每个运输班次应配备不少于2名专职的检验人员。</w:t>
      </w:r>
    </w:p>
    <w:p w14:paraId="2627039D">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8、投标人每批产品的质量放行人不少于2人。</w:t>
      </w:r>
    </w:p>
    <w:p w14:paraId="0F96B26C">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9、投标人所提供产品必须符合2025版《中国药典》，并按批次以2025版《中国药典》对医用氧进行全检。</w:t>
      </w:r>
    </w:p>
    <w:p w14:paraId="5597ABE7">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10、投标人的储罐具有防错充措施。</w:t>
      </w:r>
    </w:p>
    <w:p w14:paraId="193D1DC6">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11、投标人应提供气站设备的定期巡检，定期保养，巡检及保养每年不少于6次，并提供详细的巡检及保养计划，包括但不限于时间，内容。</w:t>
      </w:r>
    </w:p>
    <w:p w14:paraId="5CA89D94">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12、投标人在采购人单位周边地区应至少配备1名专业维修人员。</w:t>
      </w:r>
    </w:p>
    <w:p w14:paraId="40853D27">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13、投标人应对投标人气站工作人员定期进行操作培训。</w:t>
      </w:r>
    </w:p>
    <w:p w14:paraId="233C097D">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14、投标人应配合医院进行气体相关的应急演练。</w:t>
      </w:r>
    </w:p>
    <w:p w14:paraId="61D59E7D">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bCs/>
          <w:color w:val="auto"/>
          <w:sz w:val="24"/>
          <w:szCs w:val="24"/>
          <w:highlight w:val="none"/>
          <w:lang w:val="en-US" w:eastAsia="zh-CN"/>
        </w:rPr>
        <w:t>15、投标人如获得中标，承诺中标后每批次运输车辆均具有公安机关颁发的有效的危化品车辆市区通行证，投标文件中提供承诺书。</w:t>
      </w:r>
    </w:p>
    <w:p w14:paraId="26A549E0">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每批次运输车辆驾驶员应具有有效期内的中华人民共和国道路运输从业人员从业资格证（从业资格类别：道路危险货物运输驾驶员）；每批次运输车辆押运员应具有有效期内的中华人民共和国道路运输从业人员从业资格证（从业资格类别：道路危险货物运输押运人员）。</w:t>
      </w:r>
    </w:p>
    <w:p w14:paraId="708765A3">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17、投标人供货时须提供每批次医用液氧及医用瓶装氧的批号及质检合格证。</w:t>
      </w:r>
    </w:p>
    <w:p w14:paraId="1DAB565A">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18、售后服务要求：</w:t>
      </w:r>
    </w:p>
    <w:p w14:paraId="0AD5A92B">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18.1对采购人的压力容器及压力表进行定期检查，液罐进行定期保洁，负责一级减压阀前段管道检漏、减压器、仪表等调校；</w:t>
      </w:r>
    </w:p>
    <w:p w14:paraId="00232167">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18.2如遇突发事件要提供紧急维修，1小时内电话响应，2小时内达到现场；</w:t>
      </w:r>
    </w:p>
    <w:p w14:paraId="7F341D1E">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18.3配合采购人定期组织相关人员的专业培训；</w:t>
      </w:r>
    </w:p>
    <w:p w14:paraId="0EF19C19">
      <w:pPr>
        <w:keepNext w:val="0"/>
        <w:keepLines w:val="0"/>
        <w:pageBreakBefore w:val="0"/>
        <w:widowControl w:val="0"/>
        <w:kinsoku/>
        <w:wordWrap/>
        <w:overflowPunct/>
        <w:topLinePunct w:val="0"/>
        <w:bidi w:val="0"/>
        <w:snapToGrid/>
        <w:spacing w:line="46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18.4投标人应根据医院临床需要提供各类规格的气瓶，为采购人提供检测合格、标识清晰的钢瓶；如采购人缺失或损坏的由采购人按实赔偿。气瓶每年的检测费均由投标人承担，包含在投标报价中。</w:t>
      </w:r>
    </w:p>
    <w:p w14:paraId="6AFD6D09">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注：上述技术标准如作废或有替代标准，则以现行的最新标准为准。</w:t>
      </w:r>
    </w:p>
    <w:p w14:paraId="64C36BDA">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b/>
          <w:bCs/>
          <w:color w:val="auto"/>
          <w:sz w:val="28"/>
          <w:highlight w:val="none"/>
        </w:rPr>
      </w:pPr>
      <w:bookmarkStart w:id="346" w:name="_Toc8631"/>
      <w:r>
        <w:rPr>
          <w:rFonts w:hint="eastAsia" w:ascii="宋体" w:hAnsi="宋体" w:eastAsia="宋体" w:cs="宋体"/>
          <w:b/>
          <w:bCs/>
          <w:color w:val="auto"/>
          <w:sz w:val="28"/>
          <w:highlight w:val="none"/>
          <w:lang w:val="en-US" w:eastAsia="zh-CN"/>
        </w:rPr>
        <w:t>四</w:t>
      </w:r>
      <w:r>
        <w:rPr>
          <w:rFonts w:hint="eastAsia" w:ascii="宋体" w:hAnsi="宋体" w:eastAsia="宋体" w:cs="宋体"/>
          <w:b/>
          <w:bCs/>
          <w:color w:val="auto"/>
          <w:sz w:val="28"/>
          <w:highlight w:val="none"/>
        </w:rPr>
        <w:t>、投标报价要求：</w:t>
      </w:r>
      <w:bookmarkEnd w:id="340"/>
      <w:bookmarkEnd w:id="341"/>
      <w:bookmarkEnd w:id="342"/>
      <w:bookmarkEnd w:id="346"/>
    </w:p>
    <w:p w14:paraId="6EF23878">
      <w:pPr>
        <w:keepNext w:val="0"/>
        <w:keepLines w:val="0"/>
        <w:pageBreakBefore w:val="0"/>
        <w:widowControl w:val="0"/>
        <w:kinsoku/>
        <w:wordWrap/>
        <w:overflowPunct/>
        <w:topLinePunct w:val="0"/>
        <w:bidi w:val="0"/>
        <w:snapToGrid/>
        <w:spacing w:line="460" w:lineRule="exact"/>
        <w:ind w:firstLine="472" w:firstLineChars="19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投标人应按投标优惠率进行投标报价，必须对所有类别进行投报，不得漏报，且投标优惠率不超过报价范围（0</w:t>
      </w:r>
      <w:r>
        <w:rPr>
          <w:rFonts w:hint="eastAsia" w:ascii="宋体" w:hAnsi="宋体" w:eastAsia="宋体" w:cs="宋体"/>
          <w:b/>
          <w:bCs/>
          <w:color w:val="auto"/>
          <w:sz w:val="24"/>
          <w:szCs w:val="22"/>
          <w:highlight w:val="none"/>
        </w:rPr>
        <w:t>≤</w:t>
      </w:r>
      <w:r>
        <w:rPr>
          <w:rFonts w:hint="eastAsia" w:ascii="宋体" w:hAnsi="宋体" w:eastAsia="宋体" w:cs="宋体"/>
          <w:b/>
          <w:bCs/>
          <w:color w:val="auto"/>
          <w:sz w:val="24"/>
          <w:szCs w:val="24"/>
          <w:highlight w:val="none"/>
          <w:lang w:val="en-US" w:eastAsia="zh-CN"/>
        </w:rPr>
        <w:t>投标优惠率＜100%），否则将作无效投标处理。本项目</w:t>
      </w:r>
      <w:r>
        <w:rPr>
          <w:rFonts w:hint="eastAsia" w:ascii="宋体" w:hAnsi="宋体" w:eastAsia="宋体" w:cs="宋体"/>
          <w:b/>
          <w:bCs/>
          <w:color w:val="auto"/>
          <w:sz w:val="24"/>
          <w:szCs w:val="24"/>
          <w:highlight w:val="none"/>
        </w:rPr>
        <w:t>中所有</w:t>
      </w:r>
      <w:r>
        <w:rPr>
          <w:rFonts w:hint="eastAsia" w:ascii="宋体" w:hAnsi="宋体" w:eastAsia="宋体" w:cs="宋体"/>
          <w:b/>
          <w:bCs/>
          <w:color w:val="auto"/>
          <w:sz w:val="24"/>
          <w:szCs w:val="24"/>
          <w:highlight w:val="none"/>
          <w:lang w:val="en-US" w:eastAsia="zh-CN"/>
        </w:rPr>
        <w:t>类别</w:t>
      </w:r>
      <w:r>
        <w:rPr>
          <w:rFonts w:hint="eastAsia" w:ascii="宋体" w:hAnsi="宋体" w:eastAsia="宋体" w:cs="宋体"/>
          <w:b/>
          <w:bCs/>
          <w:color w:val="auto"/>
          <w:sz w:val="24"/>
          <w:szCs w:val="24"/>
          <w:highlight w:val="none"/>
        </w:rPr>
        <w:t>的投标优惠率相等，如不相等，将作无效投标处理。</w:t>
      </w:r>
    </w:p>
    <w:p w14:paraId="60FE4CB8">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、本项目采购预算为¥2540000.00元（人民币贰佰伍拾肆万元整），最高限价为¥2536740.00元（人民币贰佰伍拾叁万陆仟柒佰肆拾</w:t>
      </w:r>
      <w:r>
        <w:rPr>
          <w:rFonts w:hint="eastAsia" w:ascii="宋体" w:hAnsi="宋体" w:eastAsia="宋体" w:cs="宋体"/>
          <w:b/>
          <w:bCs/>
          <w:color w:val="auto"/>
          <w:sz w:val="24"/>
          <w:szCs w:val="24"/>
          <w:highlight w:val="none"/>
          <w:lang w:val="en-US" w:eastAsia="zh-CN"/>
        </w:rPr>
        <w:t>元整</w:t>
      </w:r>
      <w:r>
        <w:rPr>
          <w:rFonts w:hint="eastAsia" w:ascii="宋体" w:hAnsi="宋体" w:eastAsia="宋体" w:cs="宋体"/>
          <w:b/>
          <w:bCs/>
          <w:color w:val="auto"/>
          <w:sz w:val="24"/>
          <w:szCs w:val="24"/>
          <w:highlight w:val="none"/>
        </w:rPr>
        <w:t>）。</w:t>
      </w:r>
    </w:p>
    <w:p w14:paraId="5D9F2F84">
      <w:pPr>
        <w:keepNext w:val="0"/>
        <w:keepLines w:val="0"/>
        <w:pageBreakBefore w:val="0"/>
        <w:widowControl w:val="0"/>
        <w:kinsoku/>
        <w:wordWrap/>
        <w:overflowPunct/>
        <w:topLinePunct w:val="0"/>
        <w:bidi w:val="0"/>
        <w:snapToGrid/>
        <w:spacing w:line="4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本项目按投标优惠率进行</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报价，设定投标优惠率报价范围，详见《</w:t>
      </w:r>
      <w:r>
        <w:rPr>
          <w:rFonts w:hint="eastAsia" w:ascii="宋体" w:hAnsi="宋体" w:eastAsia="宋体" w:cs="宋体"/>
          <w:b/>
          <w:bCs/>
          <w:color w:val="auto"/>
          <w:sz w:val="24"/>
          <w:szCs w:val="24"/>
          <w:highlight w:val="none"/>
          <w:lang w:val="en-US" w:eastAsia="zh-CN"/>
        </w:rPr>
        <w:t>最高限价分类</w:t>
      </w:r>
      <w:r>
        <w:rPr>
          <w:rFonts w:hint="eastAsia" w:ascii="宋体" w:hAnsi="宋体" w:eastAsia="宋体" w:cs="宋体"/>
          <w:b/>
          <w:bCs/>
          <w:color w:val="auto"/>
          <w:sz w:val="24"/>
          <w:szCs w:val="24"/>
          <w:highlight w:val="none"/>
        </w:rPr>
        <w:t>表》，优惠率不得超过报价范围，否则作无效投标处理。《</w:t>
      </w:r>
      <w:r>
        <w:rPr>
          <w:rFonts w:hint="eastAsia" w:ascii="宋体" w:hAnsi="宋体" w:eastAsia="宋体" w:cs="宋体"/>
          <w:b/>
          <w:bCs/>
          <w:color w:val="auto"/>
          <w:sz w:val="24"/>
          <w:szCs w:val="24"/>
          <w:highlight w:val="none"/>
          <w:lang w:val="en-US" w:eastAsia="zh-CN"/>
        </w:rPr>
        <w:t>最高限价分类</w:t>
      </w:r>
      <w:r>
        <w:rPr>
          <w:rFonts w:hint="eastAsia" w:ascii="宋体" w:hAnsi="宋体" w:eastAsia="宋体" w:cs="宋体"/>
          <w:b/>
          <w:bCs/>
          <w:color w:val="auto"/>
          <w:sz w:val="24"/>
          <w:szCs w:val="24"/>
          <w:highlight w:val="none"/>
        </w:rPr>
        <w:t>表》中所有</w:t>
      </w:r>
      <w:r>
        <w:rPr>
          <w:rFonts w:hint="eastAsia" w:ascii="宋体" w:hAnsi="宋体" w:eastAsia="宋体" w:cs="宋体"/>
          <w:b/>
          <w:bCs/>
          <w:color w:val="auto"/>
          <w:sz w:val="24"/>
          <w:szCs w:val="24"/>
          <w:highlight w:val="none"/>
          <w:lang w:val="en-US" w:eastAsia="zh-CN"/>
        </w:rPr>
        <w:t>类别</w:t>
      </w:r>
      <w:r>
        <w:rPr>
          <w:rFonts w:hint="eastAsia" w:ascii="宋体" w:hAnsi="宋体" w:eastAsia="宋体" w:cs="宋体"/>
          <w:b/>
          <w:bCs/>
          <w:color w:val="auto"/>
          <w:sz w:val="24"/>
          <w:szCs w:val="24"/>
          <w:highlight w:val="none"/>
        </w:rPr>
        <w:t>的投标优惠率相等，如不相等，将作无效投标处理。</w:t>
      </w:r>
    </w:p>
    <w:p w14:paraId="1C9FEE67">
      <w:pPr>
        <w:spacing w:line="45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val="en-US" w:eastAsia="zh-CN"/>
        </w:rPr>
        <w:t>中标单价=对应单价最高限价*（1-投标优惠率）。</w:t>
      </w:r>
    </w:p>
    <w:p w14:paraId="458825CA">
      <w:pPr>
        <w:keepNext w:val="0"/>
        <w:keepLines w:val="0"/>
        <w:pageBreakBefore w:val="0"/>
        <w:widowControl w:val="0"/>
        <w:kinsoku/>
        <w:wordWrap/>
        <w:overflowPunct/>
        <w:topLinePunct w:val="0"/>
        <w:bidi w:val="0"/>
        <w:snapToGrid/>
        <w:spacing w:line="460" w:lineRule="exact"/>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包括服务期限内完成该项目工作所需的所有费用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包括：货物费、包装费、运输费、装卸仓储费、质量保证费、检测费、人工费、保险费、风险费、利润、货物本身已支付或将支付的各种税费、其他交付使用前所产生的所有费用。</w:t>
      </w:r>
      <w:r>
        <w:rPr>
          <w:rFonts w:hint="eastAsia" w:ascii="宋体" w:hAnsi="宋体" w:eastAsia="宋体" w:cs="宋体"/>
          <w:b/>
          <w:bCs/>
          <w:color w:val="auto"/>
          <w:sz w:val="24"/>
          <w:szCs w:val="24"/>
          <w:highlight w:val="none"/>
        </w:rPr>
        <w:t>采购人不再为本项目支付其他任何费用。招标文件未有列明，而投标人认为必需的相关费用也需列入投标</w:t>
      </w:r>
      <w:r>
        <w:rPr>
          <w:rFonts w:hint="eastAsia" w:ascii="宋体" w:hAnsi="宋体" w:eastAsia="宋体" w:cs="宋体"/>
          <w:b/>
          <w:bCs/>
          <w:color w:val="auto"/>
          <w:sz w:val="24"/>
          <w:szCs w:val="24"/>
          <w:highlight w:val="none"/>
          <w:lang w:val="en-US" w:eastAsia="zh-CN"/>
        </w:rPr>
        <w:t>报价</w:t>
      </w:r>
      <w:r>
        <w:rPr>
          <w:rFonts w:hint="eastAsia" w:ascii="宋体" w:hAnsi="宋体" w:eastAsia="宋体" w:cs="宋体"/>
          <w:b/>
          <w:bCs/>
          <w:color w:val="auto"/>
          <w:sz w:val="24"/>
          <w:szCs w:val="24"/>
          <w:highlight w:val="none"/>
        </w:rPr>
        <w:t>中。</w:t>
      </w:r>
    </w:p>
    <w:p w14:paraId="192026B7">
      <w:pPr>
        <w:keepNext w:val="0"/>
        <w:keepLines w:val="0"/>
        <w:pageBreakBefore w:val="0"/>
        <w:widowControl w:val="0"/>
        <w:kinsoku/>
        <w:wordWrap/>
        <w:overflowPunct/>
        <w:topLinePunct w:val="0"/>
        <w:bidi w:val="0"/>
        <w:snapToGrid/>
        <w:spacing w:line="460" w:lineRule="exact"/>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、投标人在投标报价时应考虑各种风险因素，相关风险因素费用包含在投标</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中。</w:t>
      </w:r>
    </w:p>
    <w:p w14:paraId="62DEB1C0">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b/>
          <w:bCs/>
          <w:color w:val="auto"/>
          <w:sz w:val="28"/>
          <w:highlight w:val="none"/>
          <w:lang w:val="en-US" w:eastAsia="zh-CN"/>
        </w:rPr>
      </w:pPr>
      <w:bookmarkStart w:id="347" w:name="_Toc22892"/>
      <w:r>
        <w:rPr>
          <w:rFonts w:hint="eastAsia" w:ascii="宋体" w:hAnsi="宋体" w:eastAsia="宋体" w:cs="宋体"/>
          <w:b/>
          <w:bCs/>
          <w:color w:val="auto"/>
          <w:sz w:val="28"/>
          <w:highlight w:val="none"/>
          <w:lang w:val="en-US" w:eastAsia="zh-CN"/>
        </w:rPr>
        <w:t>五、质量保证及售后服务要求：</w:t>
      </w:r>
      <w:bookmarkEnd w:id="347"/>
    </w:p>
    <w:p w14:paraId="19A8C03B">
      <w:pPr>
        <w:keepNext w:val="0"/>
        <w:keepLines w:val="0"/>
        <w:pageBreakBefore w:val="0"/>
        <w:widowControl w:val="0"/>
        <w:kinsoku/>
        <w:wordWrap/>
        <w:overflowPunct/>
        <w:topLinePunct w:val="0"/>
        <w:bidi w:val="0"/>
        <w:snapToGrid/>
        <w:spacing w:line="46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b w:val="0"/>
          <w:bCs w:val="0"/>
          <w:color w:val="auto"/>
          <w:sz w:val="24"/>
          <w:highlight w:val="none"/>
          <w:lang w:val="en-US" w:eastAsia="zh-CN"/>
        </w:rPr>
        <w:t>投标</w:t>
      </w:r>
      <w:r>
        <w:rPr>
          <w:rFonts w:hint="eastAsia" w:ascii="宋体" w:hAnsi="宋体" w:eastAsia="宋体" w:cs="宋体"/>
          <w:color w:val="auto"/>
          <w:sz w:val="24"/>
          <w:szCs w:val="24"/>
          <w:highlight w:val="none"/>
        </w:rPr>
        <w:t>医用液氧</w:t>
      </w:r>
      <w:r>
        <w:rPr>
          <w:rFonts w:hint="eastAsia" w:ascii="宋体" w:hAnsi="宋体" w:eastAsia="宋体" w:cs="宋体"/>
          <w:b w:val="0"/>
          <w:bCs w:val="0"/>
          <w:color w:val="auto"/>
          <w:sz w:val="24"/>
          <w:highlight w:val="none"/>
        </w:rPr>
        <w:t>的免费质量保证期不少于</w:t>
      </w:r>
      <w:r>
        <w:rPr>
          <w:rFonts w:hint="eastAsia" w:ascii="宋体" w:hAnsi="宋体" w:eastAsia="宋体" w:cs="宋体"/>
          <w:b w:val="0"/>
          <w:bCs w:val="0"/>
          <w:color w:val="auto"/>
          <w:sz w:val="24"/>
          <w:highlight w:val="none"/>
          <w:lang w:val="en-US" w:eastAsia="zh-CN"/>
        </w:rPr>
        <w:t>3个月，</w:t>
      </w:r>
      <w:r>
        <w:rPr>
          <w:rFonts w:hint="eastAsia" w:ascii="宋体" w:hAnsi="宋体" w:eastAsia="宋体" w:cs="宋体"/>
          <w:b w:val="0"/>
          <w:bCs w:val="0"/>
          <w:color w:val="auto"/>
          <w:sz w:val="24"/>
          <w:highlight w:val="none"/>
        </w:rPr>
        <w:t>自验收合格之日起计算。</w:t>
      </w:r>
      <w:r>
        <w:rPr>
          <w:rFonts w:hint="eastAsia" w:ascii="宋体" w:hAnsi="宋体" w:eastAsia="宋体" w:cs="宋体"/>
          <w:b w:val="0"/>
          <w:bCs w:val="0"/>
          <w:color w:val="auto"/>
          <w:sz w:val="24"/>
          <w:highlight w:val="none"/>
          <w:lang w:val="en-US" w:eastAsia="zh-CN"/>
        </w:rPr>
        <w:t>投标</w:t>
      </w:r>
      <w:r>
        <w:rPr>
          <w:rFonts w:hint="eastAsia" w:ascii="宋体" w:hAnsi="宋体" w:eastAsia="宋体" w:cs="宋体"/>
          <w:color w:val="auto"/>
          <w:sz w:val="24"/>
          <w:szCs w:val="24"/>
          <w:highlight w:val="none"/>
        </w:rPr>
        <w:t>医用</w:t>
      </w:r>
      <w:r>
        <w:rPr>
          <w:rFonts w:hint="eastAsia" w:ascii="宋体" w:hAnsi="宋体" w:eastAsia="宋体" w:cs="宋体"/>
          <w:color w:val="auto"/>
          <w:sz w:val="24"/>
          <w:szCs w:val="24"/>
          <w:highlight w:val="none"/>
          <w:lang w:val="en-US" w:eastAsia="zh-CN"/>
        </w:rPr>
        <w:t>瓶装氧（40L医用氧、10L医用氧、4L医用氧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组合瓶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highlight w:val="none"/>
        </w:rPr>
        <w:t>的免费质量保证期不少于</w:t>
      </w:r>
      <w:r>
        <w:rPr>
          <w:rFonts w:hint="eastAsia" w:ascii="宋体" w:hAnsi="宋体" w:eastAsia="宋体" w:cs="宋体"/>
          <w:b w:val="0"/>
          <w:bCs w:val="0"/>
          <w:color w:val="auto"/>
          <w:sz w:val="24"/>
          <w:highlight w:val="none"/>
          <w:lang w:val="en-US" w:eastAsia="zh-CN"/>
        </w:rPr>
        <w:t>6个月，</w:t>
      </w:r>
      <w:r>
        <w:rPr>
          <w:rFonts w:hint="eastAsia" w:ascii="宋体" w:hAnsi="宋体" w:eastAsia="宋体" w:cs="宋体"/>
          <w:b w:val="0"/>
          <w:bCs w:val="0"/>
          <w:color w:val="auto"/>
          <w:sz w:val="24"/>
          <w:highlight w:val="none"/>
        </w:rPr>
        <w:t>自验收合格之日起计算</w:t>
      </w:r>
      <w:r>
        <w:rPr>
          <w:rFonts w:hint="eastAsia" w:ascii="宋体" w:hAnsi="宋体" w:eastAsia="宋体" w:cs="宋体"/>
          <w:color w:val="auto"/>
          <w:sz w:val="24"/>
          <w:highlight w:val="none"/>
          <w:lang w:val="en-US" w:eastAsia="zh-CN"/>
        </w:rPr>
        <w:t>。</w:t>
      </w:r>
    </w:p>
    <w:p w14:paraId="6019F340">
      <w:pPr>
        <w:keepNext w:val="0"/>
        <w:keepLines w:val="0"/>
        <w:pageBreakBefore w:val="0"/>
        <w:widowControl w:val="0"/>
        <w:kinsoku/>
        <w:wordWrap/>
        <w:overflowPunct/>
        <w:topLinePunct w:val="0"/>
        <w:bidi w:val="0"/>
        <w:snapToGrid/>
        <w:spacing w:line="46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在免费质量保证期内，因货物制造原因出现的任何质量问题，</w:t>
      </w:r>
      <w:r>
        <w:rPr>
          <w:rFonts w:hint="eastAsia" w:ascii="宋体" w:hAnsi="宋体" w:eastAsia="宋体" w:cs="宋体"/>
          <w:b w:val="0"/>
          <w:bCs w:val="0"/>
          <w:color w:val="auto"/>
          <w:sz w:val="24"/>
          <w:highlight w:val="none"/>
          <w:lang w:val="en-US" w:eastAsia="zh-CN"/>
        </w:rPr>
        <w:t>中标</w:t>
      </w:r>
      <w:r>
        <w:rPr>
          <w:rFonts w:hint="eastAsia" w:ascii="宋体" w:hAnsi="宋体" w:eastAsia="宋体" w:cs="宋体"/>
          <w:b w:val="0"/>
          <w:bCs w:val="0"/>
          <w:color w:val="auto"/>
          <w:sz w:val="24"/>
          <w:highlight w:val="none"/>
        </w:rPr>
        <w:t>人应负责更换，由此产生的一切费用由</w:t>
      </w:r>
      <w:r>
        <w:rPr>
          <w:rFonts w:hint="eastAsia" w:ascii="宋体" w:hAnsi="宋体" w:eastAsia="宋体" w:cs="宋体"/>
          <w:b w:val="0"/>
          <w:bCs w:val="0"/>
          <w:color w:val="auto"/>
          <w:sz w:val="24"/>
          <w:highlight w:val="none"/>
          <w:lang w:val="en-US" w:eastAsia="zh-CN"/>
        </w:rPr>
        <w:t>中标</w:t>
      </w:r>
      <w:r>
        <w:rPr>
          <w:rFonts w:hint="eastAsia" w:ascii="宋体" w:hAnsi="宋体" w:eastAsia="宋体" w:cs="宋体"/>
          <w:b w:val="0"/>
          <w:bCs w:val="0"/>
          <w:color w:val="auto"/>
          <w:sz w:val="24"/>
          <w:highlight w:val="none"/>
        </w:rPr>
        <w:t>人承担</w:t>
      </w:r>
      <w:r>
        <w:rPr>
          <w:rFonts w:hint="eastAsia" w:ascii="宋体" w:hAnsi="宋体" w:eastAsia="宋体" w:cs="宋体"/>
          <w:strike w:val="0"/>
          <w:dstrike w:val="0"/>
          <w:color w:val="auto"/>
          <w:sz w:val="24"/>
          <w:highlight w:val="none"/>
        </w:rPr>
        <w:t>。</w:t>
      </w:r>
    </w:p>
    <w:p w14:paraId="29770D53">
      <w:pPr>
        <w:keepNext w:val="0"/>
        <w:keepLines w:val="0"/>
        <w:pageBreakBefore w:val="0"/>
        <w:widowControl w:val="0"/>
        <w:kinsoku/>
        <w:wordWrap/>
        <w:overflowPunct/>
        <w:topLinePunct w:val="0"/>
        <w:bidi w:val="0"/>
        <w:snapToGrid/>
        <w:spacing w:line="460" w:lineRule="exact"/>
        <w:ind w:firstLine="48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szCs w:val="24"/>
          <w:highlight w:val="none"/>
        </w:rPr>
        <w:t>在免费质量保证期内，</w:t>
      </w:r>
      <w:bookmarkStart w:id="348" w:name="OLE_LINK12"/>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人</w:t>
      </w:r>
      <w:bookmarkEnd w:id="348"/>
      <w:r>
        <w:rPr>
          <w:rFonts w:hint="eastAsia" w:ascii="宋体" w:hAnsi="宋体" w:eastAsia="宋体" w:cs="宋体"/>
          <w:color w:val="auto"/>
          <w:sz w:val="24"/>
          <w:szCs w:val="24"/>
          <w:highlight w:val="none"/>
        </w:rPr>
        <w:t>接到采购人通知后应及时作出响应，售后服务人员应在</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小时内到达现场并解决问题。</w:t>
      </w:r>
      <w:r>
        <w:rPr>
          <w:rFonts w:hint="eastAsia" w:ascii="宋体" w:hAnsi="宋体" w:eastAsia="宋体" w:cs="宋体"/>
          <w:color w:val="auto"/>
          <w:sz w:val="24"/>
          <w:szCs w:val="24"/>
          <w:highlight w:val="none"/>
          <w:lang w:val="en-US" w:eastAsia="zh-CN"/>
        </w:rPr>
        <w:t>迟延响应超过8小时的，采购人有权扣减1000元/次，中标</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拒绝或迟延响应超过24小时的，采购人有权自行或委托第三方处理，因此产生的所有支出（包括但不限于因中标</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未能及时响应给采购人造成的损失，采购人自行或委托第三方处理产生的费用等</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人承担</w:t>
      </w:r>
      <w:r>
        <w:rPr>
          <w:rFonts w:hint="eastAsia" w:ascii="宋体" w:hAnsi="宋体" w:eastAsia="宋体" w:cs="宋体"/>
          <w:color w:val="auto"/>
          <w:sz w:val="24"/>
          <w:highlight w:val="none"/>
          <w:lang w:eastAsia="zh-CN"/>
        </w:rPr>
        <w:t>。</w:t>
      </w:r>
    </w:p>
    <w:p w14:paraId="1F6826F4">
      <w:pPr>
        <w:keepNext w:val="0"/>
        <w:keepLines w:val="0"/>
        <w:pageBreakBefore w:val="0"/>
        <w:widowControl w:val="0"/>
        <w:kinsoku/>
        <w:wordWrap/>
        <w:overflowPunct/>
        <w:topLinePunct w:val="0"/>
        <w:bidi w:val="0"/>
        <w:snapToGrid/>
        <w:spacing w:line="46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szCs w:val="24"/>
          <w:highlight w:val="none"/>
        </w:rPr>
        <w:t>如因货物质量原因给采购人造成各项损失的，由中标人承担全部经济和法律责任</w:t>
      </w:r>
      <w:r>
        <w:rPr>
          <w:rFonts w:hint="eastAsia" w:ascii="宋体" w:hAnsi="宋体" w:eastAsia="宋体" w:cs="宋体"/>
          <w:color w:val="auto"/>
          <w:sz w:val="24"/>
          <w:highlight w:val="none"/>
        </w:rPr>
        <w:t>。</w:t>
      </w:r>
    </w:p>
    <w:p w14:paraId="3CFC66C5">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b/>
          <w:bCs/>
          <w:color w:val="auto"/>
          <w:sz w:val="28"/>
          <w:highlight w:val="none"/>
          <w:lang w:val="en-US" w:eastAsia="zh-CN"/>
        </w:rPr>
      </w:pPr>
      <w:bookmarkStart w:id="349" w:name="_Toc9142"/>
      <w:r>
        <w:rPr>
          <w:rFonts w:hint="eastAsia" w:ascii="宋体" w:hAnsi="宋体" w:eastAsia="宋体" w:cs="宋体"/>
          <w:b/>
          <w:bCs/>
          <w:color w:val="auto"/>
          <w:sz w:val="28"/>
          <w:highlight w:val="none"/>
          <w:lang w:val="en-US" w:eastAsia="zh-CN"/>
        </w:rPr>
        <w:t>六、验收要求：</w:t>
      </w:r>
      <w:bookmarkEnd w:id="349"/>
    </w:p>
    <w:p w14:paraId="348BF4E4">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交付前验收货物交付前，</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应对货物的质量、数量等方面进行详细、全面的检验</w:t>
      </w:r>
      <w:r>
        <w:rPr>
          <w:rFonts w:hint="eastAsia" w:ascii="宋体" w:hAnsi="宋体" w:eastAsia="宋体" w:cs="宋体"/>
          <w:color w:val="auto"/>
          <w:sz w:val="24"/>
          <w:szCs w:val="24"/>
          <w:highlight w:val="none"/>
          <w:lang w:eastAsia="zh-CN"/>
        </w:rPr>
        <w:t>。</w:t>
      </w:r>
    </w:p>
    <w:p w14:paraId="4B072D1A">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到货验收</w:t>
      </w:r>
    </w:p>
    <w:p w14:paraId="1DA4B3E0">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①货物全部到达</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指定地点后，双方应派员共同对货物当场开箱进行外观验收，如</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不能按</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通知按时到达现场又未告知正当理由的，</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有权单方开箱检验，相应检验结果对</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 xml:space="preserve">有效。 </w:t>
      </w:r>
    </w:p>
    <w:p w14:paraId="1A5FDD0A">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交付的货物应当完全符合本合同、招标文件及投标文件所约定的货物、数量和规格要求。</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提供的货物不符合本合同、招标文件及投标文件约定及</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要求的，</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有权拒收货物，并由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承担相应的违约责任。</w:t>
      </w:r>
    </w:p>
    <w:p w14:paraId="1F7684D6">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应将所提供</w:t>
      </w:r>
      <w:r>
        <w:rPr>
          <w:rFonts w:hint="eastAsia" w:ascii="宋体" w:hAnsi="宋体" w:eastAsia="宋体" w:cs="宋体"/>
          <w:color w:val="auto"/>
          <w:sz w:val="24"/>
          <w:szCs w:val="24"/>
          <w:highlight w:val="none"/>
          <w:lang w:val="en-US" w:eastAsia="zh-CN"/>
        </w:rPr>
        <w:t>每批次</w:t>
      </w:r>
      <w:r>
        <w:rPr>
          <w:rFonts w:hint="eastAsia" w:ascii="宋体" w:hAnsi="宋体" w:eastAsia="宋体" w:cs="宋体"/>
          <w:color w:val="auto"/>
          <w:sz w:val="24"/>
          <w:szCs w:val="24"/>
          <w:highlight w:val="none"/>
        </w:rPr>
        <w:t>医用液氧</w:t>
      </w:r>
      <w:r>
        <w:rPr>
          <w:rFonts w:hint="eastAsia" w:ascii="宋体" w:hAnsi="宋体" w:eastAsia="宋体" w:cs="宋体"/>
          <w:color w:val="auto"/>
          <w:sz w:val="24"/>
          <w:szCs w:val="24"/>
          <w:highlight w:val="none"/>
          <w:lang w:val="en-US" w:eastAsia="zh-CN"/>
        </w:rPr>
        <w:t>及医用瓶装氧的批号及质检合格证</w:t>
      </w:r>
      <w:r>
        <w:rPr>
          <w:rFonts w:hint="eastAsia" w:ascii="宋体" w:hAnsi="宋体" w:eastAsia="宋体" w:cs="宋体"/>
          <w:color w:val="auto"/>
          <w:sz w:val="24"/>
          <w:szCs w:val="24"/>
          <w:highlight w:val="none"/>
        </w:rPr>
        <w:t>给</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不能完整交付上述规定的资料的，视为未按合同约定交货，</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负责补齐，因此导致逾期交付的，由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承担相应的违约责任。</w:t>
      </w:r>
    </w:p>
    <w:p w14:paraId="54AB5B61">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④有关货物质量、规格、性能、数量或重量的检验不应视为最终检验。 </w:t>
      </w:r>
    </w:p>
    <w:p w14:paraId="1C81AFB4">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最终验收</w:t>
      </w:r>
    </w:p>
    <w:p w14:paraId="5BE781C2">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w:t>
      </w:r>
      <w:r>
        <w:rPr>
          <w:rFonts w:hint="eastAsia" w:ascii="宋体" w:hAnsi="宋体" w:eastAsia="宋体" w:cs="宋体"/>
          <w:color w:val="auto"/>
          <w:sz w:val="24"/>
          <w:highlight w:val="none"/>
        </w:rPr>
        <w:t>货物供货</w:t>
      </w:r>
      <w:r>
        <w:rPr>
          <w:rFonts w:hint="eastAsia" w:ascii="宋体" w:hAnsi="宋体" w:eastAsia="宋体" w:cs="宋体"/>
          <w:color w:val="auto"/>
          <w:sz w:val="24"/>
          <w:highlight w:val="none"/>
          <w:lang w:val="en-US" w:eastAsia="zh-CN"/>
        </w:rPr>
        <w:t>到位</w:t>
      </w:r>
      <w:r>
        <w:rPr>
          <w:rFonts w:hint="eastAsia" w:ascii="宋体" w:hAnsi="宋体" w:eastAsia="宋体" w:cs="宋体"/>
          <w:color w:val="auto"/>
          <w:sz w:val="24"/>
          <w:highlight w:val="none"/>
        </w:rPr>
        <w:t>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应及时通知</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对项目进行验收。经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组织相关人员验收合格后，由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签署验收单</w:t>
      </w:r>
      <w:r>
        <w:rPr>
          <w:rFonts w:hint="eastAsia" w:ascii="宋体" w:hAnsi="宋体" w:eastAsia="宋体" w:cs="宋体"/>
          <w:color w:val="auto"/>
          <w:sz w:val="24"/>
          <w:highlight w:val="none"/>
        </w:rPr>
        <w:t>。若</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验收不认可，</w:t>
      </w:r>
      <w:r>
        <w:rPr>
          <w:rFonts w:hint="eastAsia" w:ascii="宋体" w:hAnsi="宋体" w:eastAsia="宋体" w:cs="宋体"/>
          <w:color w:val="auto"/>
          <w:sz w:val="24"/>
          <w:szCs w:val="24"/>
          <w:highlight w:val="none"/>
        </w:rPr>
        <w:t>可由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向相关法定质量监督部门申报验收，验收不合格的，费用由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承担。若验收合格，则由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承担相应费用。</w:t>
      </w:r>
    </w:p>
    <w:p w14:paraId="324F03CC">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②设备验收包括：数量、外观、质量、性能、质保单、包装和乙方承诺及甲方要求的其它指标。</w:t>
      </w:r>
    </w:p>
    <w:p w14:paraId="0F2379C6">
      <w:pPr>
        <w:keepNext w:val="0"/>
        <w:keepLines w:val="0"/>
        <w:pageBreakBefore w:val="0"/>
        <w:widowControl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③如验收不合格或在质量保证期内发现货物是不合格的，包括货物有明显的或潜在的缺陷、使用不符合要求的材料、运行效果达不到要求等，</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有权提出书面异议，</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提出书面异议后，</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书面异议中限定的时间内根据</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的要求进行调换或采取其他</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同意的补救措施。由此产生的一切费用包括但不限于拆卸/搬运/运输/保管费用及责任等均由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承担。</w:t>
      </w:r>
    </w:p>
    <w:p w14:paraId="5A6AD072">
      <w:pPr>
        <w:keepNext w:val="0"/>
        <w:keepLines w:val="0"/>
        <w:pageBreakBefore w:val="0"/>
        <w:widowControl w:val="0"/>
        <w:kinsoku/>
        <w:wordWrap/>
        <w:overflowPunct/>
        <w:topLinePunct w:val="0"/>
        <w:bidi w:val="0"/>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④验收标准应遵循国家相关标准、行业通行标准、厂方出厂标准、招标文件要求和</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投标文件的承诺、</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要求等。</w:t>
      </w:r>
    </w:p>
    <w:p w14:paraId="00E89899">
      <w:pPr>
        <w:keepNext w:val="0"/>
        <w:keepLines w:val="0"/>
        <w:pageBreakBefore w:val="0"/>
        <w:widowControl w:val="0"/>
        <w:kinsoku/>
        <w:wordWrap/>
        <w:overflowPunct/>
        <w:topLinePunct w:val="0"/>
        <w:bidi w:val="0"/>
        <w:snapToGrid/>
        <w:spacing w:line="460" w:lineRule="exact"/>
        <w:textAlignment w:val="auto"/>
        <w:outlineLvl w:val="1"/>
        <w:rPr>
          <w:rFonts w:hint="eastAsia" w:ascii="宋体" w:hAnsi="宋体" w:eastAsia="宋体" w:cs="宋体"/>
          <w:b/>
          <w:bCs/>
          <w:color w:val="auto"/>
          <w:sz w:val="28"/>
          <w:highlight w:val="none"/>
          <w:lang w:val="en-US" w:eastAsia="zh-CN"/>
        </w:rPr>
      </w:pPr>
      <w:bookmarkStart w:id="350" w:name="_Toc10311"/>
      <w:r>
        <w:rPr>
          <w:rFonts w:hint="eastAsia" w:ascii="宋体" w:hAnsi="宋体" w:eastAsia="宋体" w:cs="宋体"/>
          <w:b/>
          <w:bCs/>
          <w:color w:val="auto"/>
          <w:sz w:val="28"/>
          <w:highlight w:val="none"/>
          <w:lang w:val="en-US" w:eastAsia="zh-CN"/>
        </w:rPr>
        <w:t>七、其他：</w:t>
      </w:r>
      <w:bookmarkEnd w:id="350"/>
    </w:p>
    <w:p w14:paraId="3FCA4E58">
      <w:pPr>
        <w:keepNext w:val="0"/>
        <w:keepLines w:val="0"/>
        <w:pageBreakBefore w:val="0"/>
        <w:widowControl w:val="0"/>
        <w:kinsoku/>
        <w:wordWrap/>
        <w:overflowPunct/>
        <w:topLinePunct w:val="0"/>
        <w:bidi w:val="0"/>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本项目“采购需求”中标“★”的相关要求，为本招标文件实质性要求，必须满足，否则将作无效投标处理。</w:t>
      </w:r>
    </w:p>
    <w:p w14:paraId="6FD1DED4">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r>
    </w:p>
    <w:p w14:paraId="1BFB0CB4">
      <w:pPr>
        <w:keepNext/>
        <w:ind w:firstLine="880"/>
        <w:jc w:val="center"/>
        <w:outlineLvl w:val="0"/>
        <w:rPr>
          <w:rFonts w:hint="eastAsia" w:ascii="宋体" w:hAnsi="宋体" w:eastAsia="宋体" w:cs="宋体"/>
          <w:b/>
          <w:bCs/>
          <w:color w:val="auto"/>
          <w:sz w:val="40"/>
          <w:szCs w:val="40"/>
          <w:highlight w:val="none"/>
        </w:rPr>
      </w:pPr>
      <w:bookmarkStart w:id="351" w:name="_Toc2352"/>
      <w:r>
        <w:rPr>
          <w:rFonts w:hint="eastAsia" w:ascii="宋体" w:hAnsi="宋体" w:eastAsia="宋体" w:cs="宋体"/>
          <w:b/>
          <w:bCs/>
          <w:color w:val="auto"/>
          <w:sz w:val="40"/>
          <w:szCs w:val="40"/>
          <w:highlight w:val="none"/>
        </w:rPr>
        <w:t>第五章  评标方法与评标标准</w:t>
      </w:r>
      <w:bookmarkEnd w:id="351"/>
    </w:p>
    <w:p w14:paraId="0BD52E6A">
      <w:pPr>
        <w:rPr>
          <w:rFonts w:hint="eastAsia" w:ascii="宋体" w:hAnsi="宋体" w:eastAsia="宋体" w:cs="宋体"/>
          <w:color w:val="auto"/>
          <w:szCs w:val="21"/>
          <w:highlight w:val="none"/>
        </w:rPr>
      </w:pPr>
    </w:p>
    <w:p w14:paraId="3D3DEDB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8"/>
          <w:highlight w:val="none"/>
        </w:rPr>
      </w:pPr>
      <w:bookmarkStart w:id="352" w:name="_Toc17476"/>
      <w:bookmarkStart w:id="353" w:name="_Toc698"/>
      <w:bookmarkStart w:id="354" w:name="_Toc16264"/>
      <w:r>
        <w:rPr>
          <w:rFonts w:hint="eastAsia" w:ascii="宋体" w:hAnsi="宋体" w:eastAsia="宋体" w:cs="宋体"/>
          <w:b/>
          <w:bCs/>
          <w:color w:val="auto"/>
          <w:sz w:val="28"/>
          <w:highlight w:val="none"/>
        </w:rPr>
        <w:t>一、评标办法：</w:t>
      </w:r>
      <w:bookmarkEnd w:id="352"/>
      <w:bookmarkEnd w:id="353"/>
      <w:bookmarkEnd w:id="354"/>
    </w:p>
    <w:p w14:paraId="08B49191">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1、评标办法采用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2E36889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二、评分标准：</w:t>
      </w:r>
    </w:p>
    <w:p w14:paraId="0A80A3A8">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1、投标报价</w:t>
      </w:r>
      <w:r>
        <w:rPr>
          <w:rFonts w:hint="eastAsia" w:ascii="宋体" w:hAnsi="宋体" w:eastAsia="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分</w:t>
      </w:r>
    </w:p>
    <w:p w14:paraId="3C58DC54">
      <w:pPr>
        <w:keepNext w:val="0"/>
        <w:keepLines w:val="0"/>
        <w:pageBreakBefore w:val="0"/>
        <w:widowControl w:val="0"/>
        <w:kinsoku/>
        <w:wordWrap/>
        <w:overflowPunct/>
        <w:topLinePunct w:val="0"/>
        <w:autoSpaceDE/>
        <w:autoSpaceDN/>
        <w:bidi w:val="0"/>
        <w:adjustRightInd/>
        <w:snapToGrid/>
        <w:spacing w:line="460" w:lineRule="exact"/>
        <w:ind w:firstLine="47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w:t>
      </w:r>
      <w:r>
        <w:rPr>
          <w:rFonts w:hint="eastAsia" w:ascii="宋体" w:hAnsi="宋体" w:eastAsia="宋体" w:cs="宋体"/>
          <w:color w:val="auto"/>
          <w:sz w:val="24"/>
          <w:highlight w:val="none"/>
        </w:rPr>
        <w:t>投标优惠率最高的投标报价为评标基准优惠率</w:t>
      </w:r>
      <w:r>
        <w:rPr>
          <w:rFonts w:hint="eastAsia" w:ascii="宋体" w:hAnsi="宋体" w:eastAsia="宋体" w:cs="宋体"/>
          <w:color w:val="auto"/>
          <w:sz w:val="24"/>
          <w:szCs w:val="24"/>
          <w:highlight w:val="none"/>
        </w:rPr>
        <w:t>，其价格分为</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分；其他投标人的价格分按下列公式计算：投标报价得分＝</w:t>
      </w:r>
      <w:r>
        <w:rPr>
          <w:rFonts w:hint="eastAsia" w:ascii="宋体" w:hAnsi="宋体" w:eastAsia="宋体" w:cs="宋体"/>
          <w:color w:val="auto"/>
          <w:sz w:val="24"/>
          <w:highlight w:val="none"/>
        </w:rPr>
        <w:t>【（1-评标基准优惠率）/（1-投标优惠率）】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p w14:paraId="75D2AB2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highlight w:val="none"/>
        </w:rPr>
      </w:pPr>
      <w:bookmarkStart w:id="355" w:name="_Hlk100141372"/>
      <w:r>
        <w:rPr>
          <w:rFonts w:hint="eastAsia" w:ascii="宋体" w:hAnsi="宋体" w:eastAsia="宋体" w:cs="宋体"/>
          <w:b/>
          <w:bCs/>
          <w:color w:val="auto"/>
          <w:sz w:val="24"/>
          <w:highlight w:val="none"/>
        </w:rPr>
        <w:t xml:space="preserve">注：（一）采购人应当在采购文件中明确，政府采购评审中出现下列情形之一的，评审委员会应当启动异常低价投标（响应）审查程序： </w:t>
      </w:r>
    </w:p>
    <w:p w14:paraId="3E520771">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1.投标（响应）报价低于全部通过符合性审查供应商投标（响应）报价平均值50%的，即投标（响应）报价&lt;全部通过符合性审查供应商投标（响应）报价平均值×50%； </w:t>
      </w:r>
    </w:p>
    <w:p w14:paraId="7F177FFE">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2.投标（响应）报价低于通过符合性审查的次低报价供应商投标（响应）报价50%的，即投标（响应）报价&lt;通过符合性审查的次低报价供应商投标（响应）报价×50%； </w:t>
      </w:r>
    </w:p>
    <w:p w14:paraId="1AD702D2">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3.投标（响应）报价低于采购项目最高限价45%的，即投标（响应）报价&lt;采购项目最高限价×45%； </w:t>
      </w:r>
    </w:p>
    <w:p w14:paraId="69DAE003">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4.评审委员会基于专业判断，认为供应商报价过低，有可能影响产品质量或者不能诚信履约的其他情形。</w:t>
      </w:r>
    </w:p>
    <w:p w14:paraId="2C9463FA">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0C2BF7A">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2F820F0">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bookmarkEnd w:id="355"/>
    <w:p w14:paraId="5F147F91">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2、技术性能参数</w:t>
      </w:r>
      <w:r>
        <w:rPr>
          <w:rFonts w:hint="eastAsia" w:ascii="宋体" w:hAnsi="宋体" w:eastAsia="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分</w:t>
      </w:r>
    </w:p>
    <w:tbl>
      <w:tblPr>
        <w:tblStyle w:val="38"/>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1948"/>
        <w:gridCol w:w="816"/>
        <w:gridCol w:w="6044"/>
      </w:tblGrid>
      <w:tr w14:paraId="351E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07" w:type="dxa"/>
            <w:tcBorders>
              <w:top w:val="single" w:color="auto" w:sz="4" w:space="0"/>
              <w:left w:val="single" w:color="auto" w:sz="4" w:space="0"/>
              <w:bottom w:val="single" w:color="auto" w:sz="4" w:space="0"/>
              <w:right w:val="single" w:color="auto" w:sz="4" w:space="0"/>
            </w:tcBorders>
            <w:vAlign w:val="center"/>
          </w:tcPr>
          <w:p w14:paraId="2719A4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48" w:type="dxa"/>
            <w:tcBorders>
              <w:top w:val="single" w:color="auto" w:sz="4" w:space="0"/>
              <w:left w:val="single" w:color="auto" w:sz="4" w:space="0"/>
              <w:bottom w:val="single" w:color="auto" w:sz="4" w:space="0"/>
              <w:right w:val="single" w:color="auto" w:sz="4" w:space="0"/>
            </w:tcBorders>
            <w:vAlign w:val="center"/>
          </w:tcPr>
          <w:p w14:paraId="26035C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16" w:type="dxa"/>
            <w:tcBorders>
              <w:top w:val="single" w:color="auto" w:sz="4" w:space="0"/>
              <w:left w:val="single" w:color="auto" w:sz="4" w:space="0"/>
              <w:bottom w:val="single" w:color="auto" w:sz="4" w:space="0"/>
              <w:right w:val="single" w:color="auto" w:sz="4" w:space="0"/>
            </w:tcBorders>
            <w:vAlign w:val="center"/>
          </w:tcPr>
          <w:p w14:paraId="0973A02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044" w:type="dxa"/>
            <w:tcBorders>
              <w:top w:val="single" w:color="auto" w:sz="4" w:space="0"/>
              <w:left w:val="single" w:color="auto" w:sz="4" w:space="0"/>
              <w:bottom w:val="single" w:color="auto" w:sz="4" w:space="0"/>
              <w:right w:val="single" w:color="auto" w:sz="4" w:space="0"/>
            </w:tcBorders>
            <w:vAlign w:val="center"/>
          </w:tcPr>
          <w:p w14:paraId="50706A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5539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07" w:type="dxa"/>
            <w:vAlign w:val="center"/>
          </w:tcPr>
          <w:p w14:paraId="1D6B8B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48" w:type="dxa"/>
            <w:vAlign w:val="center"/>
          </w:tcPr>
          <w:p w14:paraId="5FD24CF5">
            <w:pPr>
              <w:spacing w:line="3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技术性能参数响应性</w:t>
            </w:r>
          </w:p>
        </w:tc>
        <w:tc>
          <w:tcPr>
            <w:tcW w:w="816" w:type="dxa"/>
            <w:vAlign w:val="center"/>
          </w:tcPr>
          <w:p w14:paraId="1191BCF3">
            <w:pPr>
              <w:spacing w:line="3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24分</w:t>
            </w:r>
          </w:p>
        </w:tc>
        <w:tc>
          <w:tcPr>
            <w:tcW w:w="6044" w:type="dxa"/>
            <w:shd w:val="clear" w:color="auto" w:fill="auto"/>
            <w:vAlign w:val="center"/>
          </w:tcPr>
          <w:p w14:paraId="4E5413A3">
            <w:pPr>
              <w:spacing w:line="3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投标货物的技术性能参数要求满足招标要求的得24分（共30条），有负偏离条款的，每条扣0.8分。</w:t>
            </w:r>
          </w:p>
          <w:p w14:paraId="67EA0B30">
            <w:pPr>
              <w:spacing w:line="300" w:lineRule="exact"/>
              <w:jc w:val="left"/>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val="en-US" w:eastAsia="zh-CN"/>
              </w:rPr>
              <w:t>注：本项目“采购需求”中标“★”的相关要求，为本招标文件实质性要求，必须满足，否则将作无效投标处理。</w:t>
            </w:r>
          </w:p>
        </w:tc>
      </w:tr>
    </w:tbl>
    <w:p w14:paraId="4B169AD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3、项目实施方案</w:t>
      </w:r>
      <w:r>
        <w:rPr>
          <w:rFonts w:hint="eastAsia" w:ascii="宋体" w:hAnsi="宋体" w:eastAsia="宋体" w:cs="宋体"/>
          <w:b/>
          <w:bCs/>
          <w:color w:val="auto"/>
          <w:sz w:val="24"/>
          <w:szCs w:val="24"/>
          <w:highlight w:val="none"/>
          <w:lang w:val="en-US" w:eastAsia="zh-CN"/>
        </w:rPr>
        <w:t>及质量保证20</w:t>
      </w:r>
      <w:r>
        <w:rPr>
          <w:rFonts w:hint="eastAsia" w:ascii="宋体" w:hAnsi="宋体" w:eastAsia="宋体" w:cs="宋体"/>
          <w:b/>
          <w:bCs/>
          <w:color w:val="auto"/>
          <w:sz w:val="24"/>
          <w:szCs w:val="24"/>
          <w:highlight w:val="none"/>
        </w:rPr>
        <w:t>分</w:t>
      </w:r>
    </w:p>
    <w:tbl>
      <w:tblPr>
        <w:tblStyle w:val="38"/>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935"/>
        <w:gridCol w:w="810"/>
        <w:gridCol w:w="6141"/>
      </w:tblGrid>
      <w:tr w14:paraId="644E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F6362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5AFB79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10" w:type="dxa"/>
            <w:tcBorders>
              <w:top w:val="single" w:color="auto" w:sz="4" w:space="0"/>
              <w:left w:val="single" w:color="auto" w:sz="4" w:space="0"/>
              <w:bottom w:val="single" w:color="auto" w:sz="4" w:space="0"/>
              <w:right w:val="single" w:color="auto" w:sz="4" w:space="0"/>
            </w:tcBorders>
            <w:vAlign w:val="center"/>
          </w:tcPr>
          <w:p w14:paraId="40EF1A1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141" w:type="dxa"/>
            <w:tcBorders>
              <w:top w:val="single" w:color="auto" w:sz="4" w:space="0"/>
              <w:left w:val="single" w:color="auto" w:sz="4" w:space="0"/>
              <w:bottom w:val="single" w:color="auto" w:sz="4" w:space="0"/>
              <w:right w:val="single" w:color="auto" w:sz="4" w:space="0"/>
            </w:tcBorders>
            <w:vAlign w:val="center"/>
          </w:tcPr>
          <w:p w14:paraId="751D18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6569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583531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35" w:type="dxa"/>
            <w:tcBorders>
              <w:top w:val="single" w:color="auto" w:sz="4" w:space="0"/>
              <w:left w:val="single" w:color="auto" w:sz="4" w:space="0"/>
              <w:bottom w:val="single" w:color="auto" w:sz="4" w:space="0"/>
              <w:right w:val="single" w:color="auto" w:sz="4" w:space="0"/>
            </w:tcBorders>
            <w:vAlign w:val="center"/>
          </w:tcPr>
          <w:p w14:paraId="7D4B6852">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项目实施方案</w:t>
            </w:r>
          </w:p>
        </w:tc>
        <w:tc>
          <w:tcPr>
            <w:tcW w:w="810" w:type="dxa"/>
            <w:tcBorders>
              <w:top w:val="single" w:color="auto" w:sz="4" w:space="0"/>
              <w:left w:val="single" w:color="auto" w:sz="4" w:space="0"/>
              <w:bottom w:val="single" w:color="auto" w:sz="4" w:space="0"/>
              <w:right w:val="single" w:color="auto" w:sz="4" w:space="0"/>
            </w:tcBorders>
            <w:vAlign w:val="center"/>
          </w:tcPr>
          <w:p w14:paraId="33BB3B90">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141" w:type="dxa"/>
            <w:tcBorders>
              <w:top w:val="single" w:color="auto" w:sz="4" w:space="0"/>
              <w:left w:val="single" w:color="auto" w:sz="4" w:space="0"/>
              <w:bottom w:val="single" w:color="auto" w:sz="4" w:space="0"/>
              <w:right w:val="single" w:color="auto" w:sz="4" w:space="0"/>
            </w:tcBorders>
            <w:vAlign w:val="center"/>
          </w:tcPr>
          <w:p w14:paraId="010F0E74">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项目实施</w:t>
            </w:r>
            <w:r>
              <w:rPr>
                <w:rFonts w:hint="eastAsia" w:ascii="宋体" w:hAnsi="宋体" w:eastAsia="宋体" w:cs="宋体"/>
                <w:b/>
                <w:bCs/>
                <w:color w:val="auto"/>
                <w:sz w:val="24"/>
                <w:szCs w:val="24"/>
                <w:highlight w:val="none"/>
              </w:rPr>
              <w:t>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项）：①</w:t>
            </w:r>
            <w:r>
              <w:rPr>
                <w:rFonts w:hint="eastAsia" w:ascii="宋体" w:hAnsi="宋体" w:eastAsia="宋体" w:cs="宋体"/>
                <w:color w:val="auto"/>
                <w:sz w:val="24"/>
                <w:szCs w:val="24"/>
                <w:highlight w:val="none"/>
                <w:lang w:val="en-US" w:eastAsia="zh-CN"/>
              </w:rPr>
              <w:t>项目总体实施方案</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物流运输服务实施</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③、对采购人气站设备的定期巡检、定期保养方案④、与采购人的配合措施</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分；体现上述评审要点但内容无法完全贴合项目需求的，每有一项得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分；未能体现评审要点（或无实质性内容的）的得0分</w:t>
            </w:r>
            <w:r>
              <w:rPr>
                <w:rFonts w:hint="eastAsia" w:ascii="宋体" w:hAnsi="宋体" w:eastAsia="宋体" w:cs="宋体"/>
                <w:color w:val="auto"/>
                <w:sz w:val="24"/>
                <w:szCs w:val="24"/>
                <w:highlight w:val="none"/>
                <w:lang w:eastAsia="zh-CN"/>
              </w:rPr>
              <w:t>。</w:t>
            </w:r>
          </w:p>
        </w:tc>
      </w:tr>
      <w:tr w14:paraId="7B52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50A775D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35" w:type="dxa"/>
            <w:tcBorders>
              <w:top w:val="single" w:color="auto" w:sz="4" w:space="0"/>
              <w:left w:val="single" w:color="auto" w:sz="4" w:space="0"/>
              <w:bottom w:val="single" w:color="auto" w:sz="4" w:space="0"/>
              <w:right w:val="single" w:color="auto" w:sz="4" w:space="0"/>
            </w:tcBorders>
            <w:vAlign w:val="center"/>
          </w:tcPr>
          <w:p w14:paraId="1088DB8F">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应急服务方案</w:t>
            </w:r>
          </w:p>
        </w:tc>
        <w:tc>
          <w:tcPr>
            <w:tcW w:w="810" w:type="dxa"/>
            <w:tcBorders>
              <w:top w:val="single" w:color="auto" w:sz="4" w:space="0"/>
              <w:left w:val="single" w:color="auto" w:sz="4" w:space="0"/>
              <w:bottom w:val="single" w:color="auto" w:sz="4" w:space="0"/>
              <w:right w:val="single" w:color="auto" w:sz="4" w:space="0"/>
            </w:tcBorders>
            <w:vAlign w:val="center"/>
          </w:tcPr>
          <w:p w14:paraId="4EE9841D">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3分</w:t>
            </w:r>
          </w:p>
        </w:tc>
        <w:tc>
          <w:tcPr>
            <w:tcW w:w="6141" w:type="dxa"/>
            <w:tcBorders>
              <w:top w:val="single" w:color="auto" w:sz="4" w:space="0"/>
              <w:left w:val="single" w:color="auto" w:sz="4" w:space="0"/>
              <w:bottom w:val="single" w:color="auto" w:sz="4" w:space="0"/>
              <w:right w:val="single" w:color="auto" w:sz="4" w:space="0"/>
            </w:tcBorders>
            <w:vAlign w:val="center"/>
          </w:tcPr>
          <w:p w14:paraId="035B40A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应急服务方案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项）：①</w:t>
            </w:r>
            <w:r>
              <w:rPr>
                <w:rFonts w:hint="eastAsia" w:ascii="宋体" w:hAnsi="宋体" w:eastAsia="宋体" w:cs="宋体"/>
                <w:color w:val="auto"/>
                <w:sz w:val="24"/>
                <w:szCs w:val="24"/>
                <w:highlight w:val="none"/>
                <w:lang w:val="en-US" w:eastAsia="zh-CN"/>
              </w:rPr>
              <w:t>遇特殊事故</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遇重大活动期间、③遇不可抗力</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分。体现上述评审要点且内容完全贴合项目需求的，每有一项得</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分；体现上述评审要点但内容无法完全贴合项目需求的，每有一项得</w:t>
            </w:r>
            <w:r>
              <w:rPr>
                <w:rFonts w:hint="eastAsia" w:ascii="宋体" w:hAnsi="宋体" w:eastAsia="宋体" w:cs="宋体"/>
                <w:b/>
                <w:bCs/>
                <w:color w:val="auto"/>
                <w:sz w:val="24"/>
                <w:szCs w:val="24"/>
                <w:highlight w:val="none"/>
                <w:lang w:val="en-US" w:eastAsia="zh-CN"/>
              </w:rPr>
              <w:t>0.5</w:t>
            </w:r>
            <w:r>
              <w:rPr>
                <w:rFonts w:hint="eastAsia" w:ascii="宋体" w:hAnsi="宋体" w:eastAsia="宋体" w:cs="宋体"/>
                <w:b/>
                <w:bCs/>
                <w:color w:val="auto"/>
                <w:sz w:val="24"/>
                <w:szCs w:val="24"/>
                <w:highlight w:val="none"/>
              </w:rPr>
              <w:t>分；未能体现评审要点（或无实质性内容的）的得0分</w:t>
            </w:r>
            <w:r>
              <w:rPr>
                <w:rFonts w:hint="eastAsia" w:ascii="宋体" w:hAnsi="宋体" w:eastAsia="宋体" w:cs="宋体"/>
                <w:b/>
                <w:bCs/>
                <w:color w:val="auto"/>
                <w:sz w:val="24"/>
                <w:szCs w:val="24"/>
                <w:highlight w:val="none"/>
                <w:lang w:eastAsia="zh-CN"/>
              </w:rPr>
              <w:t>。</w:t>
            </w:r>
          </w:p>
        </w:tc>
      </w:tr>
      <w:tr w14:paraId="6D12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5170886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35" w:type="dxa"/>
            <w:tcBorders>
              <w:top w:val="single" w:color="auto" w:sz="4" w:space="0"/>
              <w:left w:val="single" w:color="auto" w:sz="4" w:space="0"/>
              <w:bottom w:val="single" w:color="auto" w:sz="4" w:space="0"/>
              <w:right w:val="single" w:color="auto" w:sz="4" w:space="0"/>
            </w:tcBorders>
            <w:vAlign w:val="center"/>
          </w:tcPr>
          <w:p w14:paraId="69AC939B">
            <w:pPr>
              <w:spacing w:line="3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验收及售后服务方案</w:t>
            </w:r>
          </w:p>
        </w:tc>
        <w:tc>
          <w:tcPr>
            <w:tcW w:w="810" w:type="dxa"/>
            <w:tcBorders>
              <w:top w:val="single" w:color="auto" w:sz="4" w:space="0"/>
              <w:left w:val="single" w:color="auto" w:sz="4" w:space="0"/>
              <w:bottom w:val="single" w:color="auto" w:sz="4" w:space="0"/>
              <w:right w:val="single" w:color="auto" w:sz="4" w:space="0"/>
            </w:tcBorders>
            <w:vAlign w:val="center"/>
          </w:tcPr>
          <w:p w14:paraId="6CE995A5">
            <w:pPr>
              <w:spacing w:line="3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3分</w:t>
            </w:r>
          </w:p>
        </w:tc>
        <w:tc>
          <w:tcPr>
            <w:tcW w:w="6141" w:type="dxa"/>
            <w:tcBorders>
              <w:top w:val="single" w:color="auto" w:sz="4" w:space="0"/>
              <w:left w:val="single" w:color="auto" w:sz="4" w:space="0"/>
              <w:bottom w:val="single" w:color="auto" w:sz="4" w:space="0"/>
              <w:right w:val="single" w:color="auto" w:sz="4" w:space="0"/>
            </w:tcBorders>
            <w:vAlign w:val="center"/>
          </w:tcPr>
          <w:p w14:paraId="598CD99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验收及售后服务方案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项）：①</w:t>
            </w:r>
            <w:r>
              <w:rPr>
                <w:rFonts w:hint="eastAsia" w:ascii="宋体" w:hAnsi="宋体" w:eastAsia="宋体" w:cs="宋体"/>
                <w:color w:val="auto"/>
                <w:sz w:val="24"/>
                <w:szCs w:val="24"/>
                <w:highlight w:val="none"/>
                <w:lang w:val="en-US" w:eastAsia="zh-CN"/>
              </w:rPr>
              <w:t>货物配合验收方案</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人员培训方案、③技术指导方案</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分。体现上述评审要点且内容完全贴合项目需求的，每有一项得</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分；体现上述评审要点但内容无法完全贴合项目需求的，每有一项得</w:t>
            </w:r>
            <w:r>
              <w:rPr>
                <w:rFonts w:hint="eastAsia" w:ascii="宋体" w:hAnsi="宋体" w:eastAsia="宋体" w:cs="宋体"/>
                <w:b/>
                <w:bCs/>
                <w:color w:val="auto"/>
                <w:sz w:val="24"/>
                <w:szCs w:val="24"/>
                <w:highlight w:val="none"/>
                <w:lang w:val="en-US" w:eastAsia="zh-CN"/>
              </w:rPr>
              <w:t>0.5</w:t>
            </w:r>
            <w:r>
              <w:rPr>
                <w:rFonts w:hint="eastAsia" w:ascii="宋体" w:hAnsi="宋体" w:eastAsia="宋体" w:cs="宋体"/>
                <w:b/>
                <w:bCs/>
                <w:color w:val="auto"/>
                <w:sz w:val="24"/>
                <w:szCs w:val="24"/>
                <w:highlight w:val="none"/>
              </w:rPr>
              <w:t>分；未能体现评审要点（或无实质性内容的）的得0分</w:t>
            </w:r>
            <w:r>
              <w:rPr>
                <w:rFonts w:hint="eastAsia" w:ascii="宋体" w:hAnsi="宋体" w:eastAsia="宋体" w:cs="宋体"/>
                <w:b/>
                <w:bCs/>
                <w:color w:val="auto"/>
                <w:sz w:val="24"/>
                <w:szCs w:val="24"/>
                <w:highlight w:val="none"/>
                <w:lang w:eastAsia="zh-CN"/>
              </w:rPr>
              <w:t>。</w:t>
            </w:r>
          </w:p>
        </w:tc>
      </w:tr>
      <w:tr w14:paraId="70A4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3195359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2787B677">
            <w:pPr>
              <w:pStyle w:val="1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免费质量保证</w:t>
            </w:r>
          </w:p>
        </w:tc>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14:paraId="63B8D18B">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141" w:type="dxa"/>
            <w:tcBorders>
              <w:top w:val="single" w:color="auto" w:sz="4" w:space="0"/>
              <w:left w:val="single" w:color="auto" w:sz="4" w:space="0"/>
              <w:bottom w:val="single" w:color="auto" w:sz="4" w:space="0"/>
              <w:right w:val="single" w:color="auto" w:sz="4" w:space="0"/>
            </w:tcBorders>
            <w:shd w:val="clear" w:color="auto" w:fill="auto"/>
            <w:vAlign w:val="center"/>
          </w:tcPr>
          <w:p w14:paraId="61F236A6">
            <w:pP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投标</w:t>
            </w:r>
            <w:r>
              <w:rPr>
                <w:rFonts w:hint="eastAsia" w:ascii="宋体" w:hAnsi="宋体" w:eastAsia="宋体" w:cs="宋体"/>
                <w:color w:val="auto"/>
                <w:sz w:val="24"/>
                <w:szCs w:val="24"/>
                <w:highlight w:val="none"/>
              </w:rPr>
              <w:t>医用</w:t>
            </w:r>
            <w:r>
              <w:rPr>
                <w:rFonts w:hint="eastAsia" w:ascii="宋体" w:hAnsi="宋体" w:eastAsia="宋体" w:cs="宋体"/>
                <w:color w:val="auto"/>
                <w:sz w:val="24"/>
                <w:szCs w:val="24"/>
                <w:highlight w:val="none"/>
                <w:lang w:val="en-US" w:eastAsia="zh-CN"/>
              </w:rPr>
              <w:t>瓶装氧（40L医用氧、10L医用氧、4L医用氧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组合瓶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highlight w:val="none"/>
              </w:rPr>
              <w:t>的免费质量保证期</w:t>
            </w:r>
            <w:r>
              <w:rPr>
                <w:rFonts w:hint="eastAsia" w:ascii="宋体" w:hAnsi="宋体" w:eastAsia="宋体" w:cs="宋体"/>
                <w:b w:val="0"/>
                <w:bCs w:val="0"/>
                <w:color w:val="auto"/>
                <w:sz w:val="24"/>
                <w:highlight w:val="none"/>
                <w:lang w:val="en-US" w:eastAsia="zh-CN"/>
              </w:rPr>
              <w:t>在</w:t>
            </w:r>
            <w:r>
              <w:rPr>
                <w:rFonts w:hint="eastAsia" w:ascii="宋体" w:hAnsi="宋体" w:eastAsia="宋体" w:cs="宋体"/>
                <w:color w:val="auto"/>
                <w:sz w:val="24"/>
                <w:szCs w:val="24"/>
                <w:highlight w:val="none"/>
              </w:rPr>
              <w:t>满足招标文件的</w:t>
            </w:r>
            <w:r>
              <w:rPr>
                <w:rFonts w:hint="eastAsia" w:ascii="宋体" w:hAnsi="宋体" w:eastAsia="宋体" w:cs="宋体"/>
                <w:color w:val="auto"/>
                <w:sz w:val="24"/>
                <w:szCs w:val="24"/>
                <w:highlight w:val="none"/>
                <w:lang w:val="en-US" w:eastAsia="zh-CN"/>
              </w:rPr>
              <w:t>基础上（不少于6个月），每增加1个月加1分，最多加6分。</w:t>
            </w:r>
          </w:p>
          <w:p w14:paraId="59EFDD9F">
            <w:pPr>
              <w:pStyle w:val="32"/>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val="zh-CN"/>
              </w:rPr>
              <w:t>注：</w:t>
            </w:r>
            <w:r>
              <w:rPr>
                <w:rFonts w:hint="eastAsia" w:ascii="宋体" w:hAnsi="宋体" w:eastAsia="宋体" w:cs="宋体"/>
                <w:b/>
                <w:bCs/>
                <w:color w:val="auto"/>
                <w:sz w:val="24"/>
                <w:szCs w:val="24"/>
                <w:highlight w:val="none"/>
                <w:lang w:val="en-US" w:eastAsia="zh-CN"/>
              </w:rPr>
              <w:t>质量保证期承诺函</w:t>
            </w:r>
            <w:r>
              <w:rPr>
                <w:rFonts w:hint="eastAsia" w:ascii="宋体" w:hAnsi="宋体" w:eastAsia="宋体" w:cs="宋体"/>
                <w:b/>
                <w:bCs/>
                <w:color w:val="auto"/>
                <w:sz w:val="24"/>
                <w:szCs w:val="24"/>
                <w:highlight w:val="none"/>
                <w:lang w:val="zh-CN"/>
              </w:rPr>
              <w:t>格式自拟，低于招标要求或未作说明的不得分。</w:t>
            </w:r>
          </w:p>
        </w:tc>
      </w:tr>
      <w:tr w14:paraId="1598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7A709B8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935" w:type="dxa"/>
            <w:tcBorders>
              <w:top w:val="single" w:color="auto" w:sz="4" w:space="0"/>
              <w:left w:val="single" w:color="auto" w:sz="4" w:space="0"/>
              <w:bottom w:val="single" w:color="auto" w:sz="4" w:space="0"/>
              <w:right w:val="single" w:color="auto" w:sz="4" w:space="0"/>
            </w:tcBorders>
            <w:vAlign w:val="center"/>
          </w:tcPr>
          <w:p w14:paraId="4246F50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服务响应承诺</w:t>
            </w:r>
          </w:p>
        </w:tc>
        <w:tc>
          <w:tcPr>
            <w:tcW w:w="810" w:type="dxa"/>
            <w:tcBorders>
              <w:top w:val="single" w:color="auto" w:sz="4" w:space="0"/>
              <w:left w:val="single" w:color="auto" w:sz="4" w:space="0"/>
              <w:bottom w:val="single" w:color="auto" w:sz="4" w:space="0"/>
              <w:right w:val="single" w:color="auto" w:sz="4" w:space="0"/>
            </w:tcBorders>
            <w:vAlign w:val="center"/>
          </w:tcPr>
          <w:p w14:paraId="32326665">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4分</w:t>
            </w:r>
          </w:p>
        </w:tc>
        <w:tc>
          <w:tcPr>
            <w:tcW w:w="6141" w:type="dxa"/>
            <w:tcBorders>
              <w:top w:val="single" w:color="auto" w:sz="4" w:space="0"/>
              <w:left w:val="single" w:color="auto" w:sz="4" w:space="0"/>
              <w:bottom w:val="single" w:color="auto" w:sz="4" w:space="0"/>
              <w:right w:val="single" w:color="auto" w:sz="4" w:space="0"/>
            </w:tcBorders>
            <w:vAlign w:val="center"/>
          </w:tcPr>
          <w:p w14:paraId="5766FEE1">
            <w:pPr>
              <w:pStyle w:val="17"/>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投标人在</w:t>
            </w:r>
            <w:r>
              <w:rPr>
                <w:rFonts w:hint="eastAsia" w:ascii="宋体" w:hAnsi="宋体" w:eastAsia="宋体" w:cs="宋体"/>
                <w:color w:val="auto"/>
                <w:sz w:val="24"/>
                <w:szCs w:val="24"/>
                <w:highlight w:val="none"/>
              </w:rPr>
              <w:t>接到采购人</w:t>
            </w:r>
            <w:r>
              <w:rPr>
                <w:rFonts w:hint="eastAsia" w:ascii="宋体" w:hAnsi="宋体" w:eastAsia="宋体" w:cs="宋体"/>
                <w:color w:val="auto"/>
                <w:sz w:val="24"/>
                <w:szCs w:val="24"/>
                <w:highlight w:val="none"/>
                <w:lang w:val="en-US" w:eastAsia="zh-CN"/>
              </w:rPr>
              <w:t>紧急</w:t>
            </w:r>
            <w:r>
              <w:rPr>
                <w:rFonts w:hint="eastAsia" w:ascii="宋体" w:hAnsi="宋体" w:eastAsia="宋体" w:cs="宋体"/>
                <w:color w:val="auto"/>
                <w:sz w:val="24"/>
                <w:szCs w:val="24"/>
                <w:highlight w:val="none"/>
              </w:rPr>
              <w:t>通知后的服务响应承诺进行评定。</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承诺在</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含60分钟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配送</w:t>
            </w:r>
            <w:r>
              <w:rPr>
                <w:rFonts w:hint="eastAsia" w:ascii="宋体" w:hAnsi="宋体" w:eastAsia="宋体" w:cs="宋体"/>
                <w:color w:val="auto"/>
                <w:sz w:val="24"/>
                <w:szCs w:val="24"/>
                <w:highlight w:val="none"/>
              </w:rPr>
              <w:t>到达服务现场的得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分；承诺</w:t>
            </w:r>
            <w:r>
              <w:rPr>
                <w:rFonts w:hint="eastAsia" w:ascii="宋体" w:hAnsi="宋体" w:eastAsia="宋体" w:cs="宋体"/>
                <w:color w:val="auto"/>
                <w:sz w:val="24"/>
                <w:szCs w:val="24"/>
                <w:highlight w:val="none"/>
                <w:lang w:val="en-US" w:eastAsia="zh-CN"/>
              </w:rPr>
              <w:t>在60</w:t>
            </w:r>
            <w:r>
              <w:rPr>
                <w:rFonts w:hint="eastAsia" w:ascii="宋体" w:hAnsi="宋体" w:eastAsia="宋体" w:cs="宋体"/>
                <w:color w:val="auto"/>
                <w:sz w:val="24"/>
                <w:szCs w:val="24"/>
                <w:highlight w:val="none"/>
              </w:rPr>
              <w:t>分钟（不含</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0分钟）~</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分钟（含</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0分钟）内</w:t>
            </w:r>
            <w:r>
              <w:rPr>
                <w:rFonts w:hint="eastAsia" w:ascii="宋体" w:hAnsi="宋体" w:eastAsia="宋体" w:cs="宋体"/>
                <w:color w:val="auto"/>
                <w:sz w:val="24"/>
                <w:szCs w:val="24"/>
                <w:highlight w:val="none"/>
                <w:lang w:val="en-US" w:eastAsia="zh-CN"/>
              </w:rPr>
              <w:t>配送</w:t>
            </w:r>
            <w:r>
              <w:rPr>
                <w:rFonts w:hint="eastAsia" w:ascii="宋体" w:hAnsi="宋体" w:eastAsia="宋体" w:cs="宋体"/>
                <w:color w:val="auto"/>
                <w:sz w:val="24"/>
                <w:szCs w:val="24"/>
                <w:highlight w:val="none"/>
              </w:rPr>
              <w:t>到达服务现场的得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分。承诺</w:t>
            </w:r>
            <w:r>
              <w:rPr>
                <w:rFonts w:hint="eastAsia" w:ascii="宋体" w:hAnsi="宋体" w:eastAsia="宋体" w:cs="宋体"/>
                <w:color w:val="auto"/>
                <w:sz w:val="24"/>
                <w:szCs w:val="24"/>
                <w:highlight w:val="none"/>
                <w:lang w:val="en-US" w:eastAsia="zh-CN"/>
              </w:rPr>
              <w:t>在90</w:t>
            </w:r>
            <w:r>
              <w:rPr>
                <w:rFonts w:hint="eastAsia" w:ascii="宋体" w:hAnsi="宋体" w:eastAsia="宋体" w:cs="宋体"/>
                <w:color w:val="auto"/>
                <w:sz w:val="24"/>
                <w:szCs w:val="24"/>
                <w:highlight w:val="none"/>
              </w:rPr>
              <w:t>分钟（不含</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0分钟）~</w:t>
            </w:r>
            <w:r>
              <w:rPr>
                <w:rFonts w:hint="eastAsia" w:ascii="宋体" w:hAnsi="宋体" w:eastAsia="宋体" w:cs="宋体"/>
                <w:color w:val="auto"/>
                <w:sz w:val="24"/>
                <w:szCs w:val="24"/>
                <w:highlight w:val="none"/>
                <w:lang w:val="en-US" w:eastAsia="zh-CN"/>
              </w:rPr>
              <w:t>120</w:t>
            </w:r>
            <w:r>
              <w:rPr>
                <w:rFonts w:hint="eastAsia" w:ascii="宋体" w:hAnsi="宋体" w:eastAsia="宋体" w:cs="宋体"/>
                <w:color w:val="auto"/>
                <w:sz w:val="24"/>
                <w:szCs w:val="24"/>
                <w:highlight w:val="none"/>
              </w:rPr>
              <w:t>分钟（含</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0分钟）内</w:t>
            </w:r>
            <w:r>
              <w:rPr>
                <w:rFonts w:hint="eastAsia" w:ascii="宋体" w:hAnsi="宋体" w:eastAsia="宋体" w:cs="宋体"/>
                <w:color w:val="auto"/>
                <w:sz w:val="24"/>
                <w:szCs w:val="24"/>
                <w:highlight w:val="none"/>
                <w:lang w:val="en-US" w:eastAsia="zh-CN"/>
              </w:rPr>
              <w:t>配送</w:t>
            </w:r>
            <w:r>
              <w:rPr>
                <w:rFonts w:hint="eastAsia" w:ascii="宋体" w:hAnsi="宋体" w:eastAsia="宋体" w:cs="宋体"/>
                <w:color w:val="auto"/>
                <w:sz w:val="24"/>
                <w:szCs w:val="24"/>
                <w:highlight w:val="none"/>
              </w:rPr>
              <w:t>到达服务现场的得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承诺超过120分钟或</w:t>
            </w:r>
            <w:r>
              <w:rPr>
                <w:rFonts w:hint="eastAsia" w:ascii="宋体" w:hAnsi="宋体" w:eastAsia="宋体" w:cs="宋体"/>
                <w:b w:val="0"/>
                <w:bCs w:val="0"/>
                <w:color w:val="auto"/>
                <w:sz w:val="24"/>
                <w:szCs w:val="24"/>
                <w:highlight w:val="none"/>
              </w:rPr>
              <w:t>未提供承诺书</w:t>
            </w:r>
            <w:r>
              <w:rPr>
                <w:rFonts w:hint="eastAsia" w:ascii="宋体" w:hAnsi="宋体" w:eastAsia="宋体" w:cs="宋体"/>
                <w:b/>
                <w:bCs/>
                <w:color w:val="auto"/>
                <w:sz w:val="24"/>
                <w:szCs w:val="24"/>
                <w:highlight w:val="none"/>
              </w:rPr>
              <w:t>（承诺书格式自拟，但必须加盖</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val="0"/>
                <w:bCs w:val="0"/>
                <w:color w:val="auto"/>
                <w:sz w:val="24"/>
                <w:szCs w:val="24"/>
                <w:highlight w:val="none"/>
              </w:rPr>
              <w:t>的本项不得分</w:t>
            </w:r>
            <w:r>
              <w:rPr>
                <w:rFonts w:hint="eastAsia" w:ascii="宋体" w:hAnsi="宋体" w:eastAsia="宋体" w:cs="宋体"/>
                <w:b/>
                <w:bCs/>
                <w:color w:val="auto"/>
                <w:sz w:val="24"/>
                <w:szCs w:val="24"/>
                <w:highlight w:val="none"/>
              </w:rPr>
              <w:t>。</w:t>
            </w:r>
          </w:p>
        </w:tc>
      </w:tr>
    </w:tbl>
    <w:p w14:paraId="06FA613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、综合实力</w:t>
      </w:r>
      <w:r>
        <w:rPr>
          <w:rFonts w:hint="eastAsia" w:ascii="宋体" w:hAnsi="宋体" w:eastAsia="宋体" w:cs="宋体"/>
          <w:b/>
          <w:bCs/>
          <w:color w:val="auto"/>
          <w:sz w:val="24"/>
          <w:szCs w:val="24"/>
          <w:highlight w:val="none"/>
          <w:lang w:val="en-US" w:eastAsia="zh-CN"/>
        </w:rPr>
        <w:t>16</w:t>
      </w:r>
      <w:r>
        <w:rPr>
          <w:rFonts w:hint="eastAsia" w:ascii="宋体" w:hAnsi="宋体" w:eastAsia="宋体" w:cs="宋体"/>
          <w:b/>
          <w:bCs/>
          <w:color w:val="auto"/>
          <w:sz w:val="24"/>
          <w:szCs w:val="24"/>
          <w:highlight w:val="none"/>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842"/>
        <w:gridCol w:w="850"/>
        <w:gridCol w:w="6115"/>
      </w:tblGrid>
      <w:tr w14:paraId="2601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51" w:type="dxa"/>
            <w:vAlign w:val="center"/>
          </w:tcPr>
          <w:p w14:paraId="1FE8B1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42" w:type="dxa"/>
            <w:vAlign w:val="center"/>
          </w:tcPr>
          <w:p w14:paraId="701158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50" w:type="dxa"/>
            <w:vAlign w:val="center"/>
          </w:tcPr>
          <w:p w14:paraId="2D4195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115" w:type="dxa"/>
            <w:vAlign w:val="center"/>
          </w:tcPr>
          <w:p w14:paraId="5ADC959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1945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51" w:type="dxa"/>
            <w:vAlign w:val="center"/>
          </w:tcPr>
          <w:p w14:paraId="569CC30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42" w:type="dxa"/>
            <w:vAlign w:val="center"/>
          </w:tcPr>
          <w:p w14:paraId="45DDFEB0">
            <w:pPr>
              <w:pStyle w:val="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业绩情况</w:t>
            </w:r>
          </w:p>
        </w:tc>
        <w:tc>
          <w:tcPr>
            <w:tcW w:w="850" w:type="dxa"/>
            <w:vAlign w:val="center"/>
          </w:tcPr>
          <w:p w14:paraId="75C8D1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115" w:type="dxa"/>
            <w:vAlign w:val="center"/>
          </w:tcPr>
          <w:p w14:paraId="5699E16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w:t>
            </w:r>
            <w:r>
              <w:rPr>
                <w:rFonts w:hint="eastAsia" w:ascii="宋体" w:hAnsi="宋体" w:eastAsia="宋体" w:cs="宋体"/>
                <w:color w:val="auto"/>
                <w:sz w:val="24"/>
                <w:szCs w:val="24"/>
                <w:highlight w:val="none"/>
                <w:lang w:val="en-US" w:eastAsia="zh-CN"/>
              </w:rPr>
              <w:t>提供的</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年1月1日至今（以签订合同日期为准）实施的</w:t>
            </w:r>
            <w:r>
              <w:rPr>
                <w:rFonts w:hint="eastAsia" w:ascii="宋体" w:hAnsi="宋体" w:eastAsia="宋体" w:cs="宋体"/>
                <w:b w:val="0"/>
                <w:bCs w:val="0"/>
                <w:color w:val="auto"/>
                <w:sz w:val="24"/>
                <w:szCs w:val="24"/>
                <w:highlight w:val="none"/>
                <w:lang w:val="en-US" w:eastAsia="zh-CN"/>
              </w:rPr>
              <w:t>医用氧供货</w:t>
            </w:r>
            <w:r>
              <w:rPr>
                <w:rFonts w:hint="eastAsia" w:ascii="宋体" w:hAnsi="宋体" w:eastAsia="宋体" w:cs="宋体"/>
                <w:color w:val="auto"/>
                <w:sz w:val="24"/>
                <w:szCs w:val="24"/>
                <w:highlight w:val="none"/>
              </w:rPr>
              <w:t>项目业绩情况进行评定：每提供一个得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BBF6B8C">
            <w:pPr>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①投标文件中需提供相关业绩合同证明材料（须至少包括合同首页、具体内容页、合同金额所在页、签字盖章页），未提供或提供不全或提供的证明材料无法佐证的不得分。</w:t>
            </w:r>
            <w:r>
              <w:rPr>
                <w:rFonts w:hint="eastAsia" w:ascii="宋体" w:hAnsi="宋体" w:eastAsia="宋体" w:cs="宋体"/>
                <w:b/>
                <w:bCs/>
                <w:color w:val="auto"/>
                <w:sz w:val="24"/>
                <w:szCs w:val="22"/>
                <w:highlight w:val="none"/>
              </w:rPr>
              <w:t>②</w:t>
            </w:r>
            <w:r>
              <w:rPr>
                <w:rFonts w:hint="eastAsia" w:ascii="宋体" w:hAnsi="宋体" w:eastAsia="宋体" w:cs="宋体"/>
                <w:b/>
                <w:color w:val="auto"/>
                <w:sz w:val="24"/>
                <w:highlight w:val="none"/>
                <w14:ligatures w14:val="standardContextual"/>
              </w:rPr>
              <w:t>同一</w:t>
            </w:r>
            <w:r>
              <w:rPr>
                <w:rFonts w:hint="eastAsia" w:ascii="宋体" w:hAnsi="宋体" w:eastAsia="宋体" w:cs="宋体"/>
                <w:b/>
                <w:color w:val="auto"/>
                <w:sz w:val="24"/>
                <w:highlight w:val="none"/>
                <w:lang w:val="en-US" w:eastAsia="zh-CN"/>
                <w14:ligatures w14:val="standardContextual"/>
              </w:rPr>
              <w:t>业主</w:t>
            </w:r>
            <w:r>
              <w:rPr>
                <w:rFonts w:hint="eastAsia" w:ascii="宋体" w:hAnsi="宋体" w:eastAsia="宋体" w:cs="宋体"/>
                <w:b/>
                <w:color w:val="auto"/>
                <w:sz w:val="24"/>
                <w:highlight w:val="none"/>
                <w14:ligatures w14:val="standardContextual"/>
              </w:rPr>
              <w:t>或单个合同连续年度按一个业绩计算。</w:t>
            </w:r>
          </w:p>
        </w:tc>
      </w:tr>
      <w:tr w14:paraId="6AAF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51" w:type="dxa"/>
            <w:vAlign w:val="center"/>
          </w:tcPr>
          <w:p w14:paraId="2E653A9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p>
        </w:tc>
        <w:tc>
          <w:tcPr>
            <w:tcW w:w="1842" w:type="dxa"/>
            <w:vAlign w:val="center"/>
          </w:tcPr>
          <w:p w14:paraId="3783BC1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商务条件响应性</w:t>
            </w:r>
          </w:p>
        </w:tc>
        <w:tc>
          <w:tcPr>
            <w:tcW w:w="850" w:type="dxa"/>
            <w:vAlign w:val="center"/>
          </w:tcPr>
          <w:p w14:paraId="46F6E95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115" w:type="dxa"/>
            <w:vAlign w:val="center"/>
          </w:tcPr>
          <w:p w14:paraId="0A70DA8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投标人对招标文件中合同条款（共2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条）商务条件完全响应的得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分；有负偏离的条款，每条扣</w:t>
            </w:r>
            <w:r>
              <w:rPr>
                <w:rFonts w:hint="eastAsia" w:ascii="宋体" w:hAnsi="宋体" w:eastAsia="宋体" w:cs="宋体"/>
                <w:color w:val="auto"/>
                <w:sz w:val="24"/>
                <w:szCs w:val="24"/>
                <w:highlight w:val="none"/>
                <w:lang w:val="en-US" w:eastAsia="zh-CN"/>
              </w:rPr>
              <w:t>0.32</w:t>
            </w:r>
            <w:r>
              <w:rPr>
                <w:rFonts w:hint="eastAsia" w:ascii="宋体" w:hAnsi="宋体" w:eastAsia="宋体" w:cs="宋体"/>
                <w:color w:val="auto"/>
                <w:sz w:val="24"/>
                <w:szCs w:val="24"/>
                <w:highlight w:val="none"/>
              </w:rPr>
              <w:t>分。</w:t>
            </w:r>
            <w:r>
              <w:rPr>
                <w:rFonts w:hint="eastAsia" w:ascii="宋体" w:hAnsi="宋体" w:eastAsia="宋体" w:cs="宋体"/>
                <w:b/>
                <w:color w:val="auto"/>
                <w:sz w:val="24"/>
                <w:szCs w:val="24"/>
                <w:highlight w:val="none"/>
              </w:rPr>
              <w:t>（付款方式不响应的按无效投标处理）</w:t>
            </w:r>
          </w:p>
        </w:tc>
      </w:tr>
    </w:tbl>
    <w:p w14:paraId="16A9A41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544C8811">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（2）投标人在制作投标文件时请按投标文件规定的顺序编制，要求简洁、明了，并添加投标文件目录、页码、书签，便于评标委员会评审查阅。</w:t>
      </w:r>
    </w:p>
    <w:p w14:paraId="16E35E4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三、政府采购政策：</w:t>
      </w:r>
    </w:p>
    <w:p w14:paraId="15991374">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szCs w:val="24"/>
          <w:highlight w:val="none"/>
        </w:rPr>
      </w:pPr>
      <w:bookmarkStart w:id="356" w:name="_Toc22323"/>
      <w:r>
        <w:rPr>
          <w:rFonts w:hint="eastAsia" w:ascii="宋体" w:hAnsi="宋体" w:eastAsia="宋体" w:cs="宋体"/>
          <w:b/>
          <w:bCs/>
          <w:color w:val="auto"/>
          <w:sz w:val="24"/>
          <w:szCs w:val="24"/>
          <w:highlight w:val="none"/>
        </w:rPr>
        <w:t>1、落实政府采购政策需满足的资格要求：</w:t>
      </w:r>
    </w:p>
    <w:p w14:paraId="6B661B8D">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（1）本项目专门面向中小企业采购，所属行业为工业。</w:t>
      </w:r>
    </w:p>
    <w:p w14:paraId="6383F6A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（2）在投标文件中须提供《中小企业声明函》。（填报严格按工信部联企业〔2011〕300号通知中的《中小企业划型标准规定》进行）。</w:t>
      </w:r>
    </w:p>
    <w:p w14:paraId="5875486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1C742C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（4）享受政府采购支持政策的残疾人福利性单位应当同时满足以下条件：</w:t>
      </w:r>
    </w:p>
    <w:p w14:paraId="5442246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114CB39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525A8D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19B72EC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D6AE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356"/>
    <w:p w14:paraId="113466AF">
      <w:pPr>
        <w:keepNext w:val="0"/>
        <w:keepLines w:val="0"/>
        <w:pageBreakBefore w:val="0"/>
        <w:widowControl w:val="0"/>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2、信用信息查询</w:t>
      </w:r>
    </w:p>
    <w:p w14:paraId="1617120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510178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1、查询截止时点：投标文件递交截止时间。</w:t>
      </w:r>
    </w:p>
    <w:p w14:paraId="78A52A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07517A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p>
    <w:p w14:paraId="6F3AA5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6F45697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501639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评标委员会在对投标人进行资格性审查时，应根据查询结果对投标人的不良信用记录逐项甄别确认。</w:t>
      </w:r>
    </w:p>
    <w:p w14:paraId="5E71983F">
      <w:pPr>
        <w:keepNext w:val="0"/>
        <w:keepLines w:val="0"/>
        <w:pageBreakBefore w:val="0"/>
        <w:widowControl w:val="0"/>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3、节能产品和环境标志产品：</w:t>
      </w:r>
    </w:p>
    <w:p w14:paraId="08545C0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70B95585">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43B14983">
      <w:pPr>
        <w:keepNext w:val="0"/>
        <w:keepLines w:val="0"/>
        <w:pageBreakBefore w:val="0"/>
        <w:widowControl w:val="0"/>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采购本国产品的支持政策</w:t>
      </w:r>
    </w:p>
    <w:p w14:paraId="0401AB8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本项目政府采购活动中既有本国产品又有非本国产品参与竞争的，依法对本国产品给予价格评审优惠，对本国产品的报价给予20%的价格扣除，用扣除后的价格参与评审。</w:t>
      </w:r>
    </w:p>
    <w:p w14:paraId="49BEC99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DCAA2F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p>
    <w:p w14:paraId="17F2B1EF">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D07B31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38F03C8">
      <w:pPr>
        <w:autoSpaceDE w:val="0"/>
        <w:autoSpaceDN w:val="0"/>
        <w:spacing w:line="440" w:lineRule="exact"/>
        <w:ind w:firstLine="480" w:firstLineChars="200"/>
        <w:jc w:val="center"/>
        <w:outlineLvl w:val="0"/>
        <w:rPr>
          <w:rFonts w:hint="eastAsia" w:ascii="宋体" w:hAnsi="宋体" w:eastAsia="宋体" w:cs="宋体"/>
          <w:b/>
          <w:bCs/>
          <w:color w:val="auto"/>
          <w:sz w:val="40"/>
          <w:szCs w:val="40"/>
          <w:highlight w:val="none"/>
        </w:rPr>
      </w:pPr>
      <w:r>
        <w:rPr>
          <w:rFonts w:hint="eastAsia" w:ascii="宋体" w:hAnsi="宋体" w:eastAsia="宋体" w:cs="宋体"/>
          <w:color w:val="auto"/>
          <w:sz w:val="24"/>
          <w:szCs w:val="24"/>
          <w:highlight w:val="none"/>
        </w:rPr>
        <w:br w:type="page"/>
      </w:r>
      <w:bookmarkStart w:id="357" w:name="_Toc4052"/>
      <w:r>
        <w:rPr>
          <w:rFonts w:hint="eastAsia" w:ascii="宋体" w:hAnsi="宋体" w:eastAsia="宋体" w:cs="宋体"/>
          <w:b/>
          <w:bCs/>
          <w:color w:val="auto"/>
          <w:sz w:val="40"/>
          <w:szCs w:val="40"/>
          <w:highlight w:val="none"/>
        </w:rPr>
        <w:t>第六章  投标</w:t>
      </w:r>
      <w:bookmarkEnd w:id="332"/>
      <w:bookmarkEnd w:id="333"/>
      <w:bookmarkEnd w:id="334"/>
      <w:r>
        <w:rPr>
          <w:rFonts w:hint="eastAsia" w:ascii="宋体" w:hAnsi="宋体" w:eastAsia="宋体" w:cs="宋体"/>
          <w:b/>
          <w:bCs/>
          <w:color w:val="auto"/>
          <w:sz w:val="40"/>
          <w:szCs w:val="40"/>
          <w:highlight w:val="none"/>
        </w:rPr>
        <w:t>文件格式</w:t>
      </w:r>
      <w:bookmarkEnd w:id="357"/>
      <w:r>
        <w:rPr>
          <w:rFonts w:hint="eastAsia" w:ascii="宋体" w:hAnsi="宋体" w:eastAsia="宋体" w:cs="宋体"/>
          <w:b/>
          <w:bCs/>
          <w:color w:val="auto"/>
          <w:sz w:val="40"/>
          <w:szCs w:val="40"/>
          <w:highlight w:val="none"/>
        </w:rPr>
        <w:t xml:space="preserve"> </w:t>
      </w:r>
    </w:p>
    <w:p w14:paraId="03445A9D">
      <w:pPr>
        <w:ind w:firstLine="1446"/>
        <w:jc w:val="center"/>
        <w:rPr>
          <w:rFonts w:hint="eastAsia" w:ascii="宋体" w:hAnsi="宋体" w:eastAsia="宋体" w:cs="宋体"/>
          <w:b/>
          <w:color w:val="auto"/>
          <w:sz w:val="72"/>
          <w:szCs w:val="21"/>
          <w:highlight w:val="none"/>
        </w:rPr>
      </w:pPr>
      <w:bookmarkStart w:id="358" w:name="_Hlt26671244"/>
      <w:bookmarkEnd w:id="358"/>
      <w:bookmarkStart w:id="359" w:name="_Hlt26955039"/>
      <w:bookmarkEnd w:id="359"/>
      <w:bookmarkStart w:id="360" w:name="_Toc49090576"/>
      <w:bookmarkStart w:id="361" w:name="_Toc26554094"/>
      <w:bookmarkStart w:id="362" w:name="_Toc120614282"/>
    </w:p>
    <w:p w14:paraId="0542813D">
      <w:pPr>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10DB1970">
      <w:pPr>
        <w:ind w:firstLine="1446"/>
        <w:jc w:val="center"/>
        <w:rPr>
          <w:rFonts w:hint="eastAsia" w:ascii="宋体" w:hAnsi="宋体" w:eastAsia="宋体" w:cs="宋体"/>
          <w:b/>
          <w:color w:val="auto"/>
          <w:sz w:val="72"/>
          <w:szCs w:val="21"/>
          <w:highlight w:val="none"/>
        </w:rPr>
      </w:pPr>
    </w:p>
    <w:p w14:paraId="1866E893">
      <w:pPr>
        <w:ind w:firstLine="1446"/>
        <w:jc w:val="center"/>
        <w:rPr>
          <w:rFonts w:hint="eastAsia" w:ascii="宋体" w:hAnsi="宋体" w:eastAsia="宋体" w:cs="宋体"/>
          <w:b/>
          <w:color w:val="auto"/>
          <w:sz w:val="72"/>
          <w:szCs w:val="21"/>
          <w:highlight w:val="none"/>
        </w:rPr>
      </w:pPr>
    </w:p>
    <w:p w14:paraId="25D791AF">
      <w:pPr>
        <w:ind w:firstLine="723"/>
        <w:jc w:val="center"/>
        <w:rPr>
          <w:rFonts w:hint="eastAsia" w:ascii="宋体" w:hAnsi="宋体" w:eastAsia="宋体" w:cs="宋体"/>
          <w:b/>
          <w:color w:val="auto"/>
          <w:sz w:val="36"/>
          <w:szCs w:val="21"/>
          <w:highlight w:val="none"/>
        </w:rPr>
      </w:pPr>
    </w:p>
    <w:p w14:paraId="08047BEA">
      <w:pPr>
        <w:ind w:firstLine="723"/>
        <w:jc w:val="center"/>
        <w:rPr>
          <w:rFonts w:hint="eastAsia" w:ascii="宋体" w:hAnsi="宋体" w:eastAsia="宋体" w:cs="宋体"/>
          <w:b/>
          <w:color w:val="auto"/>
          <w:sz w:val="36"/>
          <w:szCs w:val="21"/>
          <w:highlight w:val="none"/>
        </w:rPr>
      </w:pPr>
    </w:p>
    <w:p w14:paraId="72580DFB">
      <w:pPr>
        <w:ind w:firstLine="723"/>
        <w:jc w:val="center"/>
        <w:rPr>
          <w:rFonts w:hint="eastAsia" w:ascii="宋体" w:hAnsi="宋体" w:eastAsia="宋体" w:cs="宋体"/>
          <w:b/>
          <w:color w:val="auto"/>
          <w:sz w:val="36"/>
          <w:szCs w:val="21"/>
          <w:highlight w:val="none"/>
        </w:rPr>
      </w:pPr>
    </w:p>
    <w:p w14:paraId="1E1AC9B3">
      <w:pPr>
        <w:spacing w:line="480" w:lineRule="exact"/>
        <w:ind w:firstLine="803" w:firstLineChars="200"/>
        <w:jc w:val="center"/>
        <w:rPr>
          <w:rFonts w:hint="eastAsia" w:ascii="宋体" w:hAnsi="宋体" w:eastAsia="宋体" w:cs="宋体"/>
          <w:b/>
          <w:color w:val="auto"/>
          <w:sz w:val="40"/>
          <w:highlight w:val="none"/>
          <w:lang w:eastAsia="zh-CN"/>
        </w:rPr>
      </w:pPr>
      <w:r>
        <w:rPr>
          <w:rFonts w:hint="eastAsia" w:ascii="宋体" w:hAnsi="宋体" w:eastAsia="宋体" w:cs="宋体"/>
          <w:b/>
          <w:color w:val="auto"/>
          <w:sz w:val="40"/>
          <w:highlight w:val="none"/>
        </w:rPr>
        <w:t>项 目 名 称：</w:t>
      </w:r>
      <w:r>
        <w:rPr>
          <w:rFonts w:hint="eastAsia" w:ascii="宋体" w:hAnsi="宋体" w:eastAsia="宋体" w:cs="宋体"/>
          <w:b/>
          <w:color w:val="auto"/>
          <w:sz w:val="36"/>
          <w:szCs w:val="24"/>
          <w:highlight w:val="none"/>
          <w:lang w:eastAsia="zh-CN"/>
        </w:rPr>
        <w:t>常熟第二人民医院医用氧采购项目</w:t>
      </w:r>
    </w:p>
    <w:p w14:paraId="52409C5A">
      <w:pPr>
        <w:spacing w:line="480" w:lineRule="exact"/>
        <w:rPr>
          <w:rFonts w:hint="eastAsia" w:ascii="宋体" w:hAnsi="宋体" w:eastAsia="宋体" w:cs="宋体"/>
          <w:b/>
          <w:color w:val="auto"/>
          <w:sz w:val="40"/>
          <w:highlight w:val="none"/>
        </w:rPr>
      </w:pPr>
    </w:p>
    <w:p w14:paraId="5C1E1EEF">
      <w:pPr>
        <w:spacing w:line="480" w:lineRule="exact"/>
        <w:jc w:val="center"/>
        <w:rPr>
          <w:rFonts w:hint="eastAsia" w:ascii="宋体" w:hAnsi="宋体" w:eastAsia="宋体" w:cs="宋体"/>
          <w:b/>
          <w:color w:val="auto"/>
          <w:sz w:val="40"/>
          <w:highlight w:val="none"/>
          <w:u w:val="single"/>
          <w:lang w:eastAsia="zh-CN"/>
        </w:rPr>
      </w:pPr>
      <w:r>
        <w:rPr>
          <w:rFonts w:hint="eastAsia" w:ascii="宋体" w:hAnsi="宋体" w:eastAsia="宋体" w:cs="宋体"/>
          <w:b/>
          <w:color w:val="auto"/>
          <w:sz w:val="40"/>
          <w:highlight w:val="none"/>
        </w:rPr>
        <w:t>项 目 编 号：</w:t>
      </w:r>
      <w:r>
        <w:rPr>
          <w:rFonts w:hint="eastAsia" w:ascii="宋体" w:hAnsi="宋体" w:eastAsia="宋体" w:cs="宋体"/>
          <w:b/>
          <w:color w:val="auto"/>
          <w:sz w:val="36"/>
          <w:szCs w:val="24"/>
          <w:highlight w:val="none"/>
          <w:lang w:eastAsia="zh-CN"/>
        </w:rPr>
        <w:t>JSZC-320581-SZDS-G2026-0005</w:t>
      </w:r>
    </w:p>
    <w:p w14:paraId="5C589639">
      <w:pPr>
        <w:spacing w:line="480" w:lineRule="exact"/>
        <w:ind w:firstLine="803"/>
        <w:rPr>
          <w:rFonts w:hint="eastAsia" w:ascii="宋体" w:hAnsi="宋体" w:eastAsia="宋体" w:cs="宋体"/>
          <w:b/>
          <w:color w:val="auto"/>
          <w:sz w:val="40"/>
          <w:highlight w:val="none"/>
        </w:rPr>
      </w:pPr>
    </w:p>
    <w:p w14:paraId="2DA53150">
      <w:pPr>
        <w:spacing w:line="480" w:lineRule="exact"/>
        <w:ind w:firstLine="803"/>
        <w:rPr>
          <w:rFonts w:hint="eastAsia" w:ascii="宋体" w:hAnsi="宋体" w:eastAsia="宋体" w:cs="宋体"/>
          <w:b/>
          <w:color w:val="auto"/>
          <w:sz w:val="40"/>
          <w:highlight w:val="none"/>
        </w:rPr>
      </w:pPr>
    </w:p>
    <w:p w14:paraId="25BEACC3">
      <w:pPr>
        <w:spacing w:line="480" w:lineRule="exact"/>
        <w:ind w:firstLine="803"/>
        <w:rPr>
          <w:rFonts w:hint="eastAsia" w:ascii="宋体" w:hAnsi="宋体" w:eastAsia="宋体" w:cs="宋体"/>
          <w:b/>
          <w:color w:val="auto"/>
          <w:sz w:val="40"/>
          <w:highlight w:val="none"/>
        </w:rPr>
      </w:pPr>
    </w:p>
    <w:p w14:paraId="63EF9D2F">
      <w:pPr>
        <w:spacing w:line="480" w:lineRule="exact"/>
        <w:ind w:firstLine="803"/>
        <w:rPr>
          <w:rFonts w:hint="eastAsia" w:ascii="宋体" w:hAnsi="宋体" w:eastAsia="宋体" w:cs="宋体"/>
          <w:b/>
          <w:color w:val="auto"/>
          <w:sz w:val="40"/>
          <w:highlight w:val="none"/>
        </w:rPr>
      </w:pPr>
    </w:p>
    <w:p w14:paraId="24444B05">
      <w:pPr>
        <w:spacing w:line="480" w:lineRule="exact"/>
        <w:ind w:firstLine="803"/>
        <w:rPr>
          <w:rFonts w:hint="eastAsia" w:ascii="宋体" w:hAnsi="宋体" w:eastAsia="宋体" w:cs="宋体"/>
          <w:b/>
          <w:color w:val="auto"/>
          <w:sz w:val="40"/>
          <w:highlight w:val="none"/>
        </w:rPr>
      </w:pPr>
    </w:p>
    <w:p w14:paraId="17450E61">
      <w:pPr>
        <w:spacing w:line="480" w:lineRule="exact"/>
        <w:ind w:firstLine="803"/>
        <w:rPr>
          <w:rFonts w:hint="eastAsia" w:ascii="宋体" w:hAnsi="宋体" w:eastAsia="宋体" w:cs="宋体"/>
          <w:b/>
          <w:color w:val="auto"/>
          <w:sz w:val="40"/>
          <w:highlight w:val="none"/>
        </w:rPr>
      </w:pPr>
    </w:p>
    <w:p w14:paraId="661EF4B4">
      <w:pPr>
        <w:spacing w:line="480" w:lineRule="exact"/>
        <w:ind w:firstLine="803"/>
        <w:rPr>
          <w:rFonts w:hint="eastAsia" w:ascii="宋体" w:hAnsi="宋体" w:eastAsia="宋体" w:cs="宋体"/>
          <w:b/>
          <w:color w:val="auto"/>
          <w:sz w:val="40"/>
          <w:highlight w:val="none"/>
        </w:rPr>
      </w:pPr>
    </w:p>
    <w:p w14:paraId="01BFD54D">
      <w:pPr>
        <w:spacing w:line="480" w:lineRule="exact"/>
        <w:ind w:firstLine="803"/>
        <w:rPr>
          <w:rFonts w:hint="eastAsia" w:ascii="宋体" w:hAnsi="宋体" w:eastAsia="宋体" w:cs="宋体"/>
          <w:b/>
          <w:color w:val="auto"/>
          <w:sz w:val="40"/>
          <w:highlight w:val="none"/>
        </w:rPr>
      </w:pPr>
    </w:p>
    <w:p w14:paraId="6571686E">
      <w:pPr>
        <w:spacing w:line="480" w:lineRule="exact"/>
        <w:ind w:firstLine="803"/>
        <w:jc w:val="center"/>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投标人名称 ：</w:t>
      </w:r>
      <w:r>
        <w:rPr>
          <w:rFonts w:hint="eastAsia" w:ascii="宋体" w:hAnsi="宋体" w:eastAsia="宋体" w:cs="宋体"/>
          <w:b/>
          <w:color w:val="auto"/>
          <w:sz w:val="40"/>
          <w:highlight w:val="none"/>
          <w:u w:val="single"/>
        </w:rPr>
        <w:t>（加盖CA电子公章）</w:t>
      </w:r>
    </w:p>
    <w:p w14:paraId="349637AA">
      <w:pPr>
        <w:spacing w:line="480" w:lineRule="exact"/>
        <w:ind w:firstLine="803"/>
        <w:jc w:val="center"/>
        <w:rPr>
          <w:rFonts w:hint="eastAsia" w:ascii="宋体" w:hAnsi="宋体" w:eastAsia="宋体" w:cs="宋体"/>
          <w:b/>
          <w:color w:val="auto"/>
          <w:sz w:val="40"/>
          <w:highlight w:val="none"/>
        </w:rPr>
      </w:pPr>
    </w:p>
    <w:p w14:paraId="5AF8B721">
      <w:pPr>
        <w:spacing w:line="480" w:lineRule="exact"/>
        <w:ind w:firstLine="803"/>
        <w:jc w:val="center"/>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日      期 ：</w:t>
      </w:r>
      <w:r>
        <w:rPr>
          <w:rFonts w:hint="eastAsia" w:ascii="宋体" w:hAnsi="宋体" w:eastAsia="宋体" w:cs="宋体"/>
          <w:b/>
          <w:color w:val="auto"/>
          <w:sz w:val="36"/>
          <w:szCs w:val="24"/>
          <w:highlight w:val="none"/>
          <w:lang w:eastAsia="zh-CN"/>
        </w:rPr>
        <w:t>2026</w:t>
      </w:r>
      <w:r>
        <w:rPr>
          <w:rFonts w:hint="eastAsia" w:ascii="宋体" w:hAnsi="宋体" w:eastAsia="宋体" w:cs="宋体"/>
          <w:b/>
          <w:color w:val="auto"/>
          <w:sz w:val="40"/>
          <w:szCs w:val="40"/>
          <w:highlight w:val="none"/>
        </w:rPr>
        <w:t>年   月     日</w:t>
      </w:r>
    </w:p>
    <w:p w14:paraId="5F46DA85">
      <w:pPr>
        <w:spacing w:line="440" w:lineRule="exact"/>
        <w:rPr>
          <w:rFonts w:hint="eastAsia" w:ascii="宋体" w:hAnsi="宋体" w:eastAsia="宋体" w:cs="宋体"/>
          <w:color w:val="auto"/>
          <w:szCs w:val="21"/>
          <w:highlight w:val="none"/>
        </w:rPr>
      </w:pPr>
    </w:p>
    <w:p w14:paraId="4A2673BC">
      <w:pPr>
        <w:widowControl/>
        <w:ind w:firstLine="643"/>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034BB3E9">
      <w:pPr>
        <w:spacing w:line="440" w:lineRule="exact"/>
        <w:ind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6CA3084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一、基本目录</w:t>
      </w:r>
    </w:p>
    <w:p w14:paraId="4646EEB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开标一览表</w:t>
      </w:r>
      <w:r>
        <w:rPr>
          <w:rFonts w:hint="eastAsia" w:ascii="宋体" w:hAnsi="宋体" w:eastAsia="宋体" w:cs="宋体"/>
          <w:color w:val="auto"/>
          <w:sz w:val="24"/>
          <w:szCs w:val="24"/>
          <w:highlight w:val="none"/>
        </w:rPr>
        <w:t>（格式见附件）</w:t>
      </w:r>
    </w:p>
    <w:p w14:paraId="356A9D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报价明细表</w:t>
      </w:r>
      <w:r>
        <w:rPr>
          <w:rFonts w:hint="eastAsia" w:ascii="宋体" w:hAnsi="宋体" w:eastAsia="宋体" w:cs="宋体"/>
          <w:color w:val="auto"/>
          <w:sz w:val="24"/>
          <w:szCs w:val="24"/>
          <w:highlight w:val="none"/>
        </w:rPr>
        <w:t>（格式见附件）</w:t>
      </w:r>
    </w:p>
    <w:p w14:paraId="7723477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二、资格审查内容</w:t>
      </w:r>
    </w:p>
    <w:p w14:paraId="3F71C3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203E578A">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p>
    <w:p w14:paraId="117D1B1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r>
        <w:rPr>
          <w:rFonts w:hint="eastAsia" w:ascii="宋体" w:hAnsi="宋体" w:eastAsia="宋体" w:cs="宋体"/>
          <w:b/>
          <w:color w:val="auto"/>
          <w:sz w:val="24"/>
          <w:szCs w:val="24"/>
          <w:highlight w:val="none"/>
        </w:rPr>
        <w:t>202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年</w:t>
      </w:r>
      <w:r>
        <w:rPr>
          <w:rFonts w:hint="eastAsia" w:ascii="宋体" w:hAnsi="宋体" w:eastAsia="宋体" w:cs="宋体"/>
          <w:bCs/>
          <w:color w:val="auto"/>
          <w:sz w:val="24"/>
          <w:szCs w:val="24"/>
          <w:highlight w:val="none"/>
        </w:rPr>
        <w:t>至今任意一期</w:t>
      </w:r>
      <w:r>
        <w:rPr>
          <w:rFonts w:hint="eastAsia" w:ascii="宋体" w:hAnsi="宋体" w:eastAsia="宋体" w:cs="宋体"/>
          <w:b/>
          <w:color w:val="auto"/>
          <w:sz w:val="24"/>
          <w:szCs w:val="24"/>
          <w:highlight w:val="none"/>
        </w:rPr>
        <w:t>经审计</w:t>
      </w:r>
      <w:r>
        <w:rPr>
          <w:rFonts w:hint="eastAsia" w:ascii="宋体" w:hAnsi="宋体" w:eastAsia="宋体" w:cs="宋体"/>
          <w:bCs/>
          <w:color w:val="auto"/>
          <w:sz w:val="24"/>
          <w:szCs w:val="24"/>
          <w:highlight w:val="none"/>
        </w:rPr>
        <w:t>的财务报告或者近期由银行出具的资信证明；</w:t>
      </w:r>
    </w:p>
    <w:p w14:paraId="25D6B3F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7464D08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具备履行合同所必需的设备和专业技术能力的书面声明（格式见附件）</w:t>
      </w:r>
    </w:p>
    <w:p w14:paraId="23D186B4">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参加政府采购活动前 3 年内在经营活动中没有重大违法记录的书面声明（格式见附件）</w:t>
      </w:r>
    </w:p>
    <w:p w14:paraId="34E430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*2、中小企业声明函（格式见附件）或残疾人福利性单位声明函（格式见附件）或省级以上监狱管理局、戒毒管理局（含新疆生产建设兵团）出具的属于监狱企业的证明文件</w:t>
      </w:r>
    </w:p>
    <w:p w14:paraId="16CBF1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5117AB2D">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为生产企业</w:t>
      </w:r>
      <w:r>
        <w:rPr>
          <w:rFonts w:hint="eastAsia" w:ascii="宋体" w:hAnsi="宋体" w:eastAsia="宋体" w:cs="宋体"/>
          <w:color w:val="auto"/>
          <w:sz w:val="24"/>
          <w:szCs w:val="24"/>
          <w:highlight w:val="none"/>
          <w:lang w:val="en-US" w:eastAsia="zh-CN"/>
        </w:rPr>
        <w:t>的，必须</w:t>
      </w:r>
      <w:r>
        <w:rPr>
          <w:rFonts w:hint="eastAsia" w:ascii="宋体" w:hAnsi="宋体" w:eastAsia="宋体" w:cs="宋体"/>
          <w:color w:val="auto"/>
          <w:sz w:val="24"/>
          <w:szCs w:val="24"/>
          <w:highlight w:val="none"/>
        </w:rPr>
        <w:t>具备有效的《安全生产许可证》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《药品生产许可证》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危险化学品经营许可证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药品注册证（药品注册批件或药品再注册批件）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《气瓶充装许可证》；投标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为经销商</w:t>
      </w:r>
      <w:r>
        <w:rPr>
          <w:rFonts w:hint="eastAsia" w:ascii="宋体" w:hAnsi="宋体" w:eastAsia="宋体" w:cs="宋体"/>
          <w:color w:val="auto"/>
          <w:sz w:val="24"/>
          <w:szCs w:val="24"/>
          <w:highlight w:val="none"/>
          <w:lang w:val="en-US" w:eastAsia="zh-CN"/>
        </w:rPr>
        <w:t>的，必须</w:t>
      </w:r>
      <w:r>
        <w:rPr>
          <w:rFonts w:hint="eastAsia" w:ascii="宋体" w:hAnsi="宋体" w:eastAsia="宋体" w:cs="宋体"/>
          <w:color w:val="auto"/>
          <w:sz w:val="24"/>
          <w:szCs w:val="24"/>
          <w:highlight w:val="none"/>
        </w:rPr>
        <w:t>具备有效的</w:t>
      </w:r>
      <w:r>
        <w:rPr>
          <w:rFonts w:hint="eastAsia" w:ascii="宋体" w:hAnsi="宋体" w:eastAsia="宋体" w:cs="宋体"/>
          <w:bCs/>
          <w:color w:val="auto"/>
          <w:sz w:val="24"/>
          <w:highlight w:val="none"/>
        </w:rPr>
        <w:t>《药品经营许可证》</w:t>
      </w:r>
      <w:r>
        <w:rPr>
          <w:rFonts w:hint="eastAsia" w:ascii="宋体" w:hAnsi="宋体" w:eastAsia="宋体" w:cs="宋体"/>
          <w:bCs/>
          <w:color w:val="auto"/>
          <w:sz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危险化学品经营许可证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与生产企业的合作性协议</w:t>
      </w:r>
      <w:r>
        <w:rPr>
          <w:rFonts w:hint="eastAsia" w:ascii="宋体" w:hAnsi="宋体" w:eastAsia="宋体" w:cs="宋体"/>
          <w:color w:val="auto"/>
          <w:sz w:val="24"/>
          <w:szCs w:val="24"/>
          <w:highlight w:val="none"/>
          <w:lang w:val="en-US" w:eastAsia="zh-CN"/>
        </w:rPr>
        <w:t>以及</w:t>
      </w:r>
      <w:r>
        <w:rPr>
          <w:rFonts w:hint="eastAsia" w:ascii="宋体" w:hAnsi="宋体" w:eastAsia="宋体" w:cs="宋体"/>
          <w:color w:val="auto"/>
          <w:sz w:val="24"/>
          <w:szCs w:val="24"/>
          <w:highlight w:val="none"/>
        </w:rPr>
        <w:t>生产企业的相关证件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提供相关证明材料扫描件</w:t>
      </w:r>
      <w:r>
        <w:rPr>
          <w:rFonts w:hint="eastAsia" w:ascii="宋体" w:hAnsi="宋体" w:eastAsia="宋体" w:cs="宋体"/>
          <w:color w:val="auto"/>
          <w:sz w:val="24"/>
          <w:szCs w:val="24"/>
          <w:highlight w:val="none"/>
          <w:lang w:eastAsia="zh-CN"/>
        </w:rPr>
        <w:t>）</w:t>
      </w:r>
    </w:p>
    <w:p w14:paraId="0ED98F8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人必</w:t>
      </w:r>
      <w:r>
        <w:rPr>
          <w:rFonts w:hint="eastAsia" w:ascii="宋体" w:hAnsi="宋体" w:eastAsia="宋体" w:cs="宋体"/>
          <w:color w:val="auto"/>
          <w:sz w:val="24"/>
          <w:szCs w:val="24"/>
          <w:highlight w:val="none"/>
        </w:rPr>
        <w:t>须具</w:t>
      </w:r>
      <w:r>
        <w:rPr>
          <w:rFonts w:hint="eastAsia" w:ascii="宋体" w:hAnsi="宋体" w:eastAsia="宋体" w:cs="宋体"/>
          <w:color w:val="auto"/>
          <w:sz w:val="24"/>
          <w:szCs w:val="24"/>
          <w:highlight w:val="none"/>
          <w:lang w:val="en-US" w:eastAsia="zh-CN"/>
        </w:rPr>
        <w:t>备</w:t>
      </w:r>
      <w:r>
        <w:rPr>
          <w:rFonts w:hint="eastAsia" w:ascii="宋体" w:hAnsi="宋体" w:eastAsia="宋体" w:cs="宋体"/>
          <w:color w:val="auto"/>
          <w:sz w:val="24"/>
          <w:szCs w:val="24"/>
          <w:highlight w:val="none"/>
        </w:rPr>
        <w:t>有效期内的《道路危险货物运输许可证》或《道路运输经营许可证》（须包含危险货物运输2类等类似描述）。如投标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委托第三方运输企业承担气体运输服务，则投标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需同时提供与该运输企业有效期内的协议书，且运输企业</w:t>
      </w:r>
      <w:r>
        <w:rPr>
          <w:rFonts w:hint="eastAsia" w:ascii="宋体" w:hAnsi="宋体" w:eastAsia="宋体" w:cs="宋体"/>
          <w:color w:val="auto"/>
          <w:sz w:val="24"/>
          <w:szCs w:val="24"/>
          <w:highlight w:val="none"/>
          <w:lang w:val="en-US" w:eastAsia="zh-CN"/>
        </w:rPr>
        <w:t>必</w:t>
      </w:r>
      <w:r>
        <w:rPr>
          <w:rFonts w:hint="eastAsia" w:ascii="宋体" w:hAnsi="宋体" w:eastAsia="宋体" w:cs="宋体"/>
          <w:color w:val="auto"/>
          <w:sz w:val="24"/>
          <w:szCs w:val="24"/>
          <w:highlight w:val="none"/>
        </w:rPr>
        <w:t>须具</w:t>
      </w:r>
      <w:r>
        <w:rPr>
          <w:rFonts w:hint="eastAsia" w:ascii="宋体" w:hAnsi="宋体" w:eastAsia="宋体" w:cs="宋体"/>
          <w:color w:val="auto"/>
          <w:sz w:val="24"/>
          <w:szCs w:val="24"/>
          <w:highlight w:val="none"/>
          <w:lang w:val="en-US" w:eastAsia="zh-CN"/>
        </w:rPr>
        <w:t>备</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《道路危险货物运输许可证》或《道路运输经营许可证》（须包含危险货物运输2类等类似描述）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提供相关证明材料扫描件</w:t>
      </w:r>
      <w:r>
        <w:rPr>
          <w:rFonts w:hint="eastAsia" w:ascii="宋体" w:hAnsi="宋体" w:eastAsia="宋体" w:cs="宋体"/>
          <w:color w:val="auto"/>
          <w:sz w:val="24"/>
          <w:szCs w:val="24"/>
          <w:highlight w:val="none"/>
          <w:lang w:eastAsia="zh-CN"/>
        </w:rPr>
        <w:t>）</w:t>
      </w:r>
    </w:p>
    <w:p w14:paraId="44DB3EC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注：其中加“*”项目若有缺失或无效，将导致其投标文件无效且不允许在投标文件开启时间后补正。</w:t>
      </w:r>
    </w:p>
    <w:p w14:paraId="41A061F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三、符合性审查内容</w:t>
      </w:r>
    </w:p>
    <w:p w14:paraId="18FE96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法人授权书（格式见附件）（如法定代表人签署投标文件的，法人授权书无需提供）</w:t>
      </w:r>
    </w:p>
    <w:p w14:paraId="1E50DB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投标函（格式见附件）</w:t>
      </w:r>
    </w:p>
    <w:p w14:paraId="64FF37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实质性要求响应及偏离表（格式见附件）</w:t>
      </w:r>
    </w:p>
    <w:p w14:paraId="0C5D47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技术参数响应及偏离表（格式见附件）</w:t>
      </w:r>
    </w:p>
    <w:p w14:paraId="59B3C81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商务要求响应及偏离表</w:t>
      </w:r>
      <w:r>
        <w:rPr>
          <w:rFonts w:hint="eastAsia" w:ascii="宋体" w:hAnsi="宋体" w:eastAsia="宋体" w:cs="宋体"/>
          <w:color w:val="auto"/>
          <w:sz w:val="24"/>
          <w:szCs w:val="24"/>
          <w:highlight w:val="none"/>
        </w:rPr>
        <w:t>（格式见附件）</w:t>
      </w:r>
    </w:p>
    <w:p w14:paraId="27BA67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6、供应商与其他单位存在直接控股、管理关系情况表</w:t>
      </w:r>
      <w:r>
        <w:rPr>
          <w:rFonts w:hint="eastAsia" w:ascii="宋体" w:hAnsi="宋体" w:eastAsia="宋体" w:cs="宋体"/>
          <w:color w:val="auto"/>
          <w:sz w:val="24"/>
          <w:szCs w:val="24"/>
          <w:highlight w:val="none"/>
        </w:rPr>
        <w:t>（格式见附件）</w:t>
      </w:r>
    </w:p>
    <w:p w14:paraId="369504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7、关于符合本国产品标准的声明函</w:t>
      </w:r>
      <w:r>
        <w:rPr>
          <w:rFonts w:hint="eastAsia" w:ascii="宋体" w:hAnsi="宋体" w:eastAsia="宋体" w:cs="宋体"/>
          <w:color w:val="auto"/>
          <w:sz w:val="24"/>
          <w:szCs w:val="24"/>
          <w:highlight w:val="none"/>
        </w:rPr>
        <w:t>（格式见附件）</w:t>
      </w:r>
    </w:p>
    <w:p w14:paraId="6759C4B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四、综合评审文件</w:t>
      </w:r>
    </w:p>
    <w:p w14:paraId="63BE60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1、投标货物综合说明（格式见附件）</w:t>
      </w:r>
    </w:p>
    <w:p w14:paraId="1968C1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2、项目实施方案（格式见附件）</w:t>
      </w:r>
    </w:p>
    <w:p w14:paraId="5842FB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3、质量保证及售后服务承诺（格式见附件）</w:t>
      </w:r>
    </w:p>
    <w:p w14:paraId="635FE38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4、业绩一览表（格式见附件）</w:t>
      </w:r>
    </w:p>
    <w:p w14:paraId="2BE5B2B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备注：针对“二、资格审查内容”和“三、符合性审查内容”，投标人必须在投标文件中提供相关材料，若有缺失或无效的，将导致其投标无效。</w:t>
      </w:r>
    </w:p>
    <w:p w14:paraId="343D1B1C">
      <w:pPr>
        <w:keepNext w:val="0"/>
        <w:keepLines w:val="0"/>
        <w:pageBreakBefore w:val="0"/>
        <w:widowControl w:val="0"/>
        <w:kinsoku/>
        <w:wordWrap/>
        <w:overflowPunct/>
        <w:topLinePunct w:val="0"/>
        <w:autoSpaceDE/>
        <w:autoSpaceDN/>
        <w:bidi w:val="0"/>
        <w:adjustRightInd/>
        <w:snapToGrid/>
        <w:spacing w:line="440" w:lineRule="exact"/>
        <w:ind w:firstLine="482"/>
        <w:jc w:val="center"/>
        <w:textAlignment w:val="auto"/>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63" w:name="_Toc24641"/>
      <w:r>
        <w:rPr>
          <w:rFonts w:hint="eastAsia" w:ascii="宋体" w:hAnsi="宋体" w:eastAsia="宋体" w:cs="宋体"/>
          <w:b/>
          <w:bCs/>
          <w:color w:val="auto"/>
          <w:sz w:val="28"/>
          <w:szCs w:val="28"/>
          <w:highlight w:val="none"/>
        </w:rPr>
        <w:t>附件1 开标一览表</w:t>
      </w:r>
      <w:bookmarkEnd w:id="363"/>
    </w:p>
    <w:p w14:paraId="71A15BD5">
      <w:pPr>
        <w:ind w:firstLine="482"/>
        <w:rPr>
          <w:rFonts w:hint="eastAsia" w:ascii="宋体" w:hAnsi="宋体" w:eastAsia="宋体" w:cs="宋体"/>
          <w:b/>
          <w:color w:val="auto"/>
          <w:sz w:val="24"/>
          <w:szCs w:val="24"/>
          <w:highlight w:val="none"/>
        </w:rPr>
      </w:pPr>
    </w:p>
    <w:p w14:paraId="5007C442">
      <w:pPr>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w:t>
      </w:r>
    </w:p>
    <w:p w14:paraId="4450BE74">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JSZC-320581-SZDS-G2026-0005</w:t>
      </w:r>
    </w:p>
    <w:p w14:paraId="1516472F">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分包号</w:t>
      </w:r>
      <w:r>
        <w:rPr>
          <w:rFonts w:hint="eastAsia" w:ascii="宋体" w:hAnsi="宋体" w:eastAsia="宋体" w:cs="宋体"/>
          <w:color w:val="auto"/>
          <w:sz w:val="24"/>
          <w:szCs w:val="24"/>
          <w:highlight w:val="none"/>
        </w:rPr>
        <w:t>：</w:t>
      </w:r>
    </w:p>
    <w:bookmarkEnd w:id="178"/>
    <w:bookmarkEnd w:id="179"/>
    <w:bookmarkEnd w:id="360"/>
    <w:bookmarkEnd w:id="361"/>
    <w:bookmarkEnd w:id="362"/>
    <w:tbl>
      <w:tblPr>
        <w:tblStyle w:val="38"/>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0"/>
        <w:gridCol w:w="4330"/>
      </w:tblGrid>
      <w:tr w14:paraId="32D33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67" w:hRule="atLeast"/>
        </w:trPr>
        <w:tc>
          <w:tcPr>
            <w:tcW w:w="4950" w:type="dxa"/>
            <w:vAlign w:val="center"/>
          </w:tcPr>
          <w:p w14:paraId="17903729">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tc>
        <w:tc>
          <w:tcPr>
            <w:tcW w:w="4330" w:type="dxa"/>
            <w:vAlign w:val="center"/>
          </w:tcPr>
          <w:p w14:paraId="015003AA">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投标优惠率</w:t>
            </w:r>
          </w:p>
        </w:tc>
      </w:tr>
      <w:tr w14:paraId="5576A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trPr>
        <w:tc>
          <w:tcPr>
            <w:tcW w:w="4950" w:type="dxa"/>
            <w:vAlign w:val="center"/>
          </w:tcPr>
          <w:p w14:paraId="02DCF25D">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常熟第二人民医院医用氧采购项目</w:t>
            </w:r>
          </w:p>
        </w:tc>
        <w:tc>
          <w:tcPr>
            <w:tcW w:w="4330" w:type="dxa"/>
            <w:vAlign w:val="center"/>
          </w:tcPr>
          <w:p w14:paraId="76376244">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tc>
      </w:tr>
    </w:tbl>
    <w:p w14:paraId="0B7BD00D">
      <w:pPr>
        <w:rPr>
          <w:rFonts w:hint="eastAsia" w:ascii="宋体" w:hAnsi="宋体" w:eastAsia="宋体" w:cs="宋体"/>
          <w:color w:val="auto"/>
          <w:sz w:val="24"/>
          <w:szCs w:val="24"/>
          <w:highlight w:val="none"/>
        </w:rPr>
      </w:pPr>
    </w:p>
    <w:p w14:paraId="0BF8CC29">
      <w:pPr>
        <w:jc w:val="righ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日期：   年   月   日</w:t>
      </w:r>
    </w:p>
    <w:p w14:paraId="6FE861B5">
      <w:pPr>
        <w:jc w:val="center"/>
        <w:rPr>
          <w:rFonts w:hint="eastAsia" w:ascii="宋体" w:hAnsi="宋体" w:eastAsia="宋体" w:cs="宋体"/>
          <w:b w:val="0"/>
          <w:bCs/>
          <w:color w:val="auto"/>
          <w:sz w:val="24"/>
          <w:szCs w:val="24"/>
          <w:highlight w:val="none"/>
          <w:lang w:val="en-US" w:eastAsia="zh-CN"/>
        </w:rPr>
      </w:pPr>
    </w:p>
    <w:p w14:paraId="1AB78E21">
      <w:pPr>
        <w:spacing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填写说明:</w:t>
      </w:r>
    </w:p>
    <w:p w14:paraId="54F82F0D">
      <w:pPr>
        <w:spacing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1、开标一览表必须加盖投标人公章(复印件无效)。</w:t>
      </w:r>
    </w:p>
    <w:p w14:paraId="31DDEDCA">
      <w:pPr>
        <w:spacing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2、如有分包，投标人投任何一个包的标的，都需单独填写开标一览表。</w:t>
      </w:r>
    </w:p>
    <w:p w14:paraId="09E11E69">
      <w:pPr>
        <w:spacing w:line="440" w:lineRule="exact"/>
        <w:ind w:firstLine="482"/>
        <w:rPr>
          <w:rFonts w:hint="eastAsia" w:ascii="宋体" w:hAnsi="宋体" w:eastAsia="宋体" w:cs="宋体"/>
          <w:color w:val="auto"/>
          <w:sz w:val="24"/>
          <w:szCs w:val="24"/>
          <w:highlight w:val="none"/>
          <w:lang w:val="en-US" w:eastAsia="zh-CN"/>
        </w:rPr>
      </w:pPr>
    </w:p>
    <w:p w14:paraId="18353774">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本项目设投标优惠率报价范围，0≤投标优惠率＜100%，优惠率不得超过报价范围，否则其投标作无效投标处理。具体填写方式为：如投标文件中的投标报价（投标优惠率）为10%，则“电子投标文件格式”“投标优惠率”中填写10%。</w:t>
      </w:r>
    </w:p>
    <w:p w14:paraId="33D8954D">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2、投标报价请保留小数点后两位。</w:t>
      </w:r>
    </w:p>
    <w:p w14:paraId="228D9ECB">
      <w:pPr>
        <w:spacing w:line="440" w:lineRule="exact"/>
        <w:rPr>
          <w:rFonts w:hint="eastAsia" w:ascii="宋体" w:hAnsi="宋体" w:eastAsia="宋体" w:cs="宋体"/>
          <w:color w:val="auto"/>
          <w:sz w:val="24"/>
          <w:szCs w:val="24"/>
          <w:highlight w:val="none"/>
          <w:lang w:val="en-US" w:eastAsia="zh-CN"/>
        </w:rPr>
        <w:sectPr>
          <w:footerReference r:id="rId8" w:type="first"/>
          <w:footerReference r:id="rId7" w:type="default"/>
          <w:pgSz w:w="11906" w:h="16838"/>
          <w:pgMar w:top="771" w:right="720" w:bottom="527" w:left="720" w:header="231" w:footer="200" w:gutter="0"/>
          <w:pgNumType w:fmt="decimal" w:start="1"/>
          <w:cols w:space="720" w:num="1"/>
          <w:titlePg/>
          <w:docGrid w:linePitch="360" w:charSpace="0"/>
        </w:sectPr>
      </w:pPr>
      <w:r>
        <w:rPr>
          <w:rFonts w:hint="eastAsia" w:ascii="宋体" w:hAnsi="宋体" w:eastAsia="宋体" w:cs="宋体"/>
          <w:color w:val="auto"/>
          <w:sz w:val="24"/>
          <w:szCs w:val="24"/>
          <w:highlight w:val="none"/>
          <w:lang w:val="en-US" w:eastAsia="zh-CN"/>
        </w:rPr>
        <w:t>3、中标单价=对应单价最高限价*（1-投标优惠率）。</w:t>
      </w:r>
    </w:p>
    <w:p w14:paraId="3B33F40F">
      <w:pPr>
        <w:spacing w:line="440" w:lineRule="exact"/>
        <w:jc w:val="center"/>
        <w:outlineLvl w:val="1"/>
        <w:rPr>
          <w:rFonts w:hint="eastAsia" w:ascii="宋体" w:hAnsi="宋体" w:eastAsia="宋体" w:cs="宋体"/>
          <w:b/>
          <w:bCs/>
          <w:color w:val="auto"/>
          <w:sz w:val="28"/>
          <w:szCs w:val="28"/>
          <w:highlight w:val="none"/>
        </w:rPr>
      </w:pPr>
      <w:bookmarkStart w:id="364" w:name="_Toc424045390"/>
      <w:bookmarkStart w:id="365" w:name="_Toc342901622"/>
      <w:bookmarkStart w:id="366" w:name="_Toc15955"/>
      <w:bookmarkStart w:id="367" w:name="_Toc15366"/>
      <w:bookmarkStart w:id="368" w:name="_Toc145474400"/>
      <w:bookmarkStart w:id="369" w:name="_Toc27526"/>
      <w:bookmarkStart w:id="370" w:name="_Toc24737"/>
      <w:bookmarkStart w:id="371" w:name="_Toc376513763"/>
      <w:bookmarkStart w:id="372" w:name="_Toc323364718"/>
      <w:bookmarkStart w:id="373" w:name="_Toc375841418"/>
      <w:bookmarkStart w:id="374" w:name="_Toc312824904"/>
      <w:bookmarkStart w:id="375" w:name="_Toc158691780"/>
      <w:r>
        <w:rPr>
          <w:rFonts w:hint="eastAsia" w:ascii="宋体" w:hAnsi="宋体" w:eastAsia="宋体" w:cs="宋体"/>
          <w:b/>
          <w:bCs/>
          <w:color w:val="auto"/>
          <w:sz w:val="28"/>
          <w:szCs w:val="28"/>
          <w:highlight w:val="none"/>
        </w:rPr>
        <w:t>附件2 报价明细表</w:t>
      </w:r>
      <w:bookmarkEnd w:id="364"/>
      <w:bookmarkEnd w:id="365"/>
      <w:bookmarkEnd w:id="366"/>
      <w:bookmarkEnd w:id="367"/>
      <w:bookmarkEnd w:id="368"/>
      <w:bookmarkEnd w:id="369"/>
      <w:bookmarkEnd w:id="370"/>
      <w:bookmarkEnd w:id="371"/>
      <w:bookmarkEnd w:id="372"/>
      <w:bookmarkEnd w:id="373"/>
      <w:bookmarkEnd w:id="374"/>
      <w:bookmarkEnd w:id="375"/>
    </w:p>
    <w:tbl>
      <w:tblPr>
        <w:tblStyle w:val="38"/>
        <w:tblW w:w="10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863"/>
        <w:gridCol w:w="2041"/>
        <w:gridCol w:w="872"/>
        <w:gridCol w:w="912"/>
        <w:gridCol w:w="1275"/>
        <w:gridCol w:w="1750"/>
        <w:gridCol w:w="800"/>
      </w:tblGrid>
      <w:tr w14:paraId="3DCD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45" w:type="dxa"/>
            <w:noWrap w:val="0"/>
            <w:vAlign w:val="center"/>
          </w:tcPr>
          <w:p w14:paraId="25B631FF">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863" w:type="dxa"/>
            <w:noWrap w:val="0"/>
            <w:vAlign w:val="center"/>
          </w:tcPr>
          <w:p w14:paraId="48F25D0A">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货物名称</w:t>
            </w:r>
          </w:p>
        </w:tc>
        <w:tc>
          <w:tcPr>
            <w:tcW w:w="2041" w:type="dxa"/>
            <w:noWrap w:val="0"/>
            <w:vAlign w:val="center"/>
          </w:tcPr>
          <w:p w14:paraId="15C41530">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品牌、规格及型号</w:t>
            </w:r>
          </w:p>
        </w:tc>
        <w:tc>
          <w:tcPr>
            <w:tcW w:w="872" w:type="dxa"/>
            <w:noWrap w:val="0"/>
            <w:vAlign w:val="center"/>
          </w:tcPr>
          <w:p w14:paraId="32390D25">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912" w:type="dxa"/>
            <w:noWrap w:val="0"/>
            <w:vAlign w:val="center"/>
          </w:tcPr>
          <w:p w14:paraId="2BE9D521">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275" w:type="dxa"/>
            <w:noWrap w:val="0"/>
            <w:vAlign w:val="center"/>
          </w:tcPr>
          <w:p w14:paraId="7A8DE36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750" w:type="dxa"/>
            <w:noWrap w:val="0"/>
            <w:vAlign w:val="center"/>
          </w:tcPr>
          <w:p w14:paraId="774A308A">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分类总价（元）</w:t>
            </w:r>
          </w:p>
        </w:tc>
        <w:tc>
          <w:tcPr>
            <w:tcW w:w="800" w:type="dxa"/>
            <w:noWrap w:val="0"/>
            <w:vAlign w:val="center"/>
          </w:tcPr>
          <w:p w14:paraId="686FF61A">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3407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5" w:type="dxa"/>
            <w:noWrap w:val="0"/>
            <w:vAlign w:val="center"/>
          </w:tcPr>
          <w:p w14:paraId="42085AA4">
            <w:pPr>
              <w:jc w:val="center"/>
              <w:rPr>
                <w:rFonts w:hint="eastAsia" w:ascii="宋体" w:hAnsi="宋体" w:eastAsia="宋体" w:cs="宋体"/>
                <w:color w:val="auto"/>
                <w:sz w:val="24"/>
                <w:highlight w:val="none"/>
              </w:rPr>
            </w:pPr>
            <w:bookmarkStart w:id="376" w:name="_Hlk446945125"/>
            <w:r>
              <w:rPr>
                <w:rFonts w:hint="eastAsia" w:ascii="宋体" w:hAnsi="宋体" w:eastAsia="宋体" w:cs="宋体"/>
                <w:color w:val="auto"/>
                <w:sz w:val="24"/>
                <w:highlight w:val="none"/>
              </w:rPr>
              <w:t>1</w:t>
            </w:r>
          </w:p>
        </w:tc>
        <w:tc>
          <w:tcPr>
            <w:tcW w:w="1863" w:type="dxa"/>
            <w:noWrap w:val="0"/>
            <w:vAlign w:val="center"/>
          </w:tcPr>
          <w:p w14:paraId="74226D9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医用液氧</w:t>
            </w:r>
          </w:p>
        </w:tc>
        <w:tc>
          <w:tcPr>
            <w:tcW w:w="2041" w:type="dxa"/>
            <w:noWrap w:val="0"/>
            <w:vAlign w:val="center"/>
          </w:tcPr>
          <w:p w14:paraId="19670212">
            <w:pPr>
              <w:rPr>
                <w:rFonts w:hint="eastAsia" w:ascii="宋体" w:hAnsi="宋体" w:eastAsia="宋体" w:cs="宋体"/>
                <w:color w:val="auto"/>
                <w:szCs w:val="24"/>
                <w:highlight w:val="none"/>
              </w:rPr>
            </w:pPr>
          </w:p>
        </w:tc>
        <w:tc>
          <w:tcPr>
            <w:tcW w:w="872" w:type="dxa"/>
            <w:noWrap w:val="0"/>
            <w:vAlign w:val="center"/>
          </w:tcPr>
          <w:p w14:paraId="65D0B9C6">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吨</w:t>
            </w:r>
          </w:p>
        </w:tc>
        <w:tc>
          <w:tcPr>
            <w:tcW w:w="912" w:type="dxa"/>
            <w:noWrap w:val="0"/>
            <w:vAlign w:val="center"/>
          </w:tcPr>
          <w:p w14:paraId="448F404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1200</w:t>
            </w:r>
          </w:p>
        </w:tc>
        <w:tc>
          <w:tcPr>
            <w:tcW w:w="1275" w:type="dxa"/>
            <w:noWrap w:val="0"/>
            <w:vAlign w:val="center"/>
          </w:tcPr>
          <w:p w14:paraId="25BF0E99">
            <w:pPr>
              <w:rPr>
                <w:rFonts w:hint="eastAsia" w:ascii="宋体" w:hAnsi="宋体" w:eastAsia="宋体" w:cs="宋体"/>
                <w:color w:val="auto"/>
                <w:szCs w:val="24"/>
                <w:highlight w:val="none"/>
              </w:rPr>
            </w:pPr>
          </w:p>
        </w:tc>
        <w:tc>
          <w:tcPr>
            <w:tcW w:w="1750" w:type="dxa"/>
            <w:noWrap w:val="0"/>
            <w:vAlign w:val="center"/>
          </w:tcPr>
          <w:p w14:paraId="39388D26">
            <w:pPr>
              <w:rPr>
                <w:rFonts w:hint="eastAsia" w:ascii="宋体" w:hAnsi="宋体" w:eastAsia="宋体" w:cs="宋体"/>
                <w:color w:val="auto"/>
                <w:szCs w:val="24"/>
                <w:highlight w:val="none"/>
              </w:rPr>
            </w:pPr>
          </w:p>
        </w:tc>
        <w:tc>
          <w:tcPr>
            <w:tcW w:w="800" w:type="dxa"/>
            <w:noWrap w:val="0"/>
            <w:vAlign w:val="center"/>
          </w:tcPr>
          <w:p w14:paraId="599700EB">
            <w:pPr>
              <w:rPr>
                <w:rFonts w:hint="eastAsia" w:ascii="宋体" w:hAnsi="宋体" w:eastAsia="宋体" w:cs="宋体"/>
                <w:color w:val="auto"/>
                <w:szCs w:val="24"/>
                <w:highlight w:val="none"/>
              </w:rPr>
            </w:pPr>
          </w:p>
        </w:tc>
      </w:tr>
      <w:tr w14:paraId="5906D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5" w:type="dxa"/>
            <w:noWrap w:val="0"/>
            <w:vAlign w:val="center"/>
          </w:tcPr>
          <w:p w14:paraId="103B4D5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3" w:type="dxa"/>
            <w:noWrap w:val="0"/>
            <w:vAlign w:val="center"/>
          </w:tcPr>
          <w:p w14:paraId="1FA3051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40L医用氧</w:t>
            </w:r>
          </w:p>
        </w:tc>
        <w:tc>
          <w:tcPr>
            <w:tcW w:w="2041" w:type="dxa"/>
            <w:noWrap w:val="0"/>
            <w:vAlign w:val="center"/>
          </w:tcPr>
          <w:p w14:paraId="005E1805">
            <w:pPr>
              <w:rPr>
                <w:rFonts w:hint="eastAsia" w:ascii="宋体" w:hAnsi="宋体" w:eastAsia="宋体" w:cs="宋体"/>
                <w:color w:val="auto"/>
                <w:szCs w:val="24"/>
                <w:highlight w:val="none"/>
              </w:rPr>
            </w:pPr>
          </w:p>
        </w:tc>
        <w:tc>
          <w:tcPr>
            <w:tcW w:w="872" w:type="dxa"/>
            <w:noWrap w:val="0"/>
            <w:vAlign w:val="center"/>
          </w:tcPr>
          <w:p w14:paraId="062625CC">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瓶</w:t>
            </w:r>
          </w:p>
        </w:tc>
        <w:tc>
          <w:tcPr>
            <w:tcW w:w="912" w:type="dxa"/>
            <w:noWrap w:val="0"/>
            <w:vAlign w:val="center"/>
          </w:tcPr>
          <w:p w14:paraId="17F6E993">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60</w:t>
            </w:r>
          </w:p>
        </w:tc>
        <w:tc>
          <w:tcPr>
            <w:tcW w:w="1275" w:type="dxa"/>
            <w:noWrap w:val="0"/>
            <w:vAlign w:val="center"/>
          </w:tcPr>
          <w:p w14:paraId="412A7D03">
            <w:pPr>
              <w:rPr>
                <w:rFonts w:hint="eastAsia" w:ascii="宋体" w:hAnsi="宋体" w:eastAsia="宋体" w:cs="宋体"/>
                <w:color w:val="auto"/>
                <w:szCs w:val="24"/>
                <w:highlight w:val="none"/>
              </w:rPr>
            </w:pPr>
          </w:p>
        </w:tc>
        <w:tc>
          <w:tcPr>
            <w:tcW w:w="1750" w:type="dxa"/>
            <w:noWrap w:val="0"/>
            <w:vAlign w:val="center"/>
          </w:tcPr>
          <w:p w14:paraId="70E5B907">
            <w:pPr>
              <w:rPr>
                <w:rFonts w:hint="eastAsia" w:ascii="宋体" w:hAnsi="宋体" w:eastAsia="宋体" w:cs="宋体"/>
                <w:color w:val="auto"/>
                <w:szCs w:val="24"/>
                <w:highlight w:val="none"/>
              </w:rPr>
            </w:pPr>
          </w:p>
        </w:tc>
        <w:tc>
          <w:tcPr>
            <w:tcW w:w="800" w:type="dxa"/>
            <w:noWrap w:val="0"/>
            <w:vAlign w:val="center"/>
          </w:tcPr>
          <w:p w14:paraId="27339889">
            <w:pPr>
              <w:rPr>
                <w:rFonts w:hint="eastAsia" w:ascii="宋体" w:hAnsi="宋体" w:eastAsia="宋体" w:cs="宋体"/>
                <w:color w:val="auto"/>
                <w:szCs w:val="24"/>
                <w:highlight w:val="none"/>
              </w:rPr>
            </w:pPr>
          </w:p>
        </w:tc>
      </w:tr>
      <w:tr w14:paraId="7A63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5" w:type="dxa"/>
            <w:noWrap w:val="0"/>
            <w:vAlign w:val="center"/>
          </w:tcPr>
          <w:p w14:paraId="77C8E4B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63" w:type="dxa"/>
            <w:noWrap w:val="0"/>
            <w:vAlign w:val="center"/>
          </w:tcPr>
          <w:p w14:paraId="6060F15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10L医用氧</w:t>
            </w:r>
          </w:p>
        </w:tc>
        <w:tc>
          <w:tcPr>
            <w:tcW w:w="2041" w:type="dxa"/>
            <w:noWrap w:val="0"/>
            <w:vAlign w:val="center"/>
          </w:tcPr>
          <w:p w14:paraId="0485C54B">
            <w:pPr>
              <w:rPr>
                <w:rFonts w:hint="eastAsia" w:ascii="宋体" w:hAnsi="宋体" w:eastAsia="宋体" w:cs="宋体"/>
                <w:color w:val="auto"/>
                <w:szCs w:val="24"/>
                <w:highlight w:val="none"/>
              </w:rPr>
            </w:pPr>
          </w:p>
        </w:tc>
        <w:tc>
          <w:tcPr>
            <w:tcW w:w="872" w:type="dxa"/>
            <w:noWrap w:val="0"/>
            <w:vAlign w:val="center"/>
          </w:tcPr>
          <w:p w14:paraId="78B0224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瓶</w:t>
            </w:r>
          </w:p>
        </w:tc>
        <w:tc>
          <w:tcPr>
            <w:tcW w:w="912" w:type="dxa"/>
            <w:noWrap w:val="0"/>
            <w:vAlign w:val="center"/>
          </w:tcPr>
          <w:p w14:paraId="0DCE8218">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130</w:t>
            </w:r>
          </w:p>
        </w:tc>
        <w:tc>
          <w:tcPr>
            <w:tcW w:w="1275" w:type="dxa"/>
            <w:noWrap w:val="0"/>
            <w:vAlign w:val="center"/>
          </w:tcPr>
          <w:p w14:paraId="54D87DE7">
            <w:pPr>
              <w:rPr>
                <w:rFonts w:hint="eastAsia" w:ascii="宋体" w:hAnsi="宋体" w:eastAsia="宋体" w:cs="宋体"/>
                <w:color w:val="auto"/>
                <w:szCs w:val="24"/>
                <w:highlight w:val="none"/>
              </w:rPr>
            </w:pPr>
          </w:p>
        </w:tc>
        <w:tc>
          <w:tcPr>
            <w:tcW w:w="1750" w:type="dxa"/>
            <w:noWrap w:val="0"/>
            <w:vAlign w:val="center"/>
          </w:tcPr>
          <w:p w14:paraId="4A96CB50">
            <w:pPr>
              <w:rPr>
                <w:rFonts w:hint="eastAsia" w:ascii="宋体" w:hAnsi="宋体" w:eastAsia="宋体" w:cs="宋体"/>
                <w:color w:val="auto"/>
                <w:szCs w:val="24"/>
                <w:highlight w:val="none"/>
              </w:rPr>
            </w:pPr>
          </w:p>
        </w:tc>
        <w:tc>
          <w:tcPr>
            <w:tcW w:w="800" w:type="dxa"/>
            <w:noWrap w:val="0"/>
            <w:vAlign w:val="center"/>
          </w:tcPr>
          <w:p w14:paraId="7022148D">
            <w:pPr>
              <w:rPr>
                <w:rFonts w:hint="eastAsia" w:ascii="宋体" w:hAnsi="宋体" w:eastAsia="宋体" w:cs="宋体"/>
                <w:color w:val="auto"/>
                <w:szCs w:val="24"/>
                <w:highlight w:val="none"/>
              </w:rPr>
            </w:pPr>
          </w:p>
        </w:tc>
      </w:tr>
      <w:tr w14:paraId="3030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5" w:type="dxa"/>
            <w:noWrap w:val="0"/>
            <w:vAlign w:val="center"/>
          </w:tcPr>
          <w:p w14:paraId="2AC6B393">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863" w:type="dxa"/>
            <w:noWrap w:val="0"/>
            <w:vAlign w:val="center"/>
          </w:tcPr>
          <w:p w14:paraId="17A902B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4L医用氧（</w:t>
            </w:r>
            <w:r>
              <w:rPr>
                <w:rFonts w:hint="eastAsia" w:ascii="宋体" w:hAnsi="宋体" w:eastAsia="宋体" w:cs="宋体"/>
                <w:color w:val="auto"/>
                <w:sz w:val="24"/>
                <w:highlight w:val="none"/>
                <w:lang w:val="en-US" w:eastAsia="zh-CN"/>
              </w:rPr>
              <w:t>组合瓶</w:t>
            </w:r>
            <w:r>
              <w:rPr>
                <w:rFonts w:hint="eastAsia" w:ascii="宋体" w:hAnsi="宋体" w:eastAsia="宋体" w:cs="宋体"/>
                <w:color w:val="auto"/>
                <w:sz w:val="24"/>
                <w:highlight w:val="none"/>
                <w:lang w:eastAsia="zh-CN"/>
              </w:rPr>
              <w:t>）</w:t>
            </w:r>
          </w:p>
        </w:tc>
        <w:tc>
          <w:tcPr>
            <w:tcW w:w="2041" w:type="dxa"/>
            <w:noWrap w:val="0"/>
            <w:vAlign w:val="center"/>
          </w:tcPr>
          <w:p w14:paraId="5D4C9C68">
            <w:pPr>
              <w:rPr>
                <w:rFonts w:hint="eastAsia" w:ascii="宋体" w:hAnsi="宋体" w:eastAsia="宋体" w:cs="宋体"/>
                <w:color w:val="auto"/>
                <w:szCs w:val="24"/>
                <w:highlight w:val="none"/>
              </w:rPr>
            </w:pPr>
          </w:p>
        </w:tc>
        <w:tc>
          <w:tcPr>
            <w:tcW w:w="872" w:type="dxa"/>
            <w:noWrap w:val="0"/>
            <w:vAlign w:val="center"/>
          </w:tcPr>
          <w:p w14:paraId="1BD52E8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瓶</w:t>
            </w:r>
          </w:p>
        </w:tc>
        <w:tc>
          <w:tcPr>
            <w:tcW w:w="912" w:type="dxa"/>
            <w:noWrap w:val="0"/>
            <w:vAlign w:val="center"/>
          </w:tcPr>
          <w:p w14:paraId="39D2B1E0">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3100</w:t>
            </w:r>
          </w:p>
        </w:tc>
        <w:tc>
          <w:tcPr>
            <w:tcW w:w="1275" w:type="dxa"/>
            <w:noWrap w:val="0"/>
            <w:vAlign w:val="center"/>
          </w:tcPr>
          <w:p w14:paraId="20001D18">
            <w:pPr>
              <w:rPr>
                <w:rFonts w:hint="eastAsia" w:ascii="宋体" w:hAnsi="宋体" w:eastAsia="宋体" w:cs="宋体"/>
                <w:color w:val="auto"/>
                <w:szCs w:val="24"/>
                <w:highlight w:val="none"/>
              </w:rPr>
            </w:pPr>
          </w:p>
        </w:tc>
        <w:tc>
          <w:tcPr>
            <w:tcW w:w="1750" w:type="dxa"/>
            <w:noWrap w:val="0"/>
            <w:vAlign w:val="center"/>
          </w:tcPr>
          <w:p w14:paraId="012A15BB">
            <w:pPr>
              <w:rPr>
                <w:rFonts w:hint="eastAsia" w:ascii="宋体" w:hAnsi="宋体" w:eastAsia="宋体" w:cs="宋体"/>
                <w:color w:val="auto"/>
                <w:szCs w:val="24"/>
                <w:highlight w:val="none"/>
              </w:rPr>
            </w:pPr>
          </w:p>
        </w:tc>
        <w:tc>
          <w:tcPr>
            <w:tcW w:w="800" w:type="dxa"/>
            <w:noWrap w:val="0"/>
            <w:vAlign w:val="center"/>
          </w:tcPr>
          <w:p w14:paraId="395063BE">
            <w:pPr>
              <w:rPr>
                <w:rFonts w:hint="eastAsia" w:ascii="宋体" w:hAnsi="宋体" w:eastAsia="宋体" w:cs="宋体"/>
                <w:color w:val="auto"/>
                <w:szCs w:val="24"/>
                <w:highlight w:val="none"/>
              </w:rPr>
            </w:pPr>
          </w:p>
        </w:tc>
      </w:tr>
      <w:tr w14:paraId="5225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533" w:type="dxa"/>
            <w:gridSpan w:val="5"/>
            <w:noWrap w:val="0"/>
            <w:vAlign w:val="center"/>
          </w:tcPr>
          <w:p w14:paraId="056E796B">
            <w:pP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合计总价：</w:t>
            </w:r>
          </w:p>
        </w:tc>
        <w:tc>
          <w:tcPr>
            <w:tcW w:w="3825" w:type="dxa"/>
            <w:gridSpan w:val="3"/>
            <w:noWrap w:val="0"/>
            <w:vAlign w:val="center"/>
          </w:tcPr>
          <w:p w14:paraId="71B2E7AC">
            <w:pPr>
              <w:rPr>
                <w:rFonts w:hint="eastAsia" w:ascii="宋体" w:hAnsi="宋体" w:eastAsia="宋体" w:cs="宋体"/>
                <w:color w:val="auto"/>
                <w:szCs w:val="24"/>
                <w:highlight w:val="none"/>
              </w:rPr>
            </w:pPr>
          </w:p>
        </w:tc>
      </w:tr>
      <w:bookmarkEnd w:id="376"/>
    </w:tbl>
    <w:p w14:paraId="09C3CCEB">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注：1、</w:t>
      </w:r>
      <w:r>
        <w:rPr>
          <w:rFonts w:hint="eastAsia" w:ascii="宋体" w:hAnsi="宋体" w:eastAsia="宋体" w:cs="宋体"/>
          <w:bCs/>
          <w:color w:val="auto"/>
          <w:sz w:val="24"/>
          <w:highlight w:val="none"/>
        </w:rPr>
        <w:t>投标人应根据本项目货物的分项价格情况，据实填写上述表格。</w:t>
      </w:r>
    </w:p>
    <w:p w14:paraId="5265F1ED">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2、所有价格用人民币表示。</w:t>
      </w:r>
    </w:p>
    <w:p w14:paraId="555A8E63">
      <w:pPr>
        <w:spacing w:line="440" w:lineRule="exact"/>
        <w:ind w:firstLine="482"/>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lang w:val="en-US" w:eastAsia="zh-CN"/>
        </w:rPr>
        <w:t>3、表中“</w:t>
      </w:r>
      <w:r>
        <w:rPr>
          <w:rFonts w:hint="eastAsia" w:ascii="宋体" w:hAnsi="宋体" w:eastAsia="宋体" w:cs="宋体"/>
          <w:b/>
          <w:bCs w:val="0"/>
          <w:color w:val="auto"/>
          <w:sz w:val="24"/>
          <w:szCs w:val="24"/>
          <w:highlight w:val="none"/>
        </w:rPr>
        <w:t>单价（元）</w:t>
      </w:r>
      <w:r>
        <w:rPr>
          <w:rFonts w:hint="eastAsia" w:ascii="宋体" w:hAnsi="宋体" w:eastAsia="宋体" w:cs="宋体"/>
          <w:b/>
          <w:bCs w:val="0"/>
          <w:color w:val="auto"/>
          <w:sz w:val="24"/>
          <w:highlight w:val="none"/>
          <w:lang w:val="en-US" w:eastAsia="zh-CN"/>
        </w:rPr>
        <w:t>”=</w:t>
      </w:r>
      <w:r>
        <w:rPr>
          <w:rFonts w:hint="eastAsia" w:ascii="宋体" w:hAnsi="宋体" w:eastAsia="宋体" w:cs="宋体"/>
          <w:b/>
          <w:bCs/>
          <w:color w:val="auto"/>
          <w:sz w:val="24"/>
          <w:szCs w:val="24"/>
          <w:highlight w:val="none"/>
          <w:lang w:val="en-US" w:eastAsia="zh-CN"/>
        </w:rPr>
        <w:t>对应单价最高限价*（1-投标优惠率）</w:t>
      </w:r>
      <w:r>
        <w:rPr>
          <w:rFonts w:hint="eastAsia" w:ascii="宋体" w:hAnsi="宋体" w:eastAsia="宋体" w:cs="宋体"/>
          <w:b/>
          <w:bCs w:val="0"/>
          <w:color w:val="auto"/>
          <w:sz w:val="24"/>
          <w:highlight w:val="none"/>
          <w:lang w:val="en-US" w:eastAsia="zh-CN"/>
        </w:rPr>
        <w:t>。</w:t>
      </w:r>
    </w:p>
    <w:p w14:paraId="3BAB0CA3">
      <w:pPr>
        <w:spacing w:line="440" w:lineRule="exact"/>
        <w:ind w:firstLine="482"/>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4、单价最高限价详见下表：</w:t>
      </w:r>
    </w:p>
    <w:p w14:paraId="7A90DD59">
      <w:pPr>
        <w:numPr>
          <w:ilvl w:val="0"/>
          <w:numId w:val="0"/>
        </w:numPr>
        <w:spacing w:line="420" w:lineRule="exact"/>
        <w:ind w:left="0"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最高限价分类</w:t>
      </w:r>
      <w:r>
        <w:rPr>
          <w:rFonts w:hint="eastAsia" w:ascii="宋体" w:hAnsi="宋体" w:eastAsia="宋体" w:cs="宋体"/>
          <w:b/>
          <w:bCs/>
          <w:color w:val="auto"/>
          <w:sz w:val="24"/>
          <w:szCs w:val="24"/>
          <w:highlight w:val="none"/>
        </w:rPr>
        <w:t>表</w:t>
      </w:r>
    </w:p>
    <w:tbl>
      <w:tblPr>
        <w:tblStyle w:val="38"/>
        <w:tblW w:w="7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2593"/>
        <w:gridCol w:w="2221"/>
        <w:gridCol w:w="2423"/>
      </w:tblGrid>
      <w:tr w14:paraId="53AD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26" w:type="dxa"/>
            <w:noWrap w:val="0"/>
            <w:vAlign w:val="center"/>
          </w:tcPr>
          <w:p w14:paraId="63CECB75">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593" w:type="dxa"/>
            <w:noWrap w:val="0"/>
            <w:vAlign w:val="center"/>
          </w:tcPr>
          <w:p w14:paraId="4B8446D4">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货物名称</w:t>
            </w:r>
          </w:p>
        </w:tc>
        <w:tc>
          <w:tcPr>
            <w:tcW w:w="2221" w:type="dxa"/>
            <w:noWrap w:val="0"/>
            <w:vAlign w:val="center"/>
          </w:tcPr>
          <w:p w14:paraId="78E6DEE2">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气体</w:t>
            </w:r>
            <w:r>
              <w:rPr>
                <w:rFonts w:hint="eastAsia" w:ascii="宋体" w:hAnsi="宋体" w:eastAsia="宋体" w:cs="宋体"/>
                <w:b/>
                <w:bCs/>
                <w:color w:val="auto"/>
                <w:sz w:val="24"/>
                <w:szCs w:val="24"/>
                <w:highlight w:val="none"/>
                <w:lang w:val="en-US" w:eastAsia="zh-CN"/>
              </w:rPr>
              <w:t>单价</w:t>
            </w:r>
            <w:r>
              <w:rPr>
                <w:rFonts w:hint="eastAsia" w:ascii="宋体" w:hAnsi="宋体" w:eastAsia="宋体" w:cs="宋体"/>
                <w:b/>
                <w:bCs/>
                <w:color w:val="auto"/>
                <w:sz w:val="24"/>
                <w:szCs w:val="24"/>
                <w:highlight w:val="none"/>
              </w:rPr>
              <w:t>最高限价</w:t>
            </w:r>
          </w:p>
        </w:tc>
        <w:tc>
          <w:tcPr>
            <w:tcW w:w="2423" w:type="dxa"/>
            <w:noWrap w:val="0"/>
            <w:vAlign w:val="center"/>
          </w:tcPr>
          <w:p w14:paraId="561C0150">
            <w:pPr>
              <w:widowControl/>
              <w:spacing w:before="100" w:beforeAutospacing="1" w:after="100" w:afterAutospacing="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投标优惠率报价范围</w:t>
            </w:r>
          </w:p>
        </w:tc>
      </w:tr>
      <w:tr w14:paraId="5316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26" w:type="dxa"/>
            <w:noWrap w:val="0"/>
            <w:vAlign w:val="center"/>
          </w:tcPr>
          <w:p w14:paraId="2468940B">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93" w:type="dxa"/>
            <w:noWrap w:val="0"/>
            <w:vAlign w:val="center"/>
          </w:tcPr>
          <w:p w14:paraId="6A24A4F8">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医用液氧</w:t>
            </w:r>
          </w:p>
        </w:tc>
        <w:tc>
          <w:tcPr>
            <w:tcW w:w="2221" w:type="dxa"/>
            <w:noWrap w:val="0"/>
            <w:vAlign w:val="center"/>
          </w:tcPr>
          <w:p w14:paraId="4BED8C42">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987.54</w:t>
            </w:r>
            <w:r>
              <w:rPr>
                <w:rFonts w:hint="eastAsia" w:ascii="宋体" w:hAnsi="宋体" w:eastAsia="宋体" w:cs="宋体"/>
                <w:color w:val="auto"/>
                <w:sz w:val="24"/>
                <w:szCs w:val="24"/>
                <w:highlight w:val="none"/>
              </w:rPr>
              <w:t>元/吨</w:t>
            </w:r>
          </w:p>
        </w:tc>
        <w:tc>
          <w:tcPr>
            <w:tcW w:w="2423" w:type="dxa"/>
            <w:vMerge w:val="restart"/>
            <w:noWrap w:val="0"/>
            <w:vAlign w:val="center"/>
          </w:tcPr>
          <w:p w14:paraId="69A7E6D6">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0≤投标优惠率＜100%</w:t>
            </w:r>
          </w:p>
        </w:tc>
      </w:tr>
      <w:tr w14:paraId="195A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626" w:type="dxa"/>
            <w:noWrap w:val="0"/>
            <w:vAlign w:val="center"/>
          </w:tcPr>
          <w:p w14:paraId="1F9F740D">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93" w:type="dxa"/>
            <w:noWrap w:val="0"/>
            <w:vAlign w:val="center"/>
          </w:tcPr>
          <w:p w14:paraId="4D5F861E">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40L医用氧</w:t>
            </w:r>
          </w:p>
        </w:tc>
        <w:tc>
          <w:tcPr>
            <w:tcW w:w="2221" w:type="dxa"/>
            <w:noWrap w:val="0"/>
            <w:vAlign w:val="center"/>
          </w:tcPr>
          <w:p w14:paraId="1C950CED">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58.30</w:t>
            </w:r>
            <w:r>
              <w:rPr>
                <w:rFonts w:hint="eastAsia" w:ascii="宋体" w:hAnsi="宋体" w:eastAsia="宋体" w:cs="宋体"/>
                <w:color w:val="auto"/>
                <w:sz w:val="24"/>
                <w:szCs w:val="24"/>
                <w:highlight w:val="none"/>
              </w:rPr>
              <w:t>元/瓶</w:t>
            </w:r>
          </w:p>
        </w:tc>
        <w:tc>
          <w:tcPr>
            <w:tcW w:w="2423" w:type="dxa"/>
            <w:vMerge w:val="continue"/>
            <w:noWrap w:val="0"/>
            <w:vAlign w:val="center"/>
          </w:tcPr>
          <w:p w14:paraId="1A4669A2">
            <w:pPr>
              <w:widowControl/>
              <w:spacing w:before="100" w:beforeAutospacing="1" w:after="100" w:afterAutospacing="1"/>
              <w:jc w:val="center"/>
              <w:rPr>
                <w:rFonts w:hint="eastAsia" w:ascii="宋体" w:hAnsi="宋体" w:eastAsia="宋体" w:cs="宋体"/>
                <w:color w:val="auto"/>
                <w:sz w:val="24"/>
                <w:szCs w:val="24"/>
                <w:highlight w:val="none"/>
              </w:rPr>
            </w:pPr>
          </w:p>
        </w:tc>
      </w:tr>
      <w:tr w14:paraId="617B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26" w:type="dxa"/>
            <w:noWrap w:val="0"/>
            <w:vAlign w:val="center"/>
          </w:tcPr>
          <w:p w14:paraId="1287D425">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93" w:type="dxa"/>
            <w:noWrap w:val="0"/>
            <w:vAlign w:val="center"/>
          </w:tcPr>
          <w:p w14:paraId="1597F1C4">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10L医用氧</w:t>
            </w:r>
          </w:p>
        </w:tc>
        <w:tc>
          <w:tcPr>
            <w:tcW w:w="2221" w:type="dxa"/>
            <w:noWrap w:val="0"/>
            <w:vAlign w:val="center"/>
          </w:tcPr>
          <w:p w14:paraId="4F954EBB">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32.09</w:t>
            </w:r>
            <w:r>
              <w:rPr>
                <w:rFonts w:hint="eastAsia" w:ascii="宋体" w:hAnsi="宋体" w:eastAsia="宋体" w:cs="宋体"/>
                <w:color w:val="auto"/>
                <w:sz w:val="24"/>
                <w:szCs w:val="24"/>
                <w:highlight w:val="none"/>
              </w:rPr>
              <w:t>元/瓶</w:t>
            </w:r>
          </w:p>
        </w:tc>
        <w:tc>
          <w:tcPr>
            <w:tcW w:w="2423" w:type="dxa"/>
            <w:vMerge w:val="continue"/>
            <w:noWrap w:val="0"/>
            <w:vAlign w:val="center"/>
          </w:tcPr>
          <w:p w14:paraId="52F53430">
            <w:pPr>
              <w:widowControl/>
              <w:spacing w:before="100" w:beforeAutospacing="1" w:after="100" w:afterAutospacing="1"/>
              <w:jc w:val="center"/>
              <w:rPr>
                <w:rFonts w:hint="eastAsia" w:ascii="宋体" w:hAnsi="宋体" w:eastAsia="宋体" w:cs="宋体"/>
                <w:color w:val="auto"/>
                <w:sz w:val="24"/>
                <w:szCs w:val="24"/>
                <w:highlight w:val="none"/>
              </w:rPr>
            </w:pPr>
          </w:p>
        </w:tc>
      </w:tr>
      <w:tr w14:paraId="2E14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26" w:type="dxa"/>
            <w:noWrap w:val="0"/>
            <w:vAlign w:val="center"/>
          </w:tcPr>
          <w:p w14:paraId="528747BA">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93" w:type="dxa"/>
            <w:noWrap w:val="0"/>
            <w:vAlign w:val="center"/>
          </w:tcPr>
          <w:p w14:paraId="35850951">
            <w:pPr>
              <w:widowControl/>
              <w:spacing w:before="100" w:beforeAutospacing="1" w:after="100" w:afterAutospacing="1"/>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4L医用氧（</w:t>
            </w:r>
            <w:r>
              <w:rPr>
                <w:rFonts w:hint="eastAsia" w:ascii="宋体" w:hAnsi="宋体" w:eastAsia="宋体" w:cs="宋体"/>
                <w:color w:val="auto"/>
                <w:sz w:val="24"/>
                <w:szCs w:val="24"/>
                <w:highlight w:val="none"/>
                <w:lang w:val="en-US" w:eastAsia="zh-CN"/>
              </w:rPr>
              <w:t>组合瓶</w:t>
            </w:r>
            <w:r>
              <w:rPr>
                <w:rFonts w:hint="eastAsia" w:ascii="宋体" w:hAnsi="宋体" w:eastAsia="宋体" w:cs="宋体"/>
                <w:color w:val="auto"/>
                <w:sz w:val="24"/>
                <w:szCs w:val="24"/>
                <w:highlight w:val="none"/>
                <w:lang w:eastAsia="zh-CN"/>
              </w:rPr>
              <w:t>）</w:t>
            </w:r>
          </w:p>
        </w:tc>
        <w:tc>
          <w:tcPr>
            <w:tcW w:w="2221" w:type="dxa"/>
            <w:noWrap w:val="0"/>
            <w:vAlign w:val="center"/>
          </w:tcPr>
          <w:p w14:paraId="65C02D2E">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24.40</w:t>
            </w:r>
            <w:r>
              <w:rPr>
                <w:rFonts w:hint="eastAsia" w:ascii="宋体" w:hAnsi="宋体" w:eastAsia="宋体" w:cs="宋体"/>
                <w:color w:val="auto"/>
                <w:sz w:val="24"/>
                <w:szCs w:val="24"/>
                <w:highlight w:val="none"/>
              </w:rPr>
              <w:t>元/瓶</w:t>
            </w:r>
          </w:p>
        </w:tc>
        <w:tc>
          <w:tcPr>
            <w:tcW w:w="2423" w:type="dxa"/>
            <w:vMerge w:val="continue"/>
            <w:noWrap w:val="0"/>
            <w:vAlign w:val="center"/>
          </w:tcPr>
          <w:p w14:paraId="408A4DC7">
            <w:pPr>
              <w:widowControl/>
              <w:spacing w:before="100" w:beforeAutospacing="1" w:after="100" w:afterAutospacing="1"/>
              <w:jc w:val="center"/>
              <w:rPr>
                <w:rFonts w:hint="eastAsia" w:ascii="宋体" w:hAnsi="宋体" w:eastAsia="宋体" w:cs="宋体"/>
                <w:color w:val="auto"/>
                <w:sz w:val="24"/>
                <w:szCs w:val="24"/>
                <w:highlight w:val="none"/>
              </w:rPr>
            </w:pPr>
          </w:p>
        </w:tc>
      </w:tr>
    </w:tbl>
    <w:p w14:paraId="1850D313">
      <w:pPr>
        <w:spacing w:line="44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、如有需要说明的事项，请在备注中列明</w:t>
      </w:r>
      <w:r>
        <w:rPr>
          <w:rFonts w:hint="eastAsia" w:ascii="宋体" w:hAnsi="宋体" w:eastAsia="宋体" w:cs="宋体"/>
          <w:color w:val="auto"/>
          <w:sz w:val="24"/>
          <w:highlight w:val="none"/>
        </w:rPr>
        <w:t>。</w:t>
      </w:r>
    </w:p>
    <w:p w14:paraId="564B6DD2">
      <w:pPr>
        <w:spacing w:line="440" w:lineRule="exact"/>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60948EE9">
      <w:pPr>
        <w:pStyle w:val="32"/>
        <w:rPr>
          <w:rFonts w:hint="eastAsia" w:ascii="宋体" w:hAnsi="宋体" w:eastAsia="宋体" w:cs="宋体"/>
          <w:color w:val="auto"/>
          <w:highlight w:val="none"/>
        </w:rPr>
        <w:sectPr>
          <w:pgSz w:w="11906" w:h="16838"/>
          <w:pgMar w:top="771" w:right="720" w:bottom="527" w:left="720" w:header="231" w:footer="200" w:gutter="0"/>
          <w:pgNumType w:fmt="decimal"/>
          <w:cols w:space="720" w:num="1"/>
          <w:titlePg/>
          <w:docGrid w:linePitch="360" w:charSpace="0"/>
        </w:sectPr>
      </w:pPr>
    </w:p>
    <w:p w14:paraId="12799987">
      <w:pPr>
        <w:spacing w:line="440" w:lineRule="exact"/>
        <w:ind w:firstLine="482"/>
        <w:jc w:val="center"/>
        <w:outlineLvl w:val="1"/>
        <w:rPr>
          <w:rFonts w:hint="eastAsia" w:ascii="宋体" w:hAnsi="宋体" w:eastAsia="宋体" w:cs="宋体"/>
          <w:b/>
          <w:color w:val="auto"/>
          <w:sz w:val="24"/>
          <w:szCs w:val="24"/>
          <w:highlight w:val="none"/>
        </w:rPr>
      </w:pPr>
      <w:bookmarkStart w:id="377" w:name="_Toc28281"/>
      <w:bookmarkStart w:id="378" w:name="_Toc43821328"/>
      <w:bookmarkStart w:id="379" w:name="_Toc522610225"/>
      <w:bookmarkStart w:id="380" w:name="_Toc387400419"/>
      <w:bookmarkStart w:id="381" w:name="_Toc354834784"/>
      <w:bookmarkStart w:id="382" w:name="_Toc146524609"/>
      <w:r>
        <w:rPr>
          <w:rFonts w:hint="eastAsia" w:ascii="宋体" w:hAnsi="宋体" w:eastAsia="宋体" w:cs="宋体"/>
          <w:b/>
          <w:bCs/>
          <w:color w:val="auto"/>
          <w:sz w:val="28"/>
          <w:szCs w:val="28"/>
          <w:highlight w:val="none"/>
        </w:rPr>
        <w:t>附件3 技术参数响应及偏离表</w:t>
      </w:r>
      <w:bookmarkEnd w:id="377"/>
    </w:p>
    <w:tbl>
      <w:tblPr>
        <w:tblStyle w:val="38"/>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830"/>
        <w:gridCol w:w="1811"/>
        <w:gridCol w:w="1107"/>
        <w:gridCol w:w="938"/>
        <w:gridCol w:w="913"/>
        <w:gridCol w:w="2024"/>
        <w:gridCol w:w="1278"/>
      </w:tblGrid>
      <w:tr w14:paraId="4881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35" w:type="dxa"/>
            <w:vMerge w:val="restart"/>
            <w:vAlign w:val="center"/>
          </w:tcPr>
          <w:p w14:paraId="160490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30" w:type="dxa"/>
            <w:vMerge w:val="restart"/>
            <w:vAlign w:val="center"/>
          </w:tcPr>
          <w:p w14:paraId="5D80D1F2">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招标货物</w:t>
            </w:r>
          </w:p>
          <w:p w14:paraId="6138D1C0">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配置及技术性能参数要求</w:t>
            </w:r>
          </w:p>
        </w:tc>
        <w:tc>
          <w:tcPr>
            <w:tcW w:w="1811" w:type="dxa"/>
            <w:vMerge w:val="restart"/>
            <w:vAlign w:val="center"/>
          </w:tcPr>
          <w:p w14:paraId="5410EA2E">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投标货物</w:t>
            </w:r>
          </w:p>
          <w:p w14:paraId="76D19427">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配置及技术性能参数</w:t>
            </w:r>
          </w:p>
        </w:tc>
        <w:tc>
          <w:tcPr>
            <w:tcW w:w="1107" w:type="dxa"/>
            <w:vMerge w:val="restart"/>
            <w:vAlign w:val="center"/>
          </w:tcPr>
          <w:p w14:paraId="6D255CB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851" w:type="dxa"/>
            <w:gridSpan w:val="2"/>
            <w:vAlign w:val="center"/>
          </w:tcPr>
          <w:p w14:paraId="1BC522A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024" w:type="dxa"/>
            <w:vAlign w:val="center"/>
          </w:tcPr>
          <w:p w14:paraId="36498CF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c>
          <w:tcPr>
            <w:tcW w:w="1278" w:type="dxa"/>
            <w:vAlign w:val="center"/>
          </w:tcPr>
          <w:p w14:paraId="62AAE09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2E94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35" w:type="dxa"/>
            <w:vMerge w:val="continue"/>
            <w:vAlign w:val="center"/>
          </w:tcPr>
          <w:p w14:paraId="2D8F0FD4">
            <w:pPr>
              <w:jc w:val="center"/>
              <w:rPr>
                <w:rFonts w:hint="eastAsia" w:ascii="宋体" w:hAnsi="宋体" w:eastAsia="宋体" w:cs="宋体"/>
                <w:b/>
                <w:color w:val="auto"/>
                <w:sz w:val="24"/>
                <w:szCs w:val="24"/>
                <w:highlight w:val="none"/>
              </w:rPr>
            </w:pPr>
          </w:p>
        </w:tc>
        <w:tc>
          <w:tcPr>
            <w:tcW w:w="1830" w:type="dxa"/>
            <w:vMerge w:val="continue"/>
            <w:vAlign w:val="center"/>
          </w:tcPr>
          <w:p w14:paraId="1BB4C244">
            <w:pPr>
              <w:jc w:val="center"/>
              <w:rPr>
                <w:rFonts w:hint="eastAsia" w:ascii="宋体" w:hAnsi="宋体" w:eastAsia="宋体" w:cs="宋体"/>
                <w:b/>
                <w:color w:val="auto"/>
                <w:sz w:val="24"/>
                <w:szCs w:val="24"/>
                <w:highlight w:val="none"/>
              </w:rPr>
            </w:pPr>
          </w:p>
        </w:tc>
        <w:tc>
          <w:tcPr>
            <w:tcW w:w="1811" w:type="dxa"/>
            <w:vMerge w:val="continue"/>
            <w:vAlign w:val="center"/>
          </w:tcPr>
          <w:p w14:paraId="4DFBB963">
            <w:pPr>
              <w:jc w:val="center"/>
              <w:rPr>
                <w:rFonts w:hint="eastAsia" w:ascii="宋体" w:hAnsi="宋体" w:eastAsia="宋体" w:cs="宋体"/>
                <w:b/>
                <w:color w:val="auto"/>
                <w:sz w:val="24"/>
                <w:szCs w:val="24"/>
                <w:highlight w:val="none"/>
              </w:rPr>
            </w:pPr>
          </w:p>
        </w:tc>
        <w:tc>
          <w:tcPr>
            <w:tcW w:w="1107" w:type="dxa"/>
            <w:vMerge w:val="continue"/>
            <w:vAlign w:val="center"/>
          </w:tcPr>
          <w:p w14:paraId="3F023BF8">
            <w:pPr>
              <w:jc w:val="center"/>
              <w:rPr>
                <w:rFonts w:hint="eastAsia" w:ascii="宋体" w:hAnsi="宋体" w:eastAsia="宋体" w:cs="宋体"/>
                <w:b/>
                <w:color w:val="auto"/>
                <w:sz w:val="24"/>
                <w:szCs w:val="24"/>
                <w:highlight w:val="none"/>
              </w:rPr>
            </w:pPr>
          </w:p>
        </w:tc>
        <w:tc>
          <w:tcPr>
            <w:tcW w:w="938" w:type="dxa"/>
            <w:vAlign w:val="center"/>
          </w:tcPr>
          <w:p w14:paraId="092215B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913" w:type="dxa"/>
            <w:vAlign w:val="center"/>
          </w:tcPr>
          <w:p w14:paraId="367F1D6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024" w:type="dxa"/>
            <w:vAlign w:val="center"/>
          </w:tcPr>
          <w:p w14:paraId="0FD5EAF5">
            <w:pPr>
              <w:jc w:val="center"/>
              <w:rPr>
                <w:rFonts w:hint="eastAsia" w:ascii="宋体" w:hAnsi="宋体" w:eastAsia="宋体" w:cs="宋体"/>
                <w:b/>
                <w:color w:val="auto"/>
                <w:sz w:val="24"/>
                <w:szCs w:val="24"/>
                <w:highlight w:val="none"/>
              </w:rPr>
            </w:pPr>
          </w:p>
        </w:tc>
        <w:tc>
          <w:tcPr>
            <w:tcW w:w="1278" w:type="dxa"/>
            <w:vAlign w:val="center"/>
          </w:tcPr>
          <w:p w14:paraId="3CCBA03A">
            <w:pPr>
              <w:jc w:val="center"/>
              <w:rPr>
                <w:rFonts w:hint="eastAsia" w:ascii="宋体" w:hAnsi="宋体" w:eastAsia="宋体" w:cs="宋体"/>
                <w:b/>
                <w:color w:val="auto"/>
                <w:sz w:val="24"/>
                <w:szCs w:val="24"/>
                <w:highlight w:val="none"/>
              </w:rPr>
            </w:pPr>
          </w:p>
        </w:tc>
      </w:tr>
      <w:tr w14:paraId="5B32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64E40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30" w:type="dxa"/>
            <w:vAlign w:val="center"/>
          </w:tcPr>
          <w:p w14:paraId="71E2A1A9">
            <w:pPr>
              <w:jc w:val="center"/>
              <w:rPr>
                <w:rFonts w:hint="eastAsia" w:ascii="宋体" w:hAnsi="宋体" w:eastAsia="宋体" w:cs="宋体"/>
                <w:color w:val="auto"/>
                <w:sz w:val="24"/>
                <w:szCs w:val="24"/>
                <w:highlight w:val="none"/>
              </w:rPr>
            </w:pPr>
          </w:p>
        </w:tc>
        <w:tc>
          <w:tcPr>
            <w:tcW w:w="1811" w:type="dxa"/>
            <w:vAlign w:val="center"/>
          </w:tcPr>
          <w:p w14:paraId="7AACE1F6">
            <w:pPr>
              <w:jc w:val="center"/>
              <w:rPr>
                <w:rFonts w:hint="eastAsia" w:ascii="宋体" w:hAnsi="宋体" w:eastAsia="宋体" w:cs="宋体"/>
                <w:color w:val="auto"/>
                <w:highlight w:val="none"/>
              </w:rPr>
            </w:pPr>
          </w:p>
        </w:tc>
        <w:tc>
          <w:tcPr>
            <w:tcW w:w="1107" w:type="dxa"/>
            <w:vAlign w:val="center"/>
          </w:tcPr>
          <w:p w14:paraId="2993585B">
            <w:pPr>
              <w:jc w:val="center"/>
              <w:rPr>
                <w:rFonts w:hint="eastAsia" w:ascii="宋体" w:hAnsi="宋体" w:eastAsia="宋体" w:cs="宋体"/>
                <w:color w:val="auto"/>
                <w:highlight w:val="none"/>
              </w:rPr>
            </w:pPr>
          </w:p>
        </w:tc>
        <w:tc>
          <w:tcPr>
            <w:tcW w:w="938" w:type="dxa"/>
            <w:vAlign w:val="center"/>
          </w:tcPr>
          <w:p w14:paraId="6968238B">
            <w:pPr>
              <w:jc w:val="center"/>
              <w:rPr>
                <w:rFonts w:hint="eastAsia" w:ascii="宋体" w:hAnsi="宋体" w:eastAsia="宋体" w:cs="宋体"/>
                <w:color w:val="auto"/>
                <w:highlight w:val="none"/>
              </w:rPr>
            </w:pPr>
          </w:p>
        </w:tc>
        <w:tc>
          <w:tcPr>
            <w:tcW w:w="913" w:type="dxa"/>
            <w:vAlign w:val="center"/>
          </w:tcPr>
          <w:p w14:paraId="676389ED">
            <w:pPr>
              <w:jc w:val="center"/>
              <w:rPr>
                <w:rFonts w:hint="eastAsia" w:ascii="宋体" w:hAnsi="宋体" w:eastAsia="宋体" w:cs="宋体"/>
                <w:color w:val="auto"/>
                <w:highlight w:val="none"/>
              </w:rPr>
            </w:pPr>
          </w:p>
        </w:tc>
        <w:tc>
          <w:tcPr>
            <w:tcW w:w="2024" w:type="dxa"/>
            <w:vAlign w:val="center"/>
          </w:tcPr>
          <w:p w14:paraId="577063E9">
            <w:pPr>
              <w:jc w:val="center"/>
              <w:rPr>
                <w:rFonts w:hint="eastAsia" w:ascii="宋体" w:hAnsi="宋体" w:eastAsia="宋体" w:cs="宋体"/>
                <w:color w:val="auto"/>
                <w:highlight w:val="none"/>
              </w:rPr>
            </w:pPr>
          </w:p>
        </w:tc>
        <w:tc>
          <w:tcPr>
            <w:tcW w:w="1278" w:type="dxa"/>
            <w:vAlign w:val="center"/>
          </w:tcPr>
          <w:p w14:paraId="72DC9D08">
            <w:pPr>
              <w:jc w:val="center"/>
              <w:rPr>
                <w:rFonts w:hint="eastAsia" w:ascii="宋体" w:hAnsi="宋体" w:eastAsia="宋体" w:cs="宋体"/>
                <w:color w:val="auto"/>
                <w:highlight w:val="none"/>
              </w:rPr>
            </w:pPr>
          </w:p>
        </w:tc>
      </w:tr>
      <w:tr w14:paraId="466B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0D66CC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30" w:type="dxa"/>
            <w:vAlign w:val="center"/>
          </w:tcPr>
          <w:p w14:paraId="12A033F2">
            <w:pPr>
              <w:jc w:val="center"/>
              <w:rPr>
                <w:rFonts w:hint="eastAsia" w:ascii="宋体" w:hAnsi="宋体" w:eastAsia="宋体" w:cs="宋体"/>
                <w:color w:val="auto"/>
                <w:highlight w:val="none"/>
              </w:rPr>
            </w:pPr>
          </w:p>
        </w:tc>
        <w:tc>
          <w:tcPr>
            <w:tcW w:w="1811" w:type="dxa"/>
            <w:vAlign w:val="center"/>
          </w:tcPr>
          <w:p w14:paraId="744E8D58">
            <w:pPr>
              <w:jc w:val="center"/>
              <w:rPr>
                <w:rFonts w:hint="eastAsia" w:ascii="宋体" w:hAnsi="宋体" w:eastAsia="宋体" w:cs="宋体"/>
                <w:color w:val="auto"/>
                <w:highlight w:val="none"/>
              </w:rPr>
            </w:pPr>
          </w:p>
        </w:tc>
        <w:tc>
          <w:tcPr>
            <w:tcW w:w="1107" w:type="dxa"/>
            <w:vAlign w:val="center"/>
          </w:tcPr>
          <w:p w14:paraId="4AA4BF93">
            <w:pPr>
              <w:jc w:val="center"/>
              <w:rPr>
                <w:rFonts w:hint="eastAsia" w:ascii="宋体" w:hAnsi="宋体" w:eastAsia="宋体" w:cs="宋体"/>
                <w:color w:val="auto"/>
                <w:highlight w:val="none"/>
              </w:rPr>
            </w:pPr>
          </w:p>
        </w:tc>
        <w:tc>
          <w:tcPr>
            <w:tcW w:w="938" w:type="dxa"/>
            <w:vAlign w:val="center"/>
          </w:tcPr>
          <w:p w14:paraId="54BDDF77">
            <w:pPr>
              <w:jc w:val="center"/>
              <w:rPr>
                <w:rFonts w:hint="eastAsia" w:ascii="宋体" w:hAnsi="宋体" w:eastAsia="宋体" w:cs="宋体"/>
                <w:color w:val="auto"/>
                <w:highlight w:val="none"/>
              </w:rPr>
            </w:pPr>
          </w:p>
        </w:tc>
        <w:tc>
          <w:tcPr>
            <w:tcW w:w="913" w:type="dxa"/>
            <w:vAlign w:val="center"/>
          </w:tcPr>
          <w:p w14:paraId="7A7FE31E">
            <w:pPr>
              <w:jc w:val="center"/>
              <w:rPr>
                <w:rFonts w:hint="eastAsia" w:ascii="宋体" w:hAnsi="宋体" w:eastAsia="宋体" w:cs="宋体"/>
                <w:color w:val="auto"/>
                <w:highlight w:val="none"/>
              </w:rPr>
            </w:pPr>
          </w:p>
        </w:tc>
        <w:tc>
          <w:tcPr>
            <w:tcW w:w="2024" w:type="dxa"/>
            <w:vAlign w:val="center"/>
          </w:tcPr>
          <w:p w14:paraId="61DB66DB">
            <w:pPr>
              <w:jc w:val="center"/>
              <w:rPr>
                <w:rFonts w:hint="eastAsia" w:ascii="宋体" w:hAnsi="宋体" w:eastAsia="宋体" w:cs="宋体"/>
                <w:color w:val="auto"/>
                <w:highlight w:val="none"/>
              </w:rPr>
            </w:pPr>
          </w:p>
        </w:tc>
        <w:tc>
          <w:tcPr>
            <w:tcW w:w="1278" w:type="dxa"/>
            <w:vAlign w:val="center"/>
          </w:tcPr>
          <w:p w14:paraId="69D8AFC1">
            <w:pPr>
              <w:jc w:val="center"/>
              <w:rPr>
                <w:rFonts w:hint="eastAsia" w:ascii="宋体" w:hAnsi="宋体" w:eastAsia="宋体" w:cs="宋体"/>
                <w:color w:val="auto"/>
                <w:highlight w:val="none"/>
              </w:rPr>
            </w:pPr>
          </w:p>
        </w:tc>
      </w:tr>
      <w:tr w14:paraId="0D36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35" w:type="dxa"/>
            <w:vAlign w:val="center"/>
          </w:tcPr>
          <w:p w14:paraId="227B366F">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830" w:type="dxa"/>
            <w:vAlign w:val="center"/>
          </w:tcPr>
          <w:p w14:paraId="77326078">
            <w:pPr>
              <w:jc w:val="center"/>
              <w:rPr>
                <w:rFonts w:hint="eastAsia" w:ascii="宋体" w:hAnsi="宋体" w:eastAsia="宋体" w:cs="宋体"/>
                <w:color w:val="auto"/>
                <w:highlight w:val="none"/>
              </w:rPr>
            </w:pPr>
          </w:p>
        </w:tc>
        <w:tc>
          <w:tcPr>
            <w:tcW w:w="1811" w:type="dxa"/>
            <w:vAlign w:val="center"/>
          </w:tcPr>
          <w:p w14:paraId="22358EC2">
            <w:pPr>
              <w:jc w:val="center"/>
              <w:rPr>
                <w:rFonts w:hint="eastAsia" w:ascii="宋体" w:hAnsi="宋体" w:eastAsia="宋体" w:cs="宋体"/>
                <w:color w:val="auto"/>
                <w:highlight w:val="none"/>
              </w:rPr>
            </w:pPr>
          </w:p>
        </w:tc>
        <w:tc>
          <w:tcPr>
            <w:tcW w:w="1107" w:type="dxa"/>
            <w:vAlign w:val="center"/>
          </w:tcPr>
          <w:p w14:paraId="4EF21B8D">
            <w:pPr>
              <w:jc w:val="center"/>
              <w:rPr>
                <w:rFonts w:hint="eastAsia" w:ascii="宋体" w:hAnsi="宋体" w:eastAsia="宋体" w:cs="宋体"/>
                <w:color w:val="auto"/>
                <w:highlight w:val="none"/>
              </w:rPr>
            </w:pPr>
          </w:p>
        </w:tc>
        <w:tc>
          <w:tcPr>
            <w:tcW w:w="938" w:type="dxa"/>
            <w:vAlign w:val="center"/>
          </w:tcPr>
          <w:p w14:paraId="7DC225F0">
            <w:pPr>
              <w:jc w:val="center"/>
              <w:rPr>
                <w:rFonts w:hint="eastAsia" w:ascii="宋体" w:hAnsi="宋体" w:eastAsia="宋体" w:cs="宋体"/>
                <w:color w:val="auto"/>
                <w:highlight w:val="none"/>
              </w:rPr>
            </w:pPr>
          </w:p>
        </w:tc>
        <w:tc>
          <w:tcPr>
            <w:tcW w:w="913" w:type="dxa"/>
            <w:vAlign w:val="center"/>
          </w:tcPr>
          <w:p w14:paraId="3817C3E8">
            <w:pPr>
              <w:jc w:val="center"/>
              <w:rPr>
                <w:rFonts w:hint="eastAsia" w:ascii="宋体" w:hAnsi="宋体" w:eastAsia="宋体" w:cs="宋体"/>
                <w:color w:val="auto"/>
                <w:highlight w:val="none"/>
              </w:rPr>
            </w:pPr>
          </w:p>
        </w:tc>
        <w:tc>
          <w:tcPr>
            <w:tcW w:w="2024" w:type="dxa"/>
            <w:vAlign w:val="center"/>
          </w:tcPr>
          <w:p w14:paraId="1DA5D622">
            <w:pPr>
              <w:jc w:val="center"/>
              <w:rPr>
                <w:rFonts w:hint="eastAsia" w:ascii="宋体" w:hAnsi="宋体" w:eastAsia="宋体" w:cs="宋体"/>
                <w:color w:val="auto"/>
                <w:highlight w:val="none"/>
              </w:rPr>
            </w:pPr>
          </w:p>
        </w:tc>
        <w:tc>
          <w:tcPr>
            <w:tcW w:w="1278" w:type="dxa"/>
            <w:vAlign w:val="center"/>
          </w:tcPr>
          <w:p w14:paraId="0FAC2621">
            <w:pPr>
              <w:jc w:val="center"/>
              <w:rPr>
                <w:rFonts w:hint="eastAsia" w:ascii="宋体" w:hAnsi="宋体" w:eastAsia="宋体" w:cs="宋体"/>
                <w:color w:val="auto"/>
                <w:highlight w:val="none"/>
              </w:rPr>
            </w:pPr>
          </w:p>
        </w:tc>
      </w:tr>
      <w:tr w14:paraId="4CD5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4BB0722C">
            <w:pPr>
              <w:jc w:val="center"/>
              <w:rPr>
                <w:rFonts w:hint="eastAsia" w:ascii="宋体" w:hAnsi="宋体" w:eastAsia="宋体" w:cs="宋体"/>
                <w:color w:val="auto"/>
                <w:sz w:val="24"/>
                <w:szCs w:val="24"/>
                <w:highlight w:val="none"/>
              </w:rPr>
            </w:pPr>
          </w:p>
        </w:tc>
        <w:tc>
          <w:tcPr>
            <w:tcW w:w="1830" w:type="dxa"/>
            <w:vAlign w:val="center"/>
          </w:tcPr>
          <w:p w14:paraId="73E60FEC">
            <w:pPr>
              <w:jc w:val="center"/>
              <w:rPr>
                <w:rFonts w:hint="eastAsia" w:ascii="宋体" w:hAnsi="宋体" w:eastAsia="宋体" w:cs="宋体"/>
                <w:color w:val="auto"/>
                <w:highlight w:val="none"/>
              </w:rPr>
            </w:pPr>
          </w:p>
        </w:tc>
        <w:tc>
          <w:tcPr>
            <w:tcW w:w="1811" w:type="dxa"/>
            <w:vAlign w:val="center"/>
          </w:tcPr>
          <w:p w14:paraId="0679930A">
            <w:pPr>
              <w:jc w:val="center"/>
              <w:rPr>
                <w:rFonts w:hint="eastAsia" w:ascii="宋体" w:hAnsi="宋体" w:eastAsia="宋体" w:cs="宋体"/>
                <w:color w:val="auto"/>
                <w:highlight w:val="none"/>
              </w:rPr>
            </w:pPr>
          </w:p>
        </w:tc>
        <w:tc>
          <w:tcPr>
            <w:tcW w:w="1107" w:type="dxa"/>
            <w:vAlign w:val="center"/>
          </w:tcPr>
          <w:p w14:paraId="71B214D9">
            <w:pPr>
              <w:jc w:val="center"/>
              <w:rPr>
                <w:rFonts w:hint="eastAsia" w:ascii="宋体" w:hAnsi="宋体" w:eastAsia="宋体" w:cs="宋体"/>
                <w:color w:val="auto"/>
                <w:highlight w:val="none"/>
              </w:rPr>
            </w:pPr>
          </w:p>
        </w:tc>
        <w:tc>
          <w:tcPr>
            <w:tcW w:w="938" w:type="dxa"/>
            <w:vAlign w:val="center"/>
          </w:tcPr>
          <w:p w14:paraId="3F3598DC">
            <w:pPr>
              <w:jc w:val="center"/>
              <w:rPr>
                <w:rFonts w:hint="eastAsia" w:ascii="宋体" w:hAnsi="宋体" w:eastAsia="宋体" w:cs="宋体"/>
                <w:color w:val="auto"/>
                <w:highlight w:val="none"/>
              </w:rPr>
            </w:pPr>
          </w:p>
        </w:tc>
        <w:tc>
          <w:tcPr>
            <w:tcW w:w="913" w:type="dxa"/>
            <w:vAlign w:val="center"/>
          </w:tcPr>
          <w:p w14:paraId="13DBAC31">
            <w:pPr>
              <w:jc w:val="center"/>
              <w:rPr>
                <w:rFonts w:hint="eastAsia" w:ascii="宋体" w:hAnsi="宋体" w:eastAsia="宋体" w:cs="宋体"/>
                <w:color w:val="auto"/>
                <w:highlight w:val="none"/>
              </w:rPr>
            </w:pPr>
          </w:p>
        </w:tc>
        <w:tc>
          <w:tcPr>
            <w:tcW w:w="2024" w:type="dxa"/>
            <w:vAlign w:val="center"/>
          </w:tcPr>
          <w:p w14:paraId="5B8518D3">
            <w:pPr>
              <w:jc w:val="center"/>
              <w:rPr>
                <w:rFonts w:hint="eastAsia" w:ascii="宋体" w:hAnsi="宋体" w:eastAsia="宋体" w:cs="宋体"/>
                <w:color w:val="auto"/>
                <w:highlight w:val="none"/>
              </w:rPr>
            </w:pPr>
          </w:p>
        </w:tc>
        <w:tc>
          <w:tcPr>
            <w:tcW w:w="1278" w:type="dxa"/>
            <w:vAlign w:val="center"/>
          </w:tcPr>
          <w:p w14:paraId="66AA573A">
            <w:pPr>
              <w:jc w:val="center"/>
              <w:rPr>
                <w:rFonts w:hint="eastAsia" w:ascii="宋体" w:hAnsi="宋体" w:eastAsia="宋体" w:cs="宋体"/>
                <w:color w:val="auto"/>
                <w:highlight w:val="none"/>
              </w:rPr>
            </w:pPr>
          </w:p>
        </w:tc>
      </w:tr>
      <w:tr w14:paraId="5FAB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20F16969">
            <w:pPr>
              <w:jc w:val="center"/>
              <w:rPr>
                <w:rFonts w:hint="eastAsia" w:ascii="宋体" w:hAnsi="宋体" w:eastAsia="宋体" w:cs="宋体"/>
                <w:color w:val="auto"/>
                <w:sz w:val="24"/>
                <w:szCs w:val="24"/>
                <w:highlight w:val="none"/>
              </w:rPr>
            </w:pPr>
          </w:p>
        </w:tc>
        <w:tc>
          <w:tcPr>
            <w:tcW w:w="1830" w:type="dxa"/>
            <w:vAlign w:val="center"/>
          </w:tcPr>
          <w:p w14:paraId="37BDDEB2">
            <w:pPr>
              <w:jc w:val="center"/>
              <w:rPr>
                <w:rFonts w:hint="eastAsia" w:ascii="宋体" w:hAnsi="宋体" w:eastAsia="宋体" w:cs="宋体"/>
                <w:color w:val="auto"/>
                <w:highlight w:val="none"/>
              </w:rPr>
            </w:pPr>
          </w:p>
        </w:tc>
        <w:tc>
          <w:tcPr>
            <w:tcW w:w="1811" w:type="dxa"/>
            <w:vAlign w:val="center"/>
          </w:tcPr>
          <w:p w14:paraId="43908C9A">
            <w:pPr>
              <w:jc w:val="center"/>
              <w:rPr>
                <w:rFonts w:hint="eastAsia" w:ascii="宋体" w:hAnsi="宋体" w:eastAsia="宋体" w:cs="宋体"/>
                <w:color w:val="auto"/>
                <w:highlight w:val="none"/>
              </w:rPr>
            </w:pPr>
          </w:p>
        </w:tc>
        <w:tc>
          <w:tcPr>
            <w:tcW w:w="1107" w:type="dxa"/>
            <w:vAlign w:val="center"/>
          </w:tcPr>
          <w:p w14:paraId="2982BC62">
            <w:pPr>
              <w:jc w:val="center"/>
              <w:rPr>
                <w:rFonts w:hint="eastAsia" w:ascii="宋体" w:hAnsi="宋体" w:eastAsia="宋体" w:cs="宋体"/>
                <w:color w:val="auto"/>
                <w:highlight w:val="none"/>
              </w:rPr>
            </w:pPr>
          </w:p>
        </w:tc>
        <w:tc>
          <w:tcPr>
            <w:tcW w:w="938" w:type="dxa"/>
            <w:vAlign w:val="center"/>
          </w:tcPr>
          <w:p w14:paraId="2E98E2AE">
            <w:pPr>
              <w:jc w:val="center"/>
              <w:rPr>
                <w:rFonts w:hint="eastAsia" w:ascii="宋体" w:hAnsi="宋体" w:eastAsia="宋体" w:cs="宋体"/>
                <w:color w:val="auto"/>
                <w:highlight w:val="none"/>
              </w:rPr>
            </w:pPr>
          </w:p>
        </w:tc>
        <w:tc>
          <w:tcPr>
            <w:tcW w:w="913" w:type="dxa"/>
            <w:vAlign w:val="center"/>
          </w:tcPr>
          <w:p w14:paraId="408484F8">
            <w:pPr>
              <w:jc w:val="center"/>
              <w:rPr>
                <w:rFonts w:hint="eastAsia" w:ascii="宋体" w:hAnsi="宋体" w:eastAsia="宋体" w:cs="宋体"/>
                <w:color w:val="auto"/>
                <w:highlight w:val="none"/>
              </w:rPr>
            </w:pPr>
          </w:p>
        </w:tc>
        <w:tc>
          <w:tcPr>
            <w:tcW w:w="2024" w:type="dxa"/>
            <w:vAlign w:val="center"/>
          </w:tcPr>
          <w:p w14:paraId="464697C8">
            <w:pPr>
              <w:jc w:val="center"/>
              <w:rPr>
                <w:rFonts w:hint="eastAsia" w:ascii="宋体" w:hAnsi="宋体" w:eastAsia="宋体" w:cs="宋体"/>
                <w:color w:val="auto"/>
                <w:highlight w:val="none"/>
              </w:rPr>
            </w:pPr>
          </w:p>
        </w:tc>
        <w:tc>
          <w:tcPr>
            <w:tcW w:w="1278" w:type="dxa"/>
            <w:vAlign w:val="center"/>
          </w:tcPr>
          <w:p w14:paraId="3393C6B0">
            <w:pPr>
              <w:jc w:val="center"/>
              <w:rPr>
                <w:rFonts w:hint="eastAsia" w:ascii="宋体" w:hAnsi="宋体" w:eastAsia="宋体" w:cs="宋体"/>
                <w:color w:val="auto"/>
                <w:highlight w:val="none"/>
              </w:rPr>
            </w:pPr>
          </w:p>
        </w:tc>
      </w:tr>
      <w:tr w14:paraId="01DE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5A97791C">
            <w:pPr>
              <w:jc w:val="center"/>
              <w:rPr>
                <w:rFonts w:hint="eastAsia" w:ascii="宋体" w:hAnsi="宋体" w:eastAsia="宋体" w:cs="宋体"/>
                <w:color w:val="auto"/>
                <w:sz w:val="24"/>
                <w:szCs w:val="24"/>
                <w:highlight w:val="none"/>
              </w:rPr>
            </w:pPr>
          </w:p>
        </w:tc>
        <w:tc>
          <w:tcPr>
            <w:tcW w:w="1830" w:type="dxa"/>
            <w:vAlign w:val="center"/>
          </w:tcPr>
          <w:p w14:paraId="5C7D9D56">
            <w:pPr>
              <w:jc w:val="center"/>
              <w:rPr>
                <w:rFonts w:hint="eastAsia" w:ascii="宋体" w:hAnsi="宋体" w:eastAsia="宋体" w:cs="宋体"/>
                <w:color w:val="auto"/>
                <w:highlight w:val="none"/>
              </w:rPr>
            </w:pPr>
          </w:p>
        </w:tc>
        <w:tc>
          <w:tcPr>
            <w:tcW w:w="1811" w:type="dxa"/>
            <w:vAlign w:val="center"/>
          </w:tcPr>
          <w:p w14:paraId="10D2F9AF">
            <w:pPr>
              <w:jc w:val="center"/>
              <w:rPr>
                <w:rFonts w:hint="eastAsia" w:ascii="宋体" w:hAnsi="宋体" w:eastAsia="宋体" w:cs="宋体"/>
                <w:color w:val="auto"/>
                <w:highlight w:val="none"/>
              </w:rPr>
            </w:pPr>
          </w:p>
        </w:tc>
        <w:tc>
          <w:tcPr>
            <w:tcW w:w="1107" w:type="dxa"/>
            <w:vAlign w:val="center"/>
          </w:tcPr>
          <w:p w14:paraId="38C41DC9">
            <w:pPr>
              <w:jc w:val="center"/>
              <w:rPr>
                <w:rFonts w:hint="eastAsia" w:ascii="宋体" w:hAnsi="宋体" w:eastAsia="宋体" w:cs="宋体"/>
                <w:color w:val="auto"/>
                <w:highlight w:val="none"/>
              </w:rPr>
            </w:pPr>
          </w:p>
        </w:tc>
        <w:tc>
          <w:tcPr>
            <w:tcW w:w="938" w:type="dxa"/>
            <w:vAlign w:val="center"/>
          </w:tcPr>
          <w:p w14:paraId="4BDF6906">
            <w:pPr>
              <w:jc w:val="center"/>
              <w:rPr>
                <w:rFonts w:hint="eastAsia" w:ascii="宋体" w:hAnsi="宋体" w:eastAsia="宋体" w:cs="宋体"/>
                <w:color w:val="auto"/>
                <w:highlight w:val="none"/>
              </w:rPr>
            </w:pPr>
          </w:p>
        </w:tc>
        <w:tc>
          <w:tcPr>
            <w:tcW w:w="913" w:type="dxa"/>
            <w:vAlign w:val="center"/>
          </w:tcPr>
          <w:p w14:paraId="1F97CFF0">
            <w:pPr>
              <w:jc w:val="center"/>
              <w:rPr>
                <w:rFonts w:hint="eastAsia" w:ascii="宋体" w:hAnsi="宋体" w:eastAsia="宋体" w:cs="宋体"/>
                <w:color w:val="auto"/>
                <w:highlight w:val="none"/>
              </w:rPr>
            </w:pPr>
          </w:p>
        </w:tc>
        <w:tc>
          <w:tcPr>
            <w:tcW w:w="2024" w:type="dxa"/>
            <w:vAlign w:val="center"/>
          </w:tcPr>
          <w:p w14:paraId="1BD777BC">
            <w:pPr>
              <w:jc w:val="center"/>
              <w:rPr>
                <w:rFonts w:hint="eastAsia" w:ascii="宋体" w:hAnsi="宋体" w:eastAsia="宋体" w:cs="宋体"/>
                <w:color w:val="auto"/>
                <w:highlight w:val="none"/>
              </w:rPr>
            </w:pPr>
          </w:p>
        </w:tc>
        <w:tc>
          <w:tcPr>
            <w:tcW w:w="1278" w:type="dxa"/>
            <w:vAlign w:val="center"/>
          </w:tcPr>
          <w:p w14:paraId="1B4A8F89">
            <w:pPr>
              <w:jc w:val="center"/>
              <w:rPr>
                <w:rFonts w:hint="eastAsia" w:ascii="宋体" w:hAnsi="宋体" w:eastAsia="宋体" w:cs="宋体"/>
                <w:color w:val="auto"/>
                <w:highlight w:val="none"/>
              </w:rPr>
            </w:pPr>
          </w:p>
        </w:tc>
      </w:tr>
      <w:tr w14:paraId="1545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D94302F">
            <w:pPr>
              <w:jc w:val="center"/>
              <w:rPr>
                <w:rFonts w:hint="eastAsia" w:ascii="宋体" w:hAnsi="宋体" w:eastAsia="宋体" w:cs="宋体"/>
                <w:color w:val="auto"/>
                <w:sz w:val="24"/>
                <w:szCs w:val="24"/>
                <w:highlight w:val="none"/>
              </w:rPr>
            </w:pPr>
          </w:p>
        </w:tc>
        <w:tc>
          <w:tcPr>
            <w:tcW w:w="1830" w:type="dxa"/>
            <w:vAlign w:val="center"/>
          </w:tcPr>
          <w:p w14:paraId="36F57640">
            <w:pPr>
              <w:jc w:val="center"/>
              <w:rPr>
                <w:rFonts w:hint="eastAsia" w:ascii="宋体" w:hAnsi="宋体" w:eastAsia="宋体" w:cs="宋体"/>
                <w:color w:val="auto"/>
                <w:highlight w:val="none"/>
              </w:rPr>
            </w:pPr>
          </w:p>
        </w:tc>
        <w:tc>
          <w:tcPr>
            <w:tcW w:w="1811" w:type="dxa"/>
            <w:vAlign w:val="center"/>
          </w:tcPr>
          <w:p w14:paraId="0725296E">
            <w:pPr>
              <w:jc w:val="center"/>
              <w:rPr>
                <w:rFonts w:hint="eastAsia" w:ascii="宋体" w:hAnsi="宋体" w:eastAsia="宋体" w:cs="宋体"/>
                <w:color w:val="auto"/>
                <w:highlight w:val="none"/>
              </w:rPr>
            </w:pPr>
          </w:p>
        </w:tc>
        <w:tc>
          <w:tcPr>
            <w:tcW w:w="1107" w:type="dxa"/>
            <w:vAlign w:val="center"/>
          </w:tcPr>
          <w:p w14:paraId="1316012F">
            <w:pPr>
              <w:jc w:val="center"/>
              <w:rPr>
                <w:rFonts w:hint="eastAsia" w:ascii="宋体" w:hAnsi="宋体" w:eastAsia="宋体" w:cs="宋体"/>
                <w:color w:val="auto"/>
                <w:highlight w:val="none"/>
              </w:rPr>
            </w:pPr>
          </w:p>
        </w:tc>
        <w:tc>
          <w:tcPr>
            <w:tcW w:w="938" w:type="dxa"/>
            <w:vAlign w:val="center"/>
          </w:tcPr>
          <w:p w14:paraId="7B611AC0">
            <w:pPr>
              <w:jc w:val="center"/>
              <w:rPr>
                <w:rFonts w:hint="eastAsia" w:ascii="宋体" w:hAnsi="宋体" w:eastAsia="宋体" w:cs="宋体"/>
                <w:color w:val="auto"/>
                <w:highlight w:val="none"/>
              </w:rPr>
            </w:pPr>
          </w:p>
        </w:tc>
        <w:tc>
          <w:tcPr>
            <w:tcW w:w="913" w:type="dxa"/>
            <w:vAlign w:val="center"/>
          </w:tcPr>
          <w:p w14:paraId="31AD2596">
            <w:pPr>
              <w:jc w:val="center"/>
              <w:rPr>
                <w:rFonts w:hint="eastAsia" w:ascii="宋体" w:hAnsi="宋体" w:eastAsia="宋体" w:cs="宋体"/>
                <w:color w:val="auto"/>
                <w:highlight w:val="none"/>
              </w:rPr>
            </w:pPr>
          </w:p>
        </w:tc>
        <w:tc>
          <w:tcPr>
            <w:tcW w:w="2024" w:type="dxa"/>
            <w:vAlign w:val="center"/>
          </w:tcPr>
          <w:p w14:paraId="0FC8E664">
            <w:pPr>
              <w:jc w:val="center"/>
              <w:rPr>
                <w:rFonts w:hint="eastAsia" w:ascii="宋体" w:hAnsi="宋体" w:eastAsia="宋体" w:cs="宋体"/>
                <w:color w:val="auto"/>
                <w:highlight w:val="none"/>
              </w:rPr>
            </w:pPr>
          </w:p>
        </w:tc>
        <w:tc>
          <w:tcPr>
            <w:tcW w:w="1278" w:type="dxa"/>
            <w:vAlign w:val="center"/>
          </w:tcPr>
          <w:p w14:paraId="28910C4B">
            <w:pPr>
              <w:jc w:val="center"/>
              <w:rPr>
                <w:rFonts w:hint="eastAsia" w:ascii="宋体" w:hAnsi="宋体" w:eastAsia="宋体" w:cs="宋体"/>
                <w:color w:val="auto"/>
                <w:highlight w:val="none"/>
              </w:rPr>
            </w:pPr>
          </w:p>
        </w:tc>
      </w:tr>
      <w:tr w14:paraId="419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35" w:type="dxa"/>
            <w:vAlign w:val="center"/>
          </w:tcPr>
          <w:p w14:paraId="32CE90CF">
            <w:pPr>
              <w:jc w:val="center"/>
              <w:rPr>
                <w:rFonts w:hint="eastAsia" w:ascii="宋体" w:hAnsi="宋体" w:eastAsia="宋体" w:cs="宋体"/>
                <w:color w:val="auto"/>
                <w:sz w:val="24"/>
                <w:szCs w:val="24"/>
                <w:highlight w:val="none"/>
              </w:rPr>
            </w:pPr>
          </w:p>
        </w:tc>
        <w:tc>
          <w:tcPr>
            <w:tcW w:w="1830" w:type="dxa"/>
            <w:vAlign w:val="center"/>
          </w:tcPr>
          <w:p w14:paraId="1FDB0108">
            <w:pPr>
              <w:jc w:val="center"/>
              <w:rPr>
                <w:rFonts w:hint="eastAsia" w:ascii="宋体" w:hAnsi="宋体" w:eastAsia="宋体" w:cs="宋体"/>
                <w:color w:val="auto"/>
                <w:sz w:val="24"/>
                <w:szCs w:val="24"/>
                <w:highlight w:val="none"/>
              </w:rPr>
            </w:pPr>
          </w:p>
        </w:tc>
        <w:tc>
          <w:tcPr>
            <w:tcW w:w="1811" w:type="dxa"/>
            <w:vAlign w:val="center"/>
          </w:tcPr>
          <w:p w14:paraId="2EF2489D">
            <w:pPr>
              <w:jc w:val="center"/>
              <w:rPr>
                <w:rFonts w:hint="eastAsia" w:ascii="宋体" w:hAnsi="宋体" w:eastAsia="宋体" w:cs="宋体"/>
                <w:color w:val="auto"/>
                <w:highlight w:val="none"/>
              </w:rPr>
            </w:pPr>
          </w:p>
        </w:tc>
        <w:tc>
          <w:tcPr>
            <w:tcW w:w="1107" w:type="dxa"/>
            <w:vAlign w:val="center"/>
          </w:tcPr>
          <w:p w14:paraId="0929674B">
            <w:pPr>
              <w:jc w:val="center"/>
              <w:rPr>
                <w:rFonts w:hint="eastAsia" w:ascii="宋体" w:hAnsi="宋体" w:eastAsia="宋体" w:cs="宋体"/>
                <w:color w:val="auto"/>
                <w:highlight w:val="none"/>
              </w:rPr>
            </w:pPr>
          </w:p>
        </w:tc>
        <w:tc>
          <w:tcPr>
            <w:tcW w:w="938" w:type="dxa"/>
            <w:vAlign w:val="center"/>
          </w:tcPr>
          <w:p w14:paraId="3CC2C4CA">
            <w:pPr>
              <w:jc w:val="center"/>
              <w:rPr>
                <w:rFonts w:hint="eastAsia" w:ascii="宋体" w:hAnsi="宋体" w:eastAsia="宋体" w:cs="宋体"/>
                <w:color w:val="auto"/>
                <w:highlight w:val="none"/>
              </w:rPr>
            </w:pPr>
          </w:p>
        </w:tc>
        <w:tc>
          <w:tcPr>
            <w:tcW w:w="913" w:type="dxa"/>
            <w:vAlign w:val="center"/>
          </w:tcPr>
          <w:p w14:paraId="0ECACF47">
            <w:pPr>
              <w:jc w:val="center"/>
              <w:rPr>
                <w:rFonts w:hint="eastAsia" w:ascii="宋体" w:hAnsi="宋体" w:eastAsia="宋体" w:cs="宋体"/>
                <w:color w:val="auto"/>
                <w:highlight w:val="none"/>
              </w:rPr>
            </w:pPr>
          </w:p>
        </w:tc>
        <w:tc>
          <w:tcPr>
            <w:tcW w:w="2024" w:type="dxa"/>
            <w:vAlign w:val="center"/>
          </w:tcPr>
          <w:p w14:paraId="7489C63C">
            <w:pPr>
              <w:jc w:val="center"/>
              <w:rPr>
                <w:rFonts w:hint="eastAsia" w:ascii="宋体" w:hAnsi="宋体" w:eastAsia="宋体" w:cs="宋体"/>
                <w:color w:val="auto"/>
                <w:highlight w:val="none"/>
              </w:rPr>
            </w:pPr>
          </w:p>
        </w:tc>
        <w:tc>
          <w:tcPr>
            <w:tcW w:w="1278" w:type="dxa"/>
            <w:vAlign w:val="center"/>
          </w:tcPr>
          <w:p w14:paraId="468CB7E7">
            <w:pPr>
              <w:jc w:val="center"/>
              <w:rPr>
                <w:rFonts w:hint="eastAsia" w:ascii="宋体" w:hAnsi="宋体" w:eastAsia="宋体" w:cs="宋体"/>
                <w:color w:val="auto"/>
                <w:highlight w:val="none"/>
              </w:rPr>
            </w:pPr>
          </w:p>
        </w:tc>
      </w:tr>
    </w:tbl>
    <w:p w14:paraId="53A97E44">
      <w:pPr>
        <w:spacing w:line="500" w:lineRule="exact"/>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bidi="ar"/>
        </w:rPr>
        <w:t>注：1、投标人应根据“采购需求”中的“三、技术性能参数要求”对照所投报货物的技术性能参数进行逐项评议</w:t>
      </w:r>
      <w:r>
        <w:rPr>
          <w:rFonts w:hint="eastAsia" w:ascii="宋体" w:hAnsi="宋体" w:eastAsia="宋体" w:cs="宋体"/>
          <w:b/>
          <w:bCs/>
          <w:color w:val="auto"/>
          <w:sz w:val="24"/>
          <w:szCs w:val="24"/>
          <w:highlight w:val="none"/>
          <w:shd w:val="clear" w:color="auto" w:fill="FFFFFF"/>
          <w:lang w:eastAsia="zh-CN"/>
        </w:rPr>
        <w:t>。</w:t>
      </w:r>
    </w:p>
    <w:p w14:paraId="65A08ACF">
      <w:pPr>
        <w:spacing w:line="50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sz w:val="24"/>
          <w:szCs w:val="24"/>
          <w:highlight w:val="none"/>
        </w:rPr>
        <w:t>若无偏离，在“</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无偏离”栏中填写“无偏离”；若有偏离在“有偏离”栏中填写“正偏离”或“负偏离”，并在“偏离内容”栏中作出说明。</w:t>
      </w:r>
    </w:p>
    <w:p w14:paraId="0950DE9E">
      <w:pPr>
        <w:spacing w:after="120" w:line="440" w:lineRule="exact"/>
        <w:ind w:firstLine="960" w:firstLineChars="4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3</w:t>
      </w:r>
      <w:r>
        <w:rPr>
          <w:rFonts w:hint="eastAsia" w:ascii="宋体" w:hAnsi="宋体" w:eastAsia="宋体" w:cs="宋体"/>
          <w:color w:val="auto"/>
          <w:kern w:val="2"/>
          <w:sz w:val="24"/>
          <w:szCs w:val="24"/>
          <w:highlight w:val="none"/>
          <w:lang w:bidi="ar"/>
        </w:rPr>
        <w:t>、表格不够可另接。</w:t>
      </w:r>
    </w:p>
    <w:p w14:paraId="51A2A81F">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E9A8FA5">
      <w:pPr>
        <w:spacing w:line="440" w:lineRule="exact"/>
        <w:ind w:firstLine="482"/>
        <w:jc w:val="center"/>
        <w:outlineLvl w:val="1"/>
        <w:rPr>
          <w:rFonts w:hint="eastAsia" w:ascii="宋体" w:hAnsi="宋体" w:eastAsia="宋体" w:cs="宋体"/>
          <w:b/>
          <w:bCs/>
          <w:color w:val="auto"/>
          <w:sz w:val="28"/>
          <w:szCs w:val="28"/>
          <w:highlight w:val="none"/>
        </w:rPr>
      </w:pPr>
      <w:bookmarkStart w:id="383" w:name="_Toc11324"/>
      <w:r>
        <w:rPr>
          <w:rFonts w:hint="eastAsia" w:ascii="宋体" w:hAnsi="宋体" w:eastAsia="宋体" w:cs="宋体"/>
          <w:b/>
          <w:bCs/>
          <w:color w:val="auto"/>
          <w:sz w:val="28"/>
          <w:szCs w:val="28"/>
          <w:highlight w:val="none"/>
        </w:rPr>
        <w:t xml:space="preserve">附件4 </w:t>
      </w:r>
      <w:bookmarkEnd w:id="378"/>
      <w:bookmarkEnd w:id="379"/>
      <w:bookmarkEnd w:id="380"/>
      <w:bookmarkEnd w:id="381"/>
      <w:bookmarkEnd w:id="382"/>
      <w:r>
        <w:rPr>
          <w:rFonts w:hint="eastAsia" w:ascii="宋体" w:hAnsi="宋体" w:eastAsia="宋体" w:cs="宋体"/>
          <w:b/>
          <w:bCs/>
          <w:color w:val="auto"/>
          <w:sz w:val="28"/>
          <w:szCs w:val="28"/>
          <w:highlight w:val="none"/>
        </w:rPr>
        <w:t>投标货物综合说明</w:t>
      </w:r>
      <w:bookmarkEnd w:id="383"/>
    </w:p>
    <w:p w14:paraId="51379E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bidi="ar"/>
        </w:rPr>
        <w:t>主要内容应包括但不限于以下方面：</w:t>
      </w:r>
    </w:p>
    <w:p w14:paraId="086F009A">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1、各投标货物主要功能、性能特点说明（可提供相关证明材料）。</w:t>
      </w:r>
    </w:p>
    <w:p w14:paraId="463835AF">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bidi="ar"/>
        </w:rPr>
        <w:t>2、其他说明。</w:t>
      </w:r>
      <w:r>
        <w:rPr>
          <w:rFonts w:hint="eastAsia" w:ascii="宋体" w:hAnsi="宋体" w:eastAsia="宋体" w:cs="宋体"/>
          <w:color w:val="auto"/>
          <w:sz w:val="24"/>
          <w:szCs w:val="24"/>
          <w:highlight w:val="none"/>
        </w:rPr>
        <w:br w:type="page"/>
      </w:r>
    </w:p>
    <w:p w14:paraId="0A18A197">
      <w:pPr>
        <w:spacing w:line="440" w:lineRule="exact"/>
        <w:ind w:firstLine="482"/>
        <w:jc w:val="center"/>
        <w:outlineLvl w:val="1"/>
        <w:rPr>
          <w:rFonts w:hint="eastAsia" w:ascii="宋体" w:hAnsi="宋体" w:eastAsia="宋体" w:cs="宋体"/>
          <w:b/>
          <w:bCs/>
          <w:color w:val="auto"/>
          <w:sz w:val="28"/>
          <w:szCs w:val="28"/>
          <w:highlight w:val="none"/>
        </w:rPr>
      </w:pPr>
      <w:bookmarkStart w:id="384" w:name="_Toc16516"/>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 xml:space="preserve"> 项目实施方案</w:t>
      </w:r>
      <w:bookmarkEnd w:id="384"/>
    </w:p>
    <w:p w14:paraId="285F5478">
      <w:pPr>
        <w:spacing w:line="440" w:lineRule="exact"/>
        <w:ind w:firstLine="48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lang w:bidi="ar"/>
        </w:rPr>
        <w:t>根据</w:t>
      </w:r>
      <w:r>
        <w:rPr>
          <w:rFonts w:hint="eastAsia" w:ascii="宋体" w:hAnsi="宋体" w:eastAsia="宋体" w:cs="宋体"/>
          <w:color w:val="auto"/>
          <w:sz w:val="24"/>
          <w:szCs w:val="24"/>
          <w:highlight w:val="none"/>
          <w:lang w:eastAsia="zh-CN" w:bidi="ar"/>
        </w:rPr>
        <w:t>“第四章 采购需求”、</w:t>
      </w:r>
      <w:r>
        <w:rPr>
          <w:rFonts w:hint="eastAsia" w:ascii="宋体" w:hAnsi="宋体" w:eastAsia="宋体" w:cs="宋体"/>
          <w:color w:val="auto"/>
          <w:sz w:val="24"/>
          <w:szCs w:val="24"/>
          <w:highlight w:val="none"/>
          <w:lang w:bidi="ar"/>
        </w:rPr>
        <w:t>“第五章  评标方法与评标标准”提供相关说明并提供证明材料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如果有的话</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rPr>
        <w:br w:type="page"/>
      </w:r>
    </w:p>
    <w:tbl>
      <w:tblPr>
        <w:tblStyle w:val="39"/>
        <w:tblpPr w:leftFromText="180" w:rightFromText="180" w:vertAnchor="text" w:horzAnchor="page" w:tblpX="1025" w:tblpY="440"/>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2176"/>
      </w:tblGrid>
      <w:tr w14:paraId="70ADBC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9253087">
            <w:pPr>
              <w:pBdr>
                <w:top w:val="none" w:color="000000" w:sz="0" w:space="0"/>
                <w:left w:val="none" w:color="000000" w:sz="0" w:space="0"/>
                <w:bottom w:val="none" w:color="000000" w:sz="0" w:space="0"/>
                <w:right w:val="none" w:color="000000" w:sz="0" w:space="0"/>
              </w:pBdr>
              <w:spacing w:line="400" w:lineRule="atLeast"/>
              <w:jc w:val="both"/>
              <w:rPr>
                <w:rFonts w:hint="eastAsia" w:ascii="宋体" w:hAnsi="宋体" w:eastAsia="宋体" w:cs="宋体"/>
                <w:color w:val="auto"/>
                <w:highlight w:val="none"/>
              </w:rPr>
            </w:pPr>
            <w:bookmarkStart w:id="385" w:name="_Toc1462"/>
            <w:r>
              <w:rPr>
                <w:rFonts w:hint="eastAsia" w:ascii="宋体" w:hAnsi="宋体" w:eastAsia="宋体" w:cs="宋体"/>
                <w:color w:val="auto"/>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06A85C5">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技术要求和商务要求中的</w:t>
            </w:r>
            <w:r>
              <w:rPr>
                <w:rFonts w:hint="eastAsia" w:ascii="宋体" w:hAnsi="宋体" w:eastAsia="宋体" w:cs="宋体"/>
                <w:b/>
                <w:color w:val="auto"/>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81EA6B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响应情况</w:t>
            </w:r>
          </w:p>
        </w:tc>
        <w:tc>
          <w:tcPr>
            <w:tcW w:w="217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D2DC7BE">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61F1A8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EC107A">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6C167E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29DF6119">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176" w:type="dxa"/>
            <w:tcBorders>
              <w:top w:val="nil"/>
              <w:left w:val="nil"/>
              <w:bottom w:val="single" w:color="000000" w:sz="8" w:space="0"/>
              <w:right w:val="single" w:color="000000" w:sz="8" w:space="0"/>
            </w:tcBorders>
            <w:tcMar>
              <w:top w:w="0" w:type="dxa"/>
              <w:left w:w="108" w:type="dxa"/>
              <w:bottom w:w="0" w:type="dxa"/>
              <w:right w:w="108" w:type="dxa"/>
            </w:tcMar>
          </w:tcPr>
          <w:p w14:paraId="295C94F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2767AFC4">
      <w:pPr>
        <w:spacing w:line="440" w:lineRule="exact"/>
        <w:ind w:firstLine="482"/>
        <w:jc w:val="center"/>
        <w:outlineLvl w:val="1"/>
        <w:rPr>
          <w:rFonts w:hint="eastAsia" w:ascii="宋体" w:hAnsi="宋体" w:eastAsia="宋体" w:cs="宋体"/>
          <w:b/>
          <w:bCs/>
          <w:color w:val="auto"/>
          <w:sz w:val="28"/>
          <w:szCs w:val="28"/>
          <w:highlight w:val="none"/>
          <w:lang w:val="en-US" w:eastAsia="zh-CN"/>
        </w:rPr>
      </w:pPr>
      <w:bookmarkStart w:id="386" w:name="_Toc20645"/>
      <w:r>
        <w:rPr>
          <w:rFonts w:hint="eastAsia" w:ascii="宋体" w:hAnsi="宋体" w:eastAsia="宋体" w:cs="宋体"/>
          <w:b/>
          <w:bCs/>
          <w:color w:val="auto"/>
          <w:sz w:val="28"/>
          <w:szCs w:val="28"/>
          <w:highlight w:val="none"/>
        </w:rPr>
        <w:t xml:space="preserve">附件6 </w:t>
      </w:r>
      <w:bookmarkEnd w:id="385"/>
      <w:r>
        <w:rPr>
          <w:rFonts w:hint="eastAsia" w:ascii="宋体" w:hAnsi="宋体" w:eastAsia="宋体" w:cs="宋体"/>
          <w:b/>
          <w:bCs/>
          <w:color w:val="auto"/>
          <w:sz w:val="28"/>
          <w:szCs w:val="28"/>
          <w:highlight w:val="none"/>
          <w:lang w:val="en-US" w:eastAsia="zh-CN"/>
        </w:rPr>
        <w:t>实质性要求响应及偏离表</w:t>
      </w:r>
      <w:bookmarkEnd w:id="386"/>
    </w:p>
    <w:p w14:paraId="5052C5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备注：1.投标人必须对招标文件的不可实质性变动要求逐条做出明确响应，否则作无效投标处理。</w:t>
      </w:r>
    </w:p>
    <w:p w14:paraId="5B60CCD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2.如果招标文件要求提供证明材料，投标人必须将证明材料列于该表之下。</w:t>
      </w:r>
    </w:p>
    <w:p w14:paraId="7D1B0FF0">
      <w:pPr>
        <w:spacing w:line="460" w:lineRule="exact"/>
        <w:ind w:firstLine="720" w:firstLineChars="300"/>
        <w:rPr>
          <w:rFonts w:hint="eastAsia" w:ascii="宋体" w:hAnsi="宋体" w:eastAsia="宋体" w:cs="宋体"/>
          <w:color w:val="auto"/>
          <w:sz w:val="24"/>
          <w:szCs w:val="24"/>
          <w:highlight w:val="none"/>
        </w:rPr>
      </w:pPr>
    </w:p>
    <w:p w14:paraId="4C8316AF">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3721C6E">
      <w:pPr>
        <w:spacing w:line="440" w:lineRule="exact"/>
        <w:ind w:firstLine="482"/>
        <w:jc w:val="center"/>
        <w:outlineLvl w:val="1"/>
        <w:rPr>
          <w:rFonts w:hint="eastAsia" w:ascii="宋体" w:hAnsi="宋体" w:eastAsia="宋体" w:cs="宋体"/>
          <w:b/>
          <w:bCs/>
          <w:color w:val="auto"/>
          <w:sz w:val="28"/>
          <w:szCs w:val="28"/>
          <w:highlight w:val="none"/>
        </w:rPr>
      </w:pPr>
      <w:bookmarkStart w:id="387" w:name="_Toc19208"/>
      <w:bookmarkStart w:id="388" w:name="_Toc22593"/>
      <w:r>
        <w:rPr>
          <w:rFonts w:hint="eastAsia" w:ascii="宋体" w:hAnsi="宋体" w:eastAsia="宋体" w:cs="宋体"/>
          <w:b/>
          <w:bCs/>
          <w:color w:val="auto"/>
          <w:sz w:val="28"/>
          <w:szCs w:val="28"/>
          <w:highlight w:val="none"/>
        </w:rPr>
        <w:t xml:space="preserve">附件7 </w:t>
      </w:r>
      <w:bookmarkEnd w:id="387"/>
      <w:r>
        <w:rPr>
          <w:rFonts w:hint="eastAsia" w:ascii="宋体" w:hAnsi="宋体" w:eastAsia="宋体" w:cs="宋体"/>
          <w:b/>
          <w:bCs/>
          <w:color w:val="auto"/>
          <w:sz w:val="28"/>
          <w:szCs w:val="28"/>
          <w:highlight w:val="none"/>
          <w:lang w:val="en-US" w:eastAsia="zh-CN"/>
        </w:rPr>
        <w:t>质量保证及售后服务承诺</w:t>
      </w:r>
      <w:bookmarkEnd w:id="388"/>
    </w:p>
    <w:p w14:paraId="7BC8CDB7">
      <w:pPr>
        <w:spacing w:line="44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根据“第五章  评标方法与评标标准”提供相关说明并提供证明材料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如果有的话</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br w:type="page"/>
      </w:r>
    </w:p>
    <w:p w14:paraId="41A5C41D">
      <w:pPr>
        <w:spacing w:line="440" w:lineRule="exact"/>
        <w:ind w:firstLine="482"/>
        <w:jc w:val="center"/>
        <w:outlineLvl w:val="1"/>
        <w:rPr>
          <w:rFonts w:hint="eastAsia" w:ascii="宋体" w:hAnsi="宋体" w:eastAsia="宋体" w:cs="宋体"/>
          <w:b/>
          <w:bCs/>
          <w:color w:val="auto"/>
          <w:sz w:val="28"/>
          <w:szCs w:val="28"/>
          <w:highlight w:val="none"/>
        </w:rPr>
      </w:pPr>
      <w:bookmarkStart w:id="389" w:name="_Toc31904"/>
      <w:bookmarkStart w:id="390" w:name="_Toc4679"/>
      <w:r>
        <w:rPr>
          <w:rFonts w:hint="eastAsia" w:ascii="宋体" w:hAnsi="宋体" w:eastAsia="宋体" w:cs="宋体"/>
          <w:b/>
          <w:bCs/>
          <w:color w:val="auto"/>
          <w:sz w:val="28"/>
          <w:szCs w:val="28"/>
          <w:highlight w:val="none"/>
        </w:rPr>
        <w:t>附件8 业绩一览表</w:t>
      </w:r>
      <w:bookmarkEnd w:id="389"/>
      <w:bookmarkEnd w:id="390"/>
    </w:p>
    <w:tbl>
      <w:tblPr>
        <w:tblStyle w:val="38"/>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3080"/>
        <w:gridCol w:w="1899"/>
        <w:gridCol w:w="1558"/>
        <w:gridCol w:w="1821"/>
        <w:gridCol w:w="1208"/>
      </w:tblGrid>
      <w:tr w14:paraId="1B47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4192F787">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序号</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4EA33210">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项目名称</w:t>
            </w: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04AF6D82">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合同金额</w:t>
            </w: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54E65412">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实施日期</w:t>
            </w: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3135A3A9">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业主方联系人及联系电话</w:t>
            </w: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192E40C6">
            <w:pPr>
              <w:pStyle w:val="35"/>
              <w:widowControl w:val="0"/>
              <w:overflowPunct w:val="0"/>
              <w:spacing w:before="0" w:beforeAutospacing="0" w:after="0" w:afterAutospacing="0"/>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备注</w:t>
            </w:r>
          </w:p>
        </w:tc>
      </w:tr>
      <w:tr w14:paraId="78DA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7CB506BA">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1</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10E79BD0">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2A681DC8">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3CEB6488">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6BA1BFF6">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B3E52CF">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r w14:paraId="2EA81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1EE8055C">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2</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0BB8AACD">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0CFADBB1">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26774E0F">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16FBB87B">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60F808B7">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r w14:paraId="5ABD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67FD59E3">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3</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3459D41C">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71C42EB5">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1F319FFF">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771D6950">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C69B978">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r w14:paraId="6134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46D10DAD">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r>
              <w:rPr>
                <w:rFonts w:hint="eastAsia" w:ascii="宋体" w:hAnsi="宋体" w:eastAsia="宋体" w:cs="宋体"/>
                <w:color w:val="auto"/>
                <w:kern w:val="2"/>
                <w:szCs w:val="20"/>
                <w:highlight w:val="none"/>
                <w:lang w:bidi="ar"/>
              </w:rPr>
              <w:t>…</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16547860">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2329303E">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53DDC56D">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5142E526">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E2175F5">
            <w:pPr>
              <w:pStyle w:val="35"/>
              <w:widowControl w:val="0"/>
              <w:overflowPunct w:val="0"/>
              <w:spacing w:before="0" w:beforeAutospacing="0" w:after="0" w:afterAutospacing="0" w:line="500" w:lineRule="exact"/>
              <w:jc w:val="center"/>
              <w:rPr>
                <w:rFonts w:hint="eastAsia" w:ascii="宋体" w:hAnsi="宋体" w:eastAsia="宋体" w:cs="宋体"/>
                <w:color w:val="auto"/>
                <w:szCs w:val="20"/>
                <w:highlight w:val="none"/>
              </w:rPr>
            </w:pPr>
          </w:p>
        </w:tc>
      </w:tr>
    </w:tbl>
    <w:p w14:paraId="2EC3A030">
      <w:pPr>
        <w:spacing w:line="360" w:lineRule="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注：1、根据“第五章  评标方法与评标标准”提供相关说明并提供证明材料。</w:t>
      </w:r>
    </w:p>
    <w:p w14:paraId="750A8F0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bidi="ar"/>
        </w:rPr>
        <w:t>、如有需要说明的事项，请在备注中列明。</w:t>
      </w:r>
    </w:p>
    <w:p w14:paraId="1697BBCF">
      <w:pPr>
        <w:spacing w:line="360" w:lineRule="auto"/>
        <w:ind w:firstLine="720" w:firstLineChars="300"/>
        <w:rPr>
          <w:rFonts w:hint="eastAsia" w:ascii="宋体" w:hAnsi="宋体" w:eastAsia="宋体" w:cs="宋体"/>
          <w:color w:val="auto"/>
          <w:kern w:val="2"/>
          <w:sz w:val="24"/>
          <w:szCs w:val="24"/>
          <w:highlight w:val="none"/>
          <w:lang w:bidi="ar"/>
        </w:rPr>
      </w:pPr>
    </w:p>
    <w:p w14:paraId="576FBE5A">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91" w:name="_Toc32218"/>
      <w:bookmarkStart w:id="392" w:name="_Toc29788"/>
      <w:r>
        <w:rPr>
          <w:rFonts w:hint="eastAsia" w:ascii="宋体" w:hAnsi="宋体" w:eastAsia="宋体" w:cs="宋体"/>
          <w:b/>
          <w:bCs/>
          <w:color w:val="auto"/>
          <w:sz w:val="28"/>
          <w:szCs w:val="28"/>
          <w:highlight w:val="none"/>
        </w:rPr>
        <w:t>附件9 商务要求响应及偏离表</w:t>
      </w:r>
      <w:bookmarkEnd w:id="391"/>
      <w:bookmarkEnd w:id="392"/>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5"/>
        <w:gridCol w:w="1905"/>
        <w:gridCol w:w="2940"/>
      </w:tblGrid>
      <w:tr w14:paraId="4A9F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0002B6A">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合同条款号</w:t>
            </w:r>
          </w:p>
        </w:tc>
        <w:tc>
          <w:tcPr>
            <w:tcW w:w="1905" w:type="dxa"/>
            <w:vAlign w:val="center"/>
          </w:tcPr>
          <w:p w14:paraId="4D55EDA8">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2940" w:type="dxa"/>
            <w:vAlign w:val="center"/>
          </w:tcPr>
          <w:p w14:paraId="0F31F4B8">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偏离内容及原因</w:t>
            </w:r>
          </w:p>
        </w:tc>
      </w:tr>
      <w:tr w14:paraId="5C98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3A7083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合同组成部分</w:t>
            </w:r>
          </w:p>
        </w:tc>
        <w:tc>
          <w:tcPr>
            <w:tcW w:w="1905" w:type="dxa"/>
            <w:vAlign w:val="center"/>
          </w:tcPr>
          <w:p w14:paraId="6AC4235F">
            <w:pPr>
              <w:spacing w:line="276" w:lineRule="auto"/>
              <w:rPr>
                <w:rFonts w:hint="eastAsia" w:ascii="宋体" w:hAnsi="宋体" w:eastAsia="宋体" w:cs="宋体"/>
                <w:color w:val="auto"/>
                <w:sz w:val="24"/>
                <w:szCs w:val="24"/>
                <w:highlight w:val="none"/>
              </w:rPr>
            </w:pPr>
          </w:p>
        </w:tc>
        <w:tc>
          <w:tcPr>
            <w:tcW w:w="2940" w:type="dxa"/>
            <w:vAlign w:val="center"/>
          </w:tcPr>
          <w:p w14:paraId="6C1580A7">
            <w:pPr>
              <w:spacing w:line="276" w:lineRule="auto"/>
              <w:rPr>
                <w:rFonts w:hint="eastAsia" w:ascii="宋体" w:hAnsi="宋体" w:eastAsia="宋体" w:cs="宋体"/>
                <w:color w:val="auto"/>
                <w:sz w:val="24"/>
                <w:szCs w:val="24"/>
                <w:highlight w:val="none"/>
              </w:rPr>
            </w:pPr>
          </w:p>
        </w:tc>
      </w:tr>
      <w:tr w14:paraId="7619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5ADB8D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付款方式和发票开具方式</w:t>
            </w:r>
          </w:p>
        </w:tc>
        <w:tc>
          <w:tcPr>
            <w:tcW w:w="1905" w:type="dxa"/>
            <w:vAlign w:val="center"/>
          </w:tcPr>
          <w:p w14:paraId="7402A79F">
            <w:pPr>
              <w:spacing w:line="276" w:lineRule="auto"/>
              <w:rPr>
                <w:rFonts w:hint="eastAsia" w:ascii="宋体" w:hAnsi="宋体" w:eastAsia="宋体" w:cs="宋体"/>
                <w:color w:val="auto"/>
                <w:sz w:val="24"/>
                <w:szCs w:val="24"/>
                <w:highlight w:val="none"/>
              </w:rPr>
            </w:pPr>
          </w:p>
        </w:tc>
        <w:tc>
          <w:tcPr>
            <w:tcW w:w="2940" w:type="dxa"/>
            <w:vAlign w:val="center"/>
          </w:tcPr>
          <w:p w14:paraId="1174D3AA">
            <w:pPr>
              <w:spacing w:line="276" w:lineRule="auto"/>
              <w:rPr>
                <w:rFonts w:hint="eastAsia" w:ascii="宋体" w:hAnsi="宋体" w:eastAsia="宋体" w:cs="宋体"/>
                <w:color w:val="auto"/>
                <w:sz w:val="24"/>
                <w:szCs w:val="24"/>
                <w:highlight w:val="none"/>
              </w:rPr>
            </w:pPr>
          </w:p>
        </w:tc>
      </w:tr>
      <w:tr w14:paraId="0CDF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731974C">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交付时间及交付</w:t>
            </w:r>
            <w:r>
              <w:rPr>
                <w:rFonts w:hint="eastAsia" w:ascii="宋体" w:hAnsi="宋体" w:eastAsia="宋体" w:cs="宋体"/>
                <w:color w:val="auto"/>
                <w:sz w:val="24"/>
                <w:szCs w:val="24"/>
                <w:highlight w:val="none"/>
              </w:rPr>
              <w:t>地点</w:t>
            </w:r>
          </w:p>
        </w:tc>
        <w:tc>
          <w:tcPr>
            <w:tcW w:w="1905" w:type="dxa"/>
            <w:vAlign w:val="center"/>
          </w:tcPr>
          <w:p w14:paraId="24ABB4E8">
            <w:pPr>
              <w:spacing w:line="276" w:lineRule="auto"/>
              <w:rPr>
                <w:rFonts w:hint="eastAsia" w:ascii="宋体" w:hAnsi="宋体" w:eastAsia="宋体" w:cs="宋体"/>
                <w:color w:val="auto"/>
                <w:sz w:val="24"/>
                <w:szCs w:val="24"/>
                <w:highlight w:val="none"/>
              </w:rPr>
            </w:pPr>
          </w:p>
        </w:tc>
        <w:tc>
          <w:tcPr>
            <w:tcW w:w="2940" w:type="dxa"/>
            <w:vAlign w:val="center"/>
          </w:tcPr>
          <w:p w14:paraId="4127450E">
            <w:pPr>
              <w:spacing w:line="276" w:lineRule="auto"/>
              <w:rPr>
                <w:rFonts w:hint="eastAsia" w:ascii="宋体" w:hAnsi="宋体" w:eastAsia="宋体" w:cs="宋体"/>
                <w:color w:val="auto"/>
                <w:sz w:val="24"/>
                <w:szCs w:val="24"/>
                <w:highlight w:val="none"/>
              </w:rPr>
            </w:pPr>
          </w:p>
        </w:tc>
      </w:tr>
      <w:tr w14:paraId="0854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F060F09">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双方权利和义务</w:t>
            </w:r>
          </w:p>
        </w:tc>
        <w:tc>
          <w:tcPr>
            <w:tcW w:w="1905" w:type="dxa"/>
            <w:vAlign w:val="center"/>
          </w:tcPr>
          <w:p w14:paraId="7A13BB50">
            <w:pPr>
              <w:spacing w:line="276" w:lineRule="auto"/>
              <w:rPr>
                <w:rFonts w:hint="eastAsia" w:ascii="宋体" w:hAnsi="宋体" w:eastAsia="宋体" w:cs="宋体"/>
                <w:color w:val="auto"/>
                <w:sz w:val="24"/>
                <w:szCs w:val="24"/>
                <w:highlight w:val="none"/>
              </w:rPr>
            </w:pPr>
          </w:p>
        </w:tc>
        <w:tc>
          <w:tcPr>
            <w:tcW w:w="2940" w:type="dxa"/>
            <w:vAlign w:val="center"/>
          </w:tcPr>
          <w:p w14:paraId="05451287">
            <w:pPr>
              <w:spacing w:line="276" w:lineRule="auto"/>
              <w:rPr>
                <w:rFonts w:hint="eastAsia" w:ascii="宋体" w:hAnsi="宋体" w:eastAsia="宋体" w:cs="宋体"/>
                <w:color w:val="auto"/>
                <w:sz w:val="24"/>
                <w:szCs w:val="24"/>
                <w:highlight w:val="none"/>
              </w:rPr>
            </w:pPr>
          </w:p>
        </w:tc>
      </w:tr>
      <w:tr w14:paraId="1531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A879149">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违约责任</w:t>
            </w:r>
          </w:p>
        </w:tc>
        <w:tc>
          <w:tcPr>
            <w:tcW w:w="1905" w:type="dxa"/>
            <w:vAlign w:val="center"/>
          </w:tcPr>
          <w:p w14:paraId="025512D9">
            <w:pPr>
              <w:spacing w:line="276" w:lineRule="auto"/>
              <w:rPr>
                <w:rFonts w:hint="eastAsia" w:ascii="宋体" w:hAnsi="宋体" w:eastAsia="宋体" w:cs="宋体"/>
                <w:color w:val="auto"/>
                <w:sz w:val="24"/>
                <w:szCs w:val="24"/>
                <w:highlight w:val="none"/>
              </w:rPr>
            </w:pPr>
          </w:p>
        </w:tc>
        <w:tc>
          <w:tcPr>
            <w:tcW w:w="2940" w:type="dxa"/>
            <w:vAlign w:val="center"/>
          </w:tcPr>
          <w:p w14:paraId="3DB7E723">
            <w:pPr>
              <w:spacing w:line="276" w:lineRule="auto"/>
              <w:rPr>
                <w:rFonts w:hint="eastAsia" w:ascii="宋体" w:hAnsi="宋体" w:eastAsia="宋体" w:cs="宋体"/>
                <w:color w:val="auto"/>
                <w:sz w:val="24"/>
                <w:szCs w:val="24"/>
                <w:highlight w:val="none"/>
              </w:rPr>
            </w:pPr>
          </w:p>
        </w:tc>
      </w:tr>
      <w:tr w14:paraId="4FEB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1238FE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合同争议的解决</w:t>
            </w:r>
          </w:p>
        </w:tc>
        <w:tc>
          <w:tcPr>
            <w:tcW w:w="1905" w:type="dxa"/>
            <w:vAlign w:val="center"/>
          </w:tcPr>
          <w:p w14:paraId="74334109">
            <w:pPr>
              <w:spacing w:line="276" w:lineRule="auto"/>
              <w:rPr>
                <w:rFonts w:hint="eastAsia" w:ascii="宋体" w:hAnsi="宋体" w:eastAsia="宋体" w:cs="宋体"/>
                <w:color w:val="auto"/>
                <w:sz w:val="24"/>
                <w:szCs w:val="24"/>
                <w:highlight w:val="none"/>
              </w:rPr>
            </w:pPr>
          </w:p>
        </w:tc>
        <w:tc>
          <w:tcPr>
            <w:tcW w:w="2940" w:type="dxa"/>
            <w:vAlign w:val="center"/>
          </w:tcPr>
          <w:p w14:paraId="01EF023F">
            <w:pPr>
              <w:spacing w:line="276" w:lineRule="auto"/>
              <w:rPr>
                <w:rFonts w:hint="eastAsia" w:ascii="宋体" w:hAnsi="宋体" w:eastAsia="宋体" w:cs="宋体"/>
                <w:color w:val="auto"/>
                <w:sz w:val="24"/>
                <w:szCs w:val="24"/>
                <w:highlight w:val="none"/>
              </w:rPr>
            </w:pPr>
          </w:p>
        </w:tc>
      </w:tr>
      <w:tr w14:paraId="46AA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B74A774">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合同生效</w:t>
            </w:r>
          </w:p>
        </w:tc>
        <w:tc>
          <w:tcPr>
            <w:tcW w:w="1905" w:type="dxa"/>
            <w:vAlign w:val="center"/>
          </w:tcPr>
          <w:p w14:paraId="69006C2D">
            <w:pPr>
              <w:spacing w:line="276" w:lineRule="auto"/>
              <w:rPr>
                <w:rFonts w:hint="eastAsia" w:ascii="宋体" w:hAnsi="宋体" w:eastAsia="宋体" w:cs="宋体"/>
                <w:color w:val="auto"/>
                <w:sz w:val="24"/>
                <w:szCs w:val="24"/>
                <w:highlight w:val="none"/>
              </w:rPr>
            </w:pPr>
          </w:p>
        </w:tc>
        <w:tc>
          <w:tcPr>
            <w:tcW w:w="2940" w:type="dxa"/>
            <w:vAlign w:val="center"/>
          </w:tcPr>
          <w:p w14:paraId="113C87DE">
            <w:pPr>
              <w:spacing w:line="276" w:lineRule="auto"/>
              <w:rPr>
                <w:rFonts w:hint="eastAsia" w:ascii="宋体" w:hAnsi="宋体" w:eastAsia="宋体" w:cs="宋体"/>
                <w:color w:val="auto"/>
                <w:sz w:val="24"/>
                <w:szCs w:val="24"/>
                <w:highlight w:val="none"/>
              </w:rPr>
            </w:pPr>
          </w:p>
        </w:tc>
      </w:tr>
      <w:tr w14:paraId="332D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46E902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定义</w:t>
            </w:r>
          </w:p>
        </w:tc>
        <w:tc>
          <w:tcPr>
            <w:tcW w:w="1905" w:type="dxa"/>
            <w:vAlign w:val="center"/>
          </w:tcPr>
          <w:p w14:paraId="7DEE7221">
            <w:pPr>
              <w:spacing w:line="276" w:lineRule="auto"/>
              <w:jc w:val="left"/>
              <w:rPr>
                <w:rFonts w:hint="eastAsia" w:ascii="宋体" w:hAnsi="宋体" w:eastAsia="宋体" w:cs="宋体"/>
                <w:color w:val="auto"/>
                <w:sz w:val="24"/>
                <w:szCs w:val="24"/>
                <w:highlight w:val="none"/>
              </w:rPr>
            </w:pPr>
          </w:p>
        </w:tc>
        <w:tc>
          <w:tcPr>
            <w:tcW w:w="2940" w:type="dxa"/>
            <w:vAlign w:val="center"/>
          </w:tcPr>
          <w:p w14:paraId="3038F552">
            <w:pPr>
              <w:spacing w:line="276" w:lineRule="auto"/>
              <w:rPr>
                <w:rFonts w:hint="eastAsia" w:ascii="宋体" w:hAnsi="宋体" w:eastAsia="宋体" w:cs="宋体"/>
                <w:color w:val="auto"/>
                <w:sz w:val="24"/>
                <w:szCs w:val="24"/>
                <w:highlight w:val="none"/>
              </w:rPr>
            </w:pPr>
          </w:p>
        </w:tc>
      </w:tr>
      <w:tr w14:paraId="337F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28349EA">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技术规范</w:t>
            </w:r>
          </w:p>
        </w:tc>
        <w:tc>
          <w:tcPr>
            <w:tcW w:w="1905" w:type="dxa"/>
            <w:vAlign w:val="center"/>
          </w:tcPr>
          <w:p w14:paraId="40C04B37">
            <w:pPr>
              <w:spacing w:line="276" w:lineRule="auto"/>
              <w:jc w:val="left"/>
              <w:rPr>
                <w:rFonts w:hint="eastAsia" w:ascii="宋体" w:hAnsi="宋体" w:eastAsia="宋体" w:cs="宋体"/>
                <w:color w:val="auto"/>
                <w:sz w:val="24"/>
                <w:szCs w:val="24"/>
                <w:highlight w:val="none"/>
              </w:rPr>
            </w:pPr>
          </w:p>
        </w:tc>
        <w:tc>
          <w:tcPr>
            <w:tcW w:w="2940" w:type="dxa"/>
            <w:vAlign w:val="center"/>
          </w:tcPr>
          <w:p w14:paraId="33D1388A">
            <w:pPr>
              <w:spacing w:line="276" w:lineRule="auto"/>
              <w:rPr>
                <w:rFonts w:hint="eastAsia" w:ascii="宋体" w:hAnsi="宋体" w:eastAsia="宋体" w:cs="宋体"/>
                <w:color w:val="auto"/>
                <w:sz w:val="24"/>
                <w:szCs w:val="24"/>
                <w:highlight w:val="none"/>
              </w:rPr>
            </w:pPr>
          </w:p>
        </w:tc>
      </w:tr>
      <w:tr w14:paraId="60B8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1E90BD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知识产权</w:t>
            </w:r>
          </w:p>
        </w:tc>
        <w:tc>
          <w:tcPr>
            <w:tcW w:w="1905" w:type="dxa"/>
            <w:vAlign w:val="center"/>
          </w:tcPr>
          <w:p w14:paraId="40857B01">
            <w:pPr>
              <w:spacing w:line="276" w:lineRule="auto"/>
              <w:jc w:val="left"/>
              <w:rPr>
                <w:rFonts w:hint="eastAsia" w:ascii="宋体" w:hAnsi="宋体" w:eastAsia="宋体" w:cs="宋体"/>
                <w:color w:val="auto"/>
                <w:sz w:val="24"/>
                <w:szCs w:val="24"/>
                <w:highlight w:val="none"/>
              </w:rPr>
            </w:pPr>
          </w:p>
        </w:tc>
        <w:tc>
          <w:tcPr>
            <w:tcW w:w="2940" w:type="dxa"/>
            <w:vAlign w:val="center"/>
          </w:tcPr>
          <w:p w14:paraId="70894391">
            <w:pPr>
              <w:spacing w:line="276" w:lineRule="auto"/>
              <w:rPr>
                <w:rFonts w:hint="eastAsia" w:ascii="宋体" w:hAnsi="宋体" w:eastAsia="宋体" w:cs="宋体"/>
                <w:color w:val="auto"/>
                <w:sz w:val="24"/>
                <w:szCs w:val="24"/>
                <w:highlight w:val="none"/>
              </w:rPr>
            </w:pPr>
          </w:p>
        </w:tc>
      </w:tr>
      <w:tr w14:paraId="38E0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270A54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包装和装运</w:t>
            </w:r>
          </w:p>
        </w:tc>
        <w:tc>
          <w:tcPr>
            <w:tcW w:w="1905" w:type="dxa"/>
            <w:vAlign w:val="center"/>
          </w:tcPr>
          <w:p w14:paraId="2673E1C3">
            <w:pPr>
              <w:spacing w:line="276" w:lineRule="auto"/>
              <w:rPr>
                <w:rFonts w:hint="eastAsia" w:ascii="宋体" w:hAnsi="宋体" w:eastAsia="宋体" w:cs="宋体"/>
                <w:color w:val="auto"/>
                <w:sz w:val="24"/>
                <w:szCs w:val="24"/>
                <w:highlight w:val="none"/>
              </w:rPr>
            </w:pPr>
          </w:p>
        </w:tc>
        <w:tc>
          <w:tcPr>
            <w:tcW w:w="2940" w:type="dxa"/>
            <w:vAlign w:val="center"/>
          </w:tcPr>
          <w:p w14:paraId="4DD2BED8">
            <w:pPr>
              <w:spacing w:line="276" w:lineRule="auto"/>
              <w:rPr>
                <w:rFonts w:hint="eastAsia" w:ascii="宋体" w:hAnsi="宋体" w:eastAsia="宋体" w:cs="宋体"/>
                <w:color w:val="auto"/>
                <w:sz w:val="24"/>
                <w:szCs w:val="24"/>
                <w:highlight w:val="none"/>
              </w:rPr>
            </w:pPr>
          </w:p>
        </w:tc>
      </w:tr>
      <w:tr w14:paraId="7DCC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E47B75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履约检查和问题反馈</w:t>
            </w:r>
          </w:p>
        </w:tc>
        <w:tc>
          <w:tcPr>
            <w:tcW w:w="1905" w:type="dxa"/>
            <w:vAlign w:val="center"/>
          </w:tcPr>
          <w:p w14:paraId="720926F0">
            <w:pPr>
              <w:spacing w:line="276" w:lineRule="auto"/>
              <w:rPr>
                <w:rFonts w:hint="eastAsia" w:ascii="宋体" w:hAnsi="宋体" w:eastAsia="宋体" w:cs="宋体"/>
                <w:color w:val="auto"/>
                <w:sz w:val="24"/>
                <w:szCs w:val="24"/>
                <w:highlight w:val="none"/>
              </w:rPr>
            </w:pPr>
          </w:p>
        </w:tc>
        <w:tc>
          <w:tcPr>
            <w:tcW w:w="2940" w:type="dxa"/>
            <w:vAlign w:val="center"/>
          </w:tcPr>
          <w:p w14:paraId="0362DAF3">
            <w:pPr>
              <w:spacing w:line="276" w:lineRule="auto"/>
              <w:rPr>
                <w:rFonts w:hint="eastAsia" w:ascii="宋体" w:hAnsi="宋体" w:eastAsia="宋体" w:cs="宋体"/>
                <w:color w:val="auto"/>
                <w:sz w:val="24"/>
                <w:szCs w:val="24"/>
                <w:highlight w:val="none"/>
              </w:rPr>
            </w:pPr>
          </w:p>
        </w:tc>
      </w:tr>
      <w:tr w14:paraId="0216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BED6EED">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技术资料和保密义务</w:t>
            </w:r>
          </w:p>
        </w:tc>
        <w:tc>
          <w:tcPr>
            <w:tcW w:w="1905" w:type="dxa"/>
            <w:vAlign w:val="center"/>
          </w:tcPr>
          <w:p w14:paraId="1E8C21FA">
            <w:pPr>
              <w:spacing w:line="276" w:lineRule="auto"/>
              <w:rPr>
                <w:rFonts w:hint="eastAsia" w:ascii="宋体" w:hAnsi="宋体" w:eastAsia="宋体" w:cs="宋体"/>
                <w:color w:val="auto"/>
                <w:sz w:val="24"/>
                <w:szCs w:val="24"/>
                <w:highlight w:val="none"/>
              </w:rPr>
            </w:pPr>
          </w:p>
        </w:tc>
        <w:tc>
          <w:tcPr>
            <w:tcW w:w="2940" w:type="dxa"/>
            <w:vAlign w:val="center"/>
          </w:tcPr>
          <w:p w14:paraId="71E2D08E">
            <w:pPr>
              <w:spacing w:line="276" w:lineRule="auto"/>
              <w:rPr>
                <w:rFonts w:hint="eastAsia" w:ascii="宋体" w:hAnsi="宋体" w:eastAsia="宋体" w:cs="宋体"/>
                <w:color w:val="auto"/>
                <w:sz w:val="24"/>
                <w:szCs w:val="24"/>
                <w:highlight w:val="none"/>
              </w:rPr>
            </w:pPr>
          </w:p>
        </w:tc>
      </w:tr>
      <w:tr w14:paraId="7E7C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EE28A5E">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质量保证</w:t>
            </w:r>
          </w:p>
        </w:tc>
        <w:tc>
          <w:tcPr>
            <w:tcW w:w="1905" w:type="dxa"/>
            <w:vAlign w:val="center"/>
          </w:tcPr>
          <w:p w14:paraId="3AE146FE">
            <w:pPr>
              <w:spacing w:line="276" w:lineRule="auto"/>
              <w:rPr>
                <w:rFonts w:hint="eastAsia" w:ascii="宋体" w:hAnsi="宋体" w:eastAsia="宋体" w:cs="宋体"/>
                <w:color w:val="auto"/>
                <w:sz w:val="24"/>
                <w:szCs w:val="24"/>
                <w:highlight w:val="none"/>
              </w:rPr>
            </w:pPr>
          </w:p>
        </w:tc>
        <w:tc>
          <w:tcPr>
            <w:tcW w:w="2940" w:type="dxa"/>
            <w:vAlign w:val="center"/>
          </w:tcPr>
          <w:p w14:paraId="407B2868">
            <w:pPr>
              <w:spacing w:line="276" w:lineRule="auto"/>
              <w:rPr>
                <w:rFonts w:hint="eastAsia" w:ascii="宋体" w:hAnsi="宋体" w:eastAsia="宋体" w:cs="宋体"/>
                <w:color w:val="auto"/>
                <w:sz w:val="24"/>
                <w:szCs w:val="24"/>
                <w:highlight w:val="none"/>
              </w:rPr>
            </w:pPr>
          </w:p>
        </w:tc>
      </w:tr>
      <w:tr w14:paraId="516D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FBB66D5">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合同变更</w:t>
            </w:r>
          </w:p>
        </w:tc>
        <w:tc>
          <w:tcPr>
            <w:tcW w:w="1905" w:type="dxa"/>
            <w:vAlign w:val="center"/>
          </w:tcPr>
          <w:p w14:paraId="605DC39D">
            <w:pPr>
              <w:spacing w:line="276" w:lineRule="auto"/>
              <w:rPr>
                <w:rFonts w:hint="eastAsia" w:ascii="宋体" w:hAnsi="宋体" w:eastAsia="宋体" w:cs="宋体"/>
                <w:color w:val="auto"/>
                <w:sz w:val="24"/>
                <w:szCs w:val="24"/>
                <w:highlight w:val="none"/>
              </w:rPr>
            </w:pPr>
          </w:p>
        </w:tc>
        <w:tc>
          <w:tcPr>
            <w:tcW w:w="2940" w:type="dxa"/>
            <w:vAlign w:val="center"/>
          </w:tcPr>
          <w:p w14:paraId="05AAFF4F">
            <w:pPr>
              <w:spacing w:line="276" w:lineRule="auto"/>
              <w:rPr>
                <w:rFonts w:hint="eastAsia" w:ascii="宋体" w:hAnsi="宋体" w:eastAsia="宋体" w:cs="宋体"/>
                <w:color w:val="auto"/>
                <w:sz w:val="24"/>
                <w:szCs w:val="24"/>
                <w:highlight w:val="none"/>
              </w:rPr>
            </w:pPr>
          </w:p>
        </w:tc>
      </w:tr>
      <w:tr w14:paraId="7BCA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E8B7046">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合同转让和分包</w:t>
            </w:r>
          </w:p>
        </w:tc>
        <w:tc>
          <w:tcPr>
            <w:tcW w:w="1905" w:type="dxa"/>
            <w:vAlign w:val="center"/>
          </w:tcPr>
          <w:p w14:paraId="083382CD">
            <w:pPr>
              <w:spacing w:line="276" w:lineRule="auto"/>
              <w:rPr>
                <w:rFonts w:hint="eastAsia" w:ascii="宋体" w:hAnsi="宋体" w:eastAsia="宋体" w:cs="宋体"/>
                <w:color w:val="auto"/>
                <w:sz w:val="24"/>
                <w:szCs w:val="24"/>
                <w:highlight w:val="none"/>
              </w:rPr>
            </w:pPr>
          </w:p>
        </w:tc>
        <w:tc>
          <w:tcPr>
            <w:tcW w:w="2940" w:type="dxa"/>
            <w:vAlign w:val="center"/>
          </w:tcPr>
          <w:p w14:paraId="25F08764">
            <w:pPr>
              <w:spacing w:line="276" w:lineRule="auto"/>
              <w:rPr>
                <w:rFonts w:hint="eastAsia" w:ascii="宋体" w:hAnsi="宋体" w:eastAsia="宋体" w:cs="宋体"/>
                <w:color w:val="auto"/>
                <w:sz w:val="24"/>
                <w:szCs w:val="24"/>
                <w:highlight w:val="none"/>
              </w:rPr>
            </w:pPr>
          </w:p>
        </w:tc>
      </w:tr>
      <w:tr w14:paraId="57B5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577EC08">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不可抗力</w:t>
            </w:r>
          </w:p>
        </w:tc>
        <w:tc>
          <w:tcPr>
            <w:tcW w:w="1905" w:type="dxa"/>
            <w:vAlign w:val="center"/>
          </w:tcPr>
          <w:p w14:paraId="55205FD9">
            <w:pPr>
              <w:spacing w:line="276" w:lineRule="auto"/>
              <w:rPr>
                <w:rFonts w:hint="eastAsia" w:ascii="宋体" w:hAnsi="宋体" w:eastAsia="宋体" w:cs="宋体"/>
                <w:color w:val="auto"/>
                <w:sz w:val="24"/>
                <w:szCs w:val="24"/>
                <w:highlight w:val="none"/>
              </w:rPr>
            </w:pPr>
          </w:p>
        </w:tc>
        <w:tc>
          <w:tcPr>
            <w:tcW w:w="2940" w:type="dxa"/>
            <w:vAlign w:val="center"/>
          </w:tcPr>
          <w:p w14:paraId="6498DC57">
            <w:pPr>
              <w:spacing w:line="276" w:lineRule="auto"/>
              <w:rPr>
                <w:rFonts w:hint="eastAsia" w:ascii="宋体" w:hAnsi="宋体" w:eastAsia="宋体" w:cs="宋体"/>
                <w:color w:val="auto"/>
                <w:sz w:val="24"/>
                <w:szCs w:val="24"/>
                <w:highlight w:val="none"/>
              </w:rPr>
            </w:pPr>
          </w:p>
        </w:tc>
      </w:tr>
      <w:tr w14:paraId="0C12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963279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税费</w:t>
            </w:r>
          </w:p>
        </w:tc>
        <w:tc>
          <w:tcPr>
            <w:tcW w:w="1905" w:type="dxa"/>
            <w:vAlign w:val="center"/>
          </w:tcPr>
          <w:p w14:paraId="3691F7A6">
            <w:pPr>
              <w:spacing w:line="276" w:lineRule="auto"/>
              <w:rPr>
                <w:rFonts w:hint="eastAsia" w:ascii="宋体" w:hAnsi="宋体" w:eastAsia="宋体" w:cs="宋体"/>
                <w:color w:val="auto"/>
                <w:sz w:val="24"/>
                <w:szCs w:val="24"/>
                <w:highlight w:val="none"/>
              </w:rPr>
            </w:pPr>
          </w:p>
        </w:tc>
        <w:tc>
          <w:tcPr>
            <w:tcW w:w="2940" w:type="dxa"/>
            <w:vAlign w:val="center"/>
          </w:tcPr>
          <w:p w14:paraId="2BFD26B8">
            <w:pPr>
              <w:spacing w:line="276" w:lineRule="auto"/>
              <w:rPr>
                <w:rFonts w:hint="eastAsia" w:ascii="宋体" w:hAnsi="宋体" w:eastAsia="宋体" w:cs="宋体"/>
                <w:color w:val="auto"/>
                <w:sz w:val="24"/>
                <w:szCs w:val="24"/>
                <w:highlight w:val="none"/>
              </w:rPr>
            </w:pPr>
          </w:p>
        </w:tc>
      </w:tr>
      <w:tr w14:paraId="05DF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6BACF5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乙方破产</w:t>
            </w:r>
          </w:p>
        </w:tc>
        <w:tc>
          <w:tcPr>
            <w:tcW w:w="1905" w:type="dxa"/>
            <w:vAlign w:val="center"/>
          </w:tcPr>
          <w:p w14:paraId="081F3009">
            <w:pPr>
              <w:spacing w:line="276" w:lineRule="auto"/>
              <w:rPr>
                <w:rFonts w:hint="eastAsia" w:ascii="宋体" w:hAnsi="宋体" w:eastAsia="宋体" w:cs="宋体"/>
                <w:color w:val="auto"/>
                <w:sz w:val="24"/>
                <w:szCs w:val="24"/>
                <w:highlight w:val="none"/>
              </w:rPr>
            </w:pPr>
          </w:p>
        </w:tc>
        <w:tc>
          <w:tcPr>
            <w:tcW w:w="2940" w:type="dxa"/>
            <w:vAlign w:val="center"/>
          </w:tcPr>
          <w:p w14:paraId="05967601">
            <w:pPr>
              <w:spacing w:line="276" w:lineRule="auto"/>
              <w:rPr>
                <w:rFonts w:hint="eastAsia" w:ascii="宋体" w:hAnsi="宋体" w:eastAsia="宋体" w:cs="宋体"/>
                <w:color w:val="auto"/>
                <w:sz w:val="24"/>
                <w:szCs w:val="24"/>
                <w:highlight w:val="none"/>
              </w:rPr>
            </w:pPr>
          </w:p>
        </w:tc>
      </w:tr>
      <w:tr w14:paraId="4760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21D6CFE">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合同中止、终止</w:t>
            </w:r>
          </w:p>
        </w:tc>
        <w:tc>
          <w:tcPr>
            <w:tcW w:w="1905" w:type="dxa"/>
            <w:vAlign w:val="center"/>
          </w:tcPr>
          <w:p w14:paraId="6DF05BC7">
            <w:pPr>
              <w:spacing w:line="276" w:lineRule="auto"/>
              <w:rPr>
                <w:rFonts w:hint="eastAsia" w:ascii="宋体" w:hAnsi="宋体" w:eastAsia="宋体" w:cs="宋体"/>
                <w:color w:val="auto"/>
                <w:sz w:val="24"/>
                <w:szCs w:val="24"/>
                <w:highlight w:val="none"/>
              </w:rPr>
            </w:pPr>
          </w:p>
        </w:tc>
        <w:tc>
          <w:tcPr>
            <w:tcW w:w="2940" w:type="dxa"/>
            <w:vAlign w:val="center"/>
          </w:tcPr>
          <w:p w14:paraId="7B3C723F">
            <w:pPr>
              <w:spacing w:line="276" w:lineRule="auto"/>
              <w:rPr>
                <w:rFonts w:hint="eastAsia" w:ascii="宋体" w:hAnsi="宋体" w:eastAsia="宋体" w:cs="宋体"/>
                <w:color w:val="auto"/>
                <w:sz w:val="24"/>
                <w:szCs w:val="24"/>
                <w:highlight w:val="none"/>
              </w:rPr>
            </w:pPr>
          </w:p>
        </w:tc>
      </w:tr>
      <w:tr w14:paraId="7740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F8235B7">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检验和验收</w:t>
            </w:r>
          </w:p>
        </w:tc>
        <w:tc>
          <w:tcPr>
            <w:tcW w:w="1905" w:type="dxa"/>
            <w:vAlign w:val="center"/>
          </w:tcPr>
          <w:p w14:paraId="4D0762DC">
            <w:pPr>
              <w:spacing w:line="276" w:lineRule="auto"/>
              <w:rPr>
                <w:rFonts w:hint="eastAsia" w:ascii="宋体" w:hAnsi="宋体" w:eastAsia="宋体" w:cs="宋体"/>
                <w:color w:val="auto"/>
                <w:sz w:val="24"/>
                <w:szCs w:val="24"/>
                <w:highlight w:val="none"/>
              </w:rPr>
            </w:pPr>
          </w:p>
        </w:tc>
        <w:tc>
          <w:tcPr>
            <w:tcW w:w="2940" w:type="dxa"/>
            <w:vAlign w:val="center"/>
          </w:tcPr>
          <w:p w14:paraId="3CF7C447">
            <w:pPr>
              <w:spacing w:line="276" w:lineRule="auto"/>
              <w:rPr>
                <w:rFonts w:hint="eastAsia" w:ascii="宋体" w:hAnsi="宋体" w:eastAsia="宋体" w:cs="宋体"/>
                <w:color w:val="auto"/>
                <w:sz w:val="24"/>
                <w:szCs w:val="24"/>
                <w:highlight w:val="none"/>
              </w:rPr>
            </w:pPr>
          </w:p>
        </w:tc>
      </w:tr>
      <w:tr w14:paraId="3628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BA20183">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通知和送达</w:t>
            </w:r>
          </w:p>
        </w:tc>
        <w:tc>
          <w:tcPr>
            <w:tcW w:w="1905" w:type="dxa"/>
            <w:vAlign w:val="center"/>
          </w:tcPr>
          <w:p w14:paraId="48EEC60A">
            <w:pPr>
              <w:spacing w:line="276" w:lineRule="auto"/>
              <w:rPr>
                <w:rFonts w:hint="eastAsia" w:ascii="宋体" w:hAnsi="宋体" w:eastAsia="宋体" w:cs="宋体"/>
                <w:color w:val="auto"/>
                <w:sz w:val="24"/>
                <w:szCs w:val="24"/>
                <w:highlight w:val="none"/>
              </w:rPr>
            </w:pPr>
          </w:p>
        </w:tc>
        <w:tc>
          <w:tcPr>
            <w:tcW w:w="2940" w:type="dxa"/>
            <w:vAlign w:val="center"/>
          </w:tcPr>
          <w:p w14:paraId="7A53A553">
            <w:pPr>
              <w:spacing w:line="276" w:lineRule="auto"/>
              <w:rPr>
                <w:rFonts w:hint="eastAsia" w:ascii="宋体" w:hAnsi="宋体" w:eastAsia="宋体" w:cs="宋体"/>
                <w:color w:val="auto"/>
                <w:sz w:val="24"/>
                <w:szCs w:val="24"/>
                <w:highlight w:val="none"/>
              </w:rPr>
            </w:pPr>
          </w:p>
        </w:tc>
      </w:tr>
      <w:tr w14:paraId="2844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CB03B3C">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计量单位</w:t>
            </w:r>
          </w:p>
        </w:tc>
        <w:tc>
          <w:tcPr>
            <w:tcW w:w="1905" w:type="dxa"/>
            <w:vAlign w:val="center"/>
          </w:tcPr>
          <w:p w14:paraId="5AB76DEF">
            <w:pPr>
              <w:spacing w:line="276" w:lineRule="auto"/>
              <w:rPr>
                <w:rFonts w:hint="eastAsia" w:ascii="宋体" w:hAnsi="宋体" w:eastAsia="宋体" w:cs="宋体"/>
                <w:color w:val="auto"/>
                <w:sz w:val="24"/>
                <w:szCs w:val="24"/>
                <w:highlight w:val="none"/>
              </w:rPr>
            </w:pPr>
          </w:p>
        </w:tc>
        <w:tc>
          <w:tcPr>
            <w:tcW w:w="2940" w:type="dxa"/>
            <w:vAlign w:val="center"/>
          </w:tcPr>
          <w:p w14:paraId="3136D859">
            <w:pPr>
              <w:spacing w:line="276" w:lineRule="auto"/>
              <w:rPr>
                <w:rFonts w:hint="eastAsia" w:ascii="宋体" w:hAnsi="宋体" w:eastAsia="宋体" w:cs="宋体"/>
                <w:color w:val="auto"/>
                <w:sz w:val="24"/>
                <w:szCs w:val="24"/>
                <w:highlight w:val="none"/>
              </w:rPr>
            </w:pPr>
          </w:p>
        </w:tc>
      </w:tr>
      <w:tr w14:paraId="73AA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209C64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合同使用的文字和适用的法律</w:t>
            </w:r>
          </w:p>
        </w:tc>
        <w:tc>
          <w:tcPr>
            <w:tcW w:w="1905" w:type="dxa"/>
            <w:vAlign w:val="center"/>
          </w:tcPr>
          <w:p w14:paraId="770362B9">
            <w:pPr>
              <w:spacing w:line="276" w:lineRule="auto"/>
              <w:rPr>
                <w:rFonts w:hint="eastAsia" w:ascii="宋体" w:hAnsi="宋体" w:eastAsia="宋体" w:cs="宋体"/>
                <w:color w:val="auto"/>
                <w:sz w:val="24"/>
                <w:szCs w:val="24"/>
                <w:highlight w:val="none"/>
              </w:rPr>
            </w:pPr>
          </w:p>
        </w:tc>
        <w:tc>
          <w:tcPr>
            <w:tcW w:w="2940" w:type="dxa"/>
            <w:vAlign w:val="center"/>
          </w:tcPr>
          <w:p w14:paraId="303B40F0">
            <w:pPr>
              <w:spacing w:line="276" w:lineRule="auto"/>
              <w:rPr>
                <w:rFonts w:hint="eastAsia" w:ascii="宋体" w:hAnsi="宋体" w:eastAsia="宋体" w:cs="宋体"/>
                <w:color w:val="auto"/>
                <w:sz w:val="24"/>
                <w:szCs w:val="24"/>
                <w:highlight w:val="none"/>
              </w:rPr>
            </w:pPr>
          </w:p>
        </w:tc>
      </w:tr>
      <w:tr w14:paraId="6AF1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73ACFB4">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 xml:space="preserve"> 履约保证金</w:t>
            </w:r>
          </w:p>
        </w:tc>
        <w:tc>
          <w:tcPr>
            <w:tcW w:w="1905" w:type="dxa"/>
            <w:vAlign w:val="center"/>
          </w:tcPr>
          <w:p w14:paraId="77A46CF3">
            <w:pPr>
              <w:spacing w:line="276" w:lineRule="auto"/>
              <w:rPr>
                <w:rFonts w:hint="eastAsia" w:ascii="宋体" w:hAnsi="宋体" w:eastAsia="宋体" w:cs="宋体"/>
                <w:color w:val="auto"/>
                <w:sz w:val="24"/>
                <w:szCs w:val="24"/>
                <w:highlight w:val="none"/>
              </w:rPr>
            </w:pPr>
          </w:p>
        </w:tc>
        <w:tc>
          <w:tcPr>
            <w:tcW w:w="2940" w:type="dxa"/>
            <w:vAlign w:val="center"/>
          </w:tcPr>
          <w:p w14:paraId="03495CAD">
            <w:pPr>
              <w:spacing w:line="276" w:lineRule="auto"/>
              <w:rPr>
                <w:rFonts w:hint="eastAsia" w:ascii="宋体" w:hAnsi="宋体" w:eastAsia="宋体" w:cs="宋体"/>
                <w:color w:val="auto"/>
                <w:sz w:val="24"/>
                <w:szCs w:val="24"/>
                <w:highlight w:val="none"/>
              </w:rPr>
            </w:pPr>
          </w:p>
        </w:tc>
      </w:tr>
    </w:tbl>
    <w:p w14:paraId="364829BC">
      <w:pPr>
        <w:spacing w:line="44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注：1、投标人应据实、详细填写上述表格，因表述含糊导致的评标风险将由投标人承担。</w:t>
      </w:r>
    </w:p>
    <w:p w14:paraId="5478C703">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6B44BC4B">
      <w:pPr>
        <w:spacing w:line="440" w:lineRule="exact"/>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3、投标人如不能满足项目</w:t>
      </w:r>
      <w:r>
        <w:rPr>
          <w:rFonts w:hint="eastAsia" w:ascii="宋体" w:hAnsi="宋体" w:eastAsia="宋体" w:cs="宋体"/>
          <w:b/>
          <w:bCs/>
          <w:color w:val="auto"/>
          <w:sz w:val="24"/>
          <w:szCs w:val="24"/>
          <w:highlight w:val="none"/>
          <w:lang w:val="en-US" w:eastAsia="zh-CN"/>
        </w:rPr>
        <w:t>结算</w:t>
      </w:r>
      <w:r>
        <w:rPr>
          <w:rFonts w:hint="eastAsia" w:ascii="宋体" w:hAnsi="宋体" w:eastAsia="宋体" w:cs="宋体"/>
          <w:b/>
          <w:bCs/>
          <w:color w:val="auto"/>
          <w:sz w:val="24"/>
          <w:szCs w:val="24"/>
          <w:highlight w:val="none"/>
        </w:rPr>
        <w:t>付款方式要求，按无效投标处理。</w:t>
      </w:r>
    </w:p>
    <w:p w14:paraId="1D7997AC">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14793142">
      <w:pPr>
        <w:spacing w:line="440" w:lineRule="exact"/>
        <w:ind w:firstLine="482"/>
        <w:jc w:val="center"/>
        <w:outlineLvl w:val="1"/>
        <w:rPr>
          <w:rFonts w:hint="eastAsia" w:ascii="宋体" w:hAnsi="宋体" w:eastAsia="宋体" w:cs="宋体"/>
          <w:b/>
          <w:bCs/>
          <w:color w:val="auto"/>
          <w:sz w:val="28"/>
          <w:szCs w:val="28"/>
          <w:highlight w:val="none"/>
        </w:rPr>
      </w:pPr>
      <w:bookmarkStart w:id="393" w:name="_Toc23378"/>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10</w:t>
      </w:r>
      <w:r>
        <w:rPr>
          <w:rFonts w:hint="eastAsia" w:ascii="宋体" w:hAnsi="宋体" w:eastAsia="宋体" w:cs="宋体"/>
          <w:b/>
          <w:bCs/>
          <w:color w:val="auto"/>
          <w:sz w:val="28"/>
          <w:szCs w:val="28"/>
          <w:highlight w:val="none"/>
        </w:rPr>
        <w:t xml:space="preserve"> 具备履行合同所必需的人员和专业技术能力的书面声明</w:t>
      </w:r>
      <w:bookmarkEnd w:id="393"/>
    </w:p>
    <w:p w14:paraId="69D3A80D">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我单位郑重声明：我单位具备履行本项采购合同所必需的人员和专业技术能力，为履行本项采购合同我公司具备如下主要人员和主要专业技术能力：</w:t>
      </w:r>
    </w:p>
    <w:p w14:paraId="0CE427AB">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主要人员有：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77B097B0">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2F6B0552">
      <w:pPr>
        <w:ind w:left="480" w:firstLine="482"/>
        <w:jc w:val="center"/>
        <w:rPr>
          <w:rFonts w:hint="eastAsia" w:ascii="宋体" w:hAnsi="宋体" w:eastAsia="宋体" w:cs="宋体"/>
          <w:b/>
          <w:color w:val="auto"/>
          <w:sz w:val="24"/>
          <w:highlight w:val="none"/>
        </w:rPr>
      </w:pPr>
    </w:p>
    <w:p w14:paraId="375137C6">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94" w:name="_Toc1505"/>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11</w:t>
      </w:r>
      <w:r>
        <w:rPr>
          <w:rFonts w:hint="eastAsia" w:ascii="宋体" w:hAnsi="宋体" w:eastAsia="宋体" w:cs="宋体"/>
          <w:b/>
          <w:bCs/>
          <w:color w:val="auto"/>
          <w:sz w:val="28"/>
          <w:szCs w:val="28"/>
          <w:highlight w:val="none"/>
        </w:rPr>
        <w:t xml:space="preserve"> 参加政府采购活动前 3 年内在经营活动中没有重大违法记录的书面声明</w:t>
      </w:r>
      <w:bookmarkEnd w:id="394"/>
    </w:p>
    <w:p w14:paraId="62F04C6A">
      <w:pPr>
        <w:spacing w:line="460" w:lineRule="exact"/>
        <w:ind w:firstLine="482"/>
        <w:jc w:val="center"/>
        <w:rPr>
          <w:rFonts w:hint="eastAsia" w:ascii="宋体" w:hAnsi="宋体" w:eastAsia="宋体" w:cs="宋体"/>
          <w:b/>
          <w:bCs/>
          <w:color w:val="auto"/>
          <w:sz w:val="24"/>
          <w:highlight w:val="none"/>
        </w:rPr>
      </w:pPr>
    </w:p>
    <w:p w14:paraId="5CFC5623">
      <w:pPr>
        <w:spacing w:line="460" w:lineRule="exact"/>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  明</w:t>
      </w:r>
    </w:p>
    <w:p w14:paraId="7B769498">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420AB6E4">
      <w:pPr>
        <w:ind w:left="480" w:firstLine="482"/>
        <w:jc w:val="center"/>
        <w:rPr>
          <w:rFonts w:hint="eastAsia" w:ascii="宋体" w:hAnsi="宋体" w:eastAsia="宋体" w:cs="宋体"/>
          <w:b/>
          <w:color w:val="auto"/>
          <w:sz w:val="24"/>
          <w:highlight w:val="none"/>
        </w:rPr>
      </w:pPr>
    </w:p>
    <w:p w14:paraId="1EA273AB">
      <w:pPr>
        <w:spacing w:line="460" w:lineRule="exact"/>
        <w:ind w:firstLine="482"/>
        <w:rPr>
          <w:rFonts w:hint="eastAsia" w:ascii="宋体" w:hAnsi="宋体" w:eastAsia="宋体" w:cs="宋体"/>
          <w:bCs/>
          <w:color w:val="auto"/>
          <w:sz w:val="24"/>
          <w:szCs w:val="21"/>
          <w:highlight w:val="none"/>
        </w:rPr>
      </w:pPr>
      <w:r>
        <w:rPr>
          <w:rFonts w:hint="eastAsia" w:ascii="宋体" w:hAnsi="宋体" w:eastAsia="宋体" w:cs="宋体"/>
          <w:b/>
          <w:color w:val="auto"/>
          <w:sz w:val="24"/>
          <w:szCs w:val="24"/>
          <w:highlight w:val="none"/>
        </w:rPr>
        <w:br w:type="page" w:clear="all"/>
      </w:r>
    </w:p>
    <w:p w14:paraId="7990858A">
      <w:pPr>
        <w:spacing w:line="440" w:lineRule="exact"/>
        <w:ind w:firstLine="562"/>
        <w:jc w:val="center"/>
        <w:outlineLvl w:val="1"/>
        <w:rPr>
          <w:rFonts w:hint="eastAsia" w:ascii="宋体" w:hAnsi="宋体" w:eastAsia="宋体" w:cs="宋体"/>
          <w:b/>
          <w:bCs/>
          <w:color w:val="auto"/>
          <w:sz w:val="28"/>
          <w:szCs w:val="28"/>
          <w:highlight w:val="none"/>
        </w:rPr>
      </w:pPr>
      <w:bookmarkStart w:id="395" w:name="_Toc18957"/>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12</w:t>
      </w:r>
      <w:r>
        <w:rPr>
          <w:rFonts w:hint="eastAsia" w:ascii="宋体" w:hAnsi="宋体" w:eastAsia="宋体" w:cs="宋体"/>
          <w:b/>
          <w:bCs/>
          <w:color w:val="auto"/>
          <w:sz w:val="28"/>
          <w:szCs w:val="28"/>
          <w:highlight w:val="none"/>
        </w:rPr>
        <w:t xml:space="preserve"> 法人授权书</w:t>
      </w:r>
      <w:bookmarkEnd w:id="395"/>
    </w:p>
    <w:p w14:paraId="6C95B3C1">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eastAsia="宋体" w:cs="宋体"/>
          <w:color w:val="auto"/>
          <w:sz w:val="24"/>
          <w:szCs w:val="24"/>
          <w:highlight w:val="none"/>
          <w:lang w:eastAsia="zh-CN"/>
        </w:rPr>
        <w:t>JSZC-320581-SZDS-G2026-0005</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2D17E70C">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lang w:eastAsia="zh-CN"/>
        </w:rPr>
        <w:t>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年____月____日起生效，特此声明。</w:t>
      </w:r>
    </w:p>
    <w:p w14:paraId="74B4ED24">
      <w:pPr>
        <w:tabs>
          <w:tab w:val="left" w:pos="360"/>
        </w:tabs>
        <w:spacing w:line="440" w:lineRule="exact"/>
        <w:ind w:firstLine="480"/>
        <w:rPr>
          <w:rFonts w:hint="eastAsia" w:ascii="宋体" w:hAnsi="宋体" w:eastAsia="宋体" w:cs="宋体"/>
          <w:color w:val="auto"/>
          <w:sz w:val="24"/>
          <w:szCs w:val="24"/>
          <w:highlight w:val="none"/>
        </w:rPr>
      </w:pPr>
    </w:p>
    <w:p w14:paraId="0701EB6B">
      <w:pPr>
        <w:tabs>
          <w:tab w:val="left" w:pos="360"/>
        </w:tabs>
        <w:spacing w:line="440" w:lineRule="exact"/>
        <w:ind w:firstLine="480"/>
        <w:rPr>
          <w:rFonts w:hint="eastAsia" w:ascii="宋体" w:hAnsi="宋体" w:eastAsia="宋体" w:cs="宋体"/>
          <w:color w:val="auto"/>
          <w:sz w:val="24"/>
          <w:szCs w:val="24"/>
          <w:highlight w:val="none"/>
        </w:rPr>
      </w:pPr>
    </w:p>
    <w:p w14:paraId="392653CB">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232A0C59">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xml:space="preserve">                          </w:t>
      </w:r>
    </w:p>
    <w:p w14:paraId="4207AE9D">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32D9F159">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p>
    <w:p w14:paraId="05DAE755">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70221FC1">
      <w:pPr>
        <w:spacing w:line="400" w:lineRule="exact"/>
        <w:ind w:firstLine="480"/>
        <w:rPr>
          <w:rFonts w:hint="eastAsia" w:ascii="宋体" w:hAnsi="宋体" w:eastAsia="宋体" w:cs="宋体"/>
          <w:color w:val="auto"/>
          <w:sz w:val="24"/>
          <w:szCs w:val="24"/>
          <w:highlight w:val="none"/>
        </w:rPr>
      </w:pPr>
    </w:p>
    <w:p w14:paraId="7E4339E5">
      <w:pPr>
        <w:spacing w:line="40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注：如法定代表人参加投标，“法人授权书”可不提供，但需提供法人代表人身份证正反面扫描件。</w:t>
      </w:r>
    </w:p>
    <w:p w14:paraId="3BB80463">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44"/>
          <w:highlight w:val="none"/>
        </w:rPr>
        <w:br w:type="page" w:clear="all"/>
      </w:r>
      <w:bookmarkStart w:id="396" w:name="_Toc19314"/>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lang w:val="en-US" w:eastAsia="zh-CN"/>
        </w:rPr>
        <w:t>13</w:t>
      </w:r>
      <w:r>
        <w:rPr>
          <w:rFonts w:hint="eastAsia" w:ascii="宋体" w:hAnsi="宋体" w:eastAsia="宋体" w:cs="宋体"/>
          <w:b/>
          <w:bCs/>
          <w:color w:val="auto"/>
          <w:sz w:val="28"/>
          <w:szCs w:val="28"/>
          <w:highlight w:val="none"/>
        </w:rPr>
        <w:t xml:space="preserve"> 中小企业声明函</w:t>
      </w:r>
      <w:bookmarkEnd w:id="396"/>
    </w:p>
    <w:p w14:paraId="70D3646B">
      <w:pPr>
        <w:spacing w:line="460" w:lineRule="exact"/>
        <w:ind w:firstLine="360" w:firstLineChars="150"/>
        <w:rPr>
          <w:rFonts w:hint="eastAsia" w:ascii="宋体" w:hAnsi="宋体" w:eastAsia="宋体" w:cs="宋体"/>
          <w:color w:val="auto"/>
          <w:sz w:val="24"/>
          <w:szCs w:val="21"/>
          <w:highlight w:val="none"/>
        </w:rPr>
      </w:pPr>
      <w:bookmarkStart w:id="397" w:name="_Toc3097"/>
      <w:r>
        <w:rPr>
          <w:rFonts w:hint="eastAsia" w:ascii="宋体" w:hAnsi="宋体" w:eastAsia="宋体" w:cs="宋体"/>
          <w:color w:val="auto"/>
          <w:kern w:val="2"/>
          <w:sz w:val="24"/>
          <w:szCs w:val="21"/>
          <w:highlight w:val="none"/>
          <w:lang w:bidi="ar"/>
        </w:rPr>
        <w:t>本公司郑重声明，根据《政府采购促进中小企业发展管理办法》（财库[2020]46号）的规定，本公司参加</w:t>
      </w:r>
      <w:r>
        <w:rPr>
          <w:rFonts w:hint="eastAsia" w:ascii="宋体" w:hAnsi="宋体" w:eastAsia="宋体" w:cs="宋体"/>
          <w:color w:val="auto"/>
          <w:kern w:val="2"/>
          <w:sz w:val="24"/>
          <w:szCs w:val="21"/>
          <w:highlight w:val="none"/>
          <w:u w:val="single"/>
          <w:lang w:eastAsia="zh-CN" w:bidi="ar"/>
        </w:rPr>
        <w:t>常熟市第二人民医院</w:t>
      </w:r>
      <w:r>
        <w:rPr>
          <w:rFonts w:hint="eastAsia" w:ascii="宋体" w:hAnsi="宋体" w:eastAsia="宋体" w:cs="宋体"/>
          <w:color w:val="auto"/>
          <w:kern w:val="2"/>
          <w:sz w:val="24"/>
          <w:szCs w:val="21"/>
          <w:highlight w:val="none"/>
          <w:lang w:val="zh-CN" w:bidi="ar"/>
        </w:rPr>
        <w:t>的</w:t>
      </w:r>
      <w:r>
        <w:rPr>
          <w:rFonts w:hint="eastAsia" w:ascii="宋体" w:hAnsi="宋体" w:eastAsia="宋体" w:cs="宋体"/>
          <w:color w:val="auto"/>
          <w:kern w:val="2"/>
          <w:sz w:val="24"/>
          <w:szCs w:val="21"/>
          <w:highlight w:val="none"/>
          <w:u w:val="single"/>
          <w:lang w:val="zh-CN" w:bidi="ar"/>
        </w:rPr>
        <w:t>常熟第二人民医院医用氧采购项目</w:t>
      </w:r>
      <w:r>
        <w:rPr>
          <w:rFonts w:hint="eastAsia" w:ascii="宋体" w:hAnsi="宋体" w:eastAsia="宋体" w:cs="宋体"/>
          <w:color w:val="auto"/>
          <w:kern w:val="2"/>
          <w:sz w:val="24"/>
          <w:szCs w:val="21"/>
          <w:highlight w:val="none"/>
          <w:lang w:bidi="ar"/>
        </w:rPr>
        <w:t>采购活动，提供的货物全部由符合政策要求的中小企业制造。相关企业的具体情况如下：</w:t>
      </w:r>
    </w:p>
    <w:p w14:paraId="51D0B92A">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bidi="ar"/>
        </w:rPr>
        <w:t>1、</w:t>
      </w:r>
      <w:r>
        <w:rPr>
          <w:rFonts w:hint="eastAsia" w:ascii="宋体" w:hAnsi="宋体" w:eastAsia="宋体" w:cs="宋体"/>
          <w:color w:val="auto"/>
          <w:sz w:val="24"/>
          <w:szCs w:val="24"/>
          <w:highlight w:val="none"/>
          <w:u w:val="single"/>
          <w:lang w:val="en-US" w:eastAsia="zh-CN" w:bidi="ar"/>
        </w:rPr>
        <w:t xml:space="preserve"> 医用液氧</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属于</w:t>
      </w:r>
      <w:r>
        <w:rPr>
          <w:rFonts w:hint="eastAsia" w:ascii="宋体" w:hAnsi="宋体" w:eastAsia="宋体" w:cs="宋体"/>
          <w:color w:val="auto"/>
          <w:sz w:val="24"/>
          <w:szCs w:val="24"/>
          <w:highlight w:val="none"/>
          <w:u w:val="single"/>
          <w:lang w:bidi="ar"/>
        </w:rPr>
        <w:t>工业</w:t>
      </w:r>
      <w:r>
        <w:rPr>
          <w:rFonts w:hint="eastAsia" w:ascii="宋体" w:hAnsi="宋体" w:eastAsia="宋体" w:cs="宋体"/>
          <w:color w:val="auto"/>
          <w:sz w:val="24"/>
          <w:szCs w:val="24"/>
          <w:highlight w:val="none"/>
          <w:lang w:bidi="ar"/>
        </w:rPr>
        <w:t>；制造商为</w:t>
      </w:r>
      <w:r>
        <w:rPr>
          <w:rFonts w:hint="eastAsia" w:ascii="宋体" w:hAnsi="宋体" w:eastAsia="宋体" w:cs="宋体"/>
          <w:color w:val="auto"/>
          <w:sz w:val="24"/>
          <w:szCs w:val="24"/>
          <w:highlight w:val="none"/>
          <w:u w:val="single"/>
          <w:lang w:bidi="ar"/>
        </w:rPr>
        <w:t>（企业名称）</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5D55E76D">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lang w:bidi="ar"/>
        </w:rPr>
        <w:t xml:space="preserve"> 40L医用氧 </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1ABB9D13">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u w:val="single"/>
          <w:lang w:bidi="ar"/>
        </w:rPr>
        <w:t xml:space="preserve"> 10L医用氧</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2093ACAF">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eastAsia="zh-CN" w:bidi="ar"/>
        </w:rPr>
        <w:t>4L医用氧（</w:t>
      </w:r>
      <w:r>
        <w:rPr>
          <w:rFonts w:hint="eastAsia" w:ascii="宋体" w:hAnsi="宋体" w:eastAsia="宋体" w:cs="宋体"/>
          <w:color w:val="auto"/>
          <w:sz w:val="24"/>
          <w:szCs w:val="24"/>
          <w:highlight w:val="none"/>
          <w:u w:val="single"/>
          <w:lang w:val="en-US" w:eastAsia="zh-CN" w:bidi="ar"/>
        </w:rPr>
        <w:t>组合瓶</w:t>
      </w:r>
      <w:r>
        <w:rPr>
          <w:rFonts w:hint="eastAsia" w:ascii="宋体" w:hAnsi="宋体" w:eastAsia="宋体" w:cs="宋体"/>
          <w:color w:val="auto"/>
          <w:sz w:val="24"/>
          <w:szCs w:val="24"/>
          <w:highlight w:val="none"/>
          <w:u w:val="single"/>
          <w:lang w:eastAsia="zh-CN" w:bidi="ar"/>
        </w:rPr>
        <w:t>）</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工</w:t>
      </w:r>
      <w:r>
        <w:rPr>
          <w:rFonts w:hint="eastAsia" w:ascii="宋体" w:hAnsi="宋体" w:eastAsia="宋体" w:cs="宋体"/>
          <w:color w:val="auto"/>
          <w:sz w:val="24"/>
          <w:szCs w:val="24"/>
          <w:highlight w:val="none"/>
          <w:u w:val="single"/>
          <w:lang w:val="zh-CN" w:bidi="ar"/>
        </w:rPr>
        <w:t>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325C6EC8">
      <w:pPr>
        <w:widowControl/>
        <w:wordWrap w:val="0"/>
        <w:spacing w:line="400" w:lineRule="exact"/>
        <w:ind w:firstLine="482" w:firstLineChars="200"/>
        <w:jc w:val="left"/>
        <w:rPr>
          <w:rFonts w:hint="eastAsia" w:ascii="宋体" w:hAnsi="宋体" w:eastAsia="宋体" w:cs="宋体"/>
          <w:b/>
          <w:color w:val="auto"/>
          <w:sz w:val="24"/>
          <w:szCs w:val="24"/>
          <w:highlight w:val="none"/>
          <w:lang w:bidi="ar"/>
        </w:rPr>
      </w:pPr>
    </w:p>
    <w:p w14:paraId="1602AFC6">
      <w:pPr>
        <w:widowControl/>
        <w:wordWrap w:val="0"/>
        <w:spacing w:line="40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以上企业，不属于大企业的分支机构，不存在控股股东为大企业的情形，也不存在与大企业的负责人为同一人的情形。</w:t>
      </w:r>
    </w:p>
    <w:p w14:paraId="43BA37FD">
      <w:pPr>
        <w:autoSpaceDE w:val="0"/>
        <w:autoSpaceDN w:val="0"/>
        <w:adjustRightInd w:val="0"/>
        <w:spacing w:line="46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本企业对上述声明内容的真实性负责。如有虚假，将依法承担相应责任。</w:t>
      </w:r>
    </w:p>
    <w:p w14:paraId="2B18E6AE">
      <w:pPr>
        <w:spacing w:line="300" w:lineRule="exact"/>
        <w:ind w:firstLine="5760" w:firstLineChars="2400"/>
        <w:rPr>
          <w:rFonts w:hint="eastAsia" w:ascii="宋体" w:hAnsi="宋体" w:eastAsia="宋体" w:cs="宋体"/>
          <w:color w:val="auto"/>
          <w:kern w:val="2"/>
          <w:sz w:val="24"/>
          <w:szCs w:val="20"/>
          <w:highlight w:val="none"/>
          <w:lang w:bidi="ar"/>
        </w:rPr>
      </w:pPr>
    </w:p>
    <w:p w14:paraId="0067CDF0">
      <w:pPr>
        <w:spacing w:line="300" w:lineRule="exact"/>
        <w:ind w:firstLine="5760" w:firstLineChars="2400"/>
        <w:rPr>
          <w:rFonts w:hint="eastAsia" w:ascii="宋体" w:hAnsi="宋体" w:eastAsia="宋体" w:cs="宋体"/>
          <w:color w:val="auto"/>
          <w:sz w:val="24"/>
          <w:szCs w:val="20"/>
          <w:highlight w:val="none"/>
        </w:rPr>
      </w:pPr>
      <w:r>
        <w:rPr>
          <w:rFonts w:hint="eastAsia" w:ascii="宋体" w:hAnsi="宋体" w:eastAsia="宋体" w:cs="宋体"/>
          <w:color w:val="auto"/>
          <w:kern w:val="2"/>
          <w:sz w:val="24"/>
          <w:szCs w:val="20"/>
          <w:highlight w:val="none"/>
          <w:lang w:bidi="ar"/>
        </w:rPr>
        <w:t>企业名称：</w:t>
      </w:r>
    </w:p>
    <w:p w14:paraId="4DA47EC8">
      <w:pPr>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kern w:val="2"/>
          <w:sz w:val="24"/>
          <w:szCs w:val="20"/>
          <w:highlight w:val="none"/>
          <w:lang w:bidi="ar"/>
        </w:rPr>
        <w:t xml:space="preserve">                                                日  期：</w:t>
      </w:r>
    </w:p>
    <w:p w14:paraId="17CE5C22">
      <w:pPr>
        <w:autoSpaceDE w:val="0"/>
        <w:autoSpaceDN w:val="0"/>
        <w:adjustRightInd w:val="0"/>
        <w:spacing w:line="460" w:lineRule="exact"/>
        <w:rPr>
          <w:rFonts w:hint="eastAsia" w:ascii="宋体" w:hAnsi="宋体" w:eastAsia="宋体" w:cs="宋体"/>
          <w:color w:val="auto"/>
          <w:kern w:val="2"/>
          <w:sz w:val="24"/>
          <w:szCs w:val="24"/>
          <w:highlight w:val="none"/>
          <w:lang w:val="zh-CN" w:bidi="ar"/>
        </w:rPr>
      </w:pPr>
    </w:p>
    <w:p w14:paraId="34D8D9CF">
      <w:pPr>
        <w:autoSpaceDE w:val="0"/>
        <w:autoSpaceDN w:val="0"/>
        <w:adjustRightInd w:val="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bidi="ar"/>
        </w:rPr>
        <w:t>备注：</w:t>
      </w:r>
    </w:p>
    <w:bookmarkEnd w:id="397"/>
    <w:p w14:paraId="5E096966">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bidi="ar"/>
        </w:rPr>
        <w:t>1、中小企业的认定：</w:t>
      </w:r>
    </w:p>
    <w:p w14:paraId="3A752B6D">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lang w:val="zh-CN"/>
        </w:rPr>
      </w:pPr>
      <w:r>
        <w:rPr>
          <w:rFonts w:hint="eastAsia" w:ascii="宋体" w:hAnsi="宋体" w:eastAsia="宋体" w:cs="宋体"/>
          <w:b/>
          <w:color w:val="auto"/>
          <w:kern w:val="2"/>
          <w:sz w:val="24"/>
          <w:szCs w:val="24"/>
          <w:highlight w:val="none"/>
          <w:lang w:bidi="ar"/>
        </w:rPr>
        <w:t>1.1请投标人在投标文件中提供中小企业声明函</w:t>
      </w:r>
      <w:r>
        <w:rPr>
          <w:rFonts w:hint="eastAsia" w:ascii="宋体" w:hAnsi="宋体" w:eastAsia="宋体" w:cs="宋体"/>
          <w:b/>
          <w:color w:val="auto"/>
          <w:kern w:val="2"/>
          <w:sz w:val="24"/>
          <w:highlight w:val="none"/>
          <w:lang w:bidi="ar"/>
        </w:rPr>
        <w:t>。未按</w:t>
      </w:r>
      <w:r>
        <w:rPr>
          <w:rFonts w:hint="eastAsia" w:ascii="宋体" w:hAnsi="宋体" w:eastAsia="宋体" w:cs="宋体"/>
          <w:b/>
          <w:color w:val="auto"/>
          <w:kern w:val="2"/>
          <w:sz w:val="24"/>
          <w:szCs w:val="24"/>
          <w:highlight w:val="none"/>
          <w:lang w:bidi="ar"/>
        </w:rPr>
        <w:t>招标</w:t>
      </w:r>
      <w:r>
        <w:rPr>
          <w:rFonts w:hint="eastAsia" w:ascii="宋体" w:hAnsi="宋体" w:eastAsia="宋体" w:cs="宋体"/>
          <w:b/>
          <w:color w:val="auto"/>
          <w:kern w:val="2"/>
          <w:sz w:val="24"/>
          <w:highlight w:val="none"/>
          <w:lang w:bidi="ar"/>
        </w:rPr>
        <w:t>文件的规定在</w:t>
      </w:r>
      <w:r>
        <w:rPr>
          <w:rFonts w:hint="eastAsia" w:ascii="宋体" w:hAnsi="宋体" w:eastAsia="宋体" w:cs="宋体"/>
          <w:b/>
          <w:color w:val="auto"/>
          <w:kern w:val="2"/>
          <w:sz w:val="24"/>
          <w:szCs w:val="24"/>
          <w:highlight w:val="none"/>
          <w:lang w:bidi="ar"/>
        </w:rPr>
        <w:t>投标文件</w:t>
      </w:r>
      <w:r>
        <w:rPr>
          <w:rFonts w:hint="eastAsia" w:ascii="宋体" w:hAnsi="宋体" w:eastAsia="宋体" w:cs="宋体"/>
          <w:b/>
          <w:color w:val="auto"/>
          <w:kern w:val="2"/>
          <w:sz w:val="24"/>
          <w:highlight w:val="none"/>
          <w:lang w:bidi="ar"/>
        </w:rPr>
        <w:t>中</w:t>
      </w:r>
      <w:r>
        <w:rPr>
          <w:rFonts w:hint="eastAsia" w:ascii="宋体" w:hAnsi="宋体" w:eastAsia="宋体" w:cs="宋体"/>
          <w:b/>
          <w:color w:val="auto"/>
          <w:kern w:val="2"/>
          <w:sz w:val="24"/>
          <w:szCs w:val="24"/>
          <w:highlight w:val="none"/>
          <w:lang w:bidi="ar"/>
        </w:rPr>
        <w:t>提供有效的中小企业声明函的，不享受促进</w:t>
      </w:r>
      <w:r>
        <w:rPr>
          <w:rFonts w:hint="eastAsia" w:ascii="宋体" w:hAnsi="宋体" w:eastAsia="宋体" w:cs="宋体"/>
          <w:b/>
          <w:color w:val="auto"/>
          <w:kern w:val="2"/>
          <w:sz w:val="24"/>
          <w:szCs w:val="24"/>
          <w:highlight w:val="none"/>
          <w:lang w:val="zh-CN" w:bidi="ar"/>
        </w:rPr>
        <w:t>中小企业</w:t>
      </w:r>
      <w:r>
        <w:rPr>
          <w:rFonts w:hint="eastAsia" w:ascii="宋体" w:hAnsi="宋体" w:eastAsia="宋体" w:cs="宋体"/>
          <w:b/>
          <w:color w:val="auto"/>
          <w:kern w:val="2"/>
          <w:sz w:val="24"/>
          <w:szCs w:val="24"/>
          <w:highlight w:val="none"/>
          <w:lang w:bidi="ar"/>
        </w:rPr>
        <w:t>发展的相关政府采购政策</w:t>
      </w:r>
      <w:r>
        <w:rPr>
          <w:rFonts w:hint="eastAsia" w:ascii="宋体" w:hAnsi="宋体" w:eastAsia="宋体" w:cs="宋体"/>
          <w:b/>
          <w:color w:val="auto"/>
          <w:kern w:val="2"/>
          <w:sz w:val="24"/>
          <w:szCs w:val="24"/>
          <w:highlight w:val="none"/>
          <w:lang w:val="zh-CN" w:bidi="ar"/>
        </w:rPr>
        <w:t>。</w:t>
      </w:r>
    </w:p>
    <w:p w14:paraId="3B619BE3">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1.2如未对上述声明函内（中型企业、小型企业、微型企业）进行勾选或明确，引起的评审风险由投标人自行承担。</w:t>
      </w:r>
    </w:p>
    <w:p w14:paraId="2BCF48DF">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1.3</w:t>
      </w:r>
      <w:r>
        <w:rPr>
          <w:rFonts w:hint="eastAsia" w:ascii="宋体" w:hAnsi="宋体" w:eastAsia="宋体" w:cs="宋体"/>
          <w:b/>
          <w:color w:val="auto"/>
          <w:kern w:val="2"/>
          <w:sz w:val="24"/>
          <w:szCs w:val="24"/>
          <w:highlight w:val="none"/>
          <w:lang w:val="zh-CN" w:bidi="ar"/>
        </w:rPr>
        <w:t>上述“中小企业声明函”格式原则上不得改动，因擅自改动引起的评审风险由投标人自行承担。</w:t>
      </w:r>
    </w:p>
    <w:p w14:paraId="4FB88F10">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kern w:val="2"/>
          <w:sz w:val="24"/>
          <w:szCs w:val="24"/>
          <w:highlight w:val="none"/>
          <w:lang w:val="zh-CN" w:bidi="ar"/>
        </w:rPr>
        <w:t>从业人员、营业收入、资产总额填报上一年度数据，无上一年度数据的新成立企业可不填报。</w:t>
      </w:r>
    </w:p>
    <w:p w14:paraId="53BD8E03">
      <w:pPr>
        <w:autoSpaceDE w:val="0"/>
        <w:autoSpaceDN w:val="0"/>
        <w:adjustRightInd w:val="0"/>
        <w:spacing w:line="460" w:lineRule="exact"/>
        <w:ind w:firstLine="602" w:firstLineChars="250"/>
        <w:rPr>
          <w:rFonts w:hint="eastAsia" w:ascii="宋体" w:hAnsi="宋体" w:eastAsia="宋体" w:cs="宋体"/>
          <w:b/>
          <w:bCs/>
          <w:color w:val="auto"/>
          <w:kern w:val="2"/>
          <w:sz w:val="24"/>
          <w:szCs w:val="24"/>
          <w:highlight w:val="none"/>
          <w:lang w:bidi="ar"/>
        </w:rPr>
      </w:pPr>
      <w:r>
        <w:rPr>
          <w:rFonts w:hint="eastAsia" w:ascii="宋体" w:hAnsi="宋体" w:eastAsia="宋体" w:cs="宋体"/>
          <w:b/>
          <w:bCs/>
          <w:color w:val="auto"/>
          <w:kern w:val="2"/>
          <w:sz w:val="24"/>
          <w:szCs w:val="24"/>
          <w:highlight w:val="none"/>
          <w:lang w:bidi="ar"/>
        </w:rPr>
        <w:t>3、本项目所属行业为：工业</w:t>
      </w:r>
      <w:r>
        <w:rPr>
          <w:rFonts w:hint="eastAsia" w:ascii="宋体" w:hAnsi="宋体" w:eastAsia="宋体" w:cs="宋体"/>
          <w:b/>
          <w:bCs/>
          <w:color w:val="auto"/>
          <w:kern w:val="2"/>
          <w:sz w:val="24"/>
          <w:szCs w:val="24"/>
          <w:highlight w:val="none"/>
          <w:lang w:val="zh-CN" w:bidi="ar"/>
        </w:rPr>
        <w:t>。</w:t>
      </w:r>
    </w:p>
    <w:p w14:paraId="6DC59A22">
      <w:pPr>
        <w:spacing w:line="440" w:lineRule="exact"/>
        <w:ind w:firstLine="482"/>
        <w:rPr>
          <w:rFonts w:hint="eastAsia" w:ascii="宋体" w:hAnsi="宋体" w:eastAsia="宋体" w:cs="宋体"/>
          <w:color w:val="auto"/>
          <w:sz w:val="24"/>
          <w:szCs w:val="24"/>
          <w:highlight w:val="none"/>
        </w:rPr>
      </w:pPr>
    </w:p>
    <w:p w14:paraId="2BAF4882">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8BD2F39">
      <w:pPr>
        <w:spacing w:line="440" w:lineRule="exact"/>
        <w:jc w:val="center"/>
        <w:outlineLvl w:val="1"/>
        <w:rPr>
          <w:rFonts w:hint="eastAsia" w:ascii="宋体" w:hAnsi="宋体" w:eastAsia="宋体" w:cs="宋体"/>
          <w:b/>
          <w:bCs/>
          <w:color w:val="auto"/>
          <w:sz w:val="28"/>
          <w:szCs w:val="28"/>
          <w:highlight w:val="none"/>
        </w:rPr>
      </w:pPr>
      <w:bookmarkStart w:id="398" w:name="_Toc20792"/>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 xml:space="preserve"> 残疾人福利性单位声明函</w:t>
      </w:r>
      <w:bookmarkEnd w:id="398"/>
    </w:p>
    <w:p w14:paraId="1528CBD6">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项目采购活动提供本单位制造的货物</w:t>
      </w:r>
      <w:r>
        <w:rPr>
          <w:rFonts w:hint="eastAsia" w:ascii="宋体" w:hAnsi="宋体" w:eastAsia="宋体" w:cs="宋体"/>
          <w:color w:val="auto"/>
          <w:kern w:val="2"/>
          <w:sz w:val="24"/>
          <w:szCs w:val="21"/>
          <w:highlight w:val="none"/>
          <w:lang w:val="zh-CN" w:bidi="ar"/>
        </w:rPr>
        <w:t>（由本单位承担工程/提供服务）</w:t>
      </w:r>
      <w:r>
        <w:rPr>
          <w:rFonts w:hint="eastAsia" w:ascii="宋体" w:hAnsi="宋体" w:eastAsia="宋体" w:cs="宋体"/>
          <w:color w:val="auto"/>
          <w:sz w:val="24"/>
          <w:szCs w:val="21"/>
          <w:highlight w:val="none"/>
        </w:rPr>
        <w:t>，或者提供其他残疾人福利性单位制造的货物（不包括使用非残疾人福利性单位注册商标的货物）。</w:t>
      </w:r>
    </w:p>
    <w:p w14:paraId="20377B37">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68F1334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（备注：1、投标人如不提供此声明函，价格将不做相应扣除。2、中标人为残疾人福利单位的，此声明函将随中标结果同时公告，接受社会监督）</w:t>
      </w:r>
    </w:p>
    <w:p w14:paraId="76394952">
      <w:pPr>
        <w:spacing w:line="588" w:lineRule="exact"/>
        <w:ind w:firstLine="624"/>
        <w:rPr>
          <w:rFonts w:hint="eastAsia" w:ascii="宋体" w:hAnsi="宋体" w:eastAsia="宋体" w:cs="宋体"/>
          <w:color w:val="auto"/>
          <w:spacing w:val="6"/>
          <w:sz w:val="30"/>
          <w:szCs w:val="30"/>
          <w:highlight w:val="none"/>
        </w:rPr>
      </w:pPr>
    </w:p>
    <w:p w14:paraId="3FE5F5A7">
      <w:pPr>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p>
    <w:p w14:paraId="499272A4">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3FF46F0D">
      <w:pPr>
        <w:autoSpaceDE w:val="0"/>
        <w:autoSpaceDN w:val="0"/>
        <w:adjustRightInd w:val="0"/>
        <w:spacing w:line="420" w:lineRule="exact"/>
        <w:rPr>
          <w:rFonts w:hint="eastAsia" w:ascii="宋体" w:hAnsi="宋体" w:eastAsia="宋体" w:cs="宋体"/>
          <w:b/>
          <w:color w:val="auto"/>
          <w:szCs w:val="21"/>
          <w:highlight w:val="none"/>
          <w:lang w:val="zh-CN"/>
        </w:rPr>
      </w:pPr>
      <w:r>
        <w:rPr>
          <w:rFonts w:hint="eastAsia" w:ascii="宋体" w:hAnsi="宋体" w:eastAsia="宋体" w:cs="宋体"/>
          <w:b/>
          <w:color w:val="auto"/>
          <w:kern w:val="2"/>
          <w:szCs w:val="21"/>
          <w:highlight w:val="none"/>
          <w:lang w:val="zh-CN" w:bidi="ar"/>
        </w:rPr>
        <w:t>请</w:t>
      </w:r>
      <w:r>
        <w:rPr>
          <w:rFonts w:hint="eastAsia" w:ascii="宋体" w:hAnsi="宋体" w:eastAsia="宋体" w:cs="宋体"/>
          <w:b/>
          <w:color w:val="auto"/>
          <w:kern w:val="2"/>
          <w:szCs w:val="21"/>
          <w:highlight w:val="none"/>
          <w:lang w:bidi="ar"/>
        </w:rPr>
        <w:t>投标人</w:t>
      </w:r>
      <w:r>
        <w:rPr>
          <w:rFonts w:hint="eastAsia" w:ascii="宋体" w:hAnsi="宋体" w:eastAsia="宋体" w:cs="宋体"/>
          <w:b/>
          <w:color w:val="auto"/>
          <w:kern w:val="2"/>
          <w:szCs w:val="21"/>
          <w:highlight w:val="none"/>
          <w:lang w:val="zh-CN" w:bidi="ar"/>
        </w:rPr>
        <w:t>认真阅读如下内容：</w:t>
      </w:r>
    </w:p>
    <w:p w14:paraId="42ED4323">
      <w:pPr>
        <w:autoSpaceDE w:val="0"/>
        <w:autoSpaceDN w:val="0"/>
        <w:adjustRightInd w:val="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val="zh-CN" w:bidi="ar"/>
        </w:rPr>
        <w:t>注：根据《财政部、民政部、中国残疾人联合会关于促进残疾人就业政府采购政策的通知》（财库〔2017〕141号）的规定的划分标准，享受政府采购支持政策的残疾人福利性单位应当同时满足以下条件：</w:t>
      </w:r>
    </w:p>
    <w:p w14:paraId="7706CD0C">
      <w:pPr>
        <w:autoSpaceDE w:val="0"/>
        <w:autoSpaceDN w:val="0"/>
        <w:adjustRightInd w:val="0"/>
        <w:spacing w:line="420" w:lineRule="exact"/>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bidi="ar"/>
        </w:rPr>
        <w:t>1、</w:t>
      </w:r>
      <w:r>
        <w:rPr>
          <w:rFonts w:hint="eastAsia" w:ascii="宋体" w:hAnsi="宋体" w:eastAsia="宋体" w:cs="宋体"/>
          <w:color w:val="auto"/>
          <w:kern w:val="2"/>
          <w:szCs w:val="21"/>
          <w:highlight w:val="none"/>
          <w:lang w:val="zh-CN" w:bidi="ar"/>
        </w:rPr>
        <w:t>安置的残疾人占本单位在职职工人数的比例不低于25%（含25%），并且安置的残疾人人数不少于10人（含10人）；</w:t>
      </w:r>
    </w:p>
    <w:p w14:paraId="570072C1">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val="zh-CN" w:bidi="ar"/>
        </w:rPr>
        <w:t>2、依法与安置的每位残疾人签订了一年以上（含一年）的劳动合同或服务协议；</w:t>
      </w:r>
    </w:p>
    <w:p w14:paraId="5BE1843E">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t>3、为安置的每位残疾人按月足额缴纳了基本养老保险、基本医疗保险、失业保险、工伤保险和生育保险等社会保险费；</w:t>
      </w:r>
    </w:p>
    <w:p w14:paraId="42C71BDD">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bidi="ar"/>
        </w:rPr>
        <w:t xml:space="preserve">    </w:t>
      </w:r>
      <w:r>
        <w:rPr>
          <w:rFonts w:hint="eastAsia" w:ascii="宋体" w:hAnsi="宋体" w:eastAsia="宋体" w:cs="宋体"/>
          <w:color w:val="auto"/>
          <w:kern w:val="2"/>
          <w:szCs w:val="21"/>
          <w:highlight w:val="none"/>
          <w:lang w:val="zh-CN" w:bidi="ar"/>
        </w:rPr>
        <w:t>4、通过银行等金融机构向安置的每位残疾人，按月支付了不低于单位所在区县适用的经省级人民政府批准的月最低工资标准的工资；</w:t>
      </w:r>
    </w:p>
    <w:p w14:paraId="077FE6D1">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val="zh-CN" w:bidi="ar"/>
        </w:rPr>
        <w:t>5、提供本单位制造的货物、承担的工程或者服务（以下简称产品），或者提供其他残疾人福利性单位制造的货物（不包括使用非残疾人福利性单位注册商标的货物）。</w:t>
      </w:r>
    </w:p>
    <w:p w14:paraId="544BA35F">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399" w:name="_Toc17235"/>
      <w:bookmarkStart w:id="400" w:name="_Toc155086574"/>
      <w:bookmarkStart w:id="401" w:name="_Toc155086474"/>
    </w:p>
    <w:p w14:paraId="07B48434">
      <w:pPr>
        <w:autoSpaceDE w:val="0"/>
        <w:autoSpaceDN w:val="0"/>
        <w:adjustRightInd w:val="0"/>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2"/>
          <w:szCs w:val="21"/>
          <w:highlight w:val="none"/>
          <w:lang w:val="zh-CN" w:bidi="ar"/>
        </w:rPr>
        <w:br w:type="page"/>
      </w:r>
    </w:p>
    <w:p w14:paraId="78964A79">
      <w:pPr>
        <w:spacing w:line="440" w:lineRule="exact"/>
        <w:ind w:firstLine="562"/>
        <w:jc w:val="center"/>
        <w:outlineLvl w:val="1"/>
        <w:rPr>
          <w:rFonts w:hint="eastAsia" w:ascii="宋体" w:hAnsi="宋体" w:eastAsia="宋体" w:cs="宋体"/>
          <w:b/>
          <w:bCs/>
          <w:color w:val="auto"/>
          <w:sz w:val="28"/>
          <w:szCs w:val="28"/>
          <w:highlight w:val="none"/>
        </w:rPr>
      </w:pPr>
      <w:bookmarkStart w:id="402" w:name="_Toc1783"/>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 xml:space="preserve"> 投标函</w:t>
      </w:r>
      <w:bookmarkEnd w:id="399"/>
      <w:bookmarkEnd w:id="400"/>
      <w:bookmarkEnd w:id="401"/>
      <w:bookmarkEnd w:id="402"/>
    </w:p>
    <w:p w14:paraId="419F5E5F">
      <w:pPr>
        <w:spacing w:line="420" w:lineRule="exact"/>
        <w:jc w:val="left"/>
        <w:rPr>
          <w:rFonts w:hint="eastAsia" w:ascii="宋体" w:hAnsi="宋体" w:eastAsia="宋体" w:cs="宋体"/>
          <w:color w:val="auto"/>
          <w:sz w:val="24"/>
          <w:szCs w:val="21"/>
          <w:highlight w:val="none"/>
        </w:rPr>
      </w:pPr>
    </w:p>
    <w:p w14:paraId="5AF22E54">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致：</w:t>
      </w:r>
      <w:r>
        <w:rPr>
          <w:rFonts w:hint="eastAsia" w:ascii="宋体" w:hAnsi="宋体" w:eastAsia="宋体" w:cs="宋体"/>
          <w:color w:val="auto"/>
          <w:sz w:val="24"/>
          <w:szCs w:val="24"/>
          <w:highlight w:val="none"/>
          <w:u w:val="single"/>
          <w:lang w:val="zh-CN"/>
        </w:rPr>
        <w:t>苏州信达顺工程建设咨询有限公司</w:t>
      </w:r>
    </w:p>
    <w:p w14:paraId="75EC6B82">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根据贵方的</w:t>
      </w:r>
      <w:r>
        <w:rPr>
          <w:rFonts w:hint="eastAsia" w:ascii="宋体" w:hAnsi="宋体" w:eastAsia="宋体" w:cs="宋体"/>
          <w:color w:val="auto"/>
          <w:szCs w:val="21"/>
          <w:highlight w:val="none"/>
          <w:lang w:eastAsia="zh-CN"/>
        </w:rPr>
        <w:t>JSZC-320581-SZDS-G2026-0005</w:t>
      </w:r>
      <w:r>
        <w:rPr>
          <w:rFonts w:hint="eastAsia" w:ascii="宋体" w:hAnsi="宋体" w:eastAsia="宋体" w:cs="宋体"/>
          <w:color w:val="auto"/>
          <w:szCs w:val="21"/>
          <w:highlight w:val="none"/>
        </w:rPr>
        <w:t>号招标文件，正式授权下述签字人______(姓名)代表我方______________（投标人的名称），全权处理本次项目投标的有关事宜。</w:t>
      </w:r>
    </w:p>
    <w:p w14:paraId="0F60824D">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据此函，__________签字人兹宣布同意如下：</w:t>
      </w:r>
    </w:p>
    <w:p w14:paraId="626BD38E">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0032DAA8">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3A21D8E1">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684875C8">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4.我方同意投标有效期为开标之日后六十（60）天。</w:t>
      </w:r>
    </w:p>
    <w:p w14:paraId="3D50A980">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5.我们同意从规定的开标日期起遵循本投标文件，并在规定的投标有效期期满之前均具有约束力。</w:t>
      </w:r>
    </w:p>
    <w:p w14:paraId="67AA6A67">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6.同意向贵方提供贵方可能另外要求的与投标有关的任何证据或资料，并保证我方已提供和将要提供的文件是真实的、准确的。</w:t>
      </w:r>
    </w:p>
    <w:p w14:paraId="2A54D53B">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7.一旦我方中标,我方将根据招标文件的规定，严格履行合同的责任和义务,并保证在招标文件规定的时间完成项目，交付采购人验收、使用。</w:t>
      </w:r>
    </w:p>
    <w:p w14:paraId="4A3EF5EA">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8.与本投标有关的正式通讯地址为：</w:t>
      </w:r>
    </w:p>
    <w:p w14:paraId="73E39535">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212D29F8">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2214E025">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42D83F60">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51C41AB5">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 标 人开户行：</w:t>
      </w:r>
    </w:p>
    <w:p w14:paraId="420C1F32">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5B5721B8">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期：________年____月____日</w:t>
      </w:r>
    </w:p>
    <w:p w14:paraId="770EFF2E">
      <w:pPr>
        <w:ind w:firstLine="480"/>
        <w:rPr>
          <w:rFonts w:hint="eastAsia" w:ascii="宋体" w:hAnsi="宋体" w:eastAsia="宋体" w:cs="宋体"/>
          <w:i/>
          <w:color w:val="auto"/>
          <w:sz w:val="24"/>
          <w:szCs w:val="24"/>
          <w:highlight w:val="none"/>
          <w:u w:val="single"/>
        </w:rPr>
      </w:pPr>
    </w:p>
    <w:p w14:paraId="34B73146">
      <w:pPr>
        <w:pStyle w:val="14"/>
        <w:ind w:firstLine="482"/>
        <w:rPr>
          <w:rFonts w:hint="eastAsia" w:ascii="宋体" w:hAnsi="宋体" w:eastAsia="宋体" w:cs="宋体"/>
          <w:color w:val="auto"/>
          <w:highlight w:val="none"/>
        </w:rPr>
      </w:pPr>
      <w:r>
        <w:rPr>
          <w:rFonts w:hint="eastAsia" w:ascii="宋体" w:hAnsi="宋体" w:eastAsia="宋体" w:cs="宋体"/>
          <w:b/>
          <w:color w:val="auto"/>
          <w:sz w:val="24"/>
          <w:szCs w:val="44"/>
          <w:highlight w:val="none"/>
        </w:rPr>
        <w:br w:type="page" w:clear="all"/>
      </w:r>
    </w:p>
    <w:p w14:paraId="374B5650">
      <w:pPr>
        <w:pStyle w:val="3"/>
        <w:keepNext w:val="0"/>
        <w:pageBreakBefore/>
        <w:jc w:val="center"/>
        <w:rPr>
          <w:rFonts w:hint="eastAsia" w:ascii="宋体" w:hAnsi="宋体" w:eastAsia="宋体" w:cs="宋体"/>
          <w:b/>
          <w:bCs/>
          <w:color w:val="auto"/>
          <w:sz w:val="28"/>
          <w:szCs w:val="28"/>
          <w:highlight w:val="none"/>
          <w:lang w:val="en-US" w:eastAsia="zh-CN"/>
        </w:rPr>
      </w:pPr>
      <w:bookmarkStart w:id="403" w:name="_Toc8628"/>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 xml:space="preserve"> </w:t>
      </w:r>
      <w:bookmarkStart w:id="404" w:name="_Toc26788"/>
      <w:bookmarkStart w:id="405" w:name="_Toc5065"/>
      <w:bookmarkStart w:id="406" w:name="_Toc9014"/>
      <w:bookmarkStart w:id="407" w:name="_Toc42157468"/>
      <w:bookmarkStart w:id="408" w:name="_Toc31580"/>
      <w:r>
        <w:rPr>
          <w:rFonts w:hint="eastAsia" w:ascii="宋体" w:hAnsi="宋体" w:eastAsia="宋体" w:cs="宋体"/>
          <w:b/>
          <w:bCs/>
          <w:color w:val="auto"/>
          <w:sz w:val="28"/>
          <w:szCs w:val="28"/>
          <w:highlight w:val="none"/>
          <w:lang w:val="en-US" w:eastAsia="zh-CN"/>
        </w:rPr>
        <w:t>供应商与其他单位存在直接控股、管理关系情况表</w:t>
      </w:r>
      <w:bookmarkEnd w:id="403"/>
      <w:bookmarkEnd w:id="404"/>
      <w:bookmarkEnd w:id="405"/>
    </w:p>
    <w:p w14:paraId="3748B477">
      <w:pPr>
        <w:rPr>
          <w:rFonts w:hint="eastAsia" w:ascii="宋体" w:hAnsi="宋体" w:eastAsia="宋体" w:cs="宋体"/>
          <w:color w:val="auto"/>
          <w:highlight w:val="none"/>
          <w:lang w:val="en-US" w:eastAsia="zh-CN"/>
        </w:rPr>
      </w:pPr>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38"/>
        <w:tblW w:w="10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9"/>
        <w:gridCol w:w="1691"/>
        <w:gridCol w:w="1494"/>
        <w:gridCol w:w="1569"/>
        <w:gridCol w:w="1429"/>
        <w:gridCol w:w="1698"/>
        <w:gridCol w:w="1259"/>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6173"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386"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jc w:val="center"/>
        </w:trPr>
        <w:tc>
          <w:tcPr>
            <w:tcW w:w="1419"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1"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494"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69"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29"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8"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59"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jc w:val="center"/>
        </w:trPr>
        <w:tc>
          <w:tcPr>
            <w:tcW w:w="1419"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1FC1E734">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555C1623">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646AC5E4">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36AD0D69">
      <w:pPr>
        <w:pStyle w:val="14"/>
        <w:spacing w:before="35" w:line="440" w:lineRule="exact"/>
        <w:ind w:left="4060" w:right="2166" w:firstLine="358" w:firstLineChars="152"/>
        <w:rPr>
          <w:rFonts w:hint="eastAsia" w:ascii="宋体" w:hAnsi="宋体" w:eastAsia="宋体" w:cs="宋体"/>
          <w:color w:val="auto"/>
          <w:sz w:val="22"/>
          <w:szCs w:val="21"/>
          <w:highlight w:val="none"/>
        </w:rPr>
      </w:pPr>
      <w:r>
        <w:rPr>
          <w:rFonts w:hint="eastAsia" w:ascii="宋体" w:hAnsi="宋体" w:eastAsia="宋体" w:cs="宋体"/>
          <w:color w:val="auto"/>
          <w:spacing w:val="-2"/>
          <w:sz w:val="24"/>
          <w:szCs w:val="24"/>
          <w:highlight w:val="none"/>
        </w:rPr>
        <w:t>日期：</w:t>
      </w:r>
    </w:p>
    <w:p w14:paraId="21DC406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09E9C62">
      <w:pPr>
        <w:spacing w:line="440" w:lineRule="exact"/>
        <w:ind w:firstLine="562"/>
        <w:jc w:val="center"/>
        <w:outlineLvl w:val="1"/>
        <w:rPr>
          <w:rFonts w:hint="eastAsia" w:ascii="宋体" w:hAnsi="宋体" w:eastAsia="宋体" w:cs="宋体"/>
          <w:b/>
          <w:bCs/>
          <w:color w:val="auto"/>
          <w:sz w:val="28"/>
          <w:szCs w:val="28"/>
          <w:highlight w:val="none"/>
        </w:rPr>
      </w:pPr>
      <w:bookmarkStart w:id="409" w:name="_Toc10756"/>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 xml:space="preserve">7 </w:t>
      </w:r>
      <w:r>
        <w:rPr>
          <w:rFonts w:hint="eastAsia" w:ascii="宋体" w:hAnsi="宋体" w:eastAsia="宋体" w:cs="宋体"/>
          <w:b/>
          <w:bCs/>
          <w:color w:val="auto"/>
          <w:sz w:val="28"/>
          <w:szCs w:val="28"/>
          <w:highlight w:val="none"/>
        </w:rPr>
        <w:t>关于符合本国产品标准的声明函</w:t>
      </w:r>
      <w:bookmarkEnd w:id="409"/>
    </w:p>
    <w:p w14:paraId="0C6C6328">
      <w:pPr>
        <w:pStyle w:val="35"/>
        <w:spacing w:before="0" w:beforeAutospacing="0" w:after="0" w:afterAutospacing="0" w:line="0" w:lineRule="atLeast"/>
        <w:ind w:firstLine="420"/>
        <w:rPr>
          <w:rFonts w:hint="eastAsia" w:ascii="宋体" w:hAnsi="宋体" w:eastAsia="宋体" w:cs="宋体"/>
          <w:color w:val="auto"/>
          <w:highlight w:val="none"/>
        </w:rPr>
      </w:pPr>
    </w:p>
    <w:p w14:paraId="2D009912">
      <w:pPr>
        <w:pStyle w:val="35"/>
        <w:spacing w:before="0" w:beforeAutospacing="0" w:after="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82634D">
      <w:pPr>
        <w:pStyle w:val="35"/>
        <w:spacing w:before="30" w:beforeAutospacing="0" w:after="30" w:afterAutospacing="0" w:line="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2383790</wp:posOffset>
                </wp:positionH>
                <wp:positionV relativeFrom="paragraph">
                  <wp:posOffset>265430</wp:posOffset>
                </wp:positionV>
                <wp:extent cx="816610" cy="76200"/>
                <wp:effectExtent l="635" t="4445" r="1905" b="14605"/>
                <wp:wrapNone/>
                <wp:docPr id="12" name="直接箭头连接符 12"/>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7.7pt;margin-top:20.9pt;height:6pt;width:64.3pt;z-index:251661312;mso-width-relative:page;mso-height-relative:page;" filled="f" stroked="t" coordsize="21600,21600" o:gfxdata="UEsDBAoAAAAAAIdO4kAAAAAAAAAAAAAAAAAEAAAAZHJzL1BLAwQUAAAACACHTuJAzgxLUtcAAAAJ&#10;AQAADwAAAGRycy9kb3ducmV2LnhtbE2PwU7DMAyG70i8Q2Qkbiwp67aqNN0BCcQBVdqAe9aYttA4&#10;pcna7e0xp3Gz5U+/v7/YnlwvJhxD50lDslAgkGpvO2o0vL893WUgQjRkTe8JNZwxwLa8vipMbv1M&#10;O5z2sREcQiE3GtoYh1zKULfoTFj4AYlvn350JvI6NtKOZuZw18t7pdbSmY74Q2sGfGyx/t4fnYYf&#10;2pw/UjllX1UV188vrw1hNWt9e5OoBxART/ECw58+q0PJTgd/JBtEr2G5WaWMakgTrsDASqVc7sDD&#10;MgNZFvJ/g/IXUEsDBBQAAAAIAIdO4kBuNqp/BQIAAPsDAAAOAAAAZHJzL2Uyb0RvYy54bWytU72O&#10;EzEQ7pF4B8s92STShWOVzRUJR4MgEnC9459dS/6Tx5dNXoIXQKICKqC6nqfhjsdg7A0BjiYFLqyx&#10;Z+ab+T6P5xc7a8hWRtDeNXQyGlMiHfdCu7ahb15fPjqnBBJzghnvZEP3EujF4uGDeR9qOfWdN0JG&#10;giAO6j40tEsp1FUFvJOWwcgH6dCpfLQs4TG2lYisR3Rrqul4PKt6H0WInksAvF0NTnpAjKcAeqU0&#10;lyvPr610aUCN0rCElKDTAeiidKuU5OmlUiATMQ1FpqnsWATtTd6rxZzVbWSh0/zQAjulhXucLNMO&#10;ix6hViwxch31P1BW8+jBqzTi3lYDkaIIspiM72nzqmNBFi4oNYSj6PD/YPmL7ToSLXASppQ4ZvHF&#10;797d3L79ePf1y/cPNz++vc/2508E/ShWH6DGnKVbx8MJwjpm5jsVLVFGhyvEKlogO7IrUu+PUstd&#10;Ihwvzyez2QQfgaPr8QznIoNXA0pGCxHSM+ktyUZDIUWm2y4tvXP4pj4OFdj2OaQh8VdCTjaO9A19&#10;cjY9wwIMZ1ThbKBpA/IE15buwBstLrUxOQNiu1maSLYsz0lZh4b+CstFVgy6Ia64chirO8nEUydI&#10;2gcU0OHHobkFKwUlRuI/y1aJTEybUyJRC+NQkiz4IHG2Nl7si/LlHmeiiHaY3zx0f55L9u8/u/g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gxLUtcAAAAJAQAADwAAAAAAAAABACAAAAAiAAAAZHJz&#10;L2Rvd25yZXYueG1sUEsBAhQAFAAAAAgAh07iQG42qn8FAgAA+w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3597910</wp:posOffset>
                </wp:positionH>
                <wp:positionV relativeFrom="paragraph">
                  <wp:posOffset>264795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3.3pt;margin-top:20.85pt;height:8.15pt;width:64.3pt;z-index:251662336;mso-width-relative:page;mso-height-relative:page;" filled="f" stroked="t" coordsize="21600,21600" o:gfxdata="UEsDBAoAAAAAAIdO4kAAAAAAAAAAAAAAAAAEAAAAZHJzL1BLAwQUAAAACACHTuJAqEJqqNcAAAAJ&#10;AQAADwAAAGRycy9kb3ducmV2LnhtbE2PwU7DMBBE70j8g7VI3KiTqnVDiNMDEogDitQCdzdekkC8&#10;DrGbtH/PcirH1TzNvC22J9eLCcfQedKQLhIQSLW3HTUa3t+e7jIQIRqypveEGs4YYFteXxUmt36m&#10;HU772AguoZAbDW2MQy5lqFt0Jiz8gMTZpx+diXyOjbSjmbnc9XKZJEo60xEvtGbAxxbr7/3Rafih&#10;zfljJafsq6qien55bQirWevbmzR5ABHxFC8w/OmzOpTsdPBHskH0GtZKKUY1rNINCAbU/XoJ4sBJ&#10;loAsC/n/g/IXUEsDBBQAAAAIAIdO4kCbasUMBgIAAPwDAAAOAAAAZHJzL2Uyb0RvYy54bWytU72O&#10;EzEQ7pF4B8s92d2gRMcqmysSjgZBJH56x2vvWvKfPL5s8hK8ABIVUAHV9TwNHI/B2BsCHE0KXFhj&#10;z8w3830eLy73RpOdCKCcbWg1KSkRlrtW2a6hr15ePbigBCKzLdPOioYeBNDL5f17i8HXYup6p1sR&#10;CIJYqAff0D5GXxcF8F4YBhPnhUWndMGwiMfQFW1gA6IbXUzLcl4MLrQ+OC4A8HY9OukRMZwD6KRU&#10;XKwdvzbCxhE1CM0iUoJeeaDL3K2UgsfnUoKIRDcUmca8YxG0t2kvlgtWd4H5XvFjC+ycFu5wMkxZ&#10;LHqCWrPIyHVQ/0AZxYMDJ+OEO1OMRLIiyKIq72jzomdeZC4oNfiT6PD/YPmz3SYQ1eIkVJRYZvDF&#10;b9/efH/z4fbL52/vb358fZfsTx8J+lGswUONOSu7CccT+E1IzPcyGCK18q8RK2uB7Mg+S304SS32&#10;kXC8vKjm8wofgaOrKh/OyllCL0aYBOcDxCfCGZKMhkIMTHV9XDlr8VFdGEuw3VOIY+KvhJSsLRka&#10;+mg2nWEFhkMqcTjQNB6Jgu1ye+C0aq+U1ikDQrdd6UB2LA1KXseG/gpLRdYM+jEuu1IYq3vB2se2&#10;JfHgUUGLP4emFoxoKdECP1qycmRkSp8TiVpoi5IkxUeNk7V17SFLn+9xKLJoxwFOU/fnOWf//rT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hCaqjXAAAACQEAAA8AAAAAAAAAAQAgAAAAIgAAAGRy&#10;cy9kb3ducmV2LnhtbFBLAQIUABQAAAAIAIdO4kCbasUM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292735</wp:posOffset>
                </wp:positionH>
                <wp:positionV relativeFrom="paragraph">
                  <wp:posOffset>431800</wp:posOffset>
                </wp:positionV>
                <wp:extent cx="565785" cy="130810"/>
                <wp:effectExtent l="1270" t="4445" r="4445" b="17145"/>
                <wp:wrapNone/>
                <wp:docPr id="2" name="直接箭头连接符 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05pt;margin-top:34pt;height:10.3pt;width:44.55pt;z-index:251666432;mso-width-relative:page;mso-height-relative:page;" filled="f" stroked="t" coordsize="21600,21600" o:gfxdata="UEsDBAoAAAAAAIdO4kAAAAAAAAAAAAAAAAAEAAAAZHJzL1BLAwQUAAAACACHTuJAFx7wLdYAAAAI&#10;AQAADwAAAGRycy9kb3ducmV2LnhtbE2PwU7DMBBE70j8g7VI3KiTUoyVZtMDEogDikSBu5tsk0C8&#10;DrGbtH+Pe6LH0Yxm3uSbo+3FRKPvHCOkiwQEceXqjhuEz4/nOw3CB8O16R0Twok8bIrrq9xktZv5&#10;naZtaEQsYZ8ZhDaEIZPSVy1Z4xduII7e3o3WhCjHRtajmWO57eUySZS0puO40JqBnlqqfrYHi/DL&#10;j6evlZz0d1kG9fL61jCVM+LtTZqsQQQ6hv8wnPEjOhSRaecOXHvRI6xUGpMISsdLZ//+YQlih6C1&#10;Alnk8vJA8QdQSwMEFAAAAAgAh07iQHEYQjQIAgAA+gMAAA4AAABkcnMvZTJvRG9jLnhtbK1TS44T&#10;MRDdI3EHy3vSSVCGoZXOLBKGDYJIfPaOP92W/JPLk04uwQWQWAErhtXsOQ0Mx6DsDgGGTRb0olV2&#10;uV7Ve36eX+ysIVsZQXvX0MloTIl03Avt2oa+fnX54JwSSMwJZryTDd1LoBeL+/fmfajl1HfeCBkJ&#10;gjio+9DQLqVQVxXwTloGIx+kw6Ty0bKEy9hWIrIe0a2ppuPxWdX7KEL0XALg7mpI0gNiPAXQK6W5&#10;XHl+ZaVLA2qUhiWkBJ0OQBdlWqUkTy+UApmIaSgyTeWPTTDe5H+1mLO6jSx0mh9GYKeMcIeTZdph&#10;0yPUiiVGrqL+B8pqHj14lUbc22ogUhRBFpPxHW1edizIwgWlhnAUHf4fLH++XUeiRUOnlDhm8cJv&#10;3918f/vx9sv1tw83P76+z/HnT2SapeoD1FixdOt4WEFYx8x7p6IlyujwBj1VlEBuZFeE3h+FlrtE&#10;OG7OzmaPzmeUcExNHo7PJ+UiqgEmw4UI6an0luSgoZAi022Xlt45vFIfhxZs+wwSDoKFvwpysXGk&#10;b+jj2TR3YGhRhdbA0AakCa4t44E3WlxqY3IFxHazNJFsWbZJ+TJdxP3rWG6yYtAN50pqMFAnmXji&#10;BEn7gAI6fDc0j2CloMRIfGY5QkBWJ6bNKSextXE4QVZ80DhHGy/2Rfqyj5YoMx7smz3357pU/36y&#10;i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XHvAt1gAAAAgBAAAPAAAAAAAAAAEAIAAAACIAAABk&#10;cnMvZG93bnJldi54bWxQSwECFAAUAAAACACHTuJAcRhCNAgCAAD6AwAADgAAAAAAAAABACAAAAAl&#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5802630</wp:posOffset>
                </wp:positionH>
                <wp:positionV relativeFrom="paragraph">
                  <wp:posOffset>236220</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56.9pt;margin-top:18.6pt;height:9.45pt;width:69pt;z-index:251663360;mso-width-relative:page;mso-height-relative:page;" filled="f" stroked="t" coordsize="21600,21600" o:gfxdata="UEsDBAoAAAAAAIdO4kAAAAAAAAAAAAAAAAAEAAAAZHJzL1BLAwQUAAAACACHTuJAB5XwEdgAAAAK&#10;AQAADwAAAGRycy9kb3ducmV2LnhtbE2PwU7DMBBE70j8g7VI3KjjlqYlZNMDEogDikSBuxsvSSBe&#10;h9hN2r+veyrHnR3NvMk3B9uJkQbfOkZQswQEceVMyzXC58fz3RqED5qN7hwTwpE8bIrrq1xnxk38&#10;TuM21CKGsM80QhNCn0npq4as9jPXE8fftxusDvEcamkGPcVw28l5kqTS6pZjQ6N7emqo+t3uLcIf&#10;r45f93Jc/5RlSF9e32qmckK8vVHJI4hAh3Axwxk/okMRmXZuz8aLDuFBLSJ6QFis5iDOhmSporJD&#10;WKYKZJHL/xOKE1BLAwQUAAAACACHTuJAGJvWHwYCAAD8AwAADgAAAGRycy9lMm9Eb2MueG1srVO9&#10;jhMxEO6ReAfLPdkkKOFYZXNFwtEgiMRP7/hn15L/5PFlk5fgBZCogIqjup6ngeMxGHtDgKO5AhfW&#10;2DPzzXyfx4vzvTVkJyNo7xo6GY0pkY57oV3b0NevLh6cUQKJOcGMd7KhBwn0fHn/3qIPtZz6zhsh&#10;I0EQB3UfGtqlFOqqAt5Jy2Dkg3ToVD5alvAY20pE1iO6NdV0PJ5XvY8iRM8lAN6uByc9Isa7AHql&#10;NJdrzy+tdGlAjdKwhJSg0wHosnSrlOTphVIgEzENRaap7FgE7W3eq+WC1W1kodP82AK7Swu3OFmm&#10;HRY9Qa1ZYuQy6n+grObRg1dpxL2tBiJFEWQxGd/S5mXHgixcUGoIJ9Hh/8Hy57tNJFrgJMwpcczi&#10;i9+8u/7+9uPNl6tvH65/fH2f7c+fCPpRrD5AjTkrt4nHE4RNzMz3KlqijA5vEKtogezIvkh9OEkt&#10;94lwvDx7NH84xkfg6JrgWExmGb0aYDJciJCeSm9JNhoKKTLddmnlncNH9XEowXbPIA2JvxJysnGk&#10;b+jj2XSGFRgOqcLhQNMGJAquLe2BN1pcaGNyBsR2uzKR7FgelLKODf0VlousGXRDXHHlMFZ3kokn&#10;TpB0CKigw59DcwtWCkqMxI+WrRKZmDZ3iUQtjENJsuKDxtnaenEo0pd7HIoi2nGA89T9eS7Zvz/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HlfAR2AAAAAoBAAAPAAAAAAAAAAEAIAAAACIAAABk&#10;cnMvZG93bnJldi54bWxQSwECFAAUAAAACACHTuJAGJvWHw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1473835</wp:posOffset>
                </wp:positionH>
                <wp:positionV relativeFrom="paragraph">
                  <wp:posOffset>238125</wp:posOffset>
                </wp:positionV>
                <wp:extent cx="364490" cy="97790"/>
                <wp:effectExtent l="1270" t="4445" r="15240" b="12065"/>
                <wp:wrapNone/>
                <wp:docPr id="7" name="直接箭头连接符 7"/>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16.05pt;margin-top:18.75pt;height:7.7pt;width:28.7pt;z-index:251665408;mso-width-relative:page;mso-height-relative:page;" filled="f" stroked="t" coordsize="21600,21600" o:gfxdata="UEsDBAoAAAAAAIdO4kAAAAAAAAAAAAAAAAAEAAAAZHJzL1BLAwQUAAAACACHTuJA65uMktgAAAAJ&#10;AQAADwAAAGRycy9kb3ducmV2LnhtbE2PwU7DMAyG70i8Q2Qkbixtxrau1N0BCcQBVWLAPWtMW2ic&#10;0mTt9vaEE9xs+dPv7y92J9uLiUbfOUZIFwkI4tqZjhuEt9eHmwyED5qN7h0Twpk87MrLi0Lnxs38&#10;QtM+NCKGsM81QhvCkEvp65as9gs3EMfbhxutDnEdG2lGPcdw20uVJGtpdcfxQ6sHum+p/tofLcI3&#10;b87vt3LKPqsqrB+fnhumaka8vkqTOxCBTuEPhl/9qA5ldDq4IxsvegS1VGlEEZabFYgIqGwbhwPC&#10;Sm1BloX836D8AVBLAwQUAAAACACHTuJA2gfeCwUCAAD5AwAADgAAAGRycy9lMm9Eb2MueG1srVO9&#10;jhMxEO6ReAfLPdlcuLtwq2yuSDgaBJH46R3/7Frynzy+bPISvAASFVAB1fU8DRyPwdgbAhxNClxY&#10;Y8/MN/N9Hs8ut9aQjYygvWvoyWhMiXTcC+3ahr56efXgESWQmBPMeCcbupNAL+f37836UMuJ77wR&#10;MhIEcVD3oaFdSqGuKuCdtAxGPkiHTuWjZQmPsa1EZD2iW1NNxuPzqvdRhOi5BMDb5eCke8R4DKBX&#10;SnO59PzaSpcG1CgNS0gJOh2Azku3SkmenisFMhHTUGSayo5F0F7nvZrPWN1GFjrN9y2wY1q4w8ky&#10;7bDoAWrJEiPXUf8DZTWPHrxKI+5tNRApiiCLk/EdbV50LMjCBaWGcBAd/h8sf7ZZRaJFQ6eUOGbx&#10;wW/f3nx/8+H2y+dv729+fH2X7U8fyTRL1QeoMWPhVnF/grCKmfdWRUuU0eE1zlRRArmRbRF6dxBa&#10;bhPhePnw/PT0Ap+Ao+tiOkUT4aoBJaOFCOmJ9JZko6GQItNtlxbeOXxRH4cKbPMU0pD4KyEnG0d6&#10;hD2bnGEBhhOqcDLQtAFZgmtLd+CNFlfamJwBsV0vTCQblqekrH1Df4XlIksG3RBXXDmM1Z1k4rET&#10;JO0C6ufw29DcgpWCEiPxl2WrRCamzTGRqIVxKEkWfJA4W2svdkX5co8TUUTbT28euT/PJfv3j53/&#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ubjJLYAAAACQEAAA8AAAAAAAAAAQAgAAAAIgAAAGRy&#10;cy9kb3ducmV2LnhtbFBLAQIUABQAAAAIAIdO4kDaB94LBQIAAPkDAAAOAAAAAAAAAAEAIAAAACc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 name="直接箭头连接符 1"/>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4384;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H/R3ICAgAA+QMAAA4AAABkcnMvZTJvRG9jLnhtbK1TS44T&#10;MRDdI3EHy3vSSaQQaKUzi4RhgyASn73jT7cl/+TypJNLcAEkVsAKZjV7TgPDMSi7Q4BhkwW9sMr1&#10;eVXvdXlxsbeG7GQE7V1DJ6MxJdJxL7RrG/r61eWDR5RAYk4w451s6EECvVjev7foQy2nvvNGyEgQ&#10;xEHdh4Z2KYW6qoB30jIY+SAdBpWPliW8xrYSkfWIbk01HY8fVr2PIkTPJQB610OQHhHjOYBeKc3l&#10;2vMrK10aUKM0LCEl6HQAuizTKiV5eqEUyERMQ5FpKic2QXubz2q5YHUbWeg0P47AzhnhDifLtMOm&#10;J6g1S4xcRf0PlNU8evAqjbi31UCkKIIsJuM72rzsWJCFC0oN4SQ6/D9Y/ny3iUQL3ARKHLP4w2/f&#10;3Xx/+/H2+su3Dzc/vr7P9udPZJKl6gPUWLFym3i8QdjEzHuvoiXK6PAmI2UPciP7IvThJLTcJ8LR&#10;OZvPp5MZJRxDj6fj+SyDVwNKrg0R0lPpLclGQyFFptsurbxz+Ed9HDqw3TNIQ+GvglxsHOkRdjbN&#10;DRhuqMLNQNMGZAmuLdOBN1pcamNyBcR2uzKR7FjekvIdB/orLTdZM+iGvBLKaazuJBNPnCDpEFA/&#10;h8+G5hGsFJQYia8sWyUzMW3OyUQtjENJsuCDxNnaenEoyhc/bkQR7bi9eeX+vJfq3y92+R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GKFxa1gAAAAkBAAAPAAAAAAAAAAEAIAAAACIAAABkcnMvZG93&#10;bnJldi54bWxQSwECFAAUAAAACACHTuJAkf9HcgICAAD5AwAADgAAAAAAAAABACAAAAAlAQAAZHJz&#10;L2Uyb0RvYy54bWxQSwUGAAAAAAYABgBZAQAAmQUAAAAA&#10;">
                <v:fill on="f" focussize="0,0"/>
                <v:stroke color="#000000" joinstyle="round"/>
                <v:imagedata o:title=""/>
                <o:lock v:ext="edit" aspectratio="f"/>
              </v:shape>
            </w:pict>
          </mc:Fallback>
        </mc:AlternateContent>
      </w:r>
      <w:r>
        <w:rPr>
          <w:rFonts w:hint="eastAsia" w:ascii="宋体" w:hAnsi="宋体" w:eastAsia="宋体" w:cs="宋体"/>
          <w:color w:val="auto"/>
          <w:highlight w:val="none"/>
          <w:shd w:val="clear" w:color="auto" w:fill="FFFFFF"/>
        </w:rPr>
        <w:t>1.</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医用液氧 </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3ED24ABE">
      <w:pPr>
        <w:pStyle w:val="35"/>
        <w:spacing w:before="30" w:beforeAutospacing="0" w:after="30" w:afterAutospacing="0" w:line="0" w:lineRule="atLeast"/>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s">
            <w:drawing>
              <wp:anchor distT="0" distB="0" distL="114300" distR="114300" simplePos="0" relativeHeight="251682816" behindDoc="0" locked="0" layoutInCell="1" allowOverlap="1">
                <wp:simplePos x="0" y="0"/>
                <wp:positionH relativeFrom="column">
                  <wp:posOffset>3551555</wp:posOffset>
                </wp:positionH>
                <wp:positionV relativeFrom="paragraph">
                  <wp:posOffset>247015</wp:posOffset>
                </wp:positionV>
                <wp:extent cx="816610" cy="103505"/>
                <wp:effectExtent l="635" t="4445" r="1905" b="6350"/>
                <wp:wrapNone/>
                <wp:docPr id="31" name="直接箭头连接符 3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9.65pt;margin-top:19.45pt;height:8.15pt;width:64.3pt;z-index:251682816;mso-width-relative:page;mso-height-relative:page;" filled="f" stroked="t" coordsize="21600,21600" o:gfxdata="UEsDBAoAAAAAAIdO4kAAAAAAAAAAAAAAAAAEAAAAZHJzL1BLAwQUAAAACACHTuJAomqvStcAAAAJ&#10;AQAADwAAAGRycy9kb3ducmV2LnhtbE2PwU7CQBCG7ya+w2ZMvMkWkFJqtxxINB5ME1DvS3dsC93Z&#10;0l1aeHuHk95m8n/555tsfbGtGLD3jSMF00kEAql0pqFKwdfn61MCwgdNRreOUMEVPazz+7tMp8aN&#10;tMVhFyrBJeRTraAOoUul9GWNVvuJ65A4+3G91YHXvpKm1yOX21bOoiiWVjfEF2rd4abG8rg7WwUn&#10;Wl6/n+WQHIoixG/vHxVhMSr1+DCNXkAEvIQ/GG76rA45O+3dmYwXrYLFYjVnVME8WYFgIE6WPOxv&#10;yQxknsn/H+S/UEsDBBQAAAAIAIdO4kBwmVWRCAIAAPwDAAAOAAAAZHJzL2Uyb0RvYy54bWytU72O&#10;EzEQ7pF4B8s92d2cEh2rbK5IOBoEkfjpHdu7a8l/8viyyUvwAkhUQAVXXc/TwPEYjL0hwNFcgQtr&#10;7Jn5Zr7P48XF3miykwGUsw2tJiUl0nInlO0a+vrV5aNzSiAyK5h2Vjb0IIFeLB8+WAy+llPXOy1k&#10;IAhioR58Q/sYfV0UwHtpGEyclxadrQuGRTyGrhCBDYhudDEty3kxuCB8cFwC4O16dNIjYrgPoGtb&#10;xeXa8SsjbRxRg9QsIiXolQe6zN22reTxRduCjEQ3FJnGvGMRtLdpL5YLVneB+V7xYwvsPi3c4WSY&#10;slj0BLVmkZGroP6BMooHB66NE+5MMRLJiiCLqryjzcueeZm5oNTgT6LD/4Plz3ebQJRo6FlFiWUG&#10;X/z23c33tx9vr798+3Dz4+v7ZH/+RNCPYg0easxZ2U04nsBvQmK+b4MhrVb+DU5V1gLZkX2W+nCS&#10;Wu4j4Xh5Xs3nFT4CR1dVns3KWUIvRpgE5wPEp9IZkoyGQgxMdX1cOWvxUV0YS7DdM4hj4q+ElKwt&#10;GRr6eDadYQWGQ9ricKBpPBIF2+X2wGklLpXWKQNCt13pQHYsDUpex4b+CktF1gz6MS67Uhire8nE&#10;EytIPHhU0OLPoakFIwUlWuJHS1aOjEzp+0SiFtqiJEnxUeNkbZ04ZOnzPQ5FFu04wGnq/jzn7N+f&#10;dvk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mqvStcAAAAJAQAADwAAAAAAAAABACAAAAAiAAAA&#10;ZHJzL2Rvd25yZXYueG1sUEsBAhQAFAAAAAgAh07iQHCZVZEIAgAA/A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9744" behindDoc="0" locked="0" layoutInCell="1" allowOverlap="1">
                <wp:simplePos x="0" y="0"/>
                <wp:positionH relativeFrom="column">
                  <wp:posOffset>2393315</wp:posOffset>
                </wp:positionH>
                <wp:positionV relativeFrom="paragraph">
                  <wp:posOffset>271780</wp:posOffset>
                </wp:positionV>
                <wp:extent cx="816610" cy="76200"/>
                <wp:effectExtent l="635" t="4445" r="1905" b="14605"/>
                <wp:wrapNone/>
                <wp:docPr id="28" name="直接箭头连接符 28"/>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8.45pt;margin-top:21.4pt;height:6pt;width:64.3pt;z-index:251679744;mso-width-relative:page;mso-height-relative:page;" filled="f" stroked="t" coordsize="21600,21600" o:gfxdata="UEsDBAoAAAAAAIdO4kAAAAAAAAAAAAAAAAAEAAAAZHJzL1BLAwQUAAAACACHTuJACnpl0NgAAAAJ&#10;AQAADwAAAGRycy9kb3ducmV2LnhtbE2PwU6DQBCG7ya+w2ZMvNmlFShFlh5MNB4MSavet+wUUHYW&#10;2S20b+940ttM5ss/319sz7YXE46+c6RguYhAINXOdNQoeH97ustA+KDJ6N4RKrigh215fVXo3LiZ&#10;djjtQyM4hHyuFbQhDLmUvm7Rar9wAxLfjm60OvA6NtKMeuZw28tVFKXS6o74Q6sHfGyx/tqfrIJv&#10;Wl8+Yjlln1UV0ueX14awmpW6vVlGDyACnsMfDL/6rA4lOx3ciYwXvYL7dbphVEG84goMJFGSgDjw&#10;EGcgy0L+b1D+AFBLAwQUAAAACACHTuJABJ57HAYCAAD7AwAADgAAAGRycy9lMm9Eb2MueG1srVO9&#10;jhMxEO6ReAfLPdkk0oVjlc0VCUeDIBJwveOfXUv+k8eXTV6CF0CiAiqgup6n4Y7HYOwNAY4mBVus&#10;xp6Zb+b7Zjy/2FlDtjKC9q6hk9GYEum4F9q1DX3z+vLROSWQmBPMeCcbupdALxYPH8z7UMup77wR&#10;MhIEcVD3oaFdSqGuKuCdtAxGPkiHTuWjZQmPsa1EZD2iW1NNx+NZ1fsoQvRcAuDtanDSA2I8BdAr&#10;pblceX5tpUsDapSGJaQEnQ5AF6VbpSRPL5UCmYhpKDJN5Y9F0N7kf7WYs7qNLHSaH1pgp7Rwj5Nl&#10;2mHRI9SKJUauo/4HymoePXiVRtzbaiBSFEEWk/E9bV51LMjCBaWGcBQd/h8sf7FdR6JFQ6c4d8cs&#10;Tvzu3c3t2493X798/3Dz49v7bH/+RNCPYvUBasxZunU8nCCsY2a+U9ESZXS4wq0qWiA7sitS749S&#10;y10iHC/PJ7PZBIfA0fV4hnuRwasBJaOFCOmZ9JZko6GQItNtl5beOZypj0MFtn0OaUj8lZCTjSN9&#10;Q5+cTc+wAMMdVbgbaNqAPMG1pTvwRotLbUzOgNhuliaSLct7Ur5DQ3+F5SIrBt0QV1w5jNWdZOKp&#10;EyTtAwro8OHQ3IKVghIj8Z1lq0Qmps0pkaiFcShJFnyQOFsbL/ZF+XKPO1FEO+xvXro/zyX795t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KemXQ2AAAAAkBAAAPAAAAAAAAAAEAIAAAACIAAABk&#10;cnMvZG93bnJldi54bWxQSwECFAAUAAAACACHTuJABJ57HAYCAAD7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6672" behindDoc="0" locked="0" layoutInCell="1" allowOverlap="1">
                <wp:simplePos x="0" y="0"/>
                <wp:positionH relativeFrom="column">
                  <wp:posOffset>1451610</wp:posOffset>
                </wp:positionH>
                <wp:positionV relativeFrom="paragraph">
                  <wp:posOffset>252095</wp:posOffset>
                </wp:positionV>
                <wp:extent cx="364490" cy="97790"/>
                <wp:effectExtent l="1270" t="4445" r="15240" b="12065"/>
                <wp:wrapNone/>
                <wp:docPr id="25" name="直接箭头连接符 25"/>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14.3pt;margin-top:19.85pt;height:7.7pt;width:28.7pt;z-index:251676672;mso-width-relative:page;mso-height-relative:page;" filled="f" stroked="t" coordsize="21600,21600" o:gfxdata="UEsDBAoAAAAAAIdO4kAAAAAAAAAAAAAAAAAEAAAAZHJzL1BLAwQUAAAACACHTuJAVAJczNYAAAAJ&#10;AQAADwAAAGRycy9kb3ducmV2LnhtbE2PQU+DQBCF7yb+h82YeLMLaCkiQw8mGg+GxKr3LYyAsrPI&#10;bqH9944nPb7MlzffK7ZHO6iZJt87RohXESji2jU9twhvrw9XGSgfDDdmcEwIJ/KwLc/PCpM3buEX&#10;mnehVVLCPjcIXQhjrrWvO7LGr9xILLcPN1kTJE6tbiazSLkddBJFqbamZ/nQmZHuO6q/dgeL8M2b&#10;0/uNnrPPqgrp49Nzy1QtiJcXcXQHKtAx/MHwqy/qUIrT3h248WpASJIsFRTh+nYDSgDJMm6PsF7H&#10;oMtC/19Q/gBQSwMEFAAAAAgAh07iQNypgToFAgAA+wMAAA4AAABkcnMvZTJvRG9jLnhtbK1TS44T&#10;MRDdI3EHy3vSmTAfppXOLBKGDYJIfPaOP92W/JPLk04uwQWQWAErYDX7Oc0wHIOyOwQYNlnghVV2&#10;Vb2q91yeXmysIWsZQXvX0KPRmBLpuBfatQ198/ry0RNKIDEnmPFONnQrgV7MHj6Y9qGWE995I2Qk&#10;COKg7kNDu5RCXVXAO2kZjHyQDp3KR8sSHmNbich6RLemmozHp1XvowjRcwmAt4vBSXeI8RBAr5Tm&#10;cuH5lZUuDahRGpaQEnQ6AJ2VbpWSPL1UCmQipqHINJUdi6C9yns1m7K6jSx0mu9aYIe0cI+TZdph&#10;0T3UgiVGrqL+B8pqHj14lUbc22ogUhRBFkfje9q86liQhQtKDWEvOvw/WP5ivYxEi4ZOTihxzOKL&#10;372//v7u0923r7cfr3/cfMj2l88E/ShWH6DGnLlbxt0JwjJm5hsVLVFGh7c4VUULZEc2RertXmq5&#10;SYTj5ePT4+NzfASOrvOzMzQRrhpQMlqIkJ5Jb0k2GgopMt12ae6dwzf1cajA1s8hDYm/EnKycaRH&#10;2JNMiTOcUYWzgaYNyBNcW7oDb7S41MbkDIjtam4iWbM8J2XtGvorLBdZMOiGuOLKYazuJBNPnSBp&#10;G1BAhx+H5hasFJQYif8sWyUyMW0OiUQtjENJsuCDxNlaebEtypd7nIki2m5+89D9eS7Zv//s7C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UAlzM1gAAAAkBAAAPAAAAAAAAAAEAIAAAACIAAABkcnMv&#10;ZG93bnJldi54bWxQSwECFAAUAAAACACHTuJA3KmBOgUCAAD7AwAADgAAAAAAAAABACAAAAAl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3600" behindDoc="0" locked="0" layoutInCell="1" allowOverlap="1">
                <wp:simplePos x="0" y="0"/>
                <wp:positionH relativeFrom="column">
                  <wp:posOffset>325755</wp:posOffset>
                </wp:positionH>
                <wp:positionV relativeFrom="paragraph">
                  <wp:posOffset>414020</wp:posOffset>
                </wp:positionV>
                <wp:extent cx="565785" cy="130810"/>
                <wp:effectExtent l="1270" t="4445" r="4445" b="17145"/>
                <wp:wrapNone/>
                <wp:docPr id="22" name="直接箭头连接符 2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5.65pt;margin-top:32.6pt;height:10.3pt;width:44.55pt;z-index:251673600;mso-width-relative:page;mso-height-relative:page;" filled="f" stroked="t" coordsize="21600,21600" o:gfxdata="UEsDBAoAAAAAAIdO4kAAAAAAAAAAAAAAAAAEAAAAZHJzL1BLAwQUAAAACACHTuJAuy6NctYAAAAI&#10;AQAADwAAAGRycy9kb3ducmV2LnhtbE2PQU+DQBSE7038D5tn4q1dqIAEefRgovFgSKx637JPQNm3&#10;yG6h/fduT3qczGTmm3J3MoOYaXK9ZYR4E4EgbqzuuUV4f3tc5yCcV6zVYJkQzuRgV12tSlVou/Ar&#10;zXvfilDCrlAInfdjIaVrOjLKbexIHLxPOxnlg5xaqSe1hHIzyG0UZdKonsNCp0Z66Kj53h8Nwg/f&#10;nT8SOedfde2zp+eXlqleEG+u4+gehKeT/wvDBT+gQxWYDvbI2okBIY1vQxIhS7cgLn4SJSAOCHma&#10;g6xK+f9A9QtQSwMEFAAAAAgAh07iQKz1wLcKAgAA/AMAAA4AAABkcnMvZTJvRG9jLnhtbK1TS44T&#10;MRDdI3EHy3vSSVCGoZXOLBKGDYJIfPaOP92W/JPLk04uwQWQWAErhtXsOQ0Mx6DsDgGGTRb0olV2&#10;uV7Ve36eX+ysIVsZQXvX0MloTIl03Avt2oa+fnX54JwSSMwJZryTDd1LoBeL+/fmfajl1HfeCBkJ&#10;gjio+9DQLqVQVxXwTloGIx+kw6Ty0bKEy9hWIrIe0a2ppuPxWdX7KEL0XALg7mpI0gNiPAXQK6W5&#10;XHl+ZaVLA2qUhiWkBJ0OQBdlWqUkTy+UApmIaSgyTeWPTTDe5H+1mLO6jSx0mh9GYKeMcIeTZdph&#10;0yPUiiVGrqL+B8pqHj14lUbc22ogUhRBFpPxHW1edizIwgWlhnAUHf4fLH++XUeiRUOnU0ocs3jj&#10;t+9uvr/9ePvl+tuHmx9f3+f48yeCeRSrD1BjzdKt42EFYR0z852Kliijwxt0VdEC2ZFdkXp/lFru&#10;EuG4OTubPTqfUcIxNXk4Pp+Uq6gGmAwXIqSn0luSg4ZCiky3XVp65/BSfRxasO0zSDgIFv4qyMXG&#10;kb6hj2fT3IGhSRWaA0MbkCi4towH3mhxqY3JFRDbzdJEsmXZKOXLdBH3r2O5yYpBN5wrqcFCnWTi&#10;iRMk7QMq6PDl0DyClYISI/Gh5QgBWZ2YNqecxNbG4QRZ8UHjHG282Bfpyz6aosx4MHB23Z/rUv37&#10;0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sujXLWAAAACAEAAA8AAAAAAAAAAQAgAAAAIgAA&#10;AGRycy9kb3ducmV2LnhtbFBLAQIUABQAAAAIAIdO4kCs9cC3CgIAAPw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0528" behindDoc="0" locked="0" layoutInCell="1" allowOverlap="1">
                <wp:simplePos x="0" y="0"/>
                <wp:positionH relativeFrom="column">
                  <wp:posOffset>5756910</wp:posOffset>
                </wp:positionH>
                <wp:positionV relativeFrom="paragraph">
                  <wp:posOffset>210185</wp:posOffset>
                </wp:positionV>
                <wp:extent cx="876300" cy="120015"/>
                <wp:effectExtent l="635" t="4445" r="18415" b="8890"/>
                <wp:wrapNone/>
                <wp:docPr id="19" name="直接箭头连接符 19"/>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53.3pt;margin-top:16.55pt;height:9.45pt;width:69pt;z-index:251670528;mso-width-relative:page;mso-height-relative:page;" filled="f" stroked="t" coordsize="21600,21600" o:gfxdata="UEsDBAoAAAAAAIdO4kAAAAAAAAAAAAAAAAAEAAAAZHJzL1BLAwQUAAAACACHTuJAWzMHwtcAAAAK&#10;AQAADwAAAGRycy9kb3ducmV2LnhtbE2PwU7DMAyG70i8Q2QkbizpVsoodXdAAnFAlTbgnjWmLTRO&#10;abJ2e3uyExxtf/r9/cXmaHsx0eg7xwjJQoEgrp3puEF4f3u6WYPwQbPRvWNCOJGHTXl5UejcuJm3&#10;NO1CI2II+1wjtCEMuZS+bslqv3ADcbx9utHqEMexkWbUcwy3vVwqlUmrO44fWj3QY0v19+5gEX74&#10;7vSRymn9VVUhe355bZiqGfH6KlEPIAIdwx8MZ/2oDmV02rsDGy96hHuVZRFFWK0SEGdApWnc7BFu&#10;lwpkWcj/FcpfUEsDBBQAAAAIAIdO4kCg48DFBgIAAPwDAAAOAAAAZHJzL2Uyb0RvYy54bWytU72O&#10;EzEQ7pF4B8s92SQox90qmysSjgZBJH56xz+7lvwnjy+bvAQvgEQFVEB1PU8Dx2Mw9oYAR5MCF9bY&#10;M/PNfJ/H88udNWQrI2jvGjoZjSmRjnuhXdvQVy+vHpxTAok5wYx3sqF7CfRycf/evA+1nPrOGyEj&#10;QRAHdR8a2qUU6qoC3knLYOSDdOhUPlqW8BjbSkTWI7o11XQ8Pqt6H0WInksAvF0NTnpAjKcAeqU0&#10;lyvPr610aUCN0rCElKDTAeiidKuU5Om5UiATMQ1FpqnsWATtTd6rxZzVbWSh0/zQAjulhTucLNMO&#10;ix6hViwxch31P1BW8+jBqzTi3lYDkaIIspiM72jzomNBFi4oNYSj6PD/YPmz7ToSLXASLihxzOKL&#10;3769+f7mw+2Xz9/e3/z4+i7bnz4S9KNYfYAac5ZuHQ8nCOuYme9UtEQZHV4jVtEC2ZFdkXp/lFru&#10;EuF4ef7o7OEYH4Gja4JjMZll9GqAyXAhQnoivSXZaCikyHTbpaV3Dh/Vx6EE2z6FNCT+SsjJxpG+&#10;oRez6QwrMBxShcOBpg1IFFxb2gNvtLjSxuQMiO1maSLZsjwoZR0a+issF1kx6Ia44sphrO4kE4+d&#10;IGkfUEGHP4fmFqwUlBiJHy1bJTIxbU6JRC2MQ0my4oPG2dp4sS/Sl3sciiLaYYDz1P15Ltm/P+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FszB8LXAAAACgEAAA8AAAAAAAAAAQAgAAAAIgAAAGRy&#10;cy9kb3ducmV2LnhtbFBLAQIUABQAAAAIAIdO4kCg48DF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8" name="直接箭头连接符 8"/>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6745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uFgW8BwIAAPk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oKF67YxYv&#10;/Pbdzfe3H2+vv3z7cPPj6/scf/5E5lmqPkCNFSu3iccVhE3MvPcqWqKMDm/QU0UJ5Eb2RejDSWi5&#10;T4Tj5mwyn8zPKOGYOp/Nzss9VANKRgsR0lPpLclBQyFFptsurbxzeKM+Dh3Y7hkknAMLfxXkYuNI&#10;j7Bn09yAoUMVOgNDG5AluLZMB95ocamNyRUQ2+3KRLJj2SXly2wR969jucmaQTecK6nBP51k4okT&#10;JB0C6ufw2dA8gpWCEiPxleUIAVmdmDb3OYmtjcMJsuCDxDnaenEoypd9dESZ8ejebLk/16X694t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rhYFvAcCAAD5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40L医用氧 </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2</w:t>
      </w:r>
      <w:r>
        <w:rPr>
          <w:rStyle w:val="42"/>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2</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2</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43184F66">
      <w:pPr>
        <w:pStyle w:val="35"/>
        <w:spacing w:before="30" w:beforeAutospacing="0" w:after="30" w:afterAutospacing="0" w:line="0" w:lineRule="atLeast"/>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s">
            <w:drawing>
              <wp:anchor distT="0" distB="0" distL="114300" distR="114300" simplePos="0" relativeHeight="251668480" behindDoc="0" locked="0" layoutInCell="1" allowOverlap="1">
                <wp:simplePos x="0" y="0"/>
                <wp:positionH relativeFrom="column">
                  <wp:posOffset>4668520</wp:posOffset>
                </wp:positionH>
                <wp:positionV relativeFrom="paragraph">
                  <wp:posOffset>36830</wp:posOffset>
                </wp:positionV>
                <wp:extent cx="718185" cy="97790"/>
                <wp:effectExtent l="635" t="4445" r="5080" b="12065"/>
                <wp:wrapNone/>
                <wp:docPr id="10" name="直接箭头连接符 10"/>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7.6pt;margin-top:2.9pt;height:7.7pt;width:56.55pt;z-index:251668480;mso-width-relative:page;mso-height-relative:page;" filled="f" stroked="t" coordsize="21600,21600" o:gfxdata="UEsDBAoAAAAAAIdO4kAAAAAAAAAAAAAAAAAEAAAAZHJzL1BLAwQUAAAACACHTuJA/1wqzNYAAAAI&#10;AQAADwAAAGRycy9kb3ducmV2LnhtbE2PzU6EQBCE7ya+w6RNvLkD7B9Bmj2YaDwYEle9z0ILKNOD&#10;zCzsvr3tyT1WqlL1Vb472V5NNPrOMUK8iEARV67uuEF4f3u8S0H5YLg2vWNCOJOHXXF9lZusdjO/&#10;0rQPjZIS9plBaEMYMq191ZI1fuEGYvE+3WhNEDk2uh7NLOW210kUbbQ1HctCawZ6aKn63h8twg9v&#10;zx8rPaVfZRk2T88vDVM5I97exNE9qECn8B+GP3xBh0KYDu7ItVc9wna5TiSKsJYH4qerdAnqgJDE&#10;Cegi15cHil9QSwMEFAAAAAgAh07iQIr3thUHAgAA+wMAAA4AAABkcnMvZTJvRG9jLnhtbK1TS44T&#10;MRDdI3EHy3vSSaQhmVY6s0gYNggi8dk7/nRb8k8uTzq5BBdAYgWsYFaz5zQwHIOyOwQYNrOgF1bZ&#10;5Xr13uvy4mJvDdnJCNq7hk5GY0qk415o1zb09avLR3NKIDEnmPFONvQggV4sHz5Y9KGWU995I2Qk&#10;COKg7kNDu5RCXVXAO2kZjHyQDpPKR8sSbmNbich6RLemmo7Hj6veRxGi5xIAT9dDkh4R430AvVKa&#10;y7XnV1a6NKBGaVhCSdDpAHRZ2ColeXqhFMhETENRaSorNsF4m9dquWB1G1noND9SYPehcEeTZdph&#10;0xPUmiVGrqL+B8pqHj14lUbc22oQUhxBFZPxHW9edizIogWthnAyHf4fLH++20SiBU4CWuKYxT9+&#10;++7m+9uPt9dfvn24+fH1fY4/fyKYR7P6ADXWrNwmHncQNjEr36toiTI6vEGs4gWqI/ti9eFktdwn&#10;wvFwNplP5meUcEydz2bnBbwaUDJaiJCeSm9JDhoKKTLddmnlncN/6uPQge2eQUIeWPirIBcbR3qE&#10;PZvmBgxnVOFsYGgD6gTXFnbgjRaX2phcAbHdrkwkO5bnpHxZLeL+dS03WTPohnslNUxQJ5l44gRJ&#10;h4AGOnw4NFOwUlBiJL6zHCEgqxPT5j43sbVxyCAbPlico60Xh+J8OceZKByP85uH7s99qf79Zp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9cKszWAAAACAEAAA8AAAAAAAAAAQAgAAAAIgAAAGRy&#10;cy9kb3ducmV2LnhtbFBLAQIUABQAAAAIAIdO4kCK97YVBwIAAPsDAAAOAAAAAAAAAAEAIAAAACU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83840" behindDoc="0" locked="0" layoutInCell="1" allowOverlap="1">
                <wp:simplePos x="0" y="0"/>
                <wp:positionH relativeFrom="column">
                  <wp:posOffset>3441065</wp:posOffset>
                </wp:positionH>
                <wp:positionV relativeFrom="paragraph">
                  <wp:posOffset>238125</wp:posOffset>
                </wp:positionV>
                <wp:extent cx="816610" cy="103505"/>
                <wp:effectExtent l="635" t="4445" r="1905" b="6350"/>
                <wp:wrapNone/>
                <wp:docPr id="32" name="直接箭头连接符 3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0.95pt;margin-top:18.75pt;height:8.15pt;width:64.3pt;z-index:251683840;mso-width-relative:page;mso-height-relative:page;" filled="f" stroked="t" coordsize="21600,21600" o:gfxdata="UEsDBAoAAAAAAIdO4kAAAAAAAAAAAAAAAAAEAAAAZHJzL1BLAwQUAAAACACHTuJAOTzCVdcAAAAJ&#10;AQAADwAAAGRycy9kb3ducmV2LnhtbE2PwU6DQBCG7ya+w2ZMvNkF2wJFlh5MNB4MSavet+wUUHYW&#10;2S20b+940ttM/i//fFNsz7YXE46+c6QgXkQgkGpnOmoUvL893WUgfNBkdO8IFVzQw7a8vip0btxM&#10;O5z2oRFcQj7XCtoQhlxKX7dotV+4AYmzoxutDryOjTSjnrnc9vI+ihJpdUd8odUDPrZYf+1PVsE3&#10;pZePlZyyz6oKyfPLa0NYzUrd3sTRA4iA5/AHw68+q0PJTgd3IuNFr2C9ijeMKlimaxAMJGnEw4GT&#10;ZQayLOT/D8ofUEsDBBQAAAAIAIdO4kCXfCsfCAIAAPwDAAAOAAAAZHJzL2Uyb0RvYy54bWytU72O&#10;EzEQ7pF4B8s92U1OiY5VNlckHA2CSPz0jtfeteQ/eXzZ5CV4ASQqoIKrrudpuLvHYOwNAY4mBS6s&#10;sWfmm/k+j+cXO6PJVgRQztZ0PCopEZa7Rtm2pm/fXD45pwQisw3Tzoqa7gXQi8XjR/PeV2LiOqcb&#10;EQiCWKh6X9MuRl8VBfBOGAYj54VFp3TBsIjH0BZNYD2iG11MynJW9C40PjguAPB2NTjpATGcAuik&#10;VFysHL8ywsYBNQjNIlKCTnmgi9ytlILHV1KCiETXFJnGvGMRtDdpLxZzVrWB+U7xQwvslBYecDJM&#10;WSx6hFqxyMhVUP9AGcWDAyfjiDtTDESyIshiXD7Q5nXHvMhcUGrwR9Hh/8Hyl9t1IKqp6dmEEssM&#10;vvjdh5vb95/vrr/9+HRz//1jsr9+IehHsXoPFeYs7TocTuDXITHfyWCI1Mq/w6nKWiA7sstS749S&#10;i10kHC/Px7PZGB+Bo2tcnk3LaUIvBpgE5wPE58IZkoyaQgxMtV1cOmvxUV0YSrDtC4hD4q+ElKwt&#10;6Wv6dDqZYgWGQypxONA0HomCbXN74LRqLpXWKQNCu1nqQLYsDUpeh4b+CktFVgy6IS67UhirOsGa&#10;Z7Yhce9RQYs/h6YWjGgo0QI/WrJyZGRKnxKJWmiLkiTFB42TtXHNPkuf73EosmiHAU5T9+c5Z//+&#10;tI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TzCVdcAAAAJAQAADwAAAAAAAAABACAAAAAiAAAA&#10;ZHJzL2Rvd25yZXYueG1sUEsBAhQAFAAAAAgAh07iQJd8Kx8IAgAA/A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80768" behindDoc="0" locked="0" layoutInCell="1" allowOverlap="1">
                <wp:simplePos x="0" y="0"/>
                <wp:positionH relativeFrom="column">
                  <wp:posOffset>2338070</wp:posOffset>
                </wp:positionH>
                <wp:positionV relativeFrom="paragraph">
                  <wp:posOffset>246380</wp:posOffset>
                </wp:positionV>
                <wp:extent cx="816610" cy="76200"/>
                <wp:effectExtent l="635" t="4445" r="1905" b="14605"/>
                <wp:wrapNone/>
                <wp:docPr id="29" name="直接箭头连接符 2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4.1pt;margin-top:19.4pt;height:6pt;width:64.3pt;z-index:251680768;mso-width-relative:page;mso-height-relative:page;" filled="f" stroked="t" coordsize="21600,21600" o:gfxdata="UEsDBAoAAAAAAIdO4kAAAAAAAAAAAAAAAAAEAAAAZHJzL1BLAwQUAAAACACHTuJAsA08WNYAAAAJ&#10;AQAADwAAAGRycy9kb3ducmV2LnhtbE2PwU7DMBBE70j8g7VI3KjdUoIJcXpAAnFAkVrg7sZLEojX&#10;IXaT9u9ZTnCb0T7NzhSbo+/FhGPsAhlYLhQIpDq4jhoDb6+PVxpETJac7QOhgRNG2JTnZ4XNXZhp&#10;i9MuNYJDKObWQJvSkEsZ6xa9jYswIPHtI4zeJrZjI91oZw73vVwplUlvO+IPrR3wocX6a3fwBr7p&#10;9vS+lpP+rKqUPT2/NITVbMzlxVLdg0h4TH8w/Nbn6lByp304kIuiN3Cd6RWjLDRPYGB9l7HYG7hR&#10;GmRZyP8Lyh9QSwMEFAAAAAgAh07iQLBpreoGAgAA+wMAAA4AAABkcnMvZTJvRG9jLnhtbK1TvY4T&#10;MRDukXgHyz3ZJNKFu1U2VyQcDYJI/PSOf3Yt+U8eXzZ5CV4AiQqo4KrreRo4HoOxNwQ4mhS4sMae&#10;mW/m+zyeX+6sIVsZQXvX0MloTIl03Avt2oa+fnX16JwSSMwJZryTDd1LoJeLhw/mfajl1HfeCBkJ&#10;gjio+9DQLqVQVxXwTloGIx+kQ6fy0bKEx9hWIrIe0a2ppuPxrOp9FCF6LgHwdjU46QExngLoldJc&#10;rjy/ttKlATVKwxJSgk4HoIvSrVKSpxdKgUzENBSZprJjEbQ3ea8Wc1a3kYVO80ML7JQW7nGyTDss&#10;eoRascTIddT/QFnNowev0oh7Ww1EiiLIYjK+p83LjgVZuKDUEI6iw/+D5c+360i0aOj0ghLHLL74&#10;3bvb728/3t18+fbh9sfX99n+/ImgH8XqA9SYs3TreDhBWMfMfKeiJcro8AanqmiB7MiuSL0/Si13&#10;iXC8PJ/MZhN8BI6uxzOciwxeDSgZLURIT6W3JBsNhRSZbru09M7hm/o4VGDbZ5CGxF8JOdk40jf0&#10;4mx6hgUYzqjC2UDTBuQJri3dgTdaXGljcgbEdrM0kWxZnpOyDg39FZaLrBh0Q1xx5TBWd5KJJ06Q&#10;tA8ooMOPQ3MLVgpKjMR/lq0SmZg2p0SiFsahJFnwQeJsbbzYF+XLPc5EEe0wv3no/jyX7N9/dvE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sA08WNYAAAAJAQAADwAAAAAAAAABACAAAAAiAAAAZHJz&#10;L2Rvd25yZXYueG1sUEsBAhQAFAAAAAgAh07iQLBpreoGAgAA+w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7696" behindDoc="0" locked="0" layoutInCell="1" allowOverlap="1">
                <wp:simplePos x="0" y="0"/>
                <wp:positionH relativeFrom="column">
                  <wp:posOffset>1515110</wp:posOffset>
                </wp:positionH>
                <wp:positionV relativeFrom="paragraph">
                  <wp:posOffset>251460</wp:posOffset>
                </wp:positionV>
                <wp:extent cx="364490" cy="97790"/>
                <wp:effectExtent l="1270" t="4445" r="15240" b="12065"/>
                <wp:wrapNone/>
                <wp:docPr id="26" name="直接箭头连接符 26"/>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19.3pt;margin-top:19.8pt;height:7.7pt;width:28.7pt;z-index:251677696;mso-width-relative:page;mso-height-relative:page;" filled="f" stroked="t" coordsize="21600,21600" o:gfxdata="UEsDBAoAAAAAAIdO4kAAAAAAAAAAAAAAAAAEAAAAZHJzL1BLAwQUAAAACACHTuJALhQAktgAAAAJ&#10;AQAADwAAAGRycy9kb3ducmV2LnhtbE2PwU7DMAyG70i8Q2QkbixZx0pXmu6ABOKAKm3APWtMW2ic&#10;0mTt9vaYE5wsy59+f3+xPbleTDiGzpOG5UKBQKq97ajR8Pb6eJOBCNGQNb0n1HDGANvy8qIwufUz&#10;7XDax0ZwCIXcaGhjHHIpQ92iM2HhByS+ffjRmcjr2Eg7mpnDXS8TpVLpTEf8oTUDPrRYf+2PTsM3&#10;3Z3fb+WUfVZVTJ+eXxrCatb6+mqp7kFEPMU/GH71WR1Kdjr4I9kgeg3JKksZ1bDa8GQg2aRc7qBh&#10;vVYgy0L+b1D+AFBLAwQUAAAACACHTuJAQbeL+gYCAAD7AwAADgAAAGRycy9lMm9Eb2MueG1srVO9&#10;jhMxEO6ReAfLPdlcuMtxq2yuSDgaBJH46R3/7Frynzy+bPISvAASFVAB1fU8DRyPwdgbAhxNClxY&#10;Y8/MN/N9Hs8ut9aQjYygvWvoyWhMiXTcC+3ahr56efXgESWQmBPMeCcbupNAL+f37836UMuJ77wR&#10;MhIEcVD3oaFdSqGuKuCdtAxGPkiHTuWjZQmPsa1EZD2iW1NNxuNp1fsoQvRcAuDtcnDSPWI8BtAr&#10;pblcen5tpUsDapSGJaQEnQ5A56VbpSRPz5UCmYhpKDJNZcciaK/zXs1nrG4jC53m+xbYMS3c4WSZ&#10;dlj0ALVkiZHrqP+BsppHD16lEfe2GogURZDFyfiONi86FmThglJDOIgO/w+WP9usItGioZMpJY5Z&#10;fPHbtzff33y4/fL52/ubH1/fZfvTR4J+FKsPUGPOwq3i/gRhFTPzrYqWKKPDa5yqogWyI9si9e4g&#10;tdwmwvHy4fT09AIfgaPr4vwcTYSrBpSMFiKkJ9Jbko2GQopMt11aeOfwTX0cKrDNU0hD4q+EnGwc&#10;6RH2bHKGBRjOqMLZQNMG5AmuLd2BN1pcaWNyBsR2vTCRbFiek7L2Df0VlossGXRDXHHlMFZ3konH&#10;TpC0Cyigw49DcwtWCkqMxH+WrRKZmDbHRKIWxqEkWfBB4mytvdgV5cs9zkQRbT+/eej+PJfs3392&#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uFACS2AAAAAkBAAAPAAAAAAAAAAEAIAAAACIAAABk&#10;cnMvZG93bnJldi54bWxQSwECFAAUAAAACACHTuJAQbeL+gYCAAD7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4624" behindDoc="0" locked="0" layoutInCell="1" allowOverlap="1">
                <wp:simplePos x="0" y="0"/>
                <wp:positionH relativeFrom="column">
                  <wp:posOffset>357505</wp:posOffset>
                </wp:positionH>
                <wp:positionV relativeFrom="paragraph">
                  <wp:posOffset>421005</wp:posOffset>
                </wp:positionV>
                <wp:extent cx="565785" cy="130810"/>
                <wp:effectExtent l="1270" t="4445" r="4445" b="17145"/>
                <wp:wrapNone/>
                <wp:docPr id="23" name="直接箭头连接符 23"/>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15pt;margin-top:33.15pt;height:10.3pt;width:44.55pt;z-index:251674624;mso-width-relative:page;mso-height-relative:page;" filled="f" stroked="t" coordsize="21600,21600" o:gfxdata="UEsDBAoAAAAAAIdO4kAAAAAAAAAAAAAAAAAEAAAAZHJzL1BLAwQUAAAACACHTuJA09S1HtYAAAAI&#10;AQAADwAAAGRycy9kb3ducmV2LnhtbE2PwU7DMBBE70j8g7VI3KhTSE0I2fSABOKAIlHg7sZLEojX&#10;IXaT9u9xTnAarWY087bYHm0vJhp95xhhvUpAENfOdNwgvL89XmUgfNBsdO+YEE7kYVuenxU6N27m&#10;V5p2oRGxhH2uEdoQhlxKX7dktV+5gTh6n260OsRzbKQZ9RzLbS+vk0RJqzuOC60e6KGl+nt3sAg/&#10;fHv6SOWUfVVVUE/PLw1TNSNeXqyTexCBjuEvDAt+RIcyMu3dgY0XPcJG3cQkglp08dNNCmKPkKk7&#10;kGUh/z9Q/gJQSwMEFAAAAAgAh07iQM5UOnsKAgAA/AMAAA4AAABkcnMvZTJvRG9jLnhtbK1TS44T&#10;MRDdI3EHy3vSSUYZhlY6s0gYNggi8dk7/nRb8k8uTzq5BBdAYgWsgNXsOQ0Mx6DsDgGGTRb0olV2&#10;uV7Ve36eX+6sIVsZQXvX0MloTIl03Avt2oa+enn14IISSMwJZryTDd1LoJeL+/fmfajl1HfeCBkJ&#10;gjio+9DQLqVQVxXwTloGIx+kw6Ty0bKEy9hWIrIe0a2ppuPxedX7KEL0XALg7mpI0gNiPAXQK6W5&#10;XHl+baVLA2qUhiWkBJ0OQBdlWqUkT8+VApmIaSgyTeWPTTDe5H+1mLO6jSx0mh9GYKeMcIeTZdph&#10;0yPUiiVGrqP+B8pqHj14lUbc22ogUhRBFpPxHW1edCzIwgWlhnAUHf4fLH+2XUeiRUOnZ5Q4ZvHG&#10;b9/efH/z4fbL52/vb358fZfjTx8J5lGsPkCNNUu3jocVhHXMzHcqWqKMDq/RVUULZEd2Rer9UWq5&#10;S4Tj5ux89vBiRgnH1ORsfDEpV1ENMBkuREhPpLckBw2FFJluu7T0zuGl+ji0YNunkHAQLPxVkIuN&#10;I31DH82muQNDkyo0B4Y2IFFwbRkPvNHiShuTKyC2m6WJZMuyUcqX6SLuX8dykxWDbjhXUoOFOsnE&#10;YydI2gdU0OHLoXkEKwUlRuJDyxECsjoxbU45ia2Nwwmy4oPGOdp4sS/Sl300RZnxYODsuj/Xpfr3&#10;o13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PUtR7WAAAACAEAAA8AAAAAAAAAAQAgAAAAIgAA&#10;AGRycy9kb3ducmV2LnhtbFBLAQIUABQAAAAIAIdO4kDOVDp7CgIAAPw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1552" behindDoc="0" locked="0" layoutInCell="1" allowOverlap="1">
                <wp:simplePos x="0" y="0"/>
                <wp:positionH relativeFrom="column">
                  <wp:posOffset>5724525</wp:posOffset>
                </wp:positionH>
                <wp:positionV relativeFrom="paragraph">
                  <wp:posOffset>217805</wp:posOffset>
                </wp:positionV>
                <wp:extent cx="876300" cy="120015"/>
                <wp:effectExtent l="635" t="4445" r="18415" b="8890"/>
                <wp:wrapNone/>
                <wp:docPr id="20" name="直接箭头连接符 2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50.75pt;margin-top:17.15pt;height:9.45pt;width:69pt;z-index:251671552;mso-width-relative:page;mso-height-relative:page;" filled="f" stroked="t" coordsize="21600,21600" o:gfxdata="UEsDBAoAAAAAAIdO4kAAAAAAAAAAAAAAAAAEAAAAZHJzL1BLAwQUAAAACACHTuJAbaTkz9gAAAAK&#10;AQAADwAAAGRycy9kb3ducmV2LnhtbE2PwU7DMAyG70i8Q2Qkbizpuo2t1N0BCcQBVdqAe9aYttA4&#10;pcna7e3JTnC0/en39+fbk+3ESINvHSMkMwWCuHKm5Rrh/e3pbg3CB81Gd44J4UwetsX1Va4z4ybe&#10;0bgPtYgh7DON0ITQZ1L6qiGr/cz1xPH26QarQxyHWppBTzHcdnKu1Epa3XL80OieHhuqvvdHi/DD&#10;9+ePhRzXX2UZVs8vrzVTOSHe3iTqAUSgU/iD4aIf1aGITgd3ZONFh7BRyTKiCOkiBXEBVLqJmwPC&#10;Mp2DLHL5v0LxC1BLAwQUAAAACACHTuJAqV+65gYCAAD8AwAADgAAAGRycy9lMm9Eb2MueG1srVO9&#10;jhMxEO6ReAfLPdkkKMexyuaKhKNBEImf3vHPriX/yePLJi/BCyBRARVHdT1PA8djMPaGAEeTAhfW&#10;2DPzzXyfx/OLnTVkKyNo7xo6GY0pkY57oV3b0NevLh+cUwKJOcGMd7Khewn0YnH/3rwPtZz6zhsh&#10;I0EQB3UfGtqlFOqqAt5Jy2Dkg3ToVD5alvAY20pE1iO6NdV0PD6reh9FiJ5LALxdDU56QIynAHql&#10;NJcrz6+sdGlAjdKwhJSg0wHoonSrlOTphVIgEzENRaap7FgE7U3eq8Wc1W1kodP80AI7pYU7nCzT&#10;DoseoVYsMXIV9T9QVvPowas04t5WA5GiCLKYjO9o87JjQRYuKDWEo+jw/2D58+06Ei0aOkVJHLP4&#10;4rfvbr6//Xj75frbh5sfX99n+/Mngn4Uqw9QY87SrePhBGEdM/OdipYoo8MbnKqiBbIjuyL1/ii1&#10;3CXC8fL80dnDMVbk6JrgWExmGb0aYDJciJCeSm9JNhoKKTLddmnpncNH9XEowbbPIA2JvxJysnGk&#10;b+jj2XSGFRgOqcLhQNMGJAquLe2BN1pcamNyBsR2szSRbFkelLIODf0VlousGHRDXHHlMFZ3kokn&#10;TpC0D6igw59DcwtWCkqMxI+WrRKZmDanRKIWxqEkWfFB42xtvNgX6cs9DkUR7TDAeer+PJfs3592&#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tpOTP2AAAAAoBAAAPAAAAAAAAAAEAIAAAACIAAABk&#10;cnMvZG93bnJldi54bWxQSwECFAAUAAAACACHTuJAqV+65g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10L医用氧 </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3</w:t>
      </w:r>
      <w:r>
        <w:rPr>
          <w:rStyle w:val="42"/>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3</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3</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12C1214C">
      <w:pPr>
        <w:pStyle w:val="35"/>
        <w:spacing w:before="30" w:beforeAutospacing="0" w:after="30" w:afterAutospacing="0" w:line="0" w:lineRule="atLeast"/>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s">
            <w:drawing>
              <wp:anchor distT="0" distB="0" distL="114300" distR="114300" simplePos="0" relativeHeight="251669504" behindDoc="0" locked="0" layoutInCell="1" allowOverlap="1">
                <wp:simplePos x="0" y="0"/>
                <wp:positionH relativeFrom="column">
                  <wp:posOffset>5303520</wp:posOffset>
                </wp:positionH>
                <wp:positionV relativeFrom="paragraph">
                  <wp:posOffset>43815</wp:posOffset>
                </wp:positionV>
                <wp:extent cx="718185" cy="97790"/>
                <wp:effectExtent l="635" t="4445" r="5080" b="12065"/>
                <wp:wrapNone/>
                <wp:docPr id="15" name="直接箭头连接符 15"/>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17.6pt;margin-top:3.45pt;height:7.7pt;width:56.55pt;z-index:251669504;mso-width-relative:page;mso-height-relative:page;" filled="f" stroked="t" coordsize="21600,21600" o:gfxdata="UEsDBAoAAAAAAIdO4kAAAAAAAAAAAAAAAAAEAAAAZHJzL1BLAwQUAAAACACHTuJAMo2zq9cAAAAI&#10;AQAADwAAAGRycy9kb3ducmV2LnhtbE2PQU+DQBSE7yb+h80z8WaXQkWKPHow0XgwJK32vmVfAWXf&#10;IruF9t+7nvQ4mcnMN8XmbHox0eg6ywjLRQSCuLa64wbh4/35LgPhvGKtesuEcCEHm/L6qlC5tjNv&#10;adr5RoQSdrlCaL0fcild3ZJRbmEH4uAd7WiUD3JspB7VHMpNL+MoSqVRHYeFVg301FL9tTsZhG9+&#10;uOxXcso+q8qnL69vDVM1I97eLKNHEJ7O/i8Mv/gBHcrAdLAn1k70CFlyH4coQroGEfz1KktAHBDi&#10;OAFZFvL/gfIHUEsDBBQAAAAIAIdO4kBs0tmOBwIAAPs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AJ5xR4pjF&#10;G799d/P97cfb6y/fPtz8+Po+x58/EcyjWH2AGmtWbhOPKwibmJnvVbREGR3eIFbRAtmRfZH6cJJa&#10;7hPhuDmbzCdz7MgxdT6bnZebqAaUjBYipKfSW5KDhkKKTLddWnnn8E59HDqw3TNIOAcW/irIxcaR&#10;HmHPprkBQ48q9AaGNiBPcG2ZDrzR4lIbkysgttuViWTHsk/Kl9ki7l/HcpM1g244V1KDgzrJxBMn&#10;SDoEFNDhw6F5BCsFJUbiO8sRArI6MW3ucxJbG4cTZMEHiXO09eJQlC/76Iky49G/2XR/rkv17z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yjbOr1wAAAAgBAAAPAAAAAAAAAAEAIAAAACIAAABk&#10;cnMvZG93bnJldi54bWxQSwECFAAUAAAACACHTuJAbNLZjgcCAAD7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2576" behindDoc="0" locked="0" layoutInCell="1" allowOverlap="1">
                <wp:simplePos x="0" y="0"/>
                <wp:positionH relativeFrom="column">
                  <wp:posOffset>4391660</wp:posOffset>
                </wp:positionH>
                <wp:positionV relativeFrom="paragraph">
                  <wp:posOffset>231775</wp:posOffset>
                </wp:positionV>
                <wp:extent cx="876300" cy="120015"/>
                <wp:effectExtent l="635" t="4445" r="18415" b="8890"/>
                <wp:wrapNone/>
                <wp:docPr id="21" name="直接箭头连接符 21"/>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45.8pt;margin-top:18.25pt;height:9.45pt;width:69pt;z-index:251672576;mso-width-relative:page;mso-height-relative:page;" filled="f" stroked="t" coordsize="21600,21600" o:gfxdata="UEsDBAoAAAAAAIdO4kAAAAAAAAAAAAAAAAAEAAAAZHJzL1BLAwQUAAAACACHTuJAMiNYf9gAAAAJ&#10;AQAADwAAAGRycy9kb3ducmV2LnhtbE2PwU6DQBCG7ya+w2ZMvNmFWlaKDD2YaDwYklZ738IUUHYW&#10;2S20b+960uPMfPnn+/PN2fRiotF1lhHiRQSCuLJ1xw3Cx/vzXQrCec217i0TwoUcbIrrq1xntZ15&#10;S9PONyKEsMs0Quv9kEnpqpaMdgs7EIfb0Y5G+zCOjaxHPYdw08tlFClpdMfhQ6sHemqp+tqdDMI3&#10;P1z2Kzmln2Xp1cvrW8NUzoi3N3H0CMLT2f/B8Ksf1KEITgd74tqJHkGtYxVQhHuVgAhAulyHxQEh&#10;SVYgi1z+b1D8AFBLAwQUAAAACACHTuJAy/5AKgcCAAD8AwAADgAAAGRycy9lMm9Eb2MueG1srVO9&#10;jhMxEO6ReAfLPdkkKMexyuaKhKNBEImf3vHPriX/yePLJi/BCyBRARVHdT1PA8djMPaGAEeTAhfW&#10;2DPzzXyfx/OLnTVkKyNo7xo6GY0pkY57oV3b0NevLh+cUwKJOcGMd7Khewn0YnH/3rwPtZz6zhsh&#10;I0EQB3UfGtqlFOqqAt5Jy2Dkg3ToVD5alvAY20pE1iO6NdV0PD6reh9FiJ5LALxdDU56QIynAHql&#10;NJcrz6+sdGlAjdKwhJSg0wHoonSrlOTphVIgEzENRaap7FgE7U3eq8Wc1W1kodP80AI7pYU7nCzT&#10;DoseoVYsMXIV9T9QVvPowas04t5WA5GiCLKYjO9o87JjQRYuKDWEo+jw/2D58+06Ei0aOp1Q4pjF&#10;F799d/P97cfbL9ffPtz8+Po+258/EfSjWH2AGnOWbh0PJwjrmJnvVLREGR3e4FQVLZAd2RWp90ep&#10;5S4Rjpfnj84ejvEROLomOBaTWUavBpgMFyKkp9Jbko2GQopMt11aeufwUX0cSrDtM0hD4q+EnGwc&#10;6Rv6eDadYQWGQ6pwONC0AYmCa0t74I0Wl9qYnAGx3SxNJFuWB6WsQ0N/heUiKwbdEFdcOYzVnWTi&#10;iRMk7QMq6PDn0NyClYISI/GjZatEJqbNKZGohXEoSVZ80DhbGy/2Rfpyj0NRRDsMcJ66P88l+/en&#10;Xfw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iNYf9gAAAAJAQAADwAAAAAAAAABACAAAAAiAAAA&#10;ZHJzL2Rvd25yZXYueG1sUEsBAhQAFAAAAAgAh07iQMv+QCoHAgAA/AMAAA4AAAAAAAAAAQAgAAAA&#10;Jw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84864" behindDoc="0" locked="0" layoutInCell="1" allowOverlap="1">
                <wp:simplePos x="0" y="0"/>
                <wp:positionH relativeFrom="column">
                  <wp:posOffset>3011805</wp:posOffset>
                </wp:positionH>
                <wp:positionV relativeFrom="paragraph">
                  <wp:posOffset>252730</wp:posOffset>
                </wp:positionV>
                <wp:extent cx="816610" cy="103505"/>
                <wp:effectExtent l="635" t="4445" r="1905" b="6350"/>
                <wp:wrapNone/>
                <wp:docPr id="33" name="直接箭头连接符 33"/>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7.15pt;margin-top:19.9pt;height:8.15pt;width:64.3pt;z-index:251684864;mso-width-relative:page;mso-height-relative:page;" filled="f" stroked="t" coordsize="21600,21600" o:gfxdata="UEsDBAoAAAAAAIdO4kAAAAAAAAAAAAAAAAAEAAAAZHJzL1BLAwQUAAAACACHTuJA20A/MNgAAAAJ&#10;AQAADwAAAGRycy9kb3ducmV2LnhtbE2PwU7DMBBE70j8g7VI3KidNqRtiNMDEogDikSBuxsvSSBe&#10;h9hN2r9nOcFxtU8zb4rdyfViwjF0njQkCwUCqfa2o0bD2+vDzQZEiIas6T2hhjMG2JWXF4XJrZ/p&#10;Bad9bASHUMiNhjbGIZcy1C06ExZ+QOLfhx+diXyOjbSjmTnc9XKpVCad6YgbWjPgfYv11/7oNHzT&#10;+vyeymnzWVUxe3x6bgirWevrq0TdgYh4in8w/OqzOpTsdPBHskH0GtJ1umJUw2rLExjI1HIL4qDh&#10;NktAloX8v6D8AVBLAwQUAAAACACHTuJA9d3R0wgCAAD8AwAADgAAAGRycy9lMm9Eb2MueG1srVO9&#10;jhMxEO6ReAfLPdlNokTHKpsrEo4GQSR+esf27lrynzy+bPISvAASFVDBVdfzNHA8BmNvCHA0KXBh&#10;jT0z38z3eby43BtNdjKAcram41FJibTcCWXbmr5+dfXoghKIzAqmnZU1PUigl8uHDxa9r+TEdU4L&#10;GQiCWKh6X9MuRl8VBfBOGgYj56VFZ+OCYRGPoS1EYD2iG11MynJe9C4IHxyXAHi7Hpz0iBjOAXRN&#10;o7hcO35tpI0DapCaRaQEnfJAl7nbppE8vmgakJHomiLTmHcsgvY27cVywao2MN8pfmyBndPCPU6G&#10;KYtFT1BrFhm5DuofKKN4cOCaOOLOFAORrAiyGJf3tHnZMS8zF5Qa/El0+H+w/PluE4gSNZ1OKbHM&#10;4Ivfvbv9/vbj3c2Xbx9uf3x9n+zPnwj6UazeQ4U5K7sJxxP4TUjM900wpNHKv8GpylogO7LPUh9O&#10;Ust9JBwvL8bz+RgfgaNrXE5n5SyhFwNMgvMB4lPpDElGTSEGptourpy1+KguDCXY7hnEIfFXQkrW&#10;lvQ1fTybzLACwyFtcDjQNB6Jgm1ze+C0EldK65QBod2udCA7lgYlr2NDf4WlImsG3RCXXSmMVZ1k&#10;4okVJB48Kmjx59DUgpGCEi3xoyUrR0am9DmRqIW2KElSfNA4WVsnDln6fI9DkUU7DnCauj/POfv3&#10;p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tAPzDYAAAACQEAAA8AAAAAAAAAAQAgAAAAIgAA&#10;AGRycy9kb3ducmV2LnhtbFBLAQIUABQAAAAIAIdO4kD13dHTCAIAAPwDAAAOAAAAAAAAAAEAIAAA&#10;ACc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81792" behindDoc="0" locked="0" layoutInCell="1" allowOverlap="1">
                <wp:simplePos x="0" y="0"/>
                <wp:positionH relativeFrom="column">
                  <wp:posOffset>1972310</wp:posOffset>
                </wp:positionH>
                <wp:positionV relativeFrom="paragraph">
                  <wp:posOffset>260985</wp:posOffset>
                </wp:positionV>
                <wp:extent cx="816610" cy="76200"/>
                <wp:effectExtent l="635" t="4445" r="1905" b="14605"/>
                <wp:wrapNone/>
                <wp:docPr id="30" name="直接箭头连接符 30"/>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5.3pt;margin-top:20.55pt;height:6pt;width:64.3pt;z-index:251681792;mso-width-relative:page;mso-height-relative:page;" filled="f" stroked="t" coordsize="21600,21600" o:gfxdata="UEsDBAoAAAAAAIdO4kAAAAAAAAAAAAAAAAAEAAAAZHJzL1BLAwQUAAAACACHTuJAnwes6NcAAAAJ&#10;AQAADwAAAGRycy9kb3ducmV2LnhtbE2PQU+EMBCF7yb+h2ZMvLmlC+KKDHsw0XgwJK5679IRUDpF&#10;2oXdf2896XHyvrz3Tbk92kHMNPneMYJaJSCIG2d6bhHeXh+uNiB80Gz04JgQTuRhW52flbowbuEX&#10;mnehFbGEfaERuhDGQkrfdGS1X7mROGYfbrI6xHNqpZn0EsvtINdJkkure44LnR7pvqPma3ewCN98&#10;c3rP5Lz5rOuQPz49t0z1gnh5oZI7EIGO4Q+GX/2oDlV02rsDGy8GhFQleUQRMqVARCBLb9cg9gjX&#10;qQJZlfL/B9UPUEsDBBQAAAAIAIdO4kDCm/ILBQIAAPsDAAAOAAAAZHJzL2Uyb0RvYy54bWytU72O&#10;EzEQ7pF4B8s92STowrHK5oqEo0EQiZ/e8c+uJf/J48smL8ELIFEBFUd1PU8Dx2Mw9oYAR5MCF9bY&#10;M/PNfJ/H84udNWQrI2jvGjoZjSmRjnuhXdvQ168uH5xTAok5wYx3sqF7CfRicf/evA+1nPrOGyEj&#10;QRAHdR8a2qUU6qoC3knLYOSDdOhUPlqW8BjbSkTWI7o11XQ8nlW9jyJEzyUA3q4GJz0gxlMAvVKa&#10;y5XnV1a6NKBGaVhCStDpAHRRulVK8vRCKZCJmIYi01R2LIL2Ju/VYs7qNrLQaX5ogZ3Swh1OlmmH&#10;RY9QK5YYuYr6HyirefTgVRpxb6uBSFEEWUzGd7R52bEgCxeUGsJRdPh/sPz5dh2JFg19iJI4ZvHF&#10;b9/dfH/78fbL9bcPNz++vs/2508E/ShWH6DGnKVbx8MJwjpm5jsVLVFGhzc4VUULZEd2Rer9UWq5&#10;S4Tj5flkNptgRY6uRzOciwxeDSgZLURIT6W3JBsNhRSZbru09M7hm/o4VGDbZ5CGxF8JOdk40jf0&#10;8dn0DAswnFGFs4GmDcgTXFu6A2+0uNTG5AyI7WZpItmyPCdlHRr6KywXWTHohrjiymGs7iQTT5wg&#10;aR9QQIcfh+YWrBSUGIn/LFslMjFtTolELYxDSbLgg8TZ2nixL8qXe5yJItphfvPQ/Xku2b//7O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nwes6NcAAAAJAQAADwAAAAAAAAABACAAAAAiAAAAZHJz&#10;L2Rvd25yZXYueG1sUEsBAhQAFAAAAAgAh07iQMKb8gsFAgAA+w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8720" behindDoc="0" locked="0" layoutInCell="1" allowOverlap="1">
                <wp:simplePos x="0" y="0"/>
                <wp:positionH relativeFrom="column">
                  <wp:posOffset>1443355</wp:posOffset>
                </wp:positionH>
                <wp:positionV relativeFrom="paragraph">
                  <wp:posOffset>440690</wp:posOffset>
                </wp:positionV>
                <wp:extent cx="364490" cy="97790"/>
                <wp:effectExtent l="1270" t="4445" r="15240" b="12065"/>
                <wp:wrapNone/>
                <wp:docPr id="27" name="直接箭头连接符 27"/>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13.65pt;margin-top:34.7pt;height:7.7pt;width:28.7pt;z-index:251678720;mso-width-relative:page;mso-height-relative:page;" filled="f" stroked="t" coordsize="21600,21600" o:gfxdata="UEsDBAoAAAAAAIdO4kAAAAAAAAAAAAAAAAAEAAAAZHJzL1BLAwQUAAAACACHTuJAXLCh/tcAAAAJ&#10;AQAADwAAAGRycy9kb3ducmV2LnhtbE2PQU+DQBCF7yb+h82YeLNLkcBKGXow0XgwJFa9b2EKKDuL&#10;7Bbaf+96ssfJ+/LeN8X2ZAYx0+R6ywjrVQSCuLZNzy3Cx/vTnQLhvOZGD5YJ4UwOtuX1VaHzxi78&#10;RvPOtyKUsMs1Quf9mEvp6o6Mdis7EofsYCejfTinVjaTXkK5GWQcRak0uuew0OmRHjuqv3dHg/DD&#10;2fkzkbP6qiqfPr+8tkzVgnh7s442IDyd/D8Mf/pBHcrgtLdHbpwYEOI4uw8oQvqQgAhArJIMxB5B&#10;JQpkWcjLD8pfUEsDBBQAAAAIAIdO4kD1QF0MBgIAAPsDAAAOAAAAZHJzL2Uyb0RvYy54bWytU72O&#10;EzEQ7pF4B8s92Vy4u3CrbK5IOBoEkfjpHf/sWvKfPL5s8hK8ABIVUAHV9TwNHI/B2BsCHE0KXFhj&#10;z8w3830ezy631pCNjKC9a+jJaEyJdNwL7dqGvnp59eARJZCYE8x4Jxu6k0Av5/fvzfpQy4nvvBEy&#10;EgRxUPehoV1Koa4q4J20DEY+SIdO5aNlCY+xrURkPaJbU03G4/Oq91GE6LkEwNvl4KR7xHgMoFdK&#10;c7n0/NpKlwbUKA1LSAk6HYDOS7dKSZ6eKwUyEdNQZJrKjkXQXue9ms9Y3UYWOs33LbBjWrjDyTLt&#10;sOgBaskSI9dR/wNlNY8evEoj7m01ECmKIIuT8R1tXnQsyMIFpYZwEB3+Hyx/tllFokVDJ1NKHLP4&#10;4rdvb76/+XD75fO39zc/vr7L9qePBP0oVh+gxpyFW8X9CcIqZuZbFS1RRofXOFVFC2RHtkXq3UFq&#10;uU2E4+XD89PTC3wEjq6L6RRNhKsGlIwWIqQn0luSjYZCiky3XVp45/BNfRwqsM1TSEPir4ScbBzp&#10;EfZscoYFGM6owtlA0wbkCa4t3YE3WlxpY3IGxHa9MJFsWJ6TsvYN/RWWiywZdENcceUwVneSicdO&#10;kLQLKKDDj0NzC1YKSozEf5atEpmYNsdEohbGoSRZ8EHibK292BXlyz3ORBFtP7956P48l+zff3b+&#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Fywof7XAAAACQEAAA8AAAAAAAAAAQAgAAAAIgAAAGRy&#10;cy9kb3ducmV2LnhtbFBLAQIUABQAAAAIAIdO4kD1QF0MBgIAAPs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5648" behindDoc="0" locked="0" layoutInCell="1" allowOverlap="1">
                <wp:simplePos x="0" y="0"/>
                <wp:positionH relativeFrom="column">
                  <wp:posOffset>358140</wp:posOffset>
                </wp:positionH>
                <wp:positionV relativeFrom="paragraph">
                  <wp:posOffset>427990</wp:posOffset>
                </wp:positionV>
                <wp:extent cx="565785" cy="130810"/>
                <wp:effectExtent l="1270" t="4445" r="4445" b="17145"/>
                <wp:wrapNone/>
                <wp:docPr id="24" name="直接箭头连接符 24"/>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2pt;margin-top:33.7pt;height:10.3pt;width:44.55pt;z-index:251675648;mso-width-relative:page;mso-height-relative:page;" filled="f" stroked="t" coordsize="21600,21600" o:gfxdata="UEsDBAoAAAAAAIdO4kAAAAAAAAAAAAAAAAAEAAAAZHJzL1BLAwQUAAAACACHTuJAcIQavdYAAAAI&#10;AQAADwAAAGRycy9kb3ducmV2LnhtbE2PwU7DMBBE70j8g7VI3KhdlKRRyKYHJBAHFIkW7m68JIF4&#10;HWI3af8e9wSn0WpGM2/L7ckOYqbJ944R1isFgrhxpucW4X3/dJeD8EGz0YNjQjiTh211fVXqwriF&#10;32jehVbEEvaFRuhCGAspfdOR1X7lRuLofbrJ6hDPqZVm0ksst4O8VyqTVvccFzo90mNHzffuaBF+&#10;eHP+SOScf9V1yJ5fXlumekG8vVmrBxCBTuEvDBf8iA5VZDq4IxsvBoQ0S2ISIdtEvfhJmoI4IOS5&#10;AlmV8v8D1S9QSwMEFAAAAAgAh07iQCM4THAKAgAA/AMAAA4AAABkcnMvZTJvRG9jLnhtbK1TS44T&#10;MRDdI3EHy3vSSSBDaKUzi4Rhg2AkPnvHn25L/snlSSeX4AJIrIAVsJo9p4HhGJTdIcCwyYJetMou&#10;16t6z8+L8501ZCsjaO8aOhmNKZGOe6Fd29BXLy/uzSmBxJxgxjvZ0L0Eer68e2fRh1pOfeeNkJEg&#10;iIO6Dw3tUgp1VQHvpGUw8kE6TCofLUu4jG0lIusR3ZpqOh6fVb2PIkTPJQDurockPSDGUwC9UprL&#10;tedXVro0oEZpWEJK0OkAdFmmVUry9FwpkImYhiLTVP7YBONN/lfLBavbyEKn+WEEdsoItzhZph02&#10;PUKtWWLkKup/oKzm0YNXacS9rQYiRRFkMRnf0uZFx4IsXFBqCEfR4f/B8mfby0i0aOj0ASWOWbzx&#10;m7fX3998uPny+dv76x9f3+X400eCeRSrD1BjzcpdxsMKwmXMzHcqWqKMDq/RVUULZEd2Rer9UWq5&#10;S4Tj5uxs9nA+o4RjanJ/PJ+Uq6gGmAwXIqQn0luSg4ZCiky3XVp55/BSfRxasO1TSDgIFv4qyMXG&#10;kb6hj2bT3IGhSRWaA0MbkCi4towH3mhxoY3JFRDbzcpEsmXZKOXLdBH3r2O5yZpBN5wrqcFCnWTi&#10;sRMk7QMq6PDl0DyClYISI/Gh5QgBWZ2YNqecxNbG4QRZ8UHjHG282Bfpyz6aosx4MHB23Z/rUv37&#10;0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CEGr3WAAAACAEAAA8AAAAAAAAAAQAgAAAAIgAA&#10;AGRycy9kb3ducmV2LnhtbFBLAQIUABQAAAAIAIdO4kAjOExwCgIAAPw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4L医用氧（组合瓶） </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4</w:t>
      </w:r>
      <w:r>
        <w:rPr>
          <w:rStyle w:val="42"/>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4</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4</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58F2F5A3">
      <w:pPr>
        <w:pStyle w:val="35"/>
        <w:spacing w:before="30" w:beforeAutospacing="0" w:after="30" w:afterAutospacing="0" w:line="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w:t>
      </w:r>
    </w:p>
    <w:p w14:paraId="35A47588">
      <w:pPr>
        <w:pStyle w:val="35"/>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264BE07D">
      <w:pPr>
        <w:pStyle w:val="35"/>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014E8633">
      <w:pPr>
        <w:pStyle w:val="35"/>
        <w:spacing w:before="30" w:beforeAutospacing="0" w:after="3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5F317AE5">
      <w:pPr>
        <w:pStyle w:val="35"/>
        <w:spacing w:before="30" w:beforeAutospacing="0" w:after="30" w:afterAutospacing="0" w:line="0" w:lineRule="atLeast"/>
        <w:rPr>
          <w:rFonts w:hint="eastAsia" w:ascii="宋体" w:hAnsi="宋体" w:eastAsia="宋体" w:cs="宋体"/>
          <w:color w:val="auto"/>
          <w:sz w:val="24"/>
          <w:szCs w:val="24"/>
          <w:highlight w:val="none"/>
        </w:rPr>
      </w:pPr>
    </w:p>
    <w:p w14:paraId="60FFF745">
      <w:pPr>
        <w:pStyle w:val="35"/>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6D171764">
      <w:pPr>
        <w:pStyle w:val="35"/>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976713F">
      <w:pPr>
        <w:pStyle w:val="35"/>
        <w:spacing w:before="30" w:beforeAutospacing="0" w:after="30" w:afterAutospacing="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65D7E39C">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152BD88B">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4DD07CE0">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1D0765">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782593DA">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A3F94BA">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390CB382">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sectPr>
          <w:pgSz w:w="11906" w:h="16838"/>
          <w:pgMar w:top="771" w:right="720" w:bottom="527" w:left="720" w:header="231" w:footer="200" w:gutter="0"/>
          <w:pgNumType w:fmt="decimal"/>
          <w:cols w:space="720" w:num="1"/>
          <w:titlePg/>
          <w:docGrid w:linePitch="360" w:charSpace="0"/>
        </w:sectPr>
      </w:pPr>
      <w:r>
        <w:rPr>
          <w:rFonts w:hint="eastAsia" w:ascii="宋体" w:hAnsi="宋体" w:eastAsia="宋体" w:cs="宋体"/>
          <w:color w:val="auto"/>
          <w:sz w:val="24"/>
          <w:szCs w:val="24"/>
          <w:highlight w:val="none"/>
          <w:shd w:val="clear" w:color="auto" w:fill="FFFFFF"/>
        </w:rPr>
        <w:t>6.用斜线划除的地方无需填写。</w:t>
      </w:r>
    </w:p>
    <w:p w14:paraId="365E1811">
      <w:pPr>
        <w:spacing w:line="440" w:lineRule="exact"/>
        <w:ind w:firstLine="562"/>
        <w:jc w:val="center"/>
        <w:outlineLvl w:val="1"/>
        <w:rPr>
          <w:rFonts w:hint="eastAsia" w:ascii="宋体" w:hAnsi="宋体" w:eastAsia="宋体" w:cs="宋体"/>
          <w:b/>
          <w:bCs/>
          <w:color w:val="auto"/>
          <w:sz w:val="28"/>
          <w:szCs w:val="28"/>
          <w:highlight w:val="none"/>
          <w:lang w:val="en-US" w:eastAsia="zh-CN"/>
        </w:rPr>
      </w:pPr>
      <w:bookmarkStart w:id="410" w:name="_Toc8749"/>
      <w:r>
        <w:rPr>
          <w:rFonts w:hint="eastAsia" w:ascii="宋体" w:hAnsi="宋体" w:eastAsia="宋体" w:cs="宋体"/>
          <w:b/>
          <w:bCs/>
          <w:color w:val="auto"/>
          <w:sz w:val="28"/>
          <w:szCs w:val="28"/>
          <w:highlight w:val="none"/>
          <w:lang w:val="en-US" w:eastAsia="zh-CN"/>
        </w:rPr>
        <w:t>附件18 质疑函范本</w:t>
      </w:r>
      <w:bookmarkEnd w:id="410"/>
    </w:p>
    <w:p w14:paraId="48586FC4">
      <w:pPr>
        <w:spacing w:line="440" w:lineRule="exact"/>
        <w:jc w:val="both"/>
        <w:outlineLvl w:val="1"/>
        <w:rPr>
          <w:rFonts w:hint="eastAsia" w:ascii="宋体" w:hAnsi="宋体" w:eastAsia="宋体" w:cs="宋体"/>
          <w:b/>
          <w:bCs/>
          <w:color w:val="auto"/>
          <w:sz w:val="32"/>
          <w:szCs w:val="32"/>
          <w:highlight w:val="none"/>
          <w:lang w:val="en-US" w:eastAsia="zh-CN"/>
        </w:rPr>
      </w:pPr>
    </w:p>
    <w:p w14:paraId="5059785E">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质疑函范本</w:t>
      </w:r>
    </w:p>
    <w:p w14:paraId="30391991">
      <w:pPr>
        <w:adjustRightInd w:val="0"/>
        <w:snapToGrid w:val="0"/>
        <w:spacing w:before="312" w:beforeLines="10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2AB69306">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dotted"/>
        </w:rPr>
        <w:t xml:space="preserve">                                        </w:t>
      </w:r>
    </w:p>
    <w:p w14:paraId="07F8DC26">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0FE8806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1394C873">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14:paraId="382D4A3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5494AAD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5EB498C1">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5BAF7B0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dotted"/>
        </w:rPr>
        <w:t xml:space="preserve">                                      </w:t>
      </w:r>
    </w:p>
    <w:p w14:paraId="2C23BBB1">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118968DA">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14:paraId="4854B60B">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14:paraId="55D35652">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771E027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dotted"/>
        </w:rPr>
        <w:t xml:space="preserve">                                         </w:t>
      </w:r>
    </w:p>
    <w:p w14:paraId="427ADAE9">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14:paraId="218D505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 xml:space="preserve">                                                       </w:t>
      </w:r>
    </w:p>
    <w:p w14:paraId="3542DC6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14:paraId="6E891B8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06C3FA6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质疑事项2</w:t>
      </w:r>
    </w:p>
    <w:p w14:paraId="5143B05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4BCEBAC">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6FDA5B6D">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14:paraId="38711DC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5978C7D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75AF5948">
      <w:pPr>
        <w:adjustRightInd w:val="0"/>
        <w:snapToGrid w:val="0"/>
        <w:spacing w:line="360" w:lineRule="auto"/>
        <w:rPr>
          <w:rFonts w:hint="eastAsia" w:ascii="宋体" w:hAnsi="宋体" w:eastAsia="宋体" w:cs="宋体"/>
          <w:color w:val="auto"/>
          <w:sz w:val="24"/>
          <w:szCs w:val="24"/>
          <w:highlight w:val="none"/>
        </w:rPr>
      </w:pPr>
    </w:p>
    <w:p w14:paraId="60E45382">
      <w:pPr>
        <w:adjustRightInd w:val="0"/>
        <w:snapToGrid w:val="0"/>
        <w:spacing w:line="360" w:lineRule="auto"/>
        <w:rPr>
          <w:rFonts w:hint="eastAsia" w:ascii="宋体" w:hAnsi="宋体" w:eastAsia="宋体" w:cs="宋体"/>
          <w:color w:val="auto"/>
          <w:sz w:val="24"/>
          <w:szCs w:val="24"/>
          <w:highlight w:val="none"/>
        </w:rPr>
      </w:pPr>
    </w:p>
    <w:p w14:paraId="1B983A6E">
      <w:pPr>
        <w:jc w:val="center"/>
        <w:rPr>
          <w:rFonts w:hint="eastAsia" w:ascii="宋体" w:hAnsi="宋体" w:eastAsia="宋体" w:cs="宋体"/>
          <w:b/>
          <w:bCs/>
          <w:color w:val="auto"/>
          <w:sz w:val="24"/>
          <w:szCs w:val="24"/>
          <w:highlight w:val="none"/>
        </w:rPr>
      </w:pPr>
    </w:p>
    <w:p w14:paraId="223E1A74">
      <w:pPr>
        <w:jc w:val="center"/>
        <w:rPr>
          <w:rFonts w:hint="eastAsia" w:ascii="宋体" w:hAnsi="宋体" w:eastAsia="宋体" w:cs="宋体"/>
          <w:b/>
          <w:bCs/>
          <w:color w:val="auto"/>
          <w:sz w:val="24"/>
          <w:szCs w:val="24"/>
          <w:highlight w:val="none"/>
        </w:rPr>
      </w:pPr>
    </w:p>
    <w:p w14:paraId="701F74C5">
      <w:pPr>
        <w:jc w:val="center"/>
        <w:rPr>
          <w:rFonts w:hint="eastAsia" w:ascii="宋体" w:hAnsi="宋体" w:eastAsia="宋体" w:cs="宋体"/>
          <w:b/>
          <w:bCs/>
          <w:color w:val="auto"/>
          <w:sz w:val="24"/>
          <w:szCs w:val="24"/>
          <w:highlight w:val="none"/>
        </w:rPr>
      </w:pPr>
    </w:p>
    <w:p w14:paraId="330487B1">
      <w:pPr>
        <w:jc w:val="center"/>
        <w:rPr>
          <w:rFonts w:hint="eastAsia" w:ascii="宋体" w:hAnsi="宋体" w:eastAsia="宋体" w:cs="宋体"/>
          <w:b/>
          <w:bCs/>
          <w:color w:val="auto"/>
          <w:sz w:val="24"/>
          <w:szCs w:val="24"/>
          <w:highlight w:val="none"/>
        </w:rPr>
      </w:pPr>
    </w:p>
    <w:p w14:paraId="70F48CB2">
      <w:pPr>
        <w:jc w:val="center"/>
        <w:rPr>
          <w:rFonts w:hint="eastAsia" w:ascii="宋体" w:hAnsi="宋体" w:eastAsia="宋体" w:cs="宋体"/>
          <w:b/>
          <w:bCs/>
          <w:color w:val="auto"/>
          <w:sz w:val="24"/>
          <w:szCs w:val="24"/>
          <w:highlight w:val="none"/>
        </w:rPr>
      </w:pPr>
    </w:p>
    <w:p w14:paraId="426C7546">
      <w:pPr>
        <w:jc w:val="center"/>
        <w:rPr>
          <w:rFonts w:hint="eastAsia" w:ascii="宋体" w:hAnsi="宋体" w:eastAsia="宋体" w:cs="宋体"/>
          <w:b/>
          <w:bCs/>
          <w:color w:val="auto"/>
          <w:sz w:val="24"/>
          <w:szCs w:val="24"/>
          <w:highlight w:val="none"/>
        </w:rPr>
      </w:pPr>
    </w:p>
    <w:p w14:paraId="1344FADB">
      <w:pPr>
        <w:jc w:val="center"/>
        <w:rPr>
          <w:rFonts w:hint="eastAsia" w:ascii="宋体" w:hAnsi="宋体" w:eastAsia="宋体" w:cs="宋体"/>
          <w:b/>
          <w:bCs/>
          <w:color w:val="auto"/>
          <w:sz w:val="24"/>
          <w:szCs w:val="24"/>
          <w:highlight w:val="none"/>
        </w:rPr>
      </w:pPr>
    </w:p>
    <w:p w14:paraId="703FD5C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p>
    <w:p w14:paraId="665971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4AF379A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14464E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highlight w:val="none"/>
        </w:rPr>
        <w:t>供应商签署的授权委托书。授权委托书应载明代理人的姓名或者名称、代理事项、具体权限、期限和相关事项。</w:t>
      </w:r>
    </w:p>
    <w:p w14:paraId="08E8F8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3FB8220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13936B7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6C030A4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4085761">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0CF305E2">
      <w:pPr>
        <w:spacing w:line="400" w:lineRule="exact"/>
        <w:rPr>
          <w:rFonts w:hint="eastAsia" w:ascii="宋体" w:hAnsi="宋体" w:eastAsia="宋体" w:cs="宋体"/>
          <w:color w:val="auto"/>
          <w:sz w:val="24"/>
          <w:szCs w:val="24"/>
          <w:highlight w:val="none"/>
        </w:rPr>
      </w:pPr>
    </w:p>
    <w:bookmarkEnd w:id="406"/>
    <w:bookmarkEnd w:id="407"/>
    <w:bookmarkEnd w:id="408"/>
    <w:p w14:paraId="35DF90D8">
      <w:pPr>
        <w:spacing w:line="400" w:lineRule="exact"/>
        <w:ind w:firstLine="480" w:firstLineChars="200"/>
        <w:rPr>
          <w:rFonts w:hint="eastAsia" w:ascii="宋体" w:hAnsi="宋体" w:eastAsia="宋体" w:cs="宋体"/>
          <w:color w:val="auto"/>
          <w:sz w:val="24"/>
          <w:szCs w:val="24"/>
          <w:highlight w:val="none"/>
        </w:rPr>
      </w:pPr>
    </w:p>
    <w:sectPr>
      <w:pgSz w:w="11906" w:h="16838"/>
      <w:pgMar w:top="771" w:right="720" w:bottom="527" w:left="720" w:header="231" w:footer="200"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D4352"/>
  <w:p w14:paraId="6B38D43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63737">
    <w:pPr>
      <w:pStyle w:val="296"/>
      <w:framePr w:wrap="around" w:vAnchor="text" w:hAnchor="margin" w:xAlign="center" w:y="1"/>
      <w:ind w:firstLine="360"/>
      <w:rPr>
        <w:rStyle w:val="221"/>
      </w:rPr>
    </w:pPr>
    <w:r>
      <w:fldChar w:fldCharType="begin"/>
    </w:r>
    <w:r>
      <w:rPr>
        <w:rStyle w:val="221"/>
      </w:rPr>
      <w:instrText xml:space="preserve">PAGE  </w:instrText>
    </w:r>
    <w:r>
      <w:fldChar w:fldCharType="separate"/>
    </w:r>
    <w:r>
      <w:rPr>
        <w:rStyle w:val="221"/>
      </w:rPr>
      <w:t>1</w:t>
    </w:r>
    <w:r>
      <w:fldChar w:fldCharType="end"/>
    </w:r>
  </w:p>
  <w:p w14:paraId="713E23F4">
    <w:pPr>
      <w:pStyle w:val="296"/>
      <w:ind w:firstLine="360"/>
    </w:pPr>
  </w:p>
  <w:p w14:paraId="63426833"/>
  <w:p w14:paraId="65B3A3C9"/>
  <w:p w14:paraId="1270CA3D"/>
  <w:p w14:paraId="332128D7"/>
  <w:p w14:paraId="0B7F5B4A"/>
  <w:p w14:paraId="588C0229"/>
  <w:p w14:paraId="60336331"/>
  <w:p w14:paraId="70BC8EFC"/>
  <w:p w14:paraId="0A6E7441"/>
  <w:p w14:paraId="0AC074B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2E570">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9F888">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149F888">
                    <w:pPr>
                      <w:pStyle w:val="25"/>
                    </w:pPr>
                    <w:r>
                      <w:fldChar w:fldCharType="begin"/>
                    </w:r>
                    <w:r>
                      <w:instrText xml:space="preserve"> PAGE  \* MERGEFORMAT </w:instrText>
                    </w:r>
                    <w:r>
                      <w:fldChar w:fldCharType="separate"/>
                    </w:r>
                    <w:r>
                      <w:t>2</w:t>
                    </w:r>
                    <w:r>
                      <w:fldChar w:fldCharType="end"/>
                    </w:r>
                  </w:p>
                </w:txbxContent>
              </v:textbox>
            </v:shape>
          </w:pict>
        </mc:Fallback>
      </mc:AlternateContent>
    </w:r>
  </w:p>
  <w:p w14:paraId="279EC46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6B1F6">
    <w:pPr>
      <w:pStyle w:val="25"/>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910D7">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20910D7">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B61A3">
    <w:pPr>
      <w:pStyle w:val="294"/>
      <w:jc w:val="left"/>
      <w:rPr>
        <w:rFonts w:hint="eastAsia" w:eastAsia="宋体"/>
        <w:sz w:val="21"/>
        <w:szCs w:val="21"/>
        <w:lang w:eastAsia="zh-CN"/>
      </w:rPr>
    </w:pPr>
    <w:r>
      <w:rPr>
        <w:rFonts w:hint="eastAsia" w:ascii="宋体" w:hAnsi="宋体" w:cs="宋体"/>
        <w:color w:val="000000" w:themeColor="text1"/>
        <w:sz w:val="21"/>
        <w:szCs w:val="21"/>
        <w:lang w:eastAsia="zh-CN"/>
        <w14:textFill>
          <w14:solidFill>
            <w14:schemeClr w14:val="tx1"/>
          </w14:solidFill>
        </w14:textFill>
      </w:rPr>
      <w:t>苏州信达顺工程建设咨询有限公司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AEF59">
    <w:pPr>
      <w:pStyle w:val="26"/>
    </w:pPr>
    <w:r>
      <w:rPr>
        <w:rFonts w:hint="eastAsia"/>
      </w:rPr>
      <w:t>苏州信达顺工程建设咨询有限公司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6620F7"/>
    <w:multiLevelType w:val="singleLevel"/>
    <w:tmpl w:val="BE6620F7"/>
    <w:lvl w:ilvl="0" w:tentative="0">
      <w:start w:val="2"/>
      <w:numFmt w:val="decimal"/>
      <w:suff w:val="nothing"/>
      <w:lvlText w:val="%1、"/>
      <w:lvlJc w:val="left"/>
    </w:lvl>
  </w:abstractNum>
  <w:abstractNum w:abstractNumId="1">
    <w:nsid w:val="C8879AEF"/>
    <w:multiLevelType w:val="multilevel"/>
    <w:tmpl w:val="C8879AE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abstractNum w:abstractNumId="2">
    <w:nsid w:val="F4B5D9F5"/>
    <w:multiLevelType w:val="multilevel"/>
    <w:tmpl w:val="F4B5D9F5"/>
    <w:lvl w:ilvl="0" w:tentative="0">
      <w:start w:val="1"/>
      <w:numFmt w:val="decimal"/>
      <w:pStyle w:val="26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470EC97"/>
    <w:multiLevelType w:val="multilevel"/>
    <w:tmpl w:val="2470EC97"/>
    <w:lvl w:ilvl="0" w:tentative="0">
      <w:start w:val="1"/>
      <w:numFmt w:val="decimal"/>
      <w:pStyle w:val="340"/>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4D4DC07F"/>
    <w:multiLevelType w:val="multilevel"/>
    <w:tmpl w:val="4D4DC07F"/>
    <w:lvl w:ilvl="0" w:tentative="0">
      <w:start w:val="1"/>
      <w:numFmt w:val="upperLetter"/>
      <w:pStyle w:val="24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2ODQ5ZjVhOWM2ZDA2MGQ2ZjM3ZWM1NzNlYWMyOTIifQ=="/>
  </w:docVars>
  <w:rsids>
    <w:rsidRoot w:val="00547490"/>
    <w:rsid w:val="00026105"/>
    <w:rsid w:val="00043BC3"/>
    <w:rsid w:val="00045B1C"/>
    <w:rsid w:val="00060CA1"/>
    <w:rsid w:val="000712C8"/>
    <w:rsid w:val="000740A4"/>
    <w:rsid w:val="000762E2"/>
    <w:rsid w:val="000C1C36"/>
    <w:rsid w:val="000C31AE"/>
    <w:rsid w:val="000C6A05"/>
    <w:rsid w:val="000C7D4B"/>
    <w:rsid w:val="000D67AE"/>
    <w:rsid w:val="000E5D71"/>
    <w:rsid w:val="000F0E1F"/>
    <w:rsid w:val="001271F0"/>
    <w:rsid w:val="0014683F"/>
    <w:rsid w:val="001911AE"/>
    <w:rsid w:val="001B0FB3"/>
    <w:rsid w:val="001B461D"/>
    <w:rsid w:val="001E4689"/>
    <w:rsid w:val="00203A73"/>
    <w:rsid w:val="00214CF3"/>
    <w:rsid w:val="002424E1"/>
    <w:rsid w:val="00244355"/>
    <w:rsid w:val="00244B15"/>
    <w:rsid w:val="002610F9"/>
    <w:rsid w:val="00282C60"/>
    <w:rsid w:val="002A0B39"/>
    <w:rsid w:val="002A23FA"/>
    <w:rsid w:val="002C54A3"/>
    <w:rsid w:val="002F3CBA"/>
    <w:rsid w:val="002F7716"/>
    <w:rsid w:val="003057C6"/>
    <w:rsid w:val="0034153D"/>
    <w:rsid w:val="00356187"/>
    <w:rsid w:val="003723C8"/>
    <w:rsid w:val="003B6343"/>
    <w:rsid w:val="00400F30"/>
    <w:rsid w:val="004021BA"/>
    <w:rsid w:val="0042249D"/>
    <w:rsid w:val="0042712A"/>
    <w:rsid w:val="004277C9"/>
    <w:rsid w:val="004309EA"/>
    <w:rsid w:val="0045607D"/>
    <w:rsid w:val="0046726F"/>
    <w:rsid w:val="00490BEC"/>
    <w:rsid w:val="00497019"/>
    <w:rsid w:val="004B02E0"/>
    <w:rsid w:val="004D4F7B"/>
    <w:rsid w:val="00534212"/>
    <w:rsid w:val="00547490"/>
    <w:rsid w:val="00553F7A"/>
    <w:rsid w:val="005B19EF"/>
    <w:rsid w:val="005E4920"/>
    <w:rsid w:val="006262B4"/>
    <w:rsid w:val="006268A0"/>
    <w:rsid w:val="00643F57"/>
    <w:rsid w:val="006479E8"/>
    <w:rsid w:val="006560F7"/>
    <w:rsid w:val="006566F3"/>
    <w:rsid w:val="0067578B"/>
    <w:rsid w:val="006851CB"/>
    <w:rsid w:val="006B037E"/>
    <w:rsid w:val="006B3205"/>
    <w:rsid w:val="006C0522"/>
    <w:rsid w:val="006E2EE2"/>
    <w:rsid w:val="006F3B3E"/>
    <w:rsid w:val="00707A86"/>
    <w:rsid w:val="00721CC7"/>
    <w:rsid w:val="00724F93"/>
    <w:rsid w:val="00727120"/>
    <w:rsid w:val="00735A76"/>
    <w:rsid w:val="00763FC2"/>
    <w:rsid w:val="007A3911"/>
    <w:rsid w:val="007C5395"/>
    <w:rsid w:val="007C7652"/>
    <w:rsid w:val="00812DCD"/>
    <w:rsid w:val="00813728"/>
    <w:rsid w:val="00814A21"/>
    <w:rsid w:val="00820B94"/>
    <w:rsid w:val="00833208"/>
    <w:rsid w:val="0084065D"/>
    <w:rsid w:val="00860DDF"/>
    <w:rsid w:val="00895D26"/>
    <w:rsid w:val="00897223"/>
    <w:rsid w:val="008A1C1B"/>
    <w:rsid w:val="008B1418"/>
    <w:rsid w:val="008C2BE0"/>
    <w:rsid w:val="008C3BC9"/>
    <w:rsid w:val="00903AAE"/>
    <w:rsid w:val="00964D43"/>
    <w:rsid w:val="009664C3"/>
    <w:rsid w:val="0098348C"/>
    <w:rsid w:val="00986ED3"/>
    <w:rsid w:val="0098764C"/>
    <w:rsid w:val="009A741C"/>
    <w:rsid w:val="00A02E1F"/>
    <w:rsid w:val="00A073A8"/>
    <w:rsid w:val="00A140D2"/>
    <w:rsid w:val="00A252BA"/>
    <w:rsid w:val="00A35740"/>
    <w:rsid w:val="00A633BC"/>
    <w:rsid w:val="00A74427"/>
    <w:rsid w:val="00A77F95"/>
    <w:rsid w:val="00AB3D28"/>
    <w:rsid w:val="00B00B83"/>
    <w:rsid w:val="00B07017"/>
    <w:rsid w:val="00B81A59"/>
    <w:rsid w:val="00BB0F12"/>
    <w:rsid w:val="00BB4B17"/>
    <w:rsid w:val="00BD6EE9"/>
    <w:rsid w:val="00C2120A"/>
    <w:rsid w:val="00C21AAF"/>
    <w:rsid w:val="00C5663B"/>
    <w:rsid w:val="00C67289"/>
    <w:rsid w:val="00C76D2D"/>
    <w:rsid w:val="00C93FDA"/>
    <w:rsid w:val="00C9503D"/>
    <w:rsid w:val="00CB655B"/>
    <w:rsid w:val="00CB77B1"/>
    <w:rsid w:val="00CE2C5C"/>
    <w:rsid w:val="00CE69F0"/>
    <w:rsid w:val="00CE7480"/>
    <w:rsid w:val="00D109FB"/>
    <w:rsid w:val="00D33C8A"/>
    <w:rsid w:val="00D46F6A"/>
    <w:rsid w:val="00D50305"/>
    <w:rsid w:val="00D5325F"/>
    <w:rsid w:val="00D6783B"/>
    <w:rsid w:val="00D7055F"/>
    <w:rsid w:val="00D90F54"/>
    <w:rsid w:val="00D973E5"/>
    <w:rsid w:val="00DA29A0"/>
    <w:rsid w:val="00DB088D"/>
    <w:rsid w:val="00DB2436"/>
    <w:rsid w:val="00DB483A"/>
    <w:rsid w:val="00DE4ED5"/>
    <w:rsid w:val="00E12348"/>
    <w:rsid w:val="00E13A83"/>
    <w:rsid w:val="00E25962"/>
    <w:rsid w:val="00E60A9C"/>
    <w:rsid w:val="00E61A4C"/>
    <w:rsid w:val="00E740AB"/>
    <w:rsid w:val="00EB5C5C"/>
    <w:rsid w:val="00EE3AFE"/>
    <w:rsid w:val="00F249D2"/>
    <w:rsid w:val="00F437E9"/>
    <w:rsid w:val="00FA51C9"/>
    <w:rsid w:val="00FB5444"/>
    <w:rsid w:val="00FB5B48"/>
    <w:rsid w:val="00FC0496"/>
    <w:rsid w:val="00FC0BA7"/>
    <w:rsid w:val="00FF3B35"/>
    <w:rsid w:val="0129393B"/>
    <w:rsid w:val="017D4410"/>
    <w:rsid w:val="01C7267B"/>
    <w:rsid w:val="027F4D04"/>
    <w:rsid w:val="028B36A9"/>
    <w:rsid w:val="029115E0"/>
    <w:rsid w:val="02A8425B"/>
    <w:rsid w:val="02EC69E6"/>
    <w:rsid w:val="03325DCD"/>
    <w:rsid w:val="03444709"/>
    <w:rsid w:val="038F0F77"/>
    <w:rsid w:val="03960557"/>
    <w:rsid w:val="045D1075"/>
    <w:rsid w:val="04763EE5"/>
    <w:rsid w:val="04DF1A8A"/>
    <w:rsid w:val="04F76B05"/>
    <w:rsid w:val="059B1E55"/>
    <w:rsid w:val="05A43768"/>
    <w:rsid w:val="05AC54A0"/>
    <w:rsid w:val="05B021B6"/>
    <w:rsid w:val="05CF7D50"/>
    <w:rsid w:val="0660536F"/>
    <w:rsid w:val="06640499"/>
    <w:rsid w:val="06F51A39"/>
    <w:rsid w:val="07302A71"/>
    <w:rsid w:val="073C7668"/>
    <w:rsid w:val="08A315F0"/>
    <w:rsid w:val="08FB2C0B"/>
    <w:rsid w:val="09501EE8"/>
    <w:rsid w:val="09DE67B4"/>
    <w:rsid w:val="0A0D0572"/>
    <w:rsid w:val="0A1E6855"/>
    <w:rsid w:val="0A5130BA"/>
    <w:rsid w:val="0A5B00E9"/>
    <w:rsid w:val="0AB512EB"/>
    <w:rsid w:val="0B116715"/>
    <w:rsid w:val="0B146C72"/>
    <w:rsid w:val="0B305D8A"/>
    <w:rsid w:val="0B836422"/>
    <w:rsid w:val="0B9C06D5"/>
    <w:rsid w:val="0BE0700E"/>
    <w:rsid w:val="0C28640C"/>
    <w:rsid w:val="0C3C4236"/>
    <w:rsid w:val="0C3E353A"/>
    <w:rsid w:val="0CE02715"/>
    <w:rsid w:val="0D314ADA"/>
    <w:rsid w:val="0D5F3746"/>
    <w:rsid w:val="0D63594E"/>
    <w:rsid w:val="0D7511DD"/>
    <w:rsid w:val="0DA2749E"/>
    <w:rsid w:val="0DD8176C"/>
    <w:rsid w:val="0DDD7F2A"/>
    <w:rsid w:val="0E077FB7"/>
    <w:rsid w:val="0E121122"/>
    <w:rsid w:val="0E122ED0"/>
    <w:rsid w:val="0E991E58"/>
    <w:rsid w:val="0E99714E"/>
    <w:rsid w:val="0ECA1208"/>
    <w:rsid w:val="0ED6B4CD"/>
    <w:rsid w:val="0EF06E32"/>
    <w:rsid w:val="0EF71728"/>
    <w:rsid w:val="0F0202AB"/>
    <w:rsid w:val="0F0E3698"/>
    <w:rsid w:val="0F583FCC"/>
    <w:rsid w:val="0F707EAE"/>
    <w:rsid w:val="0F766A26"/>
    <w:rsid w:val="0FB32491"/>
    <w:rsid w:val="0FD673EF"/>
    <w:rsid w:val="0FE05714"/>
    <w:rsid w:val="0FFA0196"/>
    <w:rsid w:val="10031280"/>
    <w:rsid w:val="10376C1E"/>
    <w:rsid w:val="10592FB6"/>
    <w:rsid w:val="108D683E"/>
    <w:rsid w:val="10AE5CF2"/>
    <w:rsid w:val="10FE5CB9"/>
    <w:rsid w:val="11082369"/>
    <w:rsid w:val="118058B6"/>
    <w:rsid w:val="12260CF8"/>
    <w:rsid w:val="127F6AAE"/>
    <w:rsid w:val="12F42BA4"/>
    <w:rsid w:val="13174AE5"/>
    <w:rsid w:val="13321EEF"/>
    <w:rsid w:val="138F0BDD"/>
    <w:rsid w:val="141C0605"/>
    <w:rsid w:val="145C1097"/>
    <w:rsid w:val="1461426A"/>
    <w:rsid w:val="14934163"/>
    <w:rsid w:val="14EB7761"/>
    <w:rsid w:val="14F0383F"/>
    <w:rsid w:val="15351506"/>
    <w:rsid w:val="153B4985"/>
    <w:rsid w:val="15731C69"/>
    <w:rsid w:val="15915FFB"/>
    <w:rsid w:val="161D59F4"/>
    <w:rsid w:val="164C6FA7"/>
    <w:rsid w:val="169532E2"/>
    <w:rsid w:val="16BC1C2B"/>
    <w:rsid w:val="171D4643"/>
    <w:rsid w:val="17285513"/>
    <w:rsid w:val="175A372C"/>
    <w:rsid w:val="1772678E"/>
    <w:rsid w:val="179518C7"/>
    <w:rsid w:val="180C088C"/>
    <w:rsid w:val="182E69C8"/>
    <w:rsid w:val="18335F1D"/>
    <w:rsid w:val="18AA1733"/>
    <w:rsid w:val="18BD0866"/>
    <w:rsid w:val="18E35B95"/>
    <w:rsid w:val="18E67433"/>
    <w:rsid w:val="19314B52"/>
    <w:rsid w:val="193E188A"/>
    <w:rsid w:val="19E33973"/>
    <w:rsid w:val="1A0474D2"/>
    <w:rsid w:val="1A383CBF"/>
    <w:rsid w:val="1A5710DF"/>
    <w:rsid w:val="1A7D0EE8"/>
    <w:rsid w:val="1A842B80"/>
    <w:rsid w:val="1A8C6E4F"/>
    <w:rsid w:val="1ABC044C"/>
    <w:rsid w:val="1AD73DEC"/>
    <w:rsid w:val="1AF93350"/>
    <w:rsid w:val="1AFD0A64"/>
    <w:rsid w:val="1B105084"/>
    <w:rsid w:val="1B3E3557"/>
    <w:rsid w:val="1B8A3CE7"/>
    <w:rsid w:val="1BA64C58"/>
    <w:rsid w:val="1BAE3A46"/>
    <w:rsid w:val="1BB05AD7"/>
    <w:rsid w:val="1BB71ADC"/>
    <w:rsid w:val="1C964CCC"/>
    <w:rsid w:val="1CA06753"/>
    <w:rsid w:val="1D0176A9"/>
    <w:rsid w:val="1D48246B"/>
    <w:rsid w:val="1DB4038D"/>
    <w:rsid w:val="1DC765B9"/>
    <w:rsid w:val="1DFB74DD"/>
    <w:rsid w:val="1E99792A"/>
    <w:rsid w:val="1ED8781E"/>
    <w:rsid w:val="1EF02B44"/>
    <w:rsid w:val="1F45368D"/>
    <w:rsid w:val="1FC719E1"/>
    <w:rsid w:val="20592EC7"/>
    <w:rsid w:val="20B971DB"/>
    <w:rsid w:val="212D20A3"/>
    <w:rsid w:val="21582E98"/>
    <w:rsid w:val="21DD6EFA"/>
    <w:rsid w:val="21E07462"/>
    <w:rsid w:val="21FC2B3A"/>
    <w:rsid w:val="22A83EEB"/>
    <w:rsid w:val="23171139"/>
    <w:rsid w:val="23333275"/>
    <w:rsid w:val="23952182"/>
    <w:rsid w:val="23C95987"/>
    <w:rsid w:val="23E46C65"/>
    <w:rsid w:val="23FF2009"/>
    <w:rsid w:val="24545B99"/>
    <w:rsid w:val="246B6A3F"/>
    <w:rsid w:val="24A61B48"/>
    <w:rsid w:val="24AF58E5"/>
    <w:rsid w:val="24B46637"/>
    <w:rsid w:val="24DC4F0F"/>
    <w:rsid w:val="24E8151F"/>
    <w:rsid w:val="250F6D3B"/>
    <w:rsid w:val="252235A1"/>
    <w:rsid w:val="25650571"/>
    <w:rsid w:val="2584425C"/>
    <w:rsid w:val="25A13D9E"/>
    <w:rsid w:val="263F0183"/>
    <w:rsid w:val="26A31A25"/>
    <w:rsid w:val="26D0453C"/>
    <w:rsid w:val="26D62895"/>
    <w:rsid w:val="27346C14"/>
    <w:rsid w:val="27363334"/>
    <w:rsid w:val="27421CD9"/>
    <w:rsid w:val="27546835"/>
    <w:rsid w:val="27903A51"/>
    <w:rsid w:val="27A75A59"/>
    <w:rsid w:val="27CB6172"/>
    <w:rsid w:val="28416434"/>
    <w:rsid w:val="2886653D"/>
    <w:rsid w:val="289277EB"/>
    <w:rsid w:val="28B8078C"/>
    <w:rsid w:val="28BA66AB"/>
    <w:rsid w:val="28C8445F"/>
    <w:rsid w:val="291C708E"/>
    <w:rsid w:val="2939535D"/>
    <w:rsid w:val="29475CCC"/>
    <w:rsid w:val="29656152"/>
    <w:rsid w:val="298760C9"/>
    <w:rsid w:val="29CA77AB"/>
    <w:rsid w:val="29DA269C"/>
    <w:rsid w:val="29F22E83"/>
    <w:rsid w:val="29FC6AB7"/>
    <w:rsid w:val="2A0140CD"/>
    <w:rsid w:val="2A4028DC"/>
    <w:rsid w:val="2A44045E"/>
    <w:rsid w:val="2AF552B4"/>
    <w:rsid w:val="2AF672CF"/>
    <w:rsid w:val="2B164EBE"/>
    <w:rsid w:val="2B603FDB"/>
    <w:rsid w:val="2B667F60"/>
    <w:rsid w:val="2B762899"/>
    <w:rsid w:val="2BCF2E32"/>
    <w:rsid w:val="2BF17634"/>
    <w:rsid w:val="2C574478"/>
    <w:rsid w:val="2C8417A1"/>
    <w:rsid w:val="2CA5012C"/>
    <w:rsid w:val="2CC024ED"/>
    <w:rsid w:val="2D41750D"/>
    <w:rsid w:val="2D6C5D01"/>
    <w:rsid w:val="2E5C5D76"/>
    <w:rsid w:val="2F2E3D05"/>
    <w:rsid w:val="2F6321CD"/>
    <w:rsid w:val="2F750C6B"/>
    <w:rsid w:val="2F9652B7"/>
    <w:rsid w:val="2F974B8C"/>
    <w:rsid w:val="2FBB6EB0"/>
    <w:rsid w:val="2FEE50F3"/>
    <w:rsid w:val="30077F63"/>
    <w:rsid w:val="301B756B"/>
    <w:rsid w:val="305F1531"/>
    <w:rsid w:val="30B26121"/>
    <w:rsid w:val="30C976F9"/>
    <w:rsid w:val="316C2C8F"/>
    <w:rsid w:val="31A359FC"/>
    <w:rsid w:val="32121A24"/>
    <w:rsid w:val="321840BD"/>
    <w:rsid w:val="32333292"/>
    <w:rsid w:val="329C02BC"/>
    <w:rsid w:val="32C959A4"/>
    <w:rsid w:val="331E4769"/>
    <w:rsid w:val="337F1766"/>
    <w:rsid w:val="338673F1"/>
    <w:rsid w:val="33A9752F"/>
    <w:rsid w:val="33B5785E"/>
    <w:rsid w:val="34A51AF9"/>
    <w:rsid w:val="34B63FF9"/>
    <w:rsid w:val="34CC79BD"/>
    <w:rsid w:val="35076310"/>
    <w:rsid w:val="35601CE2"/>
    <w:rsid w:val="358425F0"/>
    <w:rsid w:val="35B04BF9"/>
    <w:rsid w:val="35DA1C76"/>
    <w:rsid w:val="35F53F24"/>
    <w:rsid w:val="35FA219E"/>
    <w:rsid w:val="36274EBB"/>
    <w:rsid w:val="36552BB1"/>
    <w:rsid w:val="36806379"/>
    <w:rsid w:val="36B442BC"/>
    <w:rsid w:val="36B6623F"/>
    <w:rsid w:val="36BA2569"/>
    <w:rsid w:val="370D7078"/>
    <w:rsid w:val="371E7EBA"/>
    <w:rsid w:val="37363F74"/>
    <w:rsid w:val="37383BA1"/>
    <w:rsid w:val="37387627"/>
    <w:rsid w:val="37695060"/>
    <w:rsid w:val="37E85955"/>
    <w:rsid w:val="38A00F55"/>
    <w:rsid w:val="38F512A1"/>
    <w:rsid w:val="39165981"/>
    <w:rsid w:val="393843D2"/>
    <w:rsid w:val="39930ABA"/>
    <w:rsid w:val="39B1464D"/>
    <w:rsid w:val="39CD0475"/>
    <w:rsid w:val="39E9751C"/>
    <w:rsid w:val="39F50E2C"/>
    <w:rsid w:val="39FC55FA"/>
    <w:rsid w:val="3A10210A"/>
    <w:rsid w:val="3A465B2C"/>
    <w:rsid w:val="3A4B27E3"/>
    <w:rsid w:val="3A7A70F1"/>
    <w:rsid w:val="3A7B0722"/>
    <w:rsid w:val="3A9B5E78"/>
    <w:rsid w:val="3AAF3486"/>
    <w:rsid w:val="3ACA22B9"/>
    <w:rsid w:val="3AF37A62"/>
    <w:rsid w:val="3B3B31B7"/>
    <w:rsid w:val="3B90079D"/>
    <w:rsid w:val="3BBA40DC"/>
    <w:rsid w:val="3BC46D08"/>
    <w:rsid w:val="3BCB453B"/>
    <w:rsid w:val="3BCE7B87"/>
    <w:rsid w:val="3BF11B8C"/>
    <w:rsid w:val="3C032653"/>
    <w:rsid w:val="3C2D1349"/>
    <w:rsid w:val="3C3025F0"/>
    <w:rsid w:val="3C3C0F95"/>
    <w:rsid w:val="3C65673D"/>
    <w:rsid w:val="3CC044ED"/>
    <w:rsid w:val="3D18555E"/>
    <w:rsid w:val="3DA6252F"/>
    <w:rsid w:val="3E4B3EAD"/>
    <w:rsid w:val="3E5C0B3F"/>
    <w:rsid w:val="3EAA3862"/>
    <w:rsid w:val="3F152A39"/>
    <w:rsid w:val="3F3B3E38"/>
    <w:rsid w:val="3F45540A"/>
    <w:rsid w:val="3F577E93"/>
    <w:rsid w:val="3FF935B1"/>
    <w:rsid w:val="4004626D"/>
    <w:rsid w:val="4013025E"/>
    <w:rsid w:val="403411E4"/>
    <w:rsid w:val="407C22A8"/>
    <w:rsid w:val="40907423"/>
    <w:rsid w:val="41962FD5"/>
    <w:rsid w:val="41EF0857"/>
    <w:rsid w:val="41FF0A9A"/>
    <w:rsid w:val="420F01AA"/>
    <w:rsid w:val="42336996"/>
    <w:rsid w:val="425A3F23"/>
    <w:rsid w:val="42970417"/>
    <w:rsid w:val="42EB101F"/>
    <w:rsid w:val="430E71C5"/>
    <w:rsid w:val="4335267F"/>
    <w:rsid w:val="4379287D"/>
    <w:rsid w:val="43E17173"/>
    <w:rsid w:val="43E34B14"/>
    <w:rsid w:val="44095C00"/>
    <w:rsid w:val="440A7BCA"/>
    <w:rsid w:val="449B0822"/>
    <w:rsid w:val="44A40B8C"/>
    <w:rsid w:val="44BC7116"/>
    <w:rsid w:val="452151CC"/>
    <w:rsid w:val="4525242A"/>
    <w:rsid w:val="456F4189"/>
    <w:rsid w:val="4573297C"/>
    <w:rsid w:val="45B147A1"/>
    <w:rsid w:val="45CA13BF"/>
    <w:rsid w:val="467C4DAF"/>
    <w:rsid w:val="469A5235"/>
    <w:rsid w:val="46BC1FBC"/>
    <w:rsid w:val="471F398D"/>
    <w:rsid w:val="47223663"/>
    <w:rsid w:val="4783216D"/>
    <w:rsid w:val="48256D81"/>
    <w:rsid w:val="487A531F"/>
    <w:rsid w:val="48A82480"/>
    <w:rsid w:val="48E30EF0"/>
    <w:rsid w:val="490168B9"/>
    <w:rsid w:val="495A4B14"/>
    <w:rsid w:val="497E2BEC"/>
    <w:rsid w:val="49C03205"/>
    <w:rsid w:val="4A07195F"/>
    <w:rsid w:val="4A2C089A"/>
    <w:rsid w:val="4A3E412A"/>
    <w:rsid w:val="4A8420B3"/>
    <w:rsid w:val="4AE20F59"/>
    <w:rsid w:val="4AF34F14"/>
    <w:rsid w:val="4B0B04B0"/>
    <w:rsid w:val="4B496121"/>
    <w:rsid w:val="4B6A37B8"/>
    <w:rsid w:val="4B8D01FF"/>
    <w:rsid w:val="4BCE14DD"/>
    <w:rsid w:val="4BF126F0"/>
    <w:rsid w:val="4C0B2731"/>
    <w:rsid w:val="4C461090"/>
    <w:rsid w:val="4C96649F"/>
    <w:rsid w:val="4CA6280C"/>
    <w:rsid w:val="4CBB5434"/>
    <w:rsid w:val="4D740557"/>
    <w:rsid w:val="4D7B688C"/>
    <w:rsid w:val="4D866DD2"/>
    <w:rsid w:val="4D8E7176"/>
    <w:rsid w:val="4D913731"/>
    <w:rsid w:val="4D930C30"/>
    <w:rsid w:val="4DB72B71"/>
    <w:rsid w:val="4DFF1E22"/>
    <w:rsid w:val="4E0472EF"/>
    <w:rsid w:val="4E0870CC"/>
    <w:rsid w:val="4E50267E"/>
    <w:rsid w:val="4E9B1B4B"/>
    <w:rsid w:val="4E9E163B"/>
    <w:rsid w:val="4F257AF9"/>
    <w:rsid w:val="4F2652B7"/>
    <w:rsid w:val="4FC664AC"/>
    <w:rsid w:val="4FE94B38"/>
    <w:rsid w:val="502A587C"/>
    <w:rsid w:val="503E05D5"/>
    <w:rsid w:val="504B2BED"/>
    <w:rsid w:val="506F328F"/>
    <w:rsid w:val="50A53155"/>
    <w:rsid w:val="50BD4354"/>
    <w:rsid w:val="50E53551"/>
    <w:rsid w:val="510A745C"/>
    <w:rsid w:val="515F5A90"/>
    <w:rsid w:val="51F15F26"/>
    <w:rsid w:val="5220694C"/>
    <w:rsid w:val="522D3402"/>
    <w:rsid w:val="522E420F"/>
    <w:rsid w:val="52440704"/>
    <w:rsid w:val="52676552"/>
    <w:rsid w:val="53206AC2"/>
    <w:rsid w:val="534F51BC"/>
    <w:rsid w:val="53643744"/>
    <w:rsid w:val="539A4AC7"/>
    <w:rsid w:val="53A616BE"/>
    <w:rsid w:val="53DB06C2"/>
    <w:rsid w:val="53E421E6"/>
    <w:rsid w:val="53F561A1"/>
    <w:rsid w:val="541D3002"/>
    <w:rsid w:val="543D72C6"/>
    <w:rsid w:val="544B5C9E"/>
    <w:rsid w:val="54B26C85"/>
    <w:rsid w:val="54D3713D"/>
    <w:rsid w:val="54FC4BA1"/>
    <w:rsid w:val="55BA1450"/>
    <w:rsid w:val="56234114"/>
    <w:rsid w:val="567E02AB"/>
    <w:rsid w:val="57647F34"/>
    <w:rsid w:val="57995095"/>
    <w:rsid w:val="59262959"/>
    <w:rsid w:val="59351195"/>
    <w:rsid w:val="59372DB8"/>
    <w:rsid w:val="593A6404"/>
    <w:rsid w:val="596F2552"/>
    <w:rsid w:val="5988716F"/>
    <w:rsid w:val="598E2878"/>
    <w:rsid w:val="59B60181"/>
    <w:rsid w:val="5A1B2235"/>
    <w:rsid w:val="5A6227F3"/>
    <w:rsid w:val="5AFC6067"/>
    <w:rsid w:val="5B5A2D8E"/>
    <w:rsid w:val="5C572E90"/>
    <w:rsid w:val="5C7A1BCF"/>
    <w:rsid w:val="5CBD35D4"/>
    <w:rsid w:val="5D202C90"/>
    <w:rsid w:val="5D2B6790"/>
    <w:rsid w:val="5DD46E27"/>
    <w:rsid w:val="5DEDD217"/>
    <w:rsid w:val="5E1303C6"/>
    <w:rsid w:val="5E1E2D7A"/>
    <w:rsid w:val="5E2A1647"/>
    <w:rsid w:val="5E4B11E6"/>
    <w:rsid w:val="5E604B5F"/>
    <w:rsid w:val="5EDA252D"/>
    <w:rsid w:val="5F25121C"/>
    <w:rsid w:val="5F2B22A1"/>
    <w:rsid w:val="5F4E4966"/>
    <w:rsid w:val="5F750145"/>
    <w:rsid w:val="5F90442C"/>
    <w:rsid w:val="5F925405"/>
    <w:rsid w:val="5F9C5723"/>
    <w:rsid w:val="5FA33AF3"/>
    <w:rsid w:val="60931E33"/>
    <w:rsid w:val="60C54100"/>
    <w:rsid w:val="6172150A"/>
    <w:rsid w:val="61881DC6"/>
    <w:rsid w:val="621702F9"/>
    <w:rsid w:val="62894684"/>
    <w:rsid w:val="62CE4A26"/>
    <w:rsid w:val="641F6922"/>
    <w:rsid w:val="64605644"/>
    <w:rsid w:val="646D31BB"/>
    <w:rsid w:val="649A48FD"/>
    <w:rsid w:val="64CB6D62"/>
    <w:rsid w:val="65654809"/>
    <w:rsid w:val="65FD2C93"/>
    <w:rsid w:val="660C502E"/>
    <w:rsid w:val="665705F5"/>
    <w:rsid w:val="667659CB"/>
    <w:rsid w:val="66B04064"/>
    <w:rsid w:val="671749C7"/>
    <w:rsid w:val="6736645D"/>
    <w:rsid w:val="679B7654"/>
    <w:rsid w:val="6865358D"/>
    <w:rsid w:val="68D91796"/>
    <w:rsid w:val="68E24AEE"/>
    <w:rsid w:val="696B7A94"/>
    <w:rsid w:val="69CE5072"/>
    <w:rsid w:val="69E4773D"/>
    <w:rsid w:val="6A4E7F61"/>
    <w:rsid w:val="6A5C267E"/>
    <w:rsid w:val="6A7F5903"/>
    <w:rsid w:val="6AD4275E"/>
    <w:rsid w:val="6ADA0C61"/>
    <w:rsid w:val="6B080110"/>
    <w:rsid w:val="6B2106F0"/>
    <w:rsid w:val="6B4355EC"/>
    <w:rsid w:val="6B607F4C"/>
    <w:rsid w:val="6B6130BC"/>
    <w:rsid w:val="6B621F16"/>
    <w:rsid w:val="6BB01C8D"/>
    <w:rsid w:val="6BEF74C2"/>
    <w:rsid w:val="6C256AA0"/>
    <w:rsid w:val="6C417D7E"/>
    <w:rsid w:val="6C523D39"/>
    <w:rsid w:val="6C6B1B28"/>
    <w:rsid w:val="6D57712D"/>
    <w:rsid w:val="6D5D3B60"/>
    <w:rsid w:val="6DFFC984"/>
    <w:rsid w:val="6E0E199E"/>
    <w:rsid w:val="6E163845"/>
    <w:rsid w:val="6E25722B"/>
    <w:rsid w:val="6E592D9C"/>
    <w:rsid w:val="6E68362E"/>
    <w:rsid w:val="6E78137C"/>
    <w:rsid w:val="6EFD5AB2"/>
    <w:rsid w:val="6F3239AE"/>
    <w:rsid w:val="6F6370B2"/>
    <w:rsid w:val="70873D70"/>
    <w:rsid w:val="70903082"/>
    <w:rsid w:val="709A5CAE"/>
    <w:rsid w:val="718D5813"/>
    <w:rsid w:val="724579C6"/>
    <w:rsid w:val="727C7BD2"/>
    <w:rsid w:val="727D3192"/>
    <w:rsid w:val="72C139C6"/>
    <w:rsid w:val="72E6342D"/>
    <w:rsid w:val="72EC1B47"/>
    <w:rsid w:val="730C53F3"/>
    <w:rsid w:val="733B64DF"/>
    <w:rsid w:val="73A155A6"/>
    <w:rsid w:val="73AD3B4E"/>
    <w:rsid w:val="73E00A41"/>
    <w:rsid w:val="74357260"/>
    <w:rsid w:val="7439198E"/>
    <w:rsid w:val="743D52CE"/>
    <w:rsid w:val="74582108"/>
    <w:rsid w:val="745A130C"/>
    <w:rsid w:val="748C3B60"/>
    <w:rsid w:val="74A13083"/>
    <w:rsid w:val="74D774D1"/>
    <w:rsid w:val="74EF2844"/>
    <w:rsid w:val="757C1E26"/>
    <w:rsid w:val="759B26F9"/>
    <w:rsid w:val="760700DF"/>
    <w:rsid w:val="761D5D0D"/>
    <w:rsid w:val="766B3367"/>
    <w:rsid w:val="76DB3A33"/>
    <w:rsid w:val="76E9608A"/>
    <w:rsid w:val="76F65C09"/>
    <w:rsid w:val="76F90536"/>
    <w:rsid w:val="770F2826"/>
    <w:rsid w:val="772F6E81"/>
    <w:rsid w:val="773C186D"/>
    <w:rsid w:val="779A1D51"/>
    <w:rsid w:val="77A593D6"/>
    <w:rsid w:val="77CE4490"/>
    <w:rsid w:val="77DA6F0C"/>
    <w:rsid w:val="77FD7E9C"/>
    <w:rsid w:val="783C62F8"/>
    <w:rsid w:val="78462263"/>
    <w:rsid w:val="784A163F"/>
    <w:rsid w:val="79055C6B"/>
    <w:rsid w:val="791636FD"/>
    <w:rsid w:val="79BA0DC7"/>
    <w:rsid w:val="79FE72AE"/>
    <w:rsid w:val="7A28257D"/>
    <w:rsid w:val="7A3D16E7"/>
    <w:rsid w:val="7B3035AA"/>
    <w:rsid w:val="7B4E6013"/>
    <w:rsid w:val="7B702F7D"/>
    <w:rsid w:val="7B8E630F"/>
    <w:rsid w:val="7B9F061D"/>
    <w:rsid w:val="7C2C36CB"/>
    <w:rsid w:val="7C464F3C"/>
    <w:rsid w:val="7C530CF6"/>
    <w:rsid w:val="7CC23843"/>
    <w:rsid w:val="7CF404F4"/>
    <w:rsid w:val="7DBA7990"/>
    <w:rsid w:val="7DC75C09"/>
    <w:rsid w:val="7E3B6528"/>
    <w:rsid w:val="7E6873EC"/>
    <w:rsid w:val="7ED476DF"/>
    <w:rsid w:val="7F18688D"/>
    <w:rsid w:val="7FF07699"/>
    <w:rsid w:val="7FF71118"/>
    <w:rsid w:val="9BF2986B"/>
    <w:rsid w:val="AABF19D7"/>
    <w:rsid w:val="BF3FA0CB"/>
    <w:rsid w:val="EDCDCADE"/>
    <w:rsid w:val="F2FF4910"/>
    <w:rsid w:val="F52E30F4"/>
    <w:rsid w:val="F5CFB3D3"/>
    <w:rsid w:val="FBD928E9"/>
    <w:rsid w:val="FBFF6593"/>
    <w:rsid w:val="FCEB129C"/>
    <w:rsid w:val="FF7D7B68"/>
    <w:rsid w:val="FFED351C"/>
    <w:rsid w:val="FFF75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4"/>
    <w:autoRedefine/>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autoRedefine/>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3"/>
    <w:semiHidden/>
    <w:unhideWhenUsed/>
    <w:qFormat/>
    <w:uiPriority w:val="99"/>
    <w:pPr>
      <w:jc w:val="left"/>
    </w:pPr>
  </w:style>
  <w:style w:type="paragraph" w:styleId="14">
    <w:name w:val="Body Text"/>
    <w:basedOn w:val="1"/>
    <w:next w:val="15"/>
    <w:autoRedefine/>
    <w:qFormat/>
    <w:uiPriority w:val="0"/>
    <w:rPr>
      <w:rFonts w:ascii="楷体_GB2312" w:hAnsi="Arial" w:eastAsia="楷体_GB2312"/>
      <w:sz w:val="28"/>
    </w:rPr>
  </w:style>
  <w:style w:type="paragraph" w:styleId="15">
    <w:name w:val="Body Text First Indent"/>
    <w:basedOn w:val="14"/>
    <w:next w:val="16"/>
    <w:autoRedefine/>
    <w:unhideWhenUsed/>
    <w:qFormat/>
    <w:uiPriority w:val="99"/>
    <w:pPr>
      <w:ind w:firstLine="420" w:firstLineChars="100"/>
    </w:pPr>
  </w:style>
  <w:style w:type="paragraph" w:styleId="16">
    <w:name w:val="Body Text First Indent 2"/>
    <w:basedOn w:val="17"/>
    <w:next w:val="15"/>
    <w:autoRedefine/>
    <w:qFormat/>
    <w:uiPriority w:val="0"/>
    <w:pPr>
      <w:ind w:firstLine="420" w:firstLineChars="200"/>
    </w:pPr>
  </w:style>
  <w:style w:type="paragraph" w:styleId="17">
    <w:name w:val="Body Text Indent"/>
    <w:basedOn w:val="1"/>
    <w:next w:val="18"/>
    <w:qFormat/>
    <w:uiPriority w:val="0"/>
    <w:pPr>
      <w:adjustRightInd w:val="0"/>
      <w:spacing w:line="312" w:lineRule="atLeast"/>
      <w:ind w:firstLine="574"/>
      <w:textAlignment w:val="baseline"/>
    </w:pPr>
    <w:rPr>
      <w:rFonts w:ascii="宋体"/>
      <w:sz w:val="28"/>
    </w:rPr>
  </w:style>
  <w:style w:type="paragraph" w:styleId="18">
    <w:name w:val="envelope return"/>
    <w:basedOn w:val="1"/>
    <w:autoRedefine/>
    <w:qFormat/>
    <w:uiPriority w:val="0"/>
    <w:pPr>
      <w:snapToGrid w:val="0"/>
    </w:pPr>
    <w:rPr>
      <w:rFonts w:ascii="Arial" w:hAnsi="Arial"/>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autoRedefine/>
    <w:qFormat/>
    <w:uiPriority w:val="0"/>
    <w:rPr>
      <w:rFonts w:hAnsi="Courier New"/>
      <w:sz w:val="24"/>
    </w:rPr>
  </w:style>
  <w:style w:type="paragraph" w:styleId="22">
    <w:name w:val="toc 8"/>
    <w:basedOn w:val="1"/>
    <w:next w:val="1"/>
    <w:autoRedefine/>
    <w:unhideWhenUsed/>
    <w:qFormat/>
    <w:uiPriority w:val="39"/>
    <w:pPr>
      <w:spacing w:after="57"/>
      <w:ind w:left="1984"/>
    </w:pPr>
  </w:style>
  <w:style w:type="paragraph" w:styleId="23">
    <w:name w:val="endnote text"/>
    <w:basedOn w:val="1"/>
    <w:link w:val="192"/>
    <w:autoRedefine/>
    <w:semiHidden/>
    <w:unhideWhenUsed/>
    <w:qFormat/>
    <w:uiPriority w:val="99"/>
    <w:rPr>
      <w:sz w:val="20"/>
    </w:rPr>
  </w:style>
  <w:style w:type="paragraph" w:styleId="24">
    <w:name w:val="Balloon Text"/>
    <w:basedOn w:val="1"/>
    <w:link w:val="365"/>
    <w:autoRedefine/>
    <w:semiHidden/>
    <w:unhideWhenUsed/>
    <w:qFormat/>
    <w:uiPriority w:val="99"/>
    <w:rPr>
      <w:sz w:val="18"/>
      <w:szCs w:val="18"/>
    </w:rPr>
  </w:style>
  <w:style w:type="paragraph" w:styleId="25">
    <w:name w:val="footer"/>
    <w:basedOn w:val="1"/>
    <w:link w:val="65"/>
    <w:autoRedefine/>
    <w:unhideWhenUsed/>
    <w:qFormat/>
    <w:uiPriority w:val="99"/>
    <w:pPr>
      <w:tabs>
        <w:tab w:val="center" w:pos="7143"/>
        <w:tab w:val="right" w:pos="14287"/>
      </w:tabs>
    </w:pPr>
  </w:style>
  <w:style w:type="paragraph" w:styleId="26">
    <w:name w:val="header"/>
    <w:basedOn w:val="1"/>
    <w:link w:val="63"/>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link w:val="370"/>
    <w:autoRedefine/>
    <w:unhideWhenUsed/>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link w:val="57"/>
    <w:autoRedefine/>
    <w:qFormat/>
    <w:uiPriority w:val="10"/>
    <w:pPr>
      <w:spacing w:before="300" w:after="200"/>
      <w:contextualSpacing/>
    </w:pPr>
    <w:rPr>
      <w:sz w:val="48"/>
      <w:szCs w:val="48"/>
    </w:rPr>
  </w:style>
  <w:style w:type="paragraph" w:styleId="37">
    <w:name w:val="annotation subject"/>
    <w:basedOn w:val="13"/>
    <w:next w:val="13"/>
    <w:link w:val="364"/>
    <w:semiHidden/>
    <w:unhideWhenUsed/>
    <w:qFormat/>
    <w:uiPriority w:val="99"/>
    <w:rPr>
      <w:b/>
      <w:bCs/>
    </w:rPr>
  </w:style>
  <w:style w:type="table" w:styleId="39">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autoRedefin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autoRedefine/>
    <w:semiHidden/>
    <w:unhideWhenUsed/>
    <w:qFormat/>
    <w:uiPriority w:val="99"/>
    <w:rPr>
      <w:sz w:val="21"/>
      <w:szCs w:val="21"/>
    </w:rPr>
  </w:style>
  <w:style w:type="character" w:styleId="45">
    <w:name w:val="footnote reference"/>
    <w:autoRedefine/>
    <w:unhideWhenUsed/>
    <w:qFormat/>
    <w:uiPriority w:val="99"/>
    <w:rPr>
      <w:vertAlign w:val="superscript"/>
    </w:rPr>
  </w:style>
  <w:style w:type="character" w:customStyle="1" w:styleId="46">
    <w:name w:val="标题 1 字符1"/>
    <w:link w:val="2"/>
    <w:autoRedefine/>
    <w:qFormat/>
    <w:uiPriority w:val="9"/>
    <w:rPr>
      <w:rFonts w:ascii="Arial" w:hAnsi="Arial" w:eastAsia="Arial" w:cs="Arial"/>
      <w:sz w:val="40"/>
      <w:szCs w:val="40"/>
    </w:rPr>
  </w:style>
  <w:style w:type="character" w:customStyle="1" w:styleId="47">
    <w:name w:val="标题 2 字符3"/>
    <w:link w:val="3"/>
    <w:autoRedefine/>
    <w:qFormat/>
    <w:uiPriority w:val="9"/>
    <w:rPr>
      <w:rFonts w:ascii="Arial" w:hAnsi="Arial" w:eastAsia="Arial" w:cs="Arial"/>
      <w:sz w:val="34"/>
    </w:rPr>
  </w:style>
  <w:style w:type="character" w:customStyle="1" w:styleId="48">
    <w:name w:val="标题 3 字符"/>
    <w:link w:val="4"/>
    <w:autoRedefine/>
    <w:qFormat/>
    <w:uiPriority w:val="9"/>
    <w:rPr>
      <w:rFonts w:ascii="Arial" w:hAnsi="Arial" w:eastAsia="Arial" w:cs="Arial"/>
      <w:sz w:val="30"/>
      <w:szCs w:val="30"/>
    </w:rPr>
  </w:style>
  <w:style w:type="character" w:customStyle="1" w:styleId="49">
    <w:name w:val="标题 4 字符"/>
    <w:link w:val="5"/>
    <w:autoRedefine/>
    <w:qFormat/>
    <w:uiPriority w:val="9"/>
    <w:rPr>
      <w:rFonts w:ascii="Arial" w:hAnsi="Arial" w:eastAsia="Arial" w:cs="Arial"/>
      <w:b/>
      <w:bCs/>
      <w:sz w:val="26"/>
      <w:szCs w:val="26"/>
    </w:rPr>
  </w:style>
  <w:style w:type="character" w:customStyle="1" w:styleId="50">
    <w:name w:val="标题 5 字符"/>
    <w:link w:val="6"/>
    <w:autoRedefine/>
    <w:qFormat/>
    <w:uiPriority w:val="9"/>
    <w:rPr>
      <w:rFonts w:ascii="Arial" w:hAnsi="Arial" w:eastAsia="Arial" w:cs="Arial"/>
      <w:b/>
      <w:bCs/>
      <w:sz w:val="24"/>
      <w:szCs w:val="24"/>
    </w:rPr>
  </w:style>
  <w:style w:type="character" w:customStyle="1" w:styleId="51">
    <w:name w:val="标题 6 字符"/>
    <w:link w:val="7"/>
    <w:autoRedefine/>
    <w:qFormat/>
    <w:uiPriority w:val="9"/>
    <w:rPr>
      <w:rFonts w:ascii="Arial" w:hAnsi="Arial" w:eastAsia="Arial" w:cs="Arial"/>
      <w:b/>
      <w:bCs/>
      <w:sz w:val="22"/>
      <w:szCs w:val="22"/>
    </w:rPr>
  </w:style>
  <w:style w:type="character" w:customStyle="1" w:styleId="52">
    <w:name w:val="标题 7 字符"/>
    <w:link w:val="8"/>
    <w:autoRedefine/>
    <w:qFormat/>
    <w:uiPriority w:val="9"/>
    <w:rPr>
      <w:rFonts w:ascii="Arial" w:hAnsi="Arial" w:eastAsia="Arial" w:cs="Arial"/>
      <w:b/>
      <w:bCs/>
      <w:i/>
      <w:iCs/>
      <w:sz w:val="22"/>
      <w:szCs w:val="22"/>
    </w:rPr>
  </w:style>
  <w:style w:type="character" w:customStyle="1" w:styleId="53">
    <w:name w:val="标题 8 字符"/>
    <w:link w:val="9"/>
    <w:autoRedefine/>
    <w:qFormat/>
    <w:uiPriority w:val="9"/>
    <w:rPr>
      <w:rFonts w:ascii="Arial" w:hAnsi="Arial" w:eastAsia="Arial" w:cs="Arial"/>
      <w:i/>
      <w:iCs/>
      <w:sz w:val="22"/>
      <w:szCs w:val="22"/>
    </w:rPr>
  </w:style>
  <w:style w:type="character" w:customStyle="1" w:styleId="54">
    <w:name w:val="标题 9 字符"/>
    <w:link w:val="10"/>
    <w:autoRedefine/>
    <w:qFormat/>
    <w:uiPriority w:val="9"/>
    <w:rPr>
      <w:rFonts w:ascii="Arial" w:hAnsi="Arial" w:eastAsia="Arial" w:cs="Arial"/>
      <w:i/>
      <w:iCs/>
      <w:sz w:val="21"/>
      <w:szCs w:val="21"/>
    </w:rPr>
  </w:style>
  <w:style w:type="paragraph" w:styleId="55">
    <w:name w:val="List Paragraph"/>
    <w:basedOn w:val="1"/>
    <w:autoRedefine/>
    <w:qFormat/>
    <w:uiPriority w:val="34"/>
    <w:pPr>
      <w:ind w:left="720"/>
      <w:contextualSpacing/>
    </w:pPr>
  </w:style>
  <w:style w:type="paragraph" w:styleId="56">
    <w:name w:val="No Spacing"/>
    <w:autoRedefine/>
    <w:qFormat/>
    <w:uiPriority w:val="1"/>
    <w:rPr>
      <w:rFonts w:ascii="Calibri" w:hAnsi="Calibri" w:eastAsia="宋体" w:cs="Times New Roman"/>
      <w:lang w:val="en-US" w:eastAsia="zh-CN" w:bidi="ar-SA"/>
    </w:rPr>
  </w:style>
  <w:style w:type="character" w:customStyle="1" w:styleId="57">
    <w:name w:val="标题 字符"/>
    <w:link w:val="36"/>
    <w:autoRedefine/>
    <w:qFormat/>
    <w:uiPriority w:val="10"/>
    <w:rPr>
      <w:sz w:val="48"/>
      <w:szCs w:val="48"/>
    </w:rPr>
  </w:style>
  <w:style w:type="character" w:customStyle="1" w:styleId="58">
    <w:name w:val="副标题 字符"/>
    <w:link w:val="29"/>
    <w:autoRedefine/>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6"/>
    <w:qFormat/>
    <w:uiPriority w:val="99"/>
  </w:style>
  <w:style w:type="character" w:customStyle="1" w:styleId="64">
    <w:name w:val="Footer Char"/>
    <w:qFormat/>
    <w:uiPriority w:val="99"/>
  </w:style>
  <w:style w:type="character" w:customStyle="1" w:styleId="65">
    <w:name w:val="页脚 字符"/>
    <w:link w:val="25"/>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字符1"/>
    <w:link w:val="30"/>
    <w:qFormat/>
    <w:uiPriority w:val="99"/>
    <w:rPr>
      <w:sz w:val="18"/>
    </w:rPr>
  </w:style>
  <w:style w:type="character" w:customStyle="1" w:styleId="192">
    <w:name w:val="尾注文本 字符"/>
    <w:link w:val="23"/>
    <w:qFormat/>
    <w:uiPriority w:val="99"/>
    <w:rPr>
      <w:sz w:val="20"/>
    </w:rPr>
  </w:style>
  <w:style w:type="paragraph" w:customStyle="1" w:styleId="193">
    <w:name w:val="TOC 标题1"/>
    <w:unhideWhenUsed/>
    <w:qFormat/>
    <w:uiPriority w:val="39"/>
    <w:rPr>
      <w:rFonts w:ascii="Calibri" w:hAnsi="Calibri" w:eastAsia="宋体" w:cs="Times New Roman"/>
      <w:lang w:val="en-US" w:eastAsia="zh-CN" w:bidi="ar-SA"/>
    </w:rPr>
  </w:style>
  <w:style w:type="paragraph" w:customStyle="1" w:styleId="194">
    <w:name w:val="标题 11"/>
    <w:basedOn w:val="1"/>
    <w:next w:val="1"/>
    <w:link w:val="206"/>
    <w:qFormat/>
    <w:uiPriority w:val="9"/>
    <w:pPr>
      <w:keepNext/>
      <w:jc w:val="center"/>
      <w:outlineLvl w:val="0"/>
    </w:pPr>
    <w:rPr>
      <w:rFonts w:ascii="楷体_GB2312" w:hAnsi="Times New Roman" w:eastAsia="楷体_GB2312"/>
      <w:sz w:val="28"/>
      <w:szCs w:val="28"/>
    </w:rPr>
  </w:style>
  <w:style w:type="paragraph" w:customStyle="1" w:styleId="195">
    <w:name w:val="标题 21"/>
    <w:basedOn w:val="1"/>
    <w:next w:val="196"/>
    <w:link w:val="20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正文缩进1"/>
    <w:basedOn w:val="1"/>
    <w:link w:val="217"/>
    <w:qFormat/>
    <w:uiPriority w:val="0"/>
    <w:pPr>
      <w:ind w:firstLine="420"/>
    </w:pPr>
    <w:rPr>
      <w:szCs w:val="21"/>
    </w:rPr>
  </w:style>
  <w:style w:type="paragraph" w:customStyle="1" w:styleId="197">
    <w:name w:val="标题 31"/>
    <w:basedOn w:val="1"/>
    <w:next w:val="196"/>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8">
    <w:name w:val="标题 41"/>
    <w:basedOn w:val="1"/>
    <w:next w:val="196"/>
    <w:link w:val="20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96"/>
    <w:link w:val="210"/>
    <w:qFormat/>
    <w:uiPriority w:val="0"/>
    <w:pPr>
      <w:keepNext/>
      <w:outlineLvl w:val="4"/>
    </w:pPr>
    <w:rPr>
      <w:rFonts w:ascii="宋体" w:hAnsi="Times New Roman"/>
      <w:color w:val="000000"/>
      <w:sz w:val="28"/>
      <w:szCs w:val="28"/>
    </w:rPr>
  </w:style>
  <w:style w:type="paragraph" w:customStyle="1" w:styleId="200">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1">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2">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3">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4">
    <w:name w:val="默认段落字体1"/>
    <w:autoRedefine/>
    <w:semiHidden/>
    <w:unhideWhenUsed/>
    <w:qFormat/>
    <w:uiPriority w:val="1"/>
  </w:style>
  <w:style w:type="table" w:customStyle="1" w:styleId="205">
    <w:name w:val="普通表格1"/>
    <w:semiHidden/>
    <w:unhideWhenUsed/>
    <w:qFormat/>
    <w:uiPriority w:val="99"/>
    <w:tblPr>
      <w:tblCellMar>
        <w:top w:w="0" w:type="dxa"/>
        <w:left w:w="0" w:type="dxa"/>
        <w:bottom w:w="0" w:type="dxa"/>
        <w:right w:w="0" w:type="dxa"/>
      </w:tblCellMar>
    </w:tblPr>
  </w:style>
  <w:style w:type="character" w:customStyle="1" w:styleId="206">
    <w:name w:val="标题 1 Char"/>
    <w:link w:val="194"/>
    <w:qFormat/>
    <w:uiPriority w:val="0"/>
    <w:rPr>
      <w:rFonts w:ascii="楷体_GB2312" w:hAnsi="Times New Roman" w:eastAsia="楷体_GB2312" w:cs="Times New Roman"/>
      <w:sz w:val="28"/>
      <w:szCs w:val="28"/>
    </w:rPr>
  </w:style>
  <w:style w:type="character" w:customStyle="1" w:styleId="207">
    <w:name w:val="标题 2 Char"/>
    <w:link w:val="195"/>
    <w:qFormat/>
    <w:uiPriority w:val="0"/>
    <w:rPr>
      <w:rFonts w:ascii="Arial" w:hAnsi="Arial" w:eastAsia="幼圆" w:cs="Arial"/>
      <w:b/>
      <w:bCs/>
      <w:sz w:val="44"/>
      <w:szCs w:val="44"/>
    </w:rPr>
  </w:style>
  <w:style w:type="character" w:customStyle="1" w:styleId="208">
    <w:name w:val="标题 3 Char"/>
    <w:link w:val="197"/>
    <w:qFormat/>
    <w:uiPriority w:val="0"/>
    <w:rPr>
      <w:rFonts w:ascii="Times New Roman" w:hAnsi="Times New Roman" w:eastAsia="宋体" w:cs="Times New Roman"/>
      <w:b/>
      <w:bCs/>
      <w:sz w:val="32"/>
      <w:szCs w:val="32"/>
    </w:rPr>
  </w:style>
  <w:style w:type="character" w:customStyle="1" w:styleId="209">
    <w:name w:val="标题 4 Char"/>
    <w:link w:val="198"/>
    <w:qFormat/>
    <w:uiPriority w:val="0"/>
    <w:rPr>
      <w:rFonts w:ascii="Arial" w:hAnsi="Arial" w:eastAsia="黑体" w:cs="Arial"/>
      <w:b/>
      <w:bCs/>
      <w:sz w:val="28"/>
      <w:szCs w:val="28"/>
    </w:rPr>
  </w:style>
  <w:style w:type="character" w:customStyle="1" w:styleId="210">
    <w:name w:val="标题 5 Char"/>
    <w:link w:val="199"/>
    <w:qFormat/>
    <w:uiPriority w:val="0"/>
    <w:rPr>
      <w:rFonts w:ascii="宋体" w:hAnsi="Times New Roman" w:eastAsia="宋体" w:cs="Times New Roman"/>
      <w:color w:val="000000"/>
      <w:sz w:val="28"/>
      <w:szCs w:val="28"/>
    </w:rPr>
  </w:style>
  <w:style w:type="character" w:customStyle="1" w:styleId="211">
    <w:name w:val="标题 6 Char"/>
    <w:link w:val="200"/>
    <w:qFormat/>
    <w:uiPriority w:val="0"/>
    <w:rPr>
      <w:rFonts w:ascii="Arial" w:hAnsi="Arial" w:eastAsia="黑体" w:cs="Times New Roman"/>
      <w:b/>
      <w:bCs/>
      <w:sz w:val="24"/>
      <w:szCs w:val="24"/>
    </w:rPr>
  </w:style>
  <w:style w:type="character" w:customStyle="1" w:styleId="212">
    <w:name w:val="标题 7 Char"/>
    <w:link w:val="201"/>
    <w:qFormat/>
    <w:uiPriority w:val="0"/>
    <w:rPr>
      <w:rFonts w:ascii="Times New Roman" w:hAnsi="Times New Roman" w:eastAsia="宋体" w:cs="Times New Roman"/>
      <w:b/>
      <w:bCs/>
      <w:sz w:val="24"/>
      <w:szCs w:val="24"/>
    </w:rPr>
  </w:style>
  <w:style w:type="character" w:customStyle="1" w:styleId="213">
    <w:name w:val="标题 8 Char"/>
    <w:link w:val="202"/>
    <w:qFormat/>
    <w:uiPriority w:val="0"/>
    <w:rPr>
      <w:rFonts w:ascii="Arial" w:hAnsi="Arial" w:eastAsia="黑体" w:cs="Times New Roman"/>
      <w:sz w:val="24"/>
      <w:szCs w:val="24"/>
    </w:rPr>
  </w:style>
  <w:style w:type="character" w:customStyle="1" w:styleId="214">
    <w:name w:val="标题 9 Char"/>
    <w:link w:val="203"/>
    <w:qFormat/>
    <w:uiPriority w:val="0"/>
    <w:rPr>
      <w:rFonts w:ascii="Arial" w:hAnsi="Arial" w:eastAsia="黑体" w:cs="Times New Roman"/>
      <w:szCs w:val="21"/>
    </w:rPr>
  </w:style>
  <w:style w:type="character" w:customStyle="1" w:styleId="215">
    <w:name w:val="访问过的超链接1"/>
    <w:qFormat/>
    <w:uiPriority w:val="0"/>
    <w:rPr>
      <w:color w:val="800080"/>
      <w:u w:val="single"/>
    </w:rPr>
  </w:style>
  <w:style w:type="character" w:customStyle="1" w:styleId="216">
    <w:name w:val="font5 Char"/>
    <w:qFormat/>
    <w:uiPriority w:val="0"/>
    <w:rPr>
      <w:rFonts w:ascii="宋体" w:hAnsi="宋体" w:eastAsia="宋体"/>
      <w:sz w:val="28"/>
      <w:szCs w:val="28"/>
      <w:lang w:val="en-US" w:eastAsia="zh-CN" w:bidi="ar-SA"/>
    </w:rPr>
  </w:style>
  <w:style w:type="character" w:customStyle="1" w:styleId="217">
    <w:name w:val="正文缩进 Char"/>
    <w:link w:val="196"/>
    <w:qFormat/>
    <w:uiPriority w:val="0"/>
    <w:rPr>
      <w:szCs w:val="21"/>
    </w:rPr>
  </w:style>
  <w:style w:type="character" w:customStyle="1" w:styleId="218">
    <w:name w:val="批注引用1"/>
    <w:qFormat/>
    <w:uiPriority w:val="0"/>
    <w:rPr>
      <w:sz w:val="21"/>
      <w:szCs w:val="21"/>
    </w:rPr>
  </w:style>
  <w:style w:type="character" w:customStyle="1" w:styleId="219">
    <w:name w:val="要点1"/>
    <w:qFormat/>
    <w:uiPriority w:val="22"/>
    <w:rPr>
      <w:b/>
      <w:bCs/>
    </w:rPr>
  </w:style>
  <w:style w:type="character" w:customStyle="1" w:styleId="220">
    <w:name w:val="超链接1"/>
    <w:qFormat/>
    <w:uiPriority w:val="99"/>
    <w:rPr>
      <w:color w:val="0000FF"/>
      <w:u w:val="single"/>
    </w:rPr>
  </w:style>
  <w:style w:type="character" w:customStyle="1" w:styleId="221">
    <w:name w:val="页码1"/>
    <w:qFormat/>
    <w:uiPriority w:val="0"/>
  </w:style>
  <w:style w:type="character" w:customStyle="1" w:styleId="222">
    <w:name w:val="二级目录 Char"/>
    <w:link w:val="223"/>
    <w:qFormat/>
    <w:uiPriority w:val="0"/>
    <w:rPr>
      <w:b/>
      <w:sz w:val="30"/>
      <w:szCs w:val="28"/>
    </w:rPr>
  </w:style>
  <w:style w:type="paragraph" w:customStyle="1" w:styleId="223">
    <w:name w:val="二级目录"/>
    <w:next w:val="1"/>
    <w:link w:val="22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24">
    <w:name w:val="列出段落 Char"/>
    <w:link w:val="225"/>
    <w:qFormat/>
    <w:uiPriority w:val="0"/>
    <w:rPr>
      <w:rFonts w:ascii="Calibri" w:hAnsi="Calibri"/>
      <w:sz w:val="24"/>
      <w:szCs w:val="24"/>
      <w:lang w:eastAsia="en-US" w:bidi="en-US"/>
    </w:rPr>
  </w:style>
  <w:style w:type="paragraph" w:customStyle="1" w:styleId="225">
    <w:name w:val="列出段落1"/>
    <w:basedOn w:val="1"/>
    <w:link w:val="224"/>
    <w:qFormat/>
    <w:uiPriority w:val="0"/>
    <w:pPr>
      <w:widowControl/>
      <w:ind w:left="720"/>
      <w:contextualSpacing/>
      <w:jc w:val="left"/>
    </w:pPr>
    <w:rPr>
      <w:sz w:val="24"/>
      <w:szCs w:val="24"/>
      <w:lang w:eastAsia="en-US" w:bidi="en-US"/>
    </w:rPr>
  </w:style>
  <w:style w:type="paragraph" w:customStyle="1" w:styleId="226">
    <w:name w:val="Body Text(ch)"/>
    <w:basedOn w:val="1"/>
    <w:next w:val="227"/>
    <w:qFormat/>
    <w:uiPriority w:val="0"/>
    <w:pPr>
      <w:spacing w:after="120"/>
    </w:pPr>
    <w:rPr>
      <w:rFonts w:ascii="宋体" w:hAnsi="Arial"/>
      <w:bCs/>
      <w:iCs/>
      <w:szCs w:val="24"/>
    </w:rPr>
  </w:style>
  <w:style w:type="paragraph" w:customStyle="1" w:styleId="227">
    <w:name w:val="正文文本1"/>
    <w:basedOn w:val="1"/>
    <w:link w:val="232"/>
    <w:qFormat/>
    <w:uiPriority w:val="0"/>
    <w:rPr>
      <w:rFonts w:ascii="楷体_GB2312" w:hAnsi="Arial" w:eastAsia="楷体_GB2312"/>
      <w:sz w:val="28"/>
      <w:szCs w:val="28"/>
    </w:rPr>
  </w:style>
  <w:style w:type="paragraph" w:customStyle="1" w:styleId="228">
    <w:name w:val="目录 91"/>
    <w:basedOn w:val="1"/>
    <w:next w:val="1"/>
    <w:semiHidden/>
    <w:qFormat/>
    <w:uiPriority w:val="0"/>
    <w:pPr>
      <w:ind w:left="1680"/>
      <w:jc w:val="left"/>
    </w:pPr>
    <w:rPr>
      <w:rFonts w:ascii="Times New Roman" w:hAnsi="Times New Roman"/>
      <w:szCs w:val="21"/>
    </w:rPr>
  </w:style>
  <w:style w:type="paragraph" w:customStyle="1" w:styleId="22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character" w:customStyle="1" w:styleId="232">
    <w:name w:val="正文文本 Char"/>
    <w:link w:val="227"/>
    <w:qFormat/>
    <w:uiPriority w:val="0"/>
    <w:rPr>
      <w:rFonts w:ascii="楷体_GB2312" w:hAnsi="Arial" w:eastAsia="楷体_GB2312" w:cs="Times New Roman"/>
      <w:sz w:val="28"/>
      <w:szCs w:val="28"/>
    </w:rPr>
  </w:style>
  <w:style w:type="paragraph" w:customStyle="1" w:styleId="233">
    <w:name w:val="图表目录1"/>
    <w:basedOn w:val="1"/>
    <w:next w:val="1"/>
    <w:semiHidden/>
    <w:qFormat/>
    <w:uiPriority w:val="0"/>
    <w:pPr>
      <w:ind w:left="840" w:hanging="420"/>
    </w:pPr>
    <w:rPr>
      <w:rFonts w:ascii="Times New Roman" w:hAnsi="Times New Roman"/>
      <w:szCs w:val="21"/>
    </w:rPr>
  </w:style>
  <w:style w:type="paragraph" w:customStyle="1" w:styleId="2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35">
    <w:name w:val="Char"/>
    <w:basedOn w:val="1"/>
    <w:qFormat/>
    <w:uiPriority w:val="0"/>
    <w:pPr>
      <w:tabs>
        <w:tab w:val="left" w:pos="360"/>
      </w:tabs>
      <w:ind w:firstLine="200"/>
    </w:pPr>
    <w:rPr>
      <w:rFonts w:ascii="Times New Roman" w:hAnsi="Times New Roman"/>
      <w:sz w:val="28"/>
      <w:szCs w:val="30"/>
    </w:rPr>
  </w:style>
  <w:style w:type="paragraph" w:customStyle="1" w:styleId="236">
    <w:name w:val="Char1"/>
    <w:basedOn w:val="237"/>
    <w:qFormat/>
    <w:uiPriority w:val="0"/>
    <w:rPr>
      <w:rFonts w:ascii="Tahoma" w:hAnsi="Tahoma"/>
      <w:sz w:val="24"/>
      <w:szCs w:val="24"/>
    </w:rPr>
  </w:style>
  <w:style w:type="paragraph" w:customStyle="1" w:styleId="237">
    <w:name w:val="文档结构图1"/>
    <w:basedOn w:val="1"/>
    <w:link w:val="261"/>
    <w:semiHidden/>
    <w:qFormat/>
    <w:uiPriority w:val="0"/>
    <w:pPr>
      <w:shd w:val="clear" w:color="auto" w:fill="000080"/>
    </w:pPr>
    <w:rPr>
      <w:rFonts w:ascii="Times New Roman" w:hAnsi="Times New Roman"/>
      <w:szCs w:val="21"/>
    </w:rPr>
  </w:style>
  <w:style w:type="paragraph" w:customStyle="1" w:styleId="238">
    <w:name w:val="批注文字1"/>
    <w:basedOn w:val="1"/>
    <w:link w:val="239"/>
    <w:unhideWhenUsed/>
    <w:qFormat/>
    <w:uiPriority w:val="0"/>
    <w:pPr>
      <w:jc w:val="left"/>
    </w:pPr>
  </w:style>
  <w:style w:type="character" w:customStyle="1" w:styleId="239">
    <w:name w:val="批注文字 Char"/>
    <w:basedOn w:val="204"/>
    <w:link w:val="238"/>
    <w:qFormat/>
    <w:uiPriority w:val="0"/>
  </w:style>
  <w:style w:type="paragraph" w:customStyle="1" w:styleId="240">
    <w:name w:val="批注主题1"/>
    <w:basedOn w:val="238"/>
    <w:next w:val="238"/>
    <w:link w:val="241"/>
    <w:qFormat/>
    <w:uiPriority w:val="0"/>
    <w:rPr>
      <w:rFonts w:ascii="Times New Roman" w:hAnsi="Times New Roman"/>
      <w:b/>
      <w:bCs/>
      <w:szCs w:val="21"/>
    </w:rPr>
  </w:style>
  <w:style w:type="character" w:customStyle="1" w:styleId="241">
    <w:name w:val="批注主题 Char"/>
    <w:link w:val="240"/>
    <w:semiHidden/>
    <w:qFormat/>
    <w:uiPriority w:val="0"/>
    <w:rPr>
      <w:rFonts w:ascii="Times New Roman" w:hAnsi="Times New Roman" w:eastAsia="宋体" w:cs="Times New Roman"/>
      <w:b/>
      <w:bCs/>
      <w:szCs w:val="21"/>
    </w:rPr>
  </w:style>
  <w:style w:type="paragraph" w:customStyle="1" w:styleId="242">
    <w:name w:val="索引 11"/>
    <w:basedOn w:val="1"/>
    <w:next w:val="1"/>
    <w:semiHidden/>
    <w:qFormat/>
    <w:uiPriority w:val="0"/>
    <w:pPr>
      <w:spacing w:line="240" w:lineRule="atLeast"/>
    </w:pPr>
    <w:rPr>
      <w:rFonts w:ascii="Times New Roman" w:hAnsi="Times New Roman"/>
      <w:b/>
      <w:bCs/>
      <w:szCs w:val="21"/>
    </w:rPr>
  </w:style>
  <w:style w:type="paragraph" w:customStyle="1" w:styleId="243">
    <w:name w:val="普通正文"/>
    <w:basedOn w:val="1"/>
    <w:link w:val="362"/>
    <w:qFormat/>
    <w:uiPriority w:val="0"/>
    <w:pPr>
      <w:spacing w:before="120" w:after="120" w:line="360" w:lineRule="auto"/>
      <w:ind w:firstLine="480"/>
      <w:jc w:val="left"/>
    </w:pPr>
    <w:rPr>
      <w:rFonts w:ascii="Arial" w:hAnsi="Arial"/>
      <w:sz w:val="24"/>
      <w:szCs w:val="24"/>
    </w:rPr>
  </w:style>
  <w:style w:type="paragraph" w:customStyle="1" w:styleId="244">
    <w:name w:val="table_lines"/>
    <w:basedOn w:val="1"/>
    <w:qFormat/>
    <w:uiPriority w:val="0"/>
    <w:pPr>
      <w:widowControl/>
      <w:jc w:val="left"/>
    </w:pPr>
    <w:rPr>
      <w:rFonts w:ascii="Times New Roman" w:hAnsi="Times New Roman"/>
      <w:sz w:val="20"/>
      <w:szCs w:val="20"/>
      <w:lang w:val="de-DE" w:eastAsia="de-DE"/>
    </w:rPr>
  </w:style>
  <w:style w:type="paragraph" w:customStyle="1" w:styleId="245">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6">
    <w:name w:val="目录 31"/>
    <w:basedOn w:val="1"/>
    <w:next w:val="1"/>
    <w:qFormat/>
    <w:uiPriority w:val="39"/>
    <w:pPr>
      <w:ind w:left="420"/>
      <w:jc w:val="left"/>
    </w:pPr>
    <w:rPr>
      <w:rFonts w:ascii="Times New Roman" w:hAnsi="Times New Roman"/>
      <w:i/>
      <w:iCs/>
      <w:szCs w:val="24"/>
    </w:rPr>
  </w:style>
  <w:style w:type="paragraph" w:customStyle="1" w:styleId="247">
    <w:name w:val="正文文本缩进1"/>
    <w:basedOn w:val="1"/>
    <w:link w:val="248"/>
    <w:unhideWhenUsed/>
    <w:qFormat/>
    <w:uiPriority w:val="0"/>
    <w:pPr>
      <w:spacing w:after="120"/>
      <w:ind w:left="420"/>
    </w:pPr>
  </w:style>
  <w:style w:type="character" w:customStyle="1" w:styleId="248">
    <w:name w:val="正文文本缩进 Char"/>
    <w:basedOn w:val="204"/>
    <w:link w:val="247"/>
    <w:semiHidden/>
    <w:qFormat/>
    <w:uiPriority w:val="99"/>
  </w:style>
  <w:style w:type="paragraph" w:customStyle="1" w:styleId="249">
    <w:name w:val="正文首行缩进 21"/>
    <w:basedOn w:val="247"/>
    <w:link w:val="250"/>
    <w:qFormat/>
    <w:uiPriority w:val="0"/>
    <w:pPr>
      <w:spacing w:after="0" w:line="360" w:lineRule="auto"/>
      <w:ind w:left="0" w:firstLine="420"/>
    </w:pPr>
    <w:rPr>
      <w:rFonts w:ascii="宋体" w:hAnsi="宋体"/>
      <w:szCs w:val="20"/>
    </w:rPr>
  </w:style>
  <w:style w:type="character" w:customStyle="1" w:styleId="250">
    <w:name w:val="正文首行缩进 2 Char"/>
    <w:link w:val="249"/>
    <w:qFormat/>
    <w:uiPriority w:val="0"/>
    <w:rPr>
      <w:rFonts w:ascii="宋体" w:hAnsi="宋体" w:eastAsia="宋体" w:cs="Times New Roman"/>
      <w:szCs w:val="20"/>
    </w:rPr>
  </w:style>
  <w:style w:type="paragraph" w:customStyle="1" w:styleId="251">
    <w:name w:val="正文文本缩进 31"/>
    <w:basedOn w:val="1"/>
    <w:link w:val="252"/>
    <w:qFormat/>
    <w:uiPriority w:val="0"/>
    <w:pPr>
      <w:ind w:left="645" w:firstLine="645"/>
    </w:pPr>
    <w:rPr>
      <w:rFonts w:ascii="Arial" w:hAnsi="Arial" w:eastAsia="仿宋_GB2312" w:cs="Arial"/>
      <w:color w:val="FFFF00"/>
      <w:sz w:val="32"/>
      <w:szCs w:val="32"/>
    </w:rPr>
  </w:style>
  <w:style w:type="character" w:customStyle="1" w:styleId="252">
    <w:name w:val="正文文本缩进 3 Char"/>
    <w:link w:val="251"/>
    <w:qFormat/>
    <w:uiPriority w:val="0"/>
    <w:rPr>
      <w:rFonts w:ascii="Arial" w:hAnsi="Arial" w:eastAsia="仿宋_GB2312" w:cs="Arial"/>
      <w:color w:val="FFFF00"/>
      <w:sz w:val="32"/>
      <w:szCs w:val="32"/>
    </w:rPr>
  </w:style>
  <w:style w:type="paragraph" w:customStyle="1" w:styleId="253">
    <w:name w:val="目录 61"/>
    <w:basedOn w:val="1"/>
    <w:next w:val="1"/>
    <w:semiHidden/>
    <w:qFormat/>
    <w:uiPriority w:val="0"/>
    <w:pPr>
      <w:ind w:left="1050"/>
      <w:jc w:val="left"/>
    </w:pPr>
    <w:rPr>
      <w:rFonts w:ascii="Times New Roman" w:hAnsi="Times New Roman"/>
      <w:szCs w:val="21"/>
    </w:rPr>
  </w:style>
  <w:style w:type="paragraph" w:customStyle="1" w:styleId="25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5">
    <w:name w:val="Char Char Char Char"/>
    <w:basedOn w:val="237"/>
    <w:qFormat/>
    <w:uiPriority w:val="0"/>
    <w:pPr>
      <w:spacing w:line="360" w:lineRule="auto"/>
    </w:pPr>
    <w:rPr>
      <w:rFonts w:ascii="Tahoma" w:hAnsi="Tahoma"/>
      <w:sz w:val="24"/>
      <w:szCs w:val="24"/>
    </w:rPr>
  </w:style>
  <w:style w:type="paragraph" w:customStyle="1" w:styleId="256">
    <w:name w:val="正文文本 31"/>
    <w:basedOn w:val="1"/>
    <w:link w:val="257"/>
    <w:qFormat/>
    <w:uiPriority w:val="0"/>
    <w:rPr>
      <w:rFonts w:ascii="仿宋_GB2312" w:hAnsi="Arial" w:eastAsia="仿宋_GB2312"/>
      <w:sz w:val="32"/>
      <w:szCs w:val="32"/>
    </w:rPr>
  </w:style>
  <w:style w:type="character" w:customStyle="1" w:styleId="257">
    <w:name w:val="正文文本 3 Char"/>
    <w:link w:val="256"/>
    <w:qFormat/>
    <w:uiPriority w:val="0"/>
    <w:rPr>
      <w:rFonts w:ascii="仿宋_GB2312" w:hAnsi="Arial" w:eastAsia="仿宋_GB2312" w:cs="Times New Roman"/>
      <w:sz w:val="32"/>
      <w:szCs w:val="32"/>
    </w:rPr>
  </w:style>
  <w:style w:type="paragraph" w:customStyle="1" w:styleId="25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9">
    <w:name w:val="目录 41"/>
    <w:basedOn w:val="1"/>
    <w:next w:val="1"/>
    <w:semiHidden/>
    <w:qFormat/>
    <w:uiPriority w:val="0"/>
    <w:pPr>
      <w:ind w:left="630"/>
      <w:jc w:val="left"/>
    </w:pPr>
    <w:rPr>
      <w:rFonts w:ascii="Times New Roman" w:hAnsi="Times New Roman"/>
      <w:szCs w:val="21"/>
    </w:rPr>
  </w:style>
  <w:style w:type="paragraph" w:customStyle="1" w:styleId="260">
    <w:name w:val="列出段落2"/>
    <w:basedOn w:val="1"/>
    <w:link w:val="339"/>
    <w:qFormat/>
    <w:uiPriority w:val="34"/>
    <w:pPr>
      <w:widowControl/>
      <w:ind w:left="720"/>
      <w:contextualSpacing/>
      <w:jc w:val="left"/>
    </w:pPr>
    <w:rPr>
      <w:sz w:val="24"/>
      <w:szCs w:val="24"/>
      <w:lang w:eastAsia="en-US" w:bidi="en-US"/>
    </w:rPr>
  </w:style>
  <w:style w:type="character" w:customStyle="1" w:styleId="261">
    <w:name w:val="文档结构图 Char"/>
    <w:link w:val="237"/>
    <w:semiHidden/>
    <w:qFormat/>
    <w:uiPriority w:val="0"/>
    <w:rPr>
      <w:rFonts w:ascii="Times New Roman" w:hAnsi="Times New Roman" w:eastAsia="宋体" w:cs="Times New Roman"/>
      <w:szCs w:val="21"/>
      <w:shd w:val="clear" w:color="auto" w:fill="000080"/>
    </w:rPr>
  </w:style>
  <w:style w:type="paragraph" w:customStyle="1" w:styleId="262">
    <w:name w:val="4"/>
    <w:basedOn w:val="1"/>
    <w:next w:val="251"/>
    <w:qFormat/>
    <w:uiPriority w:val="0"/>
    <w:pPr>
      <w:spacing w:line="360" w:lineRule="auto"/>
      <w:ind w:firstLine="420"/>
    </w:pPr>
    <w:rPr>
      <w:rFonts w:ascii="Times New Roman" w:hAnsi="Times New Roman"/>
      <w:color w:val="FF0000"/>
      <w:sz w:val="24"/>
      <w:szCs w:val="24"/>
    </w:rPr>
  </w:style>
  <w:style w:type="paragraph" w:customStyle="1" w:styleId="2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5">
    <w:name w:val="列表 21"/>
    <w:basedOn w:val="1"/>
    <w:qFormat/>
    <w:uiPriority w:val="0"/>
    <w:pPr>
      <w:ind w:left="100" w:hanging="200"/>
    </w:pPr>
    <w:rPr>
      <w:rFonts w:ascii="Times New Roman" w:hAnsi="Times New Roman"/>
      <w:szCs w:val="21"/>
    </w:rPr>
  </w:style>
  <w:style w:type="paragraph" w:customStyle="1" w:styleId="266">
    <w:name w:val="正文首行缩进1"/>
    <w:basedOn w:val="1"/>
    <w:link w:val="267"/>
    <w:qFormat/>
    <w:uiPriority w:val="0"/>
    <w:pPr>
      <w:spacing w:line="360" w:lineRule="auto"/>
      <w:ind w:firstLine="200"/>
    </w:pPr>
    <w:rPr>
      <w:rFonts w:ascii="仿宋_GB2312" w:hAnsi="Times New Roman" w:eastAsia="仿宋_GB2312"/>
      <w:sz w:val="30"/>
      <w:szCs w:val="30"/>
    </w:rPr>
  </w:style>
  <w:style w:type="character" w:customStyle="1" w:styleId="267">
    <w:name w:val="正文首行缩进 Char"/>
    <w:link w:val="266"/>
    <w:qFormat/>
    <w:uiPriority w:val="0"/>
    <w:rPr>
      <w:rFonts w:ascii="仿宋_GB2312" w:hAnsi="Times New Roman" w:eastAsia="仿宋_GB2312" w:cs="Times New Roman"/>
      <w:sz w:val="30"/>
      <w:szCs w:val="30"/>
    </w:rPr>
  </w:style>
  <w:style w:type="paragraph" w:customStyle="1" w:styleId="268">
    <w:name w:val="样式1"/>
    <w:basedOn w:val="1"/>
    <w:qFormat/>
    <w:uiPriority w:val="0"/>
    <w:pPr>
      <w:numPr>
        <w:ilvl w:val="0"/>
        <w:numId w:val="3"/>
      </w:numPr>
    </w:pPr>
    <w:rPr>
      <w:rFonts w:ascii="宋体" w:hAnsi="宋体"/>
      <w:szCs w:val="21"/>
    </w:rPr>
  </w:style>
  <w:style w:type="paragraph" w:customStyle="1" w:styleId="2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目录 51"/>
    <w:basedOn w:val="1"/>
    <w:next w:val="1"/>
    <w:semiHidden/>
    <w:qFormat/>
    <w:uiPriority w:val="0"/>
    <w:pPr>
      <w:ind w:left="840"/>
      <w:jc w:val="left"/>
    </w:pPr>
    <w:rPr>
      <w:rFonts w:ascii="Times New Roman" w:hAnsi="Times New Roman"/>
      <w:szCs w:val="21"/>
    </w:rPr>
  </w:style>
  <w:style w:type="paragraph" w:customStyle="1" w:styleId="271">
    <w:name w:val="目录 11"/>
    <w:basedOn w:val="272"/>
    <w:next w:val="274"/>
    <w:qFormat/>
    <w:uiPriority w:val="39"/>
    <w:pPr>
      <w:tabs>
        <w:tab w:val="right" w:leader="dot" w:pos="8720"/>
      </w:tabs>
      <w:spacing w:before="120" w:after="120" w:line="400" w:lineRule="exact"/>
      <w:jc w:val="left"/>
    </w:pPr>
    <w:rPr>
      <w:rFonts w:ascii="宋体" w:hAnsi="宋体"/>
      <w:caps/>
      <w:sz w:val="24"/>
    </w:rPr>
  </w:style>
  <w:style w:type="paragraph" w:customStyle="1" w:styleId="272">
    <w:name w:val="正文11"/>
    <w:next w:val="27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3">
    <w:name w:val="无间隔11"/>
    <w:qFormat/>
    <w:uiPriority w:val="0"/>
    <w:rPr>
      <w:rFonts w:ascii="Times New Roman" w:hAnsi="Times New Roman" w:eastAsia="宋体" w:cs="Times New Roman"/>
      <w:sz w:val="22"/>
      <w:szCs w:val="22"/>
      <w:lang w:val="en-US" w:eastAsia="en-US" w:bidi="ar-SA"/>
    </w:rPr>
  </w:style>
  <w:style w:type="paragraph" w:customStyle="1" w:styleId="274">
    <w:name w:val="正文1"/>
    <w:next w:val="27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75">
    <w:name w:val="纯文本1"/>
    <w:basedOn w:val="1"/>
    <w:link w:val="276"/>
    <w:qFormat/>
    <w:uiPriority w:val="0"/>
    <w:rPr>
      <w:rFonts w:ascii="宋体" w:hAnsi="Courier New" w:cs="Courier New"/>
      <w:szCs w:val="21"/>
    </w:rPr>
  </w:style>
  <w:style w:type="character" w:customStyle="1" w:styleId="276">
    <w:name w:val="纯文本 Char"/>
    <w:link w:val="275"/>
    <w:qFormat/>
    <w:uiPriority w:val="0"/>
    <w:rPr>
      <w:rFonts w:ascii="宋体" w:hAnsi="Courier New" w:eastAsia="宋体" w:cs="Courier New"/>
      <w:szCs w:val="21"/>
    </w:rPr>
  </w:style>
  <w:style w:type="paragraph" w:customStyle="1" w:styleId="277">
    <w:name w:val="批注框文本1"/>
    <w:basedOn w:val="1"/>
    <w:link w:val="278"/>
    <w:qFormat/>
    <w:uiPriority w:val="0"/>
    <w:rPr>
      <w:rFonts w:ascii="Times New Roman" w:hAnsi="Times New Roman"/>
      <w:sz w:val="18"/>
      <w:szCs w:val="18"/>
    </w:rPr>
  </w:style>
  <w:style w:type="character" w:customStyle="1" w:styleId="278">
    <w:name w:val="批注框文本 Char"/>
    <w:link w:val="277"/>
    <w:semiHidden/>
    <w:qFormat/>
    <w:uiPriority w:val="0"/>
    <w:rPr>
      <w:rFonts w:ascii="Times New Roman" w:hAnsi="Times New Roman" w:eastAsia="宋体" w:cs="Times New Roman"/>
      <w:sz w:val="18"/>
      <w:szCs w:val="18"/>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列表1"/>
    <w:basedOn w:val="1"/>
    <w:qFormat/>
    <w:uiPriority w:val="0"/>
    <w:pPr>
      <w:ind w:left="200" w:hanging="200"/>
    </w:pPr>
    <w:rPr>
      <w:rFonts w:ascii="Times New Roman" w:hAnsi="Times New Roman"/>
      <w:szCs w:val="21"/>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2">
    <w:name w:val="日期1"/>
    <w:basedOn w:val="1"/>
    <w:next w:val="1"/>
    <w:link w:val="283"/>
    <w:qFormat/>
    <w:uiPriority w:val="0"/>
    <w:rPr>
      <w:rFonts w:ascii="Times New Roman" w:hAnsi="Times New Roman"/>
      <w:sz w:val="24"/>
      <w:szCs w:val="24"/>
    </w:rPr>
  </w:style>
  <w:style w:type="character" w:customStyle="1" w:styleId="283">
    <w:name w:val="日期 Char"/>
    <w:link w:val="282"/>
    <w:qFormat/>
    <w:uiPriority w:val="0"/>
    <w:rPr>
      <w:rFonts w:ascii="Times New Roman" w:hAnsi="Times New Roman" w:eastAsia="宋体" w:cs="Times New Roman"/>
      <w:sz w:val="24"/>
      <w:szCs w:val="24"/>
    </w:rPr>
  </w:style>
  <w:style w:type="paragraph" w:customStyle="1" w:styleId="28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正文文本 21"/>
    <w:basedOn w:val="1"/>
    <w:link w:val="289"/>
    <w:qFormat/>
    <w:uiPriority w:val="0"/>
    <w:pPr>
      <w:widowControl/>
      <w:jc w:val="center"/>
    </w:pPr>
    <w:rPr>
      <w:rFonts w:ascii="楷体_GB2312" w:hAnsi="Times New Roman" w:eastAsia="楷体_GB2312"/>
      <w:sz w:val="28"/>
      <w:szCs w:val="28"/>
    </w:rPr>
  </w:style>
  <w:style w:type="character" w:customStyle="1" w:styleId="289">
    <w:name w:val="正文文本 2 Char"/>
    <w:link w:val="288"/>
    <w:autoRedefine/>
    <w:qFormat/>
    <w:uiPriority w:val="0"/>
    <w:rPr>
      <w:rFonts w:ascii="楷体_GB2312" w:hAnsi="Times New Roman" w:eastAsia="楷体_GB2312" w:cs="Times New Roman"/>
      <w:sz w:val="28"/>
      <w:szCs w:val="28"/>
    </w:rPr>
  </w:style>
  <w:style w:type="paragraph" w:customStyle="1" w:styleId="290">
    <w:name w:val="列表 31"/>
    <w:basedOn w:val="1"/>
    <w:qFormat/>
    <w:uiPriority w:val="0"/>
    <w:pPr>
      <w:ind w:left="100" w:hanging="200"/>
    </w:pPr>
    <w:rPr>
      <w:rFonts w:ascii="Times New Roman" w:hAnsi="Times New Roman"/>
      <w:szCs w:val="21"/>
    </w:rPr>
  </w:style>
  <w:style w:type="paragraph" w:customStyle="1" w:styleId="291">
    <w:name w:val="目录 71"/>
    <w:basedOn w:val="1"/>
    <w:next w:val="1"/>
    <w:semiHidden/>
    <w:qFormat/>
    <w:uiPriority w:val="0"/>
    <w:pPr>
      <w:ind w:left="1260"/>
      <w:jc w:val="left"/>
    </w:pPr>
    <w:rPr>
      <w:rFonts w:ascii="Times New Roman" w:hAnsi="Times New Roman"/>
      <w:szCs w:val="21"/>
    </w:rPr>
  </w:style>
  <w:style w:type="paragraph" w:customStyle="1" w:styleId="292">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页眉1"/>
    <w:basedOn w:val="1"/>
    <w:link w:val="295"/>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295">
    <w:name w:val="页眉 Char"/>
    <w:link w:val="294"/>
    <w:qFormat/>
    <w:uiPriority w:val="0"/>
    <w:rPr>
      <w:rFonts w:ascii="Times New Roman" w:hAnsi="Times New Roman"/>
      <w:sz w:val="18"/>
      <w:szCs w:val="18"/>
    </w:rPr>
  </w:style>
  <w:style w:type="paragraph" w:customStyle="1" w:styleId="296">
    <w:name w:val="页脚1"/>
    <w:basedOn w:val="1"/>
    <w:link w:val="297"/>
    <w:qFormat/>
    <w:uiPriority w:val="0"/>
    <w:pPr>
      <w:tabs>
        <w:tab w:val="center" w:pos="4153"/>
        <w:tab w:val="right" w:pos="8306"/>
      </w:tabs>
      <w:jc w:val="left"/>
    </w:pPr>
    <w:rPr>
      <w:rFonts w:ascii="Times New Roman" w:hAnsi="Times New Roman"/>
      <w:sz w:val="18"/>
      <w:szCs w:val="18"/>
    </w:rPr>
  </w:style>
  <w:style w:type="character" w:customStyle="1" w:styleId="297">
    <w:name w:val="页脚 Char"/>
    <w:link w:val="296"/>
    <w:qFormat/>
    <w:uiPriority w:val="0"/>
    <w:rPr>
      <w:rFonts w:ascii="Times New Roman" w:hAnsi="Times New Roman" w:eastAsia="宋体" w:cs="Times New Roman"/>
      <w:sz w:val="18"/>
      <w:szCs w:val="18"/>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目录 81"/>
    <w:basedOn w:val="1"/>
    <w:next w:val="1"/>
    <w:semiHidden/>
    <w:qFormat/>
    <w:uiPriority w:val="0"/>
    <w:pPr>
      <w:ind w:left="1470"/>
      <w:jc w:val="left"/>
    </w:pPr>
    <w:rPr>
      <w:rFonts w:ascii="Times New Roman" w:hAnsi="Times New Roman"/>
      <w:szCs w:val="21"/>
    </w:rPr>
  </w:style>
  <w:style w:type="paragraph" w:customStyle="1" w:styleId="30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1">
    <w:name w:val="Char Char Char Char1"/>
    <w:basedOn w:val="237"/>
    <w:qFormat/>
    <w:uiPriority w:val="0"/>
    <w:pPr>
      <w:spacing w:line="360" w:lineRule="auto"/>
    </w:pPr>
    <w:rPr>
      <w:rFonts w:ascii="Tahoma" w:hAnsi="Tahoma"/>
      <w:sz w:val="24"/>
      <w:szCs w:val="24"/>
    </w:rPr>
  </w:style>
  <w:style w:type="paragraph" w:customStyle="1" w:styleId="30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5">
    <w:name w:val="修订1"/>
    <w:semiHidden/>
    <w:qFormat/>
    <w:uiPriority w:val="99"/>
    <w:rPr>
      <w:rFonts w:ascii="Times New Roman" w:hAnsi="Times New Roman" w:eastAsia="宋体" w:cs="Times New Roman"/>
      <w:sz w:val="21"/>
      <w:szCs w:val="21"/>
      <w:lang w:val="en-US" w:eastAsia="zh-CN" w:bidi="ar-SA"/>
    </w:rPr>
  </w:style>
  <w:style w:type="table" w:customStyle="1" w:styleId="306">
    <w:name w:val="网格型1"/>
    <w:basedOn w:val="205"/>
    <w:qFormat/>
    <w:uiPriority w:val="0"/>
    <w:pPr>
      <w:widowControl w:val="0"/>
      <w:jc w:val="both"/>
    </w:pPr>
  </w:style>
  <w:style w:type="paragraph" w:customStyle="1" w:styleId="30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8">
    <w:name w:val="索引 81"/>
    <w:basedOn w:val="1"/>
    <w:next w:val="1"/>
    <w:semiHidden/>
    <w:qFormat/>
    <w:uiPriority w:val="0"/>
    <w:pPr>
      <w:ind w:left="1400"/>
    </w:pPr>
    <w:rPr>
      <w:rFonts w:ascii="Times New Roman" w:hAnsi="Times New Roman"/>
      <w:szCs w:val="20"/>
    </w:rPr>
  </w:style>
  <w:style w:type="paragraph" w:customStyle="1" w:styleId="309">
    <w:name w:val="索引 51"/>
    <w:basedOn w:val="1"/>
    <w:next w:val="1"/>
    <w:semiHidden/>
    <w:qFormat/>
    <w:uiPriority w:val="0"/>
    <w:pPr>
      <w:ind w:left="800"/>
    </w:pPr>
    <w:rPr>
      <w:rFonts w:ascii="Times New Roman" w:hAnsi="Times New Roman"/>
      <w:szCs w:val="20"/>
    </w:rPr>
  </w:style>
  <w:style w:type="paragraph" w:customStyle="1" w:styleId="310">
    <w:name w:val="索引 61"/>
    <w:basedOn w:val="1"/>
    <w:next w:val="1"/>
    <w:semiHidden/>
    <w:qFormat/>
    <w:uiPriority w:val="0"/>
    <w:pPr>
      <w:ind w:left="1000"/>
    </w:pPr>
    <w:rPr>
      <w:rFonts w:ascii="Times New Roman" w:hAnsi="Times New Roman"/>
      <w:szCs w:val="20"/>
    </w:rPr>
  </w:style>
  <w:style w:type="paragraph" w:customStyle="1" w:styleId="311">
    <w:name w:val="寄信人地址1"/>
    <w:basedOn w:val="1"/>
    <w:qFormat/>
    <w:uiPriority w:val="0"/>
    <w:rPr>
      <w:rFonts w:ascii="Arial" w:hAnsi="Arial"/>
      <w:szCs w:val="20"/>
    </w:rPr>
  </w:style>
  <w:style w:type="paragraph" w:customStyle="1" w:styleId="312">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13">
    <w:name w:val="索引 41"/>
    <w:basedOn w:val="1"/>
    <w:next w:val="1"/>
    <w:semiHidden/>
    <w:qFormat/>
    <w:uiPriority w:val="0"/>
    <w:pPr>
      <w:ind w:left="600"/>
    </w:pPr>
    <w:rPr>
      <w:rFonts w:ascii="Times New Roman" w:hAnsi="Times New Roman"/>
      <w:szCs w:val="20"/>
    </w:rPr>
  </w:style>
  <w:style w:type="paragraph" w:customStyle="1" w:styleId="314">
    <w:name w:val="索引 31"/>
    <w:basedOn w:val="1"/>
    <w:next w:val="1"/>
    <w:semiHidden/>
    <w:qFormat/>
    <w:uiPriority w:val="0"/>
    <w:pPr>
      <w:ind w:left="400"/>
    </w:pPr>
    <w:rPr>
      <w:rFonts w:ascii="Times New Roman" w:hAnsi="Times New Roman"/>
      <w:szCs w:val="20"/>
    </w:rPr>
  </w:style>
  <w:style w:type="paragraph" w:customStyle="1" w:styleId="315">
    <w:name w:val="签名1"/>
    <w:basedOn w:val="1"/>
    <w:link w:val="336"/>
    <w:qFormat/>
    <w:uiPriority w:val="0"/>
    <w:pPr>
      <w:spacing w:after="600" w:line="312" w:lineRule="atLeast"/>
      <w:jc w:val="center"/>
    </w:pPr>
    <w:rPr>
      <w:rFonts w:ascii="Times New Roman" w:hAnsi="Times New Roman" w:eastAsia="仿宋_GB2312"/>
      <w:sz w:val="24"/>
      <w:szCs w:val="20"/>
    </w:rPr>
  </w:style>
  <w:style w:type="character" w:customStyle="1" w:styleId="316">
    <w:name w:val="签名 字符"/>
    <w:qFormat/>
    <w:uiPriority w:val="0"/>
    <w:rPr>
      <w:sz w:val="21"/>
      <w:szCs w:val="22"/>
    </w:rPr>
  </w:style>
  <w:style w:type="paragraph" w:customStyle="1" w:styleId="317">
    <w:name w:val="索引标题1"/>
    <w:basedOn w:val="1"/>
    <w:next w:val="242"/>
    <w:semiHidden/>
    <w:qFormat/>
    <w:uiPriority w:val="0"/>
    <w:rPr>
      <w:rFonts w:ascii="Times New Roman" w:hAnsi="Times New Roman"/>
      <w:szCs w:val="20"/>
    </w:rPr>
  </w:style>
  <w:style w:type="paragraph" w:customStyle="1" w:styleId="318">
    <w:name w:val="脚注文本1"/>
    <w:basedOn w:val="1"/>
    <w:link w:val="319"/>
    <w:qFormat/>
    <w:uiPriority w:val="0"/>
    <w:pPr>
      <w:jc w:val="left"/>
    </w:pPr>
    <w:rPr>
      <w:rFonts w:ascii="Times New Roman" w:hAnsi="Times New Roman"/>
      <w:sz w:val="18"/>
      <w:szCs w:val="18"/>
    </w:rPr>
  </w:style>
  <w:style w:type="character" w:customStyle="1" w:styleId="319">
    <w:name w:val="脚注文本 字符"/>
    <w:link w:val="318"/>
    <w:qFormat/>
    <w:uiPriority w:val="0"/>
    <w:rPr>
      <w:rFonts w:ascii="Times New Roman" w:hAnsi="Times New Roman"/>
      <w:sz w:val="18"/>
      <w:szCs w:val="18"/>
    </w:rPr>
  </w:style>
  <w:style w:type="paragraph" w:customStyle="1" w:styleId="320">
    <w:name w:val="索引 71"/>
    <w:basedOn w:val="1"/>
    <w:next w:val="1"/>
    <w:semiHidden/>
    <w:qFormat/>
    <w:uiPriority w:val="0"/>
    <w:pPr>
      <w:ind w:left="1200"/>
    </w:pPr>
    <w:rPr>
      <w:rFonts w:ascii="Times New Roman" w:hAnsi="Times New Roman"/>
      <w:szCs w:val="20"/>
    </w:rPr>
  </w:style>
  <w:style w:type="paragraph" w:customStyle="1" w:styleId="321">
    <w:name w:val="索引 91"/>
    <w:basedOn w:val="1"/>
    <w:next w:val="1"/>
    <w:semiHidden/>
    <w:qFormat/>
    <w:uiPriority w:val="0"/>
    <w:pPr>
      <w:ind w:left="1600"/>
    </w:pPr>
    <w:rPr>
      <w:rFonts w:ascii="Times New Roman" w:hAnsi="Times New Roman"/>
      <w:szCs w:val="20"/>
    </w:rPr>
  </w:style>
  <w:style w:type="paragraph" w:customStyle="1" w:styleId="322">
    <w:name w:val="HTML 预设格式1"/>
    <w:basedOn w:val="1"/>
    <w:link w:val="32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23">
    <w:name w:val="HTML 预设格式 字符"/>
    <w:link w:val="322"/>
    <w:qFormat/>
    <w:uiPriority w:val="0"/>
    <w:rPr>
      <w:rFonts w:ascii="Arial" w:hAnsi="Arial"/>
      <w:sz w:val="24"/>
      <w:szCs w:val="24"/>
    </w:rPr>
  </w:style>
  <w:style w:type="paragraph" w:customStyle="1" w:styleId="324">
    <w:name w:val="索引 21"/>
    <w:basedOn w:val="1"/>
    <w:next w:val="1"/>
    <w:semiHidden/>
    <w:qFormat/>
    <w:uiPriority w:val="0"/>
    <w:pPr>
      <w:ind w:left="200"/>
    </w:pPr>
    <w:rPr>
      <w:rFonts w:ascii="Times New Roman" w:hAnsi="Times New Roman"/>
      <w:szCs w:val="20"/>
    </w:rPr>
  </w:style>
  <w:style w:type="character" w:customStyle="1" w:styleId="325">
    <w:name w:val="强调1"/>
    <w:qFormat/>
    <w:uiPriority w:val="20"/>
    <w:rPr>
      <w:i/>
      <w:iCs/>
    </w:rPr>
  </w:style>
  <w:style w:type="character" w:customStyle="1" w:styleId="326">
    <w:name w:val="脚注引用1"/>
    <w:unhideWhenUsed/>
    <w:qFormat/>
    <w:uiPriority w:val="0"/>
    <w:rPr>
      <w:vertAlign w:val="superscript"/>
    </w:rPr>
  </w:style>
  <w:style w:type="character" w:customStyle="1" w:styleId="327">
    <w:name w:val="标题 1 字符"/>
    <w:qFormat/>
    <w:uiPriority w:val="9"/>
    <w:rPr>
      <w:rFonts w:ascii="宋体" w:hAnsi="宋体"/>
      <w:b/>
      <w:sz w:val="36"/>
    </w:rPr>
  </w:style>
  <w:style w:type="character" w:customStyle="1" w:styleId="328">
    <w:name w:val="标题 2 字符2"/>
    <w:qFormat/>
    <w:uiPriority w:val="0"/>
    <w:rPr>
      <w:rFonts w:eastAsia="楷体_GB2312"/>
      <w:b/>
      <w:bCs/>
      <w:sz w:val="28"/>
      <w:szCs w:val="28"/>
    </w:rPr>
  </w:style>
  <w:style w:type="character" w:customStyle="1" w:styleId="329">
    <w:name w:val="正文缩进 字符"/>
    <w:qFormat/>
    <w:uiPriority w:val="0"/>
    <w:rPr>
      <w:sz w:val="21"/>
    </w:rPr>
  </w:style>
  <w:style w:type="character" w:customStyle="1" w:styleId="330">
    <w:name w:val="批注文字 字符1"/>
    <w:qFormat/>
    <w:uiPriority w:val="0"/>
    <w:rPr>
      <w:sz w:val="21"/>
    </w:rPr>
  </w:style>
  <w:style w:type="character" w:customStyle="1" w:styleId="331">
    <w:name w:val="正文文本 字符2"/>
    <w:qFormat/>
    <w:uiPriority w:val="0"/>
    <w:rPr>
      <w:rFonts w:ascii="楷体_GB2312" w:hAnsi="Arial" w:eastAsia="楷体_GB2312"/>
      <w:sz w:val="28"/>
    </w:rPr>
  </w:style>
  <w:style w:type="character" w:customStyle="1" w:styleId="332">
    <w:name w:val="正文文本缩进 字符"/>
    <w:qFormat/>
    <w:uiPriority w:val="0"/>
    <w:rPr>
      <w:rFonts w:ascii="宋体"/>
      <w:sz w:val="28"/>
    </w:rPr>
  </w:style>
  <w:style w:type="character" w:customStyle="1" w:styleId="333">
    <w:name w:val="纯文本 字符"/>
    <w:qFormat/>
    <w:uiPriority w:val="0"/>
    <w:rPr>
      <w:rFonts w:ascii="宋体" w:hAnsi="Courier New"/>
      <w:sz w:val="21"/>
    </w:rPr>
  </w:style>
  <w:style w:type="character" w:customStyle="1" w:styleId="334">
    <w:name w:val="日期 字符1"/>
    <w:qFormat/>
    <w:uiPriority w:val="0"/>
    <w:rPr>
      <w:rFonts w:ascii="宋体"/>
      <w:sz w:val="28"/>
    </w:rPr>
  </w:style>
  <w:style w:type="character" w:customStyle="1" w:styleId="335">
    <w:name w:val="批注框文本 字符"/>
    <w:qFormat/>
    <w:uiPriority w:val="0"/>
    <w:rPr>
      <w:sz w:val="18"/>
      <w:szCs w:val="18"/>
    </w:rPr>
  </w:style>
  <w:style w:type="character" w:customStyle="1" w:styleId="336">
    <w:name w:val="签名 字符1"/>
    <w:link w:val="315"/>
    <w:qFormat/>
    <w:uiPriority w:val="0"/>
    <w:rPr>
      <w:rFonts w:ascii="Times New Roman" w:hAnsi="Times New Roman" w:eastAsia="仿宋_GB2312"/>
      <w:sz w:val="24"/>
    </w:rPr>
  </w:style>
  <w:style w:type="character" w:customStyle="1" w:styleId="337">
    <w:name w:val="批注主题 字符"/>
    <w:qFormat/>
    <w:uiPriority w:val="0"/>
    <w:rPr>
      <w:b/>
      <w:bCs/>
      <w:sz w:val="21"/>
    </w:rPr>
  </w:style>
  <w:style w:type="character" w:customStyle="1" w:styleId="338">
    <w:name w:val="正文文本 字符"/>
    <w:qFormat/>
    <w:uiPriority w:val="0"/>
    <w:rPr>
      <w:rFonts w:ascii="楷体_GB2312" w:hAnsi="Arial" w:eastAsia="楷体_GB2312"/>
      <w:sz w:val="28"/>
    </w:rPr>
  </w:style>
  <w:style w:type="character" w:customStyle="1" w:styleId="339">
    <w:name w:val="列表段落 字符"/>
    <w:link w:val="260"/>
    <w:qFormat/>
    <w:uiPriority w:val="34"/>
    <w:rPr>
      <w:sz w:val="24"/>
      <w:szCs w:val="24"/>
      <w:lang w:eastAsia="en-US" w:bidi="en-US"/>
    </w:rPr>
  </w:style>
  <w:style w:type="paragraph" w:customStyle="1" w:styleId="340">
    <w:name w:val="Char Char Char"/>
    <w:basedOn w:val="1"/>
    <w:qFormat/>
    <w:uiPriority w:val="0"/>
    <w:pPr>
      <w:numPr>
        <w:ilvl w:val="0"/>
        <w:numId w:val="4"/>
      </w:numPr>
      <w:tabs>
        <w:tab w:val="left" w:pos="1545"/>
      </w:tabs>
    </w:pPr>
    <w:rPr>
      <w:rFonts w:ascii="Times New Roman" w:hAnsi="Times New Roman"/>
      <w:szCs w:val="20"/>
    </w:rPr>
  </w:style>
  <w:style w:type="paragraph" w:customStyle="1" w:styleId="341">
    <w:name w:val="Plain Text1"/>
    <w:basedOn w:val="1"/>
    <w:qFormat/>
    <w:uiPriority w:val="0"/>
    <w:rPr>
      <w:rFonts w:ascii="宋体" w:hAnsi="Courier New" w:eastAsia="楷体_GB2312"/>
      <w:sz w:val="28"/>
      <w:szCs w:val="20"/>
    </w:rPr>
  </w:style>
  <w:style w:type="paragraph" w:customStyle="1" w:styleId="34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43">
    <w:name w:val="Char1 Char Char Char"/>
    <w:basedOn w:val="1"/>
    <w:qFormat/>
    <w:uiPriority w:val="0"/>
    <w:rPr>
      <w:rFonts w:ascii="Tahoma" w:hAnsi="Tahoma"/>
      <w:sz w:val="24"/>
      <w:szCs w:val="20"/>
    </w:rPr>
  </w:style>
  <w:style w:type="paragraph" w:customStyle="1" w:styleId="344">
    <w:name w:val="Char Char1 Char Char Char Char Char Char Char"/>
    <w:basedOn w:val="1"/>
    <w:qFormat/>
    <w:uiPriority w:val="0"/>
    <w:rPr>
      <w:rFonts w:ascii="Calibri Light" w:hAnsi="Calibri Light" w:cs="Berlin Sans FB Demi"/>
      <w:sz w:val="24"/>
      <w:szCs w:val="20"/>
    </w:rPr>
  </w:style>
  <w:style w:type="paragraph" w:customStyle="1" w:styleId="345">
    <w:name w:val="Char Char"/>
    <w:basedOn w:val="1"/>
    <w:qFormat/>
    <w:uiPriority w:val="0"/>
    <w:rPr>
      <w:rFonts w:ascii="Times New Roman" w:hAnsi="Times New Roman"/>
      <w:szCs w:val="21"/>
    </w:rPr>
  </w:style>
  <w:style w:type="paragraph" w:customStyle="1" w:styleId="346">
    <w:name w:val="_Style 12"/>
    <w:basedOn w:val="237"/>
    <w:qFormat/>
    <w:uiPriority w:val="0"/>
    <w:pPr>
      <w:widowControl/>
      <w:spacing w:line="360" w:lineRule="auto"/>
      <w:jc w:val="left"/>
    </w:pPr>
    <w:rPr>
      <w:sz w:val="24"/>
      <w:szCs w:val="24"/>
    </w:rPr>
  </w:style>
  <w:style w:type="character" w:customStyle="1" w:styleId="347">
    <w:name w:val="正文缩进 Char1"/>
    <w:qFormat/>
    <w:uiPriority w:val="0"/>
    <w:rPr>
      <w:rFonts w:eastAsia="楷体_GB2312"/>
      <w:sz w:val="24"/>
    </w:rPr>
  </w:style>
  <w:style w:type="character" w:customStyle="1" w:styleId="348">
    <w:name w:val="纯文本 字符1"/>
    <w:qFormat/>
    <w:uiPriority w:val="0"/>
    <w:rPr>
      <w:rFonts w:ascii="宋体" w:hAnsi="Courier New"/>
    </w:rPr>
  </w:style>
  <w:style w:type="character" w:customStyle="1" w:styleId="349">
    <w:name w:val="未处理的提及1"/>
    <w:unhideWhenUsed/>
    <w:qFormat/>
    <w:uiPriority w:val="99"/>
    <w:rPr>
      <w:color w:val="605E5C"/>
      <w:shd w:val="clear" w:color="auto" w:fill="E1DFDD"/>
    </w:rPr>
  </w:style>
  <w:style w:type="character" w:customStyle="1" w:styleId="350">
    <w:name w:val="批注文字 字符"/>
    <w:qFormat/>
    <w:uiPriority w:val="0"/>
    <w:rPr>
      <w:sz w:val="21"/>
    </w:rPr>
  </w:style>
  <w:style w:type="character" w:customStyle="1" w:styleId="351">
    <w:name w:val="标题 2 字符"/>
    <w:qFormat/>
    <w:uiPriority w:val="0"/>
    <w:rPr>
      <w:rFonts w:eastAsia="楷体_GB2312"/>
      <w:b/>
      <w:bCs/>
      <w:sz w:val="28"/>
      <w:szCs w:val="28"/>
    </w:rPr>
  </w:style>
  <w:style w:type="character" w:customStyle="1" w:styleId="352">
    <w:name w:val="日期 字符"/>
    <w:qFormat/>
    <w:uiPriority w:val="0"/>
    <w:rPr>
      <w:rFonts w:ascii="宋体"/>
      <w:sz w:val="28"/>
    </w:rPr>
  </w:style>
  <w:style w:type="character" w:customStyle="1" w:styleId="353">
    <w:name w:val="正文文本 字符1"/>
    <w:qFormat/>
    <w:uiPriority w:val="0"/>
    <w:rPr>
      <w:rFonts w:ascii="楷体_GB2312" w:hAnsi="Arial" w:eastAsia="楷体_GB2312"/>
      <w:sz w:val="28"/>
    </w:rPr>
  </w:style>
  <w:style w:type="paragraph" w:customStyle="1" w:styleId="354">
    <w:name w:val="_正文段落"/>
    <w:basedOn w:val="1"/>
    <w:link w:val="355"/>
    <w:qFormat/>
    <w:uiPriority w:val="0"/>
    <w:pPr>
      <w:spacing w:line="360" w:lineRule="auto"/>
      <w:ind w:firstLine="480"/>
    </w:pPr>
    <w:rPr>
      <w:rFonts w:ascii="宋体" w:hAnsi="宋体"/>
      <w:sz w:val="24"/>
      <w:szCs w:val="24"/>
    </w:rPr>
  </w:style>
  <w:style w:type="character" w:customStyle="1" w:styleId="355">
    <w:name w:val="_正文段落 Char"/>
    <w:link w:val="354"/>
    <w:qFormat/>
    <w:uiPriority w:val="0"/>
    <w:rPr>
      <w:rFonts w:ascii="宋体" w:hAnsi="宋体"/>
      <w:sz w:val="24"/>
      <w:szCs w:val="24"/>
    </w:rPr>
  </w:style>
  <w:style w:type="character" w:customStyle="1" w:styleId="356">
    <w:name w:val="cf01"/>
    <w:qFormat/>
    <w:uiPriority w:val="0"/>
    <w:rPr>
      <w:rFonts w:hint="eastAsia" w:ascii="Microsoft YaHei UI" w:hAnsi="Microsoft YaHei UI" w:eastAsia="Microsoft YaHei UI"/>
      <w:b/>
      <w:bCs/>
      <w:sz w:val="18"/>
      <w:szCs w:val="18"/>
    </w:rPr>
  </w:style>
  <w:style w:type="character" w:customStyle="1" w:styleId="357">
    <w:name w:val="标题 2 字符1"/>
    <w:qFormat/>
    <w:uiPriority w:val="0"/>
    <w:rPr>
      <w:rFonts w:eastAsia="楷体_GB2312"/>
      <w:b/>
      <w:bCs/>
      <w:sz w:val="28"/>
      <w:szCs w:val="28"/>
    </w:rPr>
  </w:style>
  <w:style w:type="paragraph" w:customStyle="1" w:styleId="358">
    <w:name w:val="pf0"/>
    <w:basedOn w:val="1"/>
    <w:autoRedefine/>
    <w:qFormat/>
    <w:uiPriority w:val="0"/>
    <w:pPr>
      <w:widowControl/>
      <w:spacing w:before="100" w:beforeAutospacing="1" w:after="100" w:afterAutospacing="1"/>
      <w:jc w:val="left"/>
    </w:pPr>
    <w:rPr>
      <w:rFonts w:ascii="宋体" w:hAnsi="宋体" w:cs="宋体"/>
      <w:sz w:val="24"/>
      <w:szCs w:val="24"/>
    </w:rPr>
  </w:style>
  <w:style w:type="character" w:customStyle="1" w:styleId="359">
    <w:name w:val="cf11"/>
    <w:qFormat/>
    <w:uiPriority w:val="0"/>
    <w:rPr>
      <w:rFonts w:hint="eastAsia" w:ascii="Microsoft YaHei UI" w:hAnsi="Microsoft YaHei UI" w:eastAsia="Microsoft YaHei UI"/>
      <w:sz w:val="18"/>
      <w:szCs w:val="18"/>
    </w:rPr>
  </w:style>
  <w:style w:type="character" w:customStyle="1" w:styleId="360">
    <w:name w:val="cf21"/>
    <w:qFormat/>
    <w:uiPriority w:val="0"/>
    <w:rPr>
      <w:rFonts w:hint="eastAsia" w:ascii="Microsoft YaHei UI" w:hAnsi="Microsoft YaHei UI" w:eastAsia="Microsoft YaHei UI"/>
      <w:b/>
      <w:bCs/>
      <w:sz w:val="18"/>
      <w:szCs w:val="18"/>
    </w:rPr>
  </w:style>
  <w:style w:type="paragraph" w:customStyle="1" w:styleId="361">
    <w:name w:val="TOC 标题11"/>
    <w:basedOn w:val="194"/>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62">
    <w:name w:val="普通正文 Char"/>
    <w:link w:val="243"/>
    <w:qFormat/>
    <w:uiPriority w:val="0"/>
    <w:rPr>
      <w:rFonts w:ascii="Arial" w:hAnsi="Arial"/>
      <w:sz w:val="24"/>
      <w:szCs w:val="24"/>
    </w:rPr>
  </w:style>
  <w:style w:type="character" w:customStyle="1" w:styleId="363">
    <w:name w:val="批注文字 字符2"/>
    <w:basedOn w:val="40"/>
    <w:link w:val="13"/>
    <w:semiHidden/>
    <w:qFormat/>
    <w:uiPriority w:val="99"/>
    <w:rPr>
      <w:sz w:val="21"/>
      <w:szCs w:val="22"/>
    </w:rPr>
  </w:style>
  <w:style w:type="character" w:customStyle="1" w:styleId="364">
    <w:name w:val="批注主题 字符1"/>
    <w:basedOn w:val="363"/>
    <w:link w:val="37"/>
    <w:semiHidden/>
    <w:qFormat/>
    <w:uiPriority w:val="99"/>
    <w:rPr>
      <w:b/>
      <w:bCs/>
      <w:sz w:val="21"/>
      <w:szCs w:val="22"/>
    </w:rPr>
  </w:style>
  <w:style w:type="character" w:customStyle="1" w:styleId="365">
    <w:name w:val="批注框文本 字符1"/>
    <w:basedOn w:val="40"/>
    <w:link w:val="24"/>
    <w:semiHidden/>
    <w:qFormat/>
    <w:uiPriority w:val="99"/>
    <w:rPr>
      <w:sz w:val="18"/>
      <w:szCs w:val="18"/>
    </w:rPr>
  </w:style>
  <w:style w:type="character" w:customStyle="1" w:styleId="366">
    <w:name w:val="1、 字符"/>
    <w:link w:val="367"/>
    <w:qFormat/>
    <w:uiPriority w:val="0"/>
    <w:rPr>
      <w:kern w:val="2"/>
      <w:sz w:val="24"/>
      <w:szCs w:val="24"/>
    </w:rPr>
  </w:style>
  <w:style w:type="paragraph" w:customStyle="1" w:styleId="367">
    <w:name w:val="1、"/>
    <w:basedOn w:val="1"/>
    <w:link w:val="366"/>
    <w:qFormat/>
    <w:uiPriority w:val="0"/>
    <w:pPr>
      <w:spacing w:line="440" w:lineRule="exact"/>
      <w:ind w:firstLine="200" w:firstLineChars="200"/>
    </w:pPr>
    <w:rPr>
      <w:kern w:val="2"/>
      <w:sz w:val="24"/>
      <w:szCs w:val="24"/>
    </w:rPr>
  </w:style>
  <w:style w:type="paragraph" w:customStyle="1" w:styleId="368">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369">
    <w:name w:val="15"/>
    <w:basedOn w:val="40"/>
    <w:qFormat/>
    <w:uiPriority w:val="0"/>
    <w:rPr>
      <w:rFonts w:hint="default" w:ascii="Calibri" w:hAnsi="Calibri" w:cs="Calibri"/>
    </w:rPr>
  </w:style>
  <w:style w:type="character" w:customStyle="1" w:styleId="370">
    <w:name w:val="普通(网站) 字符"/>
    <w:link w:val="35"/>
    <w:qFormat/>
    <w:locked/>
    <w:uiPriority w:val="99"/>
    <w:rPr>
      <w:rFonts w:ascii="宋体" w:hAnsi="宋体" w:cs="宋体"/>
      <w:sz w:val="24"/>
      <w:szCs w:val="24"/>
    </w:rPr>
  </w:style>
  <w:style w:type="paragraph" w:customStyle="1" w:styleId="371">
    <w:name w:val="纯文本2"/>
    <w:basedOn w:val="1"/>
    <w:qFormat/>
    <w:uiPriority w:val="0"/>
    <w:pPr>
      <w:adjustRightInd w:val="0"/>
    </w:pPr>
    <w:rPr>
      <w:rFonts w:hint="eastAsia" w:ascii="宋体" w:hAnsi="Courier New" w:eastAsia="楷体_GB2312"/>
      <w:kern w:val="2"/>
      <w:sz w:val="28"/>
      <w:szCs w:val="20"/>
    </w:rPr>
  </w:style>
  <w:style w:type="table" w:customStyle="1" w:styleId="372">
    <w:name w:val="Table Normal"/>
    <w:unhideWhenUsed/>
    <w:qFormat/>
    <w:uiPriority w:val="0"/>
    <w:tblPr>
      <w:tblCellMar>
        <w:top w:w="0" w:type="dxa"/>
        <w:left w:w="0" w:type="dxa"/>
        <w:bottom w:w="0" w:type="dxa"/>
        <w:right w:w="0" w:type="dxa"/>
      </w:tblCellMar>
    </w:tblPr>
  </w:style>
  <w:style w:type="paragraph" w:customStyle="1" w:styleId="373">
    <w:name w:val="Table Text"/>
    <w:basedOn w:val="1"/>
    <w:semiHidden/>
    <w:qFormat/>
    <w:uiPriority w:val="0"/>
    <w:rPr>
      <w:rFonts w:ascii="宋体" w:hAnsi="宋体" w:cs="宋体"/>
      <w:szCs w:val="21"/>
      <w:lang w:eastAsia="en-US"/>
    </w:rPr>
  </w:style>
  <w:style w:type="paragraph" w:customStyle="1" w:styleId="374">
    <w:name w:val="正文！！！"/>
    <w:basedOn w:val="1"/>
    <w:qFormat/>
    <w:uiPriority w:val="0"/>
    <w:pPr>
      <w:spacing w:line="440" w:lineRule="exact"/>
      <w:ind w:firstLine="200" w:firstLineChars="200"/>
    </w:pPr>
    <w:rPr>
      <w:sz w:val="24"/>
      <w:szCs w:val="24"/>
    </w:rPr>
  </w:style>
  <w:style w:type="paragraph" w:customStyle="1" w:styleId="375">
    <w:name w:val="标题 3.1"/>
    <w:basedOn w:val="4"/>
    <w:autoRedefine/>
    <w:qFormat/>
    <w:uiPriority w:val="0"/>
    <w:pPr>
      <w:tabs>
        <w:tab w:val="left" w:pos="1440"/>
        <w:tab w:val="left" w:pos="1620"/>
      </w:tabs>
      <w:spacing w:before="260" w:after="260" w:line="600" w:lineRule="exact"/>
    </w:pPr>
    <w:rPr>
      <w:b/>
      <w:color w:val="FF0000"/>
      <w:sz w:val="32"/>
    </w:rPr>
  </w:style>
  <w:style w:type="paragraph" w:customStyle="1" w:styleId="376">
    <w:name w:val="Table Paragraph"/>
    <w:basedOn w:val="1"/>
    <w:qFormat/>
    <w:uiPriority w:val="1"/>
    <w:rPr>
      <w:rFonts w:ascii="宋体" w:hAnsi="宋体" w:cs="宋体"/>
      <w:lang w:val="zh-CN" w:bidi="zh-CN"/>
    </w:rPr>
  </w:style>
  <w:style w:type="paragraph" w:customStyle="1" w:styleId="377">
    <w:name w:val="首行缩进"/>
    <w:basedOn w:val="274"/>
    <w:qFormat/>
    <w:uiPriority w:val="0"/>
    <w:pPr>
      <w:ind w:firstLine="200"/>
    </w:pPr>
    <w:rPr>
      <w:sz w:val="20"/>
    </w:rPr>
  </w:style>
  <w:style w:type="character" w:customStyle="1" w:styleId="378">
    <w:name w:val="font11"/>
    <w:qFormat/>
    <w:uiPriority w:val="0"/>
    <w:rPr>
      <w:rFonts w:hint="eastAsia" w:ascii="微软雅黑" w:hAnsi="微软雅黑" w:eastAsia="微软雅黑" w:cs="微软雅黑"/>
      <w:color w:val="000000"/>
      <w:sz w:val="20"/>
      <w:szCs w:val="20"/>
      <w:u w:val="none"/>
    </w:rPr>
  </w:style>
  <w:style w:type="paragraph" w:customStyle="1" w:styleId="379">
    <w:name w:val="正文111"/>
    <w:next w:val="1"/>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21048</Words>
  <Characters>22508</Characters>
  <Lines>283</Lines>
  <Paragraphs>79</Paragraphs>
  <TotalTime>8</TotalTime>
  <ScaleCrop>false</ScaleCrop>
  <LinksUpToDate>false</LinksUpToDate>
  <CharactersWithSpaces>23408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2024-10-31T18:51:00Z</dcterms:created>
  <dc:creator>赵国文</dc:creator>
  <cp:lastModifiedBy>大大大温柔v*</cp:lastModifiedBy>
  <dcterms:modified xsi:type="dcterms:W3CDTF">2026-05-26T07:22:01Z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BBF3612BC8E34BA3A419F171CB7E04BB_13</vt:lpwstr>
  </property>
  <property fmtid="{D5CDD505-2E9C-101B-9397-08002B2CF9AE}" pid="4" name="KSOTemplateDocerSaveRecord">
    <vt:lpwstr>eyJoZGlkIjoiYzc2ODQ5ZjVhOWM2ZDA2MGQ2ZjM3ZWM1NzNlYWMyOTIiLCJ1c2VySWQiOiI1NDgyNzE2ODUifQ==</vt:lpwstr>
  </property>
</Properties>
</file>