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项目名称：江苏省人民医院“靶向</w:t>
      </w:r>
      <w:r>
        <w:rPr>
          <w:rFonts w:ascii="Arial" w:hAnsi="Arial" w:eastAsia="Arial" w:cs="Arial"/>
          <w:b/>
          <w:color w:val="000000"/>
          <w:sz w:val="32"/>
        </w:rPr>
        <w:t xml:space="preserve">CD19/CD20</w:t>
      </w:r>
      <w:r>
        <w:rPr>
          <w:rFonts w:ascii="SimSun" w:hAnsi="SimSun" w:eastAsia="SimSun" w:cs="SimSun"/>
          <w:b/>
          <w:color w:val="000000"/>
          <w:sz w:val="32"/>
        </w:rPr>
        <w:t xml:space="preserve">双靶点的通用型</w:t>
      </w:r>
      <w:r>
        <w:rPr>
          <w:rFonts w:ascii="Arial" w:hAnsi="Arial" w:eastAsia="Arial" w:cs="Arial"/>
          <w:b/>
          <w:color w:val="000000"/>
          <w:sz w:val="32"/>
        </w:rPr>
        <w:t xml:space="preserve">CART</w:t>
      </w:r>
      <w:r>
        <w:rPr>
          <w:rFonts w:ascii="SimSun" w:hAnsi="SimSun" w:eastAsia="SimSun" w:cs="SimSun"/>
          <w:b/>
          <w:color w:val="000000"/>
          <w:sz w:val="32"/>
        </w:rPr>
        <w:t xml:space="preserve">细胞制剂在治疗复发</w:t>
      </w:r>
      <w:r>
        <w:rPr>
          <w:rFonts w:ascii="Arial" w:hAnsi="Arial" w:eastAsia="Arial" w:cs="Arial"/>
          <w:b/>
          <w:color w:val="000000"/>
          <w:sz w:val="32"/>
        </w:rPr>
        <w:t xml:space="preserve">/</w:t>
      </w:r>
      <w:r>
        <w:rPr>
          <w:rFonts w:ascii="SimSun" w:hAnsi="SimSun" w:eastAsia="SimSun" w:cs="SimSun"/>
          <w:b/>
          <w:color w:val="000000"/>
          <w:sz w:val="32"/>
        </w:rPr>
        <w:t xml:space="preserve">难治</w:t>
      </w:r>
      <w:r>
        <w:rPr>
          <w:rFonts w:ascii="Arial" w:hAnsi="Arial" w:eastAsia="Arial" w:cs="Arial"/>
          <w:b/>
          <w:color w:val="000000"/>
          <w:sz w:val="32"/>
        </w:rPr>
        <w:t xml:space="preserve">B</w:t>
      </w:r>
      <w:r>
        <w:rPr>
          <w:rFonts w:ascii="SimSun" w:hAnsi="SimSun" w:eastAsia="SimSun" w:cs="SimSun"/>
          <w:b/>
          <w:color w:val="000000"/>
          <w:sz w:val="32"/>
        </w:rPr>
        <w:t xml:space="preserve">细胞非霍奇金巴瘤中的研究及应用”多组学检测与分析服务项目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（标包</w:t>
      </w:r>
      <w:r>
        <w:rPr>
          <w:rFonts w:ascii="Arial" w:hAnsi="Arial" w:eastAsia="Arial" w:cs="Arial"/>
          <w:b/>
          <w:color w:val="000000"/>
          <w:sz w:val="32"/>
        </w:rPr>
        <w:t xml:space="preserve">1</w:t>
      </w:r>
      <w:r>
        <w:rPr>
          <w:rFonts w:ascii="SimSun" w:hAnsi="SimSun" w:eastAsia="SimSun" w:cs="SimSun"/>
          <w:b/>
          <w:color w:val="000000"/>
          <w:sz w:val="32"/>
        </w:rPr>
        <w:t xml:space="preserve">）单细胞测序与分析服务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rPr>
          <w:rFonts w:ascii="Arial" w:hAnsi="Arial" w:eastAsia="Arial" w:cs="Arial"/>
          <w:b/>
          <w:color w:val="000000"/>
          <w:sz w:val="32"/>
        </w:rPr>
        <w:t xml:space="preserve">JSZC-320000-JCEC-G2026-00/1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rPr>
          <w:rFonts w:ascii="Arial" w:hAnsi="Arial" w:eastAsia="Arial" w:cs="Arial"/>
          <w:b/>
          <w:color w:val="000000"/>
          <w:sz w:val="32"/>
        </w:rPr>
        <w:t xml:space="preserve">ZJ06602653ZC01106/1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采购人：江苏省人民医院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投标邀请……………………………………2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投标人须知…………………………………5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采购需求……………………………………25</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评标方法与评标标准………………………40</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人民医院的委托，江苏省设备成套股份有限公司就江苏省人民医院“靶向CD19/CD20双靶点的通用型CART细胞制剂在治疗复发/难治B细胞非霍奇金巴瘤中的研究及应用”多组学检测与分析服务项目（JSZC-320000-SCZX-G2026-0098）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江苏省人民医院“靶向CD19/CD20双靶点的通用型CART细胞制剂在治疗复发/难治B细胞非霍奇金巴瘤中的研究及应用”多组学检测与分析服务项目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2026年5月19日14点00分（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1.采购编号：JSZC-320000-SCZX-G2026-0098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2.项目名称：江苏省人民医院“靶向CD19/CD20双靶点的通用型CART细胞制剂在治疗复发/难治B细胞非霍奇金巴瘤中的研究及应用”多组学检测与分析服务项目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3.预算金额：220万元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单细胞测序与分析服务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单细胞测序与分析服务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满足科研需要，供应商需提供以下检测与配套分析服务：1.单细胞组学服务：支持同时获取单细胞转录组mRNA与特定多模态信息（免疫组库/糖基化等）。2.代谢组学服务：提供基于质谱平台的代谢物检测、质控与统计/通路分析。3.蛋白组学服务：提供基于质谱平台的蛋白定量检测、质控与差异/通路分析。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6.合同履行期限：壹年。</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2024或2025年度的财务状况报告（成立不满一年无需提供）；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具体详见第三章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3.联合体投标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4"/>
        <w:gridCol w:w="3609"/>
        <w:gridCol w:w="34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6"/>
        <w:gridCol w:w="72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1"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（1）单位负责人为同一人或者存在直接控股、管理关系的不同供应商，不得同时参加本项目同一包的投标。（提供声明或承诺书）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1.2026年5月19日14点00分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1.本项目在江苏政府采购网发布公告。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2.本项目开标、评标、定标按包1、包2的顺序依次进行。评标委员会仅对确定为实质性响应招标文件要求的投标文件进行评价和比较。</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江苏省人民医院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南京市鼓楼区广州路300号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025-68307322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2.招标代理机构信息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江苏省设备成套股份有限公司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南京市鼓楼区清江南路18号鼓楼创新广场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伦振波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025-83300811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有关本次招标的事项若存在变动或修改，敬请及时关注江苏省设备成套股份有限公司在“江苏政府采购网”发布的更正公告。</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w:t>
      </w:r>
      <w:r>
        <w:rPr>
          <w:rFonts w:ascii="SimSun" w:hAnsi="SimSun" w:eastAsia="SimSun" w:cs="SimSun"/>
          <w:color w:val="000000"/>
          <w:sz w:val="21"/>
        </w:rPr>
        <w:t xml:space="preserve">本项目标的所属行业：其他未列明行业。</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3</w:t>
      </w:r>
      <w:r>
        <w:rPr>
          <w:rFonts w:ascii="SimHei" w:hAnsi="SimHei" w:eastAsia="SimHei" w:cs="SimHei"/>
          <w:b/>
          <w:color w:val="000000"/>
          <w:sz w:val="28"/>
        </w:rPr>
        <w:t xml:space="preserve">、适用法律和标准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投标人应自行承担所有与参加投标有关的费用，无论投标过程中的做法和结果如何，江苏省设备成套股份有限公司（以下简称成套公司）在任何情况下均无义务和责任承担这些费用。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成套公司和招标人不收取标书工本费，但中标人须向招标代理机构支付中标服务费。本次招标，中标人按《采购代理服务收费管理暂行办法》（国家发展计划委员会计价格[2002]1980号）收费标准的48%计算，向招标代理机构支付采购服务费，含投标报价中。</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请仔细检查招标文件是否齐全，如有缺漏请立即与成套公司联系解决。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在投标截止时间前，成套公司可以对招标文件进行修改。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成套公司有权按照法定的要求推迟投标截止日期和开标日期。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投标人提交的投标文件以及投标人与成套公司就有关投标的所有来往通知、函件和文件均应使用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投标有效期为开标之日后</w:t>
      </w:r>
      <w:r>
        <w:rPr>
          <w:rFonts w:ascii="SimSun" w:hAnsi="SimSun" w:eastAsia="SimSun" w:cs="SimSun"/>
          <w:b/>
          <w:color w:val="000000"/>
          <w:sz w:val="24"/>
          <w:u w:val="single"/>
        </w:rPr>
        <w:t xml:space="preserve">九十（</w:t>
      </w:r>
      <w:r>
        <w:rPr>
          <w:rFonts w:ascii="FangSong" w:hAnsi="FangSong" w:eastAsia="FangSong" w:cs="FangSong"/>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成套公司于原投标有效期满之前，可向投标人提出延长投标有效期的要求。这种要求与答复均应采用书面形式。投标人可以拒绝成套公司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479" w:right="0" w:firstLine="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rPr>
          <w:rFonts w:ascii="SimHei" w:hAnsi="SimHei" w:eastAsia="SimHei" w:cs="SimHei"/>
          <w:color w:val="000000"/>
          <w:sz w:val="28"/>
        </w:rPr>
        <w:t xml:space="preserve">17、投标截止时间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成套公司可以按照规定，通过修改招标文件酌情延长投标截止时间，在此情况下，投标人的所有权利和义务以及投标人受制的截止时间均应以延长后新的截止时间为准。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18.1成套公司拒绝接收在其规定的投标截止时间后上传的任何投标文件。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成套公司将在招标公告中规定的时间和地点组织公开开标。投标人应当按照《操作手册》规定，参加开标活动和在苏采云系统规定的时间内对投标文件进行解密。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20.2开标仪式由成套公司组织。苏采云系统将自动对项目进行开标，并宣布各投标人名称和投标价格。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开标后，成套公司将立即组织评标委员会进行评标。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22.1凡是与审查、澄清、评价和比较投标的有关资料以及授标建议等，采购人、评委、成套公司均不得向投标人或与评标无关的其他人员透露。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成套公司和评标委员会不向未中标的投标人解释未中标原因，也不公布评标过程中的相关细节。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未通过资格审查或符合性审查的投标人，成套公司将在苏采云系统中告知未通过资格审查或符合性审查的原因，评标结束后，成套公司将不再告知未通过资格审查和符合性审查的原因。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成套公司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24.6投标人在开、评标全过程中应保持通讯畅通，及时登录苏采云系统查阅、答复相关信息，并安排专人与成套公司及评标委员会联系。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成套公司将在“江苏政府采购网”发布中标公告，公告期限为1个工作日。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26.4.2向采购人、成套公司行贿或者提供其他不正当利益的。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成套公司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供应商应当在法定质疑期内一次性提出针对同一采购程序环节的质疑。供应商如在法定期限内对同一采购程序环节提出多次质疑的，成套公司、采购人将只对供应商第一次质疑作出答复。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成套公司提出，由成套公司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成套公司及采购人只接收以纸质原件形式送达的质疑,建议供应商尽量通过邮寄方式提交质疑（采购人和成套公司不接受无快递运单号的快递）。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成套公司质疑接收部门（快递运单上的收件人填写“质疑处理”即可），联系地址：南京市鼓楼区清江南路18号鼓楼创新广场D座1004室，联系人：程工，联系电话：15050540687。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成套公司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成套公司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合同编号</w:t>
      </w:r>
      <w:r>
        <w:rPr>
          <w:rFonts w:ascii="SimSun" w:hAnsi="SimSun" w:eastAsia="SimSun" w:cs="SimSun"/>
          <w:color w:val="000000"/>
          <w:sz w:val="21"/>
        </w:rPr>
        <w:t xml:space="preserve"> </w:t>
      </w:r>
      <w:r>
        <w:rPr>
          <w:rFonts w:ascii="SimSun" w:hAnsi="SimSun" w:eastAsia="SimSun" w:cs="SimSun"/>
          <w:b/>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委托第三方检测协议</w:t>
      </w:r>
      <w:r/>
    </w:p>
    <w:p>
      <w:pPr>
        <w:ind w:left="3650" w:right="0" w:firstLine="6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(参考模板)</w:t>
      </w:r>
      <w:r/>
    </w:p>
    <w:p>
      <w:pPr>
        <w:ind w:left="0" w:right="0" w:firstLine="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甲方：江苏省人民医院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 ：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鉴于乙方具备提供 </w:t>
      </w:r>
      <w:r>
        <w:rPr>
          <w:rFonts w:ascii="SimSun" w:hAnsi="SimSun" w:eastAsia="SimSun" w:cs="SimSun"/>
          <w:color w:val="000000"/>
          <w:sz w:val="21"/>
          <w:u w:val="single"/>
        </w:rPr>
        <w:t xml:space="preserve">   外包</w:t>
      </w:r>
      <w:r>
        <w:rPr>
          <w:rFonts w:ascii="SimSun" w:hAnsi="SimSun" w:eastAsia="SimSun" w:cs="SimSun"/>
          <w:color w:val="000000"/>
          <w:sz w:val="21"/>
        </w:rPr>
        <w:t xml:space="preserve"> 检测技术服务的资格、技术条件和能力，甲、乙双方经友好协商，在真实、充分地表达各自意愿的基础上，就乙方为甲方提供检测服务等相关事宜达成一致，以资共同遵守。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一、委托内容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甲、乙双方经友好协商，乙方向甲方提供以下检测服务：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
        <w:gridCol w:w="5562"/>
        <w:gridCol w:w="2944"/>
      </w:tblGrid>
      <w:tr>
        <w:trPr>
          <w:trHeight w:val="2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14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81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2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5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自合同签订之日起壹年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二、双方权利与义务</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(一)甲方权利和义务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1.样本采集和前期处理：甲方负责样本采集并保证样本的合法性、合格性。</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2.样本递送：甲方负责向乙方提供样本及每份样本的样本信息，并确保样本与受检者信息一致。甲方根据双方约定的方式（乙方到甲方指定地点上门接收）将上述资料递送至乙方，同时提供签字确认的交接单。</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3.报告接收：甲方应及时接收乙方所发放的检测报告单，电子版本由乙方上传网站供甲方查阅，纸张版本由乙方快递寄送给甲方。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4.样本重采：不符合检测要求需要重新采样的，甲方需根据乙方的反馈信息及时与受检者沟通并安排重新采样，重新采样检测乙方不收取费用。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5.检测收费：合同签订之日起，根据每月实际服务发生数量乘以投标单价向供应商支付相应费用。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6.甲方对乙方有监管权利，对乙方实验室以及提供的检测服务内容、 质量进行定期或不定期质控监督。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(二)乙方权利和义务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1.资料提供：乙方负责提供标本递送所需的相应文本和材料。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接收：乙方安排专人负责接收甲方递送的样本，并将签字确认后的交接单交还甲方。乙方接收到样本后核对样本信息；若发现信息不一致、样本破损或外观异常等现象，则该样本视为不合格样本，乙方应与甲方现场确认样品是否合格、送检信息或重采样本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3.样本检测：乙方负责在接收到合格的样本后，安排样本的检测。所有经过检测后的剩余样本，均由乙方按相关法规负责处理或长期保管，并保证不提供给甲方之外的第三人，包括：</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(1)乙方严格按照相关标准开展本合同委托检测工作，不得转包、分包，保证工作全过程的科学性、准确性、可追溯性，并严格保 障受检者个人隐私及数据安全，所涉及检测内容及结果不外泄；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(2)乙方检测时使用的设备必须在检定合格有效期内，环境符合标准检测要求；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(3)乙方对标本的全程管理符合检测需求和生物安全的要求；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(4)乙方保证检验过程中的质量控制；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(5)乙方保证对甲方送检的合格样本按照甲方申请的检测方法进行检测并对检测结果的质量承担责任；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(6)乙方对经过检测后的剩余样本按《医疗机构临床实验室管理办法》负责处理或长期保管，并保证不提供给甲方之外的第三人，检测报告应保存至合同终止后五年。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(7)乙方必须按照甲方委托书要求内容进行测试，出具检测报告。报告内容必须真实、准确，保证与所测试的数据一致；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须按照项目采购清单要求规定的时间内出具准确可靠的纸质和电子检测报告，加急样本在检测实验室收到样本后加急处理优先出具检测报告，乙方对出具的检测报告负全部责任。若由于样本自身或其他原因而导致的无法出具检测报告的情况，乙方须第一时间通知采购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检验结果的信息化，乙方应根据甲方的需求具体落实并承担因此而发生的费用；检测结果报告中的内容及格式符合相关实验室管理规范要求，支持网上查询检测报告（PC端、APP均可查询）；提供完整的数据对接方案，报告数据可对接甲方医院系统，能实现无纸化传输检测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(10)乙方专业的技术人员负责向甲方解释各项检测方法、质控标准、结果；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(11)配合甲方不定期对样本运输、检测流程、检验结果及检验质量的监督检查；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(12)项目检测要求（详见招标文件第四章项目需求中“项目检测要求”）。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告发放：乙方应根据约定的各检测项目的检测周期将检测报告单以纸质报告和电子报告两种形式发给甲方，乙方自收到标本后，按照不同的检测项目所需周期完成相关检测，加急样本在检测实验室收到样本后加急处理优先出具检测报告。若由于样本自身或其他原因而导致的无法出具检测报告的情况，乙方需在30分钟内通知甲方。若出现检测项目危急值或双方约定的其他异常结果报告，乙方应出检测结果报告后的30分钟内电话通知甲方，并及时出具相应的纸质和电子报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三、受检样本的交接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(一)交接时间：乙方应在甲方通知后</w:t>
      </w:r>
      <w:r>
        <w:rPr>
          <w:rFonts w:ascii="SimSun" w:hAnsi="SimSun" w:eastAsia="SimSun" w:cs="SimSun"/>
          <w:color w:val="000000"/>
          <w:sz w:val="21"/>
          <w:u w:val="single"/>
        </w:rPr>
        <w:t xml:space="preserve">24</w:t>
      </w:r>
      <w:r>
        <w:rPr>
          <w:rFonts w:ascii="SimSun" w:hAnsi="SimSun" w:eastAsia="SimSun" w:cs="SimSun"/>
          <w:color w:val="000000"/>
          <w:sz w:val="21"/>
        </w:rPr>
        <w:t xml:space="preserve"> 小时内到指定地点接收甲方递送的样本和资料。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(二)交接地点： </w:t>
      </w:r>
      <w:r>
        <w:rPr>
          <w:rFonts w:ascii="SimSun" w:hAnsi="SimSun" w:eastAsia="SimSun" w:cs="SimSun"/>
          <w:color w:val="000000"/>
          <w:sz w:val="21"/>
          <w:u w:val="single"/>
        </w:rPr>
        <w:t xml:space="preserve">  甲方指定地点。 </w:t>
      </w:r>
      <w:r>
        <w:rPr>
          <w:rFonts w:ascii="SimSun" w:hAnsi="SimSun" w:eastAsia="SimSun" w:cs="SimSun"/>
          <w:color w:val="000000"/>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(三)交接时甲方应保证包装符合运输和保存的要求；乙方接收或者在甲方通知后24小时，视为乙方已接收。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(四)乙方应当在交接时应对样本及以下资料进行核对：</w:t>
      </w:r>
      <w:r>
        <w:rPr>
          <w:rFonts w:ascii="SimSun" w:hAnsi="SimSun" w:eastAsia="SimSun" w:cs="SimSun"/>
          <w:color w:val="ff0000"/>
          <w:sz w:val="21"/>
        </w:rPr>
        <w:t xml:space="preserve">《</w:t>
      </w:r>
      <w:r>
        <w:rPr>
          <w:rFonts w:ascii="SimSun" w:hAnsi="SimSun" w:eastAsia="SimSun" w:cs="SimSun"/>
          <w:color w:val="000000"/>
          <w:sz w:val="21"/>
        </w:rPr>
        <w:t xml:space="preserve">单细胞测序与分析服务</w:t>
      </w:r>
      <w:r>
        <w:rPr>
          <w:rFonts w:ascii="SimSun" w:hAnsi="SimSun" w:eastAsia="SimSun" w:cs="SimSun"/>
          <w:color w:val="ff0000"/>
          <w:sz w:val="21"/>
        </w:rPr>
        <w:t xml:space="preserve">》</w:t>
      </w:r>
      <w:r>
        <w:rPr>
          <w:rFonts w:ascii="SimSun" w:hAnsi="SimSun" w:eastAsia="SimSun" w:cs="SimSun"/>
          <w:color w:val="000000"/>
          <w:sz w:val="21"/>
        </w:rPr>
        <w:t xml:space="preserve">送检样本交接单</w:t>
      </w:r>
      <w:r>
        <w:rPr>
          <w:rFonts w:ascii="SimSun" w:hAnsi="SimSun" w:eastAsia="SimSun" w:cs="SimSun"/>
          <w:color w:val="000000"/>
          <w:sz w:val="21"/>
          <w:u w:val="single"/>
        </w:rPr>
        <w:t xml:space="preserve">(均以乙方提供的最新版为准)</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(五）受检样本由乙方根据项目方案要求，使用专用标本箱。全程采用冷藏或冷链运输，运输温度维持在2-8℃保存不超过72h。</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四、费用结算</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(一)结算规则：乙方每</w:t>
      </w:r>
      <w:r>
        <w:rPr>
          <w:rFonts w:ascii="SimSun" w:hAnsi="SimSun" w:eastAsia="SimSun" w:cs="SimSun"/>
          <w:color w:val="000000"/>
          <w:sz w:val="21"/>
          <w:u w:val="single"/>
        </w:rPr>
        <w:t xml:space="preserve">月</w:t>
      </w:r>
      <w:r>
        <w:rPr>
          <w:rFonts w:ascii="SimSun" w:hAnsi="SimSun" w:eastAsia="SimSun" w:cs="SimSun"/>
          <w:color w:val="000000"/>
          <w:sz w:val="21"/>
        </w:rPr>
        <w:t xml:space="preserve">(周期)以甲方《单细胞测序与分析服务》项目的含有乙方签收信息的样本交接单中的数量作为统计业务量的依据，乙方将统计量同时发送至甲方。双方核对无误后，甲方在收到乙方开具的相应税务发票后</w:t>
      </w:r>
      <w:r>
        <w:rPr>
          <w:rFonts w:ascii="SimSun" w:hAnsi="SimSun" w:eastAsia="SimSun" w:cs="SimSun"/>
          <w:color w:val="000000"/>
          <w:sz w:val="21"/>
          <w:u w:val="single"/>
        </w:rPr>
        <w:t xml:space="preserve"> 30 </w:t>
      </w:r>
      <w:r>
        <w:rPr>
          <w:rFonts w:ascii="SimSun" w:hAnsi="SimSun" w:eastAsia="SimSun" w:cs="SimSun"/>
          <w:color w:val="000000"/>
          <w:sz w:val="21"/>
        </w:rPr>
        <w:t xml:space="preserve">工作日内，按“业务量×结算价格”向乙方结算该周期内的检测费用。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(二)乙方收款信息：</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rPr>
          <w:rFonts w:ascii="SimSun" w:hAnsi="SimSun" w:eastAsia="SimSun" w:cs="SimSun"/>
          <w:color w:val="000000"/>
          <w:sz w:val="21"/>
        </w:rPr>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(三)禁止现金交易，甲方将款项打入上述账号，即视为完成付款。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(二)乙方只能向因职责所需而需要了解上述保密资料的工作人员透露保密资料，且该工作人员经双方协商授权确定，并应与授权的工作人员签订《保密合同》以防止未经授权向第三人披露。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(三)乙方保证对受检者所有信息保密，除非该信息已经由受检者主动公开。</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(四)除征得甲方事先书面同意外，乙方不得将检测信息用于科研、宣传。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(五)本协议规定的保密义务不因本协议的终止、中止而失效，除非相关资料依法成为公开信息。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(一)延期责任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1.如因乙方原因(包括实验室内样本丢失、检测、出具报告等环节)不能按时提供检测结果导致的出具检测报告延误，由乙方按 </w:t>
      </w:r>
      <w:r>
        <w:rPr>
          <w:rFonts w:ascii="SimSun" w:hAnsi="SimSun" w:eastAsia="SimSun" w:cs="SimSun"/>
          <w:color w:val="000000"/>
          <w:sz w:val="21"/>
          <w:u w:val="single"/>
        </w:rPr>
        <w:t xml:space="preserve"> 800 </w:t>
      </w:r>
      <w:r>
        <w:rPr>
          <w:rFonts w:ascii="SimSun" w:hAnsi="SimSun" w:eastAsia="SimSun" w:cs="SimSun"/>
          <w:color w:val="000000"/>
          <w:sz w:val="21"/>
        </w:rPr>
        <w:t xml:space="preserve">元/份承担违约责任。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不可抗力导致项目延误或协议不能继续履行时，双方均不承担责任。受到不可抗力影响的一方应当及时书面通知另一方，并出具证明材料。不可抗力包括地震、洪水、战争、军事行动、法律或政府政策等相关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(二)违反保密义务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如有违反本协议第五条保密义务的任何规定，则违约方须及时采取措施防止守约方损失扩大，赔偿守约方相关损失并支付1万元作为违约金。因违反保密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(三)禁止转包、分包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乙方应亲自履行合同义务，不得将检测项目转包、分包给第三方进行检测。因违反该条款引发侵权责任诉讼或赔偿事项的由违约方承担侵权法律责任。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(四)检测不准确、不真实的责任承担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如乙方出具的检测报告不准确或不真实，导致甲方对外承担包括但不限于民事赔偿、行政处罚等责任，应由乙方承担甲方经济损失等全部责任，并按最终经济损失的5%向甲方支付违约金。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七、协议履行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w:t>
      </w:r>
      <w:r>
        <w:rPr>
          <w:rFonts w:ascii="SimSun" w:hAnsi="SimSun" w:eastAsia="SimSun" w:cs="SimSun"/>
          <w:color w:val="000000"/>
          <w:sz w:val="21"/>
          <w:u w:val="single"/>
        </w:rPr>
        <w:t xml:space="preserve">(科室、职务、姓名、联系电话、电子邮箱等</w:t>
      </w:r>
      <w:r>
        <w:rPr>
          <w:rFonts w:ascii="SimSun" w:hAnsi="SimSun" w:eastAsia="SimSun" w:cs="SimSun"/>
          <w:color w:val="000000"/>
          <w:sz w:val="21"/>
        </w:rPr>
        <w:t xml:space="preserve">)为甲方项目联系人。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为乙方项目联系人。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一方变更项目联系人的，应当及时并以书面形式通知对方。未及时通知并影响本协议履行或造成损失的，未及时通知一方应承担相应的责任。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八、协议终止</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如乙方在检测过程中出现以下情形，甲方有权终止合作：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1.因包括但不限于操作不规范或不符合技术规范等原因，导致检测结果不准确。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2.未能按照合同约定的时间和质量要求完成检测，不能及时提供检测结果，不可抗力除外。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3.实验室不诚信，出现欺诈行为，包括但不限于篡改室内质控数据、受检者检验数据等。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4.实验室管理不善，出现生物安全隐患。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5.泄露受检者信息造成不良后果或者泄露信息达到1人次。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6.发生其他违反有关法律法规规定的情形。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九、廉洁条款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1.合同各方按照《中华人民共和国民法典》及廉洁条款约定履行。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3.甲方严禁利用任何途径和方式，为乙方统计医师个人及临床科室有关产品用量信息，或为乙方统计提供便利。</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4.乙方不得以回扣、宴请等方式影响甲方工作人员采购或使用产品的选择权，不得在学术活动中提供旅游、超标准支付食宿费用。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6.乙方如违反本廉洁条款，一经发现，甲方有权终止本合同，并向上级主管部门报告。如乙方被列入商业贿赂不良记录，则严格按照国家相关规定处理。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7.本廉洁条款在合同履行过程中，合同各方均需严格遵守。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十、争议解决与文件送达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(一)双方因履行本合同发生争议，应首先通过友好协商解决；协商不成时，可以提交南京市鼓楼区人民法院诉讼解决。</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十一、其他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(一)本协议经双方签字盖章后生效，合作期限自    年    月  日始至      年    月   日止，合作期限为壹年。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(二)本协议一式陆份，甲乙双方各持叁份，具有同等法律效力。未尽事宜，另行签订补充协议，补充协议与本协议不一致的，以补充协议为准。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法定代表人(授权委托人)：          法定代表人(授权委托人)：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经办人：经办人：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签订日期：签订日期：</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项目编号：JSZC-320000-JCEC-G2026-00/1；代理机构编号：ZJ06602653ZC01106/1</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项目名称：江苏省人民医院“靶向CD19/CD20双靶点的通用型CART细胞制剂在治疗复发/难治B细胞非霍奇金巴瘤中的研究及应用”多组学检测与分析服务项目</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采购需求：为满足科研需要，供应商需提供以下检测与配套分析服务：</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1.单细胞组学服务：支持同时获取单细胞转录组mRNA与特定多模态信息（免疫组库/EBV等）。</w:t>
      </w:r>
      <w:r/>
    </w:p>
    <w:p>
      <w:pPr>
        <w:pStyle w:val="646"/>
        <w:numPr>
          <w:ilvl w:val="0"/>
          <w:numId w:val="7"/>
        </w:numPr>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项目要求（标注“▲”为重要参数，负偏离扣分）</w:t>
      </w:r>
      <w:r/>
    </w:p>
    <w:p>
      <w:pPr>
        <w:ind w:left="0" w:right="0" w:firstLine="422"/>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155例单细胞转录组+免疫组库测序与分析服务、22例单细胞转录组+EBV测序与分析服务（最高限价160万元）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供应商所采用的</w:t>
      </w:r>
      <w:r>
        <w:rPr>
          <w:rFonts w:ascii="SimSun" w:hAnsi="SimSun" w:eastAsia="SimSun" w:cs="SimSun"/>
          <w:b/>
          <w:color w:val="000000"/>
          <w:sz w:val="21"/>
        </w:rPr>
        <w:t xml:space="preserve">单细胞免疫组库</w:t>
      </w:r>
      <w:r>
        <w:rPr>
          <w:rFonts w:ascii="SimSun" w:hAnsi="SimSun" w:eastAsia="SimSun" w:cs="SimSun"/>
          <w:color w:val="000000"/>
          <w:sz w:val="21"/>
        </w:rPr>
        <w:t xml:space="preserve">有相关文章发表，单细胞免疫组库文献不少于5篇，提供完整论文扫描件（包含证明此技术的方法材料描述）。</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供应商所采用的</w:t>
      </w:r>
      <w:r>
        <w:rPr>
          <w:rFonts w:ascii="SimSun" w:hAnsi="SimSun" w:eastAsia="SimSun" w:cs="SimSun"/>
          <w:b/>
          <w:color w:val="000000"/>
          <w:sz w:val="21"/>
        </w:rPr>
        <w:t xml:space="preserve">单细胞EBV测序</w:t>
      </w:r>
      <w:r>
        <w:rPr>
          <w:rFonts w:ascii="SimSun" w:hAnsi="SimSun" w:eastAsia="SimSun" w:cs="SimSun"/>
          <w:color w:val="000000"/>
          <w:sz w:val="21"/>
        </w:rPr>
        <w:t xml:space="preserve">技术有相关文章发表，单细胞EBV测序文献不少于2篇文章，提供完整论文扫描件（包含证明此技术的方法材料描述）。</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供应商能够在临床取样当天完成样本前处理并反馈解离结果，提供证明材料或承诺书（格式自拟）。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4</w:t>
      </w:r>
      <w:r>
        <w:rPr>
          <w:rFonts w:ascii="SimSun" w:hAnsi="SimSun" w:eastAsia="SimSun" w:cs="SimSun"/>
          <w:color w:val="000000"/>
          <w:sz w:val="21"/>
        </w:rPr>
        <w:t xml:space="preserve">、项目检测与分析要求：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具备自动化单细胞测序前处理仪器，能够完成单细胞服务。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样本运输：具备组织保存液，确保样本在2–8℃保存72h。</w:t>
      </w:r>
      <w:r/>
    </w:p>
    <w:p>
      <w:pPr>
        <w:ind w:left="0" w:right="0" w:firstLine="1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单细胞样本处理质检：使用荧光细胞计数仪检测细胞悬液浓度、活性、结团率、细胞直径分布、红细胞污染等；建库合格标准：活性≥80%，细胞浓度≥2×10^5/ml。</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建库方法及检测：基于微流控微孔技术分离细胞；通过带Barcode及UMI磁珠捕获标记mRNA；用核酸片段分析仪对cDNA及文库质检，合格后上机测序。（提供承诺书，格式自拟）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测序平台与读长：Illumina平台，测序策略PE150；单例文库测序数据量≥90G。原始数据质控：Q20＞85%，Q30＞80%，碱基类型分布均匀；采用严格质控标准保障数据质量。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标准分析软件能力：QC、聚类分群、细胞分型展示、差异基因、marker展示、富集分析、细胞通讯等。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 个性化分析：细胞注释、组间比较、轨迹分析（拟时序、RNA velocity）、通路分析、细胞通讯（互作分析、转录因子调控网络）、基因集合分析、Hotspot基因集合分析等。</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 免疫组库分析：提供匹配的scRNA与TCR/BCR数据；克隆型频数分组展示；计算diversity、clonotype分布、V/J基因使用等指标。（提供证明材料或承诺书）</w:t>
        <w:br/>
        <w:t xml:space="preserve">  ▲4.9 EBV分析：多样本联合EBV数据进行EBV丰度可视化（FeaturePlot、VlnPlot、DotPlot、Heatmap等），EBV感染细胞的数量统计。（提供证明材料或承诺书）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4.10 交付时间：每例样本标准分析报告在送样后30个工作日内反馈。（提供承诺书，格式自拟）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1.服务时间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服务期：壹年。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2.报价方式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为全包费用报价，报价应是本招标文件所包含确定的全部工作内容及本招标文件未说明但完成该项目必须包含的所有全包费用的价格体现。供应商的任何错漏、优惠、竞争性报价不得作为减轻责任、减少服务、增加收费、降低质量的理由。在项目验收过程中，如发现有漏项、缺件，卖方应无条件、无偿补齐，所发生的一切费用，视为已包含在卖方的最终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（2）本合同执行期间合同单价不变。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（3）响应报价以人民币万元或元为单位报价，可分包报价（1/2包）并汇总至总价，不得超过对应分项最高限价与总最高限价。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（2）自合同签订之日起，每月根据实际服务发生数量乘以投标单价向供应商支付相应费用，费用在收到供应商开具的相应税务发票后30工作日内支付。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（3）据实结算。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本项目执行中相关的一切税费均由成交供应商负担。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本项目的其余要求见“第五章 合同主要条款及格式”。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50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报价最低的供应商报价为评标基准价，其价格分为满分15分，其它投标人的价格分统一按照以下公式计算：投标报价得分=(评标基准价/该投标人的投标报价)×15分。（分值保留小数点后2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（二）技术响应情况（27分）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情况27分，具体由评标委员会根据供应商的响应文件中《分项报价表》、《技术条款偏离表》等有关资料打分。其中：满足采购文件技术参数要求的得27分；标注“▲”的为重要技术参数，有一项负偏离的扣3分，非“▲”为一般参数，有一项负偏离的扣1分，27分扣完为止，所有对标“▲”技术内容的响应均应提供支撑资料，否则视为未实质性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（三）项目技术方案（35分）</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对本项目须完成的工作目标和工作任务理解进行描述，要求详细阐述系统建设方案：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3.1项目需求分析（7分）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供应商结合项目基本情况，提供符合实际、准确客观、深刻透彻的需求分析：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分析内容详尽、有针对性，可操作性的得7分；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分析内容基本满足要求、内容深度不够的得4分；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分析内容简单，缺乏针对性的得1分；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未提供或内容不满足要求的不得分。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3.2项目实施方案（7分）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根据供应商提供的项目总体实施方案的完整性、合理性、科学性进行评审：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服务方案详尽，主旨明确、切实可行的得7分；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服务方案简单，基本满足本项目要求的得4分；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服务方案简单，稍有欠缺的得1分；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3.3项目进度计划（7分）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根据供应商提供的满足本项目要求的进度计划进行评审：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3.4保密制度（7分）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根据供应商提供的保密制度、保密措施进行评审：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方案措施完善、有力，有针对性切实可行的得7分；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方案基本完整，基本满足要求得4分；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3.5质量管理措施（7分）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根据供应商提供的质量管理和控制方案进行评审：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方案基本完善满足要求得4分；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（四）同类项目业绩（9分）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合同签订时间为准）以来承担过类似服务项目，每个得3分，最多得9分。提供以下材料扫描件（应清晰可识别且加盖供应商公章，否则不予认可），缺一不得分：①合同；②与合同对应的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（五）服务方企业资质（9分）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备有效期内的ISO14001环境管理体系认证证书、ISO9001质量管理体系认证证书，生物安全实验室备案证书（实验室等级：BSL-2或以上)，每一个得3分，最多得9分。（提供证书扫描件并加盖公章，应清晰可识别，否则不予认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（六）人员资质（5分）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拟派项目团队成员中具有同类项目经验（提供证明或加盖供应商公章的承诺函，否则“（六）人员资质”项不得分），同时：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（1）最高职称是高级职称的得3分，是中级职称的得2分，是初级职称的得1分。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（2）最高学位是博士学位的得2分，是硕士学位的得1分。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（提供以下材料并加盖公章：①证书扫描件；②近6个月社保缴纳证明或劳动合同。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2.2024或2025年度的财务状况报告（投标人成立不满一年无需提供）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6.特定资格要求的证明文件（（1）单位负责人为同一人或者存在直接控股、管理关系的不同供应商，不得同时参加本项目同一包的投标。（提供声明或承诺书）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失信主体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10.中小微企业声明函（如果本项目专门面向中小微型企业采购，则必须提供。格式见附件9）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11.残疾人福利性单位声明函（如果本项目专门面向中小微型企业采购，供应商为残疾人福利性单位并由本单位提供服务。格式见附件10）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12.联合体协议（如果本项目接受联合体参加投标，投标人是联合体的，则必须提供。格式见附件11）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供相关材料，否则作无效投标处理；6、10、11、12条如招标文件要求必须提供相关材料而未提供的，作无效投标处理。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color w:val="000000"/>
          <w:sz w:val="24"/>
        </w:rPr>
        <w:t xml:space="preserve">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本公司（联合体）郑重声明，根据《政府采购促进中小企业发展管理办法》(财库〔2020〕46号)的规定，本公司（联合体）参加江苏省设备成套股份有限公司组织的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其他未列明行业（供应商填写招标文件中明确的所属行业）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自愿组成联合体，参加江苏省设备成套股份有限公司组织的采购编号为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项目名称：江苏省人民医院“靶向</w:t>
      </w:r>
      <w:r>
        <w:rPr>
          <w:rFonts w:ascii="Arial" w:hAnsi="Arial" w:eastAsia="Arial" w:cs="Arial"/>
          <w:b/>
          <w:color w:val="000000"/>
          <w:sz w:val="32"/>
        </w:rPr>
        <w:t xml:space="preserve">CD19/CD20</w:t>
      </w:r>
      <w:r>
        <w:rPr>
          <w:rFonts w:ascii="SimSun" w:hAnsi="SimSun" w:eastAsia="SimSun" w:cs="SimSun"/>
          <w:b/>
          <w:color w:val="000000"/>
          <w:sz w:val="32"/>
        </w:rPr>
        <w:t xml:space="preserve">双靶点的通用型</w:t>
      </w:r>
      <w:r>
        <w:rPr>
          <w:rFonts w:ascii="Arial" w:hAnsi="Arial" w:eastAsia="Arial" w:cs="Arial"/>
          <w:b/>
          <w:color w:val="000000"/>
          <w:sz w:val="32"/>
        </w:rPr>
        <w:t xml:space="preserve">CART</w:t>
      </w:r>
      <w:r>
        <w:rPr>
          <w:rFonts w:ascii="SimSun" w:hAnsi="SimSun" w:eastAsia="SimSun" w:cs="SimSun"/>
          <w:b/>
          <w:color w:val="000000"/>
          <w:sz w:val="32"/>
        </w:rPr>
        <w:t xml:space="preserve">细胞制剂在治疗复发</w:t>
      </w:r>
      <w:r>
        <w:rPr>
          <w:rFonts w:ascii="Arial" w:hAnsi="Arial" w:eastAsia="Arial" w:cs="Arial"/>
          <w:b/>
          <w:color w:val="000000"/>
          <w:sz w:val="32"/>
        </w:rPr>
        <w:t xml:space="preserve">/</w:t>
      </w:r>
      <w:r>
        <w:rPr>
          <w:rFonts w:ascii="SimSun" w:hAnsi="SimSun" w:eastAsia="SimSun" w:cs="SimSun"/>
          <w:b/>
          <w:color w:val="000000"/>
          <w:sz w:val="32"/>
        </w:rPr>
        <w:t xml:space="preserve">难治</w:t>
      </w:r>
      <w:r>
        <w:rPr>
          <w:rFonts w:ascii="Arial" w:hAnsi="Arial" w:eastAsia="Arial" w:cs="Arial"/>
          <w:b/>
          <w:color w:val="000000"/>
          <w:sz w:val="32"/>
        </w:rPr>
        <w:t xml:space="preserve">B</w:t>
      </w:r>
      <w:r>
        <w:rPr>
          <w:rFonts w:ascii="SimSun" w:hAnsi="SimSun" w:eastAsia="SimSun" w:cs="SimSun"/>
          <w:b/>
          <w:color w:val="000000"/>
          <w:sz w:val="32"/>
        </w:rPr>
        <w:t xml:space="preserve">细胞非霍奇金巴瘤中的研究及应用”多组学检测与分析服务项目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（标包</w:t>
      </w:r>
      <w:r>
        <w:rPr>
          <w:rFonts w:ascii="Arial" w:hAnsi="Arial" w:eastAsia="Arial" w:cs="Arial"/>
          <w:b/>
          <w:color w:val="000000"/>
          <w:sz w:val="32"/>
        </w:rPr>
        <w:t xml:space="preserve">2</w:t>
      </w:r>
      <w:r>
        <w:rPr>
          <w:rFonts w:ascii="SimSun" w:hAnsi="SimSun" w:eastAsia="SimSun" w:cs="SimSun"/>
          <w:b/>
          <w:color w:val="000000"/>
          <w:sz w:val="32"/>
        </w:rPr>
        <w:t xml:space="preserve">）代谢组和蛋白组检测与分析服务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rPr>
          <w:rFonts w:ascii="Arial" w:hAnsi="Arial" w:eastAsia="Arial" w:cs="Arial"/>
          <w:b/>
          <w:color w:val="000000"/>
          <w:sz w:val="32"/>
        </w:rPr>
        <w:t xml:space="preserve">JSZC-320000-JCEC-G2026-00/2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w:t>
      </w:r>
      <w:r>
        <w:rPr>
          <w:rFonts w:ascii="Arial" w:hAnsi="Arial" w:eastAsia="Arial" w:cs="Arial"/>
          <w:b/>
          <w:color w:val="000000"/>
          <w:sz w:val="32"/>
        </w:rPr>
        <w:t xml:space="preserve">ZJ06602653ZC01106/2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采购人：江苏省人民医院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4</w:t>
      </w:r>
      <w:r>
        <w:rPr>
          <w:rFonts w:ascii="SimSun" w:hAnsi="SimSun" w:eastAsia="SimSun" w:cs="SimSun"/>
          <w:b/>
          <w:color w:val="000000"/>
          <w:sz w:val="32"/>
        </w:rPr>
        <w:t xml:space="preserve">月</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投标邀请……………………………………2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投标人须知…………………………………5  </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合同文本……………………………………15</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采购需求……………………………………25</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评标方法与评标标准………………………40</w:t>
      </w:r>
      <w:r/>
    </w:p>
    <w:p>
      <w:pPr>
        <w:numPr>
          <w:ilvl w:val="0"/>
          <w:numId w:val="6"/>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投标文件格式………………………………43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人民医院的委托，江苏省设备成套股份有限公司就江苏省人民医院“靶向CD19/CD20双靶点的通用型CART细胞制剂在治疗复发/难治B细胞非霍奇金巴瘤中的研究及应用”多组学检测与分析服务项目（JSZC-320000-SCZX-G2026-0098）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江苏省人民医院“靶向CD19/CD20双靶点的通用型CART细胞制剂在治疗复发/难治B细胞非霍奇金巴瘤中的研究及应用”多组学检测与分析服务项目</w:t>
      </w:r>
      <w:r>
        <w:rPr>
          <w:rFonts w:ascii="SimSun" w:hAnsi="SimSun" w:eastAsia="SimSun" w:cs="SimSun"/>
          <w:color w:val="000000"/>
          <w:sz w:val="24"/>
        </w:rPr>
        <w:t xml:space="preserve">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2026年4月0日9点30分（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1.采购编号：JSZC-320000-SCZX-G2026-0098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2.项目名称：江苏省人民医院“靶向CD19/CD20双靶点的通用型CART细胞制剂在治疗复发/难治B细胞非霍奇金巴瘤中的研究及应用”多组学检测与分析服务项目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3.预算金额：220万元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单细胞测序与分析服务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7"/>
        <w:gridCol w:w="2568"/>
        <w:gridCol w:w="1467"/>
        <w:gridCol w:w="4952"/>
      </w:tblGrid>
      <w:tr>
        <w:trPr>
          <w:trHeight w:val="4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种类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单细胞测序与分析服务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代谢组和蛋白组检测与分析服务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代谢组检测与分析服务30万元；蛋白组检测与分析服务30万元</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为满足科研需要，供应商需提供以下检测与配套分析服务：1.单细胞组学服务：支持同时获取单细胞转录组mRNA与特定多模态信息（免疫组库/糖基化等）。2.代谢组学服务：提供基于质谱平台的代谢物检测、质控与统计/通路分析。3.蛋白组学服务：提供基于质谱平台的蛋白定量检测、质控与差异/通路分析。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6.合同履行期限：壹年。</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2024或2025年度的财务状况报告（成立不满一年无需提供）；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为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具体详见第三章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3.联合体投标</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2968"/>
        <w:gridCol w:w="319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61"/>
        <w:gridCol w:w="78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93" w:type="dxa"/>
            <w:vAlign w:val="top"/>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（1）单位负责人为同一人或者存在直接控股、管理关系的不同供应商，不得同时参加本项目同一包的投标。（提供声明或承诺书，正本中应为原件）</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1.2026年4月0日14点30分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1.本项目在江苏政府采购网发布公告。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2.本项目开标、评标、定标按包1、包2的顺序依次进行。评标委员会仅对确定为实质性响应招标文件要求的投标文件进行评价和比较。。</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江苏省人民医院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南京市鼓楼区广州路300号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张老师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025-68307322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2.招标代理机构信息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江苏省设备成套股份有限公司</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南京市鼓楼区清江南路18号鼓楼创新广场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程工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025-86632670/025-83300811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有关本次招标的事项若存在变动或修改，敬请及时关注江苏省设备成套股份有限公司在“江苏政府采购网”发布的更正公告。</w:t>
      </w:r>
      <w:r/>
    </w:p>
    <w:p>
      <w:pPr>
        <w:ind w:left="0" w:right="0" w:firstLine="480"/>
        <w:jc w:val="both"/>
        <w:spacing w:before="0" w:after="0" w:line="40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3</w:t>
      </w:r>
      <w:r>
        <w:rPr>
          <w:rFonts w:ascii="SimHei" w:hAnsi="SimHei" w:eastAsia="SimHei" w:cs="SimHei"/>
          <w:b/>
          <w:color w:val="000000"/>
          <w:sz w:val="28"/>
        </w:rPr>
        <w:t xml:space="preserve">、适用法律和标准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投标人应自行承担所有与参加投标有关的费用，无论投标过程中的做法和结果如何，江苏省设备成套股份有限公司（以下简称成套公司）在任何情况下均无义务和责任承担这些费用。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成套公司和招标人不收取标书工本费，但中标人须向招标代理机构支付中标服务费。本次招标，中标人按《采购代理服务收费管理暂行办法》（国家发展计划委员会计价格[2002]1980号）收费标准的48%计算，向招标代理机构支付采购服务费，含投标报价中。</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请仔细检查招标文件是否齐全，如有缺漏请立即与成套公司联系解决。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在投标截止时间前，成套公司可以对招标文件进行修改。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成套公司有权按照法定的要求推迟投标截止日期和开标日期。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投标人提交的投标文件以及投标人与成套公司就有关投标的所有来往通知、函件和文件均应使用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投标有效期为开标之日后</w:t>
      </w:r>
      <w:r>
        <w:rPr>
          <w:rFonts w:ascii="SimSun" w:hAnsi="SimSun" w:eastAsia="SimSun" w:cs="SimSun"/>
          <w:b/>
          <w:color w:val="000000"/>
          <w:sz w:val="24"/>
          <w:u w:val="single"/>
        </w:rPr>
        <w:t xml:space="preserve">九十（</w:t>
      </w:r>
      <w:r>
        <w:rPr>
          <w:rFonts w:ascii="FangSong" w:hAnsi="FangSong" w:eastAsia="FangSong" w:cs="FangSong"/>
          <w:b/>
          <w:color w:val="000000"/>
          <w:sz w:val="24"/>
          <w:u w:val="single"/>
        </w:rPr>
        <w:t xml:space="preserve">90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成套公司于原投标有效期满之前，可向投标人提出延长投标有效期的要求。这种要求与答复均应采用书面形式。投标人可以拒绝成套公司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479" w:right="0" w:firstLine="6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rPr>
          <w:rFonts w:ascii="SimHei" w:hAnsi="SimHei" w:eastAsia="SimHei" w:cs="SimHei"/>
          <w:color w:val="000000"/>
          <w:sz w:val="28"/>
        </w:rPr>
        <w:t xml:space="preserve">17、投标截止时间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成套公司可以按照规定，通过修改招标文件酌情延长投标截止时间，在此情况下，投标人的所有权利和义务以及投标人受制的截止时间均应以延长后新的截止时间为准。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18.1成套公司拒绝接收在其规定的投标截止时间后上传的任何投标文件。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成套公司将在招标公告中规定的时间和地点组织公开开标。投标人应当按照《操作手册》规定，参加开标活动和在苏采云系统规定的时间内对投标文件进行解密。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20.2开标仪式由成套公司组织。苏采云系统将自动对项目进行开标，并宣布各投标人名称和投标价格。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开标后，成套公司将立即组织评标委员会进行评标。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22.1凡是与审查、澄清、评价和比较投标的有关资料以及授标建议等，采购人、评委、成套公司均不得向投标人或与评标无关的其他人员透露。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成套公司和评标委员会不向未中标的投标人解释未中标原因，也不公布评标过程中的相关细节。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未通过资格审查或符合性审查的投标人，成套公司将在苏采云系统中告知未通过资格审查或符合性审查的原因，评标结束后，成套公司将不再告知未通过资格审查和符合性审查的原因。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成套公司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24.6投标人在开、评标全过程中应保持通讯畅通，及时登录苏采云系统查阅、答复相关信息，并安排专人与成套公司及评标委员会联系。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成套公司将在“江苏政府采购网”发布中标公告，公告期限为1个工作日。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26.4.2向采购人、成套公司行贿或者提供其他不正当利益的。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成套公司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供应商应当在法定质疑期内一次性提出针对同一采购程序环节的质疑。供应商如在法定期限内对同一采购程序环节提出多次质疑的，成套公司、采购人将只对供应商第一次质疑作出答复。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成套公司提出，由成套公司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成套公司及采购人只接收以纸质原件形式送达的质疑,建议供应商尽量通过邮寄方式提交质疑（采购人和成套公司不接受无快递运单号的快递）。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成套公司质疑接收部门（快递运单上的收件人填写“质疑处理”即可），联系地址：南京市鼓楼区清江南路18号鼓楼创新广场D座1004室，联系人：程工，联系电话：15050540687。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成套公司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成套公司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合同编号</w:t>
      </w:r>
      <w:r>
        <w:rPr>
          <w:rFonts w:ascii="SimSun" w:hAnsi="SimSun" w:eastAsia="SimSun" w:cs="SimSun"/>
          <w:color w:val="000000"/>
          <w:sz w:val="21"/>
        </w:rPr>
        <w:t xml:space="preserve"> </w:t>
      </w:r>
      <w:r>
        <w:rPr>
          <w:rFonts w:ascii="SimSun" w:hAnsi="SimSun" w:eastAsia="SimSun" w:cs="SimSun"/>
          <w:b/>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委托第三方检测协议</w:t>
      </w:r>
      <w:r/>
    </w:p>
    <w:p>
      <w:pPr>
        <w:ind w:left="3650" w:right="0" w:firstLine="60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(参考模板)</w:t>
      </w:r>
      <w:r/>
    </w:p>
    <w:p>
      <w:pPr>
        <w:ind w:left="0" w:right="0" w:firstLine="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甲方：江苏省人民医院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 方 ： </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通讯地址： </w:t>
      </w:r>
      <w:r>
        <w:rPr>
          <w:rFonts w:ascii="SimSun" w:hAnsi="SimSun" w:eastAsia="SimSun" w:cs="SimSun"/>
          <w:color w:val="000000"/>
          <w:sz w:val="21"/>
          <w:u w:val="single"/>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鉴于乙方具备提供 </w:t>
      </w:r>
      <w:r>
        <w:rPr>
          <w:rFonts w:ascii="SimSun" w:hAnsi="SimSun" w:eastAsia="SimSun" w:cs="SimSun"/>
          <w:color w:val="000000"/>
          <w:sz w:val="21"/>
          <w:u w:val="single"/>
        </w:rPr>
        <w:t xml:space="preserve">   外包</w:t>
      </w:r>
      <w:r>
        <w:rPr>
          <w:rFonts w:ascii="SimSun" w:hAnsi="SimSun" w:eastAsia="SimSun" w:cs="SimSun"/>
          <w:color w:val="000000"/>
          <w:sz w:val="21"/>
        </w:rPr>
        <w:t xml:space="preserve"> 检测技术服务的资格、技术条件和能力，甲、乙双方经友好协商，在真实、充分地表达各自意愿的基础上，就乙方为甲方提供检测服务等相关事宜达成一致，以资共同遵守。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一、委托内容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甲、乙双方经友好协商，乙方向甲方提供以下检测服务：</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8"/>
        <w:gridCol w:w="5562"/>
        <w:gridCol w:w="2944"/>
      </w:tblGrid>
      <w:tr>
        <w:trPr>
          <w:trHeight w:val="2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141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817"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服务期限</w:t>
            </w:r>
            <w:r/>
          </w:p>
        </w:tc>
      </w:tr>
      <w:tr>
        <w:trPr>
          <w:trHeight w:val="2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56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944" w:type="dxa"/>
            <w:vAlign w:val="center"/>
            <w:textDirection w:val="lrTb"/>
            <w:noWrap w:val="false"/>
          </w:tcPr>
          <w:p>
            <w:pPr>
              <w:ind w:left="58"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自合同签订之日起壹年</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二、双方权利与义务</w:t>
      </w:r>
      <w:r/>
    </w:p>
    <w:p>
      <w:pPr>
        <w:ind w:left="0" w:right="0" w:firstLine="63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(一)甲方权利和义务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1.样本采集和前期处理：甲方负责样本采集并保证样本的合法性、合格性。</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2.样本递送：甲方负责向乙方提供样本及每份样本的样本信息，并确保样本与受检者信息一致。甲方根据双方约定的方式（乙方到甲方指定地点上门接收）将上述资料递送至乙方，同时提供签字确认的交接单。</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3.报告接收：甲方应及时接收乙方所发放的检测报告单，电子版本由乙方上传网站供甲方查阅，纸张版本由乙方快递寄送给甲方。</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4.样本重采：不符合检测要求需要重新采样的，甲方需根据乙方的反馈信息及时与受检者沟通并安排重新采样，重新采样检测乙方不收取费用。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5.检测收费：合同签订之日起，根据每月实际服务发生数量乘以投标单价向供应商支付相应费用。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6.甲方对乙方有监管权利，对乙方实验室以及提供的检测服务内容、 质量进行定期或不定期质控监督。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(二)乙方权利和义务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1.资料提供：乙方负责提供标本递送所需的相应文本和材料。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样本接收：乙方安排专人负责接收甲方递送的样本，并将签字确认后的交接单交还甲方。乙方接收到样本后核对样本信息；若发现信息不一致、样本破损或外观异常等现象，则该样本视为不合格样本，乙方应与甲方现场确认样品是否合格、送检信息或重采样本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3.样本检测：乙方负责在接收到合格的样本后，安排样本的检测。所有经过检测后的剩余样本，均由乙方按相关法规负责处理或长期保管，并保证不提供给甲方之外的第三人，包括：</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(1)乙方严格按照相关标准开展本合同委托检测工作，不得转包、分包，保证工作全过程的科学性、准确性、可追溯性，并严格保 障受检者个人隐私及数据安全，所涉及检测内容及结果不外泄；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(2)乙方检测时使用的设备必须在检定合格有效期内，环境符合标准检测要求；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(3)乙方对标本的全程管理符合检测需求和生物安全的要求；</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(4)乙方保证检验过程中的质量控制；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(5)乙方保证对甲方送检的合格样本按照甲方申请的检测方法进行检测并对检测结果的质量承担责任；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(6)乙方对经过检测后的剩余样本按《医疗机构临床实验室管理办法》负责处理或长期保管，并保证不提供给甲方之外的第三人，检测报告应保存至合同终止后五年。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(7)乙方必须按照甲方委托书要求内容进行测试，出具检测报告。报告内容必须真实、准确，保证与所测试的数据一致；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须按照项目采购清单要求规定的时间内出具准确可靠的纸质和电子检测报告，加急样本在检测实验室收到样本后加急处理优先出具检测报告，乙方对出具的检测报告负全部责任。若由于样本自身或其他原因而导致的无法出具检测报告的情况，乙方须第一时间通知采购单位。</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检验结果的信息化，乙方应根据甲方的需求具体落实并承担因此而发生的费用；检测结果报告中的内容及格式符合相关实验室管理规范要求，支持网上查询检测报告（PC端、APP均可查询）；提供完整的数据对接方案，报告数据可对接甲方医院系统，能实现无纸化传输检测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(10)乙方专业的技术人员负责向甲方解释各项检测方法、质控标准、结果；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(11)配合甲方不定期对样本运输、检测流程、检验结果及检验质量的监督检查；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(12)项目检测要求（详见招标文件第四章项目需求中“项目检测要求”）。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告发放：乙方应根据约定的各检测项目的检测周期将检测报告单以纸质报告和电子报告两种形式发给甲方，乙方自收到标本后，按照不同的检测项目所需周期完成相关检测，加急样本在检测实验室收到样本后加急处理优先出具检测报告。若由于样本自身或其他原因而导致的无法出具检测报告的情况，乙方需在30分钟内通知甲方。若出现检测项目危急值或双方约定的其他异常结果报告，乙方应出检测结果报告后的30分钟内电话通知甲方，并及时出具相应的纸质和电子报告。</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三、受检样本的交接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(一)交接时间：乙方应在甲方通知后</w:t>
      </w:r>
      <w:r>
        <w:rPr>
          <w:rFonts w:ascii="SimSun" w:hAnsi="SimSun" w:eastAsia="SimSun" w:cs="SimSun"/>
          <w:color w:val="000000"/>
          <w:sz w:val="21"/>
          <w:u w:val="single"/>
        </w:rPr>
        <w:t xml:space="preserve">24</w:t>
      </w:r>
      <w:r>
        <w:rPr>
          <w:rFonts w:ascii="SimSun" w:hAnsi="SimSun" w:eastAsia="SimSun" w:cs="SimSun"/>
          <w:color w:val="000000"/>
          <w:sz w:val="21"/>
        </w:rPr>
        <w:t xml:space="preserve"> 小时内到指定地点接收甲方递送的样本和资料。</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(二)交接地点： </w:t>
      </w:r>
      <w:r>
        <w:rPr>
          <w:rFonts w:ascii="SimSun" w:hAnsi="SimSun" w:eastAsia="SimSun" w:cs="SimSun"/>
          <w:color w:val="000000"/>
          <w:sz w:val="21"/>
          <w:u w:val="single"/>
        </w:rPr>
        <w:t xml:space="preserve">  甲方指定地点。 </w:t>
      </w:r>
      <w:r>
        <w:rPr>
          <w:rFonts w:ascii="SimSun" w:hAnsi="SimSun" w:eastAsia="SimSun" w:cs="SimSun"/>
          <w:color w:val="000000"/>
          <w:sz w:val="21"/>
        </w:rPr>
        <w:t xml:space="preserve">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(三)交接时甲方应保证包装符合运输和保存的要求；乙方接收或者在甲方通知后24小时，视为乙方已接收。</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(四)乙方应当在交接时应对样本及以下资料进行核对：</w:t>
      </w:r>
      <w:r>
        <w:rPr>
          <w:rFonts w:ascii="SimSun" w:hAnsi="SimSun" w:eastAsia="SimSun" w:cs="SimSun"/>
          <w:color w:val="ff0000"/>
          <w:sz w:val="21"/>
        </w:rPr>
        <w:t xml:space="preserve">《</w:t>
      </w:r>
      <w:r>
        <w:rPr>
          <w:rFonts w:ascii="SimSun" w:hAnsi="SimSun" w:eastAsia="SimSun" w:cs="SimSun"/>
          <w:color w:val="000000"/>
          <w:sz w:val="21"/>
        </w:rPr>
        <w:t xml:space="preserve">代谢组和蛋白组检测与分析服务</w:t>
      </w:r>
      <w:r>
        <w:rPr>
          <w:rFonts w:ascii="SimSun" w:hAnsi="SimSun" w:eastAsia="SimSun" w:cs="SimSun"/>
          <w:color w:val="ff0000"/>
          <w:sz w:val="21"/>
        </w:rPr>
        <w:t xml:space="preserve">》</w:t>
      </w:r>
      <w:r>
        <w:rPr>
          <w:rFonts w:ascii="SimSun" w:hAnsi="SimSun" w:eastAsia="SimSun" w:cs="SimSun"/>
          <w:color w:val="000000"/>
          <w:sz w:val="21"/>
        </w:rPr>
        <w:t xml:space="preserve">送检样本交接单</w:t>
      </w:r>
      <w:r>
        <w:rPr>
          <w:rFonts w:ascii="SimSun" w:hAnsi="SimSun" w:eastAsia="SimSun" w:cs="SimSun"/>
          <w:color w:val="000000"/>
          <w:sz w:val="21"/>
          <w:u w:val="single"/>
        </w:rPr>
        <w:t xml:space="preserve">(均以乙方提供的最新版为准)</w: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(五）受检样本由乙方根据项目方案要求，使用专用标本箱。全程采用冷藏或冷链运输，运输温度维持在2-8℃保存不超过72h。</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四、费用结算</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(一)结算规则：乙方每</w:t>
      </w:r>
      <w:r>
        <w:rPr>
          <w:rFonts w:ascii="SimSun" w:hAnsi="SimSun" w:eastAsia="SimSun" w:cs="SimSun"/>
          <w:color w:val="000000"/>
          <w:sz w:val="21"/>
          <w:u w:val="single"/>
        </w:rPr>
        <w:t xml:space="preserve">月</w:t>
      </w:r>
      <w:r>
        <w:rPr>
          <w:rFonts w:ascii="SimSun" w:hAnsi="SimSun" w:eastAsia="SimSun" w:cs="SimSun"/>
          <w:color w:val="000000"/>
          <w:sz w:val="21"/>
        </w:rPr>
        <w:t xml:space="preserve">(周期)以甲方《代谢组和蛋白组检测与分析服务》项目的含有乙方签收信息的样本交接单中的数量作为统计业务量的依据，乙方将统计量同时发送至甲方。双方核对无误后，甲方在收到乙方开具的相应税务发票后</w:t>
      </w:r>
      <w:r>
        <w:rPr>
          <w:rFonts w:ascii="SimSun" w:hAnsi="SimSun" w:eastAsia="SimSun" w:cs="SimSun"/>
          <w:color w:val="000000"/>
          <w:sz w:val="21"/>
          <w:u w:val="single"/>
        </w:rPr>
        <w:t xml:space="preserve"> 30 </w:t>
      </w:r>
      <w:r>
        <w:rPr>
          <w:rFonts w:ascii="SimSun" w:hAnsi="SimSun" w:eastAsia="SimSun" w:cs="SimSun"/>
          <w:color w:val="000000"/>
          <w:sz w:val="21"/>
        </w:rPr>
        <w:t xml:space="preserve">工作日内，按“业务量×结算价格”向乙方结算该周期内的检测费用。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(二)乙方收款信息：</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w:t>
      </w:r>
      <w:r>
        <w:rPr>
          <w:rFonts w:ascii="SimSun" w:hAnsi="SimSun" w:eastAsia="SimSun" w:cs="SimSun"/>
          <w:color w:val="000000"/>
          <w:sz w:val="21"/>
          <w:u w:val="single"/>
        </w:rPr>
        <w:t xml:space="preserve">                                      </w:t>
      </w:r>
      <w:r>
        <w:rPr>
          <w:rFonts w:ascii="SimSun" w:hAnsi="SimSun" w:eastAsia="SimSun" w:cs="SimSun"/>
          <w:color w:val="000000"/>
          <w:sz w:val="21"/>
        </w:rPr>
        <w:t xml:space="preserve">     </w:t>
        <w:tab/>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w:t>
      </w:r>
      <w:r>
        <w:rPr>
          <w:rFonts w:ascii="SimSun" w:hAnsi="SimSun" w:eastAsia="SimSun" w:cs="SimSun"/>
          <w:color w:val="000000"/>
          <w:sz w:val="21"/>
          <w:u w:val="single"/>
        </w:rPr>
        <w:t xml:space="preserve">                                    </w:t>
      </w:r>
      <w:r>
        <w:rPr>
          <w:rFonts w:ascii="SimSun" w:hAnsi="SimSun" w:eastAsia="SimSun" w:cs="SimSun"/>
          <w:color w:val="000000"/>
          <w:sz w:val="21"/>
        </w:rPr>
        <w:tab/>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54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(三)禁止现金交易，甲方将款项打入上述账号，即视为完成付款。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在合作期内及以后，协议内容及双方相关资料(包括但不限于各类数据、受检者信息、检测报告、样本、价格、商业信息)均为保密资料。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(二)乙方只能向因职责所需而需要了解上述保密资料的工作人员透露保密资料，且该工作人员经双方协商授权确定，并应与授权的工作人员签订《保密合同》以防止未经授权向第三人披露。</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(三)乙方保证对受检者所有信息保密，除非该信息已经由受检者主动公开。</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(四)除征得甲方事先书面同意外，乙方不得将检测信息用于科研、宣传。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(五)本协议规定的保密义务不因本协议的终止、中止而失效，除非相关资料依法成为公开信息。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(一)延期责任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1.如因乙方原因(包括实验室内样本丢失、检测、出具报告等环节)不能按时提供检测结果导致的出具检测报告延误，由乙方按 </w:t>
      </w:r>
      <w:r>
        <w:rPr>
          <w:rFonts w:ascii="SimSun" w:hAnsi="SimSun" w:eastAsia="SimSun" w:cs="SimSun"/>
          <w:color w:val="000000"/>
          <w:sz w:val="21"/>
          <w:u w:val="single"/>
        </w:rPr>
        <w:t xml:space="preserve"> 800 </w:t>
      </w:r>
      <w:r>
        <w:rPr>
          <w:rFonts w:ascii="SimSun" w:hAnsi="SimSun" w:eastAsia="SimSun" w:cs="SimSun"/>
          <w:color w:val="000000"/>
          <w:sz w:val="21"/>
        </w:rPr>
        <w:t xml:space="preserve">元/份承担违约责任。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不可抗力导致项目延误或协议不能继续履行时，双方均不承担责任。受到不可抗力影响的一方应当及时书面通知另一方，并出具证明材料。不可抗力包括地震、洪水、战争、军事行动、法律或政府政策等相关因素。</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(二)违反保密义务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如有违反本协议第五条保密义务的任何规定，则违约方须及时采取措施防止守约方损失扩大，赔偿守约方相关损失并支付1万元作为违约金。因违反保密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(三)禁止转包、分包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乙方应亲自履行合同义务，不得将检测项目转包、分包给第三方进行检测。因违反该条款引发侵权责任诉讼或赔偿事项的由违约方承担侵权法律责任。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(四)检测不准确、不真实的责任承担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如乙方出具的检测报告不准确或不真实，导致甲方对外承担包括但不限于民事赔偿、行政处罚等责任，应由乙方承担甲方经济损失等全部责任，并按最终经济损失的5%向甲方支付违约金。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七、协议履行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w:t>
      </w:r>
      <w:r>
        <w:rPr>
          <w:rFonts w:ascii="SimSun" w:hAnsi="SimSun" w:eastAsia="SimSun" w:cs="SimSun"/>
          <w:color w:val="000000"/>
          <w:sz w:val="21"/>
          <w:u w:val="single"/>
        </w:rPr>
        <w:t xml:space="preserve">(科室、职务、姓名、联系电话、电子邮箱等</w:t>
      </w:r>
      <w:r>
        <w:rPr>
          <w:rFonts w:ascii="SimSun" w:hAnsi="SimSun" w:eastAsia="SimSun" w:cs="SimSun"/>
          <w:color w:val="000000"/>
          <w:sz w:val="21"/>
        </w:rPr>
        <w:t xml:space="preserve">)为甲方项目联系人。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乙方指定</w:t>
      </w:r>
      <w:r>
        <w:rPr>
          <w:rFonts w:ascii="SimSun" w:hAnsi="SimSun" w:eastAsia="SimSun" w:cs="SimSun"/>
          <w:color w:val="000000"/>
          <w:sz w:val="21"/>
          <w:u w:val="single"/>
        </w:rPr>
        <w:t xml:space="preserve">             </w:t>
      </w:r>
      <w:r>
        <w:rPr>
          <w:rFonts w:ascii="SimSun" w:hAnsi="SimSun" w:eastAsia="SimSun" w:cs="SimSun"/>
          <w:color w:val="000000"/>
          <w:sz w:val="21"/>
        </w:rPr>
        <w:t xml:space="preserve">为乙方项目联系人。</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一方变更项目联系人的，应当及时并以书面形式通知对方。未及时通知并影响本协议履行或造成损失的，未及时通知一方应承担相应的责任。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八、协议终止</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如乙方在检测过程中出现以下情形，甲方有权终止合作：</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1.因包括但不限于操作不规范或不符合技术规范等原因，导致检测结果不准确。</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2.未能按照合同约定的时间和质量要求完成检测，不能及时提供检测结果，不可抗力除外。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3.实验室不诚信，出现欺诈行为，包括但不限于篡改室内质控数据、受检者检验数据等。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4.实验室管理不善，出现生物安全隐患。</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5.泄露受检者信息造成不良后果或者泄露信息达到1人次。</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6.发生其他违反有关法律法规规定的情形。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九、廉洁条款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为进一步加强医疗卫生行风建设，规范医疗卫生机构购销行为，有效防范商业贿赂行为，营造公平交易、诚实守信的购销环境，特约定以下廉洁条款，以资合同各方共同遵守：</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1.合同各方按照《中华人民共和国民法典》及廉洁条款约定履行。</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严禁接受乙方以任何名义、形式给予的回扣，不得将接受捐赠资助与采购挂钩。甲方工作人员不得参加乙方安排并支付费用的营业性娱乐场所的娱乐活动，不得以任何形式向乙方索要现金、有价证券、支付凭 证和贵重礼品等。被迫接受乙方给予的钱物，应予退还，无法退还的，有责任如实向纪检监察部门反映情况。</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3.甲方严禁利用任何途径和方式，为乙方统计医师个人及临床科室有关产品用量信息，或为乙方统计提供便利。</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4.乙方不得以回扣、宴请等方式影响甲方工作人员采购或使用产品的选择权，不得在学术活动中提供旅游、超标准支付食宿费用。</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5.乙方指定销售代表必须在工作时间到甲方指定地点联系商谈，不得到住院部、门诊部、医技科室等推销，不得借故到甲方相关领导、部门负责人及相关工作人员非办公场所访谈并提供任何好处费等。</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6.乙方如违反本廉洁条款，一经发现，甲方有权终止本合同，并向上级主管部门报告。如乙方被列入商业贿赂不良记录，则严格按照国家相关规定处理。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7.本廉洁条款在合同履行过程中，合同各方均需严格遵守。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十、争议解决与文件送达</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(一)双方因履行本合同发生争议，应首先通过友好协商解决；协商不成时，可以提交南京市鼓楼区人民法院诉讼解决。</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十一、其他</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(一)本协议经双方签字盖章后生效，合作期限自    年    月  日始至      年    月   日止，合作期限为壹年。</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(二)本协议一式陆份，甲乙双方各持叁份，具有同等法律效力。未尽事宜，另行签订补充协议，补充协议与本协议不一致的，以补充协议为准。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(以下无正文)</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                      乙方(盖章)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法定代表人(授权委托人)：          法定代表人(授权委托人)：       </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经办人：经办人：</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签订日期：签订日期：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一、项目概况</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项目编号：JSZC-320000-JCEC-G2026-00/2；代理机构编号：ZJ06602653ZC01106/2</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项目名称：江苏省人民医院“靶向CD19/CD20双靶点的通用型CART细胞制剂在治疗复发/难治B细胞非霍奇金巴瘤中的研究及应用”多组学检测与分析服务项目</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采购方式：公开招标</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采购需求：为满足科研需要，供应商需提供以下检测与配套分析服务：</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1.代谢组学服务：提供基于质谱平台的代谢物检测、质控与统计/通路分析。</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2.蛋白组学服务：提供基于质谱平台的蛋白定量检测、质控与差异/通路分析。</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预算金额（最高限价）：代谢组和蛋白组检测与分析服务（代谢组检测与分析服务30万元；蛋白组检测与分析服务30万元）</w:t>
      </w:r>
      <w:r/>
    </w:p>
    <w:p>
      <w:pPr>
        <w:pStyle w:val="646"/>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二、项目要求（标注“▲”为重要参数，负偏离扣分）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B包：提供500例代谢组和400例蛋白组（血清/血浆/组织/细胞等样本）检测、质控、统计与通路分析（具体以采购方送样类型为准，</w:t>
      </w:r>
      <w:r>
        <w:rPr>
          <w:rFonts w:ascii="SimSun" w:hAnsi="SimSun" w:eastAsia="SimSun" w:cs="SimSun"/>
          <w:b/>
          <w:color w:val="000000"/>
          <w:sz w:val="21"/>
        </w:rPr>
        <w:t xml:space="preserve">最高限价60万元）</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rPr>
        <w:t xml:space="preserve">1.</w:t>
      </w:r>
      <w:r>
        <w:rPr>
          <w:rFonts w:ascii="SimSun" w:hAnsi="SimSun" w:eastAsia="SimSun" w:cs="SimSun"/>
          <w:color w:val="000000"/>
          <w:sz w:val="21"/>
        </w:rPr>
        <w:t xml:space="preserve">供应商具备超高分辨液相色谱-串联质谱联用仪（如 Thermo Scientific Orbitrap Astral 或 Bruker timsTOF HT）用于蛋白组学检测及超高效液相色谱串联四极杆-静电场轨道阱高分辨质谱用于代谢组学检测。（提供证明材料加盖投标人单位公章）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▲2.针对人、动物组织（如肝脏/大脑）或细胞样本，单样本蛋白鉴定数需 ≥ 7000 个；血浆/血清样本（去高丰度后）鉴定数 ≥ 1000 个。针对代谢组，实验室有自建的标准品数据库，数量不少于6000种本地标准品图谱库，每例样品分别采用电喷雾电离（ESI）进行正离子和负离子模式检测。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▲3.需支持微量样本蛋白组学，在起始蛋白量 ≤ 10 μg 的情况下仍能维持稳定的鉴定深度。（提供证明材料或承诺书，承诺书格式自拟）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▲4.具备服务能力，能够及时响应需求，在临床取样当天完成样本前处理并反馈质控结果。（提供证明材料或承诺书，格式自拟）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▲5.供应商需有相关项目文章发表，不少于3篇相关文章作为支撑，提供完整论文复印件（含封面及证明供应商参与的论文页面内容标识页）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▲6.供应商参加2025年国家卫生健康委临床检验中心组织的高通量测序生物信息学分析相关室间质量评价且成绩合格。（提供相关证明材料加盖投标人单位公章）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▲7.供应商具备信息化管理系统，通过系统全程管理收样、送检和结果反馈等过程。（提供证明材料或承诺书，承诺书格式自拟）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8.分析服务要求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供应商具备完善的蛋白代谢数据分析能力，可出具分析报告。代谢组生信分析至少包含以下分析：差异分析、KEGG 通路注释；KEGG 通路富集分析；层次聚类分析、关联热图、预测模型构建分析等。提供深度数据分析。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具备将常规组学数据与空间组学（Spatial Multi-omics）结合分析的技术储备（如：空间表达验证能力），可提供组学联合深度分析。需提供自有空间组学平台证明材料。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代谢组质谱数据采用软件 XCMS软件进行数据提取、以及代谢物标准品数据库检索。分析软件为：SIMCA-P软件；进行主成分分析（PCA），偏最小二乘判别分析（PLS-DA），正交偏最小二乘判别分析(OPLS-DA)。采用t-test或One-way ANOVA 对代谢物进行显著性分析，并筛选合适的归一化方法。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交付时间：每例样本标准分析报告在送样后30个工作日内反馈。（提供承诺书，格式自拟）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三、商务要求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1.服务时间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服务期：壹年。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2.报价方式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报价为全包费用报价，报价应是本招标文件所包含确定的全部工作内容及本招标文件未说明但完成该项目必须包含的所有全包费用的价格体现。供应商的任何错漏、优惠、竞争性报价不得作为减轻责任、减少服务、增加收费、降低质量的理由。在项目验收过程中，如发现有漏项、缺件，卖方应无条件、无偿补齐，所发生的一切费用，视为已包含在卖方的最终投标报价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（2）本合同执行期间合同单价不变。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（3）响应报价以人民币万元或元为单位报价，可分包报价（1/2包）并汇总至总价，不得超过对应分项最高限价与总最高限价。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（2）至合同签订之日起，每月根据实际服务发生数量乘以投标单价向供应商支付相应费用，费用在收到供应商开具的相应税务发票后30工作日内支付。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（3）据实结算。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本项目执行中相关的一切税费均由成交供应商负担。</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本项目的其余要求见“第五章 合同主要条款及格式”。</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8"/>
        <w:gridCol w:w="1610"/>
        <w:gridCol w:w="50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本项目采用综合评分法确定中标候选人。评标委员会将按下列评分办法和标准进行评分，总分值为100分。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（一）价格分（15分）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采用低价优先法计算，即满足招标文件要求且报价最低的供应商报价为评标基准价，其价格分为满分15分，其它投标人的价格分统一按照以下公式计算：投标报价得分=(评标基准价/该投标人的投标报价)×15分。（分值保留小数点后1位）</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（二）技术响应情况（27分）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技术响应情况27分，具体由评标委员会根据供应商的响应文件中《分项报价表》、《技术条款偏离表》等有关资料打分。其中：满足采购文件技术参数要求的得27分；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标注“▲”的为重要技术参数，有一项负偏离的扣3分，非“▲”为一般参数，有一项负偏离的扣1分，27分扣完为止，所有对标“▲”技术内容的响应均应提供支撑资料，否则视为未实质性响应。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（三）项目技术方案（35分）</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对本项目须完成的工作目标和工作任务理解进行描述，要求详细阐述系统建设方案：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3.1项目需求分析（7分）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供应商结合项目基本情况，提供符合实际、准确客观、深刻透彻的需求分析：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分析内容详尽、有针对性，可操作性的得7分；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分析内容基本满足要求、内容深度不够的得4分；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分析内容简单，缺乏针对性的得1分；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未提供或内容不满足要求的不得分。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3.2项目实施方案（7分）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根据供应商提供的项目总体实施方案的完整性、合理性、科学性进行评审：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服务方案详尽，主旨明确、切实可行的得7分；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服务方案简单，基本满足本项目要求的得4分；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服务方案简单，稍有欠缺的得1分；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3.3项目进度计划（7分）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根据供应商提供的满足本项目要求的进度计划进行评审：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3.4保密制度（7分）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根据供应商提供的保密制度、保密措施进行评审：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方案措施完善、有力，有针对性切实可行的得7分；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方案基本完整，基本满足要求得4分；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3.5质量管理措施（7分）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根据供应商提供的质量管理和控制方案进行评审：</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方案完善、详尽、切实可行的得7分；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方案基本完善满足要求得4分；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方案简单，不完善或存在缺陷的得1分；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未提供方案或方案不满足要求的不得分。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（四）同类项目业绩（9分）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供应商自2023年1月1日（以合同签订时间为准）以来承担过类似服务项目，每个得3分，最多得9分。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提供以下材料复印件（应清晰可识别且加盖供应商公章，否则不予认可），缺一不得分：①合同；②与合同对应的发票。</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（五）服务方企业资质（9分）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具备有效期内的ISO9001质量管理体系认证证书，医学检验实验室资质，生物安全实验室备案证书（实验室等级：BSL-2或以上)，每一个得3分，最多得9分。（提供证书复印件并加盖公章，应清晰可识别，否则不予认可）</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（六）服务团队（5分）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拟派项目团队成员中具有同类项目经验（提供证明或加盖供应商公章的承诺函，否则2.2项不得分），同时：</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（1）最高职称是高级职称的得3分，是中级职称的得2分，是初级职称的得1分。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（2）最高学位是博士学位的得2分，是硕士学位的得1分。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（提供以下材料并加盖公章：①证书复印件；②近6个月社保缴纳证明或劳动合同。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2.2024或2025年度的财务状况报告（投标人成立不满一年无需提供）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6.特定资格要求的证明文件（（1）单位负责人为同一人或者存在直接控股、管理关系的不同供应商，不得同时参加本项目同一包的投标。（提供声明或承诺书）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（2）拒绝列入失信被执行人、重大税收违法失信主体名单、政府采购严重违法失信行为记录名单及其他不符合《中华人民共和国政府采购法》第二十二条规定条件的供应商参与政府采购活动。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失信主体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10.中小微企业声明函（如果本项目专门面向中小微型企业采购，则必须提供。格式见附件9）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11.残疾人福利性单位声明函（如果本项目专门面向中小微型企业采购，供应商为残疾人福利性单位并由本单位提供服务。格式见附件10）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12.联合体协议（如果本项目接受联合体参加投标，投标人是联合体的，则必须提供。格式见附件11）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供相关材料，否则作无效投标处理；6、10、11、12条如招标文件要求必须提供相关材料而未提供的，作无效投标处理。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color w:val="000000"/>
          <w:sz w:val="24"/>
        </w:rPr>
        <w:t xml:space="preserve">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0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致：江苏省设备成套股份有限公司</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本公司（联合体）郑重声明，根据《政府采购促进中小企业发展管理办法》(财库〔2020〕46号)的规定，本公司（联合体）参加江苏省设备成套股份有限公司组织的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自愿组成联合体，参加江苏省设备成套股份有限公司组织的采购编号为</w:t>
      </w:r>
      <w:r>
        <w:rPr>
          <w:rFonts w:ascii="Times New Roman" w:hAnsi="Times New Roman" w:eastAsia="Times New Roman" w:cs="Times New Roman"/>
          <w:color w:val="000000"/>
          <w:sz w:val="24"/>
        </w:rPr>
        <w:t xml:space="preserve">JSZC-320000-SCZX-G20**-****</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609"/>
        <w:gridCol w:w="3317"/>
        <w:gridCol w:w="15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1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3</cp:revision>
  <dcterms:created xsi:type="dcterms:W3CDTF">2026-04-27T02:34:19Z</dcterms:created>
  <dcterms:modified xsi:type="dcterms:W3CDTF">2026-04-28T06:55:49Z</dcterms:modified>
</cp:coreProperties>
</file>