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竞争性磋商文件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项目名称：江苏护理职业学院绿化养护管理服务项目</w:t>
      </w:r>
      <w:r/>
    </w:p>
    <w:p>
      <w:pPr>
        <w:ind w:left="0" w:right="0" w:firstLine="0"/>
        <w:jc w:val="both"/>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JSZC-320000-HAXH-C2026-0004</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（专门面向中小企业）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江苏星汇工程咨询管理有限公司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5</w:t>
      </w:r>
      <w:r>
        <w:rPr>
          <w:rFonts w:ascii="SimSun" w:hAnsi="SimSun" w:eastAsia="SimSun" w:cs="SimSun"/>
          <w:b/>
          <w:color w:val="000000"/>
          <w:sz w:val="32"/>
        </w:rPr>
        <w:t xml:space="preserve">月</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5"/>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 </w:t>
      </w:r>
      <w:r/>
    </w:p>
    <w:p>
      <w:pPr>
        <w:numPr>
          <w:ilvl w:val="0"/>
          <w:numId w:val="5"/>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 </w:t>
      </w:r>
      <w:r/>
    </w:p>
    <w:p>
      <w:pPr>
        <w:numPr>
          <w:ilvl w:val="0"/>
          <w:numId w:val="5"/>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5"/>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5"/>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5"/>
        </w:numPr>
        <w:jc w:val="center"/>
        <w:spacing w:before="0" w:after="0" w:line="227"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第一章磋商邀请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受江苏护理职业学院委托，江苏星汇工程咨询管理有限公司（以下简称“代理机构”）就江苏护理职业学院绿化养护管理服务项目进行竞争性磋商采购，欢迎符合条件的供应商参加磋商。</w:t>
      </w:r>
      <w:r/>
    </w:p>
    <w:p>
      <w:pPr>
        <w:pStyle w:val="69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一、项目基本情况</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1.项目编号：JSZC-320000-HAXH-C2026-0004</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2.项目名称：江苏护理职业学院绿化养护管理服务项目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3.预算金额：48.2/年；合计144.6万元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4.最高限价：144.6万元</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5.采购需求（简介）：绿化养护管理服务（详细内容见本磋商文件第四章）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6.合同履行期限：服务期为3年，合同签订采取“1+1+1”的形式，如遇校园绿化面积调整，视情况签订补充协议。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7.本项目不接受联合体参加磋商。</w:t>
      </w:r>
      <w:r/>
    </w:p>
    <w:p>
      <w:pPr>
        <w:pStyle w:val="69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二、申请人的资格要求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（一）满足《中华人民共和国政府采购法》第二十二条规定：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1.满足《中华人民共和国政府采购法》第二十二条规定，并提供下列材料：供应商信用承诺函（格式见第六章）。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（二）落实政府采购政策需满足的资格要求：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1.本项目为专门面向中小企业采购的项目。</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为：其他未列明行业。根据《中小企业划型标准规定》（工信部联企业〔2011〕300号），从业人员300人以下的为中小微型企业。其中，从业人员100人及以上的为中型企业；从业人员10人及以上的为小型企业；从业人员10人以下的为微型企业。</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（三）本项目的特定资格要求：</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本项目的特定资格要求：无</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（四）拒绝下述供应商参加本次采购活动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1.单位负责人为同一人或者存在直接控股、管理关系的不同供应商，不得参加同一合同项下的政府采购活动。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2.为采购项目提供整体设计、规范编制或者项目管理、监理、检测等服务的供应商，不得参加本项目的采购活动。</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3.供应商被“信用中国”网站（www.creditchina.gov.cn）、“中国政府采购网”(www.ccgp.gov.cn)列入失信被执行人、重大税收违法案件当事人名单、政府采购严重违法失信行为记录名单。</w:t>
      </w:r>
      <w:r/>
    </w:p>
    <w:p>
      <w:pPr>
        <w:pStyle w:val="691"/>
        <w:ind w:left="0" w:right="0" w:firstLine="0"/>
        <w:jc w:val="both"/>
        <w:spacing w:before="260" w:after="260"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三、获取磋商文件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1.时间：自磋商文件公告发布之日起5个工作日。</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2.方式：在“江苏政府采购网”免费下载。</w:t>
      </w:r>
      <w:r/>
    </w:p>
    <w:p>
      <w:pPr>
        <w:pStyle w:val="69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四、提交响应文件截止时间</w:t>
      </w:r>
      <w:r/>
    </w:p>
    <w:p>
      <w:pPr>
        <w:ind w:left="0" w:right="0" w:firstLine="372"/>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2026年5月19日</w:t>
      </w:r>
      <w:r>
        <w:rPr>
          <w:rFonts w:ascii="Times New Roman" w:hAnsi="Times New Roman" w:eastAsia="Times New Roman" w:cs="Times New Roman"/>
          <w:color w:val="000000"/>
          <w:sz w:val="24"/>
        </w:rPr>
        <w:t xml:space="preserve">14</w:t>
      </w:r>
      <w:r>
        <w:rPr>
          <w:rFonts w:ascii="SimSun" w:hAnsi="SimSun" w:eastAsia="SimSun" w:cs="SimSun"/>
          <w:color w:val="000000"/>
          <w:sz w:val="24"/>
        </w:rPr>
        <w:t xml:space="preserve">时 30分（北京时间）。</w:t>
      </w:r>
      <w:r/>
    </w:p>
    <w:p>
      <w:pPr>
        <w:ind w:left="0" w:right="0" w:firstLine="372"/>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地点：江苏省政府采购交易系统（苏采云系统）网上开标大厅</w:t>
      </w:r>
      <w:r/>
    </w:p>
    <w:p>
      <w:pPr>
        <w:pStyle w:val="69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五、公告期限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公告期限为自本公告发布之日起5个工作日。</w:t>
      </w:r>
      <w:r/>
    </w:p>
    <w:p>
      <w:pPr>
        <w:pStyle w:val="69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六、其他事宜</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1.本次磋商不收取磋商保证金。</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2.本项目由采购人统一组织各磋商供应商</w:t>
      </w:r>
      <w:r>
        <w:rPr>
          <w:rFonts w:ascii="SimSun" w:hAnsi="SimSun" w:eastAsia="SimSun" w:cs="SimSun"/>
          <w:b/>
          <w:color w:val="1f2329"/>
          <w:sz w:val="24"/>
        </w:rPr>
        <w:t xml:space="preserve">集中现场踏勘</w:t>
      </w:r>
      <w:r>
        <w:rPr>
          <w:rFonts w:ascii="SimSun" w:hAnsi="SimSun" w:eastAsia="SimSun" w:cs="SimSun"/>
          <w:color w:val="000000"/>
          <w:sz w:val="24"/>
        </w:rPr>
        <w:t xml:space="preserve">，实地核对并确认各类绿化苗木规格、数量及现场实际情况，</w:t>
      </w:r>
      <w:r>
        <w:rPr>
          <w:rFonts w:ascii="SimSun" w:hAnsi="SimSun" w:eastAsia="SimSun" w:cs="SimSun"/>
          <w:b/>
          <w:color w:val="1f2329"/>
          <w:sz w:val="24"/>
        </w:rPr>
        <w:t xml:space="preserve">所有苗木工程量及现场现状均以踏勘现场实际为准。</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1f2329"/>
          <w:sz w:val="24"/>
        </w:rPr>
        <w:t xml:space="preserve">各供应商系统报名完成后，须主动联系代理机构办理踏勘登记，由代理机构统一通知踏勘时间、地点及相关要求。</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1f2329"/>
          <w:sz w:val="24"/>
        </w:rPr>
        <w:t xml:space="preserve">凡未及时登记、无故缺席集中踏勘的供应商，视同完全了解现场全部情况。后续磋商、履约过程中，不得以工程量不符、现场情况不清等为由提出异议、索赔及变更申请，相关责任与风险由供应商自行承担。</w:t>
      </w:r>
      <w:r/>
    </w:p>
    <w:p>
      <w:pPr>
        <w:ind w:left="0" w:right="0" w:firstLine="480"/>
        <w:jc w:val="both"/>
        <w:spacing w:before="0" w:after="0" w:line="62"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1f2329"/>
          <w:sz w:val="24"/>
        </w:rPr>
        <w:t xml:space="preserve">踏勘期间各供应商须服从现场管理，爱护苗木及现场设施，若造成损坏须自行承担赔偿责任。</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苏采云系统供应商操作指南详见“江苏政府采购网-办事指南-资料下载”）。</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4.有关本次采购的事项若存在变动或修改，请及时关注“江苏政府采购网”（www.ccgp-jiangsu.gov.cn）更正公告。</w:t>
      </w:r>
      <w:r/>
    </w:p>
    <w:p>
      <w:pPr>
        <w:ind w:left="0" w:right="0" w:firstLine="482"/>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5.供应商（含潜在供应商）对本项目提出询问或质疑，由代理机构负责答复。</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《质疑函》收件人：董工，收件地址：淮安经济技术开发区明发星悦城23-4，联系电话：15240251533。</w:t>
      </w:r>
      <w:r/>
    </w:p>
    <w:p>
      <w:pPr>
        <w:pStyle w:val="691"/>
        <w:ind w:left="0" w:right="0" w:firstLine="465"/>
        <w:jc w:val="both"/>
        <w:spacing w:before="145" w:after="145"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七、本次磋商联系方式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名称：江苏护理职业学院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地址：淮安市科技路9号</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联系人：左老师 </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联系电话：18762007139</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2.代理机构</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址：淮安经济技术开发区明发星悦城23-4</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联系人：董工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联系电话：15240251533</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第二章供应商须知</w:t>
      </w:r>
      <w:r/>
    </w:p>
    <w:p>
      <w:pPr>
        <w:pStyle w:val="691"/>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一、总则</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1.采购方式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本次政府采购活动采取竞争性磋商(以下简称“磋商”)方式，本文件仅适用于采购公告中所述项目。</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2.合格的供应商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满足采购公告对供应商资格要求的规定。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满足磋商文件规定的实质性要求和条件。</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本次采购及由此产生的合同受中华人民共和国有关的法律法规制约和保护。</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4.磋商费用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供应商应自行承担所有与参加采购有关的费用，无论采购过程中的做法和结果如何，代理机构在任何情况下均无义务和责任承担这些费用。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项目由江苏星汇工程咨询管理有限公司协助采购人作了前期咨询工作，因此各供应商在磋商报价时必须将咨询费用包含在磋商报价中，无需单独列项计取，本项目磋商咨询费参照国家发改委计价格【2002】1980号文规定的收费标准的40%计取。</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5.磋商文件的约束力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供应商一旦参加本项目采购活动，即被认为接受了本文件的规定和约束。</w:t>
      </w:r>
      <w:r/>
    </w:p>
    <w:p>
      <w:pPr>
        <w:pStyle w:val="691"/>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二、磋商文件</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6.磋商文件构成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磋商文件由以下部分组成：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供应商应仔细检查磋商文件是否齐全，如有缺漏请立即与代理机构联系。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7.磋商文件的澄清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任何要求对磋商文件进行澄清的供应商，应在磋商截止期五日前按采购公告中的通讯地址，以书面形式通知代理机构。</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8.磋商文件的修改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在响应文件提交截止时间前，代理机构可以对磋商文件进行修改。磋商文件的修改将在原公告媒体发布更正公告，更正内容将作为磋商文件的组成部分，并对供应商具有约束力。</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供应商应在提交响应文件截止时间前，关注原公告媒体有关本项目的更正公告，根据更正公告内容自行决定是否需要重新制作和提交响应文件，并承担由此产生的相应责任。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代理机构有权按照法定的要求推迟提交响应文件截止时间，并在原公告媒体发布更正公告。</w:t>
      </w:r>
      <w:r/>
    </w:p>
    <w:p>
      <w:pPr>
        <w:pStyle w:val="691"/>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三、响应文件的编制</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9.响应文件的语言及度量衡单位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供应商提交的响应文件以及供应商与代理机构就有关磋商的所有来往通知、函件和文件均应使用简体中文。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10.响应文件构成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供应商编写的响应文件应包括资格证明文件、符合性证明文件、磋商报价明细表、响应及偏离表、其他证明文件、磋商响应函等部分。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如标书制作工具中格式和内容与“江苏政府采购网”发布的磋商文件不一致，以“江苏政府采购网”发布的磋商文件为准。</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11.证明磋商响应标的符合磋商文件规定的文件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供应商应按照法律、法规、规章和规范性文件以及磋商文件要求提交证明文件，证明其响应标的符合磋商文件规定。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磋商文件对证明文件无明确形式要求的，证明文件可以以文字资料、图纸和数据等形式提交。</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12.磋商报价明细表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供应商应按照磋商文件规定格式填磋商报价明细表。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响应文件中的单价和总价无特殊规定的采用人民币报价，以元为单位标注。磋商文件另有规定的按规定执行。</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13.响应及偏离表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供应商需对磋商文件中的技术要求与商务要求逐项作出响应或偏离说明。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供应商可在响应文件中提供认为需要的其他技术文件或说明。</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14.磋商响应函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供应商应按照磋商文件规定格式完整、正确填报磋商响应函。</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15.磋商有效期</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磋商有效期为采购公告规定的提交响应文件截止之日起六十天。磋商有效期比规定短的将被视为非实质性响应磋商文件而被拒绝。</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16.磋商有效期的延长</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同时受磋商有效期约束的所有权利与义务均延长至新的有效期满。</w:t>
      </w:r>
      <w:r/>
    </w:p>
    <w:p>
      <w:pPr>
        <w:pStyle w:val="691"/>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四、响应文件的递交</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17.响应文件的递交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供应商应当按照《操作手册》规定，在采购公告规定的提交响应文件截止时间前制作并上传电子响应文件。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供应商应充分考虑网络环境、网络带宽等因素可能产生的影响，如因供应商自身原因造成的电子响应文件上传不成功的，按照本磋商文件第二章第24.3条规定做无效响应处理。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17.3 代理机构可以按照规定，通过修改磋商文件酌情延长提交响应文件截止日期，在此情况下，供应商的所有权利和义务均以延长后新的截止日期为准。</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18.响应文件的拒收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提交响应文件截止时间后上传的任何响应文件将被拒绝。</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19.响应文件的撤回和修改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响应文件的撤回</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19.1.1 供应商可在提交响应文件截止时间前，撤回其电子响应文件，具体操作方法见《操作手册》。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19.1.2 供应商撤回电子响应文件，则认为其不再参与本项目磋商活动。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响应文件的修改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19.2.1 供应商可在提交响应文件截止时间前，对其电子响应文件进行修改，具体操作方法见《操作手册》。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19.2.2 提交响应文件截止时间之后，供应商不得对其电子响应文件作任何修改。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19.3 在提交响应文件截止时间至磋商文件中规定的磋商有效期满之间的这段时间内，供应商不得撤回其响应文件。</w:t>
      </w:r>
      <w:r/>
    </w:p>
    <w:p>
      <w:pPr>
        <w:pStyle w:val="691"/>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五、响应文件的解密与评审</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20.响应文件解密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供应商应当按照《操作手册》规定，在苏采云系统规定的时间内对响应文件进行解密。</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21.磋商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依法组建的磋商小组对响应文件进行评审。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磋商小组由采购人代表和有关方面专家组成，人员构成符合政府采购有关规定。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磋商小组独立工作，负责评审所有响应文件并推荐成交候选人，或根据采购人授权直接确定成交供应商。</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22.评审过程的保密与公正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磋商小组、采购人和代理机构工作人员、相关监督人员等与评审工作有关的人员，对评审情况以及在评审过程中获悉的国家秘密、商业秘密负有保密责任。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供应商不得以任何方式影响评审过程，否则其响应文件将被作为无效响应文件。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代理机构和磋商小组不向未成交的供应商解释未成交原因，也不公布评审过程中的相关细节。</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23.评审过程中的澄清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项目评审期间，磋商小组有权要求供应商对响应文件中含义不明确、同类问题表述不一致或者有明显文字和计算错误的内容等作出必要的澄清、说明或者补正。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供应商的澄清、说明或者补正不得超出响应文件的范围或者改变响应文件的实质性内容。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磋商小组并非对每个供应商都做澄清要求。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需要供应商进行澄清、说明和补正的，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接到磋商小组澄清、说明和补正要求的供应商如未按规定做出澄清、说明和补正，其风险由供应商自行承担。</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24.响应文件的审查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响应文件审查分为资格审查和符合性审查。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 资格审查。依据法律法规和磋商文件的规定，磋商小组对响应文件中的资格证明文件进行审查，以确定供应商是否具备参加磋商的资格。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磋商小组进行资格审查时，将在“信用中国”网站（www.creditchina.gov.cn）查询供应商的信用记录，以确定供应商是否具备磋商资格,查询结果留存并归档。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接受联合体的项目，联合体成员存在不良信用记录的，视同联合体存在不良信用记录。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 符合性审查。依据磋商文件的规定，由磋商小组从有效性、完整性和对磋商文件的响应程度等方面对响应文件进行审查，以确定是否对磋商文件的实质性要求作出响应。</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 未通过资格审查或符合性审查的供应商，磋商小组将通过苏采云系统告知具体原因，评审结束后将不再接受有关询问。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异常低价投标审查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24.3.1评审过程中出现下列情形之一的，磋商小组应当启动异常低价投标审查程序：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采购人可以结合具体项目实际情况，提高上述第1项至第3项中启动异常低价投标（响应）审查的数值标准，但是最高不得超过65%。</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相关法律法规对供应商报价有规定的，从其规定。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24.3.4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24.3.5异常低价投标（响应）审查的启动原因、审查意见和审查结果应当在评审报告中记录，并随供应商提供的相关书面说明及证明材料，以及评审委员会有关互联网浏览、查询历史一并归档。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未实质性响应磋商文件的情形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 供应商在苏采云系统规定的时间内未成功解密电子响应文件。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24.4.2 供应商未按照磋商文件要求上传电子响应文件。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24.4.3 同一供应商提交两个（含两个）以上不同的响应文件或者最后报价。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24.4.4 供应商不具备磋商文件中规定的资格要求。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24.4.5 供应商的最后报价超过了采购预算或最高限价或单价上限。</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24.4.6 不符合磋商文件中规定的实质性要求和条件。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24.4.8 响应文件含有采购人不能接受的附加条件。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24.4.9 磋商小组按照本采购文件规定对供应商进行异常低价投标审查后，认为供应商不能证明其报价合理性的。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24.4.10 响应文件未按照磋商文件要求加盖电子公章。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24.4.11 法律法规及本磋商文件规定的其他无效响应的情形。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 未实质性响应磋商文件的响应文件按无效响应处理。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 如果响应文件实质上没有响应磋商文件的要求，磋商小组将予以拒绝，供应商不得通过修改或撤销不合要求的偏离或保留而使其成为实质性响应的文件。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 供应商在项目评审全过程中应保持通讯畅通，及时登录苏采云系统查阅、答复相关信息，并安排专人与代理机构及磋商小组联系。</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25.磋商程序及评审方法与评审标准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磋商程序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评审方法与评审标准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25.2.1 评审方法。见磋商文件第五章。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25.2.2 评审标准。见磋商文件第五章。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采购活动终止</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出现下列情形之一的，本次采购活动终止：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25.3.1 因情况变化，不再符合竞争性磋商采购方式适用情形。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25.3.2 出现影响采购公正的违法、违规行为。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25.3.3 在苏采云系统规定时间内成功解密电子响应文件的供应商不足三家。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25.3.4 除本磋商文件第二章第25.1.2条第三款规定的情形外，磋商过程中符合要求的供应商或者提交最后报价且未超过采购预算或最高限价的供应商不足三家。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25.3.5 法律法规规定的其他应当终止情形。</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25.4 如出现25.3.3或25.3.4情形，采购活动失败，磋商小组应对磋商文件是否存在不合理条款进行论证，并在评审报告中写明论证意见。</w:t>
      </w:r>
      <w:r/>
    </w:p>
    <w:p>
      <w:pPr>
        <w:pStyle w:val="691"/>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六、成交</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26.确定成交单位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成交候选供应商的确定原则和数量见磋商文件第五章。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按以下第（2）种方式确定成交供应商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（1）磋商小组直接确定排名第一的成交候选供应商为成交供应商；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（2）采购人在磋商小组推荐的成交候选供应商中按顺序确定成交供应商。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按第二种方式确定成交供应商的，代理机构自评审结束之日起两个工作日内将评审报告送交采购人，采购人自收到评审报告之日起五个工作日内，在评审报告推荐的成交候选供应商中按顺序确定成交供应商。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代理机构将在“江苏政府采购网”发布成交结果公告，公告期限为1个工作日。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 </w:t>
      </w:r>
      <w:r>
        <w:rPr>
          <w:rFonts w:ascii="SimSun" w:hAnsi="SimSun" w:eastAsia="SimSun" w:cs="SimSun"/>
          <w:b/>
          <w:color w:val="000000"/>
          <w:sz w:val="24"/>
        </w:rPr>
        <w:t xml:space="preserve">若有充分证据证明成交供应商有下列情况之一的，一经查实将被取消成交资格：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26.4.1 提供虚假材料谋取成交。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26.4.2 向评审专家、采购人或代理机构工作人员行贿或者提供其他不正当利益。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26.4.3 与其他供应商、评审专家、采购人或代理机构工作人员恶意串通。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26.4.4 不满足本磋商文件规定的实质性要求，但在评审过程中未被磋商小组发现。</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26.4.5 采取不正当手段诋毁、排挤其他供应商。</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27.成交通知书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成交结果确定后，代理机构将向成交供应商发出《成交通知书》。成交供应商可在成交结果公告届满之日起三十日内，登录苏采云系统下载。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691"/>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七、授予合同</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28.签订合同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28.l 成交供应商应当在《成交通知书》发出之日起三十日内，按照磋商文件确定的事项与采购人签订政府采购合同。采购人于合同签订后2个工作日内通过苏采云系统进行公示。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磋商文件、成交供应商的响应文件及磋商过程中有关澄清、承诺文件均作为合同附件。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成交供应商因自身原因拒绝与采购人签订合同的，不得参加采购人重新组织的采购活动</w:t>
      </w:r>
      <w:r>
        <w:rPr>
          <w:rFonts w:ascii="SimSun" w:hAnsi="SimSun" w:eastAsia="SimSun" w:cs="SimSun"/>
          <w:color w:val="000000"/>
          <w:sz w:val="21"/>
        </w:rPr>
        <w:t xml:space="preserve">，</w:t>
      </w:r>
      <w:r>
        <w:rPr>
          <w:rFonts w:ascii="SimSun" w:hAnsi="SimSun" w:eastAsia="SimSun" w:cs="SimSun"/>
          <w:color w:val="000000"/>
          <w:sz w:val="24"/>
        </w:rPr>
        <w:t xml:space="preserve">且将可能被拒绝参加该采购人一年内的其他政府采购活动。</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29.标的物的追加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30.政府采购履约资金扶持政策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691"/>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八、质疑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31.提出质疑的供应商应当是参与所质疑项目采购活动的供应商，潜在供应商依法获取其可质疑的采购文件的，可以对采购文件提出质疑。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32.供应商认为采购文件、采购过程和采购结果使自己的权益受到损害的，可以在知道或应知其权益受到损害之日起七个工作日内，按照第34条、第35条之规定以书面形式向采购人或代理机构提出质疑。</w:t>
      </w:r>
      <w:r>
        <w:rPr>
          <w:rFonts w:ascii="SimSun" w:hAnsi="SimSun" w:eastAsia="SimSun" w:cs="SimSun"/>
          <w:b/>
          <w:color w:val="000000"/>
          <w:sz w:val="24"/>
        </w:rPr>
        <w:t xml:space="preserve">上述应知其权益受到损害之日是指：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对采购文件提出质疑的，为收到采购文件之日或者采购文件公告期限届满之日。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对采购过程提出质疑的，为各采购程序环节结束之日。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 对成交结果提出质疑的，为成交结果公告期限届满之日。</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33.供应商应当在法定质疑期内一次性提出针对同一采购程序环节的质疑。供应商如在法定期限内对同一采购程序环节提出多次质疑的，代理机构或采购人将只对供应商第一次质疑作出答复。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34.供应商提出质疑应提交《质疑函》原件，且尽可能通过邮寄方式送达，代理机构和采购人不接受无运单的快件。《质疑函》应按照本磋商文件中《质疑函范本》的格式和内容填写。</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供应商如组成联合体参加采购活动，《质疑函范本》中要求加盖公章之处，联合体各方均须按要求加盖公章。</w:t>
      </w:r>
      <w:r/>
    </w:p>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rPr>
          <w:rFonts w:ascii="SimSun" w:hAnsi="SimSun" w:eastAsia="SimSun" w:cs="SimSun"/>
          <w:b/>
          <w:color w:val="000000"/>
          <w:sz w:val="24"/>
        </w:rPr>
        <w:t xml:space="preserve">供应商根据质疑事项向相应的质疑答复主体提出质疑，具体详见采购文件第一章。由采购人负责答复的质疑，采购人将《质疑答复函》抄送代理机构。</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36.以下情形的质疑不予受理：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36.1 超出政府采购法定期限的质疑；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36.2 属于第33条规定的对同一采购程序环节提出的多次质疑；</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 法律法规规定的其他不予受理情形。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691"/>
        <w:ind w:left="0" w:right="0" w:firstLine="465"/>
        <w:jc w:val="both"/>
        <w:spacing w:before="145" w:after="145" w:line="55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九、政策功能落实</w:t>
      </w:r>
      <w:r/>
    </w:p>
    <w:p>
      <w:pPr>
        <w:pStyle w:val="692"/>
        <w:ind w:left="0" w:right="0" w:firstLine="420"/>
        <w:jc w:val="both"/>
        <w:spacing w:before="0" w:after="0" w:line="436"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8"/>
        </w:rPr>
        <w:t xml:space="preserve">38.促进中小企业发展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 小微型企业价格扣除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38.1.1 对于未专门面向中小企业或者未预留份额专门面向中小企业采购的采购项目，投标人提供的货物或者服务符合下列情形的，享受本办法规定的中小企业扶持政策给予小微企业报价10%的扣除，用扣除后的价格参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（1）在货物采购项目中，货物由中小企业制造，即货物由中小企业生产且使用该中小企业商号或者注册商标；</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（2）在服务采购项目中，服务由中小企业承接，即提供服务的人员为中小企业依照《中华人民共和国劳动合同法》订立劳动合同的从业人员。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38.1.2 在货物采购项目中，投标人提供的货物既有中小企业制造货物，也有大型企业制造货物的，不享受本办法规定的中小企业扶持政策。</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38.2小微型企业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（1）投标人须按照招标文件的要求提供相应的《企业声明函》，详见招标文件第六章示范格式。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（2）企业标准请参照《政府采购促进中小企业发展管理办法》（财库【2020】46号）文件规定自行填写。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38.3残疾人福利单位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（1）残疾人福利单位需按照招标文件的要求提供《残疾人福利性单位声明函》，详见招标文件第六章示范格式。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（2）残疾人福利单位标准请参照《关于促进残疾人就业政府采购政策的通知》（财库〔2017〕141号）。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38.4监狱和戒毒企业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（1）监狱企业参加政府采购活动时，需提供由省级以上监狱管理局、戒毒管理局（含新疆生产建设兵团）出具的属于监狱企业的证明文件）（投标文件中上传加盖出具单位公章的电子件）。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（2）监狱企业标准请参照《关于政府采购支持监狱企业发展有关问题的通知》（财库[2014]68号）。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tabs>
          <w:tab w:val="left" w:pos="46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第三章合同文本</w:t>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以下为本项目的合同条款，合同双方不得对磋商、响应文件内容作实质性修改。</w:t>
      </w:r>
      <w:r/>
    </w:p>
    <w:p>
      <w:pPr>
        <w:ind w:left="0" w:right="0" w:firstLine="56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（此合同仅作范本，以最终签订的合同为准）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甲方（采购人）：江苏护理职业学院</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代表人：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乙方（供应商）：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代表人：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联系电话：</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依据甲方委托进行 江苏护理职业学院绿化养护管理服务项目（地点：江苏护理职业学院科技路校区、黄河路校区） （采购编号：）的采购结果，确定乙方为成交供应商，现依照采购文件、乙方的响应文件及相关文件的内容，签订本合同书。</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一、合同内容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1.乙方负责完成甲方招标区域的绿化养护工作。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2.下列文件为本合同不可分割部分：</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①成交通知书；②采购文件；③乙方响应文件；</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④乙方在招投标过程中所作的其它承诺、声明、书面澄清等。</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养护内容及要求：详见采购文件。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考核标准：详见采购文件。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5.履约起止时间（养护期限）：  年  月  日-  年  月  日</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合同签订采取“1+1+1”的形式，依据当年度考核结果决定是否续签下一年，最多续签2次（每次为1年）。如遇校园绿化面积调整，视情况签订补充协议。</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二、价格与支付</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1.成交合同价：人民币     元整（    元/年）。</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2.本次采购费用支付按考核成绩结算。响应包括养护服务需要人工费各种税费、保险、劳保、利润、税金、政策性文件规定及合同包含的所有风险、责任等各项应有费用。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3.合同价款的支付及付款方式：</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养护费用结算依据月度考核按月支付，若一年中有两次月考核不合格的，将解除养护合同。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甲方根据月度考核结果按月支付养护进度款；当期应支付养护价款 =（年度总报价÷12）－本支付期考核扣款，养护期最后一期养护款，在验收移交工作完成后支付给乙方。</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3.1因乙方养护不当等原因导致苗木植株缺失或死亡的，乙方均须及时自行购买同等规格品种的植株补植到位、并保证成活，否则依据当年苗木采购及养护的价格进行赔偿。</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3.2甲方支付此项费用外不再承担其它任何费用，服务人员的薪金、福利、休假日补贴等由乙方付给，与甲方无关。</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3.3学校（甲方）依据《江苏护理职业学院绿化养护管理质量考核细则》（详见附表）每月定期对养护单位（乙方）养护工作进行综合评定，确定绿化养护月度考核结果；月度考核结果分为优秀、良好、合格、不合格四个等级。</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3.4绿化养护月度考核结果评定方法：得分在85分（含）以上的为优秀，得分在80～84.99分之间的为良好，得分在70～79.99分之间的为合格，得分&lt;70分的为不合格；月度考核得分保留2位有效数字。</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以月服务费为基数，根据养护考核表得分以及其他工作要求进行养护经费支付，方法如下：</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优秀（85分（含）以上）：支付100%月度养护费用；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良好（80～84.99分之间）：支付95%月度养护费用；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合格（70～79.99分之间）：支付85%月度养护费用；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不合格（&lt;70分）：支付80%月度养护费用。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乙方要求付款应提供以下资料：</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（1）合格的应付款等额发票。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（2）由甲乙双方签字确认的扣款凭证、月考核表。</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支付方式：转账。</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4.履约保证金</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必须在成交通知书发出后合同签订前按合同金额的10%提交履约保证金至甲方账户（接受履约保函）。乙方未交履约保证金的，甲方暂不支付养护款。在乙方的合同义务履行完成并验收合格移交后，退回履约保证金（无息）。</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因非甲方原因（包括但不限于因乙方养护不当等原因）导致苗木缺失或死亡的，乙方须及时自行购买同等规格品种的植株补植到位、并保证成活，履约保证金在补植整改验收移交后无息支付给乙方。如乙方未按要求补植到位的，甲方有权依据当年苗木采购及养护的价格直接从履约保证金及养护款中扣除相应费用用于植株补植。</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（三）违约责任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1.甲方违约责任及违约金支付</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1.1在合同生效后，乙方能够按采购文件要求立即提供服务的，甲方无理由要求终止服务，应向乙方偿付合同总价款的1%，作为违约金，违约金不足以补偿损失的，乙方有权要求甲方补足。</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1.2甲方违反合同规定，无故拒绝接受乙方提供服务，应当承担乙方由此造成的损失。</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2.乙方违约责任及违约金支付</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2.1乙方或不能按采购文件提供服务的，或服务不合格的，应向甲方偿付合同总价款5%的违约金，违约金不足以补偿损失的甲方有权要求乙方补足。</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乙方未能在履约起始时间之前按采购文件要求将人员配备到位的，或设备配置不齐全等原因，导致逾期提供服务的，甲方有权要求乙方按照逾期服务的每天千分之一支付逾期违约金，并承担甲方因此遭致的损失费用，甲方也有权解除合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（四）不可抗力</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1.因不可抗力（或甲、乙双方不能控制的原因）不能履行合同的，根据不可抗力的影响，部分或者全部免除责任。但合同一方迟延履行后发生不可抗力的，不能免除责任。</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2.合同一方因不可抗力不能履行合同的，应当及时通知对方，以减轻可能给对方造成的损失，并应当在合理期限内提供证明。</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（五）合同生效及其它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1.合同经甲乙双方代表签字并加盖公章（或合同章），乙方向甲方交纳履约保证金后即生效。</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2.合同在执行过程中出现的未尽事宜，双方在不违背本合同和采购文件的原则下协商解决，协商结果以书面形式盖章记录在案，作为本合同的附件，与本合同具有同等效力。</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（六）合同的解除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1.甲方和乙方协商一致，可以解除合同。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2.有下列情形之一，合同一方可以解除合同：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2.1因不可抗力致使不能实现合同目的，未受不可抗力影响的一方有权解除合同；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2.2因合同一方违约导致合同不能履行，另一方有权解除合同。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3.有权解除合同的一方，应当在违约事实（包括一年中有两次月考核不合格）或不可抗力发生之后三十天内书面通知对方提出解除合同，合同在书面通知到达对方时解除。</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4.合同的部分和全部都不得转包。</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5.甲方因为校企合作等其他项目建设或巡视整改需要，可提前30天告知乙方并中止合同。</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（七）其它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1.乙方除应做好服务人员的安全教育外，还应为服务人员提供必要的劳动保护条件，为服务人员办理作业时的意外伤害险，一切安全责任事故均由乙方负责。</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2.本合同未尽之处双方协商解决；如协商不成，双方同意由一方向合同履行地人民法院提起诉讼。</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（八）附则</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1.合同份数：本合同一式六份，甲方执四份，乙方执两份。</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2.未尽事宜</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本合同未尽事宜应按《中华人民共和国民法典》以及相关法律、法规之规定解释。</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甲方签章：乙方签章：</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代理人：代理人：</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年月日年月日</w:t>
      </w:r>
      <w:r/>
    </w:p>
    <w:p>
      <w:pPr>
        <w:ind w:left="0" w:right="0" w:firstLine="0"/>
        <w:spacing w:before="240" w:after="240" w:line="62"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45" w:after="145"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《*******合同》补充协议（合同附件）</w:t>
      </w:r>
      <w:r/>
    </w:p>
    <w:p>
      <w:pPr>
        <w:ind w:left="0" w:right="0" w:firstLine="0"/>
        <w:jc w:val="center"/>
        <w:spacing w:before="120" w:after="12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如遇磋商文件及合同未约定事项，双方可友好协商签订补充协议。</w:t>
      </w:r>
      <w:r/>
    </w:p>
    <w:p>
      <w:pPr>
        <w:ind w:left="0" w:right="0" w:firstLine="4800"/>
        <w:jc w:val="both"/>
        <w:spacing w:before="12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12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12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第四章 采购需求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（一）项目名称：江苏护理职业学院绿化养护管理服务。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绿化面积：我校现有两个校区绿化总面积约10万平方米，其中科技路校区约8.4万平方米、黄河路校区约1.6万平方米，涵盖乔木、灌木、地被植物等多种绿植，覆盖教学区绿地、宿舍区景观带、主干道绿化带及中央景观区等重点区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2.针对本次养护项目管理，包括有机肥2吨，春、冬两季各施肥一次；复合肥四季，3吨，一年四季各施肥一次；治虫、打药、保温材料、涂白剂由专业负责人根据我校绿植实际情况随时实施，服从学校安排。</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采购预算：48.2万元/年，服务期为3年，总金额为144.6万元，合同签订采取“1+1+1”的形式，依据当年度考核结果决定是否续签下一年，最多续签2次（每次为1年）。如遇校园绿化面积调整，视情况签订补充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4.人员配置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（1）人员需求表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1686"/>
        <w:gridCol w:w="845"/>
        <w:gridCol w:w="1306"/>
        <w:gridCol w:w="4817"/>
      </w:tblGrid>
      <w:tr>
        <w:trPr>
          <w:trHeight w:val="42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月数/次数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具有园林绿化或者风景园林专业中级职称</w:t>
            </w:r>
            <w:r/>
          </w:p>
        </w:tc>
      </w:tr>
      <w:tr>
        <w:trPr>
          <w:trHeight w:val="7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技术工人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年龄均不得超过60周岁，具有园林绿化养护相关专业证书。</w:t>
            </w:r>
            <w:r/>
          </w:p>
        </w:tc>
      </w:tr>
      <w:tr>
        <w:trPr>
          <w:trHeight w:val="6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1"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绿化养护人员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5"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6"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1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年龄均不得超过60周岁</w:t>
            </w:r>
            <w:r/>
          </w:p>
        </w:tc>
      </w:tr>
      <w:tr>
        <w:trPr>
          <w:trHeight w:val="634"/>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说明：最低工资标准、社保应当符合当地行政主管部门相关规定。</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人员配置最低要求：人员配置不少于9人，其中项目经理1名、养护技术工人2名、绿化养护工人6名，必须为常驻人员（具体见人员需求表）。投标人参加投标时，提供其承诺为本次养护项目配备项目经理、技术工人和绿化养护工人，养护期内必须常驻校内及项目经理不得同时服务其他项目的书面承诺函。</w:t>
      </w:r>
      <w:r>
        <w:rPr>
          <w:rFonts w:ascii="SimSun" w:hAnsi="SimSun" w:eastAsia="SimSun" w:cs="SimSun"/>
          <w:b/>
          <w:color w:val="000000"/>
          <w:sz w:val="24"/>
        </w:rPr>
        <w:t xml:space="preserve">（加盖公章装订入投标文件，必须提供，未提供的作无效响应文件处理）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（3）供应商须提供人员名单。进驻的绿化养护等人员将按照学校要求每天进行考勤。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（4）常驻现场的现场项目经理须提供身份证明、供应商与其的劳动合同以及供应商为其交纳社保的证明材料。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（5）投标人须提供人员名单。进驻的绿化养护等人员将按照学校要求每天进行考勤。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双方签订合同时，乙方在合同中注明养护技术人员的年龄、学历、职称等必须和投标文件一致，否则，甲方有权拒签合同。合同签订后，乙方必须确保进场养护人员与投标文件中所列人员的姓名、年龄、学历、职称等保持一致，投标承诺的人员发生变化的，须向采购人缴纳人员变更违约金，项目经理须缴纳1万元违约金，否则，甲方有权解除合同，拒绝乙方人员进场，给甲方造成损失的，由乙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5.设备配备最低要求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型专业工具若干（包括但不限于修枝剪刀、绿篱剪枝刀、双刃绿篱机、割灌机、多功能手锯、高枝剪（含3米、4米、5米）、大平剪刀、长杆绿篱机等等），须满足各校区的使用（具体详见主要养护管理机械设备表）；浇水用专业设备功率须满足学校所有区域灌溉需求。</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7"/>
        <w:gridCol w:w="3046"/>
        <w:gridCol w:w="2076"/>
        <w:gridCol w:w="1661"/>
        <w:gridCol w:w="1865"/>
      </w:tblGrid>
      <w:tr>
        <w:trPr>
          <w:trHeight w:val="57"/>
        </w:trPr>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主要养护管理机械设备表</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机械或设备名称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修枝剪刀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绿篱剪枝刀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双刃绿篱机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割灌机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多功能手锯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高枝剪（含3.4.5）米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大平剪刀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草坪机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长杆绿篱机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油锯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高枝油锯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专业打药机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7"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4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电动三轮车带水泵</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76"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说明：生产工具根据学校要求由承包商提供，承包商不得以任何理由拒绝。</w:t>
            </w: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6.绿化养护质量要求：绿化养护质量标准参照一级养护标准执行，结合校园实际实施养护，整体质量不低于二级标准，确保景观效果达到优良水平。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7.其他要求：对于校园内的名贵树种，因中标单位养护不当造成损失或死亡的，由中标单位赔偿采购人所有损失。</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二、考核要求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（一）江苏护理职业学院绿化养护管理考核办法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1.学校（甲方）依据《江苏护理职业学院绿化养护管理质量考核细则》</w:t>
      </w:r>
      <w:r>
        <w:rPr>
          <w:rFonts w:ascii="SimSun" w:hAnsi="SimSun" w:eastAsia="SimSun" w:cs="SimSun"/>
          <w:b/>
          <w:color w:val="000000"/>
          <w:sz w:val="24"/>
        </w:rPr>
        <w:t xml:space="preserve">（详见附件）</w:t>
      </w:r>
      <w:r>
        <w:rPr>
          <w:rFonts w:ascii="SimSun" w:hAnsi="SimSun" w:eastAsia="SimSun" w:cs="SimSun"/>
          <w:color w:val="000000"/>
          <w:sz w:val="24"/>
        </w:rPr>
        <w:t xml:space="preserve">每月定期对养护单位（乙方）养护工作进行综合评定，确定绿化养护月度考核结果；月度考核结果分为优秀、良好、合格、不合格四个等级。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2.绿化养护月度考核结果评定方法：得分在85分（含）以上的为优秀，得分在80～84.99分之间的为良好，得分在70～79.99分之间的为合格，得分&lt;70分的为不合格；月度考核得分保留2位有效数字。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3.养护费用结算依据月度考核按月支付，若一年中有两次月考核不合格的，将解除养护合同。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4.绿化养护发生重大责任安全事故的，学校将依法追究维保单位责任，提出赔偿，解除养护合同并没收保证金。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5.一个年度中，月度考核有10次以上优秀的，没有良好以下等级的年度考核可评为优秀，予以续签下一年合同，最多续签2次。</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三、养护基本要求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1.绿化充分，植物配置合理，乙方应按甲方要求适时翻土、规范移栽，达到黄土不露天；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2.校园植物养护达到：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2.1.生长势：好。生长超过该书中该规格的平均生长量（平均生长量待以后调查确定）。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2.2.叶子健壮：①叶色正常，叶大而肥厚、在正常的条件下不黄叶，不焦叶、不卷叶、不落叶，叶上无虫尿虫网灰尘；②被啃咬的叶片最严重的每株在5%以下（包括5%，以下同）。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2.3.枝、干健壮：①无明显枯枝、死枝、枝条粗壮，过冬前新梢木质化；②无蛀干害虫的活卵活虫；③树冠完整：分支点合适，主侧枝分布匀称和数量适宜、内膛不乱、通风透光。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2.4.措施好：按一级技术措施要求认真进行养护。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2.5.行道树基本无缺株，缺株及时规范移栽、补栽。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2.6.草坪覆盖率应基本达到100%；草坪内杂草控制在3%以内；生长茂盛颜色正常，不枯黄，无病虫害。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3.行道树和绿地内无死树，树木修剪合理，树形美观，能及时很好地解决树木与电线、建筑物、交通等之间的矛盾。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4.绿化生产垃圾（如：树枝、树叶、草沫等）做到随产随清，绿地整洁，无砖石瓦块、筐和塑料袋等废弃物，并做到经常保洁。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5.无明显人为损坏，绿地、草坪内无堆物堆料等；行道树树干上无钉栓刻画的现象，树下距树干2米范围内无堆物堆料等影响树木养护管理和生长的现象（2米以内如有），则应有保护措施。</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四、绿化养护技术要求：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1.为使校园绿地达到整洁美观，对校园色块灌木、造型灌木、花卉、花草、花灌木等植物正常生长而采取的一切养护措施。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2.养护的直观标准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2.1.树木长势旺盛，叶片叶色正常、叶大而肥厚、不黄叶、不焦叶、不卷叶、不落叶，无明显虫屎、虫网、被虫咬食叶片数量、每株在10%以下。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2.2.树枝树干挺直，树干基部无蘖芽滋生、枝干粗壮、无明显枯枝、死桩、基本无蛀干害虫的活卵、活虫，介壳虫在主、侧枝上基本无活虫。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2.3.树冠完整美观、分枝点合适、侧枝分布均匀、枝条疏密适当，内膛不乱，同光透光。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2.4.行道树分支点高低、树高、冠幅基本一致。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2.5.花灌木着花率高、开花繁茂、无落花落蕾现象。色块灌木无缺株断行、覆盖度达100%，色块分明，线条清晰流畅。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2.6.绿篱、造型灌木形状轮廓清晰、表面平整，圆滑、不露空缺、不露树干、不露捆扎物。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2.7.藤本长藤分布合理、枝叶覆盖均匀、附着牢固、覆盖度达85%以上。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2.8.草花生长健壮、花繁叶茂、无残花败叶、花坛整洁美观、四季有花、层次分明、图案清晰、色彩搭配适宜。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2.9.草坪生长茂盛、叶色正常、基本无秃斑、无枯草层、无杂草、无病虫害，留茬高度经常保持在6-8㎝。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3.绿化养护标准及要求：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3.1.浇水排水：遇土壤质量差、树木生长不良或遇干旱年份，应针对性进行浇水，夏季高温季节应在造成和傍晚进行、冬季宜午后进行，雨季应注意排涝、及时排出积水。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3.2.修剪：修剪应根据树种习性、设计意图、养护季节、景观效果为原则，达到均衡树势、调节生长、姿态优美、花繁叶茂的目的。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①修剪包括除芽、去蘖、摘心摘芽、疏枝、短截、整形、更冠等技术。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养护性修剪分常规修剪和造型（整形）修剪两类。常规修剪以保持自然树形为基本要求，按照“多疏少截”的原则及时剥芽、去蘖、合理短截并疏剪内膛枝、重叠枝、交叉枝、下垂枝、腐枯枝、病虫枝、徒长枝、衰弱枝和损伤枝，保持内膛通风透光，树冠丰满。造型修剪以剪、锯、捆、扎等手段，将树冠整修成特定的形状，达到外形轮廓清晰、树冠表面平整、圆滑、不露空缺、不露枝干、不露捆扎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乔木的修剪一般只进行常规修枝，对主、侧枝尚未定型的树木可采取短截技术逐年形成三级分枝骨架。庭荫树的分枝点应随着树木生长逐步提高，树冠与树干高度的比例应在7：3至6：4之间。行道树在同一路段的分枝点高低、树高、冠幅大小应基本一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灌木的修剪一般以保持其自然姿态，疏剪过密枝条，保持内膛通风透光。对丛生灌木的衰老主枝，应本着“留新去老”的原则培养徒长枝或分期短截老枝进行更新。观花灌木和观花小乔木的修剪应掌握花芽发育规律，对当年新稍上开花的花木应于早春萌发前修剪，短截上年的已花枝条，促使新枝萌发。对当年形成花芽，次年早春开花的花木，应在开花后适度修剪，对着花率低的老枝要进行逐年更新。在多年生枝上开花的花木，应保持培养老枝，剪去过密新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绿篱和造型灌木（含色块灌木）的修剪，一般按造型修剪的方法进行，按照规定的形状和高度修剪，每次修剪应保持形状轮廓线条清晰、表面平整、圆滑。修剪后新梢生长超过10㎝时，应进行第二次修剪。若生长过密影响通风透光时，要进行内膛疏剪。当生长高度影响景观效果时要进行强度修剪，强度修剪宜在休眠期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⑥藤本的修剪：老校区的藤本每年常规修剪一次，每隔1年应理藤一次，彻底清理枯死藤蔓、理顺分布方向，使叶幕分布均匀、厚度相等。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⑦草花的修剪要掌握各种花卉的生长开花习性，用剪梢、摘心等方法促使侧芽生长，增多开花枝数。要不断摘除花后残花、黄叶、病虫叶、增强花繁叶茂的观赏效果。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⑧草坪的修剪草坪的修剪高度应保持在6-8㎝，当草高超过10㎝时必须进行修剪。混播草坪修剪次数不少于15次/年。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⑨修剪时间落叶乔、灌木在冬季休眠期进行，常绿乔、灌木在生长期进行。绿篱、造型灌木、色块灌木、草坪等按养护要求及时进行。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⑩修剪次数乔木不少于2次/年，灌木不少于4次/年，绿篱、造型灌木不少于12次/年，色块灌木不少于10次/年；修剪的剪口或锯口平整光滑，不得劈裂、不留短桩；修剪应按技术操作规程的要求进行带线修建，须特别注意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3.3.病虫害防治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原则全面贯彻“预防为主、综合防治”的方针，要掌握植物病虫害发生规律，在预测、预报的指导下对可能发生的病虫害做好预防。已经发生的病虫害要及时治理、防治蔓延成灾。病虫害发生率应控制在10%以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②病虫害的药物防治要根据不同的树种、病虫害种类和具体环境条件，正确选用农药种类、剂型、浓度和使用方法，使之既能充分发挥药效，又不产生药害，减少对环境的污染。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喷药应成雾状，做到由内向外、由上向下、叶面叶背喷药均匀，不留空白。喷药应在无风的晴天进行，阴雨或高温炎热的中午不宜喷药。喷药时要注意行人安全、避开人流高峰时段、喷药范围内有食品、水果、鱼池等，要待移出或遮盖后方能进行。喷药后要立即清洗药械，不准乱倒残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④对药械难以喷到顶端的高大树木或蛀干害虫，可采用树干注射法防治。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⑤施药要掌握有利时机，害虫在孵化期货幼虫三龄期以前施药最为有效、真菌病害要在孢子萌发期货侵染初期施药。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⑥挖除地下害虫时，深度应在5-20㎝以内，接近树根时不能伤及根系。人工刮除树木枝干上介壳虫体，要彻底干净，不得损伤枝条货枝干内皮，刮除树木枝干上的腐烂病害时，要将受害部位全部清楚干净，伤口要进行消毒并涂抹保护剂，刮落的虫体和带病的树皮，要及时收集烧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⑦农药要妥善保管。施药人员应注意自身的安全，必须按规定穿戴工作服、工作帽、戴好风镜、口罩、手套即其他防护用具。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除草：除草要掌握“除早、除了”的原则，随时清除杂草，除草必须连根剔除。绿地内应做到基本无杂草，草坪的纯净度应达到95%以上。草坪秃斑应随缺随补，保证草坪的覆盖度和致密度。补草可采用点栽、播种和铺设等不同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3.5支撑、扶正：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①倾斜度超过10度的树木，须进行扶正，落叶树在休眠期进行，常绿树在萌芽前进行。扶正前应疏剪部分枝桠或进行短截，确保扶正树木的成活。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新栽大树和扶正后的树木应进行支撑。支撑材料在同一路段或区域内应当同一、支撑方式要规范、整齐。支撑着力点应超过树高的1/2以上，支撑材料在着力点与树干接触处应铺垫软质材料，以免损伤树皮。每年雨季前要对支撑进行一次全面检查，对松动的支撑要及时加固，对坎入树皮的捆扎物要及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3.6.绿地容貌：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①随时保持绿地清洁、美观、翻土、移栽作业场地整洁。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②及时清运草屑、树枝、死树等施工残留物，现场堆放时间不得超过当天。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③经常冲洗树木枝叶上的积尘，防治堵塞气孔和影响景观效果。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3.7.安全施工：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①绿化养护的各道工序含翻土、移栽施工要做到以人为本，文明、安全。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②绿化养护施工要设施工警示语或警示标志，保证施工人员和过往行人的安全。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五、绿化养护工作清单</w:t>
      </w:r>
      <w:r>
        <w:rPr>
          <w:rFonts w:ascii="SimSun" w:hAnsi="SimSun" w:eastAsia="SimSun" w:cs="SimSun"/>
          <w:b/>
          <w:color w:val="000000"/>
          <w:sz w:val="24"/>
        </w:rPr>
        <w:t xml:space="preserve">（采购人将组织磋商供应商集中勘察现场，确定各种绿化苗木的数量，以现场为准）</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乔木类：栎树、青桐树、榉树、榔榆、马褂木、银杏树、香樟、楸树、水杉、刺杉、柳杉、池杉、柳树、二桥玉兰、广玉兰、无患子、白玉兰、红豆杉、国槐、泡桐、乌桕、栾树、合欢树、重阳木、梧桐树、朴树、杜英、白皮松、皂角、梓树、香椿树、黑松、龙柏松、马尾松、桂花树、紫叶李、高杆女贞、棕櫚、石楠树、三角枫、鸡爪槭、巨紫荆、美国红枫、樱花树、观音柳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灌木类：红叶石楠、南天竹、北美海棠、垂丝海棠、贴梗海棠、腊梅、连翘、白桦树、樱花、刚竹、慈孝竹、紫竹、黄金竹、迎春花、八角金盘、牡丹、丁香花、月季、高杆月季、美女樱、蔷薇、麦冬、红枫、狗牙根、红花继木、茶梅、腊梅、美人蕉、山茶花、迎春花、云南黄馨、女贞、小叶黄杨、桃叶珊瑚、法青、海桐、茉莉、木槿、龙柏松、金森女贞、紫藤、紫荆、玉簪、棣棠花、翠芦莉、吉祥草、剑麻、枸杞、火结、扶芳藤、兰花三七、铁树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3.果树类：枇杷、李子、山楂、板栗、杏子、柿子、木瓜、石榴、桃树、苹果树。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4.草 坪：百慕大、狗牙根、黑麦草。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w:t>
      </w:r>
      <w:r/>
    </w:p>
    <w:p>
      <w:pPr>
        <w:pStyle w:val="690"/>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YouYuan" w:hAnsi="YouYuan" w:eastAsia="YouYuan" w:cs="YouYuan"/>
          <w:b/>
          <w:color w:val="000000"/>
          <w:sz w:val="24"/>
        </w:rPr>
        <w:t xml:space="preserve">江苏护理职业学院绿化养护管理质量考核细则</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0"/>
        <w:gridCol w:w="1094"/>
        <w:gridCol w:w="5542"/>
        <w:gridCol w:w="639"/>
        <w:gridCol w:w="765"/>
      </w:tblGrid>
      <w:tr>
        <w:trPr>
          <w:trHeight w:val="725"/>
        </w:trPr>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7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检查项目</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标准</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r>
      <w:tr>
        <w:trPr>
          <w:trHeight w:val="150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一、管理工作10分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制度建设档案管理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规章制度、养护方案等齐全（管理制度、养护制度等），每缺一项扣0.5分；有工作日志，绿化养护管理台账完整，缺一天扣0.5分。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44"/>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人员配置情况</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项目经理、绿化养护技术工人人数符合规定且出满勤，工作日旷工1人/日扣1分；工资按约定时间及时发放（工资发放表），如有违反，一次扣0.5分。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人员培训、管理制度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绿地内定人定岗定量、统一工作服、文明施工、遵章守纪，如有违反，一次扣0.5分。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6"/>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每季度至少开展一次安全教育、文明施工、业务知识培训，如未开展，查到一次扣0.5分。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4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二、植物养护工作40分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乔木养护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树木生长旺盛、修剪合理、无折悬枝、无枯死枝、无萌条枝、无病虫枝、交叉枝，基部无根蘖，实时浇水，合理施肥，树穴规范无杂草。查到1项/次不符合要求，扣0.5分。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加强病虫害防治工作，保证树木无病虫害，无柱干害虫，无虫卵，虫粪，无药害。查到1项/次不符合要求，扣0.5分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无人为损坏，天灾损坏及时处理，无乱贴乱画乱钉乱挂现象。查到1项/次不符合要求，扣0.5分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5"/>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灌木养护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修剪及时合理，树形美观，无折枝，无枯死枝，无徒长枝，无交叉枝，无串膛枝。查到1项/次不符合要求，扣0.5分。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6"/>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枝叶健壮，花期延续时间长，残花、败果能及时摘除。查到1项/次不符合要求，扣0.5分。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无病虫害，无药害，无被虫咬叶面。查到1项/次不符合要求，扣0.5分。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4"/>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绿篱养护9分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无缺苗断空，整体效果好。查到1次不符合要求，扣0.5分。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修剪表面平直，边角整齐，无杂草杂物，无枯枝死叉。查到1项/次不符合要求，扣0.5分。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5"/>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无病虫害，无虫卵、虫粪，无药害。查到1项/次不符合要求，扣0.5分。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3"/>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草坪养护9分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色泽鲜亮，生长茂盛，生长期内保持草坪状态良好。查到1项/次不符合要求，扣0.5分。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修剪及时，保持高度在6-10cm。查到1项/次不符合要求，扣0.5分。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草坪病斑面积不超过3%。查到1次不符合要求，扣0.5分。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5"/>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地培花卉养护4分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生长繁茂，叶、花色泽艳丽，整体观赏效果好。查到1项/次不符合要求，扣0.5分。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无病虫害，无药害，无杂草、无残花、败果、无枯死植株。查到1项/次不符合要求，扣0.5分。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8"/>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三、绿地管养10分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绿地管养10分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绿地内、树池内无垃圾无堆放杂物现象。查到1项/次不符合要求，扣0.5分。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4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对擅自占用绿地、乱砍乱伐树木的行为坚决给予制止并及时上报。查到1次不符合要求，扣0.5分。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8"/>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及时制止践踏绿地、乱拉乱挂、攀援树枝、摘花、折枝行为。查到1项/次不符合要求，扣0.5分。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四、档案台账管理10分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日常管理3分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机械设备使用、农药使用、安全管理台账及日工作计划完整。查到1项/次不符合要求，扣0.5分。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7"/>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月管理台账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月工作计划、工作总结、各种台账及时整理汇总、归档。查到1次不符合要求，扣0.5分。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83"/>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年管理台账</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年工作计划、工作总结、每季度总结汇总、各种台账及时整理汇总、归档。查到1项/次不符合要求，扣1分。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7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五、操作规定20分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草坪养护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每年春季进行打孔作业一次，合理施肥，浇水。年施肥不得少于3次。查到1项/次不符合要求，扣0.5分。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09"/>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草坪覆盖率应达到100%;草坪内杂草控制在草坪总面积3%以内，年修剪暖地形草6次以上，冷地型15次以上，修建高达6cm。查到1项/次不符合要求，扣0.5分。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3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打药要求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做好病虫害防治工作，人员防护措施；根据植物养护需要及时做好打药工作。查到1项/次不符合要求，扣0.5分。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水池</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及时补水，每年至少清池2次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55"/>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乔木养护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对主、侧枝尚未定型的树木可采取短截技术，树冠与树干高度的比例应在7：3至6：4之间。行道树在同一路段的分枝点高低、树高、冠幅大小应基本一致。查到1项/次不符合要求，扣0.5分。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灌木养护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保持其自然姿态，疏剪过密枝条，保持内膛通风透光。查到1项/次不符合要求，扣0.5分。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0"/>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设备养护</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设备保养良好、人员防护措施，根据需要及时做好日常养护工作、做好登记，垃圾清理外运. 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5"/>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六、其他要求10分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部门督查</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工作不力，整改不及时，被部门督查或者其他部门投诉，每次扣1分。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6"/>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应急能力</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学校重大活动及节日五一、十一、元旦等期间，服从工作安排。</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遇到突发事件，所有人员应服从学院统一管理和调配。如有不服从安排的，每次扣1分。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75"/>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严格执行学院制定的养护管理规定，养护管理过程中服从学院管理调度。如有不服从安排的，每次扣1分。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5"/>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会议要求</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学院安排的会议，必须是养护单位负责人参加；要求的各类报表要及时送达，不得无故拖延。如有不服从安排的，每次扣0.5分。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2"/>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vMerge w:val="restart"/>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安全管理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临时用房及安全用电严格遵守学院规定. 如有违反规定的，每次扣1分。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8"/>
        </w:trPr>
        <w:tc>
          <w:tcPr>
            <w:vMerge w:val="continue"/>
            <w:textDirection w:val="lrTb"/>
            <w:noWrap w:val="false"/>
          </w:tcPr>
          <w:p>
            <w:r/>
            <w:r/>
          </w:p>
        </w:tc>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管理使用的电器线路、绿化浇灌等设施经常检修，及时排除故障隐患。查到1项/次不符合要求，扣0.5分。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78"/>
        </w:trPr>
        <w:tc>
          <w:tcPr>
            <w:vMerge w:val="continue"/>
            <w:textDirection w:val="lrTb"/>
            <w:noWrap w:val="false"/>
          </w:tcPr>
          <w:p>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苗木草坪补植</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及时按原规格大小补栽或修补因养护不当造成的苗木及草坪损失。查到1项/次不符合要求，扣0.5分。</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0"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42"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 w:type="dxa"/>
            <w:vAlign w:val="center"/>
            <w:textDirection w:val="lrTb"/>
            <w:noWrap w:val="false"/>
          </w:tcPr>
          <w:p>
            <w:pPr>
              <w:spacing w:before="0" w:after="0" w:line="57" w:lineRule="atLeast"/>
            </w:pPr>
            <w:r/>
          </w:p>
        </w:tc>
      </w:tr>
    </w:tbl>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注：检查评定等级分为优秀（85分（含）以上）、良好（80～84.99分之间）、合格（70～79.99分之间）、不合格（&lt;70分）、严重不合格（60 分以下）；本考核表经双方检查人员签名后生效）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第五章评审方法与评审标准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一、评审方法</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采用综合评分法，对满足磋商文件全部实质性要求的响应文件按评审因素的量化指标评审总分对供应商进行排序。</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经磋商确定最终采购需求和提交最后报价的供应商后，磋商小组成员采用综合评分法独立对提交最后报价的供应商的响应文件和最后报价进行综合评分。</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磋商小组按照评审总分由高到低顺序推荐3名成交候选供应商，并编写评审报告。评审得分相同的，按照最后报价由低到高的顺序推荐。评审得分且最后报价相同的，按照“方案部分”得分由高到低顺序推荐。</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二、评审标准</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2"/>
        <w:gridCol w:w="850"/>
        <w:gridCol w:w="7306"/>
        <w:gridCol w:w="60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评分细则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本项目采用低价优先法，即满足磋商文件要求且最终报价最低为评标基准价，其价格分为满分。其他供应商的价格分按照下列公式计算（小数点保留两位）：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磋商报价得分=(评标基准价／磋商报价)×25分。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（1）供应商具有有效的质量管理体系(IS09001或GB/T19001)、环境管理体系(IS014001或GB/T24001)、职业健康安全管理体系(IS045001或GB/T45001)认证证书扫描件，每有一项得1分，最高3分。</w:t>
            </w:r>
            <w:r>
              <w:rPr>
                <w:rFonts w:ascii="SimSun" w:hAnsi="SimSun" w:eastAsia="SimSun" w:cs="SimSun"/>
                <w:b/>
                <w:color w:val="000000"/>
                <w:sz w:val="24"/>
              </w:rPr>
              <w:t xml:space="preserve">（提供证书复印件加盖供应商公章）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r>
        <w:trPr>
          <w:trHeight w:val="831"/>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6" w:type="dxa"/>
            <w:vAlign w:val="center"/>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（2）供应商自2023年1月1日以来具有类似合同业绩的，每有一个得3分，最高得9分。</w:t>
            </w:r>
            <w:r>
              <w:rPr>
                <w:rFonts w:ascii="SimSun" w:hAnsi="SimSun" w:eastAsia="SimSun" w:cs="SimSun"/>
                <w:b/>
                <w:color w:val="000000"/>
                <w:sz w:val="24"/>
              </w:rPr>
              <w:t xml:space="preserve">（提供服务合同或验收证明材料复印件加盖供应商公章）</w:t>
            </w:r>
            <w:r/>
          </w:p>
        </w:tc>
        <w:tc>
          <w:tcPr>
            <w:vMerge w:val="continue"/>
            <w:textDirection w:val="lrTb"/>
            <w:noWrap w:val="false"/>
          </w:tcPr>
          <w:p>
            <w:r/>
            <w:r/>
          </w:p>
        </w:tc>
      </w:tr>
      <w:tr>
        <w:trPr>
          <w:trHeight w:val="25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①年龄55周岁及以下，得3分；</w:t>
            </w:r>
            <w:r>
              <w:rPr>
                <w:rFonts w:ascii="SimSun" w:hAnsi="SimSun" w:eastAsia="SimSun" w:cs="SimSun"/>
                <w:b/>
                <w:color w:val="000000"/>
                <w:sz w:val="24"/>
              </w:rPr>
              <w:t xml:space="preserve">（需提供有效身份证复印件）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②具备园林绿化（或风景园林专业）中级及以上职称证书得4分；</w:t>
            </w:r>
            <w:r>
              <w:rPr>
                <w:rFonts w:ascii="SimSun" w:hAnsi="SimSun" w:eastAsia="SimSun" w:cs="SimSun"/>
                <w:b/>
                <w:color w:val="000000"/>
                <w:sz w:val="24"/>
              </w:rPr>
              <w:t xml:space="preserve">（需提供有效职称证书复印件）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③具有5年及以上绿化养护管理工作经验，得3分；（需提供经验证明材料）</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上述①②③项须同时提供开标前 6 个月内供应商为该项目经理缴纳的社保证明，否则该项不予计分。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r>
      <w:tr>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（2）技术工人具有3 年及以上绿化养护管理工作经验的，每提供1名符合条件人员得2分，本项最高得4分。</w:t>
            </w:r>
            <w:r>
              <w:rPr>
                <w:rFonts w:ascii="SimSun" w:hAnsi="SimSun" w:eastAsia="SimSun" w:cs="SimSun"/>
                <w:b/>
                <w:color w:val="000000"/>
                <w:sz w:val="24"/>
              </w:rPr>
              <w:t xml:space="preserve">（提供经验证明材料及开标前6个月内供应商为其缴纳的社保证明）</w:t>
            </w:r>
            <w:r/>
          </w:p>
        </w:tc>
        <w:tc>
          <w:tcPr>
            <w:vMerge w:val="continue"/>
            <w:textDirection w:val="lrTb"/>
            <w:noWrap w:val="false"/>
          </w:tcPr>
          <w:p>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注：项目经验证明材料三选一即可：加盖单位公章的工作经历证明、劳动合同、绿化养护相关项目业绩合同复印件。</w:t>
            </w:r>
            <w:r/>
          </w:p>
        </w:tc>
      </w:tr>
      <w:tr>
        <w:trPr>
          <w:trHeight w:val="25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设备配置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6" w:type="dxa"/>
            <w:vAlign w:val="top"/>
            <w:textDirection w:val="lrTb"/>
            <w:noWrap w:val="false"/>
          </w:tcPr>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根据供应商拟投入本项目的养护设备齐全度、数量、适配性评分：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完全满足磋商文件第五章采购需求“主要养护管理机械设备表”最低配置要求，设备型号适配校园双校区作业的得5分；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满足核心设备要求少量辅助设备未配齐的得3分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基本满足，设备数量不足或型号不匹配的得1分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未按要求提供设备清单或不满足最低配置的得0分</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（同时提供设备清单、购买发票或租赁证明、设备照片加盖供应商公章）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方案部分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评委会根据供应商提供的方案进行评分，不提供分项方案或者经三分之二评委认定分项方案存在重大偏离的，分项方案不得分。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（1）绿化养护总体方案（12分）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①供应商需提供1月-12月完整养护作业计划。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养护作业计划完整得4分；养护作业计划较完整得2分；养护作业计划不完整得1分，未提供不得分。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②绿化养护总体方案中，提交针对性突出的养护内容。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内容突出得4分；内容较突出得2分；内容一般得1分，未提供不得分。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③对突发情况包括恶劣天气、突发事件等伴随产生的风险提供详细应对方案，保证安全施工。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应对方案完整、合理得4分；应对方案较完整、较合理得2分；应对方案一般得1分；未提供不得分。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（2）绿化养护管理措施（12分）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①对供应商提交的养护管理体系进行评审。养护管理体系完善、保障措施完整得3分；养护管理体系较完善、保障措施较完整得2分；养护管理体系和保障措施一般得1分；未提供不得分。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②对供应商提交的养护管理制度、养护操作规程进行评审。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养护管理制度、养护操作规程合理、针对性强得3分；养护管理制度、养护操作规程较合理、针对性较强得2分；养护管理制度、养护操作规程合理性、针对性一般得1分；未提供不得分。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③有保证落实养护计划的具体措施。具体措施完整、合理得3分；具体措施较完整、较合理得2分；具体措施完整性、合理性一般得1分；未提供不得分。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④制定详细内部考核制度及相应养护员工技术培训计划，培训计划可操作性强得3分；培训计划可操作性较强得2分；培训计划可操作性一般得1分；未提供不得分。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（3）安全文明及环境保护保障措施（9分）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①安全保障：制定全面细致的绿化养护管理人员安全保障方案及措施得3分；方案较完整、较合理得2分；方案完整性、合理性一般得1分；未提供不得分。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安全文明作业：制定完善的安全文明作业保障方案，明确现场围挡、警示标识、人员操作规范、环境卫生及扰民防控等措施得3分；方案较完整、措施较具体得2分；方案一般、措施针对性不足得1分；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环境保护：制定养护过程环保方案，明确苗木修剪废弃物、农药包装、肥料残渣等废弃物收集清运处置措施，严控农药肥料泄漏污染，避免影响周边生态环境得3分；方案较完整、措施较到位得2分；方案一般、措施不完善得1分；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（4）养护档案管理措施（9分）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档案建档：针对项目所有绿植树木制定一树一档专属信息化建档管理方案，档案内容完整包含树种名称、胸径/地径、生长现状、健康状况、管护要点、专项保护措施等关键信息得3分；信息完整、分类清晰得2分；信息不完整、分类不规范得1分；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台账管理：建立常态化动态养护巡查台账、作业记录台账，明确台账记录频次、内容、责任人，实现养护资料实时更新、闭环管理得3分；台账规范、更新机制完善得2分；台账不规范、更新机制不健全得1分；未提供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应急档案：完善极端天气、病虫害、苗木损伤等突发事件应急处置台账及档案留存机制，明确档案留存期限、归档流程、查阅权限得3分；机制完整、可操作性强得2分；机制不完善、可操作性一般得1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服务承诺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06" w:type="dxa"/>
            <w:vAlign w:val="top"/>
            <w:textDirection w:val="lrTb"/>
            <w:noWrap w:val="false"/>
          </w:tcPr>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承诺将严格按照绿化养护操作规程及质量标准进行服务，配合采购人进行相关工作（包括但不限于地形整理、苗木移栽、种植等作业内容）确保绿化养护工作的顺利进行。完全响应得2分，未承诺或未实质性响应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第六章响应文件格式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响应文件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供应商名称 ：</w:t>
      </w:r>
      <w:r>
        <w:rPr>
          <w:rFonts w:ascii="SimSun" w:hAnsi="SimSun" w:eastAsia="SimSun" w:cs="SimSun"/>
          <w:b/>
          <w:color w:val="000000"/>
          <w:sz w:val="36"/>
          <w:u w:val="single"/>
        </w:rPr>
        <w:t xml:space="preserve">（加盖电子公章）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一、磋商响应函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二、磋商报价表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四、人员配备表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五、服务承诺</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六、资质审查时供应商必须提交的资格证明文件</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七、涉及无效响应文件条款中供应商必须提供的证明文件</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八、综合评分时供应商需提供的证明文件</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九、供应商认为有必要提供并说明的其它资料</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十、示范格式</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7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7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一、磋商响应函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致：江苏星汇工程咨询管理有限公司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的项目磋商文件，我方正式提交磋商响应函，并宣布同意如下内容：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1.按磋商文件规定的各项要求，向买方提供所需服务（包含与货物相关的服务及与服务相关的货物）。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3.我们已详细审核全部磋商文件及其有效补充文件，我们知道必须放弃提出含糊不清或误解问题的权利。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4.我们同意从规定的磋商日期起遵循本响应文件，并在规定的磋商有效期期满之前均具有约束力。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5.同意向贵方提供贵方可能另外要求的与磋商有关的任何证据或资料，并保证我方已提供和将要提供的文件是真实的、准确的。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6.一旦我方成交，我方将根据磋商文件的规定，严格履行合同的责任和义务,并保证在磋商文件规定的时间完成项目，交付买方验收、使用。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7.我方为：</w:t>
      </w:r>
      <w:r>
        <w:rPr>
          <w:rFonts w:ascii="Wingdings" w:hAnsi="Wingdings" w:eastAsia="Wingdings" w:cs="Wingdings"/>
          <w:color w:val="000000"/>
          <w:sz w:val="24"/>
        </w:rPr>
        <w:t xml:space="preserve">¨</w:t>
      </w:r>
      <w:r>
        <w:rPr>
          <w:rFonts w:ascii="SimSun" w:hAnsi="SimSun" w:eastAsia="SimSun" w:cs="SimSun"/>
          <w:color w:val="000000"/>
          <w:sz w:val="24"/>
        </w:rPr>
        <w:t xml:space="preserve">大型企业 </w:t>
      </w:r>
      <w:r>
        <w:rPr>
          <w:rFonts w:ascii="Wingdings" w:hAnsi="Wingdings" w:eastAsia="Wingdings" w:cs="Wingdings"/>
          <w:color w:val="000000"/>
          <w:sz w:val="24"/>
        </w:rPr>
        <w:t xml:space="preserve">¨</w:t>
      </w:r>
      <w:r>
        <w:rPr>
          <w:rFonts w:ascii="SimSun" w:hAnsi="SimSun" w:eastAsia="SimSun" w:cs="SimSun"/>
          <w:color w:val="000000"/>
          <w:sz w:val="24"/>
        </w:rPr>
        <w:t xml:space="preserve">中型企业 </w:t>
      </w:r>
      <w:r>
        <w:rPr>
          <w:rFonts w:ascii="Wingdings" w:hAnsi="Wingdings" w:eastAsia="Wingdings" w:cs="Wingdings"/>
          <w:color w:val="000000"/>
          <w:sz w:val="24"/>
        </w:rPr>
        <w:t xml:space="preserve">¨</w:t>
      </w:r>
      <w:r>
        <w:rPr>
          <w:rFonts w:ascii="SimSun" w:hAnsi="SimSun" w:eastAsia="SimSun" w:cs="SimSun"/>
          <w:color w:val="000000"/>
          <w:sz w:val="24"/>
        </w:rPr>
        <w:t xml:space="preserve">小型企业 </w:t>
      </w:r>
      <w:r>
        <w:rPr>
          <w:rFonts w:ascii="Wingdings" w:hAnsi="Wingdings" w:eastAsia="Wingdings" w:cs="Wingdings"/>
          <w:color w:val="000000"/>
          <w:sz w:val="24"/>
        </w:rPr>
        <w:t xml:space="preserve">¨</w:t>
      </w:r>
      <w:r>
        <w:rPr>
          <w:rFonts w:ascii="SimSun" w:hAnsi="SimSun" w:eastAsia="SimSun" w:cs="SimSun"/>
          <w:color w:val="000000"/>
          <w:sz w:val="24"/>
        </w:rPr>
        <w:t xml:space="preserve">微型企业（在对应</w:t>
      </w:r>
      <w:r>
        <w:rPr>
          <w:rFonts w:ascii="Wingdings" w:hAnsi="Wingdings" w:eastAsia="Wingdings" w:cs="Wingdings"/>
          <w:color w:val="000000"/>
          <w:sz w:val="24"/>
        </w:rPr>
        <w:t xml:space="preserve">¨</w:t>
      </w:r>
      <w:r>
        <w:rPr>
          <w:rFonts w:ascii="SimSun" w:hAnsi="SimSun" w:eastAsia="SimSun" w:cs="SimSun"/>
          <w:color w:val="000000"/>
          <w:sz w:val="24"/>
        </w:rPr>
        <w:t xml:space="preserve">内打“√”）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8.我方与本磋商有关的正式通讯地址为：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18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供应商名称：（加盖电子公章）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pStyle w:val="690"/>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二、磋商报价表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7"/>
        <w:gridCol w:w="3118"/>
        <w:gridCol w:w="311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江苏护理职业学院绿化养护管理服务项目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37"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3、偏离说明：详见《偏离表》；（本项无）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三、报价明细表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04"/>
        <w:gridCol w:w="3909"/>
        <w:gridCol w:w="2404"/>
        <w:gridCol w:w="1638"/>
      </w:tblGrid>
      <w:tr>
        <w:trPr>
          <w:trHeight w:val="6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费  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09"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4"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r>
        <w:trPr>
          <w:trHeight w:val="62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6" w:type="dxa"/>
            <w:vAlign w:val="center"/>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8" w:type="dxa"/>
            <w:vAlign w:val="top"/>
            <w:textDirection w:val="lrTb"/>
            <w:noWrap w:val="false"/>
          </w:tcPr>
          <w:p>
            <w:pPr>
              <w:ind w:left="0" w:right="0" w:firstLine="274"/>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四、人员配备表</w:t>
      </w:r>
      <w:r/>
    </w:p>
    <w:tbl>
      <w:tblPr>
        <w:tblStyle w:val="7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1485"/>
        <w:gridCol w:w="1335"/>
        <w:gridCol w:w="1200"/>
        <w:gridCol w:w="1500"/>
        <w:gridCol w:w="1515"/>
        <w:gridCol w:w="1455"/>
      </w:tblGrid>
      <w:tr>
        <w:trPr>
          <w:trHeight w:val="81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所学专业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资格证书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证书编号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现任职务</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及职称</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项目负责人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1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w:t>
      </w:r>
      <w:r>
        <w:rPr>
          <w:rFonts w:ascii="SimSun" w:hAnsi="SimSun" w:eastAsia="SimSun" w:cs="SimSun"/>
          <w:color w:val="000000"/>
          <w:sz w:val="24"/>
          <w:u w:val="single"/>
        </w:rPr>
        <w:t xml:space="preserve">    （电子签章）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3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人员配备表”指供应商针对该项目的所配备的项目经理和主要技术人员。人员一经确认，未经采购单位事先书面同意，不能更换，如有更换，新的人员资历经验等不得低于被替换的人员，且须经采购单位事先书面同意。</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五、服务承诺</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（格式由供应商自定、加盖供应商CA电子签章。）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六、资质审查时供应商必须提交的资格证明文件</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1.供应商提供下列材料之一：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（1）供应商提供法定代表人资格证明</w:t>
      </w:r>
      <w:r>
        <w:rPr>
          <w:rFonts w:ascii="SimSun" w:hAnsi="SimSun" w:eastAsia="SimSun" w:cs="SimSun"/>
          <w:b/>
          <w:color w:val="000000"/>
          <w:sz w:val="24"/>
        </w:rPr>
        <w:t xml:space="preserve">（格式按照示范格式一）</w:t>
      </w:r>
      <w:r>
        <w:rPr>
          <w:rFonts w:ascii="SimSun" w:hAnsi="SimSun" w:eastAsia="SimSun" w:cs="SimSun"/>
          <w:color w:val="000000"/>
          <w:sz w:val="24"/>
        </w:rPr>
        <w:t xml:space="preserve">和法定代表人身份证</w:t>
      </w:r>
      <w:r>
        <w:rPr>
          <w:rFonts w:ascii="SimSun" w:hAnsi="SimSun" w:eastAsia="SimSun" w:cs="SimSun"/>
          <w:b/>
          <w:color w:val="000000"/>
          <w:sz w:val="24"/>
        </w:rPr>
        <w:t xml:space="preserve">（加盖CA电子签章）；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（2）供应商提供授权委托书（</w:t>
      </w:r>
      <w:r>
        <w:rPr>
          <w:rFonts w:ascii="SimSun" w:hAnsi="SimSun" w:eastAsia="SimSun" w:cs="SimSun"/>
          <w:b/>
          <w:color w:val="000000"/>
          <w:sz w:val="24"/>
        </w:rPr>
        <w:t xml:space="preserve">格式按照示范格式二）</w:t>
      </w:r>
      <w:r>
        <w:rPr>
          <w:rFonts w:ascii="SimSun" w:hAnsi="SimSun" w:eastAsia="SimSun" w:cs="SimSun"/>
          <w:color w:val="000000"/>
          <w:sz w:val="24"/>
        </w:rPr>
        <w:t xml:space="preserve">和受托人身份证</w:t>
      </w:r>
      <w:r>
        <w:rPr>
          <w:rFonts w:ascii="SimSun" w:hAnsi="SimSun" w:eastAsia="SimSun" w:cs="SimSun"/>
          <w:b/>
          <w:color w:val="000000"/>
          <w:sz w:val="24"/>
        </w:rPr>
        <w:t xml:space="preserve">（加盖CA电子签章）。</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2.供应商提供下列材料之一：</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A.供应商为企业的：提供营业执照（三证合一）</w:t>
      </w:r>
      <w:r>
        <w:rPr>
          <w:rFonts w:ascii="SimSun" w:hAnsi="SimSun" w:eastAsia="SimSun" w:cs="SimSun"/>
          <w:b/>
          <w:color w:val="000000"/>
          <w:sz w:val="24"/>
        </w:rPr>
        <w:t xml:space="preserve">（加盖CA电子签章）</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B.供应商为事业单位的：提供事业法人证书</w:t>
      </w:r>
      <w:r>
        <w:rPr>
          <w:rFonts w:ascii="SimSun" w:hAnsi="SimSun" w:eastAsia="SimSun" w:cs="SimSun"/>
          <w:b/>
          <w:color w:val="000000"/>
          <w:sz w:val="24"/>
        </w:rPr>
        <w:t xml:space="preserve">（加盖CA电子签章）</w:t>
      </w:r>
      <w:r>
        <w:rPr>
          <w:rFonts w:ascii="SimSun" w:hAnsi="SimSun" w:eastAsia="SimSun" w:cs="SimSun"/>
          <w:color w:val="000000"/>
          <w:sz w:val="24"/>
        </w:rPr>
        <w:t xml:space="preserve">。</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C.供应商为其他组织的：提供相关证明材料</w:t>
      </w:r>
      <w:r>
        <w:rPr>
          <w:rFonts w:ascii="SimSun" w:hAnsi="SimSun" w:eastAsia="SimSun" w:cs="SimSun"/>
          <w:b/>
          <w:color w:val="000000"/>
          <w:sz w:val="24"/>
        </w:rPr>
        <w:t xml:space="preserve">（加盖CA电子签章）</w:t>
      </w:r>
      <w:r>
        <w:rPr>
          <w:rFonts w:ascii="SimSun" w:hAnsi="SimSun" w:eastAsia="SimSun" w:cs="SimSun"/>
          <w:color w:val="000000"/>
          <w:sz w:val="24"/>
        </w:rPr>
        <w:t xml:space="preserve">。</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3.供应商符合《中华人民共和国政府采购法》第二十二条规定条件的声明函</w:t>
      </w:r>
      <w:r>
        <w:rPr>
          <w:rFonts w:ascii="SimSun" w:hAnsi="SimSun" w:eastAsia="SimSun" w:cs="SimSun"/>
          <w:b/>
          <w:color w:val="000000"/>
          <w:sz w:val="24"/>
        </w:rPr>
        <w:t xml:space="preserve">（格式按照示范格式三，加盖CA电子签章）</w:t>
      </w:r>
      <w:r>
        <w:rPr>
          <w:rFonts w:ascii="SimSun" w:hAnsi="SimSun" w:eastAsia="SimSun" w:cs="SimSun"/>
          <w:color w:val="000000"/>
          <w:sz w:val="24"/>
        </w:rPr>
        <w:t xml:space="preserve">；</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4.落实政府采购政策需满足的资格要求</w:t>
      </w:r>
      <w:r>
        <w:rPr>
          <w:rFonts w:ascii="SimSun" w:hAnsi="SimSun" w:eastAsia="SimSun" w:cs="SimSun"/>
          <w:b/>
          <w:color w:val="000000"/>
          <w:sz w:val="24"/>
        </w:rPr>
        <w:t xml:space="preserve">（提供下列任一项材料即可，非专门面向中小企业或者预留份额的采购项目，本项无需提供）</w:t>
      </w:r>
      <w:r>
        <w:rPr>
          <w:rFonts w:ascii="SimSun" w:hAnsi="SimSun" w:eastAsia="SimSun" w:cs="SimSun"/>
          <w:color w:val="000000"/>
          <w:sz w:val="24"/>
        </w:rPr>
        <w:t xml:space="preserve">：</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（1）企业声明函</w:t>
      </w:r>
      <w:r>
        <w:rPr>
          <w:rFonts w:ascii="SimSun" w:hAnsi="SimSun" w:eastAsia="SimSun" w:cs="SimSun"/>
          <w:b/>
          <w:color w:val="000000"/>
          <w:sz w:val="24"/>
        </w:rPr>
        <w:t xml:space="preserve">（格式按照示范格式四）</w:t>
      </w:r>
      <w:r>
        <w:rPr>
          <w:rFonts w:ascii="SimSun" w:hAnsi="SimSun" w:eastAsia="SimSun" w:cs="SimSun"/>
          <w:color w:val="000000"/>
          <w:sz w:val="24"/>
        </w:rPr>
        <w:t xml:space="preserve">；</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（2）《残疾人福利性单位声明函》</w:t>
      </w:r>
      <w:r>
        <w:rPr>
          <w:rFonts w:ascii="SimSun" w:hAnsi="SimSun" w:eastAsia="SimSun" w:cs="SimSun"/>
          <w:b/>
          <w:color w:val="000000"/>
          <w:sz w:val="24"/>
        </w:rPr>
        <w:t xml:space="preserve">（格式按照示范格式五）；</w:t>
      </w:r>
      <w:r/>
    </w:p>
    <w:p>
      <w:pPr>
        <w:ind w:left="0" w:right="0" w:firstLine="5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（3）由省级以上监狱管理局、戒毒管理局（含新疆生产建设兵团）出具的属于监狱企业的证明文件</w:t>
      </w:r>
      <w:r>
        <w:rPr>
          <w:rFonts w:ascii="SimSun" w:hAnsi="SimSun" w:eastAsia="SimSun" w:cs="SimSun"/>
          <w:b/>
          <w:color w:val="000000"/>
          <w:sz w:val="24"/>
        </w:rPr>
        <w:t xml:space="preserve">（加盖CA电子签章）</w:t>
      </w:r>
      <w:r/>
    </w:p>
    <w:p>
      <w:pPr>
        <w:ind w:left="0" w:right="0" w:firstLine="54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5.本项目的特定资格要求：</w:t>
      </w:r>
      <w:r>
        <w:rPr>
          <w:rFonts w:ascii="SimSun" w:hAnsi="SimSun" w:eastAsia="SimSun" w:cs="SimSun"/>
          <w:b/>
          <w:color w:val="000000"/>
          <w:sz w:val="24"/>
        </w:rPr>
        <w:t xml:space="preserve">无。</w:t>
      </w:r>
      <w:r/>
    </w:p>
    <w:p>
      <w:pPr>
        <w:ind w:left="0" w:right="0" w:firstLine="54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54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1、上述相关原件，成交供应商必须在签订合同时提交采购人审查，成交供应商未能提供上述所有原件的，则取消其成交资格。</w:t>
      </w:r>
      <w:r/>
    </w:p>
    <w:p>
      <w:pPr>
        <w:ind w:left="0" w:right="0" w:firstLine="54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p>
    <w:p>
      <w:pPr>
        <w:ind w:left="0" w:right="0" w:firstLine="54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3、供应商所提供的资格证明材料应真实、有效，采购代理机构及采购人保留对供应商提供的资格证明材料进行核查的权利。如发现供应商提供虚假资格证明材料，采购人将对其进行严肃处理。</w:t>
      </w:r>
      <w:r/>
    </w:p>
    <w:p>
      <w:pPr>
        <w:ind w:left="0" w:right="0" w:firstLine="54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七、涉及无效响应文件条款中供应商必须提供的证明文件</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八、综合评分时供应商需提供的证明文件</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w:t>
      </w:r>
      <w:r>
        <w:rPr>
          <w:rFonts w:ascii="SimSun" w:hAnsi="SimSun" w:eastAsia="SimSun" w:cs="SimSun"/>
          <w:color w:val="000000"/>
          <w:sz w:val="24"/>
        </w:rPr>
        <w:t xml:space="preserve">根据“第五章评审方法与评审标准”提供</w:t>
      </w:r>
      <w:r>
        <w:rPr>
          <w:rFonts w:ascii="FangSong" w:hAnsi="FangSong" w:eastAsia="FangSong" w:cs="FangSong"/>
          <w:color w:val="000000"/>
          <w:sz w:val="28"/>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九、供应商认为有必要提供并说明的其它资料</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（格式由供应商自定，加盖供应商CA电子签章）</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九、示范格式</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示范格式一</w:t>
      </w:r>
      <w:r/>
    </w:p>
    <w:p>
      <w:pPr>
        <w:ind w:left="0" w:right="0" w:firstLine="3196"/>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法定代表人资格证明</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28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1" w:right="0" w:firstLine="560"/>
        <w:jc w:val="both"/>
        <w:spacing w:before="0" w:after="0" w:line="7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 （供应商名称）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           </w:t>
      </w:r>
      <w:r>
        <w:rPr>
          <w:rFonts w:ascii="SimSun" w:hAnsi="SimSun" w:eastAsia="SimSun" w:cs="SimSun"/>
          <w:color w:val="000000"/>
          <w:sz w:val="24"/>
        </w:rPr>
        <w:t xml:space="preserve">项目，签署上述项目的响应文件、进行磋商、签署合同和处理与之有关的一切事务。</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560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0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   （加盖供应商CA电子签章）  </w:t>
      </w:r>
      <w:r/>
    </w:p>
    <w:p>
      <w:pPr>
        <w:ind w:left="0" w:right="0" w:firstLine="47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3204"/>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注:供应商法定代表人参加磋商的，必须提供法定代表人身份证扫描件加盖供应商CA电子签章。法定代表人授权其他人参加磋商的，仅需填写“授权委托书”。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示范格式二</w:t>
      </w:r>
      <w:r/>
    </w:p>
    <w:p>
      <w:pPr>
        <w:ind w:left="0" w:right="0" w:firstLine="3357"/>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授权委托书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致江苏护理职业学院:</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本授权书宣告:</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委托方:</w:t>
      </w:r>
      <w:r>
        <w:rPr>
          <w:rFonts w:ascii="SimSun" w:hAnsi="SimSun" w:eastAsia="SimSun" w:cs="SimSun"/>
          <w:color w:val="000000"/>
          <w:sz w:val="24"/>
          <w:u w:val="single"/>
        </w:rPr>
        <w:t xml:space="preserve">                   </w:t>
      </w:r>
      <w:r>
        <w:rPr>
          <w:rFonts w:ascii="SimSun" w:hAnsi="SimSun" w:eastAsia="SimSun" w:cs="SimSun"/>
          <w:color w:val="000000"/>
          <w:sz w:val="24"/>
        </w:rPr>
        <w:t xml:space="preserve">  地址:</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受托人:姓名</w:t>
      </w:r>
      <w:r>
        <w:rPr>
          <w:rFonts w:ascii="SimSun" w:hAnsi="SimSun" w:eastAsia="SimSun" w:cs="SimSun"/>
          <w:color w:val="000000"/>
          <w:sz w:val="24"/>
          <w:u w:val="single"/>
        </w:rPr>
        <w:t xml:space="preserve">    </w:t>
      </w:r>
      <w:r>
        <w:rPr>
          <w:rFonts w:ascii="SimSun" w:hAnsi="SimSun" w:eastAsia="SimSun" w:cs="SimSun"/>
          <w:color w:val="000000"/>
          <w:sz w:val="24"/>
        </w:rPr>
        <w:t xml:space="preserve"> 性别:</w:t>
      </w:r>
      <w:r>
        <w:rPr>
          <w:rFonts w:ascii="SimSun" w:hAnsi="SimSun" w:eastAsia="SimSun" w:cs="SimSun"/>
          <w:color w:val="000000"/>
          <w:sz w:val="24"/>
          <w:u w:val="single"/>
        </w:rPr>
        <w:t xml:space="preserve">    </w:t>
      </w:r>
      <w:r>
        <w:rPr>
          <w:rFonts w:ascii="SimSun" w:hAnsi="SimSun" w:eastAsia="SimSun" w:cs="SimSun"/>
          <w:color w:val="000000"/>
          <w:sz w:val="24"/>
        </w:rPr>
        <w:t xml:space="preserve"> 出生日期: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所在单位:</w:t>
      </w:r>
      <w:r>
        <w:rPr>
          <w:rFonts w:ascii="SimSun" w:hAnsi="SimSun" w:eastAsia="SimSun" w:cs="SimSun"/>
          <w:color w:val="000000"/>
          <w:sz w:val="24"/>
          <w:u w:val="single"/>
        </w:rPr>
        <w:t xml:space="preserve">               </w:t>
      </w:r>
      <w:r>
        <w:rPr>
          <w:rFonts w:ascii="SimSun" w:hAnsi="SimSun" w:eastAsia="SimSun" w:cs="SimSun"/>
          <w:color w:val="000000"/>
          <w:sz w:val="24"/>
        </w:rPr>
        <w:t xml:space="preserve">职务:</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w:t>
      </w:r>
      <w:r>
        <w:rPr>
          <w:rFonts w:ascii="SimSun" w:hAnsi="SimSun" w:eastAsia="SimSun" w:cs="SimSun"/>
          <w:color w:val="000000"/>
          <w:sz w:val="24"/>
          <w:u w:val="single"/>
        </w:rPr>
        <w:t xml:space="preserve">                 </w:t>
      </w:r>
      <w:r>
        <w:rPr>
          <w:rFonts w:ascii="SimSun" w:hAnsi="SimSun" w:eastAsia="SimSun" w:cs="SimSun"/>
          <w:color w:val="000000"/>
          <w:sz w:val="24"/>
        </w:rPr>
        <w:t xml:space="preserve">联系方式:</w:t>
      </w:r>
      <w:r>
        <w:rPr>
          <w:rFonts w:ascii="SimSun" w:hAnsi="SimSun" w:eastAsia="SimSun" w:cs="SimSun"/>
          <w:color w:val="000000"/>
          <w:sz w:val="24"/>
          <w:u w:val="single"/>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兹委托受托人</w:t>
      </w:r>
      <w:r>
        <w:rPr>
          <w:rFonts w:ascii="SimSun" w:hAnsi="SimSun" w:eastAsia="SimSun" w:cs="SimSun"/>
          <w:color w:val="000000"/>
          <w:sz w:val="24"/>
          <w:u w:val="single"/>
        </w:rPr>
        <w:t xml:space="preserve">           </w:t>
      </w:r>
      <w:r>
        <w:rPr>
          <w:rFonts w:ascii="SimSun" w:hAnsi="SimSun" w:eastAsia="SimSun" w:cs="SimSun"/>
          <w:color w:val="000000"/>
          <w:sz w:val="24"/>
        </w:rPr>
        <w:t xml:space="preserve">代表我公司参加江苏星汇工程咨询管理有限公司组织的</w:t>
      </w:r>
      <w:r>
        <w:rPr>
          <w:rFonts w:ascii="SimSun" w:hAnsi="SimSun" w:eastAsia="SimSun" w:cs="SimSun"/>
          <w:color w:val="000000"/>
          <w:sz w:val="24"/>
          <w:u w:val="single"/>
        </w:rPr>
        <w:t xml:space="preserve">    项目（项目编号：  ）</w:t>
      </w:r>
      <w:r>
        <w:rPr>
          <w:rFonts w:ascii="SimSun" w:hAnsi="SimSun" w:eastAsia="SimSun" w:cs="SimSun"/>
          <w:color w:val="000000"/>
          <w:sz w:val="24"/>
        </w:rPr>
        <w:t xml:space="preserve">的政府采购活动，受托人有权在该磋商活动中，以我单位的名义签署磋商函和响应文件，与采购代理机构协商、澄清、解释，签订合同书并执行一切与此有关的事项。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受托人在办理上述事宜过程中以其自己的名义所签署的所有文件我公司均予以承认。受托人无转委托权。</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委托期限:至上述事宜处理完毕止。</w:t>
      </w:r>
      <w:r/>
    </w:p>
    <w:p>
      <w:pPr>
        <w:ind w:left="0" w:right="0" w:firstLine="50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委托单位</w:t>
      </w:r>
      <w:r>
        <w:rPr>
          <w:rFonts w:ascii="SimSun" w:hAnsi="SimSun" w:eastAsia="SimSun" w:cs="SimSun"/>
          <w:color w:val="000000"/>
          <w:sz w:val="24"/>
          <w:u w:val="single"/>
        </w:rPr>
        <w:t xml:space="preserve">（加盖供应商CA电子签章）    </w:t>
      </w:r>
      <w:r/>
    </w:p>
    <w:p>
      <w:pPr>
        <w:ind w:left="0" w:right="0" w:firstLine="51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48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both"/>
        <w:spacing w:before="0" w:after="0" w:line="47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注:供应商委托受托人参加磋商的，必须附受托人身份证扫描件加盖供应商CA电子签章。法定代表人直接参加磋商的，仅需填写“法定代表人资格证明”。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示范格式三</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1"/>
          <w:sz w:val="24"/>
        </w:rPr>
        <w:t xml:space="preserve">符合《中华人民共和国政府采购法》第二十二条规定条件的声明函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致江苏护理职业学院:</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我方参加贵单位组织实施的</w:t>
      </w:r>
      <w:r>
        <w:rPr>
          <w:rFonts w:ascii="SimSun" w:hAnsi="SimSun" w:eastAsia="SimSun" w:cs="SimSun"/>
          <w:color w:val="000000"/>
          <w:sz w:val="24"/>
          <w:u w:val="single"/>
        </w:rPr>
        <w:t xml:space="preserve">    项目（项目编号：  ）</w:t>
      </w:r>
      <w:r>
        <w:rPr>
          <w:rFonts w:ascii="SimSun" w:hAnsi="SimSun" w:eastAsia="SimSun" w:cs="SimSun"/>
          <w:color w:val="000000"/>
          <w:sz w:val="24"/>
        </w:rPr>
        <w:t xml:space="preserve">的政府采购活动。针对《中华人民共和国政府采购法》第二十二条规定做出如下声明:</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1.我方具有独立承担民事责任的能力；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2.我方具有良好的商业信誉和健全的财务会计制度；</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3.我方具有履行合同所必需的设备和专业技术能力；</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4.我方有依法缴纳税收和社会保障资金的良好记录；</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5.参加本次政府采购活动前三年内，我方在经营活动中没有因违法经营受到刑事处罚或者责令停产停业、吊销许可证或者执照、较大数额罚款等行政处罚。 </w:t>
      </w:r>
      <w:r/>
    </w:p>
    <w:p>
      <w:pPr>
        <w:ind w:left="0" w:right="0" w:firstLine="638"/>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6.我方满足法律、行政法规规定的其他条件。</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我方不存在以下行为：</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1.供应商单位负责人为同一人或者存在直接控股、管理关系的不同供应商，同时参加同一合同项下的政府采购活动。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2.凡为采购项目提供整体设计、规范编制或者项目管理、监理、检测等服务的供应商，同时参加本项目的采购活动。</w:t>
      </w:r>
      <w:r/>
    </w:p>
    <w:p>
      <w:pPr>
        <w:ind w:left="0" w:right="0" w:firstLine="56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3.供应商单位被“信用中国”网站（</w:t>
        <mc:AlternateContent>
          <mc:Choice Requires="wpg">
            <w:drawing>
              <wp:inline xmlns:wp="http://schemas.openxmlformats.org/drawingml/2006/wordprocessingDrawing" distT="0" distB="0" distL="0" distR="0">
                <wp:extent cx="190500" cy="1428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4283" name=""/>
                        <pic:cNvPicPr>
                          <a:picLocks noChangeAspect="1"/>
                        </pic:cNvPicPr>
                        <pic:nvPr/>
                      </pic:nvPicPr>
                      <pic:blipFill>
                        <a:blip/>
                        <a:stretch/>
                      </pic:blipFill>
                      <pic:spPr bwMode="auto">
                        <a:xfrm>
                          <a:off x="0" y="0"/>
                          <a:ext cx="19049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0pt;height:11.2pt;mso-wrap-distance-left:0.0pt;mso-wrap-distance-top:0.0pt;mso-wrap-distance-right:0.0pt;mso-wrap-distance-bottom:0.0pt;" stroked="false">
                <v:path textboxrect="0,0,0,0"/>
              </v:shape>
            </w:pict>
          </mc:Fallback>
        </mc:AlternateContent>
        <w:t xml:space="preserve">www.creditchina.gov.cn）、“中国政府采购网”（</w:t>
        <mc:AlternateContent>
          <mc:Choice Requires="wpg">
            <w:drawing>
              <wp:inline xmlns:wp="http://schemas.openxmlformats.org/drawingml/2006/wordprocessingDrawing" distT="0" distB="0" distL="0" distR="0">
                <wp:extent cx="190500"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582700" name=""/>
                        <pic:cNvPicPr>
                          <a:picLocks noChangeAspect="1"/>
                        </pic:cNvPicPr>
                        <pic:nvPr/>
                      </pic:nvPicPr>
                      <pic:blipFill>
                        <a:blip/>
                        <a:stretch/>
                      </pic:blipFill>
                      <pic:spPr bwMode="auto">
                        <a:xfrm>
                          <a:off x="0" y="0"/>
                          <a:ext cx="190499"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0pt;height:11.2pt;mso-wrap-distance-left:0.0pt;mso-wrap-distance-top:0.0pt;mso-wrap-distance-right:0.0pt;mso-wrap-distance-bottom:0.0pt;" stroked="false">
                <v:path textboxrect="0,0,0,0"/>
              </v:shape>
            </w:pict>
          </mc:Fallback>
        </mc:AlternateContent>
        <w:t xml:space="preserve">www.ccgp.gov.cn）列入失信被执行人、重大税收违法案件当事人名单、政府采购严重违法失信行为记录名单。</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right"/>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声明人：</w:t>
      </w:r>
      <w:r>
        <w:rPr>
          <w:rFonts w:ascii="SimSun" w:hAnsi="SimSun" w:eastAsia="SimSun" w:cs="SimSun"/>
          <w:color w:val="000000"/>
          <w:sz w:val="24"/>
          <w:u w:val="single"/>
        </w:rPr>
        <w:t xml:space="preserve">     （加盖供应商CA电子签章）    </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示范格式四</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企业声明函（服务）</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致江苏护理职业学院：</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本公司郑重声明，根据《政府采购促进中小企业发展管理办法》（财库﹝2020﹞46 号）的规定，本公司参加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采购活动，服务全部由符合政策要求的中小企业承接。相关企业的具体情况如下:</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，属于（采购文件中明确的所属行业）；承接企业为（企业名称），从业人员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，属于（采购文件中明确的所属行业）；承接企业为（企业名称），从业人员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w:t>
      </w:r>
      <w:r>
        <w:rPr>
          <w:rFonts w:ascii="SimSun" w:hAnsi="SimSun" w:eastAsia="SimSun" w:cs="SimSun"/>
          <w:color w:val="000000"/>
          <w:sz w:val="24"/>
          <w:u w:val="single"/>
        </w:rPr>
        <w:t xml:space="preserve">    （加盖供应商CA电子签章）</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（签字或盖章）</w:t>
      </w:r>
      <w:r/>
    </w:p>
    <w:p>
      <w:pPr>
        <w:ind w:left="0" w:right="0" w:firstLine="0"/>
        <w:jc w:val="center"/>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注:从业人员、营业收入、资产总额填报上一年度数据，无上一年度数据的新成立企业可不填报。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Pr>
          <w:rFonts w:ascii="SimSun" w:hAnsi="SimSun" w:eastAsia="SimSun" w:cs="SimSun"/>
          <w:b/>
          <w:color w:val="000000"/>
          <w:sz w:val="24"/>
        </w:rPr>
        <w:t xml:space="preserve">示范格式五</w:t>
      </w:r>
      <w:r/>
      <w:r>
        <w:rPr>
          <w:rFonts w:ascii="Times New Roman" w:hAnsi="Times New Roman" w:eastAsia="Times New Roman" w:cs="Times New Roman"/>
          <w:sz w:val="21"/>
        </w:rP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jc w:val="both"/>
        <w:spacing w:before="0" w:after="0" w:line="5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致江苏护理职业学院:</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1、根据《财政部 民政部 中国残疾人联合会关于促进残疾人就业政府采购政策的通知》（财库〔2017〕141 号）规定的划分标准，本公司为残疾人福利性企业。</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2、本单位参加</w:t>
      </w:r>
      <w:r>
        <w:rPr>
          <w:rFonts w:ascii="SimSun" w:hAnsi="SimSun" w:eastAsia="SimSun" w:cs="SimSun"/>
          <w:color w:val="000000"/>
          <w:sz w:val="24"/>
          <w:u w:val="single"/>
        </w:rPr>
        <w:t xml:space="preserve">（采购单位名称） </w:t>
      </w:r>
      <w:r>
        <w:rPr>
          <w:rFonts w:ascii="SimSun" w:hAnsi="SimSun" w:eastAsia="SimSun" w:cs="SimSun"/>
          <w:color w:val="000000"/>
          <w:sz w:val="24"/>
        </w:rPr>
        <w:t xml:space="preserve">的</w:t>
      </w:r>
      <w:r>
        <w:rPr>
          <w:rFonts w:ascii="SimSun" w:hAnsi="SimSun" w:eastAsia="SimSun" w:cs="SimSun"/>
          <w:color w:val="000000"/>
          <w:sz w:val="24"/>
          <w:u w:val="single"/>
        </w:rPr>
        <w:t xml:space="preserve">（采购项目名称）</w:t>
      </w:r>
      <w:r>
        <w:rPr>
          <w:rFonts w:ascii="SimSun" w:hAnsi="SimSun" w:eastAsia="SimSun" w:cs="SimSun"/>
          <w:color w:val="000000"/>
          <w:sz w:val="24"/>
        </w:rPr>
        <w:t xml:space="preserve">采购活动提供本企业制造的货物，由本企业承担工程、提供服务，或者提供其他残疾人福利性单位制造的货物（不包括使用非残疾人福利性单位注册商标的货物。</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注:本公司对上述声明的真实性负责。如有虚假，将依法承担相应责任。</w:t>
      </w:r>
      <w:r/>
    </w:p>
    <w:p>
      <w:pPr>
        <w:ind w:left="0" w:right="0" w:firstLine="560"/>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w:t>
      </w:r>
      <w:r>
        <w:rPr>
          <w:rFonts w:ascii="SimSun" w:hAnsi="SimSun" w:eastAsia="SimSun" w:cs="SimSun"/>
          <w:color w:val="000000"/>
          <w:sz w:val="24"/>
          <w:u w:val="single"/>
        </w:rPr>
        <w:t xml:space="preserve">    （加盖供应商CA电子签章）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w:t>
      </w:r>
      <w:r>
        <w:rPr>
          <w:rFonts w:ascii="SimSun" w:hAnsi="SimSun" w:eastAsia="SimSun" w:cs="SimSun"/>
          <w:color w:val="000000"/>
          <w:sz w:val="24"/>
          <w:u w:val="single"/>
        </w:rPr>
        <w:t xml:space="preserve">（签字或盖章）</w:t>
      </w:r>
      <w:r/>
    </w:p>
    <w:p>
      <w:pPr>
        <w:ind w:left="0" w:right="0" w:firstLine="0"/>
        <w:jc w:val="center"/>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568"/>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8"/>
        <w:jc w:val="both"/>
        <w:spacing w:before="0" w:after="0" w:line="64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注:非残疾人福利性单位不需提供此函。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shd w:val="nil"/>
        <w:rPr>
          <w:rFonts w:ascii="Times New Roman" w:hAnsi="Times New Roman" w:eastAsia="Times New Roman" w:cs="Times New Roman"/>
          <w:sz w:val="21"/>
          <w:szCs w:val="21"/>
        </w:rPr>
      </w:pPr>
      <w:r>
        <w:rPr>
          <w:rFonts w:ascii="Arial" w:hAnsi="Arial" w:eastAsia="Arial" w:cs="Arial"/>
          <w:color w:val="000000"/>
          <w:sz w:val="32"/>
          <w:highlight w:val="none"/>
        </w:rPr>
        <w:br w:type="page" w:clear="all"/>
      </w:r>
      <w:r>
        <w:rPr>
          <w:rFonts w:ascii="Arial" w:hAnsi="Arial" w:eastAsia="Arial" w:cs="Arial"/>
          <w:color w:val="000000"/>
          <w:sz w:val="32"/>
          <w:highlight w:val="none"/>
        </w:rPr>
      </w:r>
    </w:p>
    <w:p>
      <w:pPr>
        <w:ind w:left="0" w:right="0" w:firstLine="0"/>
        <w:jc w:val="center"/>
        <w:spacing w:before="0" w:after="0"/>
        <w:rPr>
          <w:rFonts w:ascii="Arial" w:hAnsi="Arial" w:eastAsia="Arial" w:cs="Arial"/>
          <w:color w:val="000000"/>
          <w:sz w:val="32"/>
          <w:szCs w:val="32"/>
          <w:highlight w:val="none"/>
        </w:rPr>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rPr>
          <w:rFonts w:ascii="SimSun" w:hAnsi="SimSun" w:eastAsia="SimSun" w:cs="SimSun"/>
          <w:color w:val="000000"/>
          <w:sz w:val="24"/>
        </w:rPr>
        <w:t xml:space="preserve">采购包号：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四、质疑事项相关请求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  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相关说明：</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1.供应商提出质疑，应提交《质疑函》和必要的证明材料。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b/>
          <w:color w:val="000000"/>
          <w:sz w:val="24"/>
        </w:rPr>
        <w:t xml:space="preserve">由授权代表负责质疑事宜的，《质疑函》附件中应提交由质疑供应商法定代表人或主要负责人签署的《授权委托书》。</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3.质疑供应商针对项目的某一采购包进行质疑的，《质疑函》中应明确采购包号。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6.质疑供应商为自然人的，《质疑函》应由本人签字；质疑供应商为法人或者其他组织的，《质疑函》应由法定代表人、主要负责人，或者其授权代表签字或者签章，并加盖公章。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7.质疑供应商为联合体的，则《质疑函》中要求加盖公章之处，联合体各方均须按要求加盖公章。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imSun">
    <w:panose1 w:val="02010600030101010101"/>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华文彩云">
    <w:panose1 w:val="0201080004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41"/>
        <w:rFonts w:hint="eastAsia" w:ascii="宋体" w:hAnsi="宋体"/>
      </w:rPr>
      <w:framePr w:wrap="around" w:vAnchor="text" w:hAnchor="margin" w:xAlign="center" w:y="1"/>
    </w:pPr>
    <w:r>
      <w:rPr>
        <w:rFonts w:ascii="宋体" w:hAnsi="宋体"/>
      </w:rPr>
      <w:fldChar w:fldCharType="begin"/>
    </w:r>
    <w:r>
      <w:rPr>
        <w:rStyle w:val="741"/>
        <w:rFonts w:ascii="宋体" w:hAnsi="宋体"/>
      </w:rPr>
      <w:instrText xml:space="preserve">PAGE  </w:instrText>
    </w:r>
    <w:r>
      <w:rPr>
        <w:rFonts w:ascii="宋体" w:hAnsi="宋体"/>
      </w:rPr>
      <w:fldChar w:fldCharType="separate"/>
    </w:r>
    <w:r>
      <w:rPr>
        <w:rStyle w:val="741"/>
        <w:rFonts w:ascii="宋体" w:hAnsi="宋体"/>
      </w:rPr>
      <w:t xml:space="preserve">３９</w:t>
    </w:r>
    <w:r>
      <w:rPr>
        <w:rFonts w:ascii="宋体" w:hAnsi="宋体"/>
      </w:rPr>
      <w:fldChar w:fldCharType="end"/>
    </w:r>
    <w:r/>
  </w:p>
  <w:p>
    <w:pPr>
      <w:pStyle w:val="720"/>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0"/>
      <w:rPr>
        <w:rStyle w:val="741"/>
      </w:rPr>
      <w:framePr w:wrap="around" w:vAnchor="text" w:hAnchor="margin" w:xAlign="center" w:y="1"/>
    </w:pPr>
    <w:r>
      <w:fldChar w:fldCharType="begin"/>
    </w:r>
    <w:r>
      <w:rPr>
        <w:rStyle w:val="741"/>
      </w:rPr>
      <w:instrText xml:space="preserve">PAGE  </w:instrText>
    </w:r>
    <w:r>
      <w:fldChar w:fldCharType="separate"/>
    </w:r>
    <w:r>
      <w:rPr>
        <w:rStyle w:val="741"/>
      </w:rPr>
      <w:t xml:space="preserve">1</w:t>
    </w:r>
    <w:r>
      <w:fldChar w:fldCharType="end"/>
    </w:r>
    <w:r/>
  </w:p>
  <w:p>
    <w:pPr>
      <w:pStyle w:val="72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96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694"/>
      <w:isLgl w:val="false"/>
      <w:suff w:val="nothing"/>
      <w:lvlText w:val=""/>
      <w:lvlJc w:val="left"/>
      <w:pPr>
        <w:ind w:left="0" w:firstLine="0"/>
      </w:pPr>
      <w:rPr>
        <w:rFonts w:hint="eastAsia"/>
      </w:rPr>
    </w:lvl>
    <w:lvl w:ilvl="6">
      <w:start w:val="1"/>
      <w:numFmt w:val="decimal"/>
      <w:pStyle w:val="695"/>
      <w:isLgl w:val="false"/>
      <w:suff w:val="nothing"/>
      <w:lvlText w:val=""/>
      <w:lvlJc w:val="left"/>
      <w:pPr>
        <w:ind w:left="0" w:firstLine="0"/>
      </w:pPr>
      <w:rPr>
        <w:rFonts w:hint="eastAsia"/>
      </w:rPr>
    </w:lvl>
    <w:lvl w:ilvl="7">
      <w:start w:val="1"/>
      <w:numFmt w:val="decimal"/>
      <w:pStyle w:val="696"/>
      <w:isLgl w:val="false"/>
      <w:suff w:val="nothing"/>
      <w:lvlText w:val=""/>
      <w:lvlJc w:val="left"/>
      <w:pPr>
        <w:ind w:left="0" w:firstLine="0"/>
      </w:pPr>
      <w:rPr>
        <w:rFonts w:hint="eastAsia"/>
      </w:rPr>
    </w:lvl>
    <w:lvl w:ilvl="8">
      <w:start w:val="1"/>
      <w:numFmt w:val="decimal"/>
      <w:pStyle w:val="697"/>
      <w:isLgl w:val="false"/>
      <w:suff w:val="nothing"/>
      <w:lvlText w:val=""/>
      <w:lvlJc w:val="left"/>
      <w:pPr>
        <w:ind w:left="0" w:firstLine="0"/>
      </w:pPr>
      <w:rPr>
        <w:rFonts w:hint="eastAsia"/>
      </w:rPr>
    </w:lvl>
  </w:abstractNum>
  <w:abstractNum w:abstractNumId="3">
    <w:multiLevelType w:val="hybridMultilevel"/>
    <w:lvl w:ilvl="0">
      <w:start w:val="1"/>
      <w:numFmt w:val="decimal"/>
      <w:pStyle w:val="97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imes New Roman" w:hAnsi="Times New Roman" w:eastAsia="宋体" w:cs="Times New Roman"/>
      <w:sz w:val="21"/>
      <w:szCs w:val="22"/>
    </w:rPr>
  </w:style>
  <w:style w:type="paragraph" w:styleId="689">
    <w:name w:val="Heading 1"/>
    <w:basedOn w:val="688"/>
    <w:next w:val="688"/>
    <w:link w:val="923"/>
    <w:uiPriority w:val="0"/>
    <w:qFormat/>
    <w:pPr>
      <w:jc w:val="center"/>
      <w:keepNext/>
      <w:outlineLvl w:val="0"/>
    </w:pPr>
    <w:rPr>
      <w:rFonts w:ascii="楷体_GB2312" w:eastAsia="楷体_GB2312"/>
      <w:sz w:val="28"/>
      <w:szCs w:val="28"/>
    </w:rPr>
  </w:style>
  <w:style w:type="paragraph" w:styleId="690">
    <w:name w:val="Heading 2"/>
    <w:basedOn w:val="688"/>
    <w:next w:val="688"/>
    <w:link w:val="9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691">
    <w:name w:val="Heading 3"/>
    <w:basedOn w:val="688"/>
    <w:next w:val="700"/>
    <w:link w:val="926"/>
    <w:uiPriority w:val="0"/>
    <w:qFormat/>
    <w:pPr>
      <w:keepLines/>
      <w:keepNext/>
      <w:spacing w:before="260" w:after="260" w:line="416" w:lineRule="auto"/>
      <w:outlineLvl w:val="2"/>
    </w:pPr>
    <w:rPr>
      <w:b/>
      <w:bCs/>
      <w:sz w:val="32"/>
      <w:szCs w:val="32"/>
    </w:rPr>
  </w:style>
  <w:style w:type="paragraph" w:styleId="692">
    <w:name w:val="Heading 4"/>
    <w:basedOn w:val="688"/>
    <w:next w:val="700"/>
    <w:link w:val="927"/>
    <w:uiPriority w:val="0"/>
    <w:qFormat/>
    <w:pPr>
      <w:keepLines/>
      <w:keepNext/>
      <w:spacing w:before="280" w:after="290" w:line="376" w:lineRule="auto"/>
      <w:outlineLvl w:val="3"/>
    </w:pPr>
    <w:rPr>
      <w:rFonts w:ascii="Arial" w:hAnsi="Arial" w:eastAsia="黑体" w:cs="Arial"/>
      <w:b/>
      <w:bCs/>
      <w:sz w:val="28"/>
      <w:szCs w:val="28"/>
    </w:rPr>
  </w:style>
  <w:style w:type="paragraph" w:styleId="693">
    <w:name w:val="Heading 5"/>
    <w:basedOn w:val="688"/>
    <w:next w:val="700"/>
    <w:link w:val="928"/>
    <w:uiPriority w:val="0"/>
    <w:qFormat/>
    <w:pPr>
      <w:keepNext/>
      <w:outlineLvl w:val="4"/>
    </w:pPr>
    <w:rPr>
      <w:rFonts w:ascii="宋体"/>
      <w:color w:val="000000"/>
      <w:sz w:val="28"/>
      <w:szCs w:val="28"/>
    </w:rPr>
  </w:style>
  <w:style w:type="paragraph" w:styleId="694">
    <w:name w:val="Heading 6"/>
    <w:basedOn w:val="688"/>
    <w:next w:val="688"/>
    <w:link w:val="929"/>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695">
    <w:name w:val="Heading 7"/>
    <w:basedOn w:val="688"/>
    <w:next w:val="688"/>
    <w:link w:val="930"/>
    <w:uiPriority w:val="0"/>
    <w:qFormat/>
    <w:pPr>
      <w:numPr>
        <w:ilvl w:val="6"/>
        <w:numId w:val="1"/>
      </w:numPr>
      <w:keepLines/>
      <w:keepNext/>
      <w:spacing w:before="240" w:after="64" w:line="320" w:lineRule="auto"/>
      <w:outlineLvl w:val="6"/>
    </w:pPr>
    <w:rPr>
      <w:b/>
      <w:bCs/>
      <w:sz w:val="24"/>
      <w:szCs w:val="24"/>
    </w:rPr>
  </w:style>
  <w:style w:type="paragraph" w:styleId="696">
    <w:name w:val="Heading 8"/>
    <w:basedOn w:val="688"/>
    <w:next w:val="688"/>
    <w:link w:val="931"/>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697">
    <w:name w:val="Heading 9"/>
    <w:basedOn w:val="688"/>
    <w:next w:val="688"/>
    <w:link w:val="932"/>
    <w:uiPriority w:val="0"/>
    <w:qFormat/>
    <w:pPr>
      <w:numPr>
        <w:ilvl w:val="8"/>
        <w:numId w:val="1"/>
      </w:numPr>
      <w:keepLines/>
      <w:keepNext/>
      <w:spacing w:before="240" w:after="64" w:line="320" w:lineRule="auto"/>
      <w:outlineLvl w:val="8"/>
    </w:pPr>
    <w:rPr>
      <w:rFonts w:ascii="Arial" w:hAnsi="Arial" w:eastAsia="黑体"/>
      <w:szCs w:val="21"/>
    </w:rPr>
  </w:style>
  <w:style w:type="character" w:styleId="698" w:default="1">
    <w:name w:val="Default Paragraph Font"/>
    <w:uiPriority w:val="1"/>
    <w:semiHidden/>
    <w:unhideWhenUsed/>
    <w:qFormat/>
  </w:style>
  <w:style w:type="table" w:styleId="699" w:default="1">
    <w:name w:val="Normal Table"/>
    <w:uiPriority w:val="99"/>
    <w:semiHidden/>
    <w:unhideWhenUsed/>
    <w:tblPr>
      <w:tblCellMar>
        <w:left w:w="108" w:type="dxa"/>
        <w:top w:w="0" w:type="dxa"/>
        <w:right w:w="108" w:type="dxa"/>
        <w:bottom w:w="0" w:type="dxa"/>
      </w:tblCellMar>
    </w:tblPr>
  </w:style>
  <w:style w:type="paragraph" w:styleId="700">
    <w:name w:val="Normal Indent"/>
    <w:basedOn w:val="688"/>
    <w:link w:val="925"/>
    <w:uiPriority w:val="0"/>
    <w:qFormat/>
    <w:pPr>
      <w:ind w:firstLine="420"/>
    </w:pPr>
    <w:rPr>
      <w:szCs w:val="21"/>
    </w:rPr>
  </w:style>
  <w:style w:type="paragraph" w:styleId="701">
    <w:name w:val="List 3"/>
    <w:basedOn w:val="688"/>
    <w:uiPriority w:val="0"/>
    <w:qFormat/>
    <w:pPr>
      <w:ind w:left="100" w:hanging="200"/>
    </w:pPr>
    <w:rPr>
      <w:szCs w:val="21"/>
    </w:rPr>
  </w:style>
  <w:style w:type="paragraph" w:styleId="702">
    <w:name w:val="toc 7"/>
    <w:basedOn w:val="688"/>
    <w:next w:val="688"/>
    <w:uiPriority w:val="39"/>
    <w:unhideWhenUsed/>
    <w:qFormat/>
    <w:pPr>
      <w:ind w:left="1701"/>
      <w:spacing w:after="57"/>
    </w:pPr>
  </w:style>
  <w:style w:type="paragraph" w:styleId="703">
    <w:name w:val="Caption"/>
    <w:basedOn w:val="688"/>
    <w:next w:val="688"/>
    <w:uiPriority w:val="35"/>
    <w:semiHidden/>
    <w:unhideWhenUsed/>
    <w:qFormat/>
    <w:pPr>
      <w:spacing w:line="276" w:lineRule="auto"/>
    </w:pPr>
    <w:rPr>
      <w:b/>
      <w:bCs/>
      <w:color w:val="4f81bd"/>
      <w:sz w:val="18"/>
      <w:szCs w:val="18"/>
    </w:rPr>
  </w:style>
  <w:style w:type="paragraph" w:styleId="704">
    <w:name w:val="Document Map"/>
    <w:basedOn w:val="688"/>
    <w:link w:val="934"/>
    <w:uiPriority w:val="0"/>
    <w:semiHidden/>
    <w:qFormat/>
    <w:pPr>
      <w:shd w:val="clear" w:color="auto" w:fill="000080"/>
    </w:pPr>
    <w:rPr>
      <w:szCs w:val="21"/>
    </w:rPr>
  </w:style>
  <w:style w:type="paragraph" w:styleId="705">
    <w:name w:val="annotation text"/>
    <w:basedOn w:val="688"/>
    <w:link w:val="935"/>
    <w:uiPriority w:val="0"/>
    <w:unhideWhenUsed/>
    <w:qFormat/>
    <w:pPr>
      <w:jc w:val="left"/>
    </w:pPr>
  </w:style>
  <w:style w:type="paragraph" w:styleId="706">
    <w:name w:val="Body Text 3"/>
    <w:basedOn w:val="688"/>
    <w:link w:val="936"/>
    <w:uiPriority w:val="0"/>
    <w:qFormat/>
    <w:rPr>
      <w:rFonts w:ascii="仿宋_GB2312" w:hAnsi="Arial" w:eastAsia="仿宋_GB2312"/>
      <w:sz w:val="32"/>
      <w:szCs w:val="32"/>
    </w:rPr>
  </w:style>
  <w:style w:type="paragraph" w:styleId="707">
    <w:name w:val="Body Text"/>
    <w:basedOn w:val="688"/>
    <w:link w:val="937"/>
    <w:uiPriority w:val="0"/>
    <w:qFormat/>
    <w:rPr>
      <w:rFonts w:ascii="楷体_GB2312" w:hAnsi="Arial" w:eastAsia="楷体_GB2312"/>
      <w:sz w:val="28"/>
      <w:szCs w:val="28"/>
    </w:rPr>
  </w:style>
  <w:style w:type="paragraph" w:styleId="708">
    <w:name w:val="Body Text Indent"/>
    <w:basedOn w:val="688"/>
    <w:next w:val="709"/>
    <w:link w:val="921"/>
    <w:uiPriority w:val="0"/>
    <w:unhideWhenUsed/>
    <w:qFormat/>
    <w:pPr>
      <w:ind w:left="420"/>
      <w:spacing w:after="120"/>
    </w:pPr>
  </w:style>
  <w:style w:type="paragraph" w:styleId="709">
    <w:name w:val="Body Text First Indent 2"/>
    <w:basedOn w:val="708"/>
    <w:next w:val="688"/>
    <w:uiPriority w:val="0"/>
    <w:qFormat/>
    <w:pPr>
      <w:ind w:left="0" w:firstLine="420"/>
      <w:spacing w:after="0" w:line="360" w:lineRule="auto"/>
    </w:pPr>
    <w:rPr>
      <w:rFonts w:ascii="宋体" w:hAnsi="宋体"/>
      <w:sz w:val="20"/>
      <w:szCs w:val="20"/>
      <w:lang w:eastAsia="en-US"/>
    </w:rPr>
  </w:style>
  <w:style w:type="paragraph" w:styleId="710">
    <w:name w:val="List 2"/>
    <w:basedOn w:val="688"/>
    <w:uiPriority w:val="0"/>
    <w:qFormat/>
    <w:pPr>
      <w:ind w:left="100" w:hanging="200"/>
    </w:pPr>
    <w:rPr>
      <w:szCs w:val="21"/>
    </w:rPr>
  </w:style>
  <w:style w:type="paragraph" w:styleId="711">
    <w:name w:val="index 4"/>
    <w:basedOn w:val="688"/>
    <w:next w:val="688"/>
    <w:uiPriority w:val="0"/>
    <w:semiHidden/>
    <w:qFormat/>
    <w:pPr>
      <w:ind w:left="1260"/>
    </w:pPr>
    <w:rPr>
      <w:rFonts w:ascii="Calibri" w:hAnsi="Calibri" w:eastAsia="Calibri" w:cs="宋体"/>
      <w:sz w:val="20"/>
      <w:lang w:val="zh-CN"/>
    </w:rPr>
  </w:style>
  <w:style w:type="paragraph" w:styleId="712">
    <w:name w:val="toc 5"/>
    <w:basedOn w:val="688"/>
    <w:next w:val="688"/>
    <w:uiPriority w:val="39"/>
    <w:unhideWhenUsed/>
    <w:qFormat/>
    <w:pPr>
      <w:ind w:left="1134"/>
      <w:spacing w:after="57"/>
    </w:pPr>
  </w:style>
  <w:style w:type="paragraph" w:styleId="713">
    <w:name w:val="toc 3"/>
    <w:basedOn w:val="688"/>
    <w:next w:val="688"/>
    <w:uiPriority w:val="39"/>
    <w:unhideWhenUsed/>
    <w:qFormat/>
    <w:pPr>
      <w:ind w:left="567"/>
      <w:spacing w:after="57"/>
    </w:pPr>
  </w:style>
  <w:style w:type="paragraph" w:styleId="714">
    <w:name w:val="Plain Text"/>
    <w:basedOn w:val="688"/>
    <w:link w:val="940"/>
    <w:uiPriority w:val="0"/>
    <w:qFormat/>
    <w:rPr>
      <w:rFonts w:ascii="宋体" w:hAnsi="Courier New" w:cs="Courier New"/>
      <w:szCs w:val="21"/>
    </w:rPr>
  </w:style>
  <w:style w:type="paragraph" w:styleId="715">
    <w:name w:val="toc 8"/>
    <w:basedOn w:val="688"/>
    <w:next w:val="688"/>
    <w:uiPriority w:val="39"/>
    <w:unhideWhenUsed/>
    <w:qFormat/>
    <w:pPr>
      <w:ind w:left="1984"/>
      <w:spacing w:after="57"/>
    </w:pPr>
  </w:style>
  <w:style w:type="paragraph" w:styleId="716">
    <w:name w:val="Date"/>
    <w:basedOn w:val="688"/>
    <w:next w:val="688"/>
    <w:link w:val="942"/>
    <w:uiPriority w:val="0"/>
    <w:qFormat/>
    <w:rPr>
      <w:sz w:val="24"/>
      <w:szCs w:val="24"/>
    </w:rPr>
  </w:style>
  <w:style w:type="paragraph" w:styleId="717">
    <w:name w:val="Body Text Indent 2"/>
    <w:basedOn w:val="688"/>
    <w:link w:val="943"/>
    <w:uiPriority w:val="0"/>
    <w:qFormat/>
    <w:pPr>
      <w:ind w:left="630" w:firstLine="645"/>
    </w:pPr>
    <w:rPr>
      <w:rFonts w:ascii="Arial" w:hAnsi="Arial" w:eastAsia="仿宋_GB2312" w:cs="Arial"/>
      <w:sz w:val="32"/>
      <w:szCs w:val="32"/>
    </w:rPr>
  </w:style>
  <w:style w:type="paragraph" w:styleId="718">
    <w:name w:val="endnote text"/>
    <w:basedOn w:val="688"/>
    <w:link w:val="919"/>
    <w:uiPriority w:val="99"/>
    <w:semiHidden/>
    <w:unhideWhenUsed/>
    <w:qFormat/>
    <w:rPr>
      <w:sz w:val="20"/>
    </w:rPr>
  </w:style>
  <w:style w:type="paragraph" w:styleId="719">
    <w:name w:val="Balloon Text"/>
    <w:basedOn w:val="688"/>
    <w:link w:val="944"/>
    <w:uiPriority w:val="0"/>
    <w:semiHidden/>
    <w:qFormat/>
    <w:rPr>
      <w:sz w:val="18"/>
      <w:szCs w:val="18"/>
    </w:rPr>
  </w:style>
  <w:style w:type="paragraph" w:styleId="720">
    <w:name w:val="Footer"/>
    <w:basedOn w:val="688"/>
    <w:link w:val="945"/>
    <w:uiPriority w:val="0"/>
    <w:qFormat/>
    <w:pPr>
      <w:jc w:val="left"/>
      <w:tabs>
        <w:tab w:val="center" w:pos="4153" w:leader="none"/>
        <w:tab w:val="right" w:pos="8306" w:leader="none"/>
      </w:tabs>
    </w:pPr>
    <w:rPr>
      <w:sz w:val="18"/>
      <w:szCs w:val="18"/>
    </w:rPr>
  </w:style>
  <w:style w:type="paragraph" w:styleId="721">
    <w:name w:val="envelope return"/>
    <w:basedOn w:val="688"/>
    <w:uiPriority w:val="0"/>
    <w:qFormat/>
    <w:rPr>
      <w:rFonts w:ascii="Arial" w:hAnsi="Arial" w:cs="宋体"/>
    </w:rPr>
  </w:style>
  <w:style w:type="paragraph" w:styleId="722">
    <w:name w:val="Header"/>
    <w:basedOn w:val="688"/>
    <w:link w:val="946"/>
    <w:uiPriority w:val="0"/>
    <w:qFormat/>
    <w:pPr>
      <w:jc w:val="center"/>
      <w:tabs>
        <w:tab w:val="center" w:pos="4153" w:leader="none"/>
        <w:tab w:val="right" w:pos="8306" w:leader="none"/>
      </w:tabs>
      <w:pBdr>
        <w:bottom w:val="single" w:color="000000" w:sz="6" w:space="1"/>
      </w:pBdr>
    </w:pPr>
    <w:rPr>
      <w:sz w:val="18"/>
      <w:szCs w:val="18"/>
    </w:rPr>
  </w:style>
  <w:style w:type="paragraph" w:styleId="723">
    <w:name w:val="toc 1"/>
    <w:basedOn w:val="688"/>
    <w:next w:val="688"/>
    <w:uiPriority w:val="39"/>
    <w:unhideWhenUsed/>
    <w:qFormat/>
    <w:pPr>
      <w:spacing w:after="57"/>
    </w:pPr>
  </w:style>
  <w:style w:type="paragraph" w:styleId="724">
    <w:name w:val="toc 4"/>
    <w:basedOn w:val="688"/>
    <w:next w:val="688"/>
    <w:uiPriority w:val="39"/>
    <w:unhideWhenUsed/>
    <w:qFormat/>
    <w:pPr>
      <w:ind w:left="850"/>
      <w:spacing w:after="57"/>
    </w:pPr>
  </w:style>
  <w:style w:type="paragraph" w:styleId="725">
    <w:name w:val="Subtitle"/>
    <w:basedOn w:val="688"/>
    <w:next w:val="688"/>
    <w:link w:val="785"/>
    <w:uiPriority w:val="11"/>
    <w:qFormat/>
    <w:pPr>
      <w:spacing w:before="200" w:after="200"/>
    </w:pPr>
    <w:rPr>
      <w:sz w:val="24"/>
      <w:szCs w:val="24"/>
    </w:rPr>
  </w:style>
  <w:style w:type="paragraph" w:styleId="726">
    <w:name w:val="List"/>
    <w:basedOn w:val="688"/>
    <w:uiPriority w:val="0"/>
    <w:qFormat/>
    <w:pPr>
      <w:ind w:left="200" w:hanging="200"/>
    </w:pPr>
    <w:rPr>
      <w:szCs w:val="21"/>
    </w:rPr>
  </w:style>
  <w:style w:type="paragraph" w:styleId="727">
    <w:name w:val="footnote text"/>
    <w:basedOn w:val="688"/>
    <w:link w:val="918"/>
    <w:uiPriority w:val="99"/>
    <w:semiHidden/>
    <w:unhideWhenUsed/>
    <w:qFormat/>
    <w:pPr>
      <w:spacing w:after="40"/>
    </w:pPr>
    <w:rPr>
      <w:sz w:val="18"/>
    </w:rPr>
  </w:style>
  <w:style w:type="paragraph" w:styleId="728">
    <w:name w:val="toc 6"/>
    <w:basedOn w:val="688"/>
    <w:next w:val="688"/>
    <w:uiPriority w:val="39"/>
    <w:unhideWhenUsed/>
    <w:qFormat/>
    <w:pPr>
      <w:ind w:left="1417"/>
      <w:spacing w:after="57"/>
    </w:pPr>
  </w:style>
  <w:style w:type="paragraph" w:styleId="729">
    <w:name w:val="Body Text Indent 3"/>
    <w:basedOn w:val="688"/>
    <w:link w:val="950"/>
    <w:uiPriority w:val="0"/>
    <w:qFormat/>
    <w:pPr>
      <w:ind w:left="645" w:firstLine="645"/>
    </w:pPr>
    <w:rPr>
      <w:rFonts w:ascii="Arial" w:hAnsi="Arial" w:eastAsia="仿宋_GB2312" w:cs="Arial"/>
      <w:color w:val="ffff00"/>
      <w:sz w:val="32"/>
      <w:szCs w:val="32"/>
    </w:rPr>
  </w:style>
  <w:style w:type="paragraph" w:styleId="730">
    <w:name w:val="table of figures"/>
    <w:basedOn w:val="688"/>
    <w:next w:val="688"/>
    <w:uiPriority w:val="0"/>
    <w:semiHidden/>
    <w:qFormat/>
    <w:pPr>
      <w:ind w:left="840" w:hanging="420"/>
    </w:pPr>
    <w:rPr>
      <w:szCs w:val="21"/>
    </w:rPr>
  </w:style>
  <w:style w:type="paragraph" w:styleId="731">
    <w:name w:val="toc 2"/>
    <w:basedOn w:val="688"/>
    <w:next w:val="688"/>
    <w:uiPriority w:val="39"/>
    <w:unhideWhenUsed/>
    <w:qFormat/>
    <w:pPr>
      <w:ind w:left="283"/>
      <w:spacing w:after="57"/>
    </w:pPr>
  </w:style>
  <w:style w:type="paragraph" w:styleId="732">
    <w:name w:val="toc 9"/>
    <w:basedOn w:val="688"/>
    <w:next w:val="688"/>
    <w:uiPriority w:val="39"/>
    <w:unhideWhenUsed/>
    <w:qFormat/>
    <w:pPr>
      <w:ind w:left="2268"/>
      <w:spacing w:after="57"/>
    </w:pPr>
  </w:style>
  <w:style w:type="paragraph" w:styleId="733">
    <w:name w:val="Body Text 2"/>
    <w:basedOn w:val="688"/>
    <w:link w:val="953"/>
    <w:uiPriority w:val="0"/>
    <w:qFormat/>
    <w:pPr>
      <w:jc w:val="center"/>
      <w:widowControl/>
    </w:pPr>
    <w:rPr>
      <w:rFonts w:ascii="楷体_GB2312" w:eastAsia="楷体_GB2312"/>
      <w:sz w:val="28"/>
      <w:szCs w:val="28"/>
    </w:rPr>
  </w:style>
  <w:style w:type="paragraph" w:styleId="734">
    <w:name w:val="Normal (Web)"/>
    <w:basedOn w:val="688"/>
    <w:uiPriority w:val="99"/>
    <w:qFormat/>
    <w:pPr>
      <w:jc w:val="left"/>
      <w:spacing w:before="100" w:beforeAutospacing="1" w:after="100" w:afterAutospacing="1"/>
      <w:widowControl/>
    </w:pPr>
    <w:rPr>
      <w:rFonts w:ascii="宋体" w:hAnsi="宋体" w:cs="宋体"/>
      <w:sz w:val="24"/>
      <w:szCs w:val="24"/>
    </w:rPr>
  </w:style>
  <w:style w:type="paragraph" w:styleId="735">
    <w:name w:val="index 1"/>
    <w:basedOn w:val="688"/>
    <w:next w:val="688"/>
    <w:uiPriority w:val="0"/>
    <w:semiHidden/>
    <w:qFormat/>
    <w:pPr>
      <w:spacing w:line="240" w:lineRule="atLeast"/>
    </w:pPr>
    <w:rPr>
      <w:b/>
      <w:bCs/>
      <w:szCs w:val="21"/>
    </w:rPr>
  </w:style>
  <w:style w:type="paragraph" w:styleId="736">
    <w:name w:val="Title"/>
    <w:basedOn w:val="688"/>
    <w:next w:val="688"/>
    <w:link w:val="784"/>
    <w:uiPriority w:val="10"/>
    <w:qFormat/>
    <w:pPr>
      <w:contextualSpacing/>
      <w:spacing w:before="300" w:after="200"/>
    </w:pPr>
    <w:rPr>
      <w:sz w:val="48"/>
      <w:szCs w:val="48"/>
    </w:rPr>
  </w:style>
  <w:style w:type="paragraph" w:styleId="737">
    <w:name w:val="annotation subject"/>
    <w:basedOn w:val="705"/>
    <w:next w:val="705"/>
    <w:link w:val="954"/>
    <w:uiPriority w:val="0"/>
    <w:semiHidden/>
    <w:qFormat/>
    <w:rPr>
      <w:b/>
      <w:bCs/>
      <w:szCs w:val="21"/>
    </w:rPr>
  </w:style>
  <w:style w:type="table" w:styleId="738">
    <w:name w:val="Table Grid"/>
    <w:basedOn w:val="6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9">
    <w:name w:val="Strong"/>
    <w:uiPriority w:val="0"/>
    <w:qFormat/>
    <w:rPr>
      <w:b/>
      <w:bCs/>
    </w:rPr>
  </w:style>
  <w:style w:type="character" w:styleId="740">
    <w:name w:val="endnote reference"/>
    <w:uiPriority w:val="99"/>
    <w:semiHidden/>
    <w:unhideWhenUsed/>
    <w:qFormat/>
    <w:rPr>
      <w:vertAlign w:val="superscript"/>
    </w:rPr>
  </w:style>
  <w:style w:type="character" w:styleId="741">
    <w:name w:val="page number"/>
    <w:uiPriority w:val="0"/>
    <w:qFormat/>
  </w:style>
  <w:style w:type="character" w:styleId="742">
    <w:name w:val="Hyperlink"/>
    <w:uiPriority w:val="0"/>
    <w:qFormat/>
    <w:rPr>
      <w:color w:val="0000ff"/>
      <w:u w:val="single"/>
    </w:rPr>
  </w:style>
  <w:style w:type="character" w:styleId="743">
    <w:name w:val="annotation reference"/>
    <w:uiPriority w:val="0"/>
    <w:semiHidden/>
    <w:qFormat/>
    <w:rPr>
      <w:sz w:val="21"/>
      <w:szCs w:val="21"/>
    </w:rPr>
  </w:style>
  <w:style w:type="character" w:styleId="744">
    <w:name w:val="footnote reference"/>
    <w:uiPriority w:val="99"/>
    <w:unhideWhenUsed/>
    <w:qFormat/>
    <w:rPr>
      <w:vertAlign w:val="superscript"/>
    </w:rPr>
  </w:style>
  <w:style w:type="paragraph" w:styleId="745" w:customStyle="1">
    <w:name w:val="正文文本缩进1"/>
    <w:basedOn w:val="688"/>
    <w:next w:val="709"/>
    <w:uiPriority w:val="0"/>
    <w:unhideWhenUsed/>
    <w:qFormat/>
    <w:pPr>
      <w:ind w:left="420"/>
      <w:spacing w:after="120"/>
    </w:pPr>
  </w:style>
  <w:style w:type="character" w:styleId="746" w:customStyle="1">
    <w:name w:val="Title Char"/>
    <w:basedOn w:val="698"/>
    <w:uiPriority w:val="10"/>
    <w:qFormat/>
    <w:rPr>
      <w:sz w:val="48"/>
      <w:szCs w:val="48"/>
    </w:rPr>
  </w:style>
  <w:style w:type="character" w:styleId="747" w:customStyle="1">
    <w:name w:val="Subtitle Char"/>
    <w:basedOn w:val="698"/>
    <w:uiPriority w:val="11"/>
    <w:qFormat/>
    <w:rPr>
      <w:sz w:val="24"/>
      <w:szCs w:val="24"/>
    </w:rPr>
  </w:style>
  <w:style w:type="character" w:styleId="748" w:customStyle="1">
    <w:name w:val="Quote Char"/>
    <w:uiPriority w:val="29"/>
    <w:qFormat/>
    <w:rPr>
      <w:i/>
    </w:rPr>
  </w:style>
  <w:style w:type="character" w:styleId="749" w:customStyle="1">
    <w:name w:val="Intense Quote Char"/>
    <w:uiPriority w:val="30"/>
    <w:qFormat/>
    <w:rPr>
      <w:i/>
    </w:rPr>
  </w:style>
  <w:style w:type="table" w:styleId="750"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7"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9"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0"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2"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6"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8"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9" w:customStyle="1">
    <w:name w:val="Footnote Text Char"/>
    <w:uiPriority w:val="99"/>
    <w:qFormat/>
    <w:rPr>
      <w:sz w:val="18"/>
    </w:rPr>
  </w:style>
  <w:style w:type="character" w:styleId="770" w:customStyle="1">
    <w:name w:val="Endnote Text Char"/>
    <w:uiPriority w:val="99"/>
    <w:qFormat/>
    <w:rPr>
      <w:sz w:val="20"/>
    </w:rPr>
  </w:style>
  <w:style w:type="paragraph" w:styleId="771" w:customStyle="1">
    <w:name w:val="TOC Heading"/>
    <w:uiPriority w:val="39"/>
    <w:unhideWhenUsed/>
    <w:qFormat/>
    <w:rPr>
      <w:rFonts w:hint="default" w:ascii="Times New Roman" w:hAnsi="Times New Roman" w:eastAsia="宋体" w:cs="Times New Roman"/>
    </w:rPr>
  </w:style>
  <w:style w:type="paragraph" w:styleId="772" w:customStyle="1">
    <w:name w:val="正文首行缩进 211"/>
    <w:basedOn w:val="708"/>
    <w:next w:val="688"/>
    <w:link w:val="922"/>
    <w:uiPriority w:val="0"/>
    <w:qFormat/>
    <w:pPr>
      <w:ind w:left="0" w:firstLine="420"/>
      <w:spacing w:after="0" w:line="360" w:lineRule="auto"/>
    </w:pPr>
    <w:rPr>
      <w:rFonts w:ascii="宋体" w:hAnsi="宋体"/>
      <w:szCs w:val="20"/>
    </w:rPr>
  </w:style>
  <w:style w:type="character" w:styleId="773" w:customStyle="1">
    <w:name w:val="Heading 1 Char"/>
    <w:uiPriority w:val="9"/>
    <w:qFormat/>
    <w:rPr>
      <w:rFonts w:ascii="Arial" w:hAnsi="Arial" w:eastAsia="Arial" w:cs="Arial"/>
      <w:sz w:val="40"/>
      <w:szCs w:val="40"/>
    </w:rPr>
  </w:style>
  <w:style w:type="character" w:styleId="774" w:customStyle="1">
    <w:name w:val="Heading 2 Char"/>
    <w:uiPriority w:val="9"/>
    <w:qFormat/>
    <w:rPr>
      <w:rFonts w:ascii="Arial" w:hAnsi="Arial" w:eastAsia="Arial" w:cs="Arial"/>
      <w:sz w:val="34"/>
    </w:rPr>
  </w:style>
  <w:style w:type="character" w:styleId="775" w:customStyle="1">
    <w:name w:val="Heading 3 Char"/>
    <w:uiPriority w:val="9"/>
    <w:qFormat/>
    <w:rPr>
      <w:rFonts w:ascii="Arial" w:hAnsi="Arial" w:eastAsia="Arial" w:cs="Arial"/>
      <w:sz w:val="30"/>
      <w:szCs w:val="30"/>
    </w:rPr>
  </w:style>
  <w:style w:type="character" w:styleId="776" w:customStyle="1">
    <w:name w:val="Heading 4 Char"/>
    <w:uiPriority w:val="9"/>
    <w:qFormat/>
    <w:rPr>
      <w:rFonts w:ascii="Arial" w:hAnsi="Arial" w:eastAsia="Arial" w:cs="Arial"/>
      <w:b/>
      <w:bCs/>
      <w:sz w:val="26"/>
      <w:szCs w:val="26"/>
    </w:rPr>
  </w:style>
  <w:style w:type="character" w:styleId="777" w:customStyle="1">
    <w:name w:val="Heading 5 Char"/>
    <w:uiPriority w:val="9"/>
    <w:qFormat/>
    <w:rPr>
      <w:rFonts w:ascii="Arial" w:hAnsi="Arial" w:eastAsia="Arial" w:cs="Arial"/>
      <w:b/>
      <w:bCs/>
      <w:sz w:val="24"/>
      <w:szCs w:val="24"/>
    </w:rPr>
  </w:style>
  <w:style w:type="character" w:styleId="778" w:customStyle="1">
    <w:name w:val="Heading 6 Char"/>
    <w:uiPriority w:val="9"/>
    <w:qFormat/>
    <w:rPr>
      <w:rFonts w:ascii="Arial" w:hAnsi="Arial" w:eastAsia="Arial" w:cs="Arial"/>
      <w:b/>
      <w:bCs/>
      <w:sz w:val="22"/>
      <w:szCs w:val="22"/>
    </w:rPr>
  </w:style>
  <w:style w:type="character" w:styleId="779" w:customStyle="1">
    <w:name w:val="Heading 7 Char"/>
    <w:uiPriority w:val="9"/>
    <w:qFormat/>
    <w:rPr>
      <w:rFonts w:ascii="Arial" w:hAnsi="Arial" w:eastAsia="Arial" w:cs="Arial"/>
      <w:b/>
      <w:bCs/>
      <w:i/>
      <w:iCs/>
      <w:sz w:val="22"/>
      <w:szCs w:val="22"/>
    </w:rPr>
  </w:style>
  <w:style w:type="character" w:styleId="780" w:customStyle="1">
    <w:name w:val="Heading 8 Char"/>
    <w:uiPriority w:val="9"/>
    <w:qFormat/>
    <w:rPr>
      <w:rFonts w:ascii="Arial" w:hAnsi="Arial" w:eastAsia="Arial" w:cs="Arial"/>
      <w:i/>
      <w:iCs/>
      <w:sz w:val="22"/>
      <w:szCs w:val="22"/>
    </w:rPr>
  </w:style>
  <w:style w:type="character" w:styleId="781" w:customStyle="1">
    <w:name w:val="Heading 9 Char"/>
    <w:uiPriority w:val="9"/>
    <w:qFormat/>
    <w:rPr>
      <w:rFonts w:ascii="Arial" w:hAnsi="Arial" w:eastAsia="Arial" w:cs="Arial"/>
      <w:i/>
      <w:iCs/>
      <w:sz w:val="21"/>
      <w:szCs w:val="21"/>
    </w:rPr>
  </w:style>
  <w:style w:type="paragraph" w:styleId="782">
    <w:name w:val="List Paragraph"/>
    <w:basedOn w:val="688"/>
    <w:uiPriority w:val="34"/>
    <w:qFormat/>
    <w:pPr>
      <w:contextualSpacing/>
      <w:ind w:left="720"/>
    </w:pPr>
  </w:style>
  <w:style w:type="paragraph" w:styleId="783">
    <w:name w:val="No Spacing"/>
    <w:uiPriority w:val="99"/>
    <w:qFormat/>
    <w:pPr>
      <w:jc w:val="both"/>
      <w:widowControl w:val="off"/>
    </w:pPr>
    <w:rPr>
      <w:rFonts w:hint="default" w:ascii="Times New Roman" w:hAnsi="Times New Roman" w:eastAsia="宋体" w:cs="Times New Roman"/>
      <w:sz w:val="21"/>
      <w:szCs w:val="21"/>
    </w:rPr>
  </w:style>
  <w:style w:type="character" w:styleId="784" w:customStyle="1">
    <w:name w:val="标题 字符"/>
    <w:link w:val="736"/>
    <w:uiPriority w:val="10"/>
    <w:qFormat/>
    <w:rPr>
      <w:sz w:val="48"/>
      <w:szCs w:val="48"/>
    </w:rPr>
  </w:style>
  <w:style w:type="character" w:styleId="785" w:customStyle="1">
    <w:name w:val="副标题 字符"/>
    <w:link w:val="725"/>
    <w:uiPriority w:val="11"/>
    <w:qFormat/>
    <w:rPr>
      <w:sz w:val="24"/>
      <w:szCs w:val="24"/>
    </w:rPr>
  </w:style>
  <w:style w:type="paragraph" w:styleId="786">
    <w:name w:val="Quote"/>
    <w:basedOn w:val="688"/>
    <w:next w:val="688"/>
    <w:link w:val="787"/>
    <w:uiPriority w:val="29"/>
    <w:qFormat/>
    <w:pPr>
      <w:ind w:left="720" w:right="720"/>
    </w:pPr>
    <w:rPr>
      <w:i/>
    </w:rPr>
  </w:style>
  <w:style w:type="character" w:styleId="787" w:customStyle="1">
    <w:name w:val="引用 字符"/>
    <w:link w:val="786"/>
    <w:uiPriority w:val="29"/>
    <w:qFormat/>
    <w:rPr>
      <w:i/>
    </w:rPr>
  </w:style>
  <w:style w:type="paragraph" w:styleId="788">
    <w:name w:val="Intense Quote"/>
    <w:basedOn w:val="688"/>
    <w:next w:val="688"/>
    <w:link w:val="7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9" w:customStyle="1">
    <w:name w:val="明显引用 字符"/>
    <w:link w:val="788"/>
    <w:uiPriority w:val="30"/>
    <w:qFormat/>
    <w:rPr>
      <w:i/>
    </w:rPr>
  </w:style>
  <w:style w:type="character" w:styleId="790" w:customStyle="1">
    <w:name w:val="Header Char"/>
    <w:uiPriority w:val="99"/>
    <w:qFormat/>
  </w:style>
  <w:style w:type="character" w:styleId="791" w:customStyle="1">
    <w:name w:val="Footer Char"/>
    <w:uiPriority w:val="99"/>
    <w:qFormat/>
  </w:style>
  <w:style w:type="character" w:styleId="792" w:customStyle="1">
    <w:name w:val="Caption Char"/>
    <w:uiPriority w:val="99"/>
    <w:qFormat/>
  </w:style>
  <w:style w:type="table" w:styleId="79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6" w:customStyle="1">
    <w:name w:val="无格式表格 31"/>
    <w:uiPriority w:val="99"/>
    <w:qFormat/>
    <w:tblPr>
      <w:tblCellMar>
        <w:left w:w="0" w:type="dxa"/>
        <w:top w:w="0" w:type="dxa"/>
        <w:right w:w="0" w:type="dxa"/>
        <w:bottom w:w="0" w:type="dxa"/>
      </w:tblCellMar>
    </w:tblPr>
  </w:style>
  <w:style w:type="table" w:styleId="797" w:customStyle="1">
    <w:name w:val="无格式表格 41"/>
    <w:uiPriority w:val="99"/>
    <w:qFormat/>
    <w:tblPr>
      <w:tblCellMar>
        <w:left w:w="0" w:type="dxa"/>
        <w:top w:w="0" w:type="dxa"/>
        <w:right w:w="0" w:type="dxa"/>
        <w:bottom w:w="0" w:type="dxa"/>
      </w:tblCellMar>
    </w:tblPr>
  </w:style>
  <w:style w:type="table" w:styleId="798" w:customStyle="1">
    <w:name w:val="无格式表格 51"/>
    <w:uiPriority w:val="99"/>
    <w:qFormat/>
    <w:tblPr>
      <w:tblCellMar>
        <w:left w:w="0" w:type="dxa"/>
        <w:top w:w="0" w:type="dxa"/>
        <w:right w:w="0" w:type="dxa"/>
        <w:bottom w:w="0" w:type="dxa"/>
      </w:tblCellMar>
    </w:tblPr>
  </w:style>
  <w:style w:type="table" w:styleId="79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0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0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8" w:customStyle="1">
    <w:name w:val="清单表 1 浅色1"/>
    <w:uiPriority w:val="99"/>
    <w:qFormat/>
    <w:tblPr>
      <w:tblCellMar>
        <w:left w:w="0" w:type="dxa"/>
        <w:top w:w="0" w:type="dxa"/>
        <w:right w:w="0" w:type="dxa"/>
        <w:bottom w:w="0" w:type="dxa"/>
      </w:tblCellMar>
    </w:tblPr>
  </w:style>
  <w:style w:type="table" w:styleId="849" w:customStyle="1">
    <w:name w:val="List Table 1 Light - Accent 1"/>
    <w:uiPriority w:val="99"/>
    <w:qFormat/>
    <w:tblPr>
      <w:tblCellMar>
        <w:left w:w="0" w:type="dxa"/>
        <w:top w:w="0" w:type="dxa"/>
        <w:right w:w="0" w:type="dxa"/>
        <w:bottom w:w="0" w:type="dxa"/>
      </w:tblCellMar>
    </w:tblPr>
  </w:style>
  <w:style w:type="table" w:styleId="850" w:customStyle="1">
    <w:name w:val="List Table 1 Light - Accent 2"/>
    <w:uiPriority w:val="99"/>
    <w:qFormat/>
    <w:tblPr>
      <w:tblCellMar>
        <w:left w:w="0" w:type="dxa"/>
        <w:top w:w="0" w:type="dxa"/>
        <w:right w:w="0" w:type="dxa"/>
        <w:bottom w:w="0" w:type="dxa"/>
      </w:tblCellMar>
    </w:tblPr>
  </w:style>
  <w:style w:type="table" w:styleId="851" w:customStyle="1">
    <w:name w:val="List Table 1 Light - Accent 3"/>
    <w:uiPriority w:val="99"/>
    <w:qFormat/>
    <w:tblPr>
      <w:tblCellMar>
        <w:left w:w="0" w:type="dxa"/>
        <w:top w:w="0" w:type="dxa"/>
        <w:right w:w="0" w:type="dxa"/>
        <w:bottom w:w="0" w:type="dxa"/>
      </w:tblCellMar>
    </w:tblPr>
  </w:style>
  <w:style w:type="table" w:styleId="852" w:customStyle="1">
    <w:name w:val="List Table 1 Light - Accent 4"/>
    <w:uiPriority w:val="99"/>
    <w:qFormat/>
    <w:tblPr>
      <w:tblCellMar>
        <w:left w:w="0" w:type="dxa"/>
        <w:top w:w="0" w:type="dxa"/>
        <w:right w:w="0" w:type="dxa"/>
        <w:bottom w:w="0" w:type="dxa"/>
      </w:tblCellMar>
    </w:tblPr>
  </w:style>
  <w:style w:type="table" w:styleId="853" w:customStyle="1">
    <w:name w:val="List Table 1 Light - Accent 5"/>
    <w:uiPriority w:val="99"/>
    <w:qFormat/>
    <w:tblPr>
      <w:tblCellMar>
        <w:left w:w="0" w:type="dxa"/>
        <w:top w:w="0" w:type="dxa"/>
        <w:right w:w="0" w:type="dxa"/>
        <w:bottom w:w="0" w:type="dxa"/>
      </w:tblCellMar>
    </w:tblPr>
  </w:style>
  <w:style w:type="table" w:styleId="854" w:customStyle="1">
    <w:name w:val="List Table 1 Light - Accent 6"/>
    <w:uiPriority w:val="99"/>
    <w:qFormat/>
    <w:tblPr>
      <w:tblCellMar>
        <w:left w:w="0" w:type="dxa"/>
        <w:top w:w="0" w:type="dxa"/>
        <w:right w:w="0" w:type="dxa"/>
        <w:bottom w:w="0" w:type="dxa"/>
      </w:tblCellMar>
    </w:tblPr>
  </w:style>
  <w:style w:type="table" w:styleId="85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6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6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7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7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8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7" w:customStyle="1">
    <w:name w:val="Lined - Accent"/>
    <w:uiPriority w:val="99"/>
    <w:qFormat/>
    <w:rPr>
      <w:color w:val="404040"/>
    </w:rPr>
    <w:tblPr>
      <w:tblCellMar>
        <w:left w:w="0" w:type="dxa"/>
        <w:top w:w="0" w:type="dxa"/>
        <w:right w:w="0" w:type="dxa"/>
        <w:bottom w:w="0" w:type="dxa"/>
      </w:tblCellMar>
    </w:tblPr>
  </w:style>
  <w:style w:type="table" w:styleId="898" w:customStyle="1">
    <w:name w:val="Lined - Accent 1"/>
    <w:uiPriority w:val="99"/>
    <w:qFormat/>
    <w:rPr>
      <w:color w:val="404040"/>
    </w:rPr>
    <w:tblPr>
      <w:tblCellMar>
        <w:left w:w="0" w:type="dxa"/>
        <w:top w:w="0" w:type="dxa"/>
        <w:right w:w="0" w:type="dxa"/>
        <w:bottom w:w="0" w:type="dxa"/>
      </w:tblCellMar>
    </w:tblPr>
  </w:style>
  <w:style w:type="table" w:styleId="899" w:customStyle="1">
    <w:name w:val="Lined - Accent 2"/>
    <w:uiPriority w:val="99"/>
    <w:qFormat/>
    <w:rPr>
      <w:color w:val="404040"/>
    </w:rPr>
    <w:tblPr>
      <w:tblCellMar>
        <w:left w:w="0" w:type="dxa"/>
        <w:top w:w="0" w:type="dxa"/>
        <w:right w:w="0" w:type="dxa"/>
        <w:bottom w:w="0" w:type="dxa"/>
      </w:tblCellMar>
    </w:tblPr>
  </w:style>
  <w:style w:type="table" w:styleId="900" w:customStyle="1">
    <w:name w:val="Lined - Accent 3"/>
    <w:uiPriority w:val="99"/>
    <w:qFormat/>
    <w:rPr>
      <w:color w:val="404040"/>
    </w:rPr>
    <w:tblPr>
      <w:tblCellMar>
        <w:left w:w="0" w:type="dxa"/>
        <w:top w:w="0" w:type="dxa"/>
        <w:right w:w="0" w:type="dxa"/>
        <w:bottom w:w="0" w:type="dxa"/>
      </w:tblCellMar>
    </w:tblPr>
  </w:style>
  <w:style w:type="table" w:styleId="901" w:customStyle="1">
    <w:name w:val="Lined - Accent 4"/>
    <w:uiPriority w:val="99"/>
    <w:qFormat/>
    <w:rPr>
      <w:color w:val="404040"/>
    </w:rPr>
    <w:tblPr>
      <w:tblCellMar>
        <w:left w:w="0" w:type="dxa"/>
        <w:top w:w="0" w:type="dxa"/>
        <w:right w:w="0" w:type="dxa"/>
        <w:bottom w:w="0" w:type="dxa"/>
      </w:tblCellMar>
    </w:tblPr>
  </w:style>
  <w:style w:type="table" w:styleId="902" w:customStyle="1">
    <w:name w:val="Lined - Accent 5"/>
    <w:uiPriority w:val="99"/>
    <w:qFormat/>
    <w:rPr>
      <w:color w:val="404040"/>
    </w:rPr>
    <w:tblPr>
      <w:tblCellMar>
        <w:left w:w="0" w:type="dxa"/>
        <w:top w:w="0" w:type="dxa"/>
        <w:right w:w="0" w:type="dxa"/>
        <w:bottom w:w="0" w:type="dxa"/>
      </w:tblCellMar>
    </w:tblPr>
  </w:style>
  <w:style w:type="table" w:styleId="903" w:customStyle="1">
    <w:name w:val="Lined - Accent 6"/>
    <w:uiPriority w:val="99"/>
    <w:qFormat/>
    <w:rPr>
      <w:color w:val="404040"/>
    </w:rPr>
    <w:tblPr>
      <w:tblCellMar>
        <w:left w:w="0" w:type="dxa"/>
        <w:top w:w="0" w:type="dxa"/>
        <w:right w:w="0" w:type="dxa"/>
        <w:bottom w:w="0" w:type="dxa"/>
      </w:tblCellMar>
    </w:tblPr>
  </w:style>
  <w:style w:type="table" w:styleId="90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0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0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18" w:customStyle="1">
    <w:name w:val="脚注文本 字符"/>
    <w:link w:val="727"/>
    <w:uiPriority w:val="99"/>
    <w:qFormat/>
    <w:rPr>
      <w:sz w:val="18"/>
    </w:rPr>
  </w:style>
  <w:style w:type="character" w:styleId="919" w:customStyle="1">
    <w:name w:val="尾注文本 字符"/>
    <w:link w:val="718"/>
    <w:uiPriority w:val="99"/>
    <w:qFormat/>
    <w:rPr>
      <w:sz w:val="20"/>
    </w:rPr>
  </w:style>
  <w:style w:type="paragraph" w:styleId="920" w:customStyle="1">
    <w:name w:val="TOC 标题1"/>
    <w:uiPriority w:val="39"/>
    <w:unhideWhenUsed/>
    <w:qFormat/>
    <w:rPr>
      <w:rFonts w:hint="default" w:ascii="Times New Roman" w:hAnsi="Times New Roman" w:eastAsia="宋体" w:cs="Times New Roman"/>
    </w:rPr>
  </w:style>
  <w:style w:type="character" w:styleId="921" w:customStyle="1">
    <w:name w:val="正文文本缩进 字符"/>
    <w:basedOn w:val="698"/>
    <w:link w:val="708"/>
    <w:uiPriority w:val="99"/>
    <w:semiHidden/>
    <w:qFormat/>
  </w:style>
  <w:style w:type="character" w:styleId="922" w:customStyle="1">
    <w:name w:val="正文首行缩进 2 Char"/>
    <w:link w:val="772"/>
    <w:uiPriority w:val="0"/>
    <w:qFormat/>
    <w:rPr>
      <w:rFonts w:ascii="宋体" w:hAnsi="宋体" w:eastAsia="宋体" w:cs="Times New Roman"/>
      <w:szCs w:val="20"/>
    </w:rPr>
  </w:style>
  <w:style w:type="character" w:styleId="923" w:customStyle="1">
    <w:name w:val="标题 1 字符"/>
    <w:link w:val="689"/>
    <w:uiPriority w:val="0"/>
    <w:qFormat/>
    <w:rPr>
      <w:rFonts w:ascii="楷体_GB2312" w:hAnsi="Times New Roman" w:eastAsia="楷体_GB2312" w:cs="Times New Roman"/>
      <w:sz w:val="28"/>
      <w:szCs w:val="28"/>
    </w:rPr>
  </w:style>
  <w:style w:type="character" w:styleId="924" w:customStyle="1">
    <w:name w:val="标题 2 字符"/>
    <w:link w:val="690"/>
    <w:uiPriority w:val="0"/>
    <w:qFormat/>
    <w:rPr>
      <w:rFonts w:ascii="Arial" w:hAnsi="Arial" w:eastAsia="幼圆" w:cs="Arial"/>
      <w:b/>
      <w:bCs/>
      <w:sz w:val="44"/>
      <w:szCs w:val="44"/>
    </w:rPr>
  </w:style>
  <w:style w:type="character" w:styleId="925" w:customStyle="1">
    <w:name w:val="正文缩进 字符"/>
    <w:link w:val="700"/>
    <w:uiPriority w:val="0"/>
    <w:qFormat/>
    <w:rPr>
      <w:szCs w:val="21"/>
    </w:rPr>
  </w:style>
  <w:style w:type="character" w:styleId="926" w:customStyle="1">
    <w:name w:val="标题 3 字符"/>
    <w:link w:val="691"/>
    <w:uiPriority w:val="0"/>
    <w:qFormat/>
    <w:rPr>
      <w:rFonts w:ascii="Times New Roman" w:hAnsi="Times New Roman" w:eastAsia="宋体" w:cs="Times New Roman"/>
      <w:b/>
      <w:bCs/>
      <w:sz w:val="32"/>
      <w:szCs w:val="32"/>
    </w:rPr>
  </w:style>
  <w:style w:type="character" w:styleId="927" w:customStyle="1">
    <w:name w:val="标题 4 字符"/>
    <w:link w:val="692"/>
    <w:uiPriority w:val="0"/>
    <w:qFormat/>
    <w:rPr>
      <w:rFonts w:ascii="Arial" w:hAnsi="Arial" w:eastAsia="黑体" w:cs="Arial"/>
      <w:b/>
      <w:bCs/>
      <w:sz w:val="28"/>
      <w:szCs w:val="28"/>
    </w:rPr>
  </w:style>
  <w:style w:type="character" w:styleId="928" w:customStyle="1">
    <w:name w:val="标题 5 字符"/>
    <w:link w:val="693"/>
    <w:uiPriority w:val="0"/>
    <w:qFormat/>
    <w:rPr>
      <w:rFonts w:ascii="宋体" w:hAnsi="Times New Roman" w:eastAsia="宋体" w:cs="Times New Roman"/>
      <w:color w:val="000000"/>
      <w:sz w:val="28"/>
      <w:szCs w:val="28"/>
    </w:rPr>
  </w:style>
  <w:style w:type="character" w:styleId="929" w:customStyle="1">
    <w:name w:val="标题 6 字符"/>
    <w:link w:val="694"/>
    <w:uiPriority w:val="0"/>
    <w:qFormat/>
    <w:rPr>
      <w:rFonts w:ascii="Arial" w:hAnsi="Arial" w:eastAsia="黑体" w:cs="Times New Roman"/>
      <w:b/>
      <w:bCs/>
      <w:sz w:val="24"/>
      <w:szCs w:val="24"/>
    </w:rPr>
  </w:style>
  <w:style w:type="character" w:styleId="930" w:customStyle="1">
    <w:name w:val="标题 7 字符"/>
    <w:link w:val="695"/>
    <w:uiPriority w:val="0"/>
    <w:qFormat/>
    <w:rPr>
      <w:rFonts w:ascii="Times New Roman" w:hAnsi="Times New Roman" w:eastAsia="宋体" w:cs="Times New Roman"/>
      <w:b/>
      <w:bCs/>
      <w:sz w:val="24"/>
      <w:szCs w:val="24"/>
    </w:rPr>
  </w:style>
  <w:style w:type="character" w:styleId="931" w:customStyle="1">
    <w:name w:val="标题 8 字符"/>
    <w:link w:val="696"/>
    <w:uiPriority w:val="0"/>
    <w:qFormat/>
    <w:rPr>
      <w:rFonts w:ascii="Arial" w:hAnsi="Arial" w:eastAsia="黑体" w:cs="Times New Roman"/>
      <w:sz w:val="24"/>
      <w:szCs w:val="24"/>
    </w:rPr>
  </w:style>
  <w:style w:type="character" w:styleId="932" w:customStyle="1">
    <w:name w:val="标题 9 字符"/>
    <w:link w:val="697"/>
    <w:uiPriority w:val="0"/>
    <w:qFormat/>
    <w:rPr>
      <w:rFonts w:ascii="Arial" w:hAnsi="Arial" w:eastAsia="黑体" w:cs="Times New Roman"/>
      <w:szCs w:val="21"/>
    </w:rPr>
  </w:style>
  <w:style w:type="paragraph" w:styleId="933" w:customStyle="1">
    <w:name w:val="目录 71"/>
    <w:basedOn w:val="688"/>
    <w:next w:val="688"/>
    <w:uiPriority w:val="0"/>
    <w:semiHidden/>
    <w:qFormat/>
    <w:pPr>
      <w:ind w:left="1260"/>
      <w:jc w:val="left"/>
    </w:pPr>
    <w:rPr>
      <w:szCs w:val="21"/>
    </w:rPr>
  </w:style>
  <w:style w:type="character" w:styleId="934" w:customStyle="1">
    <w:name w:val="文档结构图 字符"/>
    <w:link w:val="704"/>
    <w:uiPriority w:val="0"/>
    <w:semiHidden/>
    <w:qFormat/>
    <w:rPr>
      <w:rFonts w:ascii="Times New Roman" w:hAnsi="Times New Roman" w:eastAsia="宋体" w:cs="Times New Roman"/>
      <w:szCs w:val="21"/>
      <w:shd w:val="clear" w:color="auto" w:fill="000080"/>
    </w:rPr>
  </w:style>
  <w:style w:type="character" w:styleId="935" w:customStyle="1">
    <w:name w:val="批注文字 字符"/>
    <w:basedOn w:val="698"/>
    <w:link w:val="705"/>
    <w:uiPriority w:val="99"/>
    <w:semiHidden/>
    <w:qFormat/>
  </w:style>
  <w:style w:type="character" w:styleId="936" w:customStyle="1">
    <w:name w:val="正文文本 3 字符"/>
    <w:link w:val="706"/>
    <w:uiPriority w:val="0"/>
    <w:qFormat/>
    <w:rPr>
      <w:rFonts w:ascii="仿宋_GB2312" w:hAnsi="Arial" w:eastAsia="仿宋_GB2312" w:cs="Times New Roman"/>
      <w:sz w:val="32"/>
      <w:szCs w:val="32"/>
    </w:rPr>
  </w:style>
  <w:style w:type="character" w:styleId="937" w:customStyle="1">
    <w:name w:val="正文文本 字符"/>
    <w:link w:val="707"/>
    <w:uiPriority w:val="0"/>
    <w:qFormat/>
    <w:rPr>
      <w:rFonts w:ascii="楷体_GB2312" w:hAnsi="Arial" w:eastAsia="楷体_GB2312" w:cs="Times New Roman"/>
      <w:sz w:val="28"/>
      <w:szCs w:val="28"/>
    </w:rPr>
  </w:style>
  <w:style w:type="paragraph" w:styleId="938" w:customStyle="1">
    <w:name w:val="目录 51"/>
    <w:basedOn w:val="688"/>
    <w:next w:val="688"/>
    <w:uiPriority w:val="0"/>
    <w:semiHidden/>
    <w:qFormat/>
    <w:pPr>
      <w:ind w:left="840"/>
      <w:jc w:val="left"/>
    </w:pPr>
    <w:rPr>
      <w:szCs w:val="21"/>
    </w:rPr>
  </w:style>
  <w:style w:type="paragraph" w:styleId="939" w:customStyle="1">
    <w:name w:val="目录 31"/>
    <w:basedOn w:val="688"/>
    <w:next w:val="688"/>
    <w:uiPriority w:val="0"/>
    <w:semiHidden/>
    <w:qFormat/>
    <w:pPr>
      <w:ind w:left="420"/>
      <w:jc w:val="left"/>
    </w:pPr>
    <w:rPr>
      <w:i/>
      <w:iCs/>
      <w:szCs w:val="24"/>
    </w:rPr>
  </w:style>
  <w:style w:type="character" w:styleId="940" w:customStyle="1">
    <w:name w:val="纯文本 字符"/>
    <w:link w:val="714"/>
    <w:uiPriority w:val="0"/>
    <w:qFormat/>
    <w:rPr>
      <w:rFonts w:ascii="宋体" w:hAnsi="Courier New" w:eastAsia="宋体" w:cs="Courier New"/>
      <w:szCs w:val="21"/>
    </w:rPr>
  </w:style>
  <w:style w:type="paragraph" w:styleId="941" w:customStyle="1">
    <w:name w:val="目录 81"/>
    <w:basedOn w:val="688"/>
    <w:next w:val="688"/>
    <w:uiPriority w:val="0"/>
    <w:semiHidden/>
    <w:qFormat/>
    <w:pPr>
      <w:ind w:left="1470"/>
      <w:jc w:val="left"/>
    </w:pPr>
    <w:rPr>
      <w:szCs w:val="21"/>
    </w:rPr>
  </w:style>
  <w:style w:type="character" w:styleId="942" w:customStyle="1">
    <w:name w:val="日期 字符"/>
    <w:link w:val="716"/>
    <w:uiPriority w:val="0"/>
    <w:qFormat/>
    <w:rPr>
      <w:rFonts w:ascii="Times New Roman" w:hAnsi="Times New Roman" w:eastAsia="宋体" w:cs="Times New Roman"/>
      <w:sz w:val="24"/>
      <w:szCs w:val="24"/>
    </w:rPr>
  </w:style>
  <w:style w:type="character" w:styleId="943" w:customStyle="1">
    <w:name w:val="正文文本缩进 2 字符"/>
    <w:link w:val="717"/>
    <w:uiPriority w:val="0"/>
    <w:qFormat/>
    <w:rPr>
      <w:rFonts w:ascii="Arial" w:hAnsi="Arial" w:eastAsia="仿宋_GB2312" w:cs="Arial"/>
      <w:sz w:val="32"/>
      <w:szCs w:val="32"/>
    </w:rPr>
  </w:style>
  <w:style w:type="character" w:styleId="944" w:customStyle="1">
    <w:name w:val="批注框文本 字符"/>
    <w:link w:val="719"/>
    <w:uiPriority w:val="0"/>
    <w:semiHidden/>
    <w:qFormat/>
    <w:rPr>
      <w:rFonts w:ascii="Times New Roman" w:hAnsi="Times New Roman" w:eastAsia="宋体" w:cs="Times New Roman"/>
      <w:sz w:val="18"/>
      <w:szCs w:val="18"/>
    </w:rPr>
  </w:style>
  <w:style w:type="character" w:styleId="945" w:customStyle="1">
    <w:name w:val="页脚 字符"/>
    <w:link w:val="720"/>
    <w:uiPriority w:val="0"/>
    <w:qFormat/>
    <w:rPr>
      <w:rFonts w:ascii="Times New Roman" w:hAnsi="Times New Roman" w:eastAsia="宋体" w:cs="Times New Roman"/>
      <w:sz w:val="18"/>
      <w:szCs w:val="18"/>
    </w:rPr>
  </w:style>
  <w:style w:type="character" w:styleId="946" w:customStyle="1">
    <w:name w:val="页眉 字符"/>
    <w:link w:val="722"/>
    <w:uiPriority w:val="0"/>
    <w:qFormat/>
    <w:rPr>
      <w:rFonts w:ascii="Times New Roman" w:hAnsi="Times New Roman" w:eastAsia="宋体" w:cs="Times New Roman"/>
      <w:sz w:val="18"/>
      <w:szCs w:val="18"/>
    </w:rPr>
  </w:style>
  <w:style w:type="paragraph" w:styleId="947"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48" w:customStyle="1">
    <w:name w:val="目录 41"/>
    <w:basedOn w:val="688"/>
    <w:next w:val="688"/>
    <w:uiPriority w:val="0"/>
    <w:semiHidden/>
    <w:qFormat/>
    <w:pPr>
      <w:ind w:left="630"/>
      <w:jc w:val="left"/>
    </w:pPr>
    <w:rPr>
      <w:szCs w:val="21"/>
    </w:rPr>
  </w:style>
  <w:style w:type="paragraph" w:styleId="949" w:customStyle="1">
    <w:name w:val="目录 61"/>
    <w:basedOn w:val="688"/>
    <w:next w:val="688"/>
    <w:uiPriority w:val="0"/>
    <w:semiHidden/>
    <w:qFormat/>
    <w:pPr>
      <w:ind w:left="1050"/>
      <w:jc w:val="left"/>
    </w:pPr>
    <w:rPr>
      <w:szCs w:val="21"/>
    </w:rPr>
  </w:style>
  <w:style w:type="character" w:styleId="950" w:customStyle="1">
    <w:name w:val="正文文本缩进 3 字符"/>
    <w:link w:val="729"/>
    <w:uiPriority w:val="0"/>
    <w:qFormat/>
    <w:rPr>
      <w:rFonts w:ascii="Arial" w:hAnsi="Arial" w:eastAsia="仿宋_GB2312" w:cs="Arial"/>
      <w:color w:val="ffff00"/>
      <w:sz w:val="32"/>
      <w:szCs w:val="32"/>
    </w:rPr>
  </w:style>
  <w:style w:type="paragraph" w:styleId="951" w:customStyle="1">
    <w:name w:val="目录 21"/>
    <w:basedOn w:val="688"/>
    <w:next w:val="688"/>
    <w:uiPriority w:val="0"/>
    <w:semiHidden/>
    <w:qFormat/>
    <w:pPr>
      <w:ind w:left="210"/>
      <w:jc w:val="left"/>
    </w:pPr>
    <w:rPr>
      <w:smallCaps/>
      <w:szCs w:val="24"/>
    </w:rPr>
  </w:style>
  <w:style w:type="paragraph" w:styleId="952" w:customStyle="1">
    <w:name w:val="目录 91"/>
    <w:basedOn w:val="688"/>
    <w:next w:val="688"/>
    <w:uiPriority w:val="0"/>
    <w:semiHidden/>
    <w:qFormat/>
    <w:pPr>
      <w:ind w:left="1680"/>
      <w:jc w:val="left"/>
    </w:pPr>
    <w:rPr>
      <w:szCs w:val="21"/>
    </w:rPr>
  </w:style>
  <w:style w:type="character" w:styleId="953" w:customStyle="1">
    <w:name w:val="正文文本 2 字符"/>
    <w:link w:val="733"/>
    <w:uiPriority w:val="0"/>
    <w:qFormat/>
    <w:rPr>
      <w:rFonts w:ascii="楷体_GB2312" w:hAnsi="Times New Roman" w:eastAsia="楷体_GB2312" w:cs="Times New Roman"/>
      <w:sz w:val="28"/>
      <w:szCs w:val="28"/>
    </w:rPr>
  </w:style>
  <w:style w:type="character" w:styleId="954" w:customStyle="1">
    <w:name w:val="批注主题 字符"/>
    <w:link w:val="737"/>
    <w:uiPriority w:val="0"/>
    <w:semiHidden/>
    <w:qFormat/>
    <w:rPr>
      <w:rFonts w:ascii="Times New Roman" w:hAnsi="Times New Roman" w:eastAsia="宋体" w:cs="Times New Roman"/>
      <w:b/>
      <w:bCs/>
      <w:szCs w:val="21"/>
    </w:rPr>
  </w:style>
  <w:style w:type="paragraph" w:styleId="955" w:customStyle="1">
    <w:name w:val="正文首行缩进1"/>
    <w:basedOn w:val="688"/>
    <w:link w:val="956"/>
    <w:uiPriority w:val="0"/>
    <w:qFormat/>
    <w:pPr>
      <w:ind w:firstLine="200"/>
      <w:spacing w:line="360" w:lineRule="auto"/>
    </w:pPr>
    <w:rPr>
      <w:rFonts w:ascii="仿宋_GB2312" w:eastAsia="仿宋_GB2312"/>
      <w:sz w:val="30"/>
      <w:szCs w:val="30"/>
    </w:rPr>
  </w:style>
  <w:style w:type="character" w:styleId="956" w:customStyle="1">
    <w:name w:val="正文首行缩进 Char"/>
    <w:link w:val="955"/>
    <w:uiPriority w:val="0"/>
    <w:qFormat/>
    <w:rPr>
      <w:rFonts w:ascii="仿宋_GB2312" w:hAnsi="Times New Roman" w:eastAsia="仿宋_GB2312" w:cs="Times New Roman"/>
      <w:sz w:val="30"/>
      <w:szCs w:val="30"/>
    </w:rPr>
  </w:style>
  <w:style w:type="character" w:styleId="957" w:customStyle="1">
    <w:name w:val="已访问的超链接1"/>
    <w:uiPriority w:val="0"/>
    <w:qFormat/>
    <w:rPr>
      <w:color w:val="800080"/>
      <w:u w:val="single"/>
    </w:rPr>
  </w:style>
  <w:style w:type="paragraph" w:styleId="958" w:customStyle="1">
    <w:name w:val="索引 41"/>
    <w:basedOn w:val="688"/>
    <w:next w:val="688"/>
    <w:uiPriority w:val="0"/>
    <w:semiHidden/>
    <w:qFormat/>
    <w:pPr>
      <w:ind w:left="1260"/>
    </w:pPr>
    <w:rPr>
      <w:rFonts w:ascii="Calibri" w:hAnsi="Calibri" w:eastAsia="Calibri" w:cs="宋体"/>
      <w:sz w:val="20"/>
      <w:lang w:val="zh-CN"/>
    </w:rPr>
  </w:style>
  <w:style w:type="paragraph" w:styleId="959" w:customStyle="1">
    <w:name w:val="正文文本121"/>
    <w:basedOn w:val="688"/>
    <w:uiPriority w:val="0"/>
    <w:qFormat/>
    <w:pPr>
      <w:ind w:left="120"/>
    </w:pPr>
    <w:rPr>
      <w:rFonts w:ascii="宋体" w:cs="宋体"/>
      <w:szCs w:val="21"/>
      <w:lang w:val="zh-CN" w:bidi="zh-CN"/>
    </w:rPr>
  </w:style>
  <w:style w:type="character" w:styleId="960" w:customStyle="1">
    <w:name w:val="font5 Char"/>
    <w:uiPriority w:val="0"/>
    <w:qFormat/>
    <w:rPr>
      <w:rFonts w:ascii="宋体" w:hAnsi="宋体" w:eastAsia="宋体"/>
      <w:sz w:val="28"/>
      <w:szCs w:val="28"/>
      <w:lang w:val="en-US" w:eastAsia="zh-CN" w:bidi="ar-SA"/>
    </w:rPr>
  </w:style>
  <w:style w:type="character" w:styleId="961" w:customStyle="1">
    <w:name w:val="二级目录 Char"/>
    <w:link w:val="962"/>
    <w:uiPriority w:val="0"/>
    <w:qFormat/>
    <w:rPr>
      <w:b/>
      <w:sz w:val="30"/>
      <w:szCs w:val="28"/>
    </w:rPr>
  </w:style>
  <w:style w:type="paragraph" w:styleId="962" w:customStyle="1">
    <w:name w:val="二级目录"/>
    <w:next w:val="688"/>
    <w:link w:val="961"/>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character" w:styleId="963" w:customStyle="1">
    <w:name w:val="列出段落 Char"/>
    <w:link w:val="964"/>
    <w:uiPriority w:val="0"/>
    <w:qFormat/>
    <w:rPr>
      <w:rFonts w:ascii="Calibri" w:hAnsi="Calibri"/>
      <w:sz w:val="24"/>
      <w:szCs w:val="24"/>
      <w:lang w:eastAsia="en-US" w:bidi="en-US"/>
    </w:rPr>
  </w:style>
  <w:style w:type="paragraph" w:styleId="964" w:customStyle="1">
    <w:name w:val="列出段落1"/>
    <w:basedOn w:val="688"/>
    <w:link w:val="963"/>
    <w:uiPriority w:val="0"/>
    <w:qFormat/>
    <w:pPr>
      <w:contextualSpacing/>
      <w:ind w:left="720"/>
      <w:jc w:val="left"/>
      <w:widowControl/>
    </w:pPr>
    <w:rPr>
      <w:rFonts w:ascii="Calibri" w:hAnsi="Calibri"/>
      <w:sz w:val="24"/>
      <w:szCs w:val="24"/>
      <w:lang w:eastAsia="en-US" w:bidi="en-US"/>
    </w:rPr>
  </w:style>
  <w:style w:type="paragraph" w:styleId="965" w:customStyle="1">
    <w:name w:val="Body Text(ch)"/>
    <w:basedOn w:val="688"/>
    <w:next w:val="707"/>
    <w:uiPriority w:val="0"/>
    <w:qFormat/>
    <w:pPr>
      <w:spacing w:after="120"/>
    </w:pPr>
    <w:rPr>
      <w:rFonts w:ascii="宋体" w:hAnsi="Arial"/>
      <w:bCs/>
      <w:iCs/>
      <w:szCs w:val="24"/>
    </w:rPr>
  </w:style>
  <w:style w:type="paragraph" w:styleId="966"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7"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8" w:customStyle="1">
    <w:name w:val="Char"/>
    <w:basedOn w:val="688"/>
    <w:uiPriority w:val="0"/>
    <w:qFormat/>
    <w:pPr>
      <w:ind w:firstLine="200"/>
      <w:tabs>
        <w:tab w:val="left" w:pos="360" w:leader="none"/>
      </w:tabs>
    </w:pPr>
    <w:rPr>
      <w:sz w:val="28"/>
      <w:szCs w:val="30"/>
    </w:rPr>
  </w:style>
  <w:style w:type="paragraph" w:styleId="969" w:customStyle="1">
    <w:name w:val="Char1"/>
    <w:basedOn w:val="704"/>
    <w:uiPriority w:val="0"/>
    <w:qFormat/>
    <w:rPr>
      <w:rFonts w:ascii="Tahoma" w:hAnsi="Tahoma"/>
      <w:sz w:val="24"/>
      <w:szCs w:val="24"/>
    </w:rPr>
  </w:style>
  <w:style w:type="paragraph" w:styleId="970"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71" w:customStyle="1">
    <w:name w:val="table_lines"/>
    <w:basedOn w:val="688"/>
    <w:uiPriority w:val="0"/>
    <w:qFormat/>
    <w:pPr>
      <w:jc w:val="left"/>
      <w:widowControl/>
    </w:pPr>
    <w:rPr>
      <w:sz w:val="20"/>
      <w:szCs w:val="20"/>
      <w:lang w:val="de-DE" w:eastAsia="de-DE"/>
    </w:rPr>
  </w:style>
  <w:style w:type="paragraph" w:styleId="97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73"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74" w:customStyle="1">
    <w:name w:val="Char Char Char Char"/>
    <w:basedOn w:val="704"/>
    <w:uiPriority w:val="0"/>
    <w:qFormat/>
    <w:pPr>
      <w:spacing w:line="360" w:lineRule="auto"/>
    </w:pPr>
    <w:rPr>
      <w:rFonts w:ascii="Tahoma" w:hAnsi="Tahoma"/>
      <w:sz w:val="24"/>
      <w:szCs w:val="24"/>
    </w:rPr>
  </w:style>
  <w:style w:type="paragraph" w:styleId="975"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976" w:customStyle="1">
    <w:name w:val="4"/>
    <w:basedOn w:val="688"/>
    <w:next w:val="729"/>
    <w:uiPriority w:val="0"/>
    <w:qFormat/>
    <w:pPr>
      <w:ind w:firstLine="420"/>
      <w:spacing w:line="360" w:lineRule="auto"/>
    </w:pPr>
    <w:rPr>
      <w:color w:val="ff0000"/>
      <w:sz w:val="24"/>
      <w:szCs w:val="24"/>
    </w:rPr>
  </w:style>
  <w:style w:type="paragraph" w:styleId="977"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78" w:customStyle="1">
    <w:name w:val="Char Char Char Char Char Char Char Char Char Char"/>
    <w:basedOn w:val="688"/>
    <w:uiPriority w:val="0"/>
    <w:qFormat/>
    <w:pPr>
      <w:spacing w:line="360" w:lineRule="auto"/>
    </w:pPr>
    <w:rPr>
      <w:sz w:val="24"/>
      <w:szCs w:val="20"/>
    </w:rPr>
  </w:style>
  <w:style w:type="paragraph" w:styleId="979" w:customStyle="1">
    <w:name w:val="样式1"/>
    <w:basedOn w:val="688"/>
    <w:uiPriority w:val="0"/>
    <w:qFormat/>
    <w:pPr>
      <w:numPr>
        <w:ilvl w:val="0"/>
        <w:numId w:val="3"/>
      </w:numPr>
    </w:pPr>
    <w:rPr>
      <w:rFonts w:ascii="宋体" w:hAnsi="宋体"/>
      <w:szCs w:val="21"/>
    </w:rPr>
  </w:style>
  <w:style w:type="paragraph" w:styleId="980"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81"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2"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3"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84"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5"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6"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87"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8" w:customStyle="1">
    <w:name w:val="Char Char Char Char Char Char Char Char1"/>
    <w:basedOn w:val="688"/>
    <w:uiPriority w:val="0"/>
    <w:qFormat/>
    <w:pPr>
      <w:jc w:val="left"/>
      <w:spacing w:after="160" w:line="240" w:lineRule="exact"/>
      <w:widowControl/>
    </w:pPr>
    <w:rPr>
      <w:rFonts w:ascii="Verdana" w:hAnsi="Verdana"/>
      <w:sz w:val="20"/>
      <w:szCs w:val="20"/>
      <w:lang w:eastAsia="en-US"/>
    </w:rPr>
  </w:style>
  <w:style w:type="paragraph" w:styleId="989"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90" w:customStyle="1">
    <w:name w:val="Char Char Char Char1"/>
    <w:basedOn w:val="704"/>
    <w:uiPriority w:val="0"/>
    <w:qFormat/>
    <w:pPr>
      <w:spacing w:line="360" w:lineRule="auto"/>
    </w:pPr>
    <w:rPr>
      <w:rFonts w:ascii="Tahoma" w:hAnsi="Tahoma"/>
      <w:sz w:val="24"/>
      <w:szCs w:val="24"/>
    </w:rPr>
  </w:style>
  <w:style w:type="paragraph" w:styleId="991" w:customStyle="1">
    <w:name w:val="table_1stline"/>
    <w:basedOn w:val="688"/>
    <w:uiPriority w:val="0"/>
    <w:qFormat/>
    <w:pPr>
      <w:jc w:val="left"/>
      <w:spacing w:before="120"/>
      <w:widowControl/>
    </w:pPr>
    <w:rPr>
      <w:bCs/>
      <w:sz w:val="20"/>
      <w:szCs w:val="20"/>
      <w:lang w:val="de-DE" w:eastAsia="de-DE"/>
    </w:rPr>
  </w:style>
  <w:style w:type="paragraph" w:styleId="992"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93"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4" w:customStyle="1">
    <w:name w:val="修订1"/>
    <w:uiPriority w:val="99"/>
    <w:semiHidden/>
    <w:qFormat/>
    <w:rPr>
      <w:rFonts w:hint="default" w:ascii="Times New Roman" w:hAnsi="Times New Roman" w:eastAsia="宋体" w:cs="Times New Roman"/>
      <w:sz w:val="21"/>
      <w:szCs w:val="21"/>
    </w:rPr>
  </w:style>
  <w:style w:type="table" w:styleId="995" w:customStyle="1">
    <w:name w:val="Table Normal"/>
    <w:uiPriority w:val="0"/>
    <w:qFormat/>
    <w:tblPr>
      <w:tblCellMar>
        <w:left w:w="0" w:type="dxa"/>
        <w:top w:w="0" w:type="dxa"/>
        <w:right w:w="0" w:type="dxa"/>
        <w:bottom w:w="0" w:type="dxa"/>
      </w:tblCellMar>
    </w:tblPr>
  </w:style>
  <w:style w:type="paragraph" w:styleId="996" w:customStyle="1">
    <w:name w:val="正文文本 211"/>
    <w:basedOn w:val="688"/>
    <w:uiPriority w:val="99"/>
    <w:qFormat/>
    <w:pPr>
      <w:jc w:val="center"/>
    </w:pPr>
    <w:rPr>
      <w:b/>
      <w:bCs/>
      <w:sz w:val="20"/>
      <w:szCs w:val="20"/>
    </w:rPr>
  </w:style>
  <w:style w:type="paragraph" w:styleId="997" w:customStyle="1">
    <w:name w:val="正文文本1"/>
    <w:basedOn w:val="688"/>
    <w:uiPriority w:val="0"/>
    <w:semiHidden/>
    <w:qFormat/>
    <w:rPr>
      <w:rFonts w:ascii="Arial" w:hAnsi="Arial" w:eastAsia="Arial" w:cs="Arial"/>
      <w:szCs w:val="21"/>
      <w:lang w:eastAsia="en-US"/>
    </w:rPr>
  </w:style>
  <w:style w:type="paragraph" w:styleId="998" w:customStyle="1">
    <w:name w:val="正文文本12"/>
    <w:basedOn w:val="688"/>
    <w:uiPriority w:val="1"/>
    <w:qFormat/>
    <w:pPr>
      <w:ind w:left="120"/>
    </w:pPr>
    <w:rPr>
      <w:rFonts w:ascii="宋体" w:hAnsi="宋体" w:cs="宋体"/>
      <w:szCs w:val="21"/>
      <w:lang w:val="zh-CN" w:bidi="zh-CN"/>
    </w:rPr>
  </w:style>
  <w:style w:type="paragraph" w:styleId="999" w:customStyle="1">
    <w:name w:val="Table Text"/>
    <w:basedOn w:val="688"/>
    <w:uiPriority w:val="0"/>
    <w:semiHidden/>
    <w:qFormat/>
    <w:rPr>
      <w:rFonts w:ascii="宋体" w:hAnsi="宋体" w:cs="宋体"/>
      <w:szCs w:val="21"/>
      <w:lang w:eastAsia="en-US"/>
    </w:rPr>
  </w:style>
  <w:style w:type="table" w:styleId="1000" w:customStyle="1">
    <w:name w:val="网格型1"/>
    <w:basedOn w:val="1001"/>
    <w:uiPriority w:val="0"/>
    <w:qFormat/>
    <w:pPr>
      <w:jc w:val="both"/>
      <w:widowControl w:val="off"/>
    </w:pPr>
    <w:tblPr/>
  </w:style>
  <w:style w:type="table" w:styleId="1001" w:customStyle="1">
    <w:name w:val="普通表格1"/>
    <w:uiPriority w:val="99"/>
    <w:unhideWhenUsed/>
    <w:qFormat/>
    <w:tblPr>
      <w:tblCellMar>
        <w:left w:w="0" w:type="dxa"/>
        <w:top w:w="0" w:type="dxa"/>
        <w:right w:w="0" w:type="dxa"/>
        <w:bottom w:w="0" w:type="dxa"/>
      </w:tblCellMar>
    </w:tblPr>
  </w:style>
  <w:style w:type="character" w:styleId="1002" w:customStyle="1">
    <w:name w:val="font31"/>
    <w:uiPriority w:val="0"/>
    <w:qFormat/>
    <w:rPr>
      <w:rFonts w:hint="eastAsia" w:ascii="宋体" w:hAnsi="宋体" w:eastAsia="宋体" w:cs="宋体"/>
      <w:b/>
      <w:bCs/>
      <w:color w:val="000000"/>
      <w:sz w:val="21"/>
      <w:szCs w:val="21"/>
      <w:u w:val="none"/>
    </w:rPr>
  </w:style>
  <w:style w:type="character" w:styleId="1003" w:customStyle="1">
    <w:name w:val="font21"/>
    <w:uiPriority w:val="0"/>
    <w:qFormat/>
    <w:rPr>
      <w:rFonts w:hint="eastAsia" w:ascii="宋体" w:hAnsi="宋体" w:eastAsia="宋体" w:cs="宋体"/>
      <w:b/>
      <w:bCs/>
      <w:color w:val="000000"/>
      <w:sz w:val="21"/>
      <w:szCs w:val="21"/>
      <w:u w:val="single"/>
    </w:rPr>
  </w:style>
  <w:style w:type="paragraph" w:styleId="1004" w:customStyle="1">
    <w:name w:val="Table Paragraph"/>
    <w:basedOn w:val="688"/>
    <w:uiPriority w:val="1"/>
    <w:qFormat/>
  </w:style>
  <w:style w:type="table" w:styleId="1005" w:customStyle="1">
    <w:name w:val="Table Normal_0"/>
    <w:uiPriority w:val="0"/>
    <w:qFormat/>
    <w:tblPr>
      <w:tblCellMar>
        <w:left w:w="0" w:type="dxa"/>
        <w:top w:w="0" w:type="dxa"/>
        <w:right w:w="0" w:type="dxa"/>
        <w:bottom w:w="0" w:type="dxa"/>
      </w:tblCellMar>
    </w:tblPr>
  </w:style>
  <w:style w:type="paragraph" w:styleId="1006" w:customStyle="1">
    <w:name w:val="正文首行缩进 21"/>
    <w:basedOn w:val="1007"/>
    <w:next w:val="688"/>
    <w:uiPriority w:val="0"/>
    <w:qFormat/>
    <w:pPr>
      <w:ind w:left="0" w:firstLine="420"/>
      <w:spacing w:after="0" w:line="360" w:lineRule="auto"/>
    </w:pPr>
    <w:rPr>
      <w:rFonts w:ascii="宋体" w:hAnsi="宋体"/>
      <w:szCs w:val="20"/>
    </w:rPr>
  </w:style>
  <w:style w:type="paragraph" w:styleId="1007" w:customStyle="1">
    <w:name w:val="正文文本缩进111"/>
    <w:basedOn w:val="688"/>
    <w:next w:val="1008"/>
    <w:uiPriority w:val="0"/>
    <w:unhideWhenUsed/>
    <w:qFormat/>
    <w:pPr>
      <w:ind w:left="420"/>
      <w:spacing w:after="120"/>
    </w:pPr>
  </w:style>
  <w:style w:type="paragraph" w:styleId="1008" w:customStyle="1">
    <w:name w:val="寄信人地址11"/>
    <w:basedOn w:val="688"/>
    <w:uiPriority w:val="0"/>
    <w:qFormat/>
    <w:rPr>
      <w:rFonts w:ascii="Arial" w:hAnsi="Arial" w:cs="宋体"/>
    </w:rPr>
  </w:style>
  <w:style w:type="paragraph" w:styleId="1009" w:customStyle="1">
    <w:name w:val="正文文本11"/>
    <w:basedOn w:val="688"/>
    <w:next w:val="688"/>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numbering" w:styleId="10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星汇1</cp:lastModifiedBy>
  <cp:revision>8</cp:revision>
  <dcterms:created xsi:type="dcterms:W3CDTF">2026-04-29T06:37:00Z</dcterms:created>
  <dcterms:modified xsi:type="dcterms:W3CDTF">2026-05-08T02:10:09Z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eyJoZGlkIjoiOTU2NjlhNDEzNjQ5MDRlN2ZhNmMwOTZiY2U3Y2U0MGUiLCJ1c2VySWQiOiIyOTQ1MjQ3NjIifQ==</vt:lpwstr>
  </property>
  <property fmtid="{D5CDD505-2E9C-101B-9397-08002B2CF9AE}" pid="3" name="KSOProductBuildVer">
    <vt:lpwstr>2052-12.1.0.25865</vt:lpwstr>
  </property>
  <property fmtid="{D5CDD505-2E9C-101B-9397-08002B2CF9AE}" pid="4" name="ICV">
    <vt:lpwstr>2B923A8B9291463999E35DF1CAB40736_13</vt:lpwstr>
  </property>
</Properties>
</file>