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Toc13642114"/>
      <w:r/>
      <w:bookmarkStart w:id="1" w:name="_Toc142194265"/>
      <w:r>
        <w:rPr>
          <w:rFonts w:hint="eastAsia" w:ascii="宋体" w:hAnsi="宋体" w:cs="宋体"/>
          <w:b/>
          <w:color w:val="auto"/>
          <w:sz w:val="32"/>
          <w:highlight w:val="none"/>
        </w:rPr>
        <w:t xml:space="preserve">招标公告</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负压监护型救护车及急救设备</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2026年</w:t>
      </w:r>
      <w:r>
        <w:rPr>
          <w:rFonts w:hint="eastAsia" w:ascii="宋体" w:hAnsi="宋体"/>
          <w:color w:val="auto"/>
          <w:sz w:val="24"/>
          <w:szCs w:val="24"/>
          <w:highlight w:val="none"/>
          <w:u w:val="single"/>
          <w:lang w:eastAsia="zh-CN"/>
        </w:rPr>
        <w:t xml:space="preserve">6月9日</w:t>
      </w:r>
      <w:r>
        <w:rPr>
          <w:rFonts w:hint="eastAsia" w:ascii="宋体" w:hAnsi="宋体"/>
          <w:color w:val="auto"/>
          <w:sz w:val="24"/>
          <w:szCs w:val="24"/>
          <w:highlight w:val="none"/>
          <w:u w:val="single"/>
          <w:lang w:eastAsia="zh-CN"/>
        </w:rPr>
        <w:t xml:space="preserve">9点30分</w:t>
      </w:r>
      <w:r>
        <w:rPr>
          <w:rFonts w:hint="eastAsia" w:ascii="宋体" w:hAnsi="宋体"/>
          <w:color w:val="auto"/>
          <w:sz w:val="24"/>
          <w:szCs w:val="24"/>
          <w:highlight w:val="none"/>
        </w:rPr>
        <w:t xml:space="preserve">（北京时间）前在系统中上传电子投标文件。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2"/>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JSZC-320500-SZWK-G2026-0127</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负压监护型救护车及急救设备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p>
    <w:tbl>
      <w:tblPr>
        <w:tblStyle w:val="679"/>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437"/>
        <w:gridCol w:w="2188"/>
        <w:gridCol w:w="2189"/>
      </w:tblGrid>
      <w:tr>
        <w:trPr>
          <w:jc w:val="center"/>
          <w:trHeight w:val="659"/>
        </w:trPr>
        <w:tc>
          <w:tcPr>
            <w:tcW w:w="793" w:type="dxa"/>
            <w:vAlign w:val="center"/>
            <w:textDirection w:val="lrTb"/>
            <w:noWrap w:val="false"/>
          </w:tcPr>
          <w:p>
            <w:pPr>
              <w:pStyle w:val="780"/>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437" w:type="dxa"/>
            <w:vAlign w:val="center"/>
            <w:textDirection w:val="lrTb"/>
            <w:noWrap w:val="false"/>
          </w:tcPr>
          <w:p>
            <w:pPr>
              <w:pStyle w:val="780"/>
              <w:ind w:left="420"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采购内容</w:t>
            </w:r>
            <w:r/>
          </w:p>
        </w:tc>
        <w:tc>
          <w:tcPr>
            <w:tcW w:w="2188" w:type="dxa"/>
            <w:vAlign w:val="center"/>
            <w:textDirection w:val="lrTb"/>
            <w:noWrap w:val="false"/>
          </w:tcPr>
          <w:p>
            <w:pPr>
              <w:pStyle w:val="780"/>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预算金额（万元）</w:t>
            </w:r>
            <w:r/>
          </w:p>
        </w:tc>
        <w:tc>
          <w:tcPr>
            <w:tcW w:w="2189" w:type="dxa"/>
            <w:vAlign w:val="center"/>
            <w:textDirection w:val="lrTb"/>
            <w:noWrap w:val="false"/>
          </w:tcPr>
          <w:p>
            <w:pPr>
              <w:pStyle w:val="780"/>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最高限价（万元）</w:t>
            </w:r>
            <w:r/>
          </w:p>
        </w:tc>
      </w:tr>
      <w:tr>
        <w:trPr>
          <w:jc w:val="center"/>
          <w:trHeight w:val="659"/>
        </w:trPr>
        <w:tc>
          <w:tcPr>
            <w:tcW w:w="793" w:type="dxa"/>
            <w:vAlign w:val="center"/>
            <w:textDirection w:val="lrTb"/>
            <w:noWrap w:val="false"/>
          </w:tcPr>
          <w:p>
            <w:pPr>
              <w:pStyle w:val="780"/>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437" w:type="dxa"/>
            <w:vAlign w:val="center"/>
            <w:textDirection w:val="lrTb"/>
            <w:noWrap w:val="false"/>
          </w:tcPr>
          <w:p>
            <w:pPr>
              <w:pStyle w:val="780"/>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负压监护型救护车及急救设备</w:t>
            </w:r>
            <w:r/>
          </w:p>
        </w:tc>
        <w:tc>
          <w:tcPr>
            <w:tcW w:w="2188" w:type="dxa"/>
            <w:vAlign w:val="center"/>
            <w:textDirection w:val="lrTb"/>
            <w:noWrap w:val="false"/>
          </w:tcPr>
          <w:p>
            <w:pPr>
              <w:pStyle w:val="780"/>
              <w:ind w:firstLine="0"/>
              <w:jc w:val="center"/>
              <w:spacing w:line="320" w:lineRule="exact"/>
              <w:widowControl w:val="off"/>
              <w:tabs>
                <w:tab w:val="left" w:pos="5100" w:leader="none"/>
              </w:tabs>
              <w:rPr>
                <w:rFonts w:hint="default" w:ascii="宋体" w:hAnsi="宋体" w:eastAsia="宋体"/>
                <w:color w:val="auto"/>
                <w:sz w:val="24"/>
                <w:szCs w:val="24"/>
                <w:highlight w:val="none"/>
                <w:lang w:val="en-US"/>
              </w:rPr>
            </w:pPr>
            <w:r>
              <w:rPr>
                <w:rFonts w:hint="eastAsia" w:ascii="宋体" w:hAnsi="宋体"/>
                <w:color w:val="auto"/>
                <w:sz w:val="24"/>
                <w:szCs w:val="24"/>
                <w:highlight w:val="none"/>
                <w:lang w:val="en-US" w:eastAsia="zh-CN"/>
              </w:rPr>
              <w:t xml:space="preserve">200</w:t>
            </w:r>
            <w:r/>
          </w:p>
        </w:tc>
        <w:tc>
          <w:tcPr>
            <w:tcW w:w="2189" w:type="dxa"/>
            <w:vAlign w:val="center"/>
            <w:textDirection w:val="lrTb"/>
            <w:noWrap w:val="false"/>
          </w:tcPr>
          <w:p>
            <w:pPr>
              <w:pStyle w:val="780"/>
              <w:ind w:firstLine="0"/>
              <w:jc w:val="center"/>
              <w:spacing w:line="320" w:lineRule="exact"/>
              <w:widowControl w:val="off"/>
              <w:tabs>
                <w:tab w:val="left" w:pos="5100" w:leader="none"/>
              </w:tabs>
              <w:rPr>
                <w:rFonts w:hint="default" w:ascii="宋体" w:hAnsi="宋体" w:eastAsia="宋体"/>
                <w:color w:val="auto"/>
                <w:sz w:val="24"/>
                <w:szCs w:val="24"/>
                <w:highlight w:val="none"/>
                <w:lang w:val="en-US"/>
              </w:rPr>
            </w:pPr>
            <w:r>
              <w:rPr>
                <w:rFonts w:hint="eastAsia" w:ascii="宋体" w:hAnsi="宋体"/>
                <w:color w:val="auto"/>
                <w:sz w:val="24"/>
                <w:szCs w:val="24"/>
                <w:highlight w:val="none"/>
                <w:lang w:val="en-US" w:eastAsia="zh-CN"/>
              </w:rPr>
              <w:t xml:space="preserve">200</w:t>
            </w:r>
            <w:r/>
          </w:p>
        </w:tc>
      </w:tr>
    </w:tbl>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s="宋体"/>
          <w:color w:val="auto"/>
          <w:sz w:val="24"/>
          <w:szCs w:val="24"/>
          <w:highlight w:val="none"/>
        </w:rPr>
        <w:t xml:space="preserve">救护车内含心电图机、除颤监护仪、呼吸机等。</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（1）交货期限：改装及设备部分在合同签订后15日内交货。</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（2）质保期要求：投标人提供底盘车辆提供不低于二年或五万公里的保修标准（以先到者为准）。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（3）验收标准：按照采购文件要求及国家最新行业标准进行验收。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w:t>
      </w:r>
      <w:r>
        <w:rPr>
          <w:rFonts w:hint="eastAsia" w:ascii="宋体" w:hAnsi="宋体" w:cs="宋体"/>
          <w:color w:val="auto"/>
          <w:sz w:val="24"/>
          <w:szCs w:val="24"/>
          <w:highlight w:val="none"/>
          <w:lang w:val="en-US" w:eastAsia="zh-CN"/>
        </w:rPr>
        <w:t xml:space="preserve">不</w:t>
      </w:r>
      <w:r>
        <w:rPr>
          <w:rFonts w:hint="eastAsia" w:ascii="宋体" w:hAnsi="宋体" w:cs="宋体"/>
          <w:color w:val="auto"/>
          <w:sz w:val="24"/>
          <w:szCs w:val="24"/>
          <w:highlight w:val="none"/>
        </w:rPr>
        <w:t xml:space="preserve">接受进口产品投标。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8、本项目专门面向中小企业，项目所属行业为工业。</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numPr>
          <w:ilvl w:val="0"/>
          <w:numId w:val="3"/>
        </w:num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w:t>
      </w:r>
      <w:r/>
    </w:p>
    <w:p>
      <w:pPr>
        <w:ind w:firstLine="480"/>
        <w:rPr>
          <w:rFonts w:hint="eastAsia"/>
          <w:color w:val="auto"/>
        </w:rPr>
      </w:pPr>
      <w:r>
        <w:rPr>
          <w:rFonts w:hint="eastAsia" w:ascii="宋体" w:hAnsi="宋体" w:cs="宋体"/>
          <w:color w:val="auto"/>
          <w:sz w:val="24"/>
          <w:szCs w:val="24"/>
          <w:highlight w:val="none"/>
          <w:u w:val="single"/>
        </w:rPr>
        <w:t xml:space="preserve">专门面向中小企业采购（投标产品生产厂家必须为中小微企业或残疾人福利性单位或监狱企业，并在投标文件中提供相关声明函或监狱企业证明文件，否则为无效投标），所属行业为工业。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本项目的特定资格要求：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具有所投医疗设备产品经营许可资格。</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lang w:eastAsia="zh-CN"/>
        </w:rPr>
        <w:t xml:space="preserve">2026年6月9日9点30分</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lang w:eastAsia="zh-CN"/>
        </w:rPr>
        <w:t xml:space="preserve">2026年6月9日9点30分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苏州市急救中心</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周振华</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0512-68707169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联系方式：0512-69165625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项目联系人：陈璐佳、李晶晶</w:t>
      </w:r>
      <w:r/>
    </w:p>
    <w:p>
      <w:pPr>
        <w:pStyle w:val="77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电话：0512-69165615</w:t>
      </w:r>
      <w:r/>
    </w:p>
    <w:p>
      <w:pPr>
        <w:pStyle w:val="770"/>
        <w:ind w:right="-625" w:firstLine="4560"/>
        <w:jc w:val="righ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苏州市卫康招投标咨询服务有限公司</w:t>
      </w:r>
      <w:r/>
    </w:p>
    <w:p>
      <w:pPr>
        <w:rPr>
          <w:rFonts w:ascii="宋体" w:hAnsi="宋体"/>
          <w:color w:val="auto"/>
          <w:sz w:val="24"/>
          <w:szCs w:val="24"/>
          <w:highlight w:val="none"/>
        </w:rPr>
      </w:pPr>
      <w:r>
        <w:rPr>
          <w:rFonts w:ascii="宋体" w:hAnsi="宋体"/>
          <w:color w:val="auto"/>
          <w:sz w:val="24"/>
          <w:szCs w:val="24"/>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ind w:firstLine="1800"/>
        <w:spacing w:line="480" w:lineRule="auto"/>
        <w:rPr>
          <w:rFonts w:hint="eastAsia" w:ascii="宋体" w:hAnsi="宋体" w:eastAsia="宋体"/>
          <w:color w:val="auto"/>
          <w:sz w:val="30"/>
          <w:szCs w:val="30"/>
          <w:highlight w:val="none"/>
        </w:rPr>
      </w:pP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JSZC-320500-SZWK-G2026-0127</w:t>
      </w:r>
      <w:r/>
    </w:p>
    <w:p>
      <w:pPr>
        <w:ind w:firstLine="1800"/>
        <w:spacing w:line="480" w:lineRule="auto"/>
        <w:rPr>
          <w:rFonts w:hint="eastAsia"/>
          <w:color w:val="auto"/>
          <w:sz w:val="30"/>
          <w:szCs w:val="30"/>
          <w:highlight w:val="none"/>
        </w:rPr>
      </w:pPr>
      <w:r>
        <w:rPr>
          <w:rFonts w:hint="eastAsia"/>
          <w:color w:val="auto"/>
          <w:sz w:val="30"/>
          <w:szCs w:val="30"/>
          <w:highlight w:val="none"/>
        </w:rPr>
        <w:t xml:space="preserve">采购项目：</w:t>
      </w:r>
      <w:r>
        <w:rPr>
          <w:rFonts w:hint="eastAsia"/>
          <w:color w:val="auto"/>
          <w:sz w:val="30"/>
          <w:szCs w:val="30"/>
          <w:highlight w:val="none"/>
          <w:lang w:eastAsia="zh-CN"/>
        </w:rPr>
        <w:t xml:space="preserve">负压监护型救护车及急救设备</w:t>
      </w:r>
      <w:r/>
    </w:p>
    <w:p>
      <w:pPr>
        <w:ind w:firstLine="1800"/>
        <w:spacing w:line="480" w:lineRule="auto"/>
        <w:rPr>
          <w:rFonts w:hint="eastAsia" w:ascii="宋体" w:hAnsi="宋体" w:eastAsia="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苏州市急救中心</w:t>
      </w:r>
      <w:r/>
    </w:p>
    <w:p>
      <w:pPr>
        <w:ind w:right="-159"/>
        <w:spacing w:line="480" w:lineRule="auto"/>
        <w:rPr>
          <w:rFonts w:ascii="宋体" w:hAnsi="宋体"/>
          <w:color w:val="auto"/>
          <w:sz w:val="30"/>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ind w:firstLine="600"/>
        <w:rPr>
          <w:rFonts w:ascii="宋体" w:hAnsi="宋体"/>
          <w:color w:val="auto"/>
          <w:sz w:val="30"/>
          <w:highlight w:val="none"/>
        </w:rPr>
      </w:pPr>
      <w:r>
        <w:rPr>
          <w:rFonts w:ascii="宋体" w:hAnsi="宋体"/>
          <w:color w:val="auto"/>
          <w:sz w:val="30"/>
          <w:highlight w:val="none"/>
        </w:rPr>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szCs w:val="30"/>
          <w:highlight w:val="none"/>
        </w:rPr>
      </w:pPr>
      <w:r>
        <w:rPr>
          <w:rFonts w:ascii="宋体" w:hAnsi="宋体"/>
          <w:color w:val="auto"/>
          <w:sz w:val="30"/>
          <w:szCs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color w:val="auto"/>
          <w:sz w:val="30"/>
          <w:highlight w:val="none"/>
        </w:rPr>
      </w:pPr>
      <w:r>
        <w:rPr>
          <w:rFonts w:hint="eastAsia" w:ascii="宋体" w:hAnsi="宋体"/>
          <w:color w:val="auto"/>
          <w:sz w:val="30"/>
          <w:highlight w:val="none"/>
        </w:rPr>
      </w:r>
      <w:r/>
    </w:p>
    <w:p>
      <w:pPr>
        <w:jc w:val="center"/>
        <w:spacing w:line="300" w:lineRule="auto"/>
        <w:rPr>
          <w:rFonts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五</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679"/>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vAlign w:val="top"/>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JSZC-320500-SZWK-G2026-0127</w:t>
            </w:r>
            <w:r/>
          </w:p>
        </w:tc>
      </w:tr>
      <w:tr>
        <w:trPr>
          <w:jc w:val="center"/>
        </w:trPr>
        <w:tc>
          <w:tcPr>
            <w:tcW w:w="791" w:type="dxa"/>
            <w:vAlign w:val="center"/>
            <w:textDirection w:val="lrTb"/>
            <w:noWrap/>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tcPr>
          <w:p>
            <w:pPr>
              <w:pStyle w:val="770"/>
              <w:ind w:left="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负压监护型救护车及急救设备</w:t>
            </w:r>
            <w:r/>
          </w:p>
        </w:tc>
      </w:tr>
      <w:tr>
        <w:trPr>
          <w:jc w:val="center"/>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tcPr>
          <w:p>
            <w:pPr>
              <w:jc w:val="center"/>
              <w:spacing w:line="400" w:lineRule="exact"/>
              <w:tabs>
                <w:tab w:val="left" w:pos="3600" w:leader="none"/>
              </w:tabs>
              <w:rPr>
                <w:rFonts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tcPr>
          <w:p>
            <w:pPr>
              <w:pStyle w:val="770"/>
              <w:ind w:left="0"/>
              <w:spacing w:line="360" w:lineRule="exact"/>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lang w:eastAsia="zh-CN"/>
              </w:rPr>
              <w:t xml:space="preserve">苏州市急救中心</w:t>
            </w:r>
            <w:r/>
          </w:p>
          <w:p>
            <w:pPr>
              <w:spacing w:line="360" w:lineRule="exact"/>
              <w:tabs>
                <w:tab w:val="left" w:pos="3600" w:leader="none"/>
              </w:tabs>
              <w:rPr>
                <w:rFonts w:hint="eastAsia" w:ascii="宋体" w:hAnsi="宋体" w:eastAsia="宋体"/>
                <w:color w:val="auto"/>
                <w:szCs w:val="21"/>
                <w:highlight w:val="none"/>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周振华</w:t>
            </w:r>
            <w:r>
              <w:rPr>
                <w:rFonts w:hint="eastAsia" w:ascii="宋体" w:hAnsi="宋体"/>
                <w:color w:val="auto"/>
                <w:szCs w:val="21"/>
                <w:highlight w:val="none"/>
              </w:rPr>
              <w:t xml:space="preserve">            联系电话：</w:t>
            </w:r>
            <w:r>
              <w:rPr>
                <w:rFonts w:hint="eastAsia" w:ascii="宋体" w:hAnsi="宋体"/>
                <w:color w:val="auto"/>
                <w:szCs w:val="21"/>
                <w:highlight w:val="none"/>
                <w:lang w:eastAsia="zh-CN"/>
              </w:rPr>
              <w:t xml:space="preserve">0512-68707169</w:t>
            </w:r>
            <w:r/>
          </w:p>
        </w:tc>
      </w:tr>
      <w:tr>
        <w:trPr>
          <w:jc w:val="center"/>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邮编：</w:t>
            </w:r>
            <w:r>
              <w:rPr>
                <w:rFonts w:hint="eastAsia" w:ascii="宋体" w:hAnsi="宋体"/>
                <w:color w:val="auto"/>
                <w:szCs w:val="21"/>
                <w:highlight w:val="none"/>
              </w:rPr>
              <w:t xml:space="preserve">215000</w:t>
            </w:r>
            <w:r/>
          </w:p>
          <w:p>
            <w:pPr>
              <w:spacing w:line="400" w:lineRule="exact"/>
              <w:rPr>
                <w:rFonts w:hint="eastAsia" w:ascii="宋体" w:hAnsi="宋体" w:eastAsia="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tcPr>
          <w:p>
            <w:pPr>
              <w:spacing w:line="36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tcPr>
          <w:p>
            <w:pPr>
              <w:pStyle w:val="770"/>
              <w:jc w:val="center"/>
              <w:spacing w:line="44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tcPr>
          <w:p>
            <w:pPr>
              <w:spacing w:line="400" w:lineRule="exact"/>
              <w:rPr>
                <w:rFonts w:ascii="宋体" w:hAnsi="宋体"/>
                <w:bCs/>
                <w:color w:val="auto"/>
                <w:szCs w:val="21"/>
                <w:highlight w:val="none"/>
              </w:rPr>
            </w:pPr>
            <w:r>
              <w:rPr>
                <w:rFonts w:hint="eastAsia" w:ascii="宋体" w:hAnsi="宋体"/>
                <w:color w:val="auto"/>
                <w:szCs w:val="21"/>
                <w:highlight w:val="none"/>
                <w:lang w:val="zh-CN"/>
              </w:rPr>
              <w:t xml:space="preserve">自招标公告发布之日起五个工作日</w:t>
            </w:r>
            <w:r/>
          </w:p>
        </w:tc>
      </w:tr>
      <w:tr>
        <w:trPr>
          <w:jc w:val="center"/>
          <w:trHeight w:val="480"/>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供应商应充分考虑网络环境、网络带宽等风险因素，如因供应商自身原因造成的电子投标文件上传不成功由供应商自行承担全部责任。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tcPr>
          <w:p>
            <w:pPr>
              <w:spacing w:line="400" w:lineRule="exact"/>
              <w:rPr>
                <w:rFonts w:hint="eastAsia" w:ascii="宋体" w:hAnsi="宋体" w:eastAsia="宋体"/>
                <w:color w:val="auto"/>
                <w:szCs w:val="21"/>
                <w:highlight w:val="none"/>
              </w:rPr>
            </w:pPr>
            <w:r>
              <w:rPr>
                <w:rFonts w:hint="eastAsia" w:ascii="宋体" w:hAnsi="宋体"/>
                <w:color w:val="auto"/>
                <w:szCs w:val="21"/>
                <w:highlight w:val="none"/>
                <w:lang w:eastAsia="zh-CN"/>
              </w:rPr>
              <w:t xml:space="preserve">2026年6月9日9点30分</w:t>
            </w:r>
            <w:r/>
          </w:p>
        </w:tc>
      </w:tr>
      <w:tr>
        <w:trPr>
          <w:jc w:val="center"/>
          <w:trHeight w:val="489"/>
        </w:trPr>
        <w:tc>
          <w:tcPr>
            <w:tcW w:w="791"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694" w:type="dxa"/>
            <w:vAlign w:val="center"/>
            <w:textDirection w:val="lrTb"/>
            <w:noWrap/>
          </w:tcPr>
          <w:p>
            <w:pPr>
              <w:spacing w:line="400" w:lineRule="exact"/>
              <w:rPr>
                <w:rFonts w:hint="eastAsia" w:ascii="宋体" w:hAnsi="宋体" w:eastAsia="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eastAsia="zh-CN"/>
              </w:rPr>
              <w:t xml:space="preserve">2026年6月9日9点30分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tcPr>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注：本项目中标服务费为人民币</w:t>
            </w:r>
            <w:r>
              <w:rPr>
                <w:rFonts w:hint="eastAsia" w:ascii="宋体" w:hAnsi="宋体"/>
                <w:color w:val="auto"/>
                <w:szCs w:val="21"/>
                <w:highlight w:val="none"/>
                <w:lang w:val="en-US" w:eastAsia="zh-CN"/>
              </w:rPr>
              <w:t xml:space="preserve">贰万陆仟元整</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26000.00</w:t>
            </w:r>
            <w:r>
              <w:rPr>
                <w:rFonts w:hint="eastAsia" w:ascii="宋体" w:hAnsi="宋体"/>
                <w:color w:val="auto"/>
                <w:szCs w:val="21"/>
                <w:highlight w:val="none"/>
                <w:lang w:val="zh-CN"/>
              </w:rPr>
              <w:t xml:space="preserve">）；请各供应商在投标报价时综合考虑</w:t>
            </w:r>
            <w:r/>
          </w:p>
        </w:tc>
      </w:tr>
      <w:tr>
        <w:trPr>
          <w:jc w:val="center"/>
          <w:trHeight w:val="349"/>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tcPr>
          <w:p>
            <w:pPr>
              <w:jc w:val="center"/>
              <w:spacing w:line="400" w:lineRule="exact"/>
              <w:rPr>
                <w:rFonts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ascii="宋体" w:hAnsi="宋体"/>
          <w:color w:val="auto"/>
          <w:sz w:val="52"/>
          <w:highlight w:val="none"/>
        </w:rPr>
      </w:pPr>
      <w:r>
        <w:rPr>
          <w:rFonts w:ascii="宋体" w:hAnsi="宋体"/>
          <w:color w:val="auto"/>
          <w:sz w:val="52"/>
          <w:highlight w:val="none"/>
        </w:rPr>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16"/>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jc w:val="center"/>
        <w:rPr>
          <w:rFonts w:ascii="宋体" w:hAnsi="宋体"/>
          <w:color w:val="auto"/>
          <w:sz w:val="52"/>
          <w:highlight w:val="none"/>
        </w:rPr>
      </w:pPr>
      <w:r>
        <w:rPr>
          <w:rFonts w:ascii="宋体" w:hAnsi="宋体"/>
          <w:color w:val="auto"/>
          <w:sz w:val="52"/>
          <w:highlight w:val="none"/>
        </w:rPr>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合同一般条款</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ascii="宋体" w:hAnsi="宋体"/>
          <w:color w:val="auto"/>
          <w:sz w:val="52"/>
          <w:highlight w:val="none"/>
        </w:rPr>
      </w:pPr>
      <w:r>
        <w:rPr>
          <w:rFonts w:hint="eastAsia" w:ascii="宋体" w:hAnsi="宋体"/>
          <w:color w:val="auto"/>
          <w:sz w:val="36"/>
          <w:szCs w:val="36"/>
          <w:highlight w:val="none"/>
        </w:rPr>
        <w:t xml:space="preserve">第七章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苏州市卫康招投标咨询服务有限公司受苏州市急救中心委托，对其负压监护型救护车及急救设备进行国内公开招标采购，欢迎符合招标公告投标资格条件的各公司前来报名参加投标。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1、采购编号：JSZC-320500-SZWK-G2026-0127</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2、采购项目名称：负压监护型救护车及急救设备</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3、采购预算及最高限价：</w:t>
      </w:r>
      <w:r/>
    </w:p>
    <w:tbl>
      <w:tblPr>
        <w:tblStyle w:val="679"/>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3775"/>
        <w:gridCol w:w="2013"/>
        <w:gridCol w:w="1982"/>
      </w:tblGrid>
      <w:tr>
        <w:trPr>
          <w:jc w:val="center"/>
          <w:trHeight w:val="630"/>
        </w:trPr>
        <w:tc>
          <w:tcPr>
            <w:tcW w:w="1208" w:type="dxa"/>
            <w:vAlign w:val="center"/>
            <w:textDirection w:val="lrTb"/>
            <w:noWrap w:val="false"/>
          </w:tcPr>
          <w:p>
            <w:pPr>
              <w:pStyle w:val="780"/>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3775" w:type="dxa"/>
            <w:vAlign w:val="center"/>
            <w:textDirection w:val="lrTb"/>
            <w:noWrap w:val="false"/>
          </w:tcPr>
          <w:p>
            <w:pPr>
              <w:pStyle w:val="780"/>
              <w:ind w:left="420"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采购内容</w:t>
            </w:r>
            <w:r/>
          </w:p>
        </w:tc>
        <w:tc>
          <w:tcPr>
            <w:tcW w:w="2013" w:type="dxa"/>
            <w:vAlign w:val="center"/>
            <w:textDirection w:val="lrTb"/>
            <w:noWrap w:val="false"/>
          </w:tcPr>
          <w:p>
            <w:pPr>
              <w:pStyle w:val="780"/>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预算金额（万元）</w:t>
            </w:r>
            <w:r/>
          </w:p>
        </w:tc>
        <w:tc>
          <w:tcPr>
            <w:tcW w:w="1982" w:type="dxa"/>
            <w:vAlign w:val="center"/>
            <w:textDirection w:val="lrTb"/>
            <w:noWrap w:val="false"/>
          </w:tcPr>
          <w:p>
            <w:pPr>
              <w:pStyle w:val="780"/>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最高限价（万元）</w:t>
            </w:r>
            <w:r/>
          </w:p>
        </w:tc>
      </w:tr>
      <w:tr>
        <w:trPr>
          <w:jc w:val="center"/>
          <w:trHeight w:val="630"/>
        </w:trPr>
        <w:tc>
          <w:tcPr>
            <w:tcW w:w="1208" w:type="dxa"/>
            <w:vAlign w:val="center"/>
            <w:textDirection w:val="lrTb"/>
            <w:noWrap w:val="false"/>
          </w:tcPr>
          <w:p>
            <w:pPr>
              <w:pStyle w:val="780"/>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3775" w:type="dxa"/>
            <w:vAlign w:val="center"/>
            <w:textDirection w:val="lrTb"/>
            <w:noWrap w:val="false"/>
          </w:tcPr>
          <w:p>
            <w:pPr>
              <w:pStyle w:val="780"/>
              <w:ind w:left="420"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负压监护型救护车及急救设备</w:t>
            </w:r>
            <w:r/>
          </w:p>
        </w:tc>
        <w:tc>
          <w:tcPr>
            <w:tcW w:w="2013" w:type="dxa"/>
            <w:vAlign w:val="center"/>
            <w:textDirection w:val="lrTb"/>
            <w:noWrap w:val="false"/>
          </w:tcPr>
          <w:p>
            <w:pPr>
              <w:pStyle w:val="780"/>
              <w:ind w:firstLine="0"/>
              <w:jc w:val="center"/>
              <w:spacing w:line="320" w:lineRule="exact"/>
              <w:widowControl w:val="off"/>
              <w:tabs>
                <w:tab w:val="left" w:pos="5100" w:leader="none"/>
              </w:tabs>
              <w:rPr>
                <w:rFonts w:hint="default" w:ascii="宋体" w:hAnsi="宋体" w:eastAsia="宋体"/>
                <w:color w:val="auto"/>
                <w:sz w:val="21"/>
                <w:szCs w:val="21"/>
                <w:highlight w:val="none"/>
                <w:lang w:val="en-US"/>
              </w:rPr>
            </w:pPr>
            <w:r>
              <w:rPr>
                <w:rFonts w:hint="eastAsia" w:ascii="宋体" w:hAnsi="宋体"/>
                <w:color w:val="auto"/>
                <w:sz w:val="21"/>
                <w:szCs w:val="21"/>
                <w:highlight w:val="none"/>
                <w:lang w:val="en-US" w:eastAsia="zh-CN"/>
              </w:rPr>
              <w:t xml:space="preserve">200</w:t>
            </w:r>
            <w:r/>
          </w:p>
        </w:tc>
        <w:tc>
          <w:tcPr>
            <w:tcW w:w="1982" w:type="dxa"/>
            <w:vAlign w:val="center"/>
            <w:textDirection w:val="lrTb"/>
            <w:noWrap w:val="false"/>
          </w:tcPr>
          <w:p>
            <w:pPr>
              <w:pStyle w:val="780"/>
              <w:ind w:firstLine="0"/>
              <w:jc w:val="center"/>
              <w:spacing w:line="320" w:lineRule="exact"/>
              <w:widowControl w:val="off"/>
              <w:tabs>
                <w:tab w:val="left" w:pos="5100" w:leader="none"/>
              </w:tabs>
              <w:rPr>
                <w:rFonts w:hint="default" w:ascii="宋体" w:hAnsi="宋体" w:eastAsia="宋体"/>
                <w:color w:val="auto"/>
                <w:sz w:val="21"/>
                <w:szCs w:val="21"/>
                <w:highlight w:val="none"/>
                <w:lang w:val="en-US"/>
              </w:rPr>
            </w:pPr>
            <w:r>
              <w:rPr>
                <w:rFonts w:hint="eastAsia" w:ascii="宋体" w:hAnsi="宋体"/>
                <w:color w:val="auto"/>
                <w:sz w:val="21"/>
                <w:szCs w:val="21"/>
                <w:highlight w:val="none"/>
                <w:lang w:val="en-US" w:eastAsia="zh-CN"/>
              </w:rPr>
              <w:t xml:space="preserve">200</w:t>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5、网上获取截止时间：自招标公告发布之日起五个工作日</w:t>
      </w:r>
      <w:r/>
    </w:p>
    <w:p>
      <w:pPr>
        <w:ind w:right="-159" w:firstLine="420"/>
        <w:spacing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2026年6月9日9点30分</w:t>
      </w:r>
      <w:r/>
    </w:p>
    <w:p>
      <w:pPr>
        <w:ind w:right="-159" w:firstLine="420"/>
        <w:spacing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2026年6月9日9点30分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（1）采购人：苏州市急救中心</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联系人：周振华             联系电话：0512-68707169</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联系人：陈璐佳、李晶晶      联系电话：0512-69165615</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70"/>
        <w:ind w:firstLine="420"/>
        <w:jc w:val="right"/>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3" w:name="_Hlk99527734"/>
      <w:r>
        <w:rPr>
          <w:rFonts w:hint="eastAsia" w:ascii="宋体" w:hAnsi="宋体"/>
          <w:b/>
          <w:bCs/>
          <w:color w:val="auto"/>
          <w:sz w:val="32"/>
          <w:highlight w:val="none"/>
        </w:rPr>
        <w:t xml:space="preserve">第二章 投标人须知</w:t>
      </w:r>
      <w:r/>
    </w:p>
    <w:p>
      <w:pPr>
        <w:rPr>
          <w:rFonts w:ascii="宋体" w:hAnsi="宋体"/>
          <w:b/>
          <w:bCs/>
          <w:color w:val="auto"/>
          <w:sz w:val="24"/>
          <w:highlight w:val="none"/>
        </w:rPr>
      </w:pPr>
      <w:r>
        <w:rPr>
          <w:rFonts w:ascii="宋体" w:hAnsi="宋体"/>
          <w:b/>
          <w:bCs/>
          <w:color w:val="auto"/>
          <w:sz w:val="24"/>
          <w:highlight w:val="none"/>
        </w:rPr>
      </w:r>
      <w:r/>
    </w:p>
    <w:p>
      <w:pPr>
        <w:ind w:firstLine="422"/>
        <w:spacing w:line="440" w:lineRule="exact"/>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none"/>
          <w:lang w:val="zh-CN"/>
        </w:rPr>
        <w:t xml:space="preserve">其他义务</w:t>
      </w:r>
      <w:r>
        <w:rPr>
          <w:rFonts w:ascii="宋体" w:hAnsi="宋体"/>
          <w:color w:val="auto"/>
          <w:szCs w:val="21"/>
          <w:highlight w:val="none"/>
          <w:lang w:val="zh-CN"/>
        </w:rPr>
        <w:t xml:space="preserve">。</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2"/>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3.2供应商应当具备的特定资格要求：</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3.2.1具有所投医疗设备产品经营许可资格。</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3.2.2专门面向中小企业采购（投标产品生产厂家必须为中小微企业或残疾人福利性单位或监狱企业，并在投标文件中提供相关声明函或监狱企业证明文件，否则为无效投标），所属行业为工业。</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季女士（前台）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13.1</w:t>
      </w:r>
      <w:r>
        <w:rPr>
          <w:rFonts w:hint="eastAsia" w:ascii="Calibri" w:hAnsi="Calibri" w:cs="宋体"/>
          <w:b/>
          <w:bCs/>
          <w:color w:val="auto"/>
          <w:szCs w:val="21"/>
          <w:highlight w:val="none"/>
        </w:rPr>
        <w:t xml:space="preserve">封面</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13.2</w:t>
      </w:r>
      <w:r>
        <w:rPr>
          <w:rFonts w:hint="eastAsia" w:ascii="Calibri" w:hAnsi="Calibri" w:cs="宋体"/>
          <w:b/>
          <w:bCs/>
          <w:color w:val="auto"/>
          <w:szCs w:val="21"/>
          <w:highlight w:val="none"/>
        </w:rPr>
        <w:t xml:space="preserve">开标一览表</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3</w:t>
      </w:r>
      <w:r>
        <w:rPr>
          <w:rFonts w:hint="eastAsia" w:ascii="Calibri" w:hAnsi="Calibri" w:cs="宋体"/>
          <w:b/>
          <w:bCs/>
          <w:color w:val="auto"/>
          <w:szCs w:val="21"/>
          <w:highlight w:val="none"/>
        </w:rPr>
        <w:t xml:space="preserve">资格审查响应文件</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1</w:t>
      </w:r>
      <w:r>
        <w:rPr>
          <w:rFonts w:hint="eastAsia" w:ascii="Calibri" w:hAnsi="Calibri" w:cs="宋体"/>
          <w:color w:val="auto"/>
          <w:szCs w:val="21"/>
          <w:highlight w:val="none"/>
        </w:rPr>
        <w:t xml:space="preserve">）投标函、关于资格条件的声明函（格式见第三章）；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2</w:t>
      </w:r>
      <w:r>
        <w:rPr>
          <w:rFonts w:hint="eastAsia" w:ascii="Calibri" w:hAnsi="Calibri" w:cs="宋体"/>
          <w:color w:val="auto"/>
          <w:szCs w:val="21"/>
          <w:highlight w:val="none"/>
        </w:rPr>
        <w:t xml:space="preserve">）投标人情况表（格式见第三章）；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3</w:t>
      </w:r>
      <w:r>
        <w:rPr>
          <w:rFonts w:hint="eastAsia" w:ascii="Calibri" w:hAnsi="Calibri" w:cs="宋体"/>
          <w:color w:val="auto"/>
          <w:szCs w:val="21"/>
          <w:highlight w:val="none"/>
        </w:rPr>
        <w:t xml:space="preserve">）合格供应商的资格条件</w:t>
      </w:r>
      <w:r/>
    </w:p>
    <w:p>
      <w:pPr>
        <w:ind w:firstLine="420"/>
        <w:spacing w:line="400" w:lineRule="exact"/>
        <w:rPr>
          <w:color w:val="auto"/>
          <w:szCs w:val="21"/>
          <w:highlight w:val="none"/>
        </w:rPr>
      </w:pPr>
      <w:r>
        <w:rPr>
          <w:rFonts w:ascii="Calibri" w:hAnsi="Calibri"/>
          <w:color w:val="auto"/>
          <w:szCs w:val="21"/>
          <w:highlight w:val="none"/>
        </w:rPr>
        <w:t xml:space="preserve">3.1</w:t>
      </w:r>
      <w:r>
        <w:rPr>
          <w:rFonts w:hint="eastAsia" w:ascii="Calibri" w:hAnsi="Calibri" w:cs="宋体"/>
          <w:color w:val="auto"/>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ascii="Calibri" w:hAnsi="Calibri"/>
          <w:color w:val="auto"/>
          <w:szCs w:val="21"/>
          <w:highlight w:val="none"/>
        </w:rPr>
        <w:t xml:space="preserve">3.2</w:t>
      </w:r>
      <w:r>
        <w:rPr>
          <w:rFonts w:hint="eastAsia" w:ascii="Calibri" w:hAnsi="Calibri" w:cs="宋体"/>
          <w:color w:val="auto"/>
          <w:szCs w:val="21"/>
          <w:highlight w:val="none"/>
        </w:rPr>
        <w:t xml:space="preserve">良好的商业信誉和健全的财务会计制度证明的相关材料（包括但不限于最近一期经审计的财务报告复印件或银行出具的资信证明原件的扫描件）；</w:t>
      </w:r>
      <w:r/>
    </w:p>
    <w:p>
      <w:pPr>
        <w:ind w:firstLine="420"/>
        <w:spacing w:line="400" w:lineRule="exact"/>
        <w:rPr>
          <w:color w:val="auto"/>
          <w:szCs w:val="21"/>
          <w:highlight w:val="none"/>
        </w:rPr>
      </w:pPr>
      <w:r>
        <w:rPr>
          <w:rFonts w:ascii="Calibri" w:hAnsi="Calibri"/>
          <w:color w:val="auto"/>
          <w:szCs w:val="21"/>
          <w:highlight w:val="none"/>
        </w:rPr>
        <w:t xml:space="preserve">3.3</w:t>
      </w:r>
      <w:r>
        <w:rPr>
          <w:rFonts w:hint="eastAsia" w:ascii="Calibri" w:hAnsi="Calibri" w:cs="宋体"/>
          <w:color w:val="auto"/>
          <w:szCs w:val="21"/>
          <w:highlight w:val="none"/>
        </w:rPr>
        <w:t xml:space="preserve">有依法缴纳税收和社会保障资金的良好记录的相关材料；</w:t>
      </w:r>
      <w:r/>
    </w:p>
    <w:p>
      <w:pPr>
        <w:ind w:firstLine="420"/>
        <w:spacing w:line="400" w:lineRule="exact"/>
        <w:rPr>
          <w:color w:val="auto"/>
          <w:szCs w:val="21"/>
          <w:highlight w:val="none"/>
        </w:rPr>
      </w:pPr>
      <w:r>
        <w:rPr>
          <w:rFonts w:ascii="Calibri" w:hAnsi="Calibri"/>
          <w:color w:val="auto"/>
          <w:szCs w:val="21"/>
          <w:highlight w:val="none"/>
        </w:rPr>
        <w:t xml:space="preserve">3.4</w:t>
      </w:r>
      <w:r>
        <w:rPr>
          <w:rFonts w:hint="eastAsia" w:ascii="Calibri" w:hAnsi="Calibri" w:cs="宋体"/>
          <w:color w:val="auto"/>
          <w:szCs w:val="21"/>
          <w:highlight w:val="none"/>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hint="eastAsia" w:ascii="Calibri" w:hAnsi="Calibri" w:cs="宋体"/>
          <w:color w:val="auto"/>
          <w:szCs w:val="21"/>
          <w:highlight w:val="none"/>
        </w:rPr>
      </w:pPr>
      <w:r>
        <w:rPr>
          <w:rFonts w:ascii="Calibri" w:hAnsi="Calibri"/>
          <w:color w:val="auto"/>
          <w:szCs w:val="21"/>
          <w:highlight w:val="none"/>
        </w:rPr>
        <w:t xml:space="preserve">3.5</w:t>
      </w:r>
      <w:r>
        <w:rPr>
          <w:rFonts w:hint="eastAsia" w:ascii="Calibri" w:hAnsi="Calibri" w:cs="宋体"/>
          <w:color w:val="auto"/>
          <w:szCs w:val="21"/>
          <w:highlight w:val="none"/>
        </w:rPr>
        <w:t xml:space="preserve">参加政府采购活动前</w:t>
      </w:r>
      <w:r>
        <w:rPr>
          <w:rFonts w:ascii="Calibri" w:hAnsi="Calibri"/>
          <w:color w:val="auto"/>
          <w:szCs w:val="21"/>
          <w:highlight w:val="none"/>
        </w:rPr>
        <w:t xml:space="preserve">3</w:t>
      </w:r>
      <w:r>
        <w:rPr>
          <w:rFonts w:hint="eastAsia" w:ascii="Calibri" w:hAnsi="Calibri" w:cs="宋体"/>
          <w:color w:val="auto"/>
          <w:szCs w:val="21"/>
          <w:highlight w:val="none"/>
        </w:rPr>
        <w:t xml:space="preserve">年内在经营活动中没有重大违法记录的书面声明加盖公章；</w:t>
      </w:r>
      <w:r/>
    </w:p>
    <w:p>
      <w:pPr>
        <w:ind w:right="-161" w:firstLine="420"/>
        <w:spacing w:line="400" w:lineRule="exact"/>
        <w:rPr>
          <w:rFonts w:hint="eastAsia" w:ascii="Calibri" w:hAnsi="Calibri" w:cs="宋体"/>
          <w:color w:val="auto"/>
          <w:szCs w:val="21"/>
          <w:highlight w:val="none"/>
        </w:rPr>
      </w:pPr>
      <w:r>
        <w:rPr>
          <w:rFonts w:hint="eastAsia" w:ascii="Calibri" w:hAnsi="Calibri" w:cs="宋体"/>
          <w:color w:val="auto"/>
          <w:szCs w:val="21"/>
          <w:highlight w:val="none"/>
        </w:rPr>
        <w:t xml:space="preserve">3.6提供所投</w:t>
      </w:r>
      <w:r>
        <w:rPr>
          <w:rFonts w:hint="eastAsia" w:ascii="Calibri" w:hAnsi="Calibri" w:cs="宋体"/>
          <w:color w:val="auto"/>
          <w:szCs w:val="21"/>
          <w:highlight w:val="none"/>
          <w:lang w:val="en-US" w:eastAsia="zh-CN"/>
        </w:rPr>
        <w:t xml:space="preserve">医疗设备的经营许可资格以及所投医疗设备的</w:t>
      </w:r>
      <w:r>
        <w:rPr>
          <w:rFonts w:hint="eastAsia" w:ascii="Calibri" w:hAnsi="Calibri" w:cs="宋体"/>
          <w:color w:val="auto"/>
          <w:szCs w:val="21"/>
          <w:highlight w:val="none"/>
        </w:rPr>
        <w:t xml:space="preserve">医疗器械注册证复印件。</w:t>
      </w:r>
      <w:r/>
    </w:p>
    <w:p>
      <w:pPr>
        <w:ind w:firstLine="420"/>
        <w:spacing w:line="400" w:lineRule="exact"/>
        <w:rPr>
          <w:rFonts w:hint="default" w:ascii="Calibri" w:hAnsi="Calibri" w:eastAsia="宋体"/>
          <w:color w:val="auto"/>
          <w:szCs w:val="21"/>
          <w:highlight w:val="none"/>
          <w:lang w:val="en-US" w:eastAsia="zh-CN"/>
        </w:rPr>
      </w:pPr>
      <w:r>
        <w:rPr>
          <w:rFonts w:hint="eastAsia" w:ascii="Calibri" w:hAnsi="Calibri"/>
          <w:color w:val="auto"/>
          <w:szCs w:val="21"/>
          <w:highlight w:val="none"/>
          <w:lang w:val="en-US" w:eastAsia="zh-CN"/>
        </w:rPr>
        <w:t xml:space="preserve">3.7中小企业声明函或残疾人福利性单位声明函或监狱企业证明；</w:t>
      </w:r>
      <w:r/>
    </w:p>
    <w:p>
      <w:pPr>
        <w:ind w:right="-161" w:firstLine="420"/>
        <w:spacing w:line="400" w:lineRule="exact"/>
        <w:rPr>
          <w:rFonts w:hint="eastAsia"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4</w:t>
      </w:r>
      <w:r>
        <w:rPr>
          <w:rFonts w:hint="eastAsia" w:ascii="Calibri" w:hAnsi="Calibri" w:cs="宋体"/>
          <w:b/>
          <w:bCs/>
          <w:color w:val="auto"/>
          <w:szCs w:val="21"/>
          <w:highlight w:val="none"/>
        </w:rPr>
        <w:t xml:space="preserve">符合性审查响应文件</w:t>
      </w:r>
      <w:r/>
    </w:p>
    <w:p>
      <w:pPr>
        <w:ind w:right="-161" w:firstLine="422"/>
        <w:spacing w:line="400" w:lineRule="exact"/>
        <w:rPr>
          <w:b w:val="0"/>
          <w:bCs w:val="0"/>
          <w:color w:val="auto"/>
          <w:szCs w:val="21"/>
          <w:highlight w:val="none"/>
        </w:rPr>
      </w:pPr>
      <w:r>
        <w:rPr>
          <w:rFonts w:ascii="Calibri" w:hAnsi="Calibri"/>
          <w:b w:val="0"/>
          <w:bCs w:val="0"/>
          <w:color w:val="auto"/>
          <w:szCs w:val="21"/>
          <w:highlight w:val="none"/>
        </w:rPr>
        <w:t xml:space="preserve">13.</w:t>
      </w:r>
      <w:r>
        <w:rPr>
          <w:rFonts w:hint="eastAsia" w:ascii="Calibri" w:hAnsi="Calibri"/>
          <w:b w:val="0"/>
          <w:bCs w:val="0"/>
          <w:color w:val="auto"/>
          <w:szCs w:val="21"/>
          <w:highlight w:val="none"/>
          <w:lang w:val="en-US" w:eastAsia="zh-CN"/>
        </w:rPr>
        <w:t xml:space="preserve">4.1</w:t>
      </w:r>
      <w:r>
        <w:rPr>
          <w:rFonts w:ascii="Calibri" w:hAnsi="Calibri"/>
          <w:b w:val="0"/>
          <w:bCs w:val="0"/>
          <w:color w:val="auto"/>
          <w:szCs w:val="21"/>
          <w:highlight w:val="none"/>
        </w:rPr>
        <w:t xml:space="preserve">投标报价明细表</w:t>
      </w:r>
      <w:r/>
    </w:p>
    <w:p>
      <w:pPr>
        <w:ind w:right="-161" w:firstLine="420"/>
        <w:spacing w:line="400" w:lineRule="exact"/>
        <w:rPr>
          <w:rFonts w:ascii="Calibri" w:hAnsi="Calibri"/>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lang w:val="en-US" w:eastAsia="zh-CN"/>
        </w:rPr>
        <w:t xml:space="preserve">4</w:t>
      </w:r>
      <w:r>
        <w:rPr>
          <w:rFonts w:ascii="Calibri" w:hAnsi="Calibri"/>
          <w:color w:val="auto"/>
          <w:szCs w:val="21"/>
          <w:highlight w:val="none"/>
        </w:rPr>
        <w:t xml:space="preserve">.</w:t>
      </w:r>
      <w:r>
        <w:rPr>
          <w:rFonts w:hint="eastAsia" w:ascii="Calibri" w:hAnsi="Calibri"/>
          <w:color w:val="auto"/>
          <w:szCs w:val="21"/>
          <w:highlight w:val="none"/>
          <w:lang w:val="en-US" w:eastAsia="zh-CN"/>
        </w:rPr>
        <w:t xml:space="preserve">2</w:t>
      </w:r>
      <w:r>
        <w:rPr>
          <w:rFonts w:hint="eastAsia" w:ascii="Calibri" w:hAnsi="Calibri"/>
          <w:color w:val="auto"/>
          <w:szCs w:val="21"/>
          <w:highlight w:val="none"/>
        </w:rPr>
        <w:t xml:space="preserve">商务条款偏离表；</w:t>
      </w:r>
      <w:r/>
    </w:p>
    <w:p>
      <w:pPr>
        <w:ind w:right="-161" w:firstLine="420"/>
        <w:spacing w:line="400" w:lineRule="exact"/>
        <w:rPr>
          <w:rFonts w:ascii="Calibri" w:hAnsi="Calibri"/>
          <w:color w:val="auto"/>
          <w:szCs w:val="21"/>
          <w:highlight w:val="none"/>
        </w:rPr>
      </w:pPr>
      <w:r>
        <w:rPr>
          <w:rFonts w:hint="eastAsia" w:ascii="Calibri" w:hAnsi="Calibri"/>
          <w:color w:val="auto"/>
          <w:szCs w:val="21"/>
          <w:highlight w:val="none"/>
          <w:lang w:bidi="ar"/>
        </w:rPr>
        <w:t xml:space="preserve">13.</w:t>
      </w:r>
      <w:r>
        <w:rPr>
          <w:rFonts w:hint="eastAsia" w:ascii="Calibri" w:hAnsi="Calibri"/>
          <w:color w:val="auto"/>
          <w:szCs w:val="21"/>
          <w:highlight w:val="none"/>
          <w:lang w:val="en-US" w:eastAsia="zh-CN" w:bidi="ar"/>
        </w:rPr>
        <w:t xml:space="preserve">4</w:t>
      </w:r>
      <w:r>
        <w:rPr>
          <w:rFonts w:hint="eastAsia" w:ascii="Calibri" w:hAnsi="Calibri"/>
          <w:color w:val="auto"/>
          <w:szCs w:val="21"/>
          <w:highlight w:val="none"/>
          <w:lang w:bidi="ar"/>
        </w:rPr>
        <w:t xml:space="preserve">.</w:t>
      </w:r>
      <w:r>
        <w:rPr>
          <w:rFonts w:hint="eastAsia" w:ascii="Calibri" w:hAnsi="Calibri"/>
          <w:color w:val="auto"/>
          <w:szCs w:val="21"/>
          <w:highlight w:val="none"/>
          <w:lang w:val="en-US" w:eastAsia="zh-CN" w:bidi="ar"/>
        </w:rPr>
        <w:t xml:space="preserve">3</w:t>
      </w:r>
      <w:r>
        <w:rPr>
          <w:rFonts w:hint="eastAsia" w:ascii="Calibri" w:hAnsi="Calibri"/>
          <w:color w:val="auto"/>
          <w:szCs w:val="21"/>
          <w:highlight w:val="none"/>
          <w:lang w:bidi="ar"/>
        </w:rPr>
        <w:t xml:space="preserve">其他投标材料；</w:t>
      </w:r>
      <w:r/>
    </w:p>
    <w:p>
      <w:pPr>
        <w:ind w:right="-161" w:firstLine="420"/>
        <w:spacing w:line="400" w:lineRule="exact"/>
        <w:rPr>
          <w:rFonts w:hint="eastAsia"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5</w:t>
      </w:r>
      <w:r>
        <w:rPr>
          <w:rFonts w:hint="eastAsia" w:ascii="Calibri" w:hAnsi="Calibri" w:cs="宋体"/>
          <w:b/>
          <w:bCs/>
          <w:color w:val="auto"/>
          <w:szCs w:val="21"/>
          <w:highlight w:val="none"/>
        </w:rPr>
        <w:t xml:space="preserve">综合评审响应文件</w:t>
      </w:r>
      <w:r/>
    </w:p>
    <w:p>
      <w:pPr>
        <w:ind w:right="-161" w:firstLine="420"/>
        <w:spacing w:line="400" w:lineRule="exact"/>
        <w:rPr>
          <w:rFonts w:ascii="Calibri" w:hAnsi="Calibri" w:cs="宋体"/>
          <w:b/>
          <w:bCs/>
          <w:color w:val="auto"/>
          <w:szCs w:val="21"/>
          <w:highlight w:val="none"/>
        </w:rPr>
      </w:pPr>
      <w:r>
        <w:rPr>
          <w:rFonts w:hint="eastAsia" w:ascii="Calibri" w:hAnsi="Calibri" w:cs="宋体"/>
          <w:color w:val="auto"/>
          <w:szCs w:val="21"/>
          <w:highlight w:val="none"/>
        </w:rPr>
        <w:t xml:space="preserve">13.</w:t>
      </w:r>
      <w:r>
        <w:rPr>
          <w:rFonts w:hint="eastAsia" w:ascii="Calibri" w:hAnsi="Calibri" w:cs="宋体"/>
          <w:color w:val="auto"/>
          <w:szCs w:val="21"/>
          <w:highlight w:val="none"/>
          <w:lang w:val="en-US" w:eastAsia="zh-CN"/>
        </w:rPr>
        <w:t xml:space="preserve">5</w:t>
      </w:r>
      <w:r>
        <w:rPr>
          <w:rFonts w:hint="eastAsia" w:ascii="Calibri" w:hAnsi="Calibri" w:cs="宋体"/>
          <w:color w:val="auto"/>
          <w:szCs w:val="21"/>
          <w:highlight w:val="none"/>
        </w:rPr>
        <w:t xml:space="preserve">.1</w:t>
      </w:r>
      <w:r>
        <w:rPr>
          <w:rFonts w:hint="eastAsia" w:ascii="Calibri" w:hAnsi="Calibri"/>
          <w:color w:val="auto"/>
          <w:szCs w:val="21"/>
          <w:highlight w:val="none"/>
        </w:rPr>
        <w:t xml:space="preserve">投标货物（材料）技术对照表；</w:t>
      </w:r>
      <w:r/>
    </w:p>
    <w:p>
      <w:pPr>
        <w:ind w:right="-161" w:firstLine="420"/>
        <w:spacing w:line="400" w:lineRule="exact"/>
        <w:rPr>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lang w:val="en-US" w:eastAsia="zh-CN"/>
        </w:rPr>
        <w:t xml:space="preserve">5</w:t>
      </w:r>
      <w:r>
        <w:rPr>
          <w:rFonts w:ascii="Calibri" w:hAnsi="Calibri"/>
          <w:color w:val="auto"/>
          <w:szCs w:val="21"/>
          <w:highlight w:val="none"/>
        </w:rPr>
        <w:t xml:space="preserve">.</w:t>
      </w:r>
      <w:r>
        <w:rPr>
          <w:rFonts w:hint="eastAsia" w:ascii="Calibri" w:hAnsi="Calibri"/>
          <w:color w:val="auto"/>
          <w:szCs w:val="21"/>
          <w:highlight w:val="none"/>
        </w:rPr>
        <w:t xml:space="preserve">2</w:t>
      </w:r>
      <w:r>
        <w:rPr>
          <w:rFonts w:hint="eastAsia" w:ascii="Calibri" w:hAnsi="Calibri" w:cs="宋体"/>
          <w:color w:val="auto"/>
          <w:szCs w:val="21"/>
          <w:highlight w:val="none"/>
        </w:rPr>
        <w:t xml:space="preserve">与本次采购相关和评分标准中要求提供的其他证明材料；</w:t>
      </w:r>
      <w:r/>
    </w:p>
    <w:p>
      <w:pPr>
        <w:ind w:right="-161" w:firstLine="420"/>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lang w:val="en-US" w:eastAsia="zh-CN"/>
        </w:rPr>
        <w:t xml:space="preserve">6</w:t>
      </w:r>
      <w:r>
        <w:rPr>
          <w:rFonts w:hint="eastAsia" w:ascii="Calibri" w:hAnsi="Calibri" w:cs="宋体"/>
          <w:b/>
          <w:bCs/>
          <w:color w:val="auto"/>
          <w:szCs w:val="21"/>
          <w:highlight w:val="none"/>
        </w:rPr>
        <w:t xml:space="preserve">企业报价折扣证明</w:t>
      </w:r>
      <w:r/>
    </w:p>
    <w:p>
      <w:pPr>
        <w:ind w:right="-161" w:firstLine="420"/>
        <w:spacing w:line="400" w:lineRule="exact"/>
        <w:rPr>
          <w:rFonts w:hint="eastAsia"/>
          <w:color w:val="auto"/>
          <w:szCs w:val="21"/>
          <w:highlight w:val="none"/>
        </w:rPr>
      </w:pPr>
      <w:r>
        <w:rPr>
          <w:rFonts w:hint="eastAsia"/>
          <w:color w:val="auto"/>
          <w:szCs w:val="21"/>
          <w:highlight w:val="none"/>
        </w:rPr>
        <w:t xml:space="preserve">专门面向中小企业采购，投标人所投设备生产厂家必须属于中型或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color w:val="auto"/>
          <w:highlight w:val="none"/>
        </w:rPr>
      </w:pP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7</w:t>
      </w:r>
      <w:r>
        <w:rPr>
          <w:rFonts w:hint="eastAsia"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hint="eastAsia" w:ascii="宋体" w:hAnsi="宋体"/>
          <w:color w:val="auto"/>
          <w:szCs w:val="21"/>
          <w:highlight w:val="none"/>
          <w:lang w:val="zh-CN"/>
        </w:rPr>
        <w:t xml:space="preserve">13.</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5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4"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4"/>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（一）出现下列情形之一的，评审委员会应当启动异常低价投标审查程序：</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3.投标（响应）报价低于采购项目最高限价45%的，即投标（响应）报价&lt;采购项目最高限价×45%；</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eastAsia="宋体" w:cs="Times New Roman"/>
          <w:b/>
          <w:bCs/>
          <w:color w:val="auto"/>
          <w:szCs w:val="21"/>
          <w:highlight w:val="none"/>
          <w:lang w:val="zh-CN"/>
        </w:rPr>
      </w:pPr>
      <w:r>
        <w:rPr>
          <w:rFonts w:hint="eastAsia" w:ascii="宋体" w:hAnsi="宋体" w:eastAsia="宋体" w:cs="Times New Roman"/>
          <w:b/>
          <w:bCs/>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24.1评标委员会（以下简称评标委员会）成员依法组建；</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24.2评标委员会将对符合资格的投标人的电子投标文件进行符合性审查，以确定其是否满足采购文件的实质性要求。</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24.3评标委员会组织负责具体的评标事务，并独立履行以下职责：</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24.3.1审查、评价电子投标文件是否符合采购文件的商务、技术等实质性要求；</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24.3.2要求投标人对电子投标文件有关事项作出澄清或者说明；</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24.3.3对电子投标文件进行比较和评价；</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24.3.4签署评标报告、推荐中标候选人并根据采购方委托从中确定中标人；</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24.3.5向采购人、采购代理机构或者有关部门报告评标中发现的违法行为。</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24.4评标委员会成员应当履行下列义务：</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24.4.1遵纪守法，客观、公正、廉洁地履行职责；</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24.4.2按照采购文件规定的评标办法和评标标准进行评标，对评审意见承担个人责任；</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24.4.3对评标过程和结果，以及投标人的商业秘密保密；</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24.4.4参与评标报告的起草；</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24.4.5配合招标采购人答复投标人提出的质疑；</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24.4.6配合有关部门的投诉处理工作。</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rPr>
      </w:pPr>
      <w:r>
        <w:rPr>
          <w:rFonts w:ascii="宋体" w:hAnsi="宋体"/>
          <w:b/>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none"/>
          <w:lang w:val="zh-CN"/>
        </w:rPr>
        <w:t xml:space="preserve">作出</w:t>
      </w:r>
      <w:r>
        <w:rPr>
          <w:rFonts w:ascii="宋体" w:hAnsi="宋体"/>
          <w:color w:val="auto"/>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3"/>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5" w:name="_Hlk99527780"/>
      <w:r/>
      <w:bookmarkStart w:id="6" w:name="_Hlk110604834"/>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jc w:val="both"/>
        <w:spacing w:line="360" w:lineRule="auto"/>
        <w:widowControl w:val="off"/>
        <w:rPr>
          <w:rFonts w:ascii="宋体" w:hAnsi="宋体"/>
          <w:bCs/>
          <w:color w:val="auto"/>
          <w:sz w:val="21"/>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w:t>
      </w:r>
      <w:r>
        <w:rPr>
          <w:rFonts w:hint="eastAsia" w:ascii="宋体" w:hAnsi="宋体"/>
          <w:b/>
          <w:bCs/>
          <w:color w:val="auto"/>
          <w:sz w:val="21"/>
          <w:szCs w:val="21"/>
          <w:highlight w:val="none"/>
        </w:rPr>
        <w:t xml:space="preserve">法人授权委托书</w:t>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7" w:name="sys_STR"/>
      <w:r/>
      <w:bookmarkEnd w:id="7"/>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en-US" w:eastAsia="zh-CN"/>
        </w:rPr>
        <w:t xml:space="preserve">注：</w:t>
      </w:r>
      <w:r>
        <w:rPr>
          <w:rFonts w:hint="eastAsia" w:ascii="宋体" w:hAnsi="宋体"/>
          <w:bCs/>
          <w:color w:val="auto"/>
          <w:sz w:val="21"/>
          <w:szCs w:val="21"/>
          <w:highlight w:val="none"/>
        </w:rPr>
        <w:t xml:space="preserve">被授权人非法定代表人的，应提供授权委托书</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法人及被授权人的身份证复印件；</w:t>
      </w:r>
      <w:r/>
    </w:p>
    <w:p>
      <w:pPr>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rPr>
        <w:t xml:space="preserve">。</w:t>
      </w:r>
      <w:r/>
    </w:p>
    <w:p>
      <w:pPr>
        <w:ind w:firstLine="425"/>
        <w:jc w:val="cente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pStyle w:val="710"/>
        <w:spacing w:line="420" w:lineRule="exact"/>
        <w:rPr>
          <w:rFonts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46"/>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46"/>
        <w:spacing w:line="360" w:lineRule="exact"/>
        <w:rPr>
          <w:rFonts w:hAnsi="宋体"/>
          <w:bCs/>
          <w:color w:val="auto"/>
          <w:sz w:val="21"/>
          <w:szCs w:val="21"/>
          <w:highlight w:val="none"/>
        </w:rPr>
      </w:pPr>
      <w:r>
        <w:rPr>
          <w:rFonts w:hAnsi="宋体"/>
          <w:bCs/>
          <w:color w:val="auto"/>
          <w:sz w:val="21"/>
          <w:szCs w:val="21"/>
          <w:highlight w:val="none"/>
        </w:rPr>
      </w:r>
      <w:r/>
    </w:p>
    <w:p>
      <w:pPr>
        <w:pStyle w:val="746"/>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4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我方收到贵公司号采购文件，经仔细阅读和研究，我方决定参加投标。并向贵公司承诺：</w:t>
      </w:r>
      <w:r/>
    </w:p>
    <w:p>
      <w:pPr>
        <w:pStyle w:val="746"/>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4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4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4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4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4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4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4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8、如果我方中标，我方愿意按采购文件规定支付中标服务费，如未按规定缴纳中标服务费，采购代理机构有权保留诉讼的权利；</w:t>
      </w:r>
      <w:r/>
    </w:p>
    <w:p>
      <w:pPr>
        <w:pStyle w:val="746"/>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46"/>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 系 人：_____________________                </w:t>
      </w:r>
      <w:r/>
    </w:p>
    <w:p>
      <w:pPr>
        <w:pStyle w:val="746"/>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联系手机：_____________________</w:t>
      </w:r>
      <w:r/>
    </w:p>
    <w:p>
      <w:pPr>
        <w:pStyle w:val="746"/>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址：_____________________</w:t>
      </w:r>
      <w:r/>
    </w:p>
    <w:p>
      <w:pPr>
        <w:pStyle w:val="746"/>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开户银行：</w:t>
      </w:r>
      <w:r/>
    </w:p>
    <w:p>
      <w:pPr>
        <w:pStyle w:val="746"/>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银行账号：</w:t>
      </w:r>
      <w:r/>
    </w:p>
    <w:p>
      <w:pPr>
        <w:pStyle w:val="746"/>
        <w:ind w:firstLine="425"/>
        <w:spacing w:line="360" w:lineRule="exact"/>
        <w:rPr>
          <w:rFonts w:hAnsi="宋体" w:eastAsia="宋体"/>
          <w:bCs/>
          <w:color w:val="auto"/>
          <w:sz w:val="21"/>
          <w:szCs w:val="21"/>
          <w:highlight w:val="none"/>
        </w:rPr>
      </w:pPr>
      <w:r>
        <w:rPr>
          <w:rFonts w:hAnsi="宋体" w:eastAsia="宋体"/>
          <w:bCs/>
          <w:color w:val="auto"/>
          <w:sz w:val="21"/>
          <w:szCs w:val="21"/>
          <w:highlight w:val="none"/>
        </w:rPr>
      </w:r>
      <w:r/>
    </w:p>
    <w:p>
      <w:pPr>
        <w:pStyle w:val="746"/>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46"/>
        <w:jc w:val="center"/>
        <w:spacing w:line="360" w:lineRule="auto"/>
        <w:rPr>
          <w:rFonts w:hAnsi="宋体" w:eastAsia="宋体"/>
          <w:b/>
          <w:bCs/>
          <w:color w:val="auto"/>
          <w:sz w:val="36"/>
          <w:szCs w:val="36"/>
          <w:highlight w:val="none"/>
        </w:rPr>
      </w:pPr>
      <w:r>
        <w:rPr>
          <w:rFonts w:hint="eastAsia" w:hAnsi="宋体" w:eastAsia="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eastAsia="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JSZC-320500-SZWK-G2026-0127</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vAlign w:val="top"/>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年月日</w:t>
      </w:r>
      <w:r/>
    </w:p>
    <w:p>
      <w:pPr>
        <w:rPr>
          <w:rFonts w:ascii="宋体" w:hAnsi="宋体"/>
          <w:b/>
          <w:bCs/>
          <w:color w:val="auto"/>
          <w:szCs w:val="21"/>
          <w:highlight w:val="none"/>
        </w:rPr>
      </w:pPr>
      <w:r>
        <w:rPr>
          <w:rFonts w:ascii="宋体" w:hAnsi="宋体"/>
          <w:b/>
          <w:bCs/>
          <w:color w:val="auto"/>
          <w:szCs w:val="21"/>
          <w:highlight w:val="none"/>
        </w:rPr>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rFonts w:ascii="宋体" w:hAnsi="宋体"/>
          <w:b/>
          <w:color w:val="auto"/>
          <w:highlight w:val="none"/>
        </w:rPr>
      </w:pPr>
      <w:r>
        <w:rPr>
          <w:rFonts w:ascii="宋体" w:hAnsi="宋体"/>
          <w:b/>
          <w:color w:val="auto"/>
          <w:highlight w:val="none"/>
        </w:rPr>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bCs/>
          <w:color w:val="auto"/>
          <w:szCs w:val="21"/>
          <w:highlight w:val="none"/>
        </w:rPr>
      </w:pPr>
      <w:r>
        <w:rPr>
          <w:rFonts w:hAnsi="宋体"/>
          <w:bCs/>
          <w:color w:val="auto"/>
          <w:szCs w:val="21"/>
          <w:highlight w:val="none"/>
        </w:rPr>
        <w:t xml:space="preserve">采购编号：</w:t>
      </w:r>
      <w:r/>
    </w:p>
    <w:tbl>
      <w:tblPr>
        <w:tblStyle w:val="679"/>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W w:w="718" w:type="dxa"/>
            <w:vAlign w:val="center"/>
            <w:textDirection w:val="lrTb"/>
            <w:noWrap/>
          </w:tcPr>
          <w:p>
            <w:pPr>
              <w:jc w:val="center"/>
              <w:rPr>
                <w:bCs/>
                <w:color w:val="auto"/>
                <w:szCs w:val="21"/>
                <w:highlight w:val="none"/>
              </w:rPr>
            </w:pPr>
            <w:r>
              <w:rPr>
                <w:rFonts w:hAnsi="宋体"/>
                <w:bCs/>
                <w:color w:val="auto"/>
                <w:szCs w:val="21"/>
                <w:highlight w:val="none"/>
              </w:rPr>
              <w:t xml:space="preserve">序号</w:t>
            </w:r>
            <w:r/>
          </w:p>
        </w:tc>
        <w:tc>
          <w:tcPr>
            <w:tcW w:w="1441" w:type="dxa"/>
            <w:vAlign w:val="center"/>
            <w:textDirection w:val="lrTb"/>
            <w:noWrap/>
          </w:tcPr>
          <w:p>
            <w:pPr>
              <w:jc w:val="center"/>
              <w:rPr>
                <w:bCs/>
                <w:color w:val="auto"/>
                <w:szCs w:val="21"/>
                <w:highlight w:val="none"/>
              </w:rPr>
            </w:pPr>
            <w:r>
              <w:rPr>
                <w:rFonts w:hAnsi="宋体"/>
                <w:bCs/>
                <w:color w:val="auto"/>
                <w:szCs w:val="21"/>
                <w:highlight w:val="none"/>
              </w:rPr>
              <w:t xml:space="preserve">标的物名称</w:t>
            </w:r>
            <w:r/>
          </w:p>
        </w:tc>
        <w:tc>
          <w:tcPr>
            <w:tcW w:w="1381" w:type="dxa"/>
            <w:vAlign w:val="center"/>
            <w:textDirection w:val="lrTb"/>
            <w:noWrap/>
          </w:tcPr>
          <w:p>
            <w:pPr>
              <w:jc w:val="center"/>
              <w:rPr>
                <w:bCs/>
                <w:color w:val="auto"/>
                <w:szCs w:val="21"/>
                <w:highlight w:val="none"/>
              </w:rPr>
            </w:pPr>
            <w:r>
              <w:rPr>
                <w:rFonts w:hAnsi="宋体"/>
                <w:bCs/>
                <w:color w:val="auto"/>
                <w:szCs w:val="21"/>
                <w:highlight w:val="none"/>
              </w:rPr>
              <w:t xml:space="preserve">品牌、规格</w:t>
            </w:r>
            <w:r/>
          </w:p>
        </w:tc>
        <w:tc>
          <w:tcPr>
            <w:tcW w:w="1276" w:type="dxa"/>
            <w:vAlign w:val="center"/>
            <w:textDirection w:val="lrTb"/>
            <w:noWrap/>
          </w:tcPr>
          <w:p>
            <w:pPr>
              <w:jc w:val="center"/>
              <w:rPr>
                <w:bCs/>
                <w:color w:val="auto"/>
                <w:szCs w:val="21"/>
                <w:highlight w:val="none"/>
              </w:rPr>
            </w:pPr>
            <w:r>
              <w:rPr>
                <w:rFonts w:hAnsi="宋体"/>
                <w:bCs/>
                <w:color w:val="auto"/>
                <w:szCs w:val="21"/>
                <w:highlight w:val="none"/>
              </w:rPr>
              <w:t xml:space="preserve">生产厂家</w:t>
            </w:r>
            <w:r/>
          </w:p>
        </w:tc>
        <w:tc>
          <w:tcPr>
            <w:gridSpan w:val="2"/>
            <w:tcW w:w="734" w:type="dxa"/>
            <w:vAlign w:val="center"/>
            <w:textDirection w:val="lrTb"/>
            <w:noWrap/>
          </w:tcPr>
          <w:p>
            <w:pPr>
              <w:jc w:val="center"/>
              <w:rPr>
                <w:bCs/>
                <w:color w:val="auto"/>
                <w:szCs w:val="21"/>
                <w:highlight w:val="none"/>
              </w:rPr>
            </w:pPr>
            <w:r>
              <w:rPr>
                <w:rFonts w:hAnsi="宋体"/>
                <w:bCs/>
                <w:color w:val="auto"/>
                <w:szCs w:val="21"/>
                <w:highlight w:val="none"/>
              </w:rPr>
              <w:t xml:space="preserve">单位</w:t>
            </w:r>
            <w:r/>
          </w:p>
        </w:tc>
        <w:tc>
          <w:tcPr>
            <w:tcW w:w="734" w:type="dxa"/>
            <w:vAlign w:val="center"/>
            <w:textDirection w:val="lrTb"/>
            <w:noWrap/>
          </w:tcPr>
          <w:p>
            <w:pPr>
              <w:jc w:val="center"/>
              <w:rPr>
                <w:bCs/>
                <w:color w:val="auto"/>
                <w:szCs w:val="21"/>
                <w:highlight w:val="none"/>
              </w:rPr>
            </w:pPr>
            <w:r>
              <w:rPr>
                <w:rFonts w:hAnsi="宋体"/>
                <w:bCs/>
                <w:color w:val="auto"/>
                <w:szCs w:val="21"/>
                <w:highlight w:val="none"/>
              </w:rPr>
              <w:t xml:space="preserve">数量</w:t>
            </w:r>
            <w:r/>
          </w:p>
        </w:tc>
        <w:tc>
          <w:tcPr>
            <w:tcW w:w="734" w:type="dxa"/>
            <w:vAlign w:val="center"/>
            <w:textDirection w:val="lrTb"/>
            <w:noWrap/>
          </w:tcPr>
          <w:p>
            <w:pPr>
              <w:jc w:val="center"/>
              <w:rPr>
                <w:bCs/>
                <w:color w:val="auto"/>
                <w:szCs w:val="21"/>
                <w:highlight w:val="none"/>
              </w:rPr>
            </w:pPr>
            <w:r>
              <w:rPr>
                <w:rFonts w:hAnsi="宋体"/>
                <w:bCs/>
                <w:color w:val="auto"/>
                <w:szCs w:val="21"/>
                <w:highlight w:val="none"/>
              </w:rPr>
              <w:t xml:space="preserve">单价</w:t>
            </w:r>
            <w:r/>
          </w:p>
        </w:tc>
        <w:tc>
          <w:tcPr>
            <w:tcW w:w="726" w:type="dxa"/>
            <w:vAlign w:val="center"/>
            <w:textDirection w:val="lrTb"/>
            <w:noWrap/>
          </w:tcPr>
          <w:p>
            <w:pPr>
              <w:jc w:val="center"/>
              <w:rPr>
                <w:bCs/>
                <w:color w:val="auto"/>
                <w:szCs w:val="21"/>
                <w:highlight w:val="none"/>
              </w:rPr>
            </w:pPr>
            <w:r>
              <w:rPr>
                <w:rFonts w:hAnsi="宋体"/>
                <w:bCs/>
                <w:color w:val="auto"/>
                <w:szCs w:val="21"/>
                <w:highlight w:val="none"/>
              </w:rPr>
              <w:t xml:space="preserve">总价</w:t>
            </w:r>
            <w:r/>
          </w:p>
        </w:tc>
        <w:tc>
          <w:tcPr>
            <w:tcW w:w="898" w:type="dxa"/>
            <w:vAlign w:val="center"/>
            <w:textDirection w:val="lrTb"/>
            <w:noWrap/>
          </w:tcPr>
          <w:p>
            <w:pPr>
              <w:jc w:val="center"/>
              <w:rPr>
                <w:bCs/>
                <w:color w:val="auto"/>
                <w:szCs w:val="21"/>
                <w:highlight w:val="none"/>
              </w:rPr>
            </w:pPr>
            <w:r>
              <w:rPr>
                <w:rFonts w:hAnsi="宋体"/>
                <w:bCs/>
                <w:color w:val="auto"/>
                <w:szCs w:val="21"/>
                <w:highlight w:val="none"/>
              </w:rPr>
              <w:t xml:space="preserve">备注</w:t>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tcPr>
          <w:p>
            <w:pPr>
              <w:jc w:val="center"/>
              <w:rPr>
                <w:bCs/>
                <w:color w:val="auto"/>
                <w:szCs w:val="21"/>
                <w:highlight w:val="none"/>
              </w:rPr>
            </w:pPr>
            <w:r>
              <w:rPr>
                <w:bCs/>
                <w:color w:val="auto"/>
                <w:szCs w:val="21"/>
                <w:highlight w:val="none"/>
              </w:rPr>
            </w:r>
            <w:r/>
          </w:p>
        </w:tc>
        <w:tc>
          <w:tcPr>
            <w:tcW w:w="1441" w:type="dxa"/>
            <w:vAlign w:val="center"/>
            <w:textDirection w:val="lrTb"/>
            <w:noWrap/>
          </w:tcPr>
          <w:p>
            <w:pPr>
              <w:jc w:val="center"/>
              <w:rPr>
                <w:bCs/>
                <w:color w:val="auto"/>
                <w:szCs w:val="21"/>
                <w:highlight w:val="none"/>
              </w:rPr>
            </w:pPr>
            <w:r>
              <w:rPr>
                <w:bCs/>
                <w:color w:val="auto"/>
                <w:szCs w:val="21"/>
                <w:highlight w:val="none"/>
              </w:rPr>
            </w:r>
            <w:r/>
          </w:p>
        </w:tc>
        <w:tc>
          <w:tcPr>
            <w:tcW w:w="1381" w:type="dxa"/>
            <w:vAlign w:val="center"/>
            <w:textDirection w:val="lrTb"/>
            <w:noWrap/>
          </w:tcPr>
          <w:p>
            <w:pPr>
              <w:jc w:val="center"/>
              <w:rPr>
                <w:bCs/>
                <w:color w:val="auto"/>
                <w:szCs w:val="21"/>
                <w:highlight w:val="none"/>
              </w:rPr>
            </w:pPr>
            <w:r>
              <w:rPr>
                <w:bCs/>
                <w:color w:val="auto"/>
                <w:szCs w:val="21"/>
                <w:highlight w:val="none"/>
              </w:rPr>
            </w:r>
            <w:r/>
          </w:p>
        </w:tc>
        <w:tc>
          <w:tcPr>
            <w:tcW w:w="1276" w:type="dxa"/>
            <w:vAlign w:val="center"/>
            <w:textDirection w:val="lrTb"/>
            <w:noWrap/>
          </w:tcPr>
          <w:p>
            <w:pPr>
              <w:jc w:val="center"/>
              <w:rPr>
                <w:bCs/>
                <w:color w:val="auto"/>
                <w:szCs w:val="21"/>
                <w:highlight w:val="none"/>
              </w:rPr>
            </w:pPr>
            <w:r>
              <w:rPr>
                <w:bCs/>
                <w:color w:val="auto"/>
                <w:szCs w:val="21"/>
                <w:highlight w:val="none"/>
              </w:rPr>
            </w:r>
            <w:r/>
          </w:p>
        </w:tc>
        <w:tc>
          <w:tcPr>
            <w:tcW w:w="725" w:type="dxa"/>
            <w:vAlign w:val="center"/>
            <w:textDirection w:val="lrTb"/>
            <w:noWrap/>
          </w:tcPr>
          <w:p>
            <w:pPr>
              <w:jc w:val="center"/>
              <w:rPr>
                <w:bCs/>
                <w:color w:val="auto"/>
                <w:szCs w:val="21"/>
                <w:highlight w:val="none"/>
              </w:rPr>
            </w:pPr>
            <w:r>
              <w:rPr>
                <w:bCs/>
                <w:color w:val="auto"/>
                <w:szCs w:val="21"/>
                <w:highlight w:val="none"/>
              </w:rPr>
            </w:r>
            <w:r/>
          </w:p>
        </w:tc>
        <w:tc>
          <w:tcPr>
            <w:gridSpan w:val="2"/>
            <w:tcW w:w="743" w:type="dxa"/>
            <w:vAlign w:val="center"/>
            <w:textDirection w:val="lrTb"/>
            <w:noWrap/>
          </w:tcPr>
          <w:p>
            <w:pPr>
              <w:jc w:val="center"/>
              <w:rPr>
                <w:bCs/>
                <w:color w:val="auto"/>
                <w:szCs w:val="21"/>
                <w:highlight w:val="none"/>
              </w:rPr>
            </w:pPr>
            <w:r>
              <w:rPr>
                <w:bCs/>
                <w:color w:val="auto"/>
                <w:szCs w:val="21"/>
                <w:highlight w:val="none"/>
              </w:rPr>
            </w:r>
            <w:r/>
          </w:p>
        </w:tc>
        <w:tc>
          <w:tcPr>
            <w:tcW w:w="734" w:type="dxa"/>
            <w:vAlign w:val="center"/>
            <w:textDirection w:val="lrTb"/>
            <w:noWrap/>
          </w:tcPr>
          <w:p>
            <w:pPr>
              <w:jc w:val="center"/>
              <w:rPr>
                <w:bCs/>
                <w:color w:val="auto"/>
                <w:szCs w:val="21"/>
                <w:highlight w:val="none"/>
              </w:rPr>
            </w:pPr>
            <w:r>
              <w:rPr>
                <w:bCs/>
                <w:color w:val="auto"/>
                <w:szCs w:val="21"/>
                <w:highlight w:val="none"/>
              </w:rPr>
            </w:r>
            <w:r/>
          </w:p>
        </w:tc>
        <w:tc>
          <w:tcPr>
            <w:tcW w:w="726" w:type="dxa"/>
            <w:vAlign w:val="center"/>
            <w:textDirection w:val="lrTb"/>
            <w:noWrap/>
          </w:tcPr>
          <w:p>
            <w:pPr>
              <w:jc w:val="center"/>
              <w:rPr>
                <w:bCs/>
                <w:color w:val="auto"/>
                <w:szCs w:val="21"/>
                <w:highlight w:val="none"/>
              </w:rPr>
            </w:pPr>
            <w:r>
              <w:rPr>
                <w:bCs/>
                <w:color w:val="auto"/>
                <w:szCs w:val="21"/>
                <w:highlight w:val="none"/>
              </w:rPr>
            </w:r>
            <w:r/>
          </w:p>
        </w:tc>
        <w:tc>
          <w:tcPr>
            <w:tcW w:w="898" w:type="dxa"/>
            <w:vAlign w:val="center"/>
            <w:textDirection w:val="lrTb"/>
            <w:noWrap/>
          </w:tcPr>
          <w:p>
            <w:pPr>
              <w:jc w:val="center"/>
              <w:rPr>
                <w:bCs/>
                <w:color w:val="auto"/>
                <w:szCs w:val="21"/>
                <w:highlight w:val="none"/>
              </w:rPr>
            </w:pPr>
            <w:r>
              <w:rPr>
                <w:bCs/>
                <w:color w:val="auto"/>
                <w:szCs w:val="21"/>
                <w:highlight w:val="none"/>
              </w:rPr>
            </w:r>
            <w:r/>
          </w:p>
        </w:tc>
      </w:tr>
      <w:tr>
        <w:trPr>
          <w:jc w:val="center"/>
          <w:trHeight w:val="698"/>
        </w:trPr>
        <w:tc>
          <w:tcPr>
            <w:gridSpan w:val="2"/>
            <w:tcW w:w="2159" w:type="dxa"/>
            <w:vAlign w:val="center"/>
            <w:textDirection w:val="lrTb"/>
            <w:noWrap/>
          </w:tcPr>
          <w:p>
            <w:pPr>
              <w:rPr>
                <w:bCs/>
                <w:color w:val="auto"/>
                <w:szCs w:val="21"/>
                <w:highlight w:val="none"/>
              </w:rPr>
            </w:pPr>
            <w:r>
              <w:rPr>
                <w:rFonts w:hAnsi="宋体"/>
                <w:bCs/>
                <w:color w:val="auto"/>
                <w:szCs w:val="21"/>
                <w:highlight w:val="none"/>
              </w:rPr>
              <w:t xml:space="preserve">投标总报价：</w:t>
            </w:r>
            <w:r/>
          </w:p>
        </w:tc>
        <w:tc>
          <w:tcPr>
            <w:gridSpan w:val="8"/>
            <w:tcW w:w="6487" w:type="dxa"/>
            <w:vAlign w:val="center"/>
            <w:textDirection w:val="lrTb"/>
            <w:noWrap/>
          </w:tcPr>
          <w:p>
            <w:pPr>
              <w:rPr>
                <w:bCs/>
                <w:color w:val="auto"/>
                <w:szCs w:val="21"/>
                <w:highlight w:val="none"/>
              </w:rPr>
            </w:pPr>
            <w:r>
              <w:rPr>
                <w:rFonts w:hAnsi="宋体"/>
                <w:bCs/>
                <w:color w:val="auto"/>
                <w:szCs w:val="21"/>
                <w:highlight w:val="none"/>
              </w:rPr>
              <w:t xml:space="preserve">大写：元</w:t>
            </w:r>
            <w:r/>
          </w:p>
        </w:tc>
      </w:tr>
      <w:tr>
        <w:trPr>
          <w:jc w:val="center"/>
          <w:trHeight w:val="698"/>
        </w:trPr>
        <w:tc>
          <w:tcPr>
            <w:gridSpan w:val="10"/>
            <w:tcW w:w="8646" w:type="dxa"/>
            <w:vAlign w:val="center"/>
            <w:textDirection w:val="lrTb"/>
            <w:noWrap/>
          </w:tcPr>
          <w:p>
            <w:pPr>
              <w:rPr>
                <w:rFonts w:hAnsi="宋体"/>
                <w:bCs/>
                <w:color w:val="auto"/>
                <w:szCs w:val="21"/>
                <w:highlight w:val="none"/>
              </w:rPr>
            </w:pPr>
            <w:r>
              <w:rPr>
                <w:rFonts w:hAnsi="宋体"/>
                <w:bCs/>
                <w:color w:val="auto"/>
                <w:szCs w:val="21"/>
                <w:highlight w:val="none"/>
              </w:rPr>
              <w:t xml:space="preserve">交货期限：</w:t>
            </w:r>
            <w:r/>
          </w:p>
          <w:p>
            <w:pPr>
              <w:rPr>
                <w:color w:val="auto"/>
                <w:highlight w:val="none"/>
              </w:rPr>
            </w:pPr>
            <w:r>
              <w:rPr>
                <w:rFonts w:hint="eastAsia" w:hAnsi="宋体"/>
                <w:bCs/>
                <w:color w:val="auto"/>
                <w:szCs w:val="21"/>
                <w:highlight w:val="none"/>
              </w:rPr>
              <w:t xml:space="preserve">验收期限：</w:t>
            </w:r>
            <w:r/>
          </w:p>
        </w:tc>
      </w:tr>
    </w:tbl>
    <w:p>
      <w:pPr>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日期：年月日</w:t>
      </w:r>
      <w:r/>
    </w:p>
    <w:p>
      <w:pPr>
        <w:pStyle w:val="1037"/>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w:t>
      </w:r>
      <w:r>
        <w:rPr>
          <w:rFonts w:hint="eastAsia" w:eastAsia="黑体"/>
          <w:b/>
          <w:color w:val="auto"/>
          <w:sz w:val="28"/>
          <w:szCs w:val="28"/>
          <w:highlight w:val="none"/>
          <w:lang w:val="zh-CN"/>
        </w:rPr>
        <w:t xml:space="preserve">货物</w:t>
      </w:r>
      <w:r>
        <w:rPr>
          <w:rFonts w:eastAsia="黑体"/>
          <w:b/>
          <w:color w:val="auto"/>
          <w:sz w:val="28"/>
          <w:szCs w:val="28"/>
          <w:highlight w:val="none"/>
          <w:lang w:val="zh-CN"/>
        </w:rPr>
        <w:t xml:space="preserve">（</w:t>
      </w:r>
      <w:r>
        <w:rPr>
          <w:rFonts w:hint="eastAsia" w:eastAsia="黑体"/>
          <w:b/>
          <w:color w:val="auto"/>
          <w:sz w:val="28"/>
          <w:szCs w:val="28"/>
          <w:highlight w:val="none"/>
          <w:lang w:val="zh-CN"/>
        </w:rPr>
        <w:t xml:space="preserve">材料</w:t>
      </w:r>
      <w:r>
        <w:rPr>
          <w:rFonts w:eastAsia="黑体"/>
          <w:b/>
          <w:color w:val="auto"/>
          <w:sz w:val="28"/>
          <w:szCs w:val="28"/>
          <w:highlight w:val="none"/>
          <w:lang w:val="zh-CN"/>
        </w:rPr>
        <w:t xml:space="preserve">）技术对照表</w:t>
      </w:r>
      <w:r/>
    </w:p>
    <w:p>
      <w:pPr>
        <w:spacing w:line="360" w:lineRule="auto"/>
        <w:rPr>
          <w:rFonts w:hAnsi="宋体"/>
          <w:bCs/>
          <w:color w:val="auto"/>
          <w:szCs w:val="21"/>
          <w:highlight w:val="none"/>
        </w:rPr>
      </w:pPr>
      <w:r>
        <w:rPr>
          <w:rFonts w:hAnsi="宋体"/>
          <w:bCs/>
          <w:color w:val="auto"/>
          <w:szCs w:val="21"/>
          <w:highlight w:val="none"/>
        </w:rPr>
        <w:t xml:space="preserve">采购编号：</w:t>
      </w:r>
      <w:r/>
    </w:p>
    <w:tbl>
      <w:tblPr>
        <w:tblStyle w:val="679"/>
        <w:tblW w:w="89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2217"/>
        <w:gridCol w:w="1175"/>
      </w:tblGrid>
      <w:tr>
        <w:trPr>
          <w:trHeight w:val="510"/>
        </w:trPr>
        <w:tc>
          <w:tcPr>
            <w:tcW w:w="670" w:type="dxa"/>
            <w:vAlign w:val="center"/>
            <w:textDirection w:val="lrTb"/>
            <w:noWrap/>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tcPr>
          <w:p>
            <w:pPr>
              <w:jc w:val="center"/>
              <w:rPr>
                <w:color w:val="auto"/>
                <w:szCs w:val="21"/>
                <w:highlight w:val="none"/>
              </w:rPr>
            </w:pPr>
            <w:r>
              <w:rPr>
                <w:rFonts w:hAnsi="宋体"/>
                <w:color w:val="auto"/>
                <w:szCs w:val="21"/>
                <w:highlight w:val="none"/>
                <w:lang w:val="zh-CN"/>
              </w:rPr>
              <w:t xml:space="preserve">投标文件响应条款描述</w:t>
            </w:r>
            <w:r/>
          </w:p>
        </w:tc>
        <w:tc>
          <w:tcPr>
            <w:tcW w:w="2217" w:type="dxa"/>
            <w:vAlign w:val="center"/>
            <w:textDirection w:val="lrTb"/>
            <w:noWrap/>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175" w:type="dxa"/>
            <w:vAlign w:val="center"/>
            <w:textDirection w:val="lrTb"/>
            <w:noWrap/>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217"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75"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217"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75"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217"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75"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217"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75"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217"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75"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217"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75"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217"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75"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217"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75"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217"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75" w:type="dxa"/>
            <w:vAlign w:val="center"/>
            <w:textDirection w:val="lrTb"/>
            <w:noWrap/>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2217" w:type="dxa"/>
            <w:vAlign w:val="center"/>
            <w:textDirection w:val="lrTb"/>
            <w:noWrap/>
          </w:tcPr>
          <w:p>
            <w:pPr>
              <w:jc w:val="center"/>
              <w:rPr>
                <w:rFonts w:hAnsi="宋体"/>
                <w:color w:val="auto"/>
                <w:szCs w:val="21"/>
                <w:highlight w:val="none"/>
              </w:rPr>
            </w:pPr>
            <w:r>
              <w:rPr>
                <w:rFonts w:hAnsi="宋体"/>
                <w:color w:val="auto"/>
                <w:szCs w:val="21"/>
                <w:highlight w:val="none"/>
              </w:rPr>
            </w:r>
            <w:r/>
          </w:p>
        </w:tc>
        <w:tc>
          <w:tcPr>
            <w:tcW w:w="1175" w:type="dxa"/>
            <w:vAlign w:val="center"/>
            <w:textDirection w:val="lrTb"/>
            <w:noWrap/>
          </w:tcPr>
          <w:p>
            <w:pPr>
              <w:jc w:val="center"/>
              <w:rPr>
                <w:rFonts w:hAnsi="宋体"/>
                <w:color w:val="auto"/>
                <w:szCs w:val="21"/>
                <w:highlight w:val="none"/>
              </w:rPr>
            </w:pPr>
            <w:r>
              <w:rPr>
                <w:rFonts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w:t>
      </w:r>
      <w:r>
        <w:rPr>
          <w:rFonts w:hint="eastAsia" w:hAnsi="宋体"/>
          <w:bCs/>
          <w:color w:val="auto"/>
          <w:szCs w:val="21"/>
          <w:highlight w:val="none"/>
        </w:rPr>
        <w:t xml:space="preserve">货物</w:t>
      </w:r>
      <w:r>
        <w:rPr>
          <w:rFonts w:hAnsi="宋体"/>
          <w:bCs/>
          <w:color w:val="auto"/>
          <w:szCs w:val="21"/>
          <w:highlight w:val="none"/>
        </w:rPr>
        <w:t xml:space="preserve">（货物）技术对照表》投标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bCs/>
          <w:color w:val="auto"/>
          <w:szCs w:val="21"/>
          <w:highlight w:val="none"/>
        </w:rPr>
        <w:t xml:space="preserve">“</w:t>
      </w:r>
      <w:r>
        <w:rPr>
          <w:rFonts w:hAnsi="宋体"/>
          <w:bCs/>
          <w:color w:val="auto"/>
          <w:szCs w:val="21"/>
          <w:highlight w:val="none"/>
        </w:rPr>
        <w:t xml:space="preserve">完全响应</w:t>
      </w:r>
      <w:r>
        <w:rPr>
          <w:bCs/>
          <w:color w:val="auto"/>
          <w:szCs w:val="21"/>
          <w:highlight w:val="none"/>
        </w:rPr>
        <w:t xml:space="preserve">“</w:t>
      </w:r>
      <w:r>
        <w:rPr>
          <w:rFonts w:hAnsi="宋体"/>
          <w:bCs/>
          <w:color w:val="auto"/>
          <w:szCs w:val="21"/>
          <w:highlight w:val="none"/>
        </w:rPr>
        <w:t xml:space="preserve">等字样的技术参数部分不得分。</w:t>
      </w:r>
      <w:r/>
    </w:p>
    <w:p>
      <w:pPr>
        <w:pStyle w:val="1037"/>
        <w:spacing w:line="360" w:lineRule="auto"/>
        <w:rPr>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 xml:space="preserve">格式6、</w:t>
      </w:r>
      <w:r>
        <w:rPr>
          <w:rFonts w:hint="eastAsia" w:ascii="Times New Roman" w:hAnsi="Times New Roman" w:eastAsia="宋体"/>
          <w:b/>
          <w:bCs/>
          <w:color w:val="auto"/>
          <w:sz w:val="21"/>
          <w:szCs w:val="21"/>
          <w:highlight w:val="none"/>
          <w:lang w:val="en-US"/>
        </w:rPr>
        <w:t xml:space="preserve">投标货物、材料</w:t>
      </w:r>
      <w:r>
        <w:rPr>
          <w:rFonts w:ascii="Times New Roman" w:hAnsi="Times New Roman" w:eastAsia="宋体"/>
          <w:b/>
          <w:bCs/>
          <w:color w:val="auto"/>
          <w:sz w:val="21"/>
          <w:szCs w:val="21"/>
          <w:highlight w:val="none"/>
          <w:lang w:val="en-US"/>
        </w:rPr>
        <w:t xml:space="preserve">清单表</w:t>
      </w:r>
      <w:r/>
    </w:p>
    <w:p>
      <w:pPr>
        <w:jc w:val="center"/>
        <w:rPr>
          <w:rFonts w:ascii="宋体" w:hAnsi="宋体" w:cs="宋体"/>
          <w:color w:val="auto"/>
          <w:szCs w:val="21"/>
          <w:highlight w:val="none"/>
        </w:rPr>
      </w:pPr>
      <w:r>
        <w:rPr>
          <w:rFonts w:hint="eastAsia" w:ascii="宋体" w:hAnsi="宋体" w:cs="宋体"/>
          <w:b/>
          <w:color w:val="auto"/>
          <w:sz w:val="30"/>
          <w:szCs w:val="20"/>
          <w:highlight w:val="none"/>
          <w:lang w:val="zh-CN"/>
        </w:rPr>
        <w:t xml:space="preserve">货物、材料清单表</w:t>
      </w:r>
      <w:r/>
    </w:p>
    <w:p>
      <w:pPr>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采购编号：</w:t>
      </w:r>
      <w:r/>
    </w:p>
    <w:tbl>
      <w:tblPr>
        <w:tblStyle w:val="679"/>
        <w:tblW w:w="0" w:type="auto"/>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4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W w:w="14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型号/规格</w:t>
            </w:r>
            <w:r/>
          </w:p>
        </w:tc>
        <w:tc>
          <w:tcPr>
            <w:tcW w:w="14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W w:w="144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W w:w="1523"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W w:w="1015"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44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523"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c>
          <w:tcPr>
            <w:tcW w:w="1015" w:type="dxa"/>
            <w:vAlign w:val="top"/>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货物、材料</w:t>
      </w:r>
      <w:r>
        <w:rPr>
          <w:rFonts w:hAnsi="宋体"/>
          <w:bCs/>
          <w:color w:val="auto"/>
          <w:szCs w:val="21"/>
          <w:highlight w:val="none"/>
        </w:rPr>
        <w:t xml:space="preserve">清单表》投标。</w:t>
      </w:r>
      <w:r/>
    </w:p>
    <w:p>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 xml:space="preserve">、各投标人必须附详细配置清单。</w:t>
      </w:r>
      <w:r/>
    </w:p>
    <w:p>
      <w:pPr>
        <w:pStyle w:val="716"/>
        <w:ind w:firstLine="3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16"/>
        <w:ind w:firstLine="0"/>
        <w:spacing w:line="360" w:lineRule="auto"/>
        <w:rPr>
          <w:color w:val="auto"/>
          <w:highlight w:val="none"/>
        </w:rPr>
      </w:pPr>
      <w:r>
        <w:rPr>
          <w:color w:val="auto"/>
          <w:highlight w:val="none"/>
        </w:rPr>
        <w:br w:type="page" w:clear="all"/>
      </w:r>
      <w:r/>
    </w:p>
    <w:p>
      <w:pPr>
        <w:pStyle w:val="716"/>
        <w:ind w:firstLine="0"/>
        <w:spacing w:line="360" w:lineRule="auto"/>
        <w:rPr>
          <w:rFonts w:hAnsi="宋体"/>
          <w:bCs/>
          <w:color w:val="auto"/>
          <w:sz w:val="21"/>
          <w:szCs w:val="21"/>
          <w:highlight w:val="none"/>
        </w:rPr>
      </w:pPr>
      <w:r>
        <w:rPr>
          <w:rFonts w:hAnsi="宋体"/>
          <w:bCs/>
          <w:color w:val="auto"/>
          <w:sz w:val="21"/>
          <w:szCs w:val="21"/>
          <w:highlight w:val="none"/>
        </w:rPr>
      </w:r>
      <w:r/>
    </w:p>
    <w:p>
      <w:pPr>
        <w:pStyle w:val="716"/>
        <w:ind w:firstLine="0"/>
        <w:spacing w:line="360" w:lineRule="auto"/>
        <w:rPr>
          <w:rFonts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rPr>
        <w:t xml:space="preserve">7</w:t>
      </w:r>
      <w:r>
        <w:rPr>
          <w:rFonts w:ascii="宋体" w:hAnsi="宋体" w:eastAsia="宋体"/>
          <w:b/>
          <w:bCs/>
          <w:color w:val="auto"/>
          <w:sz w:val="21"/>
          <w:szCs w:val="21"/>
          <w:highlight w:val="none"/>
        </w:rPr>
        <w:t xml:space="preserve">、商务条款偏离表</w:t>
      </w:r>
      <w:r/>
    </w:p>
    <w:p>
      <w:pPr>
        <w:pStyle w:val="716"/>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716"/>
        <w:ind w:firstLine="0"/>
        <w:spacing w:line="360" w:lineRule="auto"/>
        <w:rPr>
          <w:bCs/>
          <w:color w:val="auto"/>
          <w:sz w:val="21"/>
          <w:szCs w:val="21"/>
          <w:highlight w:val="none"/>
        </w:rPr>
      </w:pPr>
      <w:r>
        <w:rPr>
          <w:rFonts w:hAnsi="宋体"/>
          <w:bCs/>
          <w:color w:val="auto"/>
          <w:sz w:val="21"/>
          <w:szCs w:val="21"/>
          <w:highlight w:val="none"/>
        </w:rPr>
        <w:t xml:space="preserve">采购编号：</w:t>
      </w:r>
      <w:r/>
    </w:p>
    <w:tbl>
      <w:tblPr>
        <w:tblStyle w:val="679"/>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rHeight w:val="297"/>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r>
        <w:trPr>
          <w:trHeight w:val="70"/>
        </w:trPr>
        <w:tc>
          <w:tcPr>
            <w:tcW w:w="828" w:type="dxa"/>
            <w:vAlign w:val="center"/>
            <w:textDirection w:val="lrTb"/>
            <w:noWrap/>
          </w:tcPr>
          <w:p>
            <w:pPr>
              <w:spacing w:before="240" w:after="240"/>
              <w:rPr>
                <w:color w:val="auto"/>
                <w:highlight w:val="none"/>
              </w:rPr>
            </w:pPr>
            <w:r>
              <w:rPr>
                <w:color w:val="auto"/>
                <w:highlight w:val="none"/>
              </w:rPr>
            </w:r>
            <w:r/>
          </w:p>
        </w:tc>
        <w:tc>
          <w:tcPr>
            <w:tcW w:w="3240" w:type="dxa"/>
            <w:vAlign w:val="center"/>
            <w:textDirection w:val="lrTb"/>
            <w:noWrap/>
          </w:tcPr>
          <w:p>
            <w:pPr>
              <w:spacing w:before="240" w:after="240"/>
              <w:rPr>
                <w:color w:val="auto"/>
                <w:highlight w:val="none"/>
              </w:rPr>
            </w:pPr>
            <w:r>
              <w:rPr>
                <w:color w:val="auto"/>
                <w:highlight w:val="none"/>
              </w:rPr>
            </w:r>
            <w:r/>
          </w:p>
        </w:tc>
        <w:tc>
          <w:tcPr>
            <w:tcW w:w="3060" w:type="dxa"/>
            <w:vAlign w:val="center"/>
            <w:textDirection w:val="lrTb"/>
            <w:noWrap/>
          </w:tcPr>
          <w:p>
            <w:pPr>
              <w:spacing w:before="240" w:after="240"/>
              <w:rPr>
                <w:color w:val="auto"/>
                <w:highlight w:val="none"/>
              </w:rPr>
            </w:pPr>
            <w:r>
              <w:rPr>
                <w:color w:val="auto"/>
                <w:highlight w:val="none"/>
              </w:rPr>
            </w:r>
            <w:r/>
          </w:p>
        </w:tc>
        <w:tc>
          <w:tcPr>
            <w:tcW w:w="1260" w:type="dxa"/>
            <w:vAlign w:val="center"/>
            <w:textDirection w:val="lrTb"/>
            <w:noWrap/>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716"/>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Ansi="宋体"/>
          <w:bCs/>
          <w:color w:val="auto"/>
          <w:szCs w:val="21"/>
          <w:highlight w:val="none"/>
        </w:rPr>
      </w:pPr>
      <w:r>
        <w:rPr>
          <w:rFonts w:hAnsi="宋体"/>
          <w:bCs/>
          <w:color w:val="auto"/>
          <w:szCs w:val="21"/>
          <w:highlight w:val="none"/>
        </w:rPr>
        <w:t xml:space="preserve">日期：年月日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rPr>
        <w:t xml:space="preserve">8</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716"/>
        <w:ind w:firstLine="0"/>
        <w:jc w:val="both"/>
        <w:spacing w:line="360" w:lineRule="auto"/>
        <w:rPr>
          <w:rFonts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679"/>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W w:w="1729"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W w:w="1874"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W w:w="961"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tbRlV"/>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tcPr>
          <w:p>
            <w:pPr>
              <w:pStyle w:val="71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pStyle w:val="716"/>
        <w:ind w:firstLine="0"/>
        <w:jc w:val="both"/>
        <w:spacing w:line="360" w:lineRule="auto"/>
        <w:rPr>
          <w:rFonts w:ascii="宋体" w:hAnsi="宋体" w:eastAsia="宋体"/>
          <w:bCs/>
          <w:color w:val="auto"/>
          <w:highlight w:val="none"/>
        </w:rPr>
      </w:pPr>
      <w:r>
        <w:rPr>
          <w:rFonts w:ascii="宋体" w:hAnsi="宋体" w:eastAsia="宋体"/>
          <w:bCs/>
          <w:color w:val="auto"/>
          <w:highlight w:val="none"/>
        </w:rPr>
      </w:r>
      <w:r/>
    </w:p>
    <w:p>
      <w:pPr>
        <w:pStyle w:val="716"/>
        <w:ind w:firstLine="0"/>
        <w:jc w:val="both"/>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16"/>
        <w:ind w:firstLine="0"/>
        <w:jc w:val="center"/>
        <w:spacing w:line="360" w:lineRule="auto"/>
        <w:rPr>
          <w:bCs/>
          <w:color w:val="auto"/>
          <w:sz w:val="21"/>
          <w:szCs w:val="21"/>
          <w:highlight w:val="none"/>
        </w:rPr>
      </w:pPr>
      <w:r>
        <w:rPr>
          <w:bCs/>
          <w:color w:val="auto"/>
          <w:sz w:val="21"/>
          <w:szCs w:val="21"/>
          <w:highlight w:val="none"/>
        </w:rPr>
      </w:r>
      <w:r/>
    </w:p>
    <w:p>
      <w:pPr>
        <w:pStyle w:val="716"/>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日期：年月日</w:t>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格式9、资格证明文件</w:t>
      </w:r>
      <w:r/>
    </w:p>
    <w:p>
      <w:pPr>
        <w:pStyle w:val="716"/>
        <w:ind w:firstLine="0"/>
        <w:rPr>
          <w:b/>
          <w:color w:val="auto"/>
          <w:sz w:val="21"/>
          <w:szCs w:val="21"/>
          <w:highlight w:val="none"/>
        </w:rPr>
      </w:pPr>
      <w:r>
        <w:rPr>
          <w:b/>
          <w:color w:val="auto"/>
          <w:sz w:val="21"/>
          <w:szCs w:val="21"/>
          <w:highlight w:val="none"/>
        </w:rPr>
      </w:r>
      <w:r/>
    </w:p>
    <w:p>
      <w:pPr>
        <w:pStyle w:val="716"/>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16"/>
        <w:ind w:firstLine="0"/>
        <w:rPr>
          <w:b/>
          <w:color w:val="auto"/>
          <w:sz w:val="21"/>
          <w:szCs w:val="21"/>
          <w:highlight w:val="none"/>
        </w:rPr>
      </w:pPr>
      <w:r>
        <w:rPr>
          <w:b/>
          <w:color w:val="auto"/>
          <w:sz w:val="21"/>
          <w:szCs w:val="21"/>
          <w:highlight w:val="none"/>
        </w:rPr>
      </w:r>
      <w:r/>
    </w:p>
    <w:p>
      <w:pPr>
        <w:pStyle w:val="716"/>
        <w:ind w:firstLine="0"/>
        <w:rPr>
          <w:b/>
          <w:color w:val="auto"/>
          <w:highlight w:val="none"/>
        </w:rPr>
      </w:pPr>
      <w:r>
        <w:rPr>
          <w:b/>
          <w:color w:val="auto"/>
          <w:highlight w:val="none"/>
        </w:rPr>
      </w:r>
      <w:r/>
    </w:p>
    <w:p>
      <w:pPr>
        <w:pStyle w:val="746"/>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46"/>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16"/>
        <w:jc w:val="center"/>
        <w:rPr>
          <w:rFonts w:ascii="Times New Roman"/>
          <w:color w:val="auto"/>
          <w:highlight w:val="none"/>
        </w:rPr>
      </w:pPr>
      <w:r>
        <w:rPr>
          <w:rFonts w:ascii="Times New Roman"/>
          <w:color w:val="auto"/>
          <w:highlight w:val="none"/>
        </w:rPr>
      </w:r>
      <w:r/>
    </w:p>
    <w:p>
      <w:pPr>
        <w:pStyle w:val="716"/>
        <w:jc w:val="center"/>
        <w:rPr>
          <w:color w:val="auto"/>
          <w:highlight w:val="none"/>
        </w:rPr>
      </w:pPr>
      <w:r>
        <w:rPr>
          <w:color w:val="auto"/>
          <w:highlight w:val="none"/>
        </w:rPr>
      </w:r>
      <w:r/>
    </w:p>
    <w:p>
      <w:pPr>
        <w:pStyle w:val="746"/>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16"/>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日期：年月日</w:t>
      </w:r>
      <w:r/>
    </w:p>
    <w:p>
      <w:pPr>
        <w:pStyle w:val="716"/>
        <w:ind w:firstLine="0"/>
        <w:spacing w:line="400" w:lineRule="exact"/>
        <w:rPr>
          <w:color w:val="auto"/>
          <w:sz w:val="21"/>
          <w:szCs w:val="21"/>
          <w:highlight w:val="none"/>
        </w:rPr>
      </w:pPr>
      <w:r>
        <w:rPr>
          <w:color w:val="auto"/>
          <w:sz w:val="21"/>
          <w:szCs w:val="21"/>
          <w:highlight w:val="none"/>
        </w:rPr>
      </w:r>
      <w:r/>
    </w:p>
    <w:p>
      <w:pPr>
        <w:pStyle w:val="716"/>
        <w:ind w:firstLine="0"/>
        <w:rPr>
          <w:color w:val="auto"/>
          <w:highlight w:val="none"/>
        </w:rPr>
      </w:pPr>
      <w:r>
        <w:rPr>
          <w:color w:val="auto"/>
          <w:highlight w:val="none"/>
        </w:rPr>
      </w:r>
      <w:r/>
    </w:p>
    <w:p>
      <w:pPr>
        <w:pStyle w:val="716"/>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）投标人情况表</w:t>
      </w:r>
      <w:r/>
    </w:p>
    <w:p>
      <w:pPr>
        <w:pStyle w:val="716"/>
        <w:ind w:firstLine="0"/>
        <w:rPr>
          <w:rFonts w:ascii="宋体" w:hAnsi="宋体"/>
          <w:color w:val="auto"/>
          <w:highlight w:val="none"/>
        </w:rPr>
      </w:pPr>
      <w:r>
        <w:rPr>
          <w:rFonts w:ascii="宋体" w:hAnsi="宋体"/>
          <w:color w:val="auto"/>
          <w:highlight w:val="none"/>
        </w:rPr>
      </w:r>
      <w:r/>
    </w:p>
    <w:p>
      <w:pPr>
        <w:pStyle w:val="746"/>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投标人情况表</w:t>
      </w:r>
      <w:r/>
    </w:p>
    <w:p>
      <w:pPr>
        <w:spacing w:line="400" w:lineRule="exact"/>
        <w:rPr>
          <w:color w:val="auto"/>
          <w:szCs w:val="21"/>
          <w:highlight w:val="none"/>
        </w:rPr>
      </w:pPr>
      <w:r>
        <w:rPr>
          <w:rFonts w:hint="eastAsia"/>
          <w:color w:val="auto"/>
          <w:szCs w:val="21"/>
          <w:highlight w:val="none"/>
        </w:rPr>
        <w:t xml:space="preserve">采购编号：</w:t>
      </w:r>
      <w:r/>
    </w:p>
    <w:tbl>
      <w:tblPr>
        <w:tblStyle w:val="67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tcPr>
          <w:p>
            <w:pPr>
              <w:pStyle w:val="71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tcPr>
          <w:p>
            <w:pPr>
              <w:pStyle w:val="71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tcPr>
          <w:p>
            <w:pPr>
              <w:pStyle w:val="71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tcPr>
          <w:p>
            <w:pPr>
              <w:pStyle w:val="71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tcPr>
          <w:p>
            <w:pPr>
              <w:pStyle w:val="71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tcPr>
          <w:p>
            <w:pPr>
              <w:pStyle w:val="71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tcPr>
          <w:p>
            <w:pPr>
              <w:pStyle w:val="71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tcPr>
          <w:p>
            <w:pPr>
              <w:pStyle w:val="716"/>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tcPr>
          <w:p>
            <w:pPr>
              <w:pStyle w:val="716"/>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tcPr>
          <w:p>
            <w:pPr>
              <w:pStyle w:val="716"/>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tcPr>
          <w:p>
            <w:pPr>
              <w:pStyle w:val="716"/>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年总营业收入</w:t>
            </w:r>
            <w:r/>
          </w:p>
        </w:tc>
        <w:tc>
          <w:tcPr>
            <w:tcW w:w="1669" w:type="dxa"/>
            <w:vAlign w:val="center"/>
            <w:textDirection w:val="lrTb"/>
            <w:noWrap/>
          </w:tcPr>
          <w:p>
            <w:pPr>
              <w:pStyle w:val="716"/>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tcPr>
          <w:p>
            <w:pPr>
              <w:pStyle w:val="716"/>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tcPr>
          <w:p>
            <w:pPr>
              <w:pStyle w:val="716"/>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1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1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16"/>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vAlign w:val="top"/>
            <w:textDirection w:val="lrTb"/>
            <w:noWrap/>
          </w:tcPr>
          <w:p>
            <w:pPr>
              <w:pStyle w:val="716"/>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vAlign w:val="top"/>
            <w:textDirection w:val="lrTb"/>
            <w:noWrap/>
          </w:tcPr>
          <w:p>
            <w:pPr>
              <w:pStyle w:val="71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vAlign w:val="top"/>
            <w:textDirection w:val="lrTb"/>
            <w:noWrap/>
          </w:tcPr>
          <w:p>
            <w:pPr>
              <w:pStyle w:val="716"/>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vAlign w:val="top"/>
            <w:textDirection w:val="lrTb"/>
            <w:noWrap/>
          </w:tcPr>
          <w:p>
            <w:pPr>
              <w:pStyle w:val="71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tcPr>
          <w:p>
            <w:pPr>
              <w:pStyle w:val="71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tcPr>
          <w:p>
            <w:pPr>
              <w:pStyle w:val="716"/>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tcPr>
          <w:p>
            <w:pPr>
              <w:pStyle w:val="71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16"/>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格式10、技术方案</w:t>
      </w:r>
      <w:r/>
    </w:p>
    <w:p>
      <w:pPr>
        <w:pStyle w:val="746"/>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技术方案</w:t>
      </w:r>
      <w:r/>
    </w:p>
    <w:tbl>
      <w:tblPr>
        <w:tblStyle w:val="679"/>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、投标人应针对本次招标项目特点编写公司所采取的技术方案，从</w:t>
            </w:r>
            <w:r>
              <w:rPr>
                <w:rFonts w:hint="eastAsia" w:hAnsi="宋体"/>
                <w:color w:val="auto"/>
                <w:szCs w:val="21"/>
                <w:highlight w:val="none"/>
              </w:rPr>
              <w:t xml:space="preserve">产品的设计先进性、结构（外形）合理性、操作便捷性和安全性、质量可靠性和稳定性、经济适用性</w:t>
            </w:r>
            <w:r>
              <w:rPr>
                <w:rFonts w:hint="eastAsia"/>
                <w:color w:val="auto"/>
                <w:szCs w:val="21"/>
                <w:highlight w:val="none"/>
              </w:rPr>
              <w:t xml:space="preserve">等方面，阐述</w:t>
            </w:r>
            <w:r>
              <w:rPr>
                <w:rFonts w:hAnsi="宋体"/>
                <w:color w:val="auto"/>
                <w:szCs w:val="21"/>
                <w:highlight w:val="none"/>
              </w:rPr>
              <w:t xml:space="preserve">产品的技术先进性</w:t>
            </w:r>
            <w:r>
              <w:rPr>
                <w:rFonts w:hint="eastAsia"/>
                <w:color w:val="auto"/>
                <w:szCs w:val="21"/>
                <w:highlight w:val="none"/>
              </w:rPr>
              <w:t xml:space="preserve">。</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vAlign w:val="top"/>
            <w:textDirection w:val="lrTb"/>
            <w:noWrap/>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rPr>
          <w:b/>
          <w:color w:val="auto"/>
          <w:szCs w:val="21"/>
          <w:highlight w:val="none"/>
        </w:rPr>
      </w:pPr>
      <w:r>
        <w:rPr>
          <w:b/>
          <w:color w:val="auto"/>
          <w:szCs w:val="21"/>
          <w:highlight w:val="none"/>
        </w:rPr>
      </w:r>
      <w:r/>
    </w:p>
    <w:p>
      <w:pPr>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br w:type="page" w:clear="all"/>
      </w:r>
      <w:r/>
    </w:p>
    <w:p>
      <w:pPr>
        <w:rPr>
          <w:b/>
          <w:color w:val="auto"/>
          <w:szCs w:val="21"/>
          <w:highlight w:val="none"/>
        </w:rPr>
      </w:pPr>
      <w:r>
        <w:rPr>
          <w:b/>
          <w:color w:val="auto"/>
          <w:szCs w:val="21"/>
          <w:highlight w:val="none"/>
        </w:rPr>
      </w:r>
      <w:r/>
    </w:p>
    <w:p>
      <w:pPr>
        <w:rPr>
          <w:rFonts w:ascii="宋体" w:hAnsi="宋体"/>
          <w:b/>
          <w:bCs/>
          <w:color w:val="auto"/>
          <w:sz w:val="24"/>
          <w:highlight w:val="none"/>
        </w:rPr>
      </w:pPr>
      <w:r>
        <w:rPr>
          <w:rFonts w:hint="eastAsia"/>
          <w:b/>
          <w:color w:val="auto"/>
          <w:szCs w:val="21"/>
          <w:highlight w:val="none"/>
        </w:rPr>
        <w:t xml:space="preserve">格式11、培训方案</w:t>
      </w:r>
      <w:r/>
    </w:p>
    <w:p>
      <w:pPr>
        <w:pStyle w:val="746"/>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培训方案</w:t>
      </w:r>
      <w:r/>
    </w:p>
    <w:tbl>
      <w:tblPr>
        <w:tblStyle w:val="67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、投标人应针对本次招标项目特点编写公司中标后拟采取的培训方案。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vAlign w:val="top"/>
            <w:textDirection w:val="lrTb"/>
            <w:noWrap/>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spacing w:line="360" w:lineRule="auto"/>
        <w:tabs>
          <w:tab w:val="left" w:pos="1320" w:leader="none"/>
        </w:tabs>
        <w:rPr>
          <w:rFonts w:ascii="宋体" w:hAnsi="宋体"/>
          <w:b/>
          <w:bCs/>
          <w:color w:val="auto"/>
          <w:sz w:val="24"/>
          <w:highlight w:val="none"/>
        </w:rPr>
      </w:pPr>
      <w:r>
        <w:rPr>
          <w:rFonts w:ascii="宋体" w:hAnsi="宋体"/>
          <w:b/>
          <w:bCs/>
          <w:color w:val="auto"/>
          <w:sz w:val="24"/>
          <w:highlight w:val="none"/>
        </w:rPr>
      </w:r>
      <w:r/>
    </w:p>
    <w:p>
      <w:pPr>
        <w:spacing w:line="360" w:lineRule="auto"/>
        <w:tabs>
          <w:tab w:val="left" w:pos="1320" w:leader="none"/>
        </w:tabs>
        <w:rPr>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、售后服务方案</w:t>
      </w:r>
      <w:r/>
    </w:p>
    <w:p>
      <w:pPr>
        <w:pStyle w:val="746"/>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售后服务方案</w:t>
      </w:r>
      <w:r/>
    </w:p>
    <w:tbl>
      <w:tblPr>
        <w:tblStyle w:val="67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、投标人应针对本次招标项目特点编写公司中标后拟采取的售后服务方案。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vAlign w:val="top"/>
            <w:textDirection w:val="lrTb"/>
            <w:noWrap/>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color w:val="auto"/>
          <w:szCs w:val="21"/>
          <w:highlight w:val="none"/>
        </w:rPr>
      </w:pPr>
      <w:r>
        <w:rPr>
          <w:color w:val="auto"/>
          <w:szCs w:val="21"/>
          <w:highlight w:val="none"/>
        </w:rPr>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ascii="宋体" w:hAnsi="宋体"/>
          <w:b/>
          <w:color w:val="auto"/>
          <w:szCs w:val="21"/>
          <w:highlight w:val="none"/>
        </w:rPr>
      </w:pPr>
      <w:r>
        <w:rPr>
          <w:rFonts w:ascii="宋体" w:hAnsi="宋体"/>
          <w:b/>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本公司郑重声明，根据《政府采购促进中小企业发展管理办法》（财库﹝2020﹞46 号）的规定，本公司参加的采购活动，提供的货物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0"/>
        </w:numPr>
        <w:ind w:left="0" w:firstLine="422"/>
        <w:jc w:val="left"/>
        <w:spacing w:line="400" w:lineRule="exact"/>
        <w:rPr>
          <w:rFonts w:ascii="宋体" w:hAnsi="宋体"/>
          <w:color w:val="auto"/>
          <w:szCs w:val="21"/>
          <w:highlight w:val="none"/>
          <w:u w:val="single"/>
        </w:rPr>
      </w:pPr>
      <w:r>
        <w:rPr>
          <w:rFonts w:hint="default" w:ascii="宋体" w:hAnsi="宋体" w:eastAsia="宋体" w:cs="Times New Roman"/>
          <w:b/>
          <w:color w:val="auto"/>
          <w:sz w:val="21"/>
          <w:szCs w:val="21"/>
          <w:lang w:val="en-US" w:eastAsia="zh-CN" w:bidi="ar-SA"/>
        </w:rPr>
        <w:t xml:space="preserve">1、</w:t>
      </w: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0"/>
        </w:numPr>
        <w:ind w:left="0" w:firstLine="422"/>
        <w:jc w:val="left"/>
        <w:spacing w:line="400" w:lineRule="exact"/>
        <w:rPr>
          <w:rFonts w:ascii="宋体" w:hAnsi="宋体"/>
          <w:color w:val="auto"/>
          <w:szCs w:val="21"/>
          <w:highlight w:val="none"/>
          <w:u w:val="single"/>
        </w:rPr>
      </w:pPr>
      <w:r>
        <w:rPr>
          <w:rFonts w:hint="default" w:ascii="宋体" w:hAnsi="宋体" w:eastAsia="宋体" w:cs="Times New Roman"/>
          <w:b/>
          <w:color w:val="auto"/>
          <w:sz w:val="21"/>
          <w:szCs w:val="21"/>
          <w:lang w:val="en-US" w:eastAsia="zh-CN" w:bidi="ar-SA"/>
        </w:rPr>
        <w:t xml:space="preserve">2、</w:t>
      </w: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pStyle w:val="746"/>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46"/>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46"/>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ascii="宋体" w:hAnsi="宋体"/>
          <w:color w:val="auto"/>
          <w:szCs w:val="21"/>
          <w:highlight w:val="none"/>
        </w:rPr>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0"/>
      <w:r/>
      <w:bookmarkEnd w:id="1"/>
      <w:r/>
      <w:bookmarkEnd w:id="5"/>
      <w:r/>
      <w:bookmarkEnd w:id="6"/>
      <w:r/>
      <w:r/>
    </w:p>
    <w:p>
      <w:pPr>
        <w:spacing w:line="360" w:lineRule="auto"/>
        <w:rPr>
          <w:rFonts w:ascii="宋体" w:hAnsi="宋体"/>
          <w:color w:val="auto"/>
          <w:szCs w:val="21"/>
          <w:highlight w:val="none"/>
        </w:rPr>
      </w:pPr>
      <w:r>
        <w:rPr>
          <w:rFonts w:ascii="宋体" w:hAnsi="宋体"/>
          <w:color w:val="auto"/>
          <w:szCs w:val="21"/>
          <w:highlight w:val="none"/>
        </w:rPr>
      </w:r>
      <w:r/>
    </w:p>
    <w:p>
      <w:pPr>
        <w:pStyle w:val="739"/>
        <w:rPr>
          <w:rFonts w:eastAsia="黑体"/>
          <w:b/>
          <w:color w:val="auto"/>
          <w:sz w:val="36"/>
          <w:szCs w:val="36"/>
          <w:highlight w:val="none"/>
        </w:rPr>
      </w:pPr>
      <w:r>
        <w:rPr>
          <w:rFonts w:eastAsia="黑体"/>
          <w:b/>
          <w:color w:val="auto"/>
          <w:sz w:val="36"/>
          <w:szCs w:val="36"/>
          <w:highlight w:val="none"/>
        </w:rPr>
      </w:r>
      <w:r/>
    </w:p>
    <w:p>
      <w:pPr>
        <w:jc w:val="both"/>
        <w:spacing w:line="360" w:lineRule="auto"/>
        <w:widowControl w:val="off"/>
        <w:rPr>
          <w:rFonts w:hint="eastAsia" w:ascii="宋体" w:hAnsi="宋体" w:eastAsia="宋体" w:cs="Times New Roman"/>
          <w:color w:val="auto"/>
          <w:sz w:val="21"/>
          <w:szCs w:val="21"/>
          <w:highlight w:val="none"/>
        </w:rPr>
      </w:pPr>
      <w:r>
        <w:rPr>
          <w:rFonts w:ascii="宋体" w:hAnsi="宋体"/>
          <w:b/>
          <w:bCs/>
          <w:color w:val="auto"/>
          <w:spacing w:val="20"/>
          <w:sz w:val="30"/>
          <w:highlight w:val="none"/>
        </w:rPr>
        <w:br w:type="page" w:clear="all"/>
      </w:r>
      <w:bookmarkStart w:id="8" w:name="_Hlk99527844"/>
      <w:r/>
      <w:bookmarkStart w:id="9" w:name="_Hlk110604870"/>
      <w:r>
        <w:rPr>
          <w:rFonts w:hint="eastAsia" w:ascii="宋体" w:hAnsi="宋体" w:eastAsia="宋体" w:cs="Times New Roman"/>
          <w:color w:val="auto"/>
          <w:sz w:val="21"/>
          <w:szCs w:val="21"/>
          <w:highlight w:val="none"/>
          <w:lang w:val="en-US" w:eastAsia="zh-CN"/>
        </w:rPr>
        <w:t xml:space="preserve">格式15、</w:t>
      </w:r>
      <w:r>
        <w:rPr>
          <w:rFonts w:hint="eastAsia" w:ascii="宋体" w:hAnsi="宋体" w:eastAsia="宋体" w:cs="Times New Roman"/>
          <w:color w:val="auto"/>
          <w:sz w:val="21"/>
          <w:szCs w:val="21"/>
          <w:highlight w:val="none"/>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lang w:val="en-US" w:eastAsia="zh-CN" w:bidi="ar-SA"/>
        </w:rPr>
        <w:t xml:space="preserve">关于符合本国产品标准的声明函</w:t>
      </w:r>
      <w:r/>
    </w:p>
    <w:p>
      <w:pPr>
        <w:pStyle w:val="780"/>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780"/>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78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028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78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w:t>
      </w:r>
      <w:r/>
    </w:p>
    <w:p>
      <w:pPr>
        <w:pStyle w:val="78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780"/>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780"/>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                                日期：　   年　  月　  日         </w:t>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注：</w:t>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78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ascii="宋体" w:hAnsi="宋体"/>
          <w:color w:val="auto"/>
          <w:spacing w:val="20"/>
          <w:sz w:val="24"/>
          <w:highlight w:val="none"/>
        </w:rPr>
      </w:pPr>
      <w:r>
        <w:rPr>
          <w:rFonts w:hint="eastAsia" w:ascii="宋体" w:hAnsi="宋体"/>
          <w:b/>
          <w:bCs/>
          <w:color w:val="auto"/>
          <w:spacing w:val="20"/>
          <w:sz w:val="30"/>
          <w:highlight w:val="none"/>
        </w:rPr>
        <w:br w:type="page" w:clear="all"/>
      </w: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苏州市急救中心</w:t>
      </w:r>
      <w:r>
        <w:rPr>
          <w:color w:val="auto"/>
          <w:szCs w:val="21"/>
          <w:highlight w:val="none"/>
          <w:lang w:val="zh-CN"/>
        </w:rPr>
        <w:t xml:space="preserve">委托，对其</w:t>
      </w:r>
      <w:r>
        <w:rPr>
          <w:rFonts w:hint="eastAsia"/>
          <w:color w:val="auto"/>
          <w:szCs w:val="21"/>
          <w:highlight w:val="none"/>
          <w:lang w:val="zh-CN"/>
        </w:rPr>
        <w:t xml:space="preserve">负压监护型救护车及急救设备</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JSZC-320500-SZWK-G2026-0127</w:t>
      </w:r>
      <w:r/>
    </w:p>
    <w:p>
      <w:pPr>
        <w:ind w:firstLine="422"/>
        <w:spacing w:line="400" w:lineRule="exact"/>
        <w:rPr>
          <w:rFonts w:hint="eastAsia" w:eastAsia="宋体"/>
          <w:color w:val="auto"/>
          <w:szCs w:val="21"/>
          <w:highlight w:val="none"/>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负压监护型救护车及急救设备</w:t>
      </w:r>
      <w:r/>
    </w:p>
    <w:p>
      <w:pPr>
        <w:ind w:firstLine="422"/>
        <w:spacing w:line="400" w:lineRule="exact"/>
        <w:rPr>
          <w:rFonts w:hint="eastAsia"/>
          <w:b/>
          <w:bCs/>
          <w:color w:val="auto"/>
          <w:szCs w:val="21"/>
          <w:highlight w:val="none"/>
        </w:rPr>
      </w:pPr>
      <w:r>
        <w:rPr>
          <w:rFonts w:hint="eastAsia"/>
          <w:b/>
          <w:bCs/>
          <w:color w:val="auto"/>
          <w:szCs w:val="21"/>
          <w:highlight w:val="none"/>
        </w:rPr>
        <w:t xml:space="preserve">三、采购设备技术要求及数量：</w:t>
      </w:r>
      <w:bookmarkEnd w:id="8"/>
      <w:r/>
      <w:r/>
    </w:p>
    <w:tbl>
      <w:tblPr>
        <w:tblStyle w:val="679"/>
        <w:tblW w:w="6200" w:type="dxa"/>
        <w:tblInd w:w="4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3"/>
        <w:gridCol w:w="3487"/>
        <w:gridCol w:w="1650"/>
      </w:tblGrid>
      <w:tr>
        <w:trPr>
          <w:trHeight w:val="239"/>
        </w:trPr>
        <w:tc>
          <w:tcPr>
            <w:tcW w:w="1063"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3487"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shd w:val="clear" w:color="auto" w:fill="ffffff"/>
              </w:rPr>
              <w:t xml:space="preserve">采购设备名称</w:t>
            </w:r>
            <w:r/>
          </w:p>
        </w:tc>
        <w:tc>
          <w:tcPr>
            <w:tcW w:w="1650" w:type="dxa"/>
            <w:vAlign w:val="top"/>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r>
      <w:tr>
        <w:trPr/>
        <w:tc>
          <w:tcPr>
            <w:tcW w:w="106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487" w:type="dxa"/>
            <w:vAlign w:val="top"/>
            <w:textDirection w:val="lrTb"/>
            <w:noWrap w:val="false"/>
          </w:tcPr>
          <w:p>
            <w:pPr>
              <w:rPr>
                <w:rFonts w:hint="eastAsia" w:ascii="宋体" w:hAnsi="宋体"/>
                <w:color w:val="auto"/>
                <w:szCs w:val="21"/>
                <w:highlight w:val="none"/>
              </w:rPr>
            </w:pPr>
            <w:r>
              <w:rPr>
                <w:rFonts w:hint="eastAsia"/>
                <w:color w:val="auto"/>
                <w:szCs w:val="21"/>
                <w:highlight w:val="none"/>
              </w:rPr>
              <w:t xml:space="preserve">负压监护型救护车</w:t>
            </w:r>
            <w:r/>
          </w:p>
        </w:tc>
        <w:tc>
          <w:tcPr>
            <w:tcW w:w="1650" w:type="dxa"/>
            <w:vAlign w:val="top"/>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2辆</w:t>
            </w:r>
            <w:r/>
          </w:p>
        </w:tc>
      </w:tr>
    </w:tbl>
    <w:p>
      <w:pPr>
        <w:ind w:firstLine="420"/>
        <w:spacing w:line="400" w:lineRule="exact"/>
        <w:rPr>
          <w:rFonts w:hAnsi="宋体"/>
          <w:color w:val="auto"/>
          <w:szCs w:val="21"/>
          <w:highlight w:val="none"/>
        </w:rPr>
      </w:pPr>
      <w:r>
        <w:rPr>
          <w:rFonts w:hint="eastAsia" w:hAnsi="宋体"/>
          <w:color w:val="auto"/>
          <w:szCs w:val="21"/>
          <w:highlight w:val="none"/>
        </w:rPr>
        <w:t xml:space="preserve">（一）车辆技术要求和配置</w:t>
      </w:r>
      <w:r/>
    </w:p>
    <w:tbl>
      <w:tblPr>
        <w:tblStyle w:val="679"/>
        <w:tblW w:w="89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9"/>
        <w:gridCol w:w="1438"/>
        <w:gridCol w:w="6418"/>
      </w:tblGrid>
      <w:tr>
        <w:trPr>
          <w:jc w:val="center"/>
          <w:trHeight w:val="397"/>
        </w:trPr>
        <w:tc>
          <w:tcPr>
            <w:gridSpan w:val="2"/>
            <w:tcW w:w="2547" w:type="dxa"/>
            <w:vAlign w:val="center"/>
            <w:textDirection w:val="lrTb"/>
            <w:noWrap w:val="false"/>
          </w:tcPr>
          <w:p>
            <w:pPr>
              <w:spacing w:line="280" w:lineRule="exact"/>
              <w:rPr>
                <w:rFonts w:ascii="宋体" w:hAnsi="宋体"/>
                <w:b/>
                <w:color w:val="auto"/>
                <w:szCs w:val="21"/>
                <w:highlight w:val="none"/>
              </w:rPr>
            </w:pPr>
            <w:r>
              <w:rPr>
                <w:rFonts w:ascii="宋体" w:hAnsi="宋体"/>
                <w:b/>
                <w:color w:val="auto"/>
                <w:szCs w:val="21"/>
                <w:highlight w:val="none"/>
              </w:rPr>
              <w:t xml:space="preserve">一</w:t>
            </w:r>
            <w:r>
              <w:rPr>
                <w:rFonts w:hint="eastAsia" w:ascii="宋体" w:hAnsi="宋体"/>
                <w:b/>
                <w:color w:val="auto"/>
                <w:szCs w:val="21"/>
                <w:highlight w:val="none"/>
              </w:rPr>
              <w:t xml:space="preserve">．</w:t>
            </w:r>
            <w:r>
              <w:rPr>
                <w:rFonts w:ascii="宋体" w:hAnsi="宋体"/>
                <w:b/>
                <w:color w:val="auto"/>
                <w:szCs w:val="21"/>
                <w:highlight w:val="none"/>
              </w:rPr>
              <w:t xml:space="preserve">整车技术参数</w:t>
            </w:r>
            <w:r>
              <w:rPr>
                <w:rFonts w:hint="eastAsia" w:ascii="宋体" w:hAnsi="宋体"/>
                <w:b/>
                <w:color w:val="auto"/>
                <w:szCs w:val="21"/>
                <w:highlight w:val="none"/>
              </w:rPr>
              <w:t xml:space="preserve">：</w:t>
            </w:r>
            <w:r/>
          </w:p>
        </w:tc>
        <w:tc>
          <w:tcPr>
            <w:tcW w:w="6418"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 </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车辆外形：长*宽*高（MM)</w:t>
            </w:r>
            <w:r/>
          </w:p>
        </w:tc>
        <w:tc>
          <w:tcPr>
            <w:tcW w:w="6418"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≥5370×1928×2260</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医疗舱净尺寸长*宽*高（MM)</w:t>
            </w:r>
            <w:r/>
          </w:p>
        </w:tc>
        <w:tc>
          <w:tcPr>
            <w:tcW w:w="6418"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≥2680×1650×1680</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整车整备质量（KG）</w:t>
            </w:r>
            <w:r/>
          </w:p>
        </w:tc>
        <w:tc>
          <w:tcPr>
            <w:tcW w:w="6418"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≤25</w:t>
            </w:r>
            <w:r>
              <w:rPr>
                <w:rFonts w:hint="eastAsia" w:ascii="宋体" w:hAnsi="宋体"/>
                <w:color w:val="auto"/>
                <w:szCs w:val="21"/>
                <w:highlight w:val="none"/>
              </w:rPr>
              <w:t xml:space="preserve">40</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满载总质量（KG)</w:t>
            </w:r>
            <w:r/>
          </w:p>
        </w:tc>
        <w:tc>
          <w:tcPr>
            <w:tcW w:w="6418"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≥3100</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轴距（MM）</w:t>
            </w:r>
            <w:r/>
          </w:p>
        </w:tc>
        <w:tc>
          <w:tcPr>
            <w:tcW w:w="6418"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3430</w:t>
            </w:r>
            <w:r>
              <w:rPr>
                <w:rFonts w:hint="eastAsia" w:ascii="宋体" w:hAnsi="宋体"/>
                <w:color w:val="auto"/>
                <w:szCs w:val="21"/>
                <w:highlight w:val="none"/>
              </w:rPr>
              <w:t xml:space="preserve">～3500</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油箱容积（L）</w:t>
            </w:r>
            <w:r/>
          </w:p>
        </w:tc>
        <w:tc>
          <w:tcPr>
            <w:tcW w:w="6418"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70</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综合工况油耗（升/百公里）</w:t>
            </w:r>
            <w:r>
              <w:rPr>
                <w:rFonts w:hint="eastAsia" w:ascii="宋体" w:hAnsi="宋体"/>
                <w:color w:val="auto"/>
                <w:szCs w:val="21"/>
                <w:highlight w:val="none"/>
              </w:rPr>
              <w:t xml:space="preserve">(W</w:t>
            </w:r>
            <w:r>
              <w:rPr>
                <w:rFonts w:ascii="宋体" w:hAnsi="宋体"/>
                <w:color w:val="auto"/>
                <w:szCs w:val="21"/>
                <w:highlight w:val="none"/>
              </w:rPr>
              <w:t xml:space="preserve">LTC)</w:t>
            </w:r>
            <w:r/>
          </w:p>
        </w:tc>
        <w:tc>
          <w:tcPr>
            <w:tcW w:w="6418"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≤9.5</w:t>
            </w:r>
            <w:r/>
          </w:p>
          <w:p>
            <w:pPr>
              <w:spacing w:line="28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以工信部道路机动车辆生产企业及产品信息查询系统数据为准</w:t>
            </w:r>
            <w:r>
              <w:rPr>
                <w:rFonts w:hint="eastAsia" w:ascii="宋体" w:hAnsi="宋体"/>
                <w:color w:val="auto"/>
                <w:szCs w:val="21"/>
                <w:highlight w:val="none"/>
              </w:rPr>
              <w:t xml:space="preserve">）</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最高车速（KM/H)</w:t>
            </w:r>
            <w:r/>
          </w:p>
        </w:tc>
        <w:tc>
          <w:tcPr>
            <w:tcW w:w="6418"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185</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接近角/离去角（°）</w:t>
            </w:r>
            <w:r/>
          </w:p>
        </w:tc>
        <w:tc>
          <w:tcPr>
            <w:tcW w:w="6418"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16 / 12</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轴数</w:t>
            </w:r>
            <w:r/>
          </w:p>
        </w:tc>
        <w:tc>
          <w:tcPr>
            <w:tcW w:w="6418" w:type="dxa"/>
            <w:vAlign w:val="center"/>
            <w:textDirection w:val="lrTb"/>
            <w:noWrap w:val="false"/>
          </w:tcPr>
          <w:p>
            <w:pPr>
              <w:spacing w:line="280" w:lineRule="exact"/>
              <w:rPr>
                <w:rFonts w:hint="eastAsia" w:ascii="宋体" w:hAnsi="宋体"/>
                <w:color w:val="auto"/>
                <w:szCs w:val="21"/>
                <w:highlight w:val="none"/>
              </w:rPr>
            </w:pPr>
            <w:r>
              <w:rPr>
                <w:rFonts w:hint="eastAsia" w:ascii="宋体" w:hAnsi="宋体"/>
                <w:color w:val="auto"/>
                <w:szCs w:val="21"/>
                <w:highlight w:val="none"/>
              </w:rPr>
              <w:t xml:space="preserve">2</w:t>
            </w:r>
            <w:r/>
          </w:p>
        </w:tc>
      </w:tr>
      <w:tr>
        <w:trPr>
          <w:cantSplit/>
          <w:jc w:val="center"/>
          <w:trHeight w:val="397"/>
        </w:trPr>
        <w:tc>
          <w:tcPr>
            <w:tcW w:w="1109" w:type="dxa"/>
            <w:vAlign w:val="center"/>
            <w:vMerge w:val="restart"/>
            <w:textDirection w:val="lrTb"/>
            <w:noWrap w:val="false"/>
          </w:tcPr>
          <w:p>
            <w:pPr>
              <w:ind w:firstLine="105"/>
              <w:spacing w:line="280" w:lineRule="exact"/>
              <w:rPr>
                <w:rFonts w:ascii="宋体" w:hAnsi="宋体"/>
                <w:color w:val="auto"/>
                <w:szCs w:val="21"/>
                <w:highlight w:val="none"/>
              </w:rPr>
            </w:pPr>
            <w:r>
              <w:rPr>
                <w:rFonts w:ascii="宋体" w:hAnsi="宋体"/>
                <w:color w:val="auto"/>
                <w:szCs w:val="21"/>
                <w:highlight w:val="none"/>
              </w:rPr>
              <w:t xml:space="preserve">发动机</w:t>
            </w:r>
            <w:r/>
          </w:p>
          <w:p>
            <w:pPr>
              <w:spacing w:line="280" w:lineRule="exact"/>
              <w:rPr>
                <w:rFonts w:ascii="宋体" w:hAnsi="宋体"/>
                <w:color w:val="auto"/>
                <w:szCs w:val="21"/>
                <w:highlight w:val="none"/>
              </w:rPr>
            </w:pPr>
            <w:r>
              <w:rPr>
                <w:rFonts w:hint="eastAsia" w:ascii="宋体" w:hAnsi="宋体"/>
                <w:color w:val="auto"/>
                <w:szCs w:val="21"/>
                <w:highlight w:val="none"/>
              </w:rPr>
              <w:t xml:space="preserve">               </w:t>
            </w:r>
            <w:r/>
          </w:p>
        </w:tc>
        <w:tc>
          <w:tcPr>
            <w:tcW w:w="1438"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型号形式</w:t>
            </w:r>
            <w:r/>
          </w:p>
        </w:tc>
        <w:tc>
          <w:tcPr>
            <w:tcW w:w="6418"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四缸汽油发动机、涡轮增压、缸内直喷</w:t>
            </w:r>
            <w:r/>
          </w:p>
        </w:tc>
      </w:tr>
      <w:tr>
        <w:trPr>
          <w:cantSplit/>
          <w:jc w:val="center"/>
          <w:trHeight w:val="397"/>
        </w:trPr>
        <w:tc>
          <w:tcPr>
            <w:tcW w:w="1109" w:type="dxa"/>
            <w:vAlign w:val="center"/>
            <w:vMerge w:val="continue"/>
            <w:textDirection w:val="lrTb"/>
            <w:noWrap w:val="false"/>
          </w:tcPr>
          <w:p>
            <w:pPr>
              <w:ind w:firstLine="105"/>
              <w:spacing w:line="280" w:lineRule="exact"/>
              <w:rPr>
                <w:rFonts w:ascii="宋体" w:hAnsi="宋体"/>
                <w:color w:val="auto"/>
                <w:szCs w:val="21"/>
                <w:highlight w:val="none"/>
              </w:rPr>
            </w:pPr>
            <w:r>
              <w:rPr>
                <w:rFonts w:ascii="宋体" w:hAnsi="宋体"/>
                <w:color w:val="auto"/>
                <w:szCs w:val="21"/>
                <w:highlight w:val="none"/>
              </w:rPr>
            </w:r>
            <w:r/>
          </w:p>
        </w:tc>
        <w:tc>
          <w:tcPr>
            <w:tcW w:w="1438"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排气量(ML)</w:t>
            </w:r>
            <w:r/>
          </w:p>
        </w:tc>
        <w:tc>
          <w:tcPr>
            <w:tcW w:w="6418"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199</w:t>
            </w:r>
            <w:r>
              <w:rPr>
                <w:rFonts w:hint="eastAsia" w:ascii="宋体" w:hAnsi="宋体"/>
                <w:color w:val="auto"/>
                <w:szCs w:val="21"/>
                <w:highlight w:val="none"/>
              </w:rPr>
              <w:t xml:space="preserve">9</w:t>
            </w:r>
            <w:r/>
          </w:p>
        </w:tc>
      </w:tr>
      <w:tr>
        <w:trPr>
          <w:cantSplit/>
          <w:jc w:val="center"/>
          <w:trHeight w:val="397"/>
        </w:trPr>
        <w:tc>
          <w:tcPr>
            <w:tcW w:w="1109" w:type="dxa"/>
            <w:vAlign w:val="center"/>
            <w:vMerge w:val="continue"/>
            <w:textDirection w:val="lrTb"/>
            <w:noWrap w:val="false"/>
          </w:tcPr>
          <w:p>
            <w:pPr>
              <w:ind w:firstLine="1680"/>
              <w:spacing w:line="280" w:lineRule="exact"/>
              <w:rPr>
                <w:rFonts w:ascii="宋体" w:hAnsi="宋体"/>
                <w:color w:val="auto"/>
                <w:szCs w:val="21"/>
                <w:highlight w:val="none"/>
              </w:rPr>
            </w:pPr>
            <w:r>
              <w:rPr>
                <w:rFonts w:ascii="宋体" w:hAnsi="宋体"/>
                <w:color w:val="auto"/>
                <w:szCs w:val="21"/>
                <w:highlight w:val="none"/>
              </w:rPr>
            </w:r>
            <w:r/>
          </w:p>
        </w:tc>
        <w:tc>
          <w:tcPr>
            <w:tcW w:w="1438"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功率（kw/rpm）</w:t>
            </w:r>
            <w:r/>
          </w:p>
        </w:tc>
        <w:tc>
          <w:tcPr>
            <w:tcW w:w="6418"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50～170</w:t>
            </w:r>
            <w:r>
              <w:rPr>
                <w:rFonts w:ascii="宋体" w:hAnsi="宋体"/>
                <w:color w:val="auto"/>
                <w:szCs w:val="21"/>
                <w:highlight w:val="none"/>
              </w:rPr>
              <w:t xml:space="preserve">/5500</w:t>
            </w:r>
            <w:r/>
          </w:p>
        </w:tc>
      </w:tr>
      <w:tr>
        <w:trPr>
          <w:cantSplit/>
          <w:jc w:val="center"/>
          <w:trHeight w:val="397"/>
        </w:trPr>
        <w:tc>
          <w:tcPr>
            <w:tcW w:w="1109" w:type="dxa"/>
            <w:vAlign w:val="center"/>
            <w:vMerge w:val="continue"/>
            <w:textDirection w:val="lrTb"/>
            <w:noWrap w:val="false"/>
          </w:tcPr>
          <w:p>
            <w:pPr>
              <w:ind w:firstLine="1680"/>
              <w:spacing w:line="280" w:lineRule="exact"/>
              <w:rPr>
                <w:rFonts w:ascii="宋体" w:hAnsi="宋体"/>
                <w:color w:val="auto"/>
                <w:szCs w:val="21"/>
                <w:highlight w:val="none"/>
              </w:rPr>
            </w:pPr>
            <w:r>
              <w:rPr>
                <w:rFonts w:ascii="宋体" w:hAnsi="宋体"/>
                <w:color w:val="auto"/>
                <w:szCs w:val="21"/>
                <w:highlight w:val="none"/>
              </w:rPr>
            </w:r>
            <w:r/>
          </w:p>
        </w:tc>
        <w:tc>
          <w:tcPr>
            <w:tcW w:w="1438"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最大扭矩（Nm/rpm）</w:t>
            </w:r>
            <w:r/>
          </w:p>
        </w:tc>
        <w:tc>
          <w:tcPr>
            <w:tcW w:w="6418"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70</w:t>
            </w:r>
            <w:r>
              <w:rPr>
                <w:rFonts w:ascii="宋体" w:hAnsi="宋体"/>
                <w:color w:val="auto"/>
                <w:szCs w:val="21"/>
                <w:highlight w:val="none"/>
              </w:rPr>
              <w:t xml:space="preserve">/</w:t>
            </w:r>
            <w:r>
              <w:rPr>
                <w:rFonts w:hint="eastAsia" w:ascii="宋体" w:hAnsi="宋体"/>
                <w:color w:val="auto"/>
                <w:szCs w:val="21"/>
                <w:highlight w:val="none"/>
              </w:rPr>
              <w:t xml:space="preserve">2000～</w:t>
            </w:r>
            <w:r>
              <w:rPr>
                <w:rFonts w:ascii="宋体" w:hAnsi="宋体"/>
                <w:color w:val="auto"/>
                <w:szCs w:val="21"/>
                <w:highlight w:val="none"/>
              </w:rPr>
              <w:t xml:space="preserve">4000</w:t>
            </w:r>
            <w:r/>
          </w:p>
        </w:tc>
      </w:tr>
      <w:tr>
        <w:trPr>
          <w:cantSplit/>
          <w:jc w:val="center"/>
          <w:trHeight w:val="397"/>
        </w:trPr>
        <w:tc>
          <w:tcPr>
            <w:tcW w:w="1109" w:type="dxa"/>
            <w:vAlign w:val="center"/>
            <w:vMerge w:val="continue"/>
            <w:textDirection w:val="lrTb"/>
            <w:noWrap w:val="false"/>
          </w:tcPr>
          <w:p>
            <w:pPr>
              <w:ind w:firstLine="1680"/>
              <w:spacing w:line="280" w:lineRule="exact"/>
              <w:rPr>
                <w:rFonts w:ascii="宋体" w:hAnsi="宋体"/>
                <w:color w:val="auto"/>
                <w:szCs w:val="21"/>
                <w:highlight w:val="none"/>
              </w:rPr>
            </w:pPr>
            <w:r>
              <w:rPr>
                <w:rFonts w:ascii="宋体" w:hAnsi="宋体"/>
                <w:color w:val="auto"/>
                <w:szCs w:val="21"/>
                <w:highlight w:val="none"/>
              </w:rPr>
            </w:r>
            <w:r/>
          </w:p>
        </w:tc>
        <w:tc>
          <w:tcPr>
            <w:tcW w:w="1438"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排放标准</w:t>
            </w:r>
            <w:r/>
          </w:p>
        </w:tc>
        <w:tc>
          <w:tcPr>
            <w:tcW w:w="6418"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G</w:t>
            </w:r>
            <w:r>
              <w:rPr>
                <w:rFonts w:ascii="宋体" w:hAnsi="宋体"/>
                <w:color w:val="auto"/>
                <w:szCs w:val="21"/>
                <w:highlight w:val="none"/>
              </w:rPr>
              <w:t xml:space="preserve">B18352.6-2016国</w:t>
            </w:r>
            <w:r>
              <w:rPr>
                <w:rFonts w:hint="eastAsia" w:ascii="宋体" w:hAnsi="宋体"/>
                <w:color w:val="auto"/>
                <w:szCs w:val="21"/>
                <w:highlight w:val="none"/>
              </w:rPr>
              <w:t xml:space="preserve">Ⅵ</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变速器</w:t>
            </w:r>
            <w:r/>
          </w:p>
        </w:tc>
        <w:tc>
          <w:tcPr>
            <w:tcW w:w="6418"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9</w:t>
            </w:r>
            <w:r>
              <w:rPr>
                <w:rFonts w:hint="eastAsia" w:ascii="宋体" w:hAnsi="宋体"/>
                <w:color w:val="auto"/>
                <w:szCs w:val="21"/>
                <w:highlight w:val="none"/>
              </w:rPr>
              <w:t xml:space="preserve">速自动变速箱</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蓄电池（V/</w:t>
            </w:r>
            <w:r>
              <w:rPr>
                <w:rFonts w:ascii="宋体" w:hAnsi="宋体"/>
                <w:color w:val="auto"/>
                <w:szCs w:val="21"/>
                <w:highlight w:val="none"/>
              </w:rPr>
              <w:t xml:space="preserve">Ah</w:t>
            </w:r>
            <w:r>
              <w:rPr>
                <w:rFonts w:hint="eastAsia" w:ascii="宋体" w:hAnsi="宋体"/>
                <w:color w:val="auto"/>
                <w:szCs w:val="21"/>
                <w:highlight w:val="none"/>
              </w:rPr>
              <w:t xml:space="preserve">）</w:t>
            </w:r>
            <w:r/>
          </w:p>
        </w:tc>
        <w:tc>
          <w:tcPr>
            <w:tcW w:w="6418"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12/</w:t>
            </w:r>
            <w:r>
              <w:rPr>
                <w:rFonts w:ascii="宋体" w:hAnsi="宋体"/>
                <w:color w:val="auto"/>
                <w:szCs w:val="21"/>
                <w:highlight w:val="none"/>
              </w:rPr>
              <w:t xml:space="preserve">8</w:t>
            </w:r>
            <w:r>
              <w:rPr>
                <w:rFonts w:hint="eastAsia" w:ascii="宋体" w:hAnsi="宋体"/>
                <w:color w:val="auto"/>
                <w:szCs w:val="21"/>
                <w:highlight w:val="none"/>
              </w:rPr>
              <w:t xml:space="preserve">0</w:t>
            </w:r>
            <w:r>
              <w:rPr>
                <w:rFonts w:ascii="宋体" w:hAnsi="宋体"/>
                <w:color w:val="auto"/>
                <w:szCs w:val="21"/>
                <w:highlight w:val="none"/>
              </w:rPr>
              <w:t xml:space="preserve"> </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驱动形式</w:t>
            </w:r>
            <w:r/>
          </w:p>
        </w:tc>
        <w:tc>
          <w:tcPr>
            <w:tcW w:w="6418"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后轮驱动</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悬架</w:t>
            </w:r>
            <w:r/>
          </w:p>
        </w:tc>
        <w:tc>
          <w:tcPr>
            <w:tcW w:w="6418"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前:</w:t>
            </w:r>
            <w:r>
              <w:rPr>
                <w:rFonts w:ascii="宋体" w:hAnsi="宋体"/>
                <w:color w:val="auto"/>
                <w:szCs w:val="21"/>
                <w:highlight w:val="none"/>
              </w:rPr>
              <w:t xml:space="preserve"> </w:t>
            </w:r>
            <w:r>
              <w:rPr>
                <w:rFonts w:hint="eastAsia" w:ascii="宋体" w:hAnsi="宋体"/>
                <w:color w:val="auto"/>
                <w:szCs w:val="21"/>
                <w:highlight w:val="none"/>
              </w:rPr>
              <w:t xml:space="preserve">麦弗逊式独立悬挂    /后：半拖曳臂式独立悬挂</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制动系统</w:t>
            </w:r>
            <w:r/>
          </w:p>
        </w:tc>
        <w:tc>
          <w:tcPr>
            <w:tcW w:w="6418" w:type="dxa"/>
            <w:vAlign w:val="center"/>
            <w:textDirection w:val="lrTb"/>
            <w:noWrap w:val="false"/>
          </w:tcPr>
          <w:p>
            <w:pPr>
              <w:spacing w:line="360" w:lineRule="exact"/>
              <w:widowControl/>
              <w:rPr>
                <w:rFonts w:ascii="宋体" w:hAnsi="宋体"/>
                <w:color w:val="auto"/>
                <w:szCs w:val="21"/>
                <w:highlight w:val="none"/>
              </w:rPr>
            </w:pPr>
            <w:r>
              <w:rPr>
                <w:rFonts w:hint="eastAsia" w:ascii="宋体" w:hAnsi="宋体"/>
                <w:color w:val="auto"/>
                <w:szCs w:val="21"/>
                <w:highlight w:val="none"/>
              </w:rPr>
              <w:t xml:space="preserve">液压双回路制动并带有ABS防抱死制动系统，ASR防侧滑系统，EBD 电子制动力分配系统，BAS 制动辅助系统。</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安全系统</w:t>
            </w:r>
            <w:r/>
          </w:p>
        </w:tc>
        <w:tc>
          <w:tcPr>
            <w:tcW w:w="6418" w:type="dxa"/>
            <w:vAlign w:val="center"/>
            <w:textDirection w:val="lrTb"/>
            <w:noWrap w:val="false"/>
          </w:tcPr>
          <w:p>
            <w:pPr>
              <w:spacing w:line="360" w:lineRule="exact"/>
              <w:rPr>
                <w:rFonts w:hint="eastAsia" w:ascii="宋体" w:hAnsi="宋体"/>
                <w:color w:val="auto"/>
                <w:szCs w:val="21"/>
                <w:highlight w:val="none"/>
              </w:rPr>
            </w:pPr>
            <w:r>
              <w:rPr>
                <w:rFonts w:hint="eastAsia" w:ascii="宋体" w:hAnsi="宋体"/>
                <w:color w:val="auto"/>
                <w:szCs w:val="21"/>
                <w:highlight w:val="none"/>
              </w:rPr>
              <w:t xml:space="preserve">安全的转向柱，安全带张紧器，正副驾驶座双安全气囊，ESP车身电子稳定程序。倒车自动摄像显示屏。定速巡航控制。</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轮胎规格</w:t>
            </w:r>
            <w:r/>
          </w:p>
        </w:tc>
        <w:tc>
          <w:tcPr>
            <w:tcW w:w="6418" w:type="dxa"/>
            <w:vAlign w:val="center"/>
            <w:textDirection w:val="lrTb"/>
            <w:noWrap w:val="false"/>
          </w:tcPr>
          <w:p>
            <w:pPr>
              <w:spacing w:line="360" w:lineRule="exact"/>
              <w:rPr>
                <w:rFonts w:ascii="宋体" w:hAnsi="宋体"/>
                <w:color w:val="auto"/>
                <w:szCs w:val="21"/>
                <w:highlight w:val="none"/>
              </w:rPr>
            </w:pPr>
            <w:r>
              <w:rPr>
                <w:rFonts w:ascii="宋体" w:hAnsi="宋体"/>
                <w:color w:val="auto"/>
                <w:szCs w:val="21"/>
                <w:highlight w:val="none"/>
              </w:rPr>
              <w:t xml:space="preserve">235/55R17轮胎</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17吋5幅</w:t>
            </w:r>
            <w:r>
              <w:rPr>
                <w:rFonts w:ascii="宋体" w:hAnsi="宋体"/>
                <w:color w:val="auto"/>
                <w:szCs w:val="21"/>
                <w:highlight w:val="none"/>
              </w:rPr>
              <w:t xml:space="preserve">铝合金轮毂</w:t>
            </w:r>
            <w:r/>
          </w:p>
        </w:tc>
      </w:tr>
      <w:tr>
        <w:trPr>
          <w:jc w:val="center"/>
          <w:trHeight w:val="90"/>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前门电动车窗</w:t>
            </w:r>
            <w:r/>
          </w:p>
        </w:tc>
        <w:tc>
          <w:tcPr>
            <w:tcW w:w="6418" w:type="dxa"/>
            <w:vAlign w:val="center"/>
            <w:textDirection w:val="lrTb"/>
            <w:noWrap w:val="false"/>
          </w:tcPr>
          <w:p>
            <w:pPr>
              <w:spacing w:line="360" w:lineRule="exact"/>
              <w:rPr>
                <w:rFonts w:ascii="宋体" w:hAnsi="宋体"/>
                <w:color w:val="auto"/>
                <w:szCs w:val="21"/>
                <w:highlight w:val="none"/>
              </w:rPr>
            </w:pPr>
            <w:r>
              <w:rPr>
                <w:rFonts w:ascii="宋体" w:hAnsi="宋体"/>
                <w:color w:val="auto"/>
                <w:szCs w:val="21"/>
                <w:highlight w:val="none"/>
              </w:rPr>
              <w:t xml:space="preserve">标配</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遥控中央门锁</w:t>
            </w:r>
            <w:r/>
          </w:p>
        </w:tc>
        <w:tc>
          <w:tcPr>
            <w:tcW w:w="6418" w:type="dxa"/>
            <w:vAlign w:val="center"/>
            <w:textDirection w:val="lrTb"/>
            <w:noWrap w:val="false"/>
          </w:tcPr>
          <w:p>
            <w:pPr>
              <w:spacing w:line="360" w:lineRule="exact"/>
              <w:rPr>
                <w:rFonts w:ascii="宋体" w:hAnsi="宋体"/>
                <w:color w:val="auto"/>
                <w:szCs w:val="21"/>
                <w:highlight w:val="none"/>
              </w:rPr>
            </w:pPr>
            <w:r>
              <w:rPr>
                <w:rFonts w:ascii="宋体" w:hAnsi="宋体"/>
                <w:color w:val="auto"/>
                <w:szCs w:val="21"/>
                <w:highlight w:val="none"/>
              </w:rPr>
              <w:t xml:space="preserve">标配</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空调，暖风</w:t>
            </w:r>
            <w:r/>
          </w:p>
        </w:tc>
        <w:tc>
          <w:tcPr>
            <w:tcW w:w="6418" w:type="dxa"/>
            <w:vAlign w:val="center"/>
            <w:textDirection w:val="lrTb"/>
            <w:noWrap w:val="false"/>
          </w:tcPr>
          <w:p>
            <w:pPr>
              <w:spacing w:line="360" w:lineRule="exact"/>
              <w:rPr>
                <w:rFonts w:ascii="宋体" w:hAnsi="宋体"/>
                <w:color w:val="auto"/>
                <w:szCs w:val="21"/>
                <w:highlight w:val="none"/>
              </w:rPr>
            </w:pPr>
            <w:r>
              <w:rPr>
                <w:rFonts w:ascii="宋体" w:hAnsi="宋体"/>
                <w:color w:val="auto"/>
                <w:szCs w:val="21"/>
                <w:highlight w:val="none"/>
              </w:rPr>
              <w:t xml:space="preserve">前后独立控制大功率空调和暖风</w:t>
            </w:r>
            <w:r>
              <w:rPr>
                <w:rFonts w:hint="eastAsia" w:ascii="宋体" w:hAnsi="宋体"/>
                <w:color w:val="auto"/>
                <w:szCs w:val="21"/>
                <w:highlight w:val="none"/>
              </w:rPr>
              <w:t xml:space="preserve">。</w:t>
            </w:r>
            <w:r>
              <w:rPr>
                <w:rFonts w:ascii="宋体" w:hAnsi="宋体"/>
                <w:color w:val="auto"/>
                <w:szCs w:val="21"/>
                <w:highlight w:val="none"/>
              </w:rPr>
              <w:t xml:space="preserve">医疗舱空调从左侧</w:t>
            </w:r>
            <w:r>
              <w:rPr>
                <w:rFonts w:hint="eastAsia" w:ascii="宋体" w:hAnsi="宋体"/>
                <w:color w:val="auto"/>
                <w:szCs w:val="21"/>
                <w:highlight w:val="none"/>
              </w:rPr>
              <w:t xml:space="preserve">和前方</w:t>
            </w:r>
            <w:r>
              <w:rPr>
                <w:rFonts w:ascii="宋体" w:hAnsi="宋体"/>
                <w:color w:val="auto"/>
                <w:szCs w:val="21"/>
                <w:highlight w:val="none"/>
              </w:rPr>
              <w:t xml:space="preserve">向中央出风</w:t>
            </w:r>
            <w:r>
              <w:rPr>
                <w:rFonts w:hint="eastAsia" w:ascii="宋体" w:hAnsi="宋体"/>
                <w:color w:val="auto"/>
                <w:szCs w:val="21"/>
                <w:highlight w:val="none"/>
              </w:rPr>
              <w:t xml:space="preserve">，设计专用风机检修孔。</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额定载客（含驾驶员）</w:t>
            </w:r>
            <w:r/>
          </w:p>
        </w:tc>
        <w:tc>
          <w:tcPr>
            <w:tcW w:w="6418" w:type="dxa"/>
            <w:vAlign w:val="center"/>
            <w:textDirection w:val="lrTb"/>
            <w:noWrap w:val="false"/>
          </w:tcPr>
          <w:p>
            <w:pPr>
              <w:spacing w:line="360" w:lineRule="exact"/>
              <w:rPr>
                <w:rFonts w:ascii="宋体" w:hAnsi="宋体"/>
                <w:color w:val="auto"/>
                <w:szCs w:val="21"/>
                <w:highlight w:val="none"/>
              </w:rPr>
            </w:pPr>
            <w:r>
              <w:rPr>
                <w:rFonts w:ascii="宋体" w:hAnsi="宋体"/>
                <w:color w:val="auto"/>
                <w:szCs w:val="21"/>
                <w:highlight w:val="none"/>
              </w:rPr>
              <w:t xml:space="preserve">7人</w:t>
            </w:r>
            <w:r>
              <w:rPr>
                <w:rFonts w:hint="eastAsia" w:ascii="宋体" w:hAnsi="宋体"/>
                <w:color w:val="auto"/>
                <w:szCs w:val="21"/>
                <w:highlight w:val="none"/>
              </w:rPr>
              <w:t xml:space="preserve">（座位配置安全带）</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燃油种类</w:t>
            </w:r>
            <w:r/>
          </w:p>
        </w:tc>
        <w:tc>
          <w:tcPr>
            <w:tcW w:w="6418" w:type="dxa"/>
            <w:vAlign w:val="center"/>
            <w:textDirection w:val="lrTb"/>
            <w:noWrap w:val="false"/>
          </w:tcPr>
          <w:p>
            <w:pPr>
              <w:spacing w:line="360" w:lineRule="exact"/>
              <w:rPr>
                <w:rFonts w:ascii="宋体" w:hAnsi="宋体"/>
                <w:color w:val="auto"/>
                <w:szCs w:val="21"/>
                <w:highlight w:val="none"/>
              </w:rPr>
            </w:pPr>
            <w:r>
              <w:rPr>
                <w:rFonts w:ascii="宋体" w:hAnsi="宋体"/>
                <w:color w:val="auto"/>
                <w:szCs w:val="21"/>
                <w:highlight w:val="none"/>
              </w:rPr>
              <w:t xml:space="preserve">汽油</w:t>
            </w:r>
            <w:r/>
          </w:p>
        </w:tc>
      </w:tr>
      <w:tr>
        <w:trPr>
          <w:jc w:val="center"/>
          <w:trHeight w:val="45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转向形式</w:t>
            </w:r>
            <w:r/>
          </w:p>
        </w:tc>
        <w:tc>
          <w:tcPr>
            <w:tcW w:w="6418" w:type="dxa"/>
            <w:vAlign w:val="center"/>
            <w:textDirection w:val="lrTb"/>
            <w:noWrap w:val="false"/>
          </w:tcPr>
          <w:p>
            <w:pPr>
              <w:spacing w:line="360" w:lineRule="exact"/>
              <w:rPr>
                <w:rFonts w:ascii="宋体" w:hAnsi="宋体"/>
                <w:color w:val="auto"/>
                <w:szCs w:val="21"/>
                <w:highlight w:val="none"/>
              </w:rPr>
            </w:pPr>
            <w:r>
              <w:rPr>
                <w:rFonts w:ascii="宋体" w:hAnsi="宋体"/>
                <w:color w:val="auto"/>
                <w:szCs w:val="21"/>
                <w:highlight w:val="none"/>
              </w:rPr>
              <w:t xml:space="preserve">液压助力转向</w:t>
            </w:r>
            <w:r>
              <w:rPr>
                <w:rFonts w:hint="eastAsia" w:ascii="宋体" w:hAnsi="宋体"/>
                <w:color w:val="auto"/>
                <w:szCs w:val="21"/>
                <w:highlight w:val="none"/>
              </w:rPr>
              <w:t xml:space="preserve">，方向盘在驾驶室左前侧    </w:t>
            </w:r>
            <w:r/>
          </w:p>
        </w:tc>
      </w:tr>
      <w:tr>
        <w:trPr>
          <w:jc w:val="center"/>
          <w:trHeight w:val="397"/>
        </w:trPr>
        <w:tc>
          <w:tcPr>
            <w:gridSpan w:val="2"/>
            <w:tcW w:w="2547" w:type="dxa"/>
            <w:vAlign w:val="center"/>
            <w:textDirection w:val="lrTb"/>
            <w:noWrap w:val="false"/>
          </w:tcPr>
          <w:p>
            <w:pPr>
              <w:spacing w:line="280" w:lineRule="exact"/>
              <w:rPr>
                <w:rFonts w:hint="eastAsia" w:ascii="宋体" w:hAnsi="宋体"/>
                <w:color w:val="auto"/>
                <w:szCs w:val="21"/>
                <w:highlight w:val="none"/>
              </w:rPr>
            </w:pPr>
            <w:r>
              <w:rPr>
                <w:rFonts w:hint="eastAsia" w:ascii="宋体" w:hAnsi="宋体"/>
                <w:color w:val="auto"/>
                <w:szCs w:val="21"/>
                <w:highlight w:val="none"/>
              </w:rPr>
              <w:t xml:space="preserve">内饰</w:t>
            </w:r>
            <w:r/>
          </w:p>
        </w:tc>
        <w:tc>
          <w:tcPr>
            <w:tcW w:w="6418" w:type="dxa"/>
            <w:vAlign w:val="center"/>
            <w:textDirection w:val="lrTb"/>
            <w:noWrap w:val="false"/>
          </w:tcPr>
          <w:p>
            <w:pPr>
              <w:spacing w:line="360" w:lineRule="exact"/>
              <w:rPr>
                <w:rFonts w:ascii="宋体" w:hAnsi="宋体"/>
                <w:color w:val="auto"/>
                <w:szCs w:val="21"/>
                <w:highlight w:val="none"/>
              </w:rPr>
            </w:pPr>
            <w:r>
              <w:rPr>
                <w:rFonts w:hint="eastAsia" w:ascii="宋体" w:hAnsi="宋体"/>
                <w:color w:val="auto"/>
                <w:szCs w:val="21"/>
                <w:highlight w:val="none"/>
              </w:rPr>
              <w:t xml:space="preserve">仪表盘带5.5英寸彩色液晶显示屏，配置10.25吋触摸屏</w:t>
            </w:r>
            <w:r/>
          </w:p>
        </w:tc>
      </w:tr>
      <w:tr>
        <w:trPr>
          <w:jc w:val="center"/>
          <w:trHeight w:val="272"/>
        </w:trPr>
        <w:tc>
          <w:tcPr>
            <w:gridSpan w:val="2"/>
            <w:tcW w:w="2547"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t xml:space="preserve">二</w:t>
            </w:r>
            <w:r>
              <w:rPr>
                <w:rFonts w:hint="eastAsia" w:ascii="宋体" w:hAnsi="宋体"/>
                <w:b/>
                <w:color w:val="auto"/>
                <w:szCs w:val="21"/>
                <w:highlight w:val="none"/>
              </w:rPr>
              <w:t xml:space="preserve">．</w:t>
            </w:r>
            <w:r>
              <w:rPr>
                <w:rFonts w:ascii="宋体" w:hAnsi="宋体"/>
                <w:b/>
                <w:color w:val="auto"/>
                <w:szCs w:val="21"/>
                <w:highlight w:val="none"/>
              </w:rPr>
              <w:t xml:space="preserve">医疗救护</w:t>
            </w:r>
            <w:r>
              <w:rPr>
                <w:rFonts w:hint="eastAsia" w:ascii="宋体" w:hAnsi="宋体"/>
                <w:b/>
                <w:color w:val="auto"/>
                <w:szCs w:val="21"/>
                <w:highlight w:val="none"/>
              </w:rPr>
              <w:t xml:space="preserve">配置</w:t>
            </w:r>
            <w:r>
              <w:rPr>
                <w:rFonts w:ascii="宋体" w:hAnsi="宋体"/>
                <w:b/>
                <w:color w:val="auto"/>
                <w:szCs w:val="21"/>
                <w:highlight w:val="none"/>
              </w:rPr>
              <w:t xml:space="preserve">要求：</w:t>
            </w:r>
            <w:r/>
          </w:p>
        </w:tc>
        <w:tc>
          <w:tcPr>
            <w:tcW w:w="6418" w:type="dxa"/>
            <w:vAlign w:val="center"/>
            <w:textDirection w:val="lrTb"/>
            <w:noWrap w:val="false"/>
          </w:tcPr>
          <w:p>
            <w:pPr>
              <w:spacing w:line="360" w:lineRule="exact"/>
              <w:rPr>
                <w:rFonts w:ascii="宋体" w:hAnsi="宋体"/>
                <w:color w:val="auto"/>
                <w:szCs w:val="21"/>
                <w:highlight w:val="none"/>
              </w:rPr>
            </w:pPr>
            <w:r>
              <w:rPr>
                <w:rFonts w:ascii="宋体" w:hAnsi="宋体"/>
                <w:color w:val="auto"/>
                <w:szCs w:val="21"/>
                <w:highlight w:val="none"/>
              </w:rPr>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铲式担架固定器</w:t>
            </w:r>
            <w:r/>
          </w:p>
        </w:tc>
        <w:tc>
          <w:tcPr>
            <w:tcW w:w="6418" w:type="dxa"/>
            <w:vAlign w:val="center"/>
            <w:textDirection w:val="lrTb"/>
            <w:noWrap w:val="false"/>
          </w:tcPr>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专用配置（设置于隔断墙处，</w:t>
            </w:r>
            <w:r>
              <w:rPr>
                <w:rFonts w:hint="eastAsia" w:ascii="宋体" w:hAnsi="宋体" w:cs="宋体"/>
                <w:color w:val="auto"/>
                <w:szCs w:val="21"/>
                <w:highlight w:val="none"/>
                <w:lang w:val="en-US" w:eastAsia="zh-CN"/>
              </w:rPr>
              <w:t xml:space="preserve">安全</w:t>
            </w:r>
            <w:r>
              <w:rPr>
                <w:rFonts w:hint="eastAsia" w:ascii="宋体" w:hAnsi="宋体" w:cs="宋体"/>
                <w:color w:val="auto"/>
                <w:szCs w:val="21"/>
                <w:highlight w:val="none"/>
              </w:rPr>
              <w:t xml:space="preserve">方便存取）</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安全扶手</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医疗舱内顶中间为U形环状扶手，在上下车安装相应的安全扶手。</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前后舱对讲系统</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前后对讲，双向控制</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供氧系统</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成型固定机构（窗口下沿与氧气瓶粗口水平基本一致）方便操作，可装2*10升医用氧气瓶，配备手动氧气切换器，可根据2个氧气瓶的使用情况快速转换。即插即用湿化瓶。隐藏式氧气管路，需安装检测便捷，预留呼吸机使用氧气接口。</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杀菌系统</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采用环形内嵌式紫外线消毒灯，可定时控制。</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监护型医疗舱</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医疗舱左侧安装一套医药柜、器械柜和吊柜组合。医疗舱两边的墙壁、车顶内饰采用阻燃、防紫外线、耐冲击ABS工程塑料、一次吸塑成型</w:t>
            </w:r>
            <w:r>
              <w:rPr>
                <w:rFonts w:hint="eastAsia" w:ascii="宋体" w:hAnsi="宋体" w:cs="宋体"/>
                <w:color w:val="auto"/>
                <w:szCs w:val="21"/>
                <w:highlight w:val="none"/>
              </w:rPr>
              <w:t xml:space="preserve">内饰，防潮、表面易清洗，边角均应采用圆角过度，封边及接口处不可有触手感。左侧设备柜（用于安装除颤监护仪、呼吸机、心电图机、吸引器等）。药品盒安装在医疗舱左前方分为3层，药品分类并具有独立存放区域，便于取放。吊柜为ABS一体成型，吊柜下方具有透明可观察吊柜内所存放物品，吊柜具有上翻门及储物盒。医疗舱任何部位不得使用玻璃钢类、纤维类材料。具有防霉、防菌、防静电、防潮、阻燃、易清洗、易消毒,高强度、高韧性、抗老化、无异味、无毒、安全性强等功能。环保无毒，无重金属（铅、镉、铬、汞）残留，苯质量分数≤100mg/Kg</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▲提供权威检测机构出具的检验报告</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车载负压设备</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1.车载负压设备一套。最大排风量≥ 600m³/h 负压值范围-10～-30Pa。</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▲2.车载负压救护车排风净化装置必须提供国家空气净化产品及气体检测仪器质量监督检验中心</w:t>
            </w:r>
            <w:r>
              <w:rPr>
                <w:rFonts w:hint="eastAsia" w:ascii="宋体" w:hAnsi="宋体" w:cs="宋体"/>
                <w:b/>
                <w:bCs/>
                <w:color w:val="auto"/>
                <w:szCs w:val="21"/>
                <w:highlight w:val="none"/>
              </w:rPr>
              <w:t xml:space="preserve">出具的检测报告</w:t>
            </w:r>
            <w:r>
              <w:rPr>
                <w:rFonts w:hint="eastAsia" w:ascii="宋体" w:hAnsi="宋体" w:cs="宋体"/>
                <w:color w:val="auto"/>
                <w:szCs w:val="21"/>
                <w:highlight w:val="none"/>
              </w:rPr>
              <w:t xml:space="preserve">。</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3.高效空气过滤器对粒径 0.3μm 微粒气溶胶的滤除率达到 99.99%。</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4.气流进入负压装置经过紫外线，臭氧消毒后排出舱外。</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5.主控板要根据用户所设定的负压值进行动态调整（即让负压值自动稳定在设定范围）。     </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6.压差传感器采用RS485通信方式的高精度传感器，采集数据经过RS485方式传送给触摸屏显示，采用数字传输的负压值没有任何偏差，精度高。</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7.负压装置的主控板采用ARM32位高速微处理器，能实时采集负压值并进行控制。风机采用直流无刷，带调速功能。</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带有可开启的驾驶室车厢隔离墙</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中隔断墙将驾驶舱和医疗舱完全隔离，中隔断墙上配有可开启移动式透明推拉窗，推拉窗玻璃带有锁定装置。采用ABS吸塑一次成型件覆盖。</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医疗舱地板</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可冲洗，防静电，可消毒的救护车专用地板，四周边凸起包边，防止灰尘的积累及防滑，方便用水冲洗。</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厢式工作座椅及医生椅</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医生座椅安装于担架前部右侧，朝前安装，附安全带。▲应符合GB 15083汽车座椅、座椅固定装置及头枕强度要求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材质为PU皮冷发泡一次成型，提供相应检测报告。医疗舱右侧布置带两点式安全带的2人长条座椅，采用ABS材料一次吸塑成型，背部材质为PU皮冷发泡一次成型，乘坐舒适。长条柜带上掀，内部为储物空间，附2个安全带，每个座位上方有安全扶手。护士椅位于担架前部朝向病员头部，座垫采用冷发泡海绵，附安全带。</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照明系统</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LED 照明灯带、医疗舱内独立控制，照明灯与车顶内饰完美结合，同时便于拆卸维修：舱内光照充足均匀，光线柔和，高亮度LED后照明灯，适用于夜间照明，方便上车担架操作。</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输液固定器</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担架车上方安装顶置垂直式输液架，能同时满足3袋以上的输液需要。输液袋，输液瓶有固定装置。</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氧气瓶</w:t>
            </w:r>
            <w:r>
              <w:rPr>
                <w:rFonts w:hint="eastAsia" w:ascii="宋体" w:hAnsi="宋体"/>
                <w:color w:val="auto"/>
                <w:szCs w:val="21"/>
                <w:highlight w:val="none"/>
              </w:rPr>
              <w:t xml:space="preserve">（柜）</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10升氧气瓶2个，氧气瓶需符合国家标准，带固定装置。带有压力调节装置及压力表，安装于车辆左侧后部位置，氧气瓶柜为ABS模具一次性成型制造。</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供电系统</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在车辆启动状态下，可实现24小时不间断供电，可输出220V，1000W纯正弦波电源供医疗设备使用，并在相应的位置安置12V电源插座两只及220V电源插座四只。智能逆变，12V输入，输出为220V、1000W纯正弦波电源。长时间驻车时，可外接市电（220V）对车载蓄电池充电，也可直接为车载设备供电。防水、带防护盖的中国规格外接电源插座，配置15m长移动电缆（含连接220V/15A外接电源插头）。</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双蓄电池管理系统，配置免维护汽车专用蓄电池，容量不小于80AH，在驻车时可供一些医疗器械使用。自动连接或断开。确保救护车原车电瓶处于最佳状态，不会因为原车电瓶亏电而影响出车。</w:t>
            </w:r>
            <w:r/>
          </w:p>
        </w:tc>
      </w:tr>
      <w:tr>
        <w:trPr>
          <w:jc w:val="center"/>
          <w:trHeight w:val="1800"/>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电器控制</w:t>
            </w:r>
            <w:r>
              <w:rPr>
                <w:rFonts w:hint="eastAsia" w:ascii="宋体" w:hAnsi="宋体"/>
                <w:color w:val="auto"/>
                <w:szCs w:val="21"/>
                <w:highlight w:val="none"/>
              </w:rPr>
              <w:t xml:space="preserve">器</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10寸电容屏加4寸液晶屏，双并联控制，可同时实现电气设备开关功能。▲显示控制屏≥10寸，</w:t>
            </w:r>
            <w:r>
              <w:rPr>
                <w:rFonts w:hint="eastAsia" w:ascii="宋体" w:hAnsi="宋体" w:cs="宋体"/>
                <w:b/>
                <w:bCs/>
                <w:color w:val="auto"/>
                <w:szCs w:val="21"/>
                <w:highlight w:val="none"/>
              </w:rPr>
              <w:t xml:space="preserve">电容屏提供EMTEK相应检测报告</w:t>
            </w:r>
            <w:r>
              <w:rPr>
                <w:rFonts w:hint="eastAsia" w:ascii="宋体" w:hAnsi="宋体" w:cs="宋体"/>
                <w:color w:val="auto"/>
                <w:szCs w:val="21"/>
                <w:highlight w:val="none"/>
              </w:rPr>
              <w:t xml:space="preserve">。控制屏上显示12V、220V电压、工作灯状态、消毒灯、手术灯、后照明灯等相关用电设备的工作状态，能够使工作人员直观的掌握用电设备的工作状态并及时发现故障。功能集成控制，直接在电容屏上触摸操作。</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灭火器</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前后舱各配备1个。</w:t>
            </w:r>
            <w:r/>
          </w:p>
        </w:tc>
      </w:tr>
      <w:tr>
        <w:trPr>
          <w:jc w:val="center"/>
          <w:trHeight w:val="1230"/>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警示系统</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前部为LED异形警灯，中间部位为警报喇叭；后尾翼为扰流设计，配置长条警灯；外顶左右侧都各配置3盏警灯。警灯颜色为蓝色，灯罩注塑成型且厚薄均匀，警灯安装高度不超过原车顶，安装牢固，密封严密，保证不漏、不渗雨水。</w:t>
            </w:r>
            <w:r/>
          </w:p>
        </w:tc>
      </w:tr>
      <w:tr>
        <w:trPr>
          <w:jc w:val="center"/>
          <w:trHeight w:val="710"/>
        </w:trPr>
        <w:tc>
          <w:tcPr>
            <w:gridSpan w:val="2"/>
            <w:tcW w:w="2547" w:type="dxa"/>
            <w:vAlign w:val="center"/>
            <w:textDirection w:val="lrTb"/>
            <w:noWrap w:val="false"/>
          </w:tcPr>
          <w:p>
            <w:pPr>
              <w:spacing w:line="280" w:lineRule="exact"/>
              <w:rPr>
                <w:rFonts w:ascii="宋体" w:hAnsi="宋体"/>
                <w:color w:val="auto"/>
                <w:szCs w:val="21"/>
                <w:highlight w:val="none"/>
              </w:rPr>
            </w:pPr>
            <w:r>
              <w:rPr>
                <w:rFonts w:ascii="宋体" w:hAnsi="宋体"/>
                <w:color w:val="auto"/>
                <w:szCs w:val="21"/>
                <w:highlight w:val="none"/>
              </w:rPr>
              <w:t xml:space="preserve">警报器</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双电喇叭，100W警报器，麦克风，慢速双音转换调，符合GB/T 13954和GB 8108规定，救护车专用。</w:t>
            </w:r>
            <w:r/>
          </w:p>
        </w:tc>
      </w:tr>
      <w:tr>
        <w:trPr>
          <w:jc w:val="center"/>
          <w:trHeight w:val="950"/>
        </w:trPr>
        <w:tc>
          <w:tcPr>
            <w:gridSpan w:val="2"/>
            <w:tcW w:w="2547"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医疗舱窗户</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▲左侧采光窗不小于（长310mm *高210mm），右侧和后部明窗效果,贴1/2不透明磨砂膜。医疗舱右侧中移门上局部配置可移动式玻璃窗，移动幅度根据使用需要多档可调，每档带限位锁紧装置。</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外观标识</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白色，按照江苏省卫生健康委员会有关院前救护车外观标识规定执行。</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hint="eastAsia" w:ascii="宋体" w:hAnsi="宋体"/>
                <w:b/>
                <w:color w:val="auto"/>
                <w:szCs w:val="21"/>
                <w:highlight w:val="none"/>
              </w:rPr>
              <w:t xml:space="preserve">三．随车设备技术参数要求：</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车载急救智慧医疗系统</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需实现与苏州市急救中心现用智慧急救平台数据集成互通，无其他接入费用。 整套系统质量保证期</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24个月  </w:t>
            </w:r>
            <w:r/>
          </w:p>
        </w:tc>
      </w:tr>
      <w:tr>
        <w:trPr>
          <w:jc w:val="center"/>
          <w:trHeight w:val="370"/>
        </w:trPr>
        <w:tc>
          <w:tcPr>
            <w:gridSpan w:val="2"/>
            <w:tcW w:w="2547" w:type="dxa"/>
            <w:vAlign w:val="center"/>
            <w:textDirection w:val="lrTb"/>
            <w:noWrap w:val="false"/>
          </w:tcPr>
          <w:p>
            <w:pPr>
              <w:numPr>
                <w:ilvl w:val="1"/>
                <w:numId w:val="0"/>
              </w:numPr>
              <w:keepLines/>
              <w:keepNext/>
              <w:rPr>
                <w:rFonts w:ascii="宋体" w:hAnsi="宋体"/>
                <w:color w:val="auto"/>
                <w:szCs w:val="21"/>
                <w:highlight w:val="none"/>
              </w:rPr>
              <w:outlineLvl w:val="1"/>
            </w:pPr>
            <w:r>
              <w:rPr>
                <w:rFonts w:hint="eastAsia" w:ascii="宋体" w:hAnsi="宋体"/>
                <w:color w:val="auto"/>
                <w:szCs w:val="21"/>
                <w:highlight w:val="none"/>
              </w:rPr>
              <w:t xml:space="preserve">软件部分</w:t>
            </w:r>
            <w:r/>
          </w:p>
        </w:tc>
        <w:tc>
          <w:tcPr>
            <w:tcW w:w="6418" w:type="dxa"/>
            <w:vAlign w:val="center"/>
            <w:textDirection w:val="lrTb"/>
            <w:noWrap w:val="false"/>
          </w:tcPr>
          <w:p>
            <w:pP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功能名称和技术参数要求</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97"/>
        </w:trPr>
        <w:tc>
          <w:tcPr>
            <w:gridSpan w:val="2"/>
            <w:tcW w:w="2547" w:type="dxa"/>
            <w:vAlign w:val="center"/>
            <w:textDirection w:val="lrTb"/>
            <w:noWrap w:val="false"/>
          </w:tcPr>
          <w:p>
            <w:pPr>
              <w:spacing w:line="280" w:lineRule="exact"/>
              <w:tabs>
                <w:tab w:val="left" w:pos="420" w:leader="none"/>
              </w:tabs>
              <w:rPr>
                <w:rFonts w:ascii="宋体" w:hAnsi="宋体"/>
                <w:color w:val="auto"/>
                <w:szCs w:val="21"/>
                <w:highlight w:val="none"/>
              </w:rPr>
            </w:pPr>
            <w:r>
              <w:rPr>
                <w:rFonts w:hint="eastAsia" w:ascii="宋体" w:hAnsi="宋体"/>
                <w:color w:val="auto"/>
                <w:highlight w:val="none"/>
              </w:rPr>
              <w:t xml:space="preserve">车联网信息集成</w:t>
            </w:r>
            <w:r/>
          </w:p>
        </w:tc>
        <w:tc>
          <w:tcPr>
            <w:tcW w:w="6418" w:type="dxa"/>
            <w:vAlign w:val="center"/>
            <w:textDirection w:val="lrTb"/>
            <w:noWrap w:val="false"/>
          </w:tcPr>
          <w:p>
            <w:pPr>
              <w:pStyle w:val="1186"/>
              <w:ind w:left="0"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提供对救护车的智能化升级改造服务，组建救护车车联网并提供车载急救系统，实现对相关设备的数据采集，并基于4G/5G的网络进行远程传输，以下相关功能需要对救护车进行智能化升级改造，并且需要设备具备采集接口和开放相关接口协议前提下提供相关功能。</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1、需要支持集成车载单模北斗定位数据采集，采集车辆经度、纬度，速度数据，</w:t>
            </w:r>
            <w:r>
              <w:rPr>
                <w:rFonts w:hint="eastAsia" w:ascii="宋体" w:hAnsi="宋体" w:cs="宋体"/>
                <w:bCs/>
                <w:color w:val="auto"/>
                <w:szCs w:val="21"/>
                <w:highlight w:val="none"/>
              </w:rPr>
              <w:t xml:space="preserve">记录救护车运行轨迹，</w:t>
            </w:r>
            <w:r>
              <w:rPr>
                <w:rFonts w:hint="eastAsia" w:ascii="宋体" w:hAnsi="宋体" w:cs="宋体"/>
                <w:color w:val="auto"/>
                <w:szCs w:val="21"/>
                <w:highlight w:val="none"/>
              </w:rPr>
              <w:t xml:space="preserve">能够上传到区域智慧急救平台。</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2、需要支持集成车载体征监护仪波形数据，</w:t>
            </w:r>
            <w:r>
              <w:rPr>
                <w:rFonts w:hint="eastAsia" w:ascii="宋体" w:hAnsi="宋体" w:cs="宋体"/>
                <w:bCs/>
                <w:color w:val="auto"/>
                <w:szCs w:val="21"/>
                <w:highlight w:val="none"/>
              </w:rPr>
              <w:t xml:space="preserve">采集具有输出协议及接口的监护仪仪器，</w:t>
            </w:r>
            <w:r>
              <w:rPr>
                <w:rFonts w:hint="eastAsia" w:ascii="宋体" w:hAnsi="宋体" w:cs="宋体"/>
                <w:color w:val="auto"/>
                <w:szCs w:val="21"/>
                <w:highlight w:val="none"/>
              </w:rPr>
              <w:t xml:space="preserve">能够通过4G/5G网络实时上传到区域智慧急救平台。</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3、需要支持对心电图机数据采集，并上传心电图到急救平台，可实现统一存储和调阅。心电图支持HL7 aECG方式集成。</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4、需要支持身份证读卡器设备集成，采集患者基本信息。</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5、需要支持医疗舱内视频输入设备的信号集成，采集视频监控数据，可通过车载网络自动上传到急救平台，实现集中存储。</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6、系统支持</w:t>
            </w:r>
            <w:r>
              <w:rPr>
                <w:rFonts w:hint="eastAsia" w:ascii="宋体" w:hAnsi="宋体" w:cs="宋体"/>
                <w:bCs/>
                <w:color w:val="auto"/>
                <w:szCs w:val="21"/>
                <w:highlight w:val="none"/>
              </w:rPr>
              <w:t xml:space="preserve">音视频编解码能力，能够在救护车上呼叫院内专家、指挥会诊中心、分诊台等，实现多方的通讯互不干扰；</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7、系统支持在网络断开的情况下医疗舱视频的本地录制和保存，在网络恢复后能够自动上传所录制的视频内容。</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8、系统支持驾驶舱视频输入设备的信号集成，自动循环录制相关行车记录视频数据在本地车载集成终端存储中进行保存。</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highlight w:val="none"/>
              </w:rPr>
              <w:t xml:space="preserve">移动医生</w:t>
            </w:r>
            <w:r>
              <w:rPr>
                <w:rFonts w:ascii="宋体" w:hAnsi="宋体"/>
                <w:color w:val="auto"/>
                <w:highlight w:val="none"/>
              </w:rPr>
              <w:t xml:space="preserve">工作站</w:t>
            </w:r>
            <w:r/>
          </w:p>
        </w:tc>
        <w:tc>
          <w:tcPr>
            <w:tcW w:w="6418" w:type="dxa"/>
            <w:vAlign w:val="center"/>
            <w:textDirection w:val="lrTb"/>
            <w:noWrap w:val="false"/>
          </w:tcPr>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院前急救医护人员可以使用移动平板作为移动医生工作站，对患者基本信息、病史、体格检查等信息进行记录，提供一键预警、音视频远程会诊等功能。</w:t>
            </w:r>
            <w:r/>
          </w:p>
          <w:p>
            <w:pPr>
              <w:pStyle w:val="1186"/>
              <w:ind w:firstLine="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▲1、系统需支持Android移动平板上录入急救电子病历功能：</w:t>
            </w:r>
            <w:r/>
          </w:p>
          <w:p>
            <w:pPr>
              <w:pStyle w:val="1186"/>
              <w:ind w:firstLine="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1）支持快速录入患者急救电子病历数据，主要包括患者信息、患者病史、体格检查、生命体征(交接时)、诊断与处理、救治结果和交接记录内容。</w:t>
            </w:r>
            <w:r/>
          </w:p>
          <w:p>
            <w:pPr>
              <w:pStyle w:val="1186"/>
              <w:ind w:firstLine="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2）支持按照快速点选的方式录入数据，如皮肤黏膜、神志、治疗措施和病情判断，可以让电子病历的输入更便捷。</w:t>
            </w:r>
            <w:r/>
          </w:p>
          <w:p>
            <w:pPr>
              <w:pStyle w:val="1186"/>
              <w:ind w:firstLine="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3）支持病历内容按照质控参数的检查功能，不符合基本急救病历质控参数要求时不能提交急救电子病历。</w:t>
            </w:r>
            <w:r/>
          </w:p>
          <w:p>
            <w:pPr>
              <w:pStyle w:val="1186"/>
              <w:ind w:firstLine="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4）支持格拉斯哥昏迷指数评分功能。</w:t>
            </w:r>
            <w:r/>
          </w:p>
          <w:p>
            <w:pPr>
              <w:pStyle w:val="1186"/>
              <w:ind w:firstLine="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5）支持主诉、现病史、既往史和初步诊断信息按照模板快速录入功能。</w:t>
            </w:r>
            <w:r/>
          </w:p>
          <w:p>
            <w:pPr>
              <w:pStyle w:val="1186"/>
              <w:ind w:firstLine="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6）支持把从监护仪上传到急救平台的体征数据获取到急救电子病历体格检查内容功能。</w:t>
            </w:r>
            <w:r/>
          </w:p>
          <w:p>
            <w:pPr>
              <w:pStyle w:val="1186"/>
              <w:ind w:firstLine="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7）支持填写院前和院内交接单功能，提交病历后，不能再修改急救电子病历。</w:t>
            </w:r>
            <w:r/>
          </w:p>
          <w:p>
            <w:pPr>
              <w:pStyle w:val="1186"/>
              <w:ind w:firstLine="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8）支持打印院前和院内交接单功能。</w:t>
            </w:r>
            <w:r/>
          </w:p>
          <w:p>
            <w:pPr>
              <w:pStyle w:val="1186"/>
              <w:ind w:firstLine="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9）支持查看历史的患者急救电子病历，并提供急救电子病历补录功能。</w:t>
            </w:r>
            <w:r/>
          </w:p>
          <w:p>
            <w:pPr>
              <w:pStyle w:val="1186"/>
              <w:ind w:firstLine="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10）支持在无网络情况下书写急救电子病历，在网络畅通后自动上传在离线状态下书写的急救电子病历数据。</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11）支持网络状态检测功能，实时提醒医护人员当前网络状态功能。</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2、专科急救电子病历</w:t>
            </w:r>
            <w:r/>
          </w:p>
          <w:p>
            <w:pPr>
              <w:pStyle w:val="1186"/>
              <w:ind w:firstLine="4"/>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针对卒中、新生儿和儿童转运专科患者，系统需支持全结构化的专科急救电子病历，体现专科救治特色。系统支持多模板动态切换方式实现各电子病历模板的切换。</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3、专科评估</w:t>
            </w:r>
            <w:r/>
          </w:p>
          <w:p>
            <w:pPr>
              <w:pStyle w:val="1186"/>
              <w:ind w:firstLine="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1）胸痛评估：在急救病历中支持胸痛评估功能，内容包括病情评估、初步诊断、Killip评分功能。</w:t>
            </w:r>
            <w:r/>
          </w:p>
          <w:p>
            <w:pPr>
              <w:pStyle w:val="1186"/>
              <w:ind w:firstLine="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2）卒中评估：在急救病历中支持卒中评估功能，按照FAST评分规则进行提供。</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3）创伤评估：在急救病历中支持创伤评分(TI)评估功能，按照受伤部位、损伤类型、循环状态、呼吸状态和意识状态进行评估，能自动计算评估总分。</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4、电子化交接：需要支持患者知情同意书和交接单的手写电子签名功能，实现电子化交接。支持因患者或家属要求而重新签署患者知情同意书功能。</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5、专科中心地图：需要支持五大专科中心急救资源地图，院前医护人员可快速查看专科中心位置、距离等急救资源信息，可提供快速导航功能。</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6、一键预警：支持院前急救医务人员在需要院内专家帮助时，可启动一键预警功能，能够支持实时通知院内急诊科、导管室和五大专科中心等科室专家，医院各科室和医务人员可提前进行各项救治准备工作。</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7、调阅健康档案：支持与区域健康档案平台对接，在救护车上实时调阅患者区域健康档案。</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8、急救影像资料管理：院前急救医务人员可对现场救治场景进行拍摄视频和照片并上传，支持离线的视频和照片并在网络恢复后自动上传功能。</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9、患者心电图采集和调阅：系统需要支持与提供基于HL7 aECG数据标准心电数据、具备无线模块、支持FTP协议的心电图机进行心电图数据采集，并实现远程传输；并可调阅患者心电图报告。</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10、针对不改造救护车的情况，支持采集平板位置信息，并实时上传到急救平台功能。</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11、新冠肺炎流调管理：针对发热等高危患者进行新冠肺炎流调并实时传输到急救中心和接诊医院。</w:t>
            </w:r>
            <w:r/>
          </w:p>
          <w:p>
            <w:pPr>
              <w:pStyle w:val="1186"/>
              <w:ind w:firstLine="0"/>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13、移动视频会诊：系统需要支持院前急救医护人员通过平板发起与急救指挥中心、院内分诊台和专科中心等业务场景的视频通话，实现基于实时音视频通话的远程专家会诊。</w:t>
            </w:r>
            <w:r/>
          </w:p>
        </w:tc>
      </w:tr>
      <w:tr>
        <w:trPr>
          <w:jc w:val="center"/>
          <w:trHeight w:val="381"/>
        </w:trPr>
        <w:tc>
          <w:tcPr>
            <w:gridSpan w:val="2"/>
            <w:tcW w:w="2547" w:type="dxa"/>
            <w:vAlign w:val="center"/>
            <w:textDirection w:val="lrTb"/>
            <w:noWrap w:val="false"/>
          </w:tcPr>
          <w:p>
            <w:pPr>
              <w:keepLines/>
              <w:keepNext/>
              <w:rPr>
                <w:rFonts w:ascii="宋体" w:hAnsi="宋体"/>
                <w:b/>
                <w:bCs/>
                <w:color w:val="auto"/>
                <w:sz w:val="44"/>
                <w:szCs w:val="21"/>
                <w:highlight w:val="none"/>
              </w:rPr>
              <w:outlineLvl w:val="0"/>
            </w:pPr>
            <w:r>
              <w:rPr>
                <w:rFonts w:hint="eastAsia" w:ascii="宋体" w:hAnsi="宋体"/>
                <w:color w:val="auto"/>
                <w:szCs w:val="21"/>
                <w:highlight w:val="none"/>
              </w:rPr>
              <w:t xml:space="preserve">硬件部分</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设备名称和技术要求</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1.车载集成终端</w:t>
            </w:r>
            <w:r/>
          </w:p>
        </w:tc>
        <w:tc>
          <w:tcPr>
            <w:tcW w:w="6418" w:type="dxa"/>
            <w:vAlign w:val="top"/>
            <w:textDirection w:val="lrTb"/>
            <w:noWrap w:val="false"/>
          </w:tcPr>
          <w:p>
            <w:pPr>
              <w:pStyle w:val="1187"/>
              <w:ind w:firstLine="0"/>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1、CPU:Intel® Core™ i7；</w:t>
            </w:r>
            <w:r/>
          </w:p>
          <w:p>
            <w:pPr>
              <w:pStyle w:val="1187"/>
              <w:ind w:firstLine="0"/>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2、内存:≥16GB；</w:t>
            </w:r>
            <w:r/>
          </w:p>
          <w:p>
            <w:pPr>
              <w:pStyle w:val="1187"/>
              <w:ind w:firstLine="0"/>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3、硬盘：≥512G SSD；</w:t>
            </w:r>
            <w:r/>
          </w:p>
          <w:p>
            <w:pPr>
              <w:pStyle w:val="1187"/>
              <w:ind w:firstLine="0"/>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4、视频编解码需支持H.261、H.263、H.264、H.265；</w:t>
            </w:r>
            <w:r/>
          </w:p>
          <w:p>
            <w:pPr>
              <w:pStyle w:val="1187"/>
              <w:ind w:firstLine="0"/>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5、图像格式需支持4CIF、VGA、SVGA、XGA、HD 720P、1080P、3840*2160、4096*2160；</w:t>
            </w:r>
            <w:r/>
          </w:p>
          <w:p>
            <w:pPr>
              <w:pStyle w:val="1187"/>
              <w:ind w:firstLine="37"/>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6、需支持ITU-T G.711、G.723.1、G.729A及AAC宽带音频编码协议；</w:t>
            </w:r>
            <w:r/>
          </w:p>
          <w:p>
            <w:pPr>
              <w:pStyle w:val="1187"/>
              <w:ind w:firstLine="37"/>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7、双向音视频编解码能力，需支持2路4K以上视频编解码；</w:t>
            </w:r>
            <w:r/>
          </w:p>
          <w:p>
            <w:pPr>
              <w:pStyle w:val="1187"/>
              <w:ind w:firstLine="37"/>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8、抗震设计：采用特殊的机械设计，保证车辆行驶过程当中设备能够持续稳定运行；</w:t>
            </w:r>
            <w:r/>
          </w:p>
          <w:p>
            <w:pPr>
              <w:pStyle w:val="1187"/>
              <w:ind w:firstLine="37"/>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9、支持车辆定位功能；</w:t>
            </w:r>
            <w:r/>
          </w:p>
          <w:p>
            <w:pPr>
              <w:pStyle w:val="1187"/>
              <w:ind w:firstLine="37"/>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10、以太网口：≥2个；</w:t>
            </w:r>
            <w:r/>
          </w:p>
          <w:p>
            <w:pPr>
              <w:pStyle w:val="1187"/>
              <w:ind w:firstLine="37"/>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11、RS232串口：≥2个</w:t>
            </w:r>
            <w:r/>
          </w:p>
          <w:p>
            <w:pPr>
              <w:pStyle w:val="1187"/>
              <w:ind w:firstLine="37"/>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12、USB接口: ≥4；</w:t>
            </w:r>
            <w:r/>
          </w:p>
          <w:p>
            <w:pPr>
              <w:ind w:firstLine="37"/>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13、支持车载ACC。</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2.5G路由器</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支持5G多模网络接入。</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3.无线单边耳麦</w:t>
            </w:r>
            <w:r/>
          </w:p>
        </w:tc>
        <w:tc>
          <w:tcPr>
            <w:tcW w:w="6418" w:type="dxa"/>
            <w:vAlign w:val="center"/>
            <w:textDirection w:val="lrTb"/>
            <w:noWrap w:val="false"/>
          </w:tcPr>
          <w:p>
            <w:pPr>
              <w:pStyle w:val="1187"/>
              <w:ind w:firstLine="37"/>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1、使用距离：≥50米；</w:t>
            </w:r>
            <w:r/>
          </w:p>
          <w:p>
            <w:pPr>
              <w:pStyle w:val="1187"/>
              <w:ind w:firstLine="37"/>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2、通话时长：≥12小时；</w:t>
            </w:r>
            <w:r/>
          </w:p>
          <w:p>
            <w:pPr>
              <w:ind w:firstLine="37"/>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3、话状态指示灯，免打扰设计耳机端可实现接听/挂断，静音和音量调节控制。</w:t>
            </w:r>
            <w:r/>
          </w:p>
        </w:tc>
      </w:tr>
      <w:tr>
        <w:trPr>
          <w:jc w:val="center"/>
          <w:trHeight w:val="397"/>
        </w:trPr>
        <w:tc>
          <w:tcPr>
            <w:gridSpan w:val="2"/>
            <w:tcW w:w="2547" w:type="dxa"/>
            <w:vAlign w:val="top"/>
            <w:textDirection w:val="lrTb"/>
            <w:noWrap w:val="false"/>
          </w:tcPr>
          <w:p>
            <w:pPr>
              <w:jc w:val="left"/>
              <w:spacing w:line="2200" w:lineRule="exact"/>
              <w:rPr>
                <w:rFonts w:ascii="宋体" w:hAnsi="宋体"/>
                <w:color w:val="auto"/>
                <w:sz w:val="18"/>
                <w:szCs w:val="18"/>
                <w:highlight w:val="none"/>
              </w:rPr>
            </w:pPr>
            <w:r>
              <w:rPr>
                <w:rFonts w:hint="eastAsia" w:ascii="宋体" w:hAnsi="宋体"/>
                <w:color w:val="auto"/>
                <w:szCs w:val="21"/>
                <w:highlight w:val="none"/>
              </w:rPr>
              <w:t xml:space="preserve">4.车载摄像头(驾驶舱)</w:t>
            </w:r>
            <w:r/>
          </w:p>
        </w:tc>
        <w:tc>
          <w:tcPr>
            <w:tcW w:w="6418" w:type="dxa"/>
            <w:vAlign w:val="center"/>
            <w:textDirection w:val="lrTb"/>
            <w:noWrap w:val="false"/>
          </w:tcPr>
          <w:p>
            <w:pPr>
              <w:pStyle w:val="1187"/>
              <w:ind w:firstLine="37"/>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1、像素：≥500万 网络摄像机；</w:t>
            </w:r>
            <w:r/>
          </w:p>
          <w:p>
            <w:pPr>
              <w:pStyle w:val="1187"/>
              <w:ind w:firstLine="37"/>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2、最小照度:彩色:0.005 Lux@(F1.2, AGC ON)， 0 Lux with IR；</w:t>
            </w:r>
            <w:r/>
          </w:p>
          <w:p>
            <w:pPr>
              <w:pStyle w:val="1187"/>
              <w:ind w:firstLine="37"/>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3、镜头:2.7-12mm @ F1.2 水平视场角: 106°~35.6°；</w:t>
            </w:r>
            <w:r/>
          </w:p>
          <w:p>
            <w:pPr>
              <w:pStyle w:val="1187"/>
              <w:ind w:firstLine="37"/>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4、视频压缩标准:H.265 / H.264；</w:t>
            </w:r>
            <w:r/>
          </w:p>
          <w:p>
            <w:pPr>
              <w:pStyle w:val="1187"/>
              <w:ind w:firstLine="37"/>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5、最大图像尺寸:</w:t>
            </w:r>
            <w:r>
              <w:rPr>
                <w:rFonts w:hint="eastAsia" w:ascii="宋体" w:hAnsi="宋体" w:cs="宋体"/>
                <w:color w:val="auto"/>
                <w:sz w:val="21"/>
                <w:szCs w:val="21"/>
                <w:highlight w:val="none"/>
              </w:rPr>
              <w:t xml:space="preserve"> </w:t>
            </w:r>
            <w:r>
              <w:rPr>
                <w:rFonts w:hint="eastAsia" w:ascii="宋体" w:hAnsi="宋体" w:cs="宋体"/>
                <w:i w:val="0"/>
                <w:color w:val="auto"/>
                <w:sz w:val="21"/>
                <w:szCs w:val="21"/>
                <w:highlight w:val="none"/>
              </w:rPr>
              <w:t xml:space="preserve">3200 × 1800；</w:t>
            </w:r>
            <w:r/>
          </w:p>
          <w:p>
            <w:pPr>
              <w:pStyle w:val="1187"/>
              <w:ind w:firstLine="37"/>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6、存储功能:支持Micro SD(即TF卡)/Micro SDHC/Micro SDXC卡(128G)断网本地存储及断网续传；</w:t>
            </w:r>
            <w:r/>
          </w:p>
          <w:p>
            <w:pPr>
              <w:pStyle w:val="1187"/>
              <w:ind w:firstLine="37"/>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7、电源供应:DC12V±25% / PoE(802.3af)；</w:t>
            </w:r>
            <w:r/>
          </w:p>
          <w:p>
            <w:pPr>
              <w:ind w:firstLine="37"/>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8、功耗:DC12 V：10.8W  Max；PoE：12.5W Max。</w:t>
            </w:r>
            <w:r/>
          </w:p>
        </w:tc>
      </w:tr>
      <w:tr>
        <w:trPr>
          <w:jc w:val="center"/>
          <w:trHeight w:val="397"/>
        </w:trPr>
        <w:tc>
          <w:tcPr>
            <w:gridSpan w:val="2"/>
            <w:tcW w:w="2547" w:type="dxa"/>
            <w:vAlign w:val="top"/>
            <w:textDirection w:val="lrTb"/>
            <w:noWrap w:val="false"/>
          </w:tcPr>
          <w:p>
            <w:pPr>
              <w:spacing w:line="2200" w:lineRule="exact"/>
              <w:rPr>
                <w:rFonts w:ascii="宋体" w:hAnsi="宋体"/>
                <w:color w:val="auto"/>
                <w:sz w:val="18"/>
                <w:szCs w:val="18"/>
                <w:highlight w:val="none"/>
              </w:rPr>
            </w:pPr>
            <w:r>
              <w:rPr>
                <w:rFonts w:hint="eastAsia" w:ascii="宋体" w:hAnsi="宋体"/>
                <w:color w:val="auto"/>
                <w:szCs w:val="21"/>
                <w:highlight w:val="none"/>
              </w:rPr>
              <w:t xml:space="preserve">5.车载摄像头(医疗舱)</w:t>
            </w:r>
            <w:r/>
          </w:p>
        </w:tc>
        <w:tc>
          <w:tcPr>
            <w:tcW w:w="6418" w:type="dxa"/>
            <w:vAlign w:val="top"/>
            <w:textDirection w:val="lrTb"/>
            <w:noWrap w:val="false"/>
          </w:tcPr>
          <w:p>
            <w:pPr>
              <w:pStyle w:val="1187"/>
              <w:ind w:firstLine="0"/>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1、像素：≥600万 网络摄像机；</w:t>
            </w:r>
            <w:r/>
          </w:p>
          <w:p>
            <w:pPr>
              <w:pStyle w:val="1187"/>
              <w:ind w:firstLine="0"/>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2、最低照度 彩色:0.005 Lux @ (F1.2, AGC ON)， 0 Lux with IR；</w:t>
            </w:r>
            <w:r/>
          </w:p>
          <w:p>
            <w:pPr>
              <w:pStyle w:val="1187"/>
              <w:ind w:firstLine="0"/>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3、镜头：焦距＆视场角 2.7~12 mm，水平视场角：106°~35.6°，垂直视场角：55.9°~20°，对角视场角：127.4°~40.8°;</w:t>
            </w:r>
            <w:r/>
          </w:p>
          <w:p>
            <w:pPr>
              <w:pStyle w:val="1187"/>
              <w:ind w:firstLine="0"/>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4、视频压缩标准 H.265/H.264；</w:t>
            </w:r>
            <w:r/>
          </w:p>
          <w:p>
            <w:pPr>
              <w:pStyle w:val="1187"/>
              <w:ind w:firstLine="0"/>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5、最大图像尺寸 3200 × 1800；</w:t>
            </w:r>
            <w:r/>
          </w:p>
          <w:p>
            <w:pPr>
              <w:pStyle w:val="1187"/>
              <w:ind w:firstLine="0"/>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6、存储功能:支持Micro SD/Micro SDHC /Micro SDXC卡(128G)断网本地存储；</w:t>
            </w:r>
            <w:r/>
          </w:p>
          <w:p>
            <w:pPr>
              <w:pStyle w:val="1187"/>
              <w:ind w:firstLine="0"/>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7、通讯接口 1 个RJ45 10M / 100M自适应以太网口；</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8、功耗:DC12 V：10.8W  Max；PoE：12.5W Max。</w:t>
            </w:r>
            <w:r/>
          </w:p>
        </w:tc>
      </w:tr>
      <w:tr>
        <w:trPr>
          <w:jc w:val="center"/>
          <w:trHeight w:val="397"/>
        </w:trPr>
        <w:tc>
          <w:tcPr>
            <w:gridSpan w:val="2"/>
            <w:tcW w:w="2547" w:type="dxa"/>
            <w:vAlign w:val="top"/>
            <w:textDirection w:val="lrTb"/>
            <w:noWrap w:val="false"/>
          </w:tcPr>
          <w:p>
            <w:pPr>
              <w:spacing w:line="1280" w:lineRule="exact"/>
              <w:rPr>
                <w:rFonts w:ascii="宋体" w:hAnsi="宋体"/>
                <w:color w:val="auto"/>
                <w:sz w:val="18"/>
                <w:szCs w:val="18"/>
                <w:highlight w:val="none"/>
              </w:rPr>
            </w:pPr>
            <w:r>
              <w:rPr>
                <w:rFonts w:hint="eastAsia" w:ascii="宋体" w:hAnsi="宋体"/>
                <w:color w:val="auto"/>
                <w:szCs w:val="21"/>
                <w:highlight w:val="none"/>
              </w:rPr>
              <w:t xml:space="preserve">6.车载显示终端</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1、显示器：≥13寸；</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2、分辨率：≥1024*768；</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3、视频输入：支持VGA或HDMI接口</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4、支持屏幕触摸操作；</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5、电源：DC：12V/24V通用。</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7.身份证读卡器</w:t>
            </w:r>
            <w:r/>
          </w:p>
        </w:tc>
        <w:tc>
          <w:tcPr>
            <w:tcW w:w="6418" w:type="dxa"/>
            <w:vAlign w:val="center"/>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设备类型二代证阅读器，产品接口RS232或USB接口。</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8.移动终端</w:t>
            </w:r>
            <w:r/>
          </w:p>
        </w:tc>
        <w:tc>
          <w:tcPr>
            <w:tcW w:w="6418" w:type="dxa"/>
            <w:vAlign w:val="center"/>
            <w:textDirection w:val="lrTb"/>
            <w:noWrap w:val="false"/>
          </w:tcPr>
          <w:p>
            <w:pPr>
              <w:pStyle w:val="1187"/>
              <w:ind w:firstLine="0"/>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1、CPU: ≥八核;</w:t>
            </w:r>
            <w:r/>
          </w:p>
          <w:p>
            <w:pPr>
              <w:pStyle w:val="1187"/>
              <w:ind w:firstLine="0"/>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2、屏幕：≥8英寸；</w:t>
            </w:r>
            <w:r/>
          </w:p>
          <w:p>
            <w:pPr>
              <w:pStyle w:val="1187"/>
              <w:ind w:firstLine="0"/>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3、内存：≥3G；</w:t>
            </w:r>
            <w:r/>
          </w:p>
          <w:p>
            <w:pPr>
              <w:pStyle w:val="1187"/>
              <w:ind w:firstLine="0"/>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4、存储：≥32G;</w:t>
            </w:r>
            <w:r/>
          </w:p>
          <w:p>
            <w:pPr>
              <w:pStyle w:val="1187"/>
              <w:ind w:firstLine="0"/>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5、支持全网通；</w:t>
            </w:r>
            <w:r/>
          </w:p>
          <w:p>
            <w:pPr>
              <w:pStyle w:val="1187"/>
              <w:ind w:firstLine="0"/>
              <w:spacing w:line="360" w:lineRule="exact"/>
              <w:rPr>
                <w:rFonts w:hint="eastAsia" w:ascii="宋体" w:hAnsi="宋体" w:cs="宋体"/>
                <w:i w:val="0"/>
                <w:color w:val="auto"/>
                <w:sz w:val="21"/>
                <w:szCs w:val="21"/>
                <w:highlight w:val="none"/>
              </w:rPr>
            </w:pPr>
            <w:r>
              <w:rPr>
                <w:rFonts w:hint="eastAsia" w:ascii="宋体" w:hAnsi="宋体" w:cs="宋体"/>
                <w:i w:val="0"/>
                <w:color w:val="auto"/>
                <w:sz w:val="21"/>
                <w:szCs w:val="21"/>
                <w:highlight w:val="none"/>
              </w:rPr>
              <w:t xml:space="preserve">6、支持WIFI；</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7、支持蓝牙；</w:t>
            </w:r>
            <w:r/>
          </w:p>
        </w:tc>
      </w:tr>
      <w:tr>
        <w:trPr>
          <w:jc w:val="center"/>
          <w:trHeight w:val="397"/>
        </w:trPr>
        <w:tc>
          <w:tcPr>
            <w:gridSpan w:val="2"/>
            <w:tcW w:w="2547" w:type="dxa"/>
            <w:vAlign w:val="center"/>
            <w:textDirection w:val="lrTb"/>
            <w:noWrap w:val="false"/>
          </w:tcPr>
          <w:p>
            <w:pPr>
              <w:spacing w:line="280" w:lineRule="exact"/>
              <w:rPr>
                <w:rFonts w:ascii="宋体" w:hAnsi="宋体"/>
                <w:color w:val="auto"/>
                <w:szCs w:val="21"/>
                <w:highlight w:val="none"/>
              </w:rPr>
            </w:pPr>
            <w:r>
              <w:rPr>
                <w:rFonts w:hint="eastAsia" w:ascii="宋体" w:hAnsi="宋体"/>
                <w:color w:val="auto"/>
                <w:szCs w:val="21"/>
                <w:highlight w:val="none"/>
              </w:rPr>
              <w:t xml:space="preserve">9.车载文档输出终端</w:t>
            </w:r>
            <w:r/>
          </w:p>
        </w:tc>
        <w:tc>
          <w:tcPr>
            <w:tcW w:w="6418" w:type="dxa"/>
            <w:vAlign w:val="top"/>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1、输出方式：行式热敏打印；</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2、接口：蓝牙、usb；</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3、打印介质：热敏纸；</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4、微型便携式、可移动、无需色带、墨盒，支持安卓系统；</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5、支持安卓中文系统。</w:t>
            </w:r>
            <w:r/>
          </w:p>
        </w:tc>
      </w:tr>
      <w:tr>
        <w:trPr>
          <w:jc w:val="center"/>
          <w:trHeight w:val="397"/>
        </w:trPr>
        <w:tc>
          <w:tcPr>
            <w:gridSpan w:val="2"/>
            <w:tcW w:w="2547" w:type="dxa"/>
            <w:vAlign w:val="center"/>
            <w:textDirection w:val="lrTb"/>
            <w:noWrap w:val="false"/>
          </w:tcPr>
          <w:p>
            <w:pPr>
              <w:spacing w:line="280" w:lineRule="exact"/>
              <w:rPr>
                <w:rFonts w:hint="default" w:ascii="宋体" w:hAnsi="宋体" w:eastAsiaTheme="minorEastAsia"/>
                <w:color w:val="auto"/>
                <w:szCs w:val="21"/>
                <w:highlight w:val="none"/>
                <w:lang w:val="en-US" w:eastAsia="zh-CN"/>
              </w:rPr>
            </w:pPr>
            <w:r>
              <w:rPr>
                <w:rFonts w:hint="eastAsia" w:ascii="宋体" w:hAnsi="宋体"/>
                <w:color w:val="auto"/>
                <w:szCs w:val="21"/>
                <w:highlight w:val="none"/>
                <w:lang w:val="en-US" w:eastAsia="zh-CN"/>
              </w:rPr>
              <w:t xml:space="preserve">10.驾驶舱摄像记录仪</w:t>
            </w:r>
            <w:r/>
          </w:p>
        </w:tc>
        <w:tc>
          <w:tcPr>
            <w:tcW w:w="6418" w:type="dxa"/>
            <w:vAlign w:val="top"/>
            <w:textDirection w:val="lrTb"/>
            <w:noWrap w:val="false"/>
          </w:tcPr>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内存：512g</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像素：800万</w:t>
            </w:r>
            <w:r/>
          </w:p>
          <w:p>
            <w:pPr>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可与现有车辆兼容</w:t>
            </w:r>
            <w:r/>
          </w:p>
        </w:tc>
      </w:tr>
      <w:tr>
        <w:trPr>
          <w:jc w:val="center"/>
          <w:trHeight w:val="397"/>
        </w:trPr>
        <w:tc>
          <w:tcPr>
            <w:gridSpan w:val="2"/>
            <w:tcW w:w="2547" w:type="dxa"/>
            <w:vAlign w:val="center"/>
            <w:textDirection w:val="lrTb"/>
            <w:noWrap w:val="false"/>
          </w:tcPr>
          <w:p>
            <w:pPr>
              <w:spacing w:line="280" w:lineRule="exact"/>
              <w:rPr>
                <w:rFonts w:hint="eastAsia" w:ascii="宋体" w:hAnsi="宋体"/>
                <w:color w:val="auto"/>
                <w:szCs w:val="21"/>
                <w:highlight w:val="none"/>
              </w:rPr>
            </w:pPr>
            <w:r>
              <w:rPr>
                <w:rFonts w:hint="eastAsia" w:ascii="宋体" w:hAnsi="宋体"/>
                <w:color w:val="auto"/>
                <w:szCs w:val="21"/>
                <w:highlight w:val="none"/>
              </w:rPr>
              <w:t xml:space="preserve">11.救护车调度系统车载终端</w:t>
            </w:r>
            <w:r/>
          </w:p>
        </w:tc>
        <w:tc>
          <w:tcPr>
            <w:tcW w:w="6418"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1、一体式工业结构设计：适合台面安装。</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2、操作系统：基于 Android 7.1操作系统。</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3、7寸触摸显示屏：显示屏分辨率1024*600。</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4、支持RFID、IC卡司机信息卡。</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5、支持外接营运状态显示屏、顶灯、计价器、翻牌器等外设。</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6、无线通信：支持4G全网通。</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7、WIFI:内置 WIFI 热点，可共享上网。</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8、最多支持4路视频,支持1路摄像头录音。</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9、支持VOIP语音通话。</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10、集成讯飞语音，支持中英文TTS语音合成。</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11、支持安装第三方应用程序，扩展终端行业应用功能。</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12、具备电瓶过放电保护功能；具备过压保护，超过极限电压，立即切断外部电路保护终端；</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13、功耗低，熄火检测到电瓶电压低时候可进入零功耗状态，此时工作电流小于2mA，可有效保护汽车电瓶防止过放。</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14、电源多重保护，可适应车内复杂电源干扰环境。</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15、提供二次开发SDK</w:t>
            </w:r>
            <w:r/>
          </w:p>
          <w:p>
            <w:pPr>
              <w:numPr>
                <w:ilvl w:val="1"/>
                <w:numId w:val="0"/>
              </w:numPr>
              <w:jc w:val="left"/>
              <w:spacing w:line="360" w:lineRule="exact"/>
              <w:rPr>
                <w:rFonts w:hint="eastAsia" w:ascii="宋体" w:hAnsi="宋体" w:cs="宋体"/>
                <w:color w:val="auto"/>
                <w:szCs w:val="21"/>
                <w:highlight w:val="yellow"/>
              </w:rPr>
            </w:pPr>
            <w:r>
              <w:rPr>
                <w:rFonts w:hint="eastAsia" w:ascii="宋体" w:hAnsi="宋体" w:cs="宋体"/>
                <w:color w:val="auto"/>
                <w:szCs w:val="21"/>
                <w:highlight w:val="none"/>
              </w:rPr>
              <w:t xml:space="preserve">▲16、定位：只支持BDS单模板，不得支持其他定位方式。需提供工业和信息化部研究所依据《卫星定位导航授时设备单北斗测试技术规范》进行检测的合格检测报告</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17、设备需安装调试，与现用调度系统兼容匹配，能符合日常急救工作要求。无其他接入费用。</w:t>
            </w:r>
            <w:r/>
          </w:p>
          <w:p>
            <w:pPr>
              <w:numPr>
                <w:ilvl w:val="1"/>
                <w:numId w:val="0"/>
              </w:numPr>
              <w:jc w:val="left"/>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18、终端质量保证期</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24个月</w:t>
            </w:r>
            <w:r/>
          </w:p>
        </w:tc>
      </w:tr>
      <w:tr>
        <w:trPr>
          <w:jc w:val="center"/>
          <w:trHeight w:val="397"/>
        </w:trPr>
        <w:tc>
          <w:tcPr>
            <w:gridSpan w:val="2"/>
            <w:tcW w:w="2547" w:type="dxa"/>
            <w:vAlign w:val="center"/>
            <w:textDirection w:val="lrTb"/>
            <w:noWrap w:val="false"/>
          </w:tcPr>
          <w:p>
            <w:pPr>
              <w:spacing w:line="28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12.呼吸机</w:t>
            </w:r>
            <w:r/>
          </w:p>
        </w:tc>
        <w:tc>
          <w:tcPr>
            <w:tcW w:w="6418"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一、适用范围</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适用于呼吸衰竭患者的床边长期治疗，符合GB9706.28治疗呼吸机标准；同时适用于院内、院外急危重症患者转运过程中进行通气辅助及呼吸支持，符合YY0600.3转运呼吸机标准；在国家医疗器械产品注册证临床适用范围中明确注明。</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二、技术参数</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▲1.电动电控型呼吸机，内置静音微型涡轮压缩机；    </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2.采用近端压差式流量传感器</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▲3.呼吸模式：包括有创通气和无创通气，IPPV、V-A/C、V-SIMV、PCV、P-A/C、P-SIMV、CPAP/PSV、PRVC、PRVC-SIMV、APRV、BiPPV等</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4.适用于小儿和成人患者通气；</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▲5.具有CPR模式：具有15:2、30:2，连续按压三种及以上模式，且有直观图形化显示功能</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6.具有HFNC高流量氧疗模式</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7.工作压力：3.0～6.0 bar</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8.吸气时间：0.2～10s</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9.潮气量： 10～2000ml</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10.呼吸频率： 1～100 bpm</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11.呼气末正压：0～40cmH2O</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12.氧浓度：21%～100%</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13.吸气压力：1～90cmH2O</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14.触发方式：流量触发 、压力触发</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15.流量触发 : 0.5～20L/min</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16.压力触发 -20cmH2O～-0.5cmH2O</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17.呼气触发灵敏度：5%～85%</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18.窒息时间：5～60 s</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19.压力上升时间：60ms～2000ms</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20.压力支持：关闭 1～90cmH2O</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21.压力上限：10～100cmH2O</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22.吸气暂停：0%～60%</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23.高流量吸氧流速：2～65 L/min  </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24.最大峰流速：≥200L/min</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三、监测功能：</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▲1.显示屏：≥10.4英寸彩色液晶触摸屏</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2.波形图：P-T , V-T , F-T波形，同屏可显示≥3道波形；</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3.环形图：（P-V）、（F-V）、（F-P）环图，可同屏显示≥2个以上呼吸环</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▲4.监测界面：具有波形界面、呼吸环界面、趋势图界面，全参数监测界面，大字体界面等五种监测界面，且可根据用户需要任意切换；</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监测参数：峰压、平均压、平台压、PEEP、吸气潮气量、呼气潮气量、自主呼出潮气量、潮气量/体重、吸气分钟通气量、呼气分钟通气量、自主分钟通气量、分钟漏气量、总呼吸频率、机控呼吸频率、自主呼吸频率、I/E比、氧浓度、氧耗量等</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6.呼吸力学监测：P0.1、NIF、静态顺应性、动态顺应性、吸气阻力、呼气阻力、RSBI、时间常数RC、内源性PEEP、呼吸功等</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7.动态肺监测：以直观的肺叶图形表达方式显示，实时监测患者的呼吸阻力、顺应性、自主呼吸状态和吸呼时相等</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四、其他功能和性能</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1.具备低流速P-V工具，分析低位拐点和高位拐点，帮助确定最佳PEEP值</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2.配备肺复张功能，提供控制性肺膨胀法进行肺复张</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3.具有气管插管补偿和管路顺应性补偿</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4.手动呼吸、吸气保持、呼气保持</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5.具有智能化的吸痰功能</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6.具有同步雾化功能</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7.数据管理：具有标准以太网网络接口RJ45、USB、RS-232、VGA，且可以数据导出</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8.可以储存≥5000条日志</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9.自检功能，检查系统管道阻力、泄漏量和顺应性、测试流量传感器</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10.防水防尘等级：能在恶劣环境下使用，IP44等级或以上</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11.可连接高压氧，及低压氧使用，具有标准国际接口</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12.主机后背具有标准的自带可折叠式转运套件，方便医务人员转运中的悬挂和使用</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五、报警：具有声光三级报警，报警参数全面，保证呼吸通气安全；</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六、电源：</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1.交流电：AC 100-240V</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2.内置可充电锂电池，在标准工作状态下，新的满电电池工作时间≥6小时</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七、主机</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▲1.主机重量：≤6.2kg（含电池）</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2.具备EN1789车载测试认证</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▲3．具备RTCA/DO-160G航空测试认证（需提供检测报告）</w:t>
            </w:r>
            <w:r/>
          </w:p>
        </w:tc>
      </w:tr>
      <w:tr>
        <w:trPr>
          <w:jc w:val="center"/>
          <w:trHeight w:val="397"/>
        </w:trPr>
        <w:tc>
          <w:tcPr>
            <w:gridSpan w:val="2"/>
            <w:tcW w:w="2547" w:type="dxa"/>
            <w:vAlign w:val="center"/>
            <w:textDirection w:val="lrTb"/>
            <w:noWrap w:val="false"/>
          </w:tcPr>
          <w:p>
            <w:pPr>
              <w:numPr>
                <w:ilvl w:val="1"/>
                <w:numId w:val="0"/>
              </w:numPr>
              <w:jc w:val="left"/>
              <w:spacing w:line="36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13.</w:t>
            </w:r>
            <w:r>
              <w:rPr>
                <w:rFonts w:hint="eastAsia" w:ascii="宋体" w:hAnsi="宋体" w:cs="宋体"/>
                <w:color w:val="auto"/>
                <w:szCs w:val="21"/>
                <w:highlight w:val="none"/>
              </w:rPr>
              <w:t xml:space="preserve">除颤监护仪</w:t>
            </w:r>
            <w:r/>
          </w:p>
        </w:tc>
        <w:tc>
          <w:tcPr>
            <w:tcW w:w="6418"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1.标配手动除颤、12导心电监护、呼吸监护、自动体外除颤（AED）、无创血压监护、血氧饱和度监护、体温、有创血压、起搏等功能</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2.彩色电容触摸屏≥9英寸, 分辨率1200×1020像素，可显示≥7通道监护参数波形，支持手势操作、自动亮度调节，支持中文操作界面，重量≤4.6kg（含电极板）。</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3.除颤采用双相波技术，具备自动阻抗补偿功能。</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手动除颤分为同步和异步两种方式，能量分20档以上，可通过体外电极板进行能量选择，最大能量可达360J。体外除颤电极板同时支持成人和小儿，一体化设计，支持快速切换。电极板支持能量选择，充电和放电三步操作，满足单人除颤操作。</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5.能量选择范围1,2,3,4,5,6,7,8,9,10，15,20,25,30，50,70,100，120,150,170，200,300,360J</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6.无创血压收缩压测量范围：25-290mmHg（成人）、25-240mmHg（小儿）、25-140mmHg（新生儿），舒张压测量范围：10-250mmHg（成人）、10-200mmHg（小儿），10-115mmHg（新生儿）</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7.脉率范围：20-300bpm。</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8.配置110mm记录纸记录仪，可同时打印不少于6通道波形；自动打印除颤记录，单次波形记录时间最大不小于30s；支持连续波形记录。</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9.除颤充电迅速，充电至200J≤4s，除颤后心电基线恢复时间≤2.5s，从开始AED分析到放电准备就绪≤10s。</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10.具备12导静息分析功能，支持危急值和心肌梗塞部位图形化指示，支持多份心电分析报告同屏对比查看，帮助医护人员快速发现异常。</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11.配置2块外置智能锂电池，其中单电池可支持连续监护≥6小时，200J除颤≥300次。</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12.符合直升机及各类转运标准要求</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13.工作环境温度范围：-20°C-55°C，湿度范围：5%-95%，大气压范围：57.0 kPa ～ 106.2 kPa。</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14.具备良好的防尘防水性能，防尘防水级别IP55，具备优异的抗跌落性能，可承受1.5米跌落冲击，带包可承受3米跌落冲击。</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▲15.配置集成床旁超声，提供创伤检查步骤指引、检查部位打图手法和标准图参考。</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16.可选配CPR辅助功能，CPR传感器设计符合2020 AHA指南，提供即时的按压反馈，设备界面提供按压深度、频率实时参数显示。</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17.提供CPR按压干扰滤过功能，通过除颤电极片或CPR传感器自动检测按压干扰并实时滤波，减少按压中断。</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▲18.AED功能适用于29天以上人群（需提供NMPA注册证明材料）。</w:t>
            </w:r>
            <w:r/>
          </w:p>
        </w:tc>
      </w:tr>
      <w:tr>
        <w:trPr>
          <w:jc w:val="center"/>
          <w:trHeight w:val="397"/>
        </w:trPr>
        <w:tc>
          <w:tcPr>
            <w:gridSpan w:val="2"/>
            <w:tcW w:w="2547" w:type="dxa"/>
            <w:vAlign w:val="center"/>
            <w:textDirection w:val="lrTb"/>
            <w:noWrap w:val="false"/>
          </w:tcPr>
          <w:p>
            <w:pPr>
              <w:numPr>
                <w:ilvl w:val="1"/>
                <w:numId w:val="0"/>
              </w:numPr>
              <w:jc w:val="left"/>
              <w:spacing w:line="36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14.</w:t>
            </w:r>
            <w:r>
              <w:rPr>
                <w:rFonts w:hint="eastAsia" w:ascii="宋体" w:hAnsi="宋体" w:cs="宋体"/>
                <w:color w:val="auto"/>
                <w:szCs w:val="21"/>
                <w:highlight w:val="none"/>
              </w:rPr>
              <w:t xml:space="preserve">体外除颤仪AED</w:t>
            </w:r>
            <w:r/>
          </w:p>
        </w:tc>
        <w:tc>
          <w:tcPr>
            <w:tcW w:w="6418"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一.物理功能</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1.整机重量（含电池）≤2.5Kg，设备具备高便携性，且有主机一体便携把手。</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2.主机设有机盖保护装置，并支持开盖即开机方式。</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3.方便收纳和操作，主机防护盖内有电极片专用收纳仓。</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4.主机使用期限≥10年。</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5.▲产品防尘防水级别≥IP65。</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6.▲主机通过≥1.6米高度跌落试验，6个面各跌落1次（需提供检测报告）。</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7.工作温度：-10℃～ 50℃，0%～95%(无冷凝)，（从室温环境下进入－20℃环境后，至少能工作 60 分钟）。</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8.存储温度：存储温度：-30℃～70℃，0%～95%(无冷凝)</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二.操作显示</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1.▲主机具有液晶显示屏，屏幕尺寸≥7英寸，分辨率≥800*480像素。</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2.具备成人儿童模式，可一键实现快速切换。</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3.支持4种及以上语言一键切换。</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4.为适应急救现场嘈杂环境下使用，设备能够根据环境噪音强度自动调节语音播放音量。</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5.为适应多种急救现场，设备可根据环境亮度自动调节屏幕亮度。</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6.提供语音及动画指导提示，指导操作人员按照 AHA/ERC 推荐的频率对病人实施胸部按压并进行通气。</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7.按压速率可调，可调范围每分钟按压100、110或120次。</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8.按压通气比可调，可调范围30:2、15:2。</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三.设备性能</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1.采用双相波技术，成人除颤最大能量可达360J，儿童除颤最大能量可达100J。</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2.▲为了适用不同人群和患者类型，除颤能量前三次档位可进行调节，可设置≥13个不同能量等级。</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3.开始AED分析到200J放电准备就绪时间＜5s。</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4.除颤后ECG恢复时间＜2s。</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5.除颤能量内部释放时间≥30s, 多档可调。</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6.电池使用年限≥5年，电池容量≥4500mAh。</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7.在适合条件下，工作时间≥12小时，可提供≥210次360J除颤或320次200J除颤。</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8.▲首次出现电池电量低报警时，主机至少还可持续工作30分钟和10次200J电击。</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9.单副电极片有效期</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36个月。</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10.电极片具有通用性，电极片插头能够适配多个品牌的设备。</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11.可与同品牌手动除颤器通用，确保在紧急情况下无需更换电极片即可进行除颤操作。</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12.具备较好的干扰信号抑制能力，在ECG信号采集与分析工作状态下应满足共模抑制比＞90dB，系统噪声不大于30uV，输入阻抗不小于 2.5MΩ。</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四.设备自检与巡检</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1.设备每天、每周、每月都会进行自检，自检项目包括按键测试、高低压充放电、能量内部释放及解除、内存、电池电量、时间、通讯等内容。</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2.设备主机具备状态指示灯，以颜色变化显示设备运行状态，便于日常维护。</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3.主机具有电池查看窗，可以在不开机不开盖的状态下监测电池电量。</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4.主机具有电极片查看窗，方便随时查看电极片的使用效期。</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五.数据传输和存储</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1.数据存储内存容量≥1G，可存储≥1500条事件记录或≥2000份自检报告，保存至少≥5小时ECG 波形。</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2.具备录音功能，可保存≥70分钟抢救现场录音。</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3.设备支持USB接口，可通过外部USB闪存设备导出抢救记录数据。</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4.设备配置了4G、Wi-Fi无线模块，可通过无线网络接入设备管理系统，实现设备管理和数据传输功能。</w:t>
            </w:r>
            <w:r/>
          </w:p>
        </w:tc>
      </w:tr>
      <w:tr>
        <w:trPr>
          <w:jc w:val="center"/>
          <w:trHeight w:val="397"/>
        </w:trPr>
        <w:tc>
          <w:tcPr>
            <w:gridSpan w:val="2"/>
            <w:tcW w:w="2547" w:type="dxa"/>
            <w:vAlign w:val="center"/>
            <w:textDirection w:val="lrTb"/>
            <w:noWrap w:val="false"/>
          </w:tcPr>
          <w:p>
            <w:pPr>
              <w:numPr>
                <w:ilvl w:val="1"/>
                <w:numId w:val="0"/>
              </w:numPr>
              <w:jc w:val="left"/>
              <w:spacing w:line="36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15.</w:t>
            </w:r>
            <w:r>
              <w:rPr>
                <w:rFonts w:hint="eastAsia" w:ascii="宋体" w:hAnsi="宋体" w:cs="宋体"/>
                <w:color w:val="auto"/>
                <w:szCs w:val="21"/>
                <w:highlight w:val="none"/>
              </w:rPr>
              <w:t xml:space="preserve">麻醉可视喉镜</w:t>
            </w:r>
            <w:r/>
          </w:p>
        </w:tc>
        <w:tc>
          <w:tcPr>
            <w:tcW w:w="6418"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1.显示屏</w:t>
            </w:r>
            <w:r>
              <w:rPr>
                <w:rFonts w:hint="eastAsia" w:ascii="宋体" w:hAnsi="宋体" w:cs="宋体"/>
                <w:color w:val="auto"/>
                <w:szCs w:val="21"/>
                <w:highlight w:val="none"/>
              </w:rPr>
              <w:tab/>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①尺寸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3.0寸，高清直角平面显示屏，分辨率≥1600*1200；</w:t>
            </w:r>
            <w:r/>
          </w:p>
          <w:p>
            <w:pPr>
              <w:numPr>
                <w:ilvl w:val="1"/>
                <w:numId w:val="0"/>
              </w:numPr>
              <w:jc w:val="left"/>
              <w:spacing w:line="360" w:lineRule="exact"/>
              <w:rPr>
                <w:rFonts w:hint="eastAsia"/>
                <w:color w:val="auto"/>
              </w:rPr>
            </w:pPr>
            <w:r>
              <w:rPr>
                <w:rFonts w:hint="eastAsia" w:ascii="宋体" w:hAnsi="宋体" w:cs="宋体"/>
                <w:color w:val="auto"/>
                <w:szCs w:val="21"/>
                <w:highlight w:val="none"/>
              </w:rPr>
              <w:t xml:space="preserve">②上下转动角度</w:t>
            </w:r>
            <w:r>
              <w:rPr>
                <w:rFonts w:hint="eastAsia" w:ascii="宋体" w:hAnsi="宋体" w:cs="宋体"/>
                <w:color w:val="auto"/>
                <w:szCs w:val="21"/>
                <w:highlight w:val="none"/>
              </w:rPr>
              <w:tab/>
            </w:r>
            <w:r>
              <w:rPr>
                <w:rFonts w:hint="eastAsia" w:ascii="宋体" w:hAnsi="宋体" w:cs="宋体"/>
                <w:color w:val="auto"/>
                <w:szCs w:val="21"/>
                <w:highlight w:val="none"/>
              </w:rPr>
              <w:t xml:space="preserve">0-130°（允许±2°）</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③左右转动角度</w:t>
            </w:r>
            <w:r>
              <w:rPr>
                <w:rFonts w:hint="eastAsia" w:ascii="宋体" w:hAnsi="宋体" w:cs="宋体"/>
                <w:color w:val="auto"/>
                <w:szCs w:val="21"/>
                <w:highlight w:val="none"/>
              </w:rPr>
              <w:tab/>
            </w:r>
            <w:r>
              <w:rPr>
                <w:rFonts w:hint="eastAsia" w:ascii="宋体" w:hAnsi="宋体" w:cs="宋体"/>
                <w:color w:val="auto"/>
                <w:szCs w:val="21"/>
                <w:highlight w:val="none"/>
              </w:rPr>
              <w:t xml:space="preserve">0-270°（允许±2°）</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2.数据输出：TF卡数据导出或Type-C直接数据传输，方便档案的建立和储存；</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配套使用一次性镜片（一台机器只能使用一种），一次性镜片插入长度分成人大号≤155mm，成人中号≤125mm，儿童≤108mm，婴儿≤88mm，窥视片护套采用进口防雾高分子材料，具有较强的韧性和强度，上翘大角度设计，可解决各类疑难插管；</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4.主机金属支架（含摄像头），支架主体采用高强度合金材料，更耐用，更美观轻便；①摄像头分辨：200万像素，内置的全密封高功率单颗LED光源；</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②景深：5-100mm，自动对焦、自动白平衡；</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③电源≤12V；</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▲④视场角≥90°；</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⑤光照度不小于800LUX；</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5.电池</w:t>
            </w:r>
            <w:r>
              <w:rPr>
                <w:rFonts w:hint="eastAsia" w:ascii="宋体" w:hAnsi="宋体" w:cs="宋体"/>
                <w:color w:val="auto"/>
                <w:szCs w:val="21"/>
                <w:highlight w:val="none"/>
              </w:rPr>
              <w:tab/>
            </w:r>
            <w:r>
              <w:rPr>
                <w:rFonts w:hint="eastAsia" w:ascii="宋体" w:hAnsi="宋体" w:cs="宋体"/>
                <w:color w:val="auto"/>
                <w:szCs w:val="21"/>
                <w:highlight w:val="none"/>
              </w:rPr>
              <w:t xml:space="preserve">：</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①类型：不可拆卸内置重复充电型锂电池；</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②电压≤7.4V；</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③容量＞3100mAh；</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④充电次数＞500次；</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⑤充电时间＜4小时；</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⑥连续工作时间大于300分钟；</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6.电源适配器</w:t>
            </w:r>
            <w:r>
              <w:rPr>
                <w:rFonts w:hint="eastAsia" w:ascii="宋体" w:hAnsi="宋体" w:cs="宋体"/>
                <w:color w:val="auto"/>
                <w:szCs w:val="21"/>
                <w:highlight w:val="none"/>
              </w:rPr>
              <w:tab/>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①充电接口输入极性：内正外负；</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②充电器输入：100~250V,50Hz；</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③充电器输出：4.2V~12V,1000mA；</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7.工作环境；</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①温度-10℃~﹢40℃；</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②湿度：30％~85％；</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③大气压力700hPa to 1060hPa；</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▲8.防雾功能：无需开机预热，即开机即可防雾。采用防雾技术；</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9.摄像头的位置：视频喉镜的摄像头角度与镜片前段的垂直距离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45mm。45mm的可视距离设计，使摄像头焦距清晰度最大化。视野无盲区，气管插管更精确，清楚的辨认咽喉部的结构，区别食道入口和气道入口，避免了盲穿和误穿；</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10.拍照摄像功能：手柄上快捷一键快拍摄按钮，拍照速度反应迅速快，具有实时照相、摄录、存储功能，内存≥16G；</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▲11.合金支架和手柄之间的采用直接固定一体式的方式，避免了支架与手柄连接不稳定的情况；</w:t>
            </w:r>
            <w:r/>
          </w:p>
        </w:tc>
      </w:tr>
      <w:tr>
        <w:trPr>
          <w:jc w:val="center"/>
          <w:trHeight w:val="397"/>
        </w:trPr>
        <w:tc>
          <w:tcPr>
            <w:gridSpan w:val="2"/>
            <w:tcW w:w="2547" w:type="dxa"/>
            <w:vAlign w:val="center"/>
            <w:textDirection w:val="lrTb"/>
            <w:noWrap w:val="false"/>
          </w:tcPr>
          <w:p>
            <w:pPr>
              <w:numPr>
                <w:ilvl w:val="1"/>
                <w:numId w:val="0"/>
              </w:numPr>
              <w:jc w:val="left"/>
              <w:spacing w:line="36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16.</w:t>
            </w:r>
            <w:r>
              <w:rPr>
                <w:rFonts w:hint="eastAsia" w:ascii="宋体" w:hAnsi="宋体" w:cs="宋体"/>
                <w:color w:val="auto"/>
                <w:szCs w:val="21"/>
                <w:highlight w:val="none"/>
              </w:rPr>
              <w:t xml:space="preserve">注射泵</w:t>
            </w:r>
            <w:r/>
          </w:p>
        </w:tc>
        <w:tc>
          <w:tcPr>
            <w:tcW w:w="6418"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双通道微量注射泵参数：</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▲1.按国际标准设计，注射器品牌尺寸标注系统、压力自动校准方法和系统、速度自动校准方法和系统、滑块控制结构及含有该滑块控制结构的注射泵推进装置（提供证书）。</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2.具有注射器规格和安装状态指示灯，显示安装和注射状态；</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3.自动识别10ml、20ml、30ml、50ml注射器规格，注射速率：10ml：0.1ml/h—400ml/h， 20ml：0.1ml/h—600ml/h， 30ml：0.1ml/h—900ml/h，50ml：0.1ml/h—1500ml/h；</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▲4.注射精度：≤±2% （泵本身机械精度≤±1%）</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5.具有三档阻塞报警阀选择：高800±200mm汞柱、中500±100mm汞柱、 低300±100mm汞柱；</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具有“管路阻塞”、“残留提示”、“注射完毕”、“注射器压杆安装错误报警”、“注射器推杆安装错误”、“电源线脱落报警”、“速率超范围”、“系统出错报警”、“遗忘操作报警”、“输液量等于限制量”等报警；</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7.电气符合医院的工作要求，AC100-220V±10%，50-60Hz±1 Hz，内置电池充电12小时以上，可连续工作超过6小时；</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8.泵固定夹在不需要任何工具的情况下可任意90℃旋转进行横竖固定；</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9.注射中调速功能：在不暂停注射情况下，可以调整注射速度；</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10.残余报警具有三种模式可设置选择：“距离模式1-18mm”、“时间模式1-10min”、“容量模式1-5ml”</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11.可设置开机后保存上次的参数速度或者开机显示速度清零两种可选。</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12.内存30种注射器品牌，自定义标定保存3种品牌；</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13.具有限制量设定、输出量查询、KVO速率、快速输液控制、快速推进键保险、流量设定键的锁定、市电及内置电池指示、历史数据查询等功能。</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14.可选择和输液泵叠加组合成4-8通道输注集成系统，通过一条电源线输出。  </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15.机身上带有操作指南和各功能键的操作使用方法。</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16.设备进液防护等级：IPX4，设备防电击安全等级：Ⅰ类、CF型</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17.双通道一体机，可以分速输注；双色系设计，不同通道对应不同颜色；</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18.采用两个显示屏幕分别显示各通道的情况</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▲19.报警音量可设置0－9档；</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▲20.快进速度可设置10ml:5－400ml/h, 20ml:5－600ml/h, 30ml:5－900ml/h, 50ml:5－1500ml/h；</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21.延长管脱落报警功能：在注射过程中，能够检测延长管或者针头脱落，提高安全性；</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22.紧急断电报警功能：在交流电源和电池同时被拔掉，内设纽扣电池还可以持续3分钟报警，更安全；</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23.KVO速度可设置：可根据不同的针筒规格设置KVO速度，KVO速度默认为0.5ml/h；10ml注射器KVO速度范围为0.1－1ml/h；20ml、30ml、50ml注射器KVO速度范围0.1~5ml/h；</w:t>
            </w:r>
            <w:r/>
          </w:p>
        </w:tc>
      </w:tr>
      <w:tr>
        <w:trPr>
          <w:jc w:val="center"/>
          <w:trHeight w:val="397"/>
        </w:trPr>
        <w:tc>
          <w:tcPr>
            <w:gridSpan w:val="2"/>
            <w:tcW w:w="2547" w:type="dxa"/>
            <w:vAlign w:val="center"/>
            <w:textDirection w:val="lrTb"/>
            <w:noWrap w:val="false"/>
          </w:tcPr>
          <w:p>
            <w:pPr>
              <w:numPr>
                <w:ilvl w:val="1"/>
                <w:numId w:val="0"/>
              </w:numPr>
              <w:jc w:val="left"/>
              <w:spacing w:line="36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17.</w:t>
            </w:r>
            <w:r>
              <w:rPr>
                <w:rFonts w:hint="eastAsia" w:ascii="宋体" w:hAnsi="宋体" w:cs="宋体"/>
                <w:color w:val="auto"/>
                <w:szCs w:val="21"/>
                <w:highlight w:val="none"/>
              </w:rPr>
              <w:t xml:space="preserve">车载心电图机</w:t>
            </w:r>
            <w:r/>
          </w:p>
        </w:tc>
        <w:tc>
          <w:tcPr>
            <w:tcW w:w="6418"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1、数字式心电图机，支持标准12导心电图同步采集、记录功能；</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2、内置可充电锂电池，持续工作使用时间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4个小时；</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▲3、主机具备2.4GHz/5GHz双频段无线Wifi功能（需提供有效证明材料）；</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4、提供机器输出数据技术方案，需开放给系统软件供应商集成应用。</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、主机重量</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250g，打印机重量</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600g。</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、ECG输入通道：标准 12导联心电信号同步采集</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、输入阻抗：</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100MΩ</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、定标高压：1mV±1%</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、耐极化电压：</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±920mv</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、内部噪声：≤10 uVp-p</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、时间常数：≥5s</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、共模抑制比：&gt; 125dB（默认交流滤波关闭）</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、导联线：导联线连接主机后整机具有除颤放电效应防护性能</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、信息输入语言类型：中文，录入方式：支持拼音、五笔、手写、语音等多种数据21、输入方式内置 NFC 录入方式</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、显示器屏幕尺寸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5.5英寸，屏幕类型：彩色液晶全高清 LCD 显示屏，分辨率：≥1280*720，打印方式：连续、同步。</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、病人信息录入功能：支持手工录入;快速录入:支持外接读卡器和扫描枪读取患者身份信息，直接将病人信息录入到心电图机上。</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、质量检测：①支持采集过程中起搏信号检测和提醒;②支持采集过程中导联脱落检测和提醒；③支持伪差心电图提醒;④支持导联脱落提醒;⑤支持左右手接反提醒;</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18</w:t>
            </w:r>
            <w:r>
              <w:rPr>
                <w:rFonts w:hint="eastAsia" w:ascii="宋体" w:hAnsi="宋体" w:cs="宋体"/>
                <w:color w:val="auto"/>
                <w:szCs w:val="21"/>
                <w:highlight w:val="none"/>
              </w:rPr>
              <w:t xml:space="preserve">、危急值提示：采集完成后支持 AI分析危急值，对危急报告进行提醒。</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19</w:t>
            </w:r>
            <w:r>
              <w:rPr>
                <w:rFonts w:hint="eastAsia" w:ascii="宋体" w:hAnsi="宋体" w:cs="宋体"/>
                <w:color w:val="auto"/>
                <w:szCs w:val="21"/>
                <w:highlight w:val="none"/>
              </w:rPr>
              <w:t xml:space="preserve">、测量项目参数：包括心率、P波时限、QRS 时限、T波时限、P-R 间期、Q-T间期、QTc、P/QRS/T 电轴、SV1、RV5 等值</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、临床信息完善：支持识别特定类型病人并提醒采集人员补充完善临床信息，如患者是否佩戴了起搏器，从源头上规避影响诊断的重采问题。</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支持在采集端将心电图原始数据生成二维码，并通过手机端微信分享形式将心电图原始波形从内网传输至外网，物理隔离保障网络安全，可应对因网络异常、系统异常导致心电图数据无法上传至心电诊断中心的特殊情况下的数据传输。</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、主机内存：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16GB ，支持最高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1万份心电数据存储</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、诊断语言:支持中文，标配蓝牙打印机，支持热敏打印功能</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、电池充电方式：通过无线座充充电</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、能支持现用车载急救智慧医疗系统，无其他接入费用</w:t>
            </w:r>
            <w:r/>
          </w:p>
        </w:tc>
      </w:tr>
      <w:tr>
        <w:trPr>
          <w:jc w:val="center"/>
          <w:trHeight w:val="397"/>
        </w:trPr>
        <w:tc>
          <w:tcPr>
            <w:gridSpan w:val="2"/>
            <w:tcW w:w="2547" w:type="dxa"/>
            <w:vAlign w:val="center"/>
            <w:textDirection w:val="lrTb"/>
            <w:noWrap w:val="false"/>
          </w:tcPr>
          <w:p>
            <w:pPr>
              <w:numPr>
                <w:ilvl w:val="1"/>
                <w:numId w:val="0"/>
              </w:numPr>
              <w:jc w:val="left"/>
              <w:spacing w:line="36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18.</w:t>
            </w:r>
            <w:r>
              <w:rPr>
                <w:rFonts w:hint="eastAsia" w:ascii="宋体" w:hAnsi="宋体" w:cs="宋体"/>
                <w:color w:val="auto"/>
                <w:szCs w:val="21"/>
                <w:highlight w:val="none"/>
              </w:rPr>
              <w:t xml:space="preserve">上车担架</w:t>
            </w:r>
            <w:r/>
          </w:p>
        </w:tc>
        <w:tc>
          <w:tcPr>
            <w:tcW w:w="6418"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高强度铝合金材料制造，进行硬化和表面喷涂处理,X形结构设计整体稳固，防侧翻。</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担架床面变化范围：高度：高位≤2050*580*950mm ，低位≤2050*580*300mm，自重≤42kg , 承重≥320kg 。</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长度最短≤1600mm 方便狭窄空间（如电梯）环境使用，靠背最大倾角≤75°，膝部最大倾角≥15°。</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配置倒复式三段输液架，最高调节长度为800mm，整体高度可八档调节（方便转移患者），上车高度：780mm,左右侧护栏采用高分子材料制造，倒复式结构（方便患者上下担架）配置背心式三点安全带固定，确保转运安全，担架垫采用PVC材料凹形设计，厚度100mm，主脚轮直径≥150mm四轮采用万向轮设计（对角轮配置制动系统），担架上可选装氧气瓶支架</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上下救护车需二名或以上救护人员操作完成，需提供第一类医疗器械备案凭证，上车担架安装在医疗舱左侧，前部安装防护装置，专用固定机构也设置在救护车左侧，牢固稳定。</w:t>
            </w:r>
            <w:r/>
          </w:p>
        </w:tc>
      </w:tr>
      <w:tr>
        <w:trPr>
          <w:jc w:val="center"/>
          <w:trHeight w:val="397"/>
        </w:trPr>
        <w:tc>
          <w:tcPr>
            <w:gridSpan w:val="2"/>
            <w:tcW w:w="2547" w:type="dxa"/>
            <w:vAlign w:val="center"/>
            <w:textDirection w:val="lrTb"/>
            <w:noWrap w:val="false"/>
          </w:tcPr>
          <w:p>
            <w:pPr>
              <w:numPr>
                <w:ilvl w:val="1"/>
                <w:numId w:val="0"/>
              </w:numPr>
              <w:jc w:val="left"/>
              <w:spacing w:line="36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19.</w:t>
            </w:r>
            <w:r>
              <w:rPr>
                <w:rFonts w:hint="eastAsia" w:ascii="宋体" w:hAnsi="宋体" w:cs="宋体"/>
                <w:color w:val="auto"/>
                <w:szCs w:val="21"/>
                <w:highlight w:val="none"/>
              </w:rPr>
              <w:t xml:space="preserve">铲式担架</w:t>
            </w:r>
            <w:r/>
          </w:p>
        </w:tc>
        <w:tc>
          <w:tcPr>
            <w:tcW w:w="6418"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国产铝合金制造，采用分离刚性结构，两端设有离合装置，可分离成左右二部分，可实现原地固定患者，减少对患者的二次伤害。</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展开尺寸≤2000*420*70mm,收缩尺寸≤1680mm*420*70mm，自重≤8.5kg,承重≥159kg。</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需提供第一类医疗器械备案凭证</w:t>
            </w:r>
            <w:r/>
          </w:p>
        </w:tc>
      </w:tr>
      <w:tr>
        <w:trPr>
          <w:jc w:val="center"/>
          <w:trHeight w:val="397"/>
        </w:trPr>
        <w:tc>
          <w:tcPr>
            <w:gridSpan w:val="2"/>
            <w:tcW w:w="2547" w:type="dxa"/>
            <w:vAlign w:val="center"/>
            <w:textDirection w:val="lrTb"/>
            <w:noWrap w:val="false"/>
          </w:tcPr>
          <w:p>
            <w:pPr>
              <w:numPr>
                <w:ilvl w:val="1"/>
                <w:numId w:val="0"/>
              </w:numPr>
              <w:jc w:val="left"/>
              <w:spacing w:line="36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20.</w:t>
            </w:r>
            <w:r>
              <w:rPr>
                <w:rFonts w:hint="eastAsia" w:ascii="宋体" w:hAnsi="宋体" w:cs="宋体"/>
                <w:color w:val="auto"/>
                <w:szCs w:val="21"/>
                <w:highlight w:val="none"/>
              </w:rPr>
              <w:t xml:space="preserve">软担架</w:t>
            </w:r>
            <w:r/>
          </w:p>
        </w:tc>
        <w:tc>
          <w:tcPr>
            <w:tcW w:w="6418"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采用高质量防水尼龙材料制造，展开尺寸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1800*75mm左右侧配置把手</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8个，可进行X光透视 ，CT扫描，</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自重≤3kg,承重≥100kg</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需提供第一类医疗器械备案凭证</w:t>
            </w:r>
            <w:r/>
          </w:p>
        </w:tc>
      </w:tr>
      <w:tr>
        <w:trPr>
          <w:jc w:val="center"/>
          <w:trHeight w:val="397"/>
        </w:trPr>
        <w:tc>
          <w:tcPr>
            <w:gridSpan w:val="2"/>
            <w:tcW w:w="2547" w:type="dxa"/>
            <w:vAlign w:val="center"/>
            <w:textDirection w:val="lrTb"/>
            <w:noWrap w:val="false"/>
          </w:tcPr>
          <w:p>
            <w:pPr>
              <w:numPr>
                <w:ilvl w:val="1"/>
                <w:numId w:val="0"/>
              </w:numPr>
              <w:jc w:val="left"/>
              <w:spacing w:line="36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21.</w:t>
            </w:r>
            <w:r>
              <w:rPr>
                <w:rFonts w:hint="eastAsia" w:ascii="宋体" w:hAnsi="宋体" w:cs="宋体"/>
                <w:color w:val="auto"/>
                <w:szCs w:val="21"/>
                <w:highlight w:val="none"/>
              </w:rPr>
              <w:t xml:space="preserve">折叠担架</w:t>
            </w:r>
            <w:r/>
          </w:p>
        </w:tc>
        <w:tc>
          <w:tcPr>
            <w:tcW w:w="6418"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自重≤4kg，承重≥160kg，展开尺寸：1880*490*30mm，折叠尺寸：940*490*70mm，采用高强度的铝合金材料制成，重量轻，坚固耐用，携带方便，面料和颜色可定制，主要适用于医院、救护车及现场运送病员。</w:t>
            </w:r>
            <w:r/>
          </w:p>
        </w:tc>
      </w:tr>
      <w:tr>
        <w:trPr>
          <w:jc w:val="center"/>
          <w:trHeight w:val="397"/>
        </w:trPr>
        <w:tc>
          <w:tcPr>
            <w:gridSpan w:val="2"/>
            <w:tcW w:w="2547" w:type="dxa"/>
            <w:vAlign w:val="center"/>
            <w:textDirection w:val="lrTb"/>
            <w:noWrap w:val="false"/>
          </w:tcPr>
          <w:p>
            <w:pPr>
              <w:numPr>
                <w:ilvl w:val="1"/>
                <w:numId w:val="0"/>
              </w:numPr>
              <w:jc w:val="left"/>
              <w:spacing w:line="360" w:lineRule="exact"/>
              <w:rPr>
                <w:rFonts w:hint="eastAsia" w:ascii="宋体" w:hAnsi="宋体"/>
                <w:color w:val="auto"/>
                <w:szCs w:val="21"/>
                <w:highlight w:val="none"/>
                <w:lang w:val="en-US" w:eastAsia="zh-CN"/>
              </w:rPr>
            </w:pP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脊椎板</w:t>
            </w:r>
            <w:r/>
          </w:p>
        </w:tc>
        <w:tc>
          <w:tcPr>
            <w:tcW w:w="6418"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展开尺寸：≤1850*450*60mm</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自重：≤8kg</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承重：≥181kg</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采用无释放污染的HDPE材料中空吹塑一次成型，可进行X光透视、CT扫描，配有安全带。</w:t>
            </w:r>
            <w:r/>
          </w:p>
        </w:tc>
      </w:tr>
      <w:tr>
        <w:trPr>
          <w:jc w:val="center"/>
          <w:trHeight w:val="397"/>
        </w:trPr>
        <w:tc>
          <w:tcPr>
            <w:gridSpan w:val="2"/>
            <w:tcW w:w="2547" w:type="dxa"/>
            <w:vAlign w:val="center"/>
            <w:textDirection w:val="lrTb"/>
            <w:noWrap w:val="false"/>
          </w:tcPr>
          <w:p>
            <w:pPr>
              <w:numPr>
                <w:ilvl w:val="1"/>
                <w:numId w:val="0"/>
              </w:numPr>
              <w:jc w:val="left"/>
              <w:spacing w:line="36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吸引系统</w:t>
            </w:r>
            <w:r/>
          </w:p>
        </w:tc>
        <w:tc>
          <w:tcPr>
            <w:tcW w:w="6418"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分体式吸引器（高负压/低流量）</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储液瓶≥1000ml,输入功率110VA</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净重≤5.5kg</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噪声≤65dB(A)</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极限负压值≥0.08MPa (600mmHg)</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抽气速率：≥20 L/min</w:t>
            </w:r>
            <w:r/>
          </w:p>
        </w:tc>
      </w:tr>
      <w:tr>
        <w:trPr>
          <w:jc w:val="center"/>
          <w:trHeight w:val="397"/>
        </w:trPr>
        <w:tc>
          <w:tcPr>
            <w:gridSpan w:val="2"/>
            <w:tcW w:w="2547"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rPr>
              <w:t xml:space="preserve">急救箱</w:t>
            </w:r>
            <w:r/>
          </w:p>
        </w:tc>
        <w:tc>
          <w:tcPr>
            <w:tcW w:w="6418"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尺寸：450*350*180mm</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箱体由整块铝合金板材一体成型。</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内部空间可组合，可放置不同大小急救物品。</w:t>
            </w:r>
            <w:r/>
          </w:p>
        </w:tc>
      </w:tr>
      <w:tr>
        <w:trPr>
          <w:jc w:val="center"/>
          <w:trHeight w:val="397"/>
        </w:trPr>
        <w:tc>
          <w:tcPr>
            <w:gridSpan w:val="2"/>
            <w:tcW w:w="2547"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25.</w:t>
            </w:r>
            <w:r>
              <w:rPr>
                <w:rFonts w:hint="eastAsia" w:ascii="宋体" w:hAnsi="宋体" w:cs="宋体"/>
                <w:color w:val="auto"/>
                <w:szCs w:val="21"/>
                <w:highlight w:val="none"/>
              </w:rPr>
              <w:t xml:space="preserve">简易呼吸气囊</w:t>
            </w:r>
            <w:r/>
          </w:p>
        </w:tc>
        <w:tc>
          <w:tcPr>
            <w:tcW w:w="6418"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1.适用人群：患者体重&gt;23kg，</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2.呼气阻抗：≤ 5cmH2O，</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3.吸气阻抗：≤5cmH2O，</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4.最小输送容量：600 ml，</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5.压力显示值：0-60cmH2O，</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6.压力显示值公差：±5cmH2O，</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7.死腔：≤ 65 ml，</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8.气囊外形尺寸（长*直径）：约212*131mm，</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9.气囊容积：1500ml±200ml，</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10.PP盒外形尺寸（长*宽*高）：≤300*180*160mm</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11.PP盒重量：≤350g，</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12.硅胶型：① 高温消毒：121 ℃ 20分钟或 134 ℃ 5 分钟。② 消毒次数可达 20 次。</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13.操作温度: -18℃～+50℃，</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14.操作湿度: 15%～95%，</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15.储存温度: -40℃～+60℃，</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16.储存相对湿度:40%～95%。</w:t>
            </w:r>
            <w:r/>
          </w:p>
        </w:tc>
      </w:tr>
      <w:tr>
        <w:trPr>
          <w:jc w:val="center"/>
          <w:trHeight w:val="397"/>
        </w:trPr>
        <w:tc>
          <w:tcPr>
            <w:gridSpan w:val="2"/>
            <w:tcW w:w="2547"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生理参数检测仪</w:t>
            </w:r>
            <w:r/>
          </w:p>
        </w:tc>
        <w:tc>
          <w:tcPr>
            <w:tcW w:w="6418" w:type="dxa"/>
            <w:vAlign w:val="center"/>
            <w:textDirection w:val="lrTb"/>
            <w:noWrap w:val="false"/>
          </w:tcPr>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一、监测参数</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1、无创血压：收缩压：60~240mmHg、舒张压：30~180mmHg</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2、体温：32.0~43.0°</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3、心率：30bpm~240bpn</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4、血糖：1.7mmol/L~27.8mmol/L</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5、血氧饱和度：35%~100%</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6、脉率：30bpm~240bpm</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二、仪器技术要求</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1、电源：可充电锂电池</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、数据传输：100个用户ID，每个ID可存储999条历史数据。</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、数据传输：双蓝牙传输，可通过蓝牙传输实现移动及pc端的存储、可放。</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、标准配置：主机、心电检测仪、血氧探头、耳温探头、血压袖带、血糖仪、电源适配器。</w:t>
            </w:r>
            <w:r/>
          </w:p>
          <w:p>
            <w:pPr>
              <w:numPr>
                <w:ilvl w:val="1"/>
                <w:numId w:val="0"/>
              </w:numPr>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、适用范围：对使用者的心电、体温、无创血压、脉搏血氧饱和度、脉率、血糖进行监测。</w:t>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（二）其他要求：</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b/>
          <w:bCs/>
          <w:color w:val="auto"/>
          <w:szCs w:val="21"/>
          <w:highlight w:val="none"/>
        </w:rPr>
        <w:t xml:space="preserve">投标人所投车辆须为国家发改委或工信部发布的《车辆生产企业及产品公告》中列明的“救护车”车型，须在投标响应技术标中提供国家发改委或工信部公布的详细数据资料网页打印件（加盖投标方单位公章）或证明资料复印件（加盖投标方单位公章）；否则为无效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2、本项目总价包括：车价、设备及改装费、安装调试、检测验收、培训（不包含差旅费）、质保期保障，车辆购置税，上牌工本费等费用。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3、投标人所提供的相关车辆必须符合国家环境保护部国六环保要求，须在投标文件技术标中提供相应证明资料复印件（加盖投标方单位公章）；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4、交货期要求：</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（1）底盘车辆要求为现货，签订政府采购合同后</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个工作日内需要交验符合招标要求的底盘车辆及车辆手续原件（要求底盘车辆合格证上生产日期202</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年</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月1日以后），逾期不能提交底盘车辆于采购人验收，或中标人提供的底盘车辆配置或信息与投标时提供的资料不符时，取消其中标资格。</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（2）救护车（改装及设备部分）在合同签订后</w:t>
      </w:r>
      <w:r>
        <w:rPr>
          <w:rFonts w:ascii="宋体" w:hAnsi="宋体"/>
          <w:color w:val="auto"/>
          <w:szCs w:val="21"/>
          <w:highlight w:val="none"/>
        </w:rPr>
        <w:t xml:space="preserve">15</w:t>
      </w:r>
      <w:r>
        <w:rPr>
          <w:rFonts w:hint="eastAsia" w:ascii="宋体" w:hAnsi="宋体"/>
          <w:color w:val="auto"/>
          <w:szCs w:val="21"/>
          <w:highlight w:val="none"/>
        </w:rPr>
        <w:t xml:space="preserve">日内交货。</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5、投标单位须保证投标车辆在苏州地区，以车辆使用性质“救护”完成上牌手续；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6、投标单位须在投标文件中提供售后服务细则及配件优惠价格。</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7、所有车辆颜色、喷涂图案及文字由采购方指定，费用包含在本次采购报价内。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若以上参数中出现车辆或者零配件品牌、型号，则仅供供应商在投标时参考，凡达到以上品牌型号档次、品质及以上技术要求的产品均可，但不能影响（或降低）其整体性能；投标单位必须在投标文件中注明所投产品的品牌、规格型号、主要参数、生产厂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9、投标人须明确所投设备生产厂家、品牌、型号、规格和外形、尺寸等；提供设备的配置清单，并提供详细的技术参数和性能说明书。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10、投标人必须承诺采购文件中提出的全部技术规格与要求，如果以其中某些条款不响应时，应在文件中逐条列出，未列出的视同响应。</w:t>
      </w:r>
      <w:r/>
    </w:p>
    <w:p>
      <w:pPr>
        <w:ind w:firstLine="420"/>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11、</w:t>
      </w:r>
      <w:r>
        <w:rPr>
          <w:rFonts w:hint="eastAsia" w:ascii="宋体" w:hAnsi="宋体"/>
          <w:color w:val="auto"/>
          <w:szCs w:val="21"/>
          <w:highlight w:val="none"/>
          <w:lang w:val="en-US" w:eastAsia="zh-CN"/>
        </w:rPr>
        <w:t xml:space="preserve">质保期及培训要求：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底盘车辆提供不低于2年不计里程的保修标准（自开具采购方发票之日起算）。按照生产单位售后服务标准执行，为保障用户的改装救护车仍然得到车辆底盘厂家全国售后服务网络，良好的维修、保修服务，投标时向采购方提供底盘汽车生产厂家在苏州授权服务中心的售后服务证明。</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医疗舱改装部分提供不低于一年的保修服务。保修期内，由非人为因素引起的故障均在保修范围内，供应商完全免费提供保修服务。保修期外，供应商提供终生的维修服务，且要求相关配件及人工费用低于平均市场价格。</w:t>
      </w:r>
      <w:r/>
    </w:p>
    <w:p>
      <w:pPr>
        <w:ind w:firstLine="420"/>
        <w:spacing w:line="390" w:lineRule="exact"/>
        <w:tabs>
          <w:tab w:val="left" w:pos="0" w:leader="none"/>
        </w:tabs>
        <w:rPr>
          <w:rFonts w:hint="eastAsia"/>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）供应商需提供至少3人/次的培训服务，确保用户方至少有2名操作人员可熟练使用（相关人员差旅费自理）</w:t>
      </w:r>
      <w:r>
        <w:rPr>
          <w:rFonts w:hint="eastAsia"/>
          <w:color w:val="auto"/>
          <w:szCs w:val="21"/>
          <w:highlight w:val="none"/>
        </w:rPr>
        <w:t xml:space="preserve">。</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四、付款方式：详见合同条款；</w:t>
      </w:r>
      <w:r/>
    </w:p>
    <w:p>
      <w:pPr>
        <w:ind w:firstLine="422"/>
        <w:spacing w:line="380" w:lineRule="exact"/>
        <w:rPr>
          <w:color w:val="auto"/>
          <w:szCs w:val="21"/>
          <w:highlight w:val="none"/>
        </w:rPr>
      </w:pPr>
      <w:r>
        <w:rPr>
          <w:rFonts w:hint="eastAsia"/>
          <w:b/>
          <w:bCs/>
          <w:color w:val="auto"/>
          <w:szCs w:val="21"/>
          <w:highlight w:val="none"/>
          <w:lang w:val="en-US" w:eastAsia="zh-CN"/>
        </w:rPr>
        <w:t xml:space="preserve">五</w:t>
      </w:r>
      <w:r>
        <w:rPr>
          <w:rFonts w:hint="eastAsia"/>
          <w:b/>
          <w:bCs/>
          <w:color w:val="auto"/>
          <w:szCs w:val="21"/>
          <w:highlight w:val="none"/>
        </w:rPr>
        <w:t xml:space="preserve">、其他需求</w:t>
      </w:r>
      <w:r/>
    </w:p>
    <w:p>
      <w:pPr>
        <w:ind w:firstLine="420"/>
        <w:spacing w:line="380" w:lineRule="exact"/>
        <w:rPr>
          <w:color w:val="auto"/>
          <w:szCs w:val="21"/>
          <w:highlight w:val="none"/>
        </w:rPr>
      </w:pPr>
      <w:r>
        <w:rPr>
          <w:rFonts w:hint="eastAsia"/>
          <w:color w:val="auto"/>
          <w:szCs w:val="21"/>
          <w:highlight w:val="none"/>
        </w:rPr>
        <w:t xml:space="preserve">1、货物到达采购单位后，在采购单位技术人员在场的情况下开箱清点货物，组织安装、调试及操作培训，并承担因此发生的一切费用。</w:t>
      </w:r>
      <w:r/>
    </w:p>
    <w:p>
      <w:pPr>
        <w:ind w:firstLine="420"/>
        <w:spacing w:line="380" w:lineRule="exact"/>
        <w:rPr>
          <w:color w:val="auto"/>
          <w:szCs w:val="21"/>
          <w:highlight w:val="none"/>
        </w:rPr>
      </w:pPr>
      <w:r>
        <w:rPr>
          <w:rFonts w:hint="eastAsia"/>
          <w:color w:val="auto"/>
          <w:szCs w:val="21"/>
          <w:highlight w:val="none"/>
        </w:rPr>
        <w:t xml:space="preserve">2、投标文件中提供实施方案，内容应包括但不限于①安装调试、系统集成、试运行、测试、调优等内容，②人员组织架构，③工作时间进度表、工作程序和步骤，④管理和协调方法，⑤关键步骤的思路和要点。</w:t>
      </w:r>
      <w:r/>
    </w:p>
    <w:p>
      <w:pPr>
        <w:ind w:firstLine="420"/>
        <w:spacing w:line="380" w:lineRule="exact"/>
        <w:rPr>
          <w:color w:val="auto"/>
          <w:szCs w:val="21"/>
          <w:highlight w:val="none"/>
        </w:rPr>
      </w:pPr>
      <w:r>
        <w:rPr>
          <w:rFonts w:hint="eastAsia"/>
          <w:color w:val="auto"/>
          <w:szCs w:val="21"/>
          <w:highlight w:val="none"/>
        </w:rPr>
        <w:t xml:space="preserve">3、投标人负责保管、看护进场的设备及附配件直至完成安装调试后交付采购单位。</w:t>
      </w:r>
      <w:r/>
    </w:p>
    <w:p>
      <w:pPr>
        <w:ind w:firstLine="420"/>
        <w:spacing w:line="380" w:lineRule="exact"/>
        <w:rPr>
          <w:b/>
          <w:bCs/>
          <w:color w:val="auto"/>
          <w:szCs w:val="21"/>
          <w:highlight w:val="none"/>
        </w:rPr>
      </w:pPr>
      <w:r>
        <w:rPr>
          <w:rFonts w:hint="eastAsia"/>
          <w:b/>
          <w:bCs/>
          <w:color w:val="auto"/>
          <w:szCs w:val="21"/>
          <w:highlight w:val="none"/>
          <w:lang w:val="en-US" w:eastAsia="zh-CN"/>
        </w:rPr>
        <w:t xml:space="preserve">六</w:t>
      </w:r>
      <w:r>
        <w:rPr>
          <w:rFonts w:hint="eastAsia"/>
          <w:b/>
          <w:bCs/>
          <w:color w:val="auto"/>
          <w:szCs w:val="21"/>
          <w:highlight w:val="none"/>
        </w:rPr>
        <w:t xml:space="preserve">、售后服务要求</w:t>
      </w:r>
      <w:r/>
    </w:p>
    <w:p>
      <w:pPr>
        <w:ind w:firstLine="420"/>
        <w:spacing w:line="400" w:lineRule="exact"/>
        <w:rPr>
          <w:rFonts w:ascii="宋体" w:hAnsi="宋体"/>
          <w:color w:val="auto"/>
          <w:szCs w:val="21"/>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针对本项目制定的售后服务管理体系方案，包括售后服务机制、响应时间、故障解决等内容、</w:t>
      </w:r>
      <w:r>
        <w:rPr>
          <w:rFonts w:ascii="宋体" w:hAnsi="宋体"/>
          <w:color w:val="auto"/>
          <w:szCs w:val="21"/>
          <w:highlight w:val="none"/>
        </w:rPr>
        <w:t xml:space="preserve">关于所投产品的售后服务承诺书、优惠措施等</w:t>
      </w:r>
      <w:r>
        <w:rPr>
          <w:rFonts w:hint="eastAsia" w:ascii="宋体" w:hAnsi="宋体"/>
          <w:color w:val="auto"/>
          <w:szCs w:val="21"/>
          <w:highlight w:val="none"/>
        </w:rPr>
        <w:t xml:space="preserve">。</w:t>
      </w:r>
      <w:r/>
    </w:p>
    <w:p>
      <w:pPr>
        <w:ind w:firstLine="420"/>
        <w:spacing w:line="400" w:lineRule="exact"/>
        <w:rPr>
          <w:rFonts w:ascii="宋体" w:hAnsi="宋体"/>
          <w:color w:val="auto"/>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w:t>
      </w:r>
      <w:r>
        <w:rPr>
          <w:rFonts w:hint="eastAsia" w:ascii="宋体" w:hAnsi="宋体"/>
          <w:color w:val="auto"/>
          <w:highlight w:val="none"/>
        </w:rPr>
        <w:t xml:space="preserve">应急预案。分析设备有可能出现的重大故障，制定出合理的应急预案。</w:t>
      </w:r>
      <w:r/>
    </w:p>
    <w:p>
      <w:pPr>
        <w:ind w:firstLine="420"/>
        <w:spacing w:line="400" w:lineRule="exact"/>
        <w:rPr>
          <w:rFonts w:ascii="宋体" w:hAnsi="宋体"/>
          <w:color w:val="auto"/>
          <w:szCs w:val="21"/>
          <w:highlight w:val="none"/>
        </w:rPr>
      </w:pPr>
      <w:r>
        <w:rPr>
          <w:rFonts w:hint="eastAsia" w:ascii="宋体" w:hAnsi="宋体"/>
          <w:b/>
          <w:bCs/>
          <w:color w:val="auto"/>
          <w:highlight w:val="none"/>
          <w:lang w:val="en-US" w:eastAsia="zh-CN"/>
        </w:rPr>
        <w:t xml:space="preserve">七</w:t>
      </w:r>
      <w:r>
        <w:rPr>
          <w:rFonts w:hint="eastAsia" w:ascii="宋体" w:hAnsi="宋体"/>
          <w:b/>
          <w:bCs/>
          <w:color w:val="auto"/>
          <w:highlight w:val="none"/>
        </w:rPr>
        <w:t xml:space="preserve">、提供维保收费方案</w:t>
      </w:r>
      <w:r>
        <w:rPr>
          <w:rFonts w:hint="eastAsia" w:ascii="宋体" w:hAnsi="宋体"/>
          <w:color w:val="auto"/>
          <w:highlight w:val="none"/>
        </w:rPr>
        <w:t xml:space="preserve">，</w:t>
      </w:r>
      <w:r>
        <w:rPr>
          <w:rFonts w:hint="eastAsia" w:ascii="宋体" w:hAnsi="宋体"/>
          <w:b/>
          <w:bCs/>
          <w:color w:val="auto"/>
          <w:szCs w:val="21"/>
          <w:highlight w:val="none"/>
          <w:lang w:val="en-US" w:eastAsia="zh-CN"/>
        </w:rPr>
        <w:t xml:space="preserve">包括售后服务机制、响应时间、故障解决等内容</w:t>
      </w:r>
      <w:r>
        <w:rPr>
          <w:rFonts w:hint="eastAsia" w:ascii="宋体" w:hAnsi="宋体"/>
          <w:color w:val="auto"/>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1、提供主要零配件的优惠价。零配件供应最长时间不超过3个工作日。并允诺做不到的赔偿条件。维保期结束后免收人工费，维修仅收配件费。投标文件中提供</w:t>
      </w:r>
      <w:r>
        <w:rPr>
          <w:rFonts w:hint="eastAsia" w:ascii="宋体" w:hAnsi="宋体"/>
          <w:color w:val="auto"/>
          <w:szCs w:val="21"/>
          <w:highlight w:val="none"/>
        </w:rPr>
        <w:t xml:space="preserve">出保后所需更换的易耗品及配件报价。</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、设备免费维保期内应按国家质量控制相关法规要求提供维保记录及质控记录。</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、设备交货验收时应提供以下文件的纸质版+电子版文件：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（1）中文说明书（纸质版+电子版）；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（2）简易操作说明（卡片/塑封文件+电子版）；</w:t>
      </w:r>
      <w:r/>
    </w:p>
    <w:p>
      <w:pPr>
        <w:ind w:firstLine="420"/>
        <w:spacing w:line="400" w:lineRule="exact"/>
        <w:rPr>
          <w:rFonts w:ascii="宋体" w:hAnsi="宋体"/>
          <w:color w:val="auto"/>
          <w:szCs w:val="21"/>
          <w:highlight w:val="none"/>
        </w:rPr>
      </w:pPr>
      <w:r>
        <w:rPr>
          <w:rFonts w:ascii="宋体" w:hAnsi="宋体" w:cs="宋体"/>
          <w:bCs/>
          <w:color w:val="auto"/>
          <w:szCs w:val="21"/>
          <w:highlight w:val="none"/>
        </w:rPr>
        <w:t xml:space="preserve">4</w:t>
      </w:r>
      <w:r>
        <w:rPr>
          <w:rFonts w:hint="eastAsia" w:ascii="宋体" w:hAnsi="宋体"/>
          <w:color w:val="auto"/>
          <w:szCs w:val="21"/>
          <w:highlight w:val="none"/>
        </w:rPr>
        <w:t xml:space="preserve">、</w:t>
      </w:r>
      <w:r>
        <w:rPr>
          <w:rFonts w:hint="eastAsia"/>
          <w:color w:val="auto"/>
          <w:szCs w:val="21"/>
          <w:highlight w:val="none"/>
        </w:rPr>
        <w:t xml:space="preserve">所投设备属于法定或强检设备的，乙方需承担首次计量检测费用。</w:t>
      </w:r>
      <w:r>
        <w:rPr>
          <w:rFonts w:hint="eastAsia" w:ascii="宋体" w:hAnsi="宋体"/>
          <w:color w:val="auto"/>
          <w:szCs w:val="21"/>
          <w:highlight w:val="none"/>
        </w:rPr>
        <w:t xml:space="preserve">设备验收时需提供第三方计量检验证书(首检)；</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lang w:val="en-US" w:eastAsia="zh-CN"/>
        </w:rPr>
        <w:t xml:space="preserve">八</w:t>
      </w:r>
      <w:r>
        <w:rPr>
          <w:rFonts w:hint="eastAsia" w:ascii="宋体" w:hAnsi="宋体"/>
          <w:b/>
          <w:bCs/>
          <w:color w:val="auto"/>
          <w:szCs w:val="21"/>
          <w:highlight w:val="none"/>
        </w:rPr>
        <w:t xml:space="preserve">、故障应急预案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投标人根据往年设备故障案例，分析设备有可能出现的重大故障，制定出合理的应急预案。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①可能出现的重大故障分析，例如设备无法开机或持续处于宕机状态等情况的故障分析，分析故障原因。提供备机的申请流程和送达方案、提供维修机器的远程解决方案；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②本项目的重点、难点分析，例如分析在售后服务过程中可能出现的问题例如售后工程师无法按时到场、或维修配件不能及时到货等情况；</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③针对分析的上述故障应急情况，提供对应的解决方案；</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lang w:val="en-US" w:eastAsia="zh-CN"/>
        </w:rPr>
        <w:t xml:space="preserve">九</w:t>
      </w:r>
      <w:r>
        <w:rPr>
          <w:rFonts w:hint="eastAsia" w:ascii="宋体" w:hAnsi="宋体"/>
          <w:b/>
          <w:bCs/>
          <w:color w:val="auto"/>
          <w:szCs w:val="21"/>
          <w:highlight w:val="none"/>
        </w:rPr>
        <w:t xml:space="preserve">、培训方案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提供临床科室使用培训及医学工程处维护人员培训；提供培训团队组成情况介绍。提供培训方案，包括培训内容、时间、地点、人次、安装调试、配置及技能支持、业务人员培训、应用操作及使用等。</w:t>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十</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产品质量要求：</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所有设备在到达安装现场时须经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验收后才可进行设备安装，验货时须提交该产品的原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缺陷保修：如果设备交付使用后，缺陷多次反复出现，中标方必须提出分析报告和解决方案，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一</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验收</w:t>
      </w:r>
      <w:r>
        <w:rPr>
          <w:rFonts w:hint="eastAsia" w:ascii="宋体" w:hAnsi="宋体" w:cs="宋体"/>
          <w:b/>
          <w:color w:val="auto"/>
          <w:szCs w:val="21"/>
          <w:highlight w:val="none"/>
        </w:rPr>
        <w:t xml:space="preserve">要求及标准</w:t>
      </w:r>
      <w:r>
        <w:rPr>
          <w:rFonts w:ascii="宋体" w:hAnsi="宋体" w:cs="宋体"/>
          <w:b/>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4、本次采购全部内容为“交钥匙”项目，一切费用均包含在报价内，请各投标人认真考虑其各种风险。</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7、交货过程中如发现不符合本次采购文件</w:t>
      </w:r>
      <w:r>
        <w:rPr>
          <w:rFonts w:hint="eastAsia" w:ascii="宋体" w:hAnsi="宋体" w:cs="宋体"/>
          <w:bCs/>
          <w:color w:val="auto"/>
          <w:szCs w:val="21"/>
          <w:highlight w:val="none"/>
          <w:lang w:eastAsia="zh-CN"/>
        </w:rPr>
        <w:t xml:space="preserve">所规</w:t>
      </w:r>
      <w:r>
        <w:rPr>
          <w:rFonts w:hint="eastAsia" w:ascii="宋体" w:hAnsi="宋体" w:cs="宋体"/>
          <w:bCs/>
          <w:color w:val="auto"/>
          <w:szCs w:val="21"/>
          <w:highlight w:val="none"/>
        </w:rPr>
        <w:t xml:space="preserve">定产品，供方应无条件退换。</w:t>
      </w:r>
      <w:r/>
    </w:p>
    <w:p>
      <w:pPr>
        <w:ind w:firstLine="420"/>
        <w:spacing w:line="380" w:lineRule="exact"/>
        <w:rPr>
          <w:b/>
          <w:bCs/>
          <w:color w:val="auto"/>
          <w:szCs w:val="21"/>
          <w:highlight w:val="none"/>
        </w:rPr>
      </w:pPr>
      <w:r>
        <w:rPr>
          <w:rFonts w:hint="eastAsia"/>
          <w:b/>
          <w:bCs/>
          <w:color w:val="auto"/>
          <w:szCs w:val="21"/>
          <w:highlight w:val="none"/>
        </w:rPr>
        <w:t xml:space="preserve">十</w:t>
      </w:r>
      <w:r>
        <w:rPr>
          <w:rFonts w:hint="eastAsia"/>
          <w:b/>
          <w:bCs/>
          <w:color w:val="auto"/>
          <w:szCs w:val="21"/>
          <w:highlight w:val="none"/>
          <w:lang w:val="en-US" w:eastAsia="zh-CN"/>
        </w:rPr>
        <w:t xml:space="preserve">二</w:t>
      </w:r>
      <w:r>
        <w:rPr>
          <w:rFonts w:hint="eastAsia"/>
          <w:b/>
          <w:bCs/>
          <w:color w:val="auto"/>
          <w:szCs w:val="21"/>
          <w:highlight w:val="none"/>
        </w:rPr>
        <w:t xml:space="preserve">、政策执行</w:t>
      </w:r>
      <w:r/>
    </w:p>
    <w:p>
      <w:pPr>
        <w:ind w:firstLine="420"/>
        <w:spacing w:line="380" w:lineRule="exact"/>
        <w:rPr>
          <w:color w:val="auto"/>
          <w:sz w:val="21"/>
          <w:szCs w:val="21"/>
          <w:highlight w:val="none"/>
        </w:rPr>
      </w:pPr>
      <w:r>
        <w:rPr>
          <w:rFonts w:hint="eastAsia"/>
          <w:color w:val="auto"/>
          <w:sz w:val="21"/>
          <w:szCs w:val="21"/>
          <w:highlight w:val="none"/>
        </w:rPr>
        <w:t xml:space="preserve">1、本次招标</w:t>
      </w:r>
      <w:r>
        <w:rPr>
          <w:rFonts w:hint="eastAsia"/>
          <w:color w:val="auto"/>
          <w:sz w:val="21"/>
          <w:szCs w:val="21"/>
          <w:highlight w:val="none"/>
          <w:lang w:val="en-US" w:eastAsia="zh-CN"/>
        </w:rPr>
        <w:t xml:space="preserve">不</w:t>
      </w:r>
      <w:r>
        <w:rPr>
          <w:rFonts w:hint="eastAsia"/>
          <w:color w:val="auto"/>
          <w:sz w:val="21"/>
          <w:szCs w:val="21"/>
          <w:highlight w:val="none"/>
        </w:rPr>
        <w:t xml:space="preserve">接受进口</w:t>
      </w:r>
      <w:r>
        <w:rPr>
          <w:rFonts w:hint="eastAsia"/>
          <w:color w:val="auto"/>
          <w:sz w:val="21"/>
          <w:szCs w:val="21"/>
          <w:highlight w:val="none"/>
          <w:lang w:val="en-US" w:eastAsia="zh-CN"/>
        </w:rPr>
        <w:t xml:space="preserve">产品</w:t>
      </w:r>
      <w:r>
        <w:rPr>
          <w:rFonts w:hint="eastAsia"/>
          <w:color w:val="auto"/>
          <w:sz w:val="21"/>
          <w:szCs w:val="21"/>
          <w:highlight w:val="none"/>
        </w:rPr>
        <w:t xml:space="preserve">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color w:val="auto"/>
          <w:sz w:val="21"/>
          <w:szCs w:val="21"/>
          <w:highlight w:val="none"/>
        </w:rPr>
      </w:pPr>
      <w:r>
        <w:rPr>
          <w:rFonts w:hint="eastAsia"/>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color w:val="auto"/>
          <w:sz w:val="21"/>
          <w:szCs w:val="21"/>
          <w:highlight w:val="none"/>
        </w:rPr>
      </w:pPr>
      <w:r>
        <w:rPr>
          <w:rFonts w:hint="eastAsia"/>
          <w:color w:val="auto"/>
          <w:sz w:val="21"/>
          <w:szCs w:val="21"/>
          <w:highlight w:val="none"/>
        </w:rPr>
        <w:t xml:space="preserve">（1）根据《政府采购促进中小企业发展管理办法》（财库〔2020〕46号）、《关于做好政府采购支持企业发展有关事项的通知》（苏财购〔2020〕52号）及《关于印</w:t>
      </w:r>
      <w:r>
        <w:rPr>
          <w:rFonts w:hint="eastAsia"/>
          <w:color w:val="auto"/>
          <w:sz w:val="21"/>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color w:val="auto"/>
          <w:sz w:val="21"/>
          <w:szCs w:val="21"/>
          <w:highlight w:val="none"/>
        </w:rPr>
      </w:pPr>
      <w:r>
        <w:rPr>
          <w:rFonts w:hint="eastAsia"/>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color w:val="auto"/>
          <w:sz w:val="21"/>
          <w:szCs w:val="21"/>
          <w:highlight w:val="none"/>
        </w:rPr>
      </w:pPr>
      <w:r>
        <w:rPr>
          <w:rFonts w:hint="eastAsia"/>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color w:val="auto"/>
          <w:sz w:val="21"/>
          <w:szCs w:val="21"/>
          <w:highlight w:val="none"/>
        </w:rPr>
      </w:pPr>
      <w:r>
        <w:rPr>
          <w:rFonts w:hint="eastAsia"/>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color w:val="auto"/>
          <w:sz w:val="21"/>
          <w:szCs w:val="21"/>
          <w:highlight w:val="none"/>
        </w:rPr>
      </w:pPr>
      <w:r>
        <w:rPr>
          <w:rFonts w:hint="eastAsia"/>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color w:val="auto"/>
          <w:sz w:val="21"/>
          <w:szCs w:val="21"/>
          <w:highlight w:val="none"/>
        </w:rPr>
      </w:pPr>
      <w:r>
        <w:rPr>
          <w:rFonts w:hint="eastAsia"/>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color w:val="auto"/>
          <w:sz w:val="21"/>
          <w:szCs w:val="21"/>
          <w:highlight w:val="none"/>
        </w:rPr>
      </w:pPr>
      <w:r>
        <w:rPr>
          <w:rFonts w:hint="eastAsia"/>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 w:val="21"/>
          <w:szCs w:val="21"/>
          <w:highlight w:val="none"/>
        </w:rPr>
      </w:pPr>
      <w:r>
        <w:rPr>
          <w:rFonts w:hint="eastAsia"/>
          <w:color w:val="auto"/>
          <w:sz w:val="21"/>
          <w:szCs w:val="21"/>
          <w:highlight w:val="none"/>
        </w:rPr>
        <w:t xml:space="preserve">（5）绿色采购</w:t>
      </w:r>
      <w:r/>
    </w:p>
    <w:p>
      <w:pPr>
        <w:ind w:firstLine="420"/>
        <w:spacing w:line="380" w:lineRule="exact"/>
        <w:rPr>
          <w:color w:val="auto"/>
          <w:sz w:val="21"/>
          <w:szCs w:val="21"/>
          <w:highlight w:val="none"/>
        </w:rPr>
      </w:pPr>
      <w:r>
        <w:rPr>
          <w:rFonts w:hint="eastAsia"/>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 w:val="21"/>
          <w:szCs w:val="21"/>
          <w:highlight w:val="none"/>
        </w:rPr>
      </w:pPr>
      <w:r>
        <w:rPr>
          <w:rFonts w:hint="eastAsia"/>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color w:val="auto"/>
          <w:sz w:val="21"/>
          <w:szCs w:val="21"/>
          <w:highlight w:val="none"/>
        </w:rPr>
      </w:pPr>
      <w:r>
        <w:rPr>
          <w:rFonts w:hint="eastAsia"/>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、政府采购中实施本国产品标准及相关政策</w:t>
      </w:r>
      <w:r/>
    </w:p>
    <w:p>
      <w:pPr>
        <w:ind w:firstLine="420"/>
        <w:spacing w:line="38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本项目对采购本国产品给予政策支持，具体内容见招标文件“第</w:t>
      </w:r>
      <w:r>
        <w:rPr>
          <w:rFonts w:hint="eastAsia" w:ascii="Times New Roman" w:hAnsi="Times New Roman" w:eastAsia="宋体" w:cs="Times New Roman"/>
          <w:color w:val="auto"/>
          <w:sz w:val="21"/>
          <w:szCs w:val="21"/>
          <w:highlight w:val="none"/>
          <w:lang w:val="en-US" w:eastAsia="zh-CN"/>
        </w:rPr>
        <w:t xml:space="preserve">七</w:t>
      </w:r>
      <w:r>
        <w:rPr>
          <w:rFonts w:hint="eastAsia" w:ascii="Times New Roman" w:hAnsi="Times New Roman" w:eastAsia="宋体" w:cs="Times New Roman"/>
          <w:color w:val="auto"/>
          <w:sz w:val="21"/>
          <w:szCs w:val="21"/>
          <w:highlight w:val="none"/>
        </w:rPr>
        <w:t xml:space="preserve">章 评标方法</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评</w:t>
      </w:r>
      <w:r>
        <w:rPr>
          <w:rFonts w:hint="eastAsia" w:ascii="Times New Roman" w:hAnsi="Times New Roman" w:eastAsia="宋体" w:cs="Times New Roman"/>
          <w:color w:val="auto"/>
          <w:sz w:val="21"/>
          <w:szCs w:val="21"/>
          <w:highlight w:val="none"/>
          <w:lang w:val="en-US" w:eastAsia="zh-CN"/>
        </w:rPr>
        <w:t xml:space="preserve">分</w:t>
      </w:r>
      <w:r>
        <w:rPr>
          <w:rFonts w:hint="eastAsia" w:ascii="Times New Roman" w:hAnsi="Times New Roman" w:eastAsia="宋体" w:cs="Times New Roman"/>
          <w:color w:val="auto"/>
          <w:sz w:val="21"/>
          <w:szCs w:val="21"/>
          <w:highlight w:val="none"/>
        </w:rPr>
        <w:t xml:space="preserve">标准”。</w:t>
      </w:r>
      <w:r/>
    </w:p>
    <w:p>
      <w:pPr>
        <w:ind w:firstLine="420"/>
        <w:spacing w:line="38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02"/>
        <w:rPr>
          <w:color w:val="auto"/>
          <w:highlight w:val="none"/>
        </w:rPr>
      </w:pPr>
      <w:r>
        <w:rPr>
          <w:color w:val="auto"/>
          <w:highlight w:val="none"/>
        </w:rPr>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rPr>
        <w:t xml:space="preserve">、综合说明及其它要求：</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1、投标人须明确所投设备生产厂家、品牌、型号等；须按照投标技术对照表格式对技术参数进行逐条应答、写出具体的数值，投标人必须对所有技术应答负责。</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2、货物到达采购人后，投标人应有专人负责看护并在7天内派工程技术人员到达现场，在采购人技术人员在场的情况下开箱清点货物，组织安装、调试及操作培训，并承担因此发生的一切费用。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color w:val="auto"/>
          <w:szCs w:val="21"/>
          <w:highlight w:val="none"/>
        </w:rPr>
      </w:pPr>
      <w:r/>
      <w:bookmarkStart w:id="10" w:name="OLE_LINK4"/>
      <w:r/>
      <w:bookmarkStart w:id="11" w:name="OLE_LINK3"/>
      <w:r>
        <w:rPr>
          <w:rFonts w:hint="eastAsia" w:ascii="宋体" w:hAnsi="宋体" w:cs="宋体"/>
          <w:bCs/>
          <w:color w:val="auto"/>
          <w:szCs w:val="21"/>
          <w:highlight w:val="none"/>
        </w:rPr>
        <w:t xml:space="preserve">3、设备如涉及易损件，需详细提供设备涉及的所有易损件名称、价格。成交后出现未列出的易损件的，视为免费使用，或者视为虚假应标。</w:t>
      </w:r>
      <w:bookmarkEnd w:id="10"/>
      <w:r/>
      <w:bookmarkEnd w:id="11"/>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4、投标人应提供软件版本免费升级服务（如有，在不涉及硬件情况下）。</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投标人不得以“密码”制约用户。如用户工作和维修需要，应无条件免费开放密码。</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w:t>
      </w:r>
      <w:r>
        <w:rPr>
          <w:rFonts w:hint="eastAsia" w:ascii="宋体" w:hAnsi="宋体" w:cs="宋体"/>
          <w:bCs/>
          <w:color w:val="auto"/>
          <w:szCs w:val="21"/>
          <w:highlight w:val="none"/>
          <w:lang w:eastAsia="zh-CN"/>
        </w:rPr>
        <w:t xml:space="preserve">人</w:t>
      </w:r>
      <w:r>
        <w:rPr>
          <w:rFonts w:hint="eastAsia" w:ascii="宋体" w:hAnsi="宋体" w:cs="宋体"/>
          <w:bCs/>
          <w:color w:val="auto"/>
          <w:szCs w:val="21"/>
          <w:highlight w:val="none"/>
        </w:rPr>
        <w:t xml:space="preserve">对采购人以后设备、系统永久无偿开放。</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如发生投标人怠于提供上述义务而导致采购人损失等,采购人有权要求投标人予以赔偿。</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5、采购人在院内设备维护、信息系统升级、他方软件接入等情况时，投标方无条件免费开放接口，并配合甲方工作。</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6、报价要求：投标总报价一次报定，包括全部内容的产品、材料、安装、调试、人工、机械、保险、运费、劳保、各种税费以及质保期间的一切费用。</w:t>
      </w:r>
      <w:r/>
    </w:p>
    <w:p>
      <w:pPr>
        <w:ind w:firstLine="420"/>
        <w:spacing w:line="380" w:lineRule="exact"/>
        <w:rPr>
          <w:rFonts w:ascii="宋体" w:hAnsi="宋体" w:cs="宋体"/>
          <w:bCs/>
          <w:color w:val="auto"/>
          <w:szCs w:val="21"/>
          <w:highlight w:val="none"/>
        </w:rPr>
      </w:pPr>
      <w:r>
        <w:rPr>
          <w:rFonts w:hint="eastAsia"/>
          <w:color w:val="auto"/>
          <w:szCs w:val="21"/>
          <w:highlight w:val="none"/>
        </w:rPr>
        <w:t xml:space="preserve">7、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凡涉及采购文件的补充说明和修改，均以</w:t>
      </w:r>
      <w:r>
        <w:rPr>
          <w:rFonts w:hint="eastAsia" w:ascii="宋体" w:hAnsi="宋体" w:cs="宋体"/>
          <w:bCs/>
          <w:color w:val="auto"/>
          <w:szCs w:val="21"/>
          <w:highlight w:val="none"/>
        </w:rPr>
        <w:t xml:space="preserve">江苏政府采购网、</w:t>
      </w:r>
      <w:r>
        <w:rPr>
          <w:rFonts w:ascii="宋体" w:hAnsi="宋体" w:cs="宋体"/>
          <w:bCs/>
          <w:color w:val="auto"/>
          <w:szCs w:val="21"/>
          <w:highlight w:val="none"/>
        </w:rPr>
        <w:t xml:space="preserve">苏州政府采购网上发布的通知为准。</w:t>
      </w:r>
      <w:bookmarkEnd w:id="9"/>
      <w:r/>
      <w:r/>
    </w:p>
    <w:p>
      <w:pPr>
        <w:jc w:val="center"/>
        <w:rPr>
          <w:rFonts w:ascii="宋体" w:hAnsi="宋体"/>
          <w:b/>
          <w:bCs/>
          <w:color w:val="auto"/>
          <w:sz w:val="32"/>
          <w:szCs w:val="32"/>
          <w:highlight w:val="none"/>
        </w:rPr>
      </w:pPr>
      <w:r/>
      <w:bookmarkStart w:id="12"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第五章合同一般条款</w:t>
      </w:r>
      <w:r/>
    </w:p>
    <w:p>
      <w:pPr>
        <w:spacing w:line="380" w:lineRule="exact"/>
        <w:rPr>
          <w:rFonts w:ascii="宋体" w:hAnsi="宋体"/>
          <w:b/>
          <w:color w:val="auto"/>
          <w:szCs w:val="21"/>
          <w:highlight w:val="none"/>
        </w:rPr>
      </w:pPr>
      <w:r>
        <w:rPr>
          <w:rFonts w:ascii="宋体" w:hAnsi="宋体"/>
          <w:b/>
          <w:color w:val="auto"/>
          <w:szCs w:val="21"/>
          <w:highlight w:val="none"/>
          <w:lang w:val="zh-CN"/>
        </w:rPr>
        <w:t xml:space="preserve">一、合同文件</w:t>
      </w:r>
      <w:r/>
    </w:p>
    <w:p>
      <w:pPr>
        <w:spacing w:line="380" w:lineRule="exact"/>
        <w:rPr>
          <w:rFonts w:ascii="宋体" w:hAnsi="宋体"/>
          <w:b/>
          <w:color w:val="auto"/>
          <w:szCs w:val="21"/>
          <w:highlight w:val="none"/>
        </w:rPr>
      </w:pPr>
      <w:r>
        <w:rPr>
          <w:rFonts w:ascii="宋体" w:hAnsi="宋体"/>
          <w:b/>
          <w:color w:val="auto"/>
          <w:szCs w:val="21"/>
          <w:highlight w:val="none"/>
        </w:rPr>
        <w:t xml:space="preserve">1. </w:t>
      </w:r>
      <w:r>
        <w:rPr>
          <w:rFonts w:ascii="宋体" w:hAnsi="宋体"/>
          <w:b/>
          <w:color w:val="auto"/>
          <w:szCs w:val="21"/>
          <w:highlight w:val="none"/>
          <w:lang w:val="zh-CN"/>
        </w:rPr>
        <w:t xml:space="preserve">合同文件适用法律</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1.1适用于合同文件的法律是中华人民共和国现行法律、法规及甲方所在地的地方性法规。</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2. 合同文件组成和解释顺序</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2.1合同文件的组成和解释顺序如下：</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2.1.1 合同的特殊性条款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2.1.2 合同的一般性条款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2.1.3 洽商、变更等明确双方权利义务的纪要、协议</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2.1.4 中标通知书、投标书和采购文件</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2.1.5 标准、规范和其它有关技术资料、技术要求</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2.2 合同的特殊性条款的效力优于合同的一般性条款的效力</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3. 合同文件使用文字</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3.1 合同文件使用中文书写、解释和说明</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二、标的物的一般条款</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4.  完整物权</w:t>
      </w:r>
      <w:r/>
    </w:p>
    <w:p>
      <w:pPr>
        <w:spacing w:line="380" w:lineRule="exact"/>
        <w:rPr>
          <w:rFonts w:ascii="宋体" w:hAnsi="宋体"/>
          <w:color w:val="auto"/>
          <w:szCs w:val="21"/>
          <w:highlight w:val="none"/>
        </w:rPr>
      </w:pPr>
      <w:r>
        <w:rPr>
          <w:rFonts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5.  质量保证</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5.1  乙方应保证</w:t>
      </w:r>
      <w:r>
        <w:rPr>
          <w:rFonts w:hint="eastAsia" w:ascii="宋体" w:hAnsi="宋体"/>
          <w:color w:val="auto"/>
          <w:szCs w:val="21"/>
          <w:highlight w:val="none"/>
          <w:lang w:val="zh-CN"/>
        </w:rPr>
        <w:t xml:space="preserve">所提</w:t>
      </w:r>
      <w:r>
        <w:rPr>
          <w:rFonts w:ascii="宋体" w:hAnsi="宋体"/>
          <w:color w:val="auto"/>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5.3  除合同特殊条款规定外，合同条款中标的物的质量保证期均自标的物通过最终验收之日起计算，且质量保证期不低于___年。</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6.  包装</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ascii="宋体" w:hAnsi="宋体"/>
          <w:color w:val="auto"/>
          <w:szCs w:val="21"/>
          <w:highlight w:val="none"/>
        </w:rPr>
      </w:pPr>
      <w:r>
        <w:rPr>
          <w:rFonts w:ascii="宋体" w:hAnsi="宋体"/>
          <w:color w:val="auto"/>
          <w:szCs w:val="21"/>
          <w:highlight w:val="none"/>
          <w:lang w:val="zh-CN"/>
        </w:rPr>
        <w:t xml:space="preserve">7. </w:t>
      </w:r>
      <w:r>
        <w:rPr>
          <w:rFonts w:hint="eastAsia" w:ascii="宋体" w:hAnsi="宋体"/>
          <w:color w:val="auto"/>
          <w:szCs w:val="21"/>
          <w:highlight w:val="none"/>
          <w:lang w:val="zh-CN"/>
        </w:rPr>
        <w:t xml:space="preserve">售后服务</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7.1设备质保</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7.2按合同定期到货，安装前乙方需把设备资料报甲方审核；</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7.3终身维修并标明保修期后的具体维修维护事宜；</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7.4在质保期满后，乙方需长期提供优惠价格的主要零配件；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7.5乙方保证接到故障电话后能保证2小时内到现场，如需更换设备或送修，必须在48小时内负责解决，且更换维修期间须提供备用设备以保证系统的正常运行。</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7.6伴随服务：质保期满后，提供设备最优惠的维修保养及零配件供应价格（具体细则由投标人在电子投标文件中填报）。</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三、标的物的交付、检验和验收</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8.标的物的交付</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8.1 标的物的所有权自标的物交付时转移。</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8.2 乙方应当按照约定的期限和约定的地点交付标的物。</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8.3 乙方应当按照约定或者交易习惯向甲方交付提取标的物单证以外的有关单证和资料。</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9. </w:t>
      </w:r>
      <w:r>
        <w:rPr>
          <w:rFonts w:hint="eastAsia" w:ascii="宋体" w:hAnsi="宋体"/>
          <w:color w:val="auto"/>
          <w:szCs w:val="21"/>
          <w:highlight w:val="none"/>
          <w:lang w:val="zh-CN"/>
        </w:rPr>
        <w:t xml:space="preserve">验收标准和方式：</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9.1验收条件：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（1）乙方应在电子投标文件中提供一份验收大纲，在甲方确认后作为甲方验收的依据；</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（2）投标设备由甲方及有关部门进行验收；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（3）设备到达采购方指定地点，应提前通知甲方，由甲方会同专业人员根据有关清单进行验收；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9.2验收方式：</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（2）验收合格后，甲乙双方共同签署验收报告</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四、对标的物提出异议的时间和办法</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10.  对标的物提出异议的时间和办法 </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10.3乙方应在收到甲方书面异议后七天内负责处理问题，否则将视为默认甲方提出的异议和处理意见。</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五、合同价款和支付</w:t>
      </w:r>
      <w:r/>
    </w:p>
    <w:p>
      <w:pPr>
        <w:spacing w:line="380" w:lineRule="exact"/>
        <w:rPr>
          <w:rFonts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 xml:space="preserve">合同价款和支付</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11.1本合同的结算货币为人民币，单位元。</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11.2乙方应按照双方签订的合同规定交货并在合同特殊条款规定的期限内持下列单据结算货款。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11.2.1合格的销售发票；</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11.2.2甲方签收后的送货回单和验收合格证明。</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11.3 甲方应按合同特殊条款规定的期限和方式付款。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六、违约责任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12.2甲方违约责任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12.2.2</w:t>
      </w:r>
      <w:r>
        <w:rPr>
          <w:rFonts w:hint="eastAsia" w:ascii="宋体" w:hAnsi="宋体" w:cs="宋体"/>
          <w:color w:val="auto"/>
          <w:szCs w:val="21"/>
          <w:highlight w:val="none"/>
          <w:lang w:val="zh-CN"/>
        </w:rPr>
        <w:t xml:space="preserve">甲方逾期付款的应按照逾期付款金额的每天万分之四支付逾期付款违约金。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12.2.3</w:t>
      </w:r>
      <w:r>
        <w:rPr>
          <w:rFonts w:hint="eastAsia" w:ascii="宋体" w:hAnsi="宋体" w:cs="宋体"/>
          <w:color w:val="auto"/>
          <w:szCs w:val="21"/>
          <w:highlight w:val="none"/>
          <w:lang w:val="zh-CN"/>
        </w:rPr>
        <w:t xml:space="preserve">甲方违反合同规定，拒绝接收乙方交付的合格标的物，应当承担乙方由此造成的损失。</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12.3</w:t>
      </w:r>
      <w:r>
        <w:rPr>
          <w:rFonts w:hint="eastAsia" w:ascii="宋体" w:hAnsi="宋体" w:cs="宋体"/>
          <w:b/>
          <w:bCs/>
          <w:color w:val="auto"/>
          <w:szCs w:val="21"/>
          <w:highlight w:val="none"/>
          <w:lang w:val="zh-CN"/>
        </w:rPr>
        <w:t xml:space="preserve">乙方违约责任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12.3.2</w:t>
      </w:r>
      <w:r>
        <w:rPr>
          <w:rFonts w:hint="eastAsia" w:ascii="宋体" w:hAnsi="宋体" w:cs="宋体"/>
          <w:color w:val="auto"/>
          <w:szCs w:val="21"/>
          <w:highlight w:val="none"/>
          <w:lang w:val="zh-CN"/>
        </w:rPr>
        <w:t xml:space="preserve">乙方逾期交货的，应在发货前与甲方协商，甲方仍需求的，乙方应立即发货并应按照逾期交货部分货款的每天千分之四支付逾期交货违约金，同时承担甲方因此遭致的损失费用。</w:t>
      </w:r>
      <w:r/>
    </w:p>
    <w:p>
      <w:pPr>
        <w:spacing w:line="380" w:lineRule="exact"/>
        <w:rPr>
          <w:rFonts w:ascii="宋体" w:hAnsi="宋体"/>
          <w:b/>
          <w:bCs/>
          <w:color w:val="auto"/>
          <w:szCs w:val="21"/>
          <w:highlight w:val="none"/>
        </w:rPr>
      </w:pPr>
      <w:r>
        <w:rPr>
          <w:rFonts w:hint="eastAsia" w:ascii="宋体" w:hAnsi="宋体"/>
          <w:b/>
          <w:bCs/>
          <w:color w:val="auto"/>
          <w:szCs w:val="21"/>
          <w:highlight w:val="none"/>
        </w:rPr>
        <w:t xml:space="preserve">七、</w:t>
      </w:r>
      <w:r>
        <w:rPr>
          <w:rFonts w:ascii="宋体" w:hAnsi="宋体"/>
          <w:b/>
          <w:bCs/>
          <w:color w:val="auto"/>
          <w:szCs w:val="21"/>
          <w:highlight w:val="none"/>
          <w:lang w:val="zh-CN"/>
        </w:rPr>
        <w:t xml:space="preserve">不可抗力</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 因不可抗力不能履行合同的，根据不可抗力的影响，部分或者全部免除责任。但合同一方迟延履行后发生不可抗力的，不能免除责任。</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 合同一方因不可抗力不能履行合同的，应当及时通知对方，以减轻可能给对方造成的损失，并应当在合理期限内提供证明。</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八</w:t>
      </w:r>
      <w:r>
        <w:rPr>
          <w:rFonts w:ascii="宋体" w:hAnsi="宋体"/>
          <w:b/>
          <w:bCs/>
          <w:color w:val="auto"/>
          <w:szCs w:val="21"/>
          <w:highlight w:val="none"/>
          <w:lang w:val="zh-CN"/>
        </w:rPr>
        <w:t xml:space="preserve">、索赔</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4</w:t>
      </w:r>
      <w:r>
        <w:rPr>
          <w:rFonts w:ascii="宋体" w:hAnsi="宋体"/>
          <w:b/>
          <w:bCs/>
          <w:color w:val="auto"/>
          <w:szCs w:val="21"/>
          <w:highlight w:val="none"/>
          <w:lang w:val="zh-CN"/>
        </w:rPr>
        <w:t xml:space="preserve">. 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.1甲方有权根据当地产品质量检验机构或其它有权部门出具的检验证书向乙方提出索赔。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.2.2 根据标的物的低劣程度、损坏程度以及甲方遭受损失的数额，经双方协商确定降低标的物的价格。</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  甲方提出索赔的书面材料应报政府采购监督管理部门备案。同时乙方同意的索赔方案也应报政府采购监督管理部门备案。</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九</w:t>
      </w:r>
      <w:r>
        <w:rPr>
          <w:rFonts w:ascii="宋体" w:hAnsi="宋体"/>
          <w:b/>
          <w:bCs/>
          <w:color w:val="auto"/>
          <w:szCs w:val="21"/>
          <w:highlight w:val="none"/>
          <w:lang w:val="zh-CN"/>
        </w:rPr>
        <w:t xml:space="preserve">、合同的解除和转让</w:t>
      </w:r>
      <w:r/>
    </w:p>
    <w:p>
      <w:pPr>
        <w:spacing w:line="380" w:lineRule="exact"/>
        <w:rPr>
          <w:rFonts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5</w:t>
      </w:r>
      <w:r>
        <w:rPr>
          <w:rFonts w:ascii="宋体" w:hAnsi="宋体"/>
          <w:b/>
          <w:bCs/>
          <w:color w:val="auto"/>
          <w:szCs w:val="21"/>
          <w:highlight w:val="none"/>
        </w:rPr>
        <w:t xml:space="preserve">. </w:t>
      </w:r>
      <w:r>
        <w:rPr>
          <w:rFonts w:ascii="宋体" w:hAnsi="宋体"/>
          <w:b/>
          <w:bCs/>
          <w:color w:val="auto"/>
          <w:szCs w:val="21"/>
          <w:highlight w:val="none"/>
          <w:lang w:val="zh-CN"/>
        </w:rPr>
        <w:t xml:space="preserve">合同的解除</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ascii="宋体" w:hAnsi="宋体"/>
          <w:color w:val="auto"/>
          <w:szCs w:val="21"/>
          <w:highlight w:val="none"/>
          <w:lang w:val="zh-CN"/>
        </w:rPr>
        <w:t xml:space="preserve">有下列情形之一</w:t>
      </w:r>
      <w:r>
        <w:rPr>
          <w:rFonts w:ascii="宋体" w:hAnsi="宋体"/>
          <w:color w:val="auto"/>
          <w:szCs w:val="21"/>
          <w:highlight w:val="none"/>
        </w:rPr>
        <w:t xml:space="preserve">，</w:t>
      </w:r>
      <w:r>
        <w:rPr>
          <w:rFonts w:ascii="宋体" w:hAnsi="宋体"/>
          <w:color w:val="auto"/>
          <w:szCs w:val="21"/>
          <w:highlight w:val="none"/>
          <w:lang w:val="zh-CN"/>
        </w:rPr>
        <w:t xml:space="preserve">合同一方可以解除合同</w:t>
      </w:r>
      <w:r>
        <w:rPr>
          <w:rFonts w:ascii="宋体" w:hAnsi="宋体"/>
          <w:color w:val="auto"/>
          <w:szCs w:val="21"/>
          <w:highlight w:val="none"/>
        </w:rPr>
        <w:t xml:space="preserve">：</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.1.1 因不可抗力致使不能实现合同目的，未受不可抗力影响的一方有权解除合同；</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.1.2 因合同一方违约导致合同不能履行，另一方有权解除合同；</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.2 有权解除合同的一方，应当在违约事实或不可抗力发生之后三十天内书面通知对方以主张解除合同，合同在书面通知到达对方时解除。</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6</w:t>
      </w:r>
      <w:r>
        <w:rPr>
          <w:rFonts w:ascii="宋体" w:hAnsi="宋体"/>
          <w:b/>
          <w:bCs/>
          <w:color w:val="auto"/>
          <w:szCs w:val="21"/>
          <w:highlight w:val="none"/>
          <w:lang w:val="zh-CN"/>
        </w:rPr>
        <w:t xml:space="preserve">. 合同的转让</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合同不得转让。</w:t>
      </w:r>
      <w:r/>
    </w:p>
    <w:p>
      <w:pPr>
        <w:spacing w:line="400" w:lineRule="exact"/>
        <w:rPr>
          <w:rFonts w:ascii="宋体" w:hAnsi="宋体"/>
          <w:b/>
          <w:bCs/>
          <w:color w:val="auto"/>
          <w:szCs w:val="21"/>
          <w:highlight w:val="none"/>
        </w:rPr>
        <w:outlineLvl w:val="0"/>
      </w:pPr>
      <w:r>
        <w:rPr>
          <w:rFonts w:hint="eastAsia" w:ascii="宋体" w:hAnsi="宋体"/>
          <w:b/>
          <w:bCs/>
          <w:color w:val="auto"/>
          <w:szCs w:val="21"/>
          <w:highlight w:val="none"/>
        </w:rPr>
        <w:t xml:space="preserve">十</w:t>
      </w:r>
      <w:r>
        <w:rPr>
          <w:rFonts w:ascii="宋体" w:hAnsi="宋体"/>
          <w:b/>
          <w:bCs/>
          <w:color w:val="auto"/>
          <w:szCs w:val="21"/>
          <w:highlight w:val="none"/>
          <w:lang w:val="zh-CN"/>
        </w:rPr>
        <w:t xml:space="preserve">、争议解决</w:t>
      </w:r>
      <w:r>
        <w:rPr>
          <w:rFonts w:hint="eastAsia" w:ascii="宋体" w:hAnsi="宋体"/>
          <w:b/>
          <w:bCs/>
          <w:color w:val="auto"/>
          <w:szCs w:val="21"/>
          <w:highlight w:val="none"/>
        </w:rPr>
        <w:t xml:space="preserve">及未尽事宜</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17.</w:t>
      </w:r>
      <w:r>
        <w:rPr>
          <w:rFonts w:ascii="宋体" w:hAnsi="宋体"/>
          <w:color w:val="auto"/>
          <w:szCs w:val="21"/>
          <w:highlight w:val="none"/>
        </w:rPr>
        <w:t xml:space="preserve">争议解决</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甲乙双方因合同发生争议，应在</w:t>
      </w:r>
      <w:r>
        <w:rPr>
          <w:rFonts w:hint="eastAsia" w:ascii="宋体" w:hAnsi="宋体"/>
          <w:color w:val="auto"/>
          <w:szCs w:val="21"/>
          <w:highlight w:val="none"/>
        </w:rPr>
        <w:t xml:space="preserve">代理机构</w:t>
      </w:r>
      <w:r>
        <w:rPr>
          <w:rFonts w:ascii="宋体" w:hAnsi="宋体"/>
          <w:color w:val="auto"/>
          <w:szCs w:val="21"/>
          <w:highlight w:val="none"/>
        </w:rPr>
        <w:t xml:space="preserve">的主持下进行调解，协商不成，任何一方可以向甲方所在地人民法院起诉。</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18. </w:t>
      </w:r>
      <w:r>
        <w:rPr>
          <w:rFonts w:hint="eastAsia" w:ascii="宋体" w:hAnsi="宋体"/>
          <w:b/>
          <w:bCs/>
          <w:color w:val="auto"/>
          <w:szCs w:val="21"/>
          <w:highlight w:val="none"/>
          <w:lang w:val="zh-CN"/>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本合同一式四份，甲方两份、乙方及采购代理机构各执一份。</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 </w:t>
      </w:r>
      <w:r>
        <w:rPr>
          <w:rFonts w:hint="eastAsia" w:ascii="宋体" w:hAnsi="宋体"/>
          <w:b/>
          <w:bCs/>
          <w:color w:val="auto"/>
          <w:szCs w:val="21"/>
          <w:highlight w:val="none"/>
          <w:lang w:val="zh-CN"/>
        </w:rPr>
        <w:t xml:space="preserve">未尽事宜</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本合同未尽事宜应按《中华人民共和国政府采购法》及其它有关政府采购的法律法规的规定执行。</w:t>
      </w:r>
      <w:r/>
    </w:p>
    <w:p>
      <w:pPr>
        <w:jc w:val="center"/>
        <w:rPr>
          <w:rFonts w:ascii="宋体" w:hAnsi="宋体"/>
          <w:b/>
          <w:bCs/>
          <w:color w:val="auto"/>
          <w:sz w:val="32"/>
          <w:szCs w:val="32"/>
          <w:highlight w:val="none"/>
        </w:rPr>
      </w:pPr>
      <w:r>
        <w:rPr>
          <w:rFonts w:ascii="宋体" w:hAnsi="宋体"/>
          <w:color w:val="auto"/>
          <w:szCs w:val="21"/>
          <w:highlight w:val="none"/>
        </w:rPr>
        <w:br w:type="page" w:clear="all"/>
      </w:r>
      <w:r>
        <w:rPr>
          <w:rFonts w:hint="eastAsia" w:ascii="宋体" w:hAnsi="宋体"/>
          <w:b/>
          <w:bCs/>
          <w:color w:val="auto"/>
          <w:sz w:val="32"/>
          <w:szCs w:val="32"/>
          <w:highlight w:val="none"/>
        </w:rPr>
        <w:t xml:space="preserve">第六章 合同特殊条款</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color w:val="auto"/>
          <w:szCs w:val="21"/>
          <w:highlight w:val="none"/>
        </w:rPr>
      </w:pPr>
      <w:r>
        <w:rPr>
          <w:rFonts w:hAnsi="宋体"/>
          <w:color w:val="auto"/>
          <w:szCs w:val="21"/>
          <w:highlight w:val="none"/>
          <w:lang w:val="zh-CN"/>
        </w:rPr>
        <w:t xml:space="preserve">甲方：</w:t>
      </w:r>
      <w:r/>
    </w:p>
    <w:p>
      <w:pPr>
        <w:ind w:firstLine="425"/>
        <w:spacing w:line="400" w:lineRule="exact"/>
        <w:rPr>
          <w:color w:val="auto"/>
          <w:szCs w:val="21"/>
          <w:highlight w:val="none"/>
          <w:u w:val="single"/>
        </w:rPr>
      </w:pPr>
      <w:r>
        <w:rPr>
          <w:rFonts w:hAnsi="宋体"/>
          <w:color w:val="auto"/>
          <w:szCs w:val="21"/>
          <w:highlight w:val="none"/>
          <w:lang w:val="zh-CN"/>
        </w:rPr>
        <w:t xml:space="preserve">乙方：</w:t>
      </w:r>
      <w:r/>
    </w:p>
    <w:p>
      <w:pPr>
        <w:ind w:firstLine="425"/>
        <w:spacing w:line="400" w:lineRule="exact"/>
        <w:rPr>
          <w:color w:val="auto"/>
          <w:szCs w:val="21"/>
          <w:highlight w:val="none"/>
        </w:rPr>
      </w:pPr>
      <w:r>
        <w:rPr>
          <w:rFonts w:hAnsi="宋体"/>
          <w:color w:val="auto"/>
          <w:szCs w:val="21"/>
          <w:highlight w:val="none"/>
          <w:lang w:val="zh-CN"/>
        </w:rPr>
        <w:t xml:space="preserve">根据苏州市政府采购编</w:t>
      </w:r>
      <w:r>
        <w:rPr>
          <w:rFonts w:hint="eastAsia" w:hAnsi="宋体"/>
          <w:color w:val="auto"/>
          <w:szCs w:val="21"/>
          <w:highlight w:val="none"/>
          <w:lang w:val="zh-CN"/>
        </w:rPr>
        <w:t xml:space="preserve">号</w:t>
      </w:r>
      <w:r>
        <w:rPr>
          <w:rFonts w:hAnsi="宋体"/>
          <w:color w:val="auto"/>
          <w:szCs w:val="21"/>
          <w:highlight w:val="none"/>
          <w:lang w:val="zh-CN"/>
        </w:rPr>
        <w:t xml:space="preserve">采购文件及乙方中标的投标文件和中标通知书，甲乙双方就此次中标的事宜，签订本合同书。</w:t>
      </w:r>
      <w:r/>
    </w:p>
    <w:p>
      <w:pPr>
        <w:ind w:firstLine="420"/>
        <w:spacing w:line="400" w:lineRule="exact"/>
        <w:rPr>
          <w:color w:val="auto"/>
          <w:szCs w:val="21"/>
          <w:highlight w:val="none"/>
        </w:rPr>
      </w:pPr>
      <w:r>
        <w:rPr>
          <w:rFonts w:hAnsi="宋体"/>
          <w:color w:val="auto"/>
          <w:szCs w:val="21"/>
          <w:highlight w:val="none"/>
          <w:lang w:val="zh-CN"/>
        </w:rPr>
        <w:t xml:space="preserve">一、合同内容：</w:t>
      </w:r>
      <w:r/>
    </w:p>
    <w:p>
      <w:pPr>
        <w:ind w:firstLine="420"/>
        <w:spacing w:line="400" w:lineRule="exact"/>
        <w:rPr>
          <w:color w:val="auto"/>
          <w:szCs w:val="21"/>
          <w:highlight w:val="none"/>
        </w:rPr>
      </w:pPr>
      <w:r>
        <w:rPr>
          <w:color w:val="auto"/>
          <w:szCs w:val="21"/>
          <w:highlight w:val="none"/>
        </w:rPr>
        <w:t xml:space="preserve">1</w:t>
      </w:r>
      <w:r>
        <w:rPr>
          <w:rFonts w:hAnsi="宋体"/>
          <w:color w:val="auto"/>
          <w:szCs w:val="21"/>
          <w:highlight w:val="none"/>
          <w:lang w:val="zh-CN"/>
        </w:rPr>
        <w:t xml:space="preserve">、乙方负责完成甲方的，详见《标的物清单》。</w:t>
      </w:r>
      <w:r/>
    </w:p>
    <w:p>
      <w:pPr>
        <w:ind w:firstLine="420"/>
        <w:spacing w:line="400" w:lineRule="exact"/>
        <w:rPr>
          <w:color w:val="auto"/>
          <w:szCs w:val="21"/>
          <w:highlight w:val="none"/>
        </w:rPr>
      </w:pPr>
      <w:r>
        <w:rPr>
          <w:color w:val="auto"/>
          <w:szCs w:val="21"/>
          <w:highlight w:val="none"/>
        </w:rPr>
        <w:t xml:space="preserve">2</w:t>
      </w:r>
      <w:r>
        <w:rPr>
          <w:rFonts w:hAnsi="宋体"/>
          <w:color w:val="auto"/>
          <w:szCs w:val="21"/>
          <w:highlight w:val="none"/>
          <w:lang w:val="zh-CN"/>
        </w:rPr>
        <w:t xml:space="preserve">、下列文件为本合同不可分割部分：</w:t>
      </w:r>
      <w:r/>
    </w:p>
    <w:p>
      <w:pPr>
        <w:ind w:firstLine="425"/>
        <w:spacing w:line="400" w:lineRule="exact"/>
        <w:rPr>
          <w:color w:val="auto"/>
          <w:szCs w:val="21"/>
          <w:highlight w:val="none"/>
        </w:rPr>
      </w:pPr>
      <w:r>
        <w:rPr>
          <w:color w:val="auto"/>
          <w:szCs w:val="21"/>
          <w:highlight w:val="none"/>
          <w:lang w:val="zh-CN"/>
        </w:rPr>
        <w:t xml:space="preserve">2.1</w:t>
      </w:r>
      <w:r>
        <w:rPr>
          <w:rFonts w:hAnsi="宋体"/>
          <w:color w:val="auto"/>
          <w:szCs w:val="21"/>
          <w:highlight w:val="none"/>
          <w:lang w:val="zh-CN"/>
        </w:rPr>
        <w:t xml:space="preserve">采购文件；</w:t>
      </w:r>
      <w:r/>
    </w:p>
    <w:p>
      <w:pPr>
        <w:ind w:firstLine="425"/>
        <w:spacing w:line="400" w:lineRule="exact"/>
        <w:rPr>
          <w:color w:val="auto"/>
          <w:szCs w:val="21"/>
          <w:highlight w:val="none"/>
        </w:rPr>
      </w:pPr>
      <w:r>
        <w:rPr>
          <w:color w:val="auto"/>
          <w:szCs w:val="21"/>
          <w:highlight w:val="none"/>
          <w:lang w:val="zh-CN"/>
        </w:rPr>
        <w:t xml:space="preserve">2.2</w:t>
      </w:r>
      <w:r>
        <w:rPr>
          <w:rFonts w:hAnsi="宋体"/>
          <w:color w:val="auto"/>
          <w:szCs w:val="21"/>
          <w:highlight w:val="none"/>
          <w:lang w:val="zh-CN"/>
        </w:rPr>
        <w:t xml:space="preserve">乙方中标的投标书；</w:t>
      </w:r>
      <w:r/>
    </w:p>
    <w:p>
      <w:pPr>
        <w:ind w:firstLine="425"/>
        <w:spacing w:line="400" w:lineRule="exact"/>
        <w:rPr>
          <w:color w:val="auto"/>
          <w:szCs w:val="21"/>
          <w:highlight w:val="none"/>
        </w:rPr>
      </w:pPr>
      <w:r>
        <w:rPr>
          <w:color w:val="auto"/>
          <w:szCs w:val="21"/>
          <w:highlight w:val="none"/>
          <w:lang w:val="zh-CN"/>
        </w:rPr>
        <w:t xml:space="preserve">2.3</w:t>
      </w:r>
      <w:r>
        <w:rPr>
          <w:rFonts w:hAnsi="宋体"/>
          <w:color w:val="auto"/>
          <w:szCs w:val="21"/>
          <w:highlight w:val="none"/>
          <w:lang w:val="zh-CN"/>
        </w:rPr>
        <w:t xml:space="preserve">乙方在招投标过程中所作的其他承诺、声明、书面澄清等；</w:t>
      </w:r>
      <w:r/>
    </w:p>
    <w:p>
      <w:pPr>
        <w:ind w:firstLine="425"/>
        <w:spacing w:line="400" w:lineRule="exact"/>
        <w:rPr>
          <w:color w:val="auto"/>
          <w:szCs w:val="21"/>
          <w:highlight w:val="none"/>
        </w:rPr>
      </w:pPr>
      <w:r>
        <w:rPr>
          <w:color w:val="auto"/>
          <w:szCs w:val="21"/>
          <w:highlight w:val="none"/>
          <w:lang w:val="zh-CN"/>
        </w:rPr>
        <w:t xml:space="preserve">2.4</w:t>
      </w:r>
      <w:r>
        <w:rPr>
          <w:rFonts w:hAnsi="宋体"/>
          <w:color w:val="auto"/>
          <w:szCs w:val="21"/>
          <w:highlight w:val="none"/>
          <w:lang w:val="zh-CN"/>
        </w:rPr>
        <w:t xml:space="preserve">中标通知书。</w:t>
      </w:r>
      <w:r/>
    </w:p>
    <w:p>
      <w:pPr>
        <w:ind w:firstLine="420"/>
        <w:spacing w:line="400" w:lineRule="exact"/>
        <w:rPr>
          <w:color w:val="auto"/>
          <w:szCs w:val="21"/>
          <w:highlight w:val="none"/>
        </w:rPr>
      </w:pPr>
      <w:r>
        <w:rPr>
          <w:rFonts w:hAnsi="宋体"/>
          <w:color w:val="auto"/>
          <w:szCs w:val="21"/>
          <w:highlight w:val="none"/>
          <w:lang w:val="zh-CN"/>
        </w:rPr>
        <w:t xml:space="preserve">二、价格与支付：</w:t>
      </w:r>
      <w:r/>
    </w:p>
    <w:p>
      <w:pPr>
        <w:ind w:firstLine="420"/>
        <w:spacing w:line="400" w:lineRule="exact"/>
        <w:rPr>
          <w:color w:val="auto"/>
          <w:szCs w:val="21"/>
          <w:highlight w:val="none"/>
        </w:rPr>
      </w:pPr>
      <w:r>
        <w:rPr>
          <w:color w:val="auto"/>
          <w:highlight w:val="none"/>
          <w:lang w:val="zh-CN"/>
        </w:rPr>
        <w:t xml:space="preserve">1</w:t>
      </w:r>
      <w:r>
        <w:rPr>
          <w:rFonts w:hint="eastAsia"/>
          <w:color w:val="auto"/>
          <w:highlight w:val="none"/>
          <w:lang w:val="zh-CN"/>
        </w:rPr>
        <w:t xml:space="preserve">、合同价格按此次中标价格执行，合同总金额为人民币</w:t>
      </w:r>
      <w:r>
        <w:rPr>
          <w:rFonts w:hint="eastAsia"/>
          <w:color w:val="auto"/>
          <w:highlight w:val="none"/>
          <w:u w:val="single"/>
          <w:lang w:val="zh-CN"/>
        </w:rPr>
        <w:t xml:space="preserve">         </w:t>
      </w:r>
      <w:r>
        <w:rPr>
          <w:rFonts w:hint="eastAsia"/>
          <w:color w:val="auto"/>
          <w:highlight w:val="none"/>
          <w:lang w:val="zh-CN"/>
        </w:rPr>
        <w:t xml:space="preserve">元，投标总价一次报定，总报价包括车身价、医疗设备、改装费、随车设备费、安装调试费、运输费、培训费、技术服务、购置税，以及上述未提及但有关于本次招标设备的供货、安装、调试，直至验收合格交付及质保期间所发生的所有费用。</w:t>
      </w:r>
      <w:r/>
    </w:p>
    <w:p>
      <w:pPr>
        <w:ind w:firstLine="420"/>
        <w:spacing w:line="400" w:lineRule="exact"/>
        <w:rPr>
          <w:rFonts w:hAnsi="宋体" w:cs="宋体"/>
          <w:color w:val="auto"/>
          <w:szCs w:val="21"/>
          <w:highlight w:val="none"/>
        </w:rPr>
      </w:pPr>
      <w:r>
        <w:rPr>
          <w:color w:val="auto"/>
          <w:szCs w:val="21"/>
          <w:highlight w:val="none"/>
        </w:rPr>
        <w:t xml:space="preserve">2</w:t>
      </w:r>
      <w:r>
        <w:rPr>
          <w:rFonts w:hAnsi="宋体"/>
          <w:color w:val="auto"/>
          <w:szCs w:val="21"/>
          <w:highlight w:val="none"/>
        </w:rPr>
        <w:t xml:space="preserve">、付款方式：</w:t>
      </w:r>
      <w:r/>
    </w:p>
    <w:p>
      <w:pPr>
        <w:ind w:firstLine="420"/>
        <w:spacing w:line="39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（1）在政府采购合同签订生效后，甲方支付乙方合同总价30%的预付款，待全部货物到达交货地点完成上牌，安装、调试、培训并验收合格后10个工作日支付合同货款金额的70%余款。</w:t>
      </w:r>
      <w:r/>
    </w:p>
    <w:p>
      <w:pPr>
        <w:ind w:firstLine="420"/>
        <w:spacing w:line="400" w:lineRule="exact"/>
        <w:rPr>
          <w:rFonts w:ascii="宋体" w:hAnsi="宋体" w:cs="宋体"/>
          <w:color w:val="auto"/>
          <w:szCs w:val="21"/>
          <w:highlight w:val="none"/>
          <w:lang w:val="zh-CN"/>
        </w:rPr>
      </w:pPr>
      <w:r>
        <w:rPr>
          <w:rFonts w:ascii="宋体" w:hAnsi="宋体" w:cs="宋体"/>
          <w:color w:val="auto"/>
          <w:szCs w:val="21"/>
          <w:highlight w:val="none"/>
          <w:lang w:val="zh-CN"/>
        </w:rPr>
        <w:t xml:space="preserve">A</w:t>
      </w:r>
      <w:r>
        <w:rPr>
          <w:rFonts w:hint="eastAsia" w:ascii="宋体" w:hAnsi="宋体" w:cs="宋体"/>
          <w:color w:val="auto"/>
          <w:szCs w:val="21"/>
          <w:highlight w:val="none"/>
          <w:lang w:val="zh-CN"/>
        </w:rPr>
        <w:t xml:space="preserve">、甲方签收的送货回单。</w:t>
      </w:r>
      <w:r/>
    </w:p>
    <w:p>
      <w:pPr>
        <w:ind w:firstLine="420"/>
        <w:spacing w:line="400" w:lineRule="exact"/>
        <w:rPr>
          <w:rFonts w:ascii="宋体" w:hAnsi="宋体" w:cs="宋体"/>
          <w:color w:val="auto"/>
          <w:szCs w:val="21"/>
          <w:highlight w:val="none"/>
          <w:lang w:val="zh-CN"/>
        </w:rPr>
      </w:pPr>
      <w:r>
        <w:rPr>
          <w:rFonts w:ascii="宋体" w:hAnsi="宋体" w:cs="宋体"/>
          <w:color w:val="auto"/>
          <w:szCs w:val="21"/>
          <w:highlight w:val="none"/>
          <w:lang w:val="zh-CN"/>
        </w:rPr>
        <w:t xml:space="preserve">B</w:t>
      </w:r>
      <w:r>
        <w:rPr>
          <w:rFonts w:hint="eastAsia" w:ascii="宋体" w:hAnsi="宋体" w:cs="宋体"/>
          <w:color w:val="auto"/>
          <w:szCs w:val="21"/>
          <w:highlight w:val="none"/>
          <w:lang w:val="zh-CN"/>
        </w:rPr>
        <w:t xml:space="preserve">、合格销售发票。</w:t>
      </w:r>
      <w:r/>
    </w:p>
    <w:p>
      <w:pPr>
        <w:ind w:firstLine="420"/>
        <w:spacing w:line="400" w:lineRule="exact"/>
        <w:rPr>
          <w:rFonts w:ascii="宋体" w:hAnsi="宋体" w:cs="宋体"/>
          <w:color w:val="auto"/>
          <w:szCs w:val="21"/>
          <w:highlight w:val="none"/>
          <w:lang w:val="zh-CN"/>
        </w:rPr>
      </w:pPr>
      <w:r>
        <w:rPr>
          <w:rFonts w:ascii="宋体" w:hAnsi="宋体" w:cs="宋体"/>
          <w:color w:val="auto"/>
          <w:szCs w:val="21"/>
          <w:highlight w:val="none"/>
          <w:lang w:val="zh-CN"/>
        </w:rPr>
        <w:t xml:space="preserve">C</w:t>
      </w:r>
      <w:r>
        <w:rPr>
          <w:rFonts w:hint="eastAsia" w:ascii="宋体" w:hAnsi="宋体" w:cs="宋体"/>
          <w:color w:val="auto"/>
          <w:szCs w:val="21"/>
          <w:highlight w:val="none"/>
          <w:lang w:val="zh-CN"/>
        </w:rPr>
        <w:t xml:space="preserve">、由甲乙双方及采购代理机构签章的《苏州市政府采购合同履行验收报告》。</w:t>
      </w:r>
      <w:r/>
    </w:p>
    <w:p>
      <w:pPr>
        <w:ind w:firstLine="420"/>
        <w:spacing w:line="400" w:lineRule="exact"/>
        <w:rPr>
          <w:rFonts w:hAnsi="宋体" w:cs="宋体"/>
          <w:color w:val="auto"/>
          <w:szCs w:val="21"/>
          <w:highlight w:val="none"/>
        </w:rPr>
      </w:pPr>
      <w:r>
        <w:rPr>
          <w:rFonts w:hint="eastAsia" w:ascii="宋体" w:hAnsi="宋体" w:cs="宋体"/>
          <w:color w:val="auto"/>
          <w:szCs w:val="21"/>
          <w:highlight w:val="none"/>
          <w:lang w:val="zh-CN"/>
        </w:rPr>
        <w:t xml:space="preserve">（2）在签订合同时</w:t>
      </w:r>
      <w:r>
        <w:rPr>
          <w:rFonts w:hint="eastAsia" w:hAnsi="宋体" w:cs="宋体"/>
          <w:color w:val="auto"/>
          <w:szCs w:val="21"/>
          <w:highlight w:val="none"/>
        </w:rPr>
        <w:t xml:space="preserve">，乙方明确表示无需预付款或者主动要求降低预付款比例的，甲方可不适用上述关于预付款的规定。</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账户信息：</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乙方开户名称：</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银行账号：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、付款方式：银行汇票或转账。</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三、质量与验收：</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、乙方应按照标书的有关规定提供合格设备；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、质保期内设备质量出现问题，乙方负责包修，费用由乙方承担；</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、设备的验收包括：数量、外观、质量、性能、质保单、包装和乙方承诺的其它指标；</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4</w:t>
      </w:r>
      <w:r>
        <w:rPr>
          <w:rFonts w:hint="eastAsia" w:ascii="宋体" w:hAnsi="宋体"/>
          <w:color w:val="auto"/>
          <w:szCs w:val="21"/>
          <w:highlight w:val="none"/>
          <w:lang w:val="zh-CN"/>
        </w:rPr>
        <w:t xml:space="preserve">、验收标准：根据标书要求及有关规定并按国家最新行业标准进行验收通过；</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、乙方交付验收时应先用书面方式通告甲方；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四、售后服务：</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1、质保期为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2、按照采购文件和乙方在投标书中承诺的服务执行。</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五、交货和安装：</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、交货时间：</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日，发货前应书面通知甲方；</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、交货地点：由供方负责办理运输将标的物送到甲方所在地。</w:t>
      </w:r>
      <w:r/>
    </w:p>
    <w:p>
      <w:pPr>
        <w:ind w:firstLine="420"/>
        <w:spacing w:line="39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、如本项目标的物涉及商品包装及快递包装的情况，则乙方需要按照以下法规通知标准执行政府采购商品包装和快递包装要求。详见：关于《财政部办公厅</w:t>
      </w:r>
      <w:r>
        <w:rPr>
          <w:rFonts w:ascii="宋体" w:hAnsi="宋体"/>
          <w:color w:val="auto"/>
          <w:szCs w:val="21"/>
          <w:highlight w:val="none"/>
        </w:rPr>
        <w:t xml:space="preserve"> </w:t>
      </w:r>
      <w:r>
        <w:rPr>
          <w:rFonts w:hint="eastAsia" w:ascii="宋体" w:hAnsi="宋体"/>
          <w:color w:val="auto"/>
          <w:szCs w:val="21"/>
          <w:highlight w:val="none"/>
        </w:rPr>
        <w:t xml:space="preserve">生态环境部办公厅</w:t>
      </w:r>
      <w:r>
        <w:rPr>
          <w:rFonts w:ascii="宋体" w:hAnsi="宋体"/>
          <w:color w:val="auto"/>
          <w:szCs w:val="21"/>
          <w:highlight w:val="none"/>
        </w:rPr>
        <w:t xml:space="preserve"> </w:t>
      </w:r>
      <w:r>
        <w:rPr>
          <w:rFonts w:hint="eastAsia" w:ascii="宋体" w:hAnsi="宋体"/>
          <w:color w:val="auto"/>
          <w:szCs w:val="21"/>
          <w:highlight w:val="none"/>
        </w:rPr>
        <w:t xml:space="preserve">国家邮政局办公室关于印发〈商品包装政府采购需求标准（试行）〉、〈快递包装政府采购需求标准（试行）〉的通知》的通知（苏财办购〔</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号）。</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六、违约责任：</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1、在甲方因乙方违约而按合同约定采取的任何补救措施不受影响的情况下，甲方可在下列情况下向乙方发出书面通知，提出终止部分或全部合同。 </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（1）如果乙方未能在合同规定的限期或甲方同意延长的限期内提供部分或全部货物和服务。</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（2）如果乙方未能履行合同规定的其它任何义务。 </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4）乙方逾期交货的，应按照本合同总货款的每天千分之四支付逾期交货违约金，同时承担甲方因此遭致的损失费用。若乙方逾期发货超过十五天，则甲方有权解除合同及不予支付任何款项，乙方向甲方支付合同总价款20%的违约金，违约金不足以赔偿损失的甲方仍有权要求乙方补足。</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3、如果甲方违约，应承担相应的违约责任。</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七、合同生效及其它：</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、本合同在双方签名盖章后即生效。</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w:t>
      </w:r>
      <w:r/>
    </w:p>
    <w:p>
      <w:pPr>
        <w:ind w:firstLine="420"/>
        <w:spacing w:line="360" w:lineRule="auto"/>
        <w:rPr>
          <w:rFonts w:ascii="宋体" w:hAnsi="宋体" w:cs="宋体"/>
          <w:color w:val="auto"/>
          <w:szCs w:val="21"/>
          <w:highlight w:val="none"/>
        </w:rPr>
        <w:outlineLvl w:val="0"/>
      </w:pPr>
      <w:r>
        <w:rPr>
          <w:rFonts w:ascii="宋体" w:hAnsi="宋体" w:cs="宋体"/>
          <w:color w:val="auto"/>
          <w:szCs w:val="21"/>
          <w:highlight w:val="none"/>
        </w:rPr>
      </w:r>
      <w:r/>
    </w:p>
    <w:p>
      <w:pPr>
        <w:spacing w:line="480" w:lineRule="auto"/>
        <w:tabs>
          <w:tab w:val="left" w:pos="0" w:leader="none"/>
        </w:tabs>
        <w:rPr>
          <w:rFonts w:ascii="宋体" w:hAnsi="宋体"/>
          <w:color w:val="auto"/>
          <w:szCs w:val="21"/>
          <w:highlight w:val="none"/>
          <w:lang w:val="zh-CN"/>
        </w:rPr>
      </w:pPr>
      <w:r>
        <w:rPr>
          <w:rFonts w:ascii="宋体" w:hAnsi="宋体"/>
          <w:color w:val="auto"/>
          <w:szCs w:val="21"/>
          <w:highlight w:val="none"/>
          <w:lang w:val="zh-CN"/>
        </w:rPr>
      </w:r>
      <w:r/>
    </w:p>
    <w:p>
      <w:pPr>
        <w:spacing w:line="480" w:lineRule="auto"/>
        <w:tabs>
          <w:tab w:val="left" w:pos="0" w:leader="none"/>
        </w:tabs>
        <w:rPr>
          <w:rFonts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w:t>
      </w:r>
      <w:r>
        <w:rPr>
          <w:rFonts w:hint="eastAsia" w:ascii="宋体" w:hAnsi="宋体"/>
          <w:color w:val="auto"/>
          <w:szCs w:val="21"/>
          <w:highlight w:val="none"/>
          <w:lang w:val="zh-CN"/>
        </w:rPr>
        <w:t xml:space="preserve">公章或合同章</w:t>
      </w:r>
      <w:r>
        <w:rPr>
          <w:rFonts w:ascii="宋体" w:hAnsi="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乙方</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公章或合同章</w:t>
      </w:r>
      <w:r>
        <w:rPr>
          <w:rFonts w:hint="eastAsia" w:ascii="宋体" w:hAnsi="宋体"/>
          <w:color w:val="auto"/>
          <w:szCs w:val="21"/>
          <w:highlight w:val="none"/>
        </w:rPr>
        <w:t xml:space="preserve">）：</w:t>
      </w:r>
      <w:r/>
    </w:p>
    <w:p>
      <w:pPr>
        <w:spacing w:line="480" w:lineRule="auto"/>
        <w:tabs>
          <w:tab w:val="left" w:pos="0" w:leader="none"/>
        </w:tabs>
        <w:rPr>
          <w:rFonts w:ascii="宋体" w:hAnsi="宋体"/>
          <w:color w:val="auto"/>
          <w:szCs w:val="21"/>
          <w:highlight w:val="none"/>
        </w:rPr>
      </w:pPr>
      <w:r>
        <w:rPr>
          <w:rFonts w:ascii="宋体" w:hAnsi="宋体"/>
          <w:color w:val="auto"/>
          <w:szCs w:val="21"/>
          <w:highlight w:val="none"/>
        </w:rPr>
      </w:r>
      <w:r/>
    </w:p>
    <w:p>
      <w:pPr>
        <w:spacing w:line="480" w:lineRule="auto"/>
        <w:tabs>
          <w:tab w:val="left" w:pos="0" w:leader="none"/>
        </w:tabs>
        <w:rPr>
          <w:rFonts w:ascii="宋体" w:hAnsi="宋体"/>
          <w:color w:val="auto"/>
          <w:szCs w:val="21"/>
          <w:highlight w:val="none"/>
          <w:lang w:val="zh-CN"/>
        </w:rPr>
      </w:pPr>
      <w:r>
        <w:rPr>
          <w:rFonts w:hint="eastAsia" w:ascii="宋体" w:hAnsi="宋体"/>
          <w:color w:val="auto"/>
          <w:szCs w:val="21"/>
          <w:highlight w:val="none"/>
        </w:rPr>
        <w:t xml:space="preserve">法定代表人或</w:t>
      </w:r>
      <w:r>
        <w:rPr>
          <w:rFonts w:hint="eastAsia" w:ascii="宋体" w:hAnsi="宋体"/>
          <w:color w:val="auto"/>
          <w:szCs w:val="21"/>
          <w:highlight w:val="none"/>
          <w:lang w:val="zh-CN"/>
        </w:rPr>
        <w:t xml:space="preserve">授权代理人（签字或盖章）：</w:t>
      </w:r>
      <w:r>
        <w:rPr>
          <w:rFonts w:ascii="宋体" w:hAnsi="宋体"/>
          <w:color w:val="auto"/>
          <w:szCs w:val="21"/>
          <w:highlight w:val="none"/>
          <w:lang w:val="zh-CN"/>
        </w:rPr>
        <w:tab/>
      </w:r>
      <w:r>
        <w:rPr>
          <w:rFonts w:hint="eastAsia" w:ascii="宋体" w:hAnsi="宋体"/>
          <w:color w:val="auto"/>
          <w:szCs w:val="21"/>
          <w:highlight w:val="none"/>
        </w:rPr>
        <w:t xml:space="preserve">法定代表人或</w:t>
      </w:r>
      <w:r>
        <w:rPr>
          <w:rFonts w:hint="eastAsia" w:ascii="宋体" w:hAnsi="宋体"/>
          <w:color w:val="auto"/>
          <w:szCs w:val="21"/>
          <w:highlight w:val="none"/>
          <w:lang w:val="zh-CN"/>
        </w:rPr>
        <w:t xml:space="preserve">授权代理人（签字或盖章）：</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lang w:val="zh-CN"/>
        </w:rPr>
      </w:pPr>
      <w:r>
        <w:rPr>
          <w:rFonts w:hint="eastAsia" w:ascii="宋体" w:hAnsi="宋体"/>
          <w:color w:val="auto"/>
          <w:szCs w:val="21"/>
          <w:highlight w:val="none"/>
        </w:rPr>
        <w:t xml:space="preserve">合同签订日期： </w:t>
      </w:r>
      <w:r>
        <w:rPr>
          <w:rFonts w:hint="eastAsia" w:ascii="宋体" w:hAnsi="宋体"/>
          <w:color w:val="auto"/>
          <w:szCs w:val="21"/>
          <w:highlight w:val="none"/>
          <w:lang w:val="zh-CN"/>
        </w:rPr>
        <w:t xml:space="preserve">     年  月  日           </w:t>
      </w:r>
      <w:r>
        <w:rPr>
          <w:rFonts w:hint="eastAsia" w:ascii="宋体" w:hAnsi="宋体"/>
          <w:color w:val="auto"/>
          <w:szCs w:val="21"/>
          <w:highlight w:val="none"/>
        </w:rPr>
        <w:t xml:space="preserve">合同签订日期： </w:t>
      </w:r>
      <w:r>
        <w:rPr>
          <w:rFonts w:hint="eastAsia" w:ascii="宋体" w:hAnsi="宋体"/>
          <w:color w:val="auto"/>
          <w:szCs w:val="21"/>
          <w:highlight w:val="none"/>
          <w:lang w:val="zh-CN"/>
        </w:rPr>
        <w:t xml:space="preserve">     年   月   日</w:t>
      </w:r>
      <w:r/>
    </w:p>
    <w:p>
      <w:pPr>
        <w:ind w:firstLine="420"/>
        <w:spacing w:line="360" w:lineRule="auto"/>
        <w:rPr>
          <w:rFonts w:ascii="宋体" w:hAnsi="宋体" w:cs="宋体"/>
          <w:color w:val="auto"/>
          <w:szCs w:val="21"/>
          <w:highlight w:val="none"/>
        </w:rPr>
        <w:outlineLvl w:val="0"/>
      </w:pPr>
      <w:r>
        <w:rPr>
          <w:rFonts w:ascii="宋体" w:hAnsi="宋体" w:cs="宋体"/>
          <w:color w:val="auto"/>
          <w:szCs w:val="21"/>
          <w:highlight w:val="none"/>
        </w:rPr>
      </w:r>
      <w:bookmarkEnd w:id="12"/>
      <w:r/>
      <w:r/>
    </w:p>
    <w:p>
      <w:pPr>
        <w:jc w:val="center"/>
        <w:spacing w:line="400" w:lineRule="exact"/>
        <w:rPr>
          <w:rFonts w:hAnsi="宋体" w:cs="宋体"/>
          <w:color w:val="auto"/>
          <w:szCs w:val="21"/>
          <w:highlight w:val="none"/>
        </w:rPr>
      </w:pPr>
      <w:r>
        <w:rPr>
          <w:rFonts w:hAnsi="宋体" w:cs="宋体"/>
          <w:color w:val="auto"/>
          <w:szCs w:val="21"/>
          <w:highlight w:val="none"/>
        </w:rPr>
      </w:r>
      <w:r/>
    </w:p>
    <w:p>
      <w:pPr>
        <w:jc w:val="center"/>
        <w:rPr>
          <w:rFonts w:ascii="宋体" w:hAnsi="宋体"/>
          <w:b/>
          <w:bCs/>
          <w:color w:val="auto"/>
          <w:sz w:val="32"/>
          <w:szCs w:val="32"/>
          <w:highlight w:val="none"/>
        </w:rPr>
      </w:pPr>
      <w:r/>
      <w:bookmarkStart w:id="13" w:name="_Hlk99527987"/>
      <w:r/>
      <w:bookmarkStart w:id="14" w:name="_Hlk110605095"/>
      <w:r>
        <w:rPr>
          <w:rFonts w:ascii="宋体" w:hAnsi="宋体" w:cs="宋体"/>
          <w:b/>
          <w:bCs/>
          <w:color w:val="auto"/>
          <w:sz w:val="32"/>
          <w:szCs w:val="32"/>
          <w:highlight w:val="none"/>
          <w:lang w:val="zh-CN"/>
        </w:rPr>
        <w:br w:type="page" w:clear="all"/>
      </w:r>
      <w:bookmarkStart w:id="15" w:name="_Hlk63064420"/>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七</w:t>
      </w:r>
      <w:r>
        <w:rPr>
          <w:rFonts w:ascii="宋体" w:hAnsi="宋体"/>
          <w:b/>
          <w:bCs/>
          <w:color w:val="auto"/>
          <w:sz w:val="32"/>
          <w:szCs w:val="32"/>
          <w:highlight w:val="none"/>
        </w:rPr>
        <w:t xml:space="preserve">章 评标方法、评分标准</w:t>
      </w:r>
      <w:bookmarkEnd w:id="15"/>
      <w:r/>
      <w:r/>
    </w:p>
    <w:p>
      <w:pPr>
        <w:pStyle w:val="1055"/>
        <w:ind w:firstLine="422"/>
        <w:spacing w:line="400" w:lineRule="exact"/>
        <w:rPr>
          <w:rFonts w:hint="eastAsia" w:hAnsi="宋体" w:eastAsia="宋体" w:cs="宋体"/>
          <w:b/>
          <w:bCs/>
          <w:color w:val="auto"/>
          <w:sz w:val="21"/>
          <w:szCs w:val="21"/>
          <w:highlight w:val="none"/>
        </w:rPr>
        <w:outlineLvl w:val="0"/>
      </w:pPr>
      <w:r/>
      <w:bookmarkStart w:id="16" w:name="_Hlk124435630"/>
      <w:r>
        <w:rPr>
          <w:rFonts w:hint="eastAsia" w:hAnsi="宋体" w:eastAsia="宋体" w:cs="宋体"/>
          <w:b/>
          <w:bCs/>
          <w:color w:val="auto"/>
          <w:sz w:val="21"/>
          <w:szCs w:val="21"/>
          <w:highlight w:val="none"/>
        </w:rPr>
        <w:t xml:space="preserve">一、评标方法：</w:t>
      </w:r>
      <w:r/>
    </w:p>
    <w:p>
      <w:pPr>
        <w:pStyle w:val="1055"/>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55"/>
        <w:ind w:firstLine="420"/>
        <w:spacing w:line="40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055"/>
        <w:ind w:firstLine="422"/>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55"/>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highlight w:val="none"/>
        </w:rPr>
        <w:t xml:space="preserve">。</w:t>
      </w:r>
      <w:r/>
    </w:p>
    <w:p>
      <w:pPr>
        <w:pStyle w:val="1055"/>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7"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55"/>
        <w:ind w:firstLine="420"/>
        <w:spacing w:line="400" w:lineRule="exact"/>
        <w:rPr>
          <w:rFonts w:hint="eastAsia"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r/>
    </w:p>
    <w:p>
      <w:pPr>
        <w:pStyle w:val="1055"/>
        <w:ind w:firstLine="422"/>
        <w:spacing w:line="400" w:lineRule="exact"/>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bookmarkEnd w:id="16"/>
      <w:r/>
      <w:r/>
    </w:p>
    <w:p>
      <w:pPr>
        <w:pStyle w:val="1055"/>
        <w:ind w:firstLine="422"/>
        <w:spacing w:line="400" w:lineRule="exact"/>
        <w:rPr>
          <w:rFonts w:hint="eastAsia" w:ascii="宋体" w:hAnsi="宋体" w:eastAsia="宋体" w:cs="宋体"/>
          <w:color w:val="auto"/>
          <w:sz w:val="21"/>
          <w:szCs w:val="21"/>
          <w:highlight w:val="none"/>
        </w:rPr>
      </w:pPr>
      <w:r>
        <w:rPr>
          <w:rFonts w:hint="eastAsia" w:hAnsi="宋体" w:eastAsia="宋体" w:cs="宋体"/>
          <w:b/>
          <w:bCs/>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项目专门面向中小企业采购。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pStyle w:val="1055"/>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投标人应如实、完整填报《中小企业声明函》，否则为无效投标。</w:t>
      </w:r>
      <w:r/>
    </w:p>
    <w:p>
      <w:pPr>
        <w:pStyle w:val="105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残疾人福利性单位填报《残疾人福利性单位声明函》、监狱企业提供由省级以上监狱管理局、戒毒管理局（含新疆生产建设兵团）出具的属于监狱企业的证明文件。</w:t>
      </w:r>
      <w:r/>
    </w:p>
    <w:p>
      <w:pPr>
        <w:pStyle w:val="105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投标人获得政府采购合同的，小微企业不得将合同分包给大中型企业，中型企业不得将合同分包给大型企业。</w:t>
      </w:r>
      <w:r/>
    </w:p>
    <w:p>
      <w:pPr>
        <w:pStyle w:val="105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投标人如属于监狱企业、残疾人企业的视同中小企业。</w:t>
      </w:r>
      <w:r/>
    </w:p>
    <w:p>
      <w:pPr>
        <w:pStyle w:val="105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如投标人提供虚假材料，将按“政府采购法”相关规定处理并由政府监管部门给予严肃处理。</w:t>
      </w:r>
      <w:r/>
    </w:p>
    <w:p>
      <w:pPr>
        <w:pStyle w:val="1055"/>
        <w:numPr>
          <w:ilvl w:val="0"/>
          <w:numId w:val="0"/>
        </w:numPr>
        <w:ind w:left="0" w:firstLine="422"/>
        <w:spacing w:line="360" w:lineRule="auto"/>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lang w:val="en-US" w:eastAsia="zh-CN" w:bidi="ar-SA"/>
        </w:rPr>
        <w:t xml:space="preserve">2、</w:t>
      </w:r>
      <w:r>
        <w:rPr>
          <w:rFonts w:hint="eastAsia" w:ascii="Times New Roman" w:hAnsi="Times New Roman" w:eastAsia="宋体" w:cs="Times New Roman"/>
          <w:b/>
          <w:bCs/>
          <w:color w:val="auto"/>
          <w:sz w:val="21"/>
          <w:szCs w:val="21"/>
          <w:highlight w:val="none"/>
        </w:rPr>
        <w:t xml:space="preserve">采购本国产品的支持政策</w:t>
      </w:r>
      <w:r/>
    </w:p>
    <w:p>
      <w:pPr>
        <w:pStyle w:val="1055"/>
        <w:numPr>
          <w:ilvl w:val="0"/>
          <w:numId w:val="0"/>
        </w:numPr>
        <w:ind w:left="0" w:firstLine="422"/>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（1）本项目政府采购活动中既有本国产品又有非本国产品参与竞争的，依法对本国产品给予价格评审优惠，对本国产品的报价给予  20%的价格扣除，用扣除后的价格参与评审。</w:t>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4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如投标人提供虚假材料，将按“政府采购法”相关规定处理并由政府监管部门给予严肃处理。</w:t>
      </w:r>
      <w:r/>
    </w:p>
    <w:p>
      <w:pPr>
        <w:pStyle w:val="746"/>
        <w:ind w:firstLine="422"/>
        <w:spacing w:line="400" w:lineRule="exact"/>
        <w:rPr>
          <w:rFonts w:ascii="Times New Roman" w:hAnsi="Times New Roman" w:eastAsia="宋体"/>
          <w:b/>
          <w:bCs/>
          <w:color w:val="auto"/>
          <w:sz w:val="21"/>
          <w:szCs w:val="21"/>
          <w:highlight w:val="none"/>
        </w:rPr>
      </w:pPr>
      <w:r>
        <w:rPr>
          <w:rFonts w:hint="eastAsia" w:ascii="Times New Roman" w:hAnsi="宋体" w:eastAsia="宋体"/>
          <w:b/>
          <w:bCs/>
          <w:color w:val="auto"/>
          <w:sz w:val="21"/>
          <w:szCs w:val="21"/>
          <w:highlight w:val="none"/>
        </w:rPr>
        <w:t xml:space="preserve">三</w:t>
      </w:r>
      <w:r>
        <w:rPr>
          <w:rFonts w:ascii="Times New Roman" w:hAnsi="宋体" w:eastAsia="宋体"/>
          <w:b/>
          <w:bCs/>
          <w:color w:val="auto"/>
          <w:sz w:val="21"/>
          <w:szCs w:val="21"/>
          <w:highlight w:val="none"/>
        </w:rPr>
        <w:t xml:space="preserve">、评分标准：</w:t>
      </w:r>
      <w:r/>
    </w:p>
    <w:p>
      <w:pPr>
        <w:pStyle w:val="1055"/>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（一）价格（30分）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投标报价得分=（评标基准价/投标报价）X价格权值X100（价格权值为30%）</w:t>
      </w:r>
      <w:r/>
    </w:p>
    <w:p>
      <w:pPr>
        <w:pStyle w:val="1055"/>
        <w:ind w:firstLine="422"/>
        <w:spacing w:line="400" w:lineRule="exact"/>
        <w:rPr>
          <w:rFonts w:hint="eastAsia" w:hAnsi="宋体" w:eastAsia="宋体" w:cs="宋体"/>
          <w:b/>
          <w:color w:val="auto"/>
          <w:sz w:val="21"/>
          <w:szCs w:val="21"/>
          <w:highlight w:val="none"/>
        </w:rPr>
      </w:pPr>
      <w:r>
        <w:rPr>
          <w:rFonts w:hint="eastAsia" w:hAnsi="宋体" w:eastAsia="宋体" w:cs="宋体"/>
          <w:b/>
          <w:color w:val="auto"/>
          <w:sz w:val="21"/>
          <w:szCs w:val="21"/>
          <w:highlight w:val="none"/>
        </w:rPr>
        <w:t xml:space="preserve">（二）技术参数比较（</w:t>
      </w:r>
      <w:r>
        <w:rPr>
          <w:rFonts w:hint="eastAsia" w:hAnsi="宋体" w:eastAsia="宋体" w:cs="宋体"/>
          <w:b/>
          <w:color w:val="auto"/>
          <w:sz w:val="21"/>
          <w:szCs w:val="21"/>
          <w:highlight w:val="none"/>
          <w:lang w:val="en-US" w:eastAsia="zh-CN"/>
        </w:rPr>
        <w:t xml:space="preserve">35</w:t>
      </w:r>
      <w:r>
        <w:rPr>
          <w:rFonts w:hint="eastAsia" w:hAnsi="宋体" w:eastAsia="宋体" w:cs="宋体"/>
          <w:b/>
          <w:color w:val="auto"/>
          <w:sz w:val="21"/>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1、打“★”的技术参数必须符合要求，若出现负偏离，为无效投标。</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2、打“▲”的技术参数共</w:t>
      </w:r>
      <w:r>
        <w:rPr>
          <w:rFonts w:hint="eastAsia" w:ascii="宋体" w:hAnsi="宋体" w:cs="宋体"/>
          <w:bCs/>
          <w:color w:val="auto"/>
          <w:szCs w:val="21"/>
          <w:highlight w:val="none"/>
          <w:lang w:val="en-US" w:eastAsia="zh-CN"/>
        </w:rPr>
        <w:t xml:space="preserve">35</w:t>
      </w:r>
      <w:r>
        <w:rPr>
          <w:rFonts w:hint="eastAsia" w:ascii="宋体" w:hAnsi="宋体" w:cs="宋体"/>
          <w:bCs/>
          <w:color w:val="auto"/>
          <w:szCs w:val="21"/>
          <w:highlight w:val="none"/>
        </w:rPr>
        <w:t xml:space="preserve">条，完全符合采购要求，得</w:t>
      </w:r>
      <w:r>
        <w:rPr>
          <w:rFonts w:hint="eastAsia" w:ascii="宋体" w:hAnsi="宋体" w:cs="宋体"/>
          <w:bCs/>
          <w:color w:val="auto"/>
          <w:szCs w:val="21"/>
          <w:highlight w:val="none"/>
          <w:lang w:val="en-US" w:eastAsia="zh-CN"/>
        </w:rPr>
        <w:t xml:space="preserve">35</w:t>
      </w:r>
      <w:r>
        <w:rPr>
          <w:rFonts w:hint="eastAsia" w:ascii="宋体" w:hAnsi="宋体" w:cs="宋体"/>
          <w:bCs/>
          <w:color w:val="auto"/>
          <w:szCs w:val="21"/>
          <w:highlight w:val="none"/>
        </w:rPr>
        <w:t xml:space="preserve">分。若出现负偏离，每负偏离一项扣</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分，扣完为止。</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3、其余技术参数都需要符合要求，若出现负偏离，为无效投标。</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注：上述</w:t>
      </w:r>
      <w:r>
        <w:rPr>
          <w:rFonts w:hint="eastAsia" w:ascii="宋体" w:hAnsi="宋体" w:cs="宋体"/>
          <w:bCs/>
          <w:color w:val="auto"/>
          <w:szCs w:val="21"/>
          <w:highlight w:val="none"/>
          <w:lang w:val="en-US" w:eastAsia="zh-CN"/>
        </w:rPr>
        <w:t xml:space="preserve">注</w:t>
      </w:r>
      <w:r>
        <w:rPr>
          <w:rFonts w:hint="eastAsia" w:ascii="宋体" w:hAnsi="宋体" w:cs="宋体"/>
          <w:bCs/>
          <w:color w:val="auto"/>
          <w:szCs w:val="21"/>
          <w:highlight w:val="none"/>
        </w:rPr>
        <w:t xml:space="preserve">▲参数要求提供</w:t>
      </w:r>
      <w:r>
        <w:rPr>
          <w:rFonts w:hint="eastAsia" w:ascii="宋体" w:hAnsi="宋体" w:cs="宋体"/>
          <w:bCs/>
          <w:color w:val="auto"/>
          <w:szCs w:val="21"/>
          <w:highlight w:val="none"/>
          <w:lang w:val="en-US" w:eastAsia="zh-CN"/>
        </w:rPr>
        <w:t xml:space="preserve">彩页等佐证</w:t>
      </w:r>
      <w:r>
        <w:rPr>
          <w:rFonts w:hint="eastAsia" w:ascii="宋体" w:hAnsi="宋体" w:cs="宋体"/>
          <w:bCs/>
          <w:color w:val="auto"/>
          <w:szCs w:val="21"/>
          <w:highlight w:val="none"/>
        </w:rPr>
        <w:t xml:space="preserve">材料</w:t>
      </w:r>
      <w:r>
        <w:rPr>
          <w:rFonts w:hint="eastAsia" w:ascii="宋体" w:hAnsi="宋体" w:cs="宋体"/>
          <w:bCs/>
          <w:color w:val="auto"/>
          <w:szCs w:val="21"/>
          <w:highlight w:val="none"/>
          <w:lang w:val="en-US" w:eastAsia="zh-CN"/>
        </w:rPr>
        <w:t xml:space="preserve">并</w:t>
      </w:r>
      <w:r>
        <w:rPr>
          <w:rFonts w:hint="eastAsia" w:ascii="宋体" w:hAnsi="宋体" w:cs="宋体"/>
          <w:bCs/>
          <w:color w:val="auto"/>
          <w:szCs w:val="21"/>
          <w:highlight w:val="none"/>
        </w:rPr>
        <w:t xml:space="preserve">加盖厂家公章，否则视为负偏离。其余技术参数应当一一对应提供技术对照表加盖</w:t>
      </w:r>
      <w:r>
        <w:rPr>
          <w:rFonts w:hint="eastAsia" w:ascii="宋体" w:hAnsi="宋体" w:cs="宋体"/>
          <w:bCs/>
          <w:color w:val="auto"/>
          <w:szCs w:val="21"/>
          <w:highlight w:val="none"/>
          <w:lang w:val="en-US" w:eastAsia="zh-CN"/>
        </w:rPr>
        <w:t xml:space="preserve">投标人</w:t>
      </w:r>
      <w:r>
        <w:rPr>
          <w:rFonts w:hint="eastAsia" w:ascii="宋体" w:hAnsi="宋体" w:cs="宋体"/>
          <w:bCs/>
          <w:color w:val="auto"/>
          <w:szCs w:val="21"/>
          <w:highlight w:val="none"/>
        </w:rPr>
        <w:t xml:space="preserve">公章，标明是否偏离。否则视为负偏离。</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（三）针对本项目实施方案情况比较（</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方案内容应包括但不限于①安装调试、测试、调优等内容，②人员组织架构，③工作时间进度表、工作程序和步骤，④管理和协调方法，⑤关键步骤的思路和要点。</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上述方案每缺少一项内容，或内容明显错误，或内容非专门针对本项目，或内容不能满足本项目实际需求的，每一项扣</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（四）投标人培训方案情况比较（</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包括培训内容、时间、地点、人次、安装调试、配置及技能</w:t>
      </w:r>
      <w:r>
        <w:rPr>
          <w:rFonts w:hint="eastAsia" w:ascii="宋体" w:hAnsi="宋体" w:cs="宋体"/>
          <w:bCs/>
          <w:color w:val="auto"/>
          <w:szCs w:val="21"/>
          <w:highlight w:val="none"/>
          <w:lang w:val="en-US" w:eastAsia="zh-CN"/>
        </w:rPr>
        <w:t xml:space="preserve">支持</w:t>
      </w:r>
      <w:r>
        <w:rPr>
          <w:rFonts w:hint="eastAsia" w:ascii="宋体" w:hAnsi="宋体" w:cs="宋体"/>
          <w:bCs/>
          <w:color w:val="auto"/>
          <w:szCs w:val="21"/>
          <w:highlight w:val="none"/>
        </w:rPr>
        <w:t xml:space="preserve">、业务人员培训、应用操作及使用等。</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培训方案详细具体，可行性高，满足本项目实际需求的得</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ind w:firstLine="420"/>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（五）投标人售后服务方案情况比较（</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针对本项目制定的售后服务管理体系方案，包括售后服务机制、响应时间、故障解决等内容的合理性和可行性。</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售后服务方案详细具体，可行性高，满足本项目实际需求的得</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ind w:firstLine="420"/>
        <w:spacing w:line="400" w:lineRule="exact"/>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（六）投标人履约能力（5分）</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1、投标人或投标产品生产厂家提供2023年1月1日以来承担过的类似项目的合同复印件，每提供一份得2分，共4分。</w:t>
      </w:r>
      <w:bookmarkStart w:id="18" w:name="_GoBack"/>
      <w:r/>
      <w:bookmarkEnd w:id="18"/>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2、救护车生产厂家属于救护车底盘生产厂家认可注册改装厂合作的，得1分，提供相关证明材料。</w:t>
      </w:r>
      <w:r/>
    </w:p>
    <w:p>
      <w:pPr>
        <w:pStyle w:val="1181"/>
        <w:jc w:val="right"/>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（全文完）</w:t>
      </w:r>
      <w:bookmarkEnd w:id="13"/>
      <w:r/>
      <w:bookmarkEnd w:id="14"/>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w:t>
    </w:r>
    <w:r>
      <w:rPr>
        <w:rFonts w:hint="eastAsia"/>
        <w:lang w:val="en-US" w:eastAsia="zh-CN"/>
      </w:rPr>
      <w:t xml:space="preserve">74</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1"/>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024"/>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118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9">
    <w:name w:val="Heading 1"/>
    <w:basedOn w:val="668"/>
    <w:next w:val="668"/>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rPr>
  </w:style>
  <w:style w:type="paragraph" w:styleId="682">
    <w:name w:val="Body Text Indent"/>
    <w:basedOn w:val="668"/>
    <w:next w:val="668"/>
    <w:uiPriority w:val="0"/>
    <w:unhideWhenUsed/>
    <w:qFormat/>
    <w:pPr>
      <w:ind w:right="-159" w:firstLine="246"/>
      <w:spacing w:line="240" w:lineRule="atLeast"/>
    </w:pPr>
    <w:rPr>
      <w:spacing w:val="20"/>
      <w:szCs w:val="24"/>
    </w:rPr>
  </w:style>
  <w:style w:type="paragraph" w:styleId="683">
    <w:name w:val="toc 5"/>
    <w:basedOn w:val="668"/>
    <w:next w:val="668"/>
    <w:uiPriority w:val="39"/>
    <w:unhideWhenUsed/>
    <w:qFormat/>
    <w:pPr>
      <w:ind w:left="1134" w:right="0" w:firstLine="0"/>
      <w:spacing w:after="57"/>
    </w:pPr>
  </w:style>
  <w:style w:type="paragraph" w:styleId="684">
    <w:name w:val="toc 3"/>
    <w:basedOn w:val="668"/>
    <w:next w:val="668"/>
    <w:uiPriority w:val="39"/>
    <w:unhideWhenUsed/>
    <w:qFormat/>
    <w:pPr>
      <w:ind w:left="567" w:right="0" w:firstLine="0"/>
      <w:spacing w:after="57"/>
    </w:pPr>
  </w:style>
  <w:style w:type="paragraph" w:styleId="685">
    <w:name w:val="toc 8"/>
    <w:basedOn w:val="668"/>
    <w:next w:val="668"/>
    <w:uiPriority w:val="39"/>
    <w:unhideWhenUsed/>
    <w:qFormat/>
    <w:pPr>
      <w:ind w:left="1984" w:right="0" w:firstLine="0"/>
      <w:spacing w:after="57"/>
    </w:pPr>
  </w:style>
  <w:style w:type="paragraph" w:styleId="686">
    <w:name w:val="endnote text"/>
    <w:basedOn w:val="668"/>
    <w:uiPriority w:val="99"/>
    <w:semiHidden/>
    <w:unhideWhenUsed/>
    <w:qFormat/>
    <w:pPr>
      <w:spacing w:after="0" w:line="240" w:lineRule="auto"/>
    </w:pPr>
    <w:rPr>
      <w:sz w:val="20"/>
    </w:rPr>
  </w:style>
  <w:style w:type="paragraph" w:styleId="687">
    <w:name w:val="Footer"/>
    <w:basedOn w:val="668"/>
    <w:uiPriority w:val="99"/>
    <w:unhideWhenUsed/>
    <w:qFormat/>
    <w:pPr>
      <w:spacing w:after="0" w:line="240" w:lineRule="auto"/>
      <w:tabs>
        <w:tab w:val="center" w:pos="7143" w:leader="none"/>
        <w:tab w:val="right" w:pos="14287" w:leader="none"/>
      </w:tabs>
    </w:pPr>
  </w:style>
  <w:style w:type="paragraph" w:styleId="688">
    <w:name w:val="Header"/>
    <w:basedOn w:val="668"/>
    <w:uiPriority w:val="99"/>
    <w:unhideWhenUsed/>
    <w:pPr>
      <w:spacing w:after="0" w:line="240" w:lineRule="auto"/>
      <w:tabs>
        <w:tab w:val="center" w:pos="7143" w:leader="none"/>
        <w:tab w:val="right" w:pos="14287" w:leader="none"/>
      </w:tabs>
    </w:pPr>
  </w:style>
  <w:style w:type="paragraph" w:styleId="689">
    <w:name w:val="toc 1"/>
    <w:basedOn w:val="668"/>
    <w:next w:val="668"/>
    <w:uiPriority w:val="39"/>
    <w:unhideWhenUsed/>
    <w:qFormat/>
    <w:pPr>
      <w:ind w:left="0" w:right="0" w:firstLine="0"/>
      <w:spacing w:after="57"/>
    </w:pPr>
  </w:style>
  <w:style w:type="paragraph" w:styleId="690">
    <w:name w:val="toc 4"/>
    <w:basedOn w:val="668"/>
    <w:next w:val="668"/>
    <w:uiPriority w:val="39"/>
    <w:unhideWhenUsed/>
    <w:qFormat/>
    <w:pPr>
      <w:ind w:left="850" w:right="0" w:firstLine="0"/>
      <w:spacing w:after="57"/>
    </w:pPr>
  </w:style>
  <w:style w:type="paragraph" w:styleId="691">
    <w:name w:val="Subtitle"/>
    <w:basedOn w:val="668"/>
    <w:next w:val="668"/>
    <w:uiPriority w:val="11"/>
    <w:qFormat/>
    <w:pPr>
      <w:spacing w:before="200" w:after="200"/>
    </w:pPr>
    <w:rPr>
      <w:sz w:val="24"/>
      <w:szCs w:val="24"/>
    </w:rPr>
  </w:style>
  <w:style w:type="paragraph" w:styleId="692">
    <w:name w:val="footnote text"/>
    <w:basedOn w:val="668"/>
    <w:uiPriority w:val="99"/>
    <w:semiHidden/>
    <w:unhideWhenUsed/>
    <w:qFormat/>
    <w:pPr>
      <w:spacing w:after="40" w:line="240" w:lineRule="auto"/>
    </w:pPr>
    <w:rPr>
      <w:sz w:val="18"/>
    </w:rPr>
  </w:style>
  <w:style w:type="paragraph" w:styleId="693">
    <w:name w:val="toc 6"/>
    <w:basedOn w:val="668"/>
    <w:next w:val="668"/>
    <w:uiPriority w:val="39"/>
    <w:unhideWhenUsed/>
    <w:qFormat/>
    <w:pPr>
      <w:ind w:left="1417" w:right="0" w:firstLine="0"/>
      <w:spacing w:after="57"/>
    </w:pPr>
  </w:style>
  <w:style w:type="paragraph" w:styleId="694">
    <w:name w:val="table of figures"/>
    <w:basedOn w:val="668"/>
    <w:next w:val="668"/>
    <w:uiPriority w:val="99"/>
    <w:unhideWhenUsed/>
    <w:qFormat/>
    <w:pPr>
      <w:spacing w:after="0" w:afterAutospacing="0"/>
    </w:pPr>
  </w:style>
  <w:style w:type="paragraph" w:styleId="695">
    <w:name w:val="toc 2"/>
    <w:basedOn w:val="668"/>
    <w:next w:val="668"/>
    <w:uiPriority w:val="39"/>
    <w:unhideWhenUsed/>
    <w:qFormat/>
    <w:pPr>
      <w:ind w:left="283" w:right="0" w:firstLine="0"/>
      <w:spacing w:after="57"/>
    </w:pPr>
  </w:style>
  <w:style w:type="paragraph" w:styleId="696">
    <w:name w:val="toc 9"/>
    <w:basedOn w:val="668"/>
    <w:next w:val="668"/>
    <w:uiPriority w:val="39"/>
    <w:unhideWhenUsed/>
    <w:qFormat/>
    <w:pPr>
      <w:ind w:left="2268" w:right="0" w:firstLine="0"/>
      <w:spacing w:after="57"/>
    </w:pPr>
  </w:style>
  <w:style w:type="paragraph" w:styleId="697">
    <w:name w:val="Title"/>
    <w:basedOn w:val="668"/>
    <w:next w:val="668"/>
    <w:uiPriority w:val="10"/>
    <w:qFormat/>
    <w:pPr>
      <w:contextualSpacing/>
      <w:spacing w:before="300" w:after="200"/>
    </w:pPr>
    <w:rPr>
      <w:sz w:val="48"/>
      <w:szCs w:val="48"/>
    </w:rPr>
  </w:style>
  <w:style w:type="table" w:styleId="6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endnote reference"/>
    <w:uiPriority w:val="99"/>
    <w:semiHidden/>
    <w:unhideWhenUsed/>
    <w:qFormat/>
    <w:rPr>
      <w:vertAlign w:val="superscript"/>
    </w:rPr>
  </w:style>
  <w:style w:type="character" w:styleId="700">
    <w:name w:val="Hyperlink"/>
    <w:uiPriority w:val="99"/>
    <w:unhideWhenUsed/>
    <w:qFormat/>
    <w:rPr>
      <w:color w:val="0000ff" w:themeColor="hyperlink"/>
      <w:u w:val="single"/>
    </w:rPr>
  </w:style>
  <w:style w:type="character" w:styleId="701">
    <w:name w:val="footnote reference"/>
    <w:uiPriority w:val="99"/>
    <w:unhideWhenUsed/>
    <w:qFormat/>
    <w:rPr>
      <w:vertAlign w:val="superscript"/>
    </w:rPr>
  </w:style>
  <w:style w:type="paragraph" w:styleId="702" w:customStyle="1">
    <w:name w:val="正文文本缩进1"/>
    <w:basedOn w:val="668"/>
    <w:next w:val="668"/>
    <w:link w:val="741"/>
    <w:uiPriority w:val="99"/>
    <w:unhideWhenUsed/>
    <w:qFormat/>
    <w:pPr>
      <w:ind w:right="-159" w:firstLine="246"/>
      <w:spacing w:line="240" w:lineRule="atLeast"/>
    </w:pPr>
    <w:rPr>
      <w:spacing w:val="20"/>
      <w:szCs w:val="24"/>
    </w:rPr>
  </w:style>
  <w:style w:type="paragraph" w:styleId="703">
    <w:name w:val="List Paragraph"/>
    <w:basedOn w:val="668"/>
    <w:uiPriority w:val="34"/>
    <w:qFormat/>
    <w:pPr>
      <w:contextualSpacing/>
      <w:ind w:left="720"/>
    </w:pPr>
  </w:style>
  <w:style w:type="paragraph" w:styleId="704">
    <w:name w:val="No Spacing"/>
    <w:uiPriority w:val="1"/>
    <w:qFormat/>
    <w:pPr>
      <w:spacing w:before="0" w:after="0" w:line="240" w:lineRule="auto"/>
    </w:pPr>
    <w:rPr>
      <w:rFonts w:hint="default" w:ascii="Times New Roman" w:hAnsi="Times New Roman" w:eastAsia="宋体" w:cs="Times New Roman"/>
    </w:rPr>
  </w:style>
  <w:style w:type="paragraph" w:styleId="705">
    <w:name w:val="Quote"/>
    <w:basedOn w:val="668"/>
    <w:next w:val="668"/>
    <w:uiPriority w:val="29"/>
    <w:qFormat/>
    <w:pPr>
      <w:ind w:left="720" w:right="720"/>
    </w:pPr>
    <w:rPr>
      <w:i/>
    </w:rPr>
  </w:style>
  <w:style w:type="paragraph" w:styleId="706">
    <w:name w:val="Intense Quote"/>
    <w:basedOn w:val="668"/>
    <w:next w:val="6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7" w:customStyle="1">
    <w:name w:val="TOC Heading"/>
    <w:uiPriority w:val="39"/>
    <w:unhideWhenUsed/>
    <w:qFormat/>
    <w:rPr>
      <w:rFonts w:hint="default" w:ascii="Times New Roman" w:hAnsi="Times New Roman" w:eastAsia="宋体" w:cs="Times New Roman"/>
    </w:rPr>
  </w:style>
  <w:style w:type="paragraph" w:styleId="708" w:customStyle="1">
    <w:name w:val="标题 11"/>
    <w:basedOn w:val="668"/>
    <w:next w:val="668"/>
    <w:link w:val="720"/>
    <w:uiPriority w:val="0"/>
    <w:qFormat/>
    <w:pPr>
      <w:keepLines/>
      <w:keepNext/>
      <w:spacing w:before="340" w:after="330" w:line="576" w:lineRule="auto"/>
      <w:outlineLvl w:val="0"/>
    </w:pPr>
    <w:rPr>
      <w:rFonts w:eastAsia="楷体_GB2312"/>
      <w:b/>
      <w:sz w:val="44"/>
      <w:szCs w:val="20"/>
    </w:rPr>
  </w:style>
  <w:style w:type="paragraph" w:styleId="709" w:customStyle="1">
    <w:name w:val="标题 21"/>
    <w:basedOn w:val="668"/>
    <w:next w:val="668"/>
    <w:link w:val="721"/>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0" w:customStyle="1">
    <w:name w:val="标题 31"/>
    <w:basedOn w:val="668"/>
    <w:next w:val="668"/>
    <w:link w:val="722"/>
    <w:uiPriority w:val="0"/>
    <w:qFormat/>
    <w:pPr>
      <w:jc w:val="left"/>
      <w:keepLines/>
      <w:keepNext/>
      <w:spacing w:before="260" w:after="260" w:line="415" w:lineRule="auto"/>
      <w:widowControl/>
      <w:outlineLvl w:val="2"/>
    </w:pPr>
    <w:rPr>
      <w:b/>
      <w:bCs/>
      <w:sz w:val="32"/>
      <w:szCs w:val="32"/>
    </w:rPr>
  </w:style>
  <w:style w:type="paragraph" w:styleId="711" w:customStyle="1">
    <w:name w:val="标题 41"/>
    <w:basedOn w:val="668"/>
    <w:next w:val="668"/>
    <w:link w:val="723"/>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2" w:customStyle="1">
    <w:name w:val="标题 51"/>
    <w:basedOn w:val="668"/>
    <w:next w:val="668"/>
    <w:link w:val="724"/>
    <w:uiPriority w:val="0"/>
    <w:qFormat/>
    <w:pPr>
      <w:jc w:val="left"/>
      <w:keepLines/>
      <w:keepNext/>
      <w:spacing w:before="280" w:after="290" w:line="374" w:lineRule="auto"/>
      <w:widowControl/>
      <w:outlineLvl w:val="4"/>
    </w:pPr>
    <w:rPr>
      <w:b/>
      <w:bCs/>
      <w:sz w:val="28"/>
      <w:szCs w:val="28"/>
    </w:rPr>
  </w:style>
  <w:style w:type="paragraph" w:styleId="713" w:customStyle="1">
    <w:name w:val="标题 61"/>
    <w:basedOn w:val="668"/>
    <w:next w:val="668"/>
    <w:link w:val="725"/>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4" w:customStyle="1">
    <w:name w:val="标题 71"/>
    <w:basedOn w:val="668"/>
    <w:next w:val="668"/>
    <w:link w:val="726"/>
    <w:uiPriority w:val="0"/>
    <w:qFormat/>
    <w:pPr>
      <w:jc w:val="left"/>
      <w:keepLines/>
      <w:keepNext/>
      <w:spacing w:before="240" w:after="64" w:line="319" w:lineRule="auto"/>
      <w:widowControl/>
      <w:outlineLvl w:val="6"/>
    </w:pPr>
    <w:rPr>
      <w:b/>
      <w:bCs/>
      <w:sz w:val="24"/>
      <w:szCs w:val="24"/>
    </w:rPr>
  </w:style>
  <w:style w:type="paragraph" w:styleId="715" w:customStyle="1">
    <w:name w:val="标题 81"/>
    <w:basedOn w:val="668"/>
    <w:next w:val="716"/>
    <w:link w:val="727"/>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6" w:customStyle="1">
    <w:name w:val="正文缩进1"/>
    <w:basedOn w:val="668"/>
    <w:link w:val="728"/>
    <w:uiPriority w:val="0"/>
    <w:unhideWhenUsed/>
    <w:qFormat/>
    <w:pPr>
      <w:ind w:firstLine="420"/>
      <w:jc w:val="left"/>
    </w:pPr>
    <w:rPr>
      <w:rFonts w:ascii="楷体_GB2312" w:eastAsia="楷体_GB2312"/>
      <w:sz w:val="24"/>
      <w:szCs w:val="20"/>
    </w:rPr>
  </w:style>
  <w:style w:type="paragraph" w:styleId="717" w:customStyle="1">
    <w:name w:val="标题 91"/>
    <w:basedOn w:val="668"/>
    <w:next w:val="716"/>
    <w:link w:val="729"/>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18" w:customStyle="1">
    <w:name w:val="默认段落字体1"/>
    <w:link w:val="668"/>
    <w:uiPriority w:val="1"/>
    <w:unhideWhenUsed/>
    <w:qFormat/>
  </w:style>
  <w:style w:type="table" w:styleId="719" w:customStyle="1">
    <w:name w:val="普通表格1"/>
    <w:uiPriority w:val="99"/>
    <w:unhideWhenUsed/>
    <w:qFormat/>
    <w:tblPr/>
  </w:style>
  <w:style w:type="character" w:styleId="720" w:customStyle="1">
    <w:name w:val="标题 1 Char1"/>
    <w:link w:val="708"/>
    <w:uiPriority w:val="0"/>
    <w:qFormat/>
    <w:rPr>
      <w:rFonts w:ascii="Times New Roman" w:hAnsi="Times New Roman" w:eastAsia="楷体_GB2312"/>
      <w:b/>
      <w:sz w:val="44"/>
    </w:rPr>
  </w:style>
  <w:style w:type="character" w:styleId="721" w:customStyle="1">
    <w:name w:val="标题 2 Char1"/>
    <w:link w:val="709"/>
    <w:uiPriority w:val="0"/>
    <w:semiHidden/>
    <w:qFormat/>
    <w:rPr>
      <w:rFonts w:ascii="等线 Light" w:hAnsi="等线 Light" w:eastAsia="等线 Light"/>
      <w:b/>
      <w:bCs/>
      <w:sz w:val="32"/>
      <w:szCs w:val="32"/>
    </w:rPr>
  </w:style>
  <w:style w:type="character" w:styleId="722" w:customStyle="1">
    <w:name w:val="标题 3 Char1"/>
    <w:link w:val="710"/>
    <w:uiPriority w:val="0"/>
    <w:qFormat/>
    <w:rPr>
      <w:rFonts w:ascii="Times New Roman" w:hAnsi="Times New Roman"/>
      <w:b/>
      <w:bCs/>
      <w:sz w:val="32"/>
      <w:szCs w:val="32"/>
    </w:rPr>
  </w:style>
  <w:style w:type="character" w:styleId="723" w:customStyle="1">
    <w:name w:val="标题 4 Char1"/>
    <w:link w:val="711"/>
    <w:uiPriority w:val="0"/>
    <w:semiHidden/>
    <w:qFormat/>
    <w:rPr>
      <w:rFonts w:ascii="宋体" w:hAnsi="宋体" w:eastAsia="等线"/>
      <w:b/>
      <w:bCs/>
      <w:sz w:val="24"/>
      <w:szCs w:val="24"/>
      <w:u w:val="single"/>
    </w:rPr>
  </w:style>
  <w:style w:type="character" w:styleId="724" w:customStyle="1">
    <w:name w:val="标题 5 Char1"/>
    <w:link w:val="712"/>
    <w:uiPriority w:val="0"/>
    <w:semiHidden/>
    <w:qFormat/>
    <w:rPr>
      <w:rFonts w:ascii="Times New Roman" w:hAnsi="Times New Roman"/>
      <w:b/>
      <w:bCs/>
      <w:sz w:val="28"/>
      <w:szCs w:val="28"/>
    </w:rPr>
  </w:style>
  <w:style w:type="character" w:styleId="725" w:customStyle="1">
    <w:name w:val="标题 6 Char1"/>
    <w:link w:val="713"/>
    <w:uiPriority w:val="0"/>
    <w:semiHidden/>
    <w:qFormat/>
    <w:rPr>
      <w:rFonts w:ascii="Arial" w:hAnsi="Arial" w:eastAsia="黑体"/>
      <w:b/>
      <w:bCs/>
      <w:sz w:val="24"/>
      <w:szCs w:val="24"/>
    </w:rPr>
  </w:style>
  <w:style w:type="character" w:styleId="726" w:customStyle="1">
    <w:name w:val="标题 7 Char1"/>
    <w:link w:val="714"/>
    <w:uiPriority w:val="0"/>
    <w:semiHidden/>
    <w:qFormat/>
    <w:rPr>
      <w:rFonts w:ascii="Times New Roman" w:hAnsi="Times New Roman"/>
      <w:b/>
      <w:bCs/>
      <w:sz w:val="24"/>
      <w:szCs w:val="24"/>
    </w:rPr>
  </w:style>
  <w:style w:type="character" w:styleId="727" w:customStyle="1">
    <w:name w:val="标题 8 Char"/>
    <w:link w:val="715"/>
    <w:uiPriority w:val="0"/>
    <w:qFormat/>
    <w:rPr>
      <w:rFonts w:ascii="Arial" w:hAnsi="Arial" w:eastAsia="黑体"/>
      <w:sz w:val="24"/>
    </w:rPr>
  </w:style>
  <w:style w:type="character" w:styleId="728" w:customStyle="1">
    <w:name w:val="正文缩进 Char1"/>
    <w:link w:val="716"/>
    <w:uiPriority w:val="0"/>
    <w:qFormat/>
    <w:rPr>
      <w:rFonts w:ascii="楷体_GB2312" w:eastAsia="楷体_GB2312"/>
      <w:sz w:val="24"/>
    </w:rPr>
  </w:style>
  <w:style w:type="character" w:styleId="729" w:customStyle="1">
    <w:name w:val="标题 9 Char"/>
    <w:link w:val="717"/>
    <w:uiPriority w:val="0"/>
    <w:qFormat/>
    <w:rPr>
      <w:rFonts w:ascii="Arial" w:hAnsi="Arial" w:eastAsia="黑体"/>
      <w:sz w:val="21"/>
    </w:rPr>
  </w:style>
  <w:style w:type="paragraph" w:styleId="730" w:customStyle="1">
    <w:name w:val="列表 31"/>
    <w:basedOn w:val="668"/>
    <w:uiPriority w:val="0"/>
    <w:qFormat/>
    <w:pPr>
      <w:contextualSpacing/>
      <w:ind w:left="100" w:hanging="200"/>
      <w:jc w:val="left"/>
      <w:spacing w:line="360" w:lineRule="auto"/>
    </w:pPr>
    <w:rPr>
      <w:rFonts w:ascii="宋体" w:hAnsi="宋体"/>
      <w:sz w:val="24"/>
      <w:szCs w:val="20"/>
    </w:rPr>
  </w:style>
  <w:style w:type="paragraph" w:styleId="731" w:customStyle="1">
    <w:name w:val="目录 71"/>
    <w:basedOn w:val="668"/>
    <w:next w:val="668"/>
    <w:uiPriority w:val="39"/>
    <w:unhideWhenUsed/>
    <w:qFormat/>
    <w:pPr>
      <w:ind w:left="1701"/>
      <w:spacing w:after="57"/>
    </w:pPr>
  </w:style>
  <w:style w:type="paragraph" w:styleId="732" w:customStyle="1">
    <w:name w:val="题注1"/>
    <w:basedOn w:val="668"/>
    <w:next w:val="668"/>
    <w:uiPriority w:val="0"/>
    <w:qFormat/>
    <w:pPr>
      <w:contextualSpacing/>
      <w:ind w:firstLine="200"/>
      <w:jc w:val="left"/>
      <w:spacing w:line="360" w:lineRule="auto"/>
      <w:widowControl/>
    </w:pPr>
    <w:rPr>
      <w:rFonts w:ascii="Cambria" w:hAnsi="Cambria" w:eastAsia="黑体"/>
      <w:sz w:val="20"/>
      <w:szCs w:val="20"/>
    </w:rPr>
  </w:style>
  <w:style w:type="paragraph" w:styleId="733" w:customStyle="1">
    <w:name w:val="文档结构图1"/>
    <w:basedOn w:val="668"/>
    <w:link w:val="734"/>
    <w:uiPriority w:val="0"/>
    <w:unhideWhenUsed/>
    <w:qFormat/>
    <w:pPr>
      <w:jc w:val="left"/>
      <w:shd w:val="clear" w:color="auto" w:fill="000080"/>
      <w:widowControl/>
    </w:pPr>
    <w:rPr>
      <w:sz w:val="24"/>
      <w:szCs w:val="24"/>
    </w:rPr>
  </w:style>
  <w:style w:type="character" w:styleId="734" w:customStyle="1">
    <w:name w:val="文档结构图 Char1"/>
    <w:link w:val="733"/>
    <w:uiPriority w:val="0"/>
    <w:qFormat/>
    <w:rPr>
      <w:rFonts w:ascii="Times New Roman" w:hAnsi="Times New Roman"/>
      <w:sz w:val="24"/>
      <w:szCs w:val="24"/>
      <w:shd w:val="clear" w:color="auto" w:fill="000080"/>
    </w:rPr>
  </w:style>
  <w:style w:type="paragraph" w:styleId="735" w:customStyle="1">
    <w:name w:val="批注文字1"/>
    <w:basedOn w:val="668"/>
    <w:link w:val="736"/>
    <w:uiPriority w:val="0"/>
    <w:unhideWhenUsed/>
    <w:qFormat/>
    <w:pPr>
      <w:jc w:val="left"/>
      <w:widowControl/>
    </w:pPr>
    <w:rPr>
      <w:sz w:val="24"/>
      <w:szCs w:val="24"/>
    </w:rPr>
  </w:style>
  <w:style w:type="character" w:styleId="736" w:customStyle="1">
    <w:name w:val="批注文字 Char1"/>
    <w:link w:val="735"/>
    <w:uiPriority w:val="0"/>
    <w:qFormat/>
    <w:rPr>
      <w:rFonts w:ascii="Times New Roman" w:hAnsi="Times New Roman"/>
      <w:sz w:val="24"/>
      <w:szCs w:val="24"/>
    </w:rPr>
  </w:style>
  <w:style w:type="paragraph" w:styleId="737" w:customStyle="1">
    <w:name w:val="正文文本 311"/>
    <w:basedOn w:val="668"/>
    <w:link w:val="738"/>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738" w:customStyle="1">
    <w:name w:val="正文文本 3 Char1"/>
    <w:link w:val="737"/>
    <w:uiPriority w:val="0"/>
    <w:qFormat/>
    <w:rPr>
      <w:rFonts w:ascii="楷体_GB2312" w:hAnsi="宋体" w:eastAsia="楷体_GB2312"/>
      <w:b/>
      <w:color w:val="000000"/>
      <w:sz w:val="30"/>
      <w:szCs w:val="24"/>
    </w:rPr>
  </w:style>
  <w:style w:type="paragraph" w:styleId="739" w:customStyle="1">
    <w:name w:val="正文文本11"/>
    <w:basedOn w:val="668"/>
    <w:link w:val="740"/>
    <w:uiPriority w:val="99"/>
    <w:qFormat/>
    <w:pPr>
      <w:jc w:val="left"/>
      <w:spacing w:line="360" w:lineRule="auto"/>
      <w:widowControl/>
    </w:pPr>
    <w:rPr>
      <w:sz w:val="24"/>
      <w:szCs w:val="20"/>
    </w:rPr>
  </w:style>
  <w:style w:type="character" w:styleId="740" w:customStyle="1">
    <w:name w:val="正文文本 Char1"/>
    <w:link w:val="739"/>
    <w:uiPriority w:val="99"/>
    <w:qFormat/>
    <w:rPr>
      <w:rFonts w:ascii="Times New Roman" w:hAnsi="Times New Roman"/>
      <w:sz w:val="24"/>
    </w:rPr>
  </w:style>
  <w:style w:type="character" w:styleId="741" w:customStyle="1">
    <w:name w:val="正文文本缩进 Char"/>
    <w:link w:val="702"/>
    <w:uiPriority w:val="0"/>
    <w:qFormat/>
    <w:rPr>
      <w:rFonts w:ascii="Times New Roman" w:hAnsi="Times New Roman"/>
      <w:spacing w:val="20"/>
      <w:sz w:val="21"/>
      <w:szCs w:val="24"/>
    </w:rPr>
  </w:style>
  <w:style w:type="paragraph" w:styleId="742" w:customStyle="1">
    <w:name w:val="列表 21"/>
    <w:basedOn w:val="668"/>
    <w:uiPriority w:val="0"/>
    <w:qFormat/>
    <w:pPr>
      <w:contextualSpacing/>
      <w:ind w:left="100" w:hanging="200"/>
      <w:jc w:val="left"/>
      <w:spacing w:line="360" w:lineRule="auto"/>
    </w:pPr>
    <w:rPr>
      <w:rFonts w:ascii="宋体" w:hAnsi="宋体"/>
      <w:sz w:val="24"/>
      <w:szCs w:val="24"/>
    </w:rPr>
  </w:style>
  <w:style w:type="paragraph" w:styleId="743" w:customStyle="1">
    <w:name w:val="文本块1"/>
    <w:basedOn w:val="668"/>
    <w:uiPriority w:val="0"/>
    <w:unhideWhenUsed/>
    <w:qFormat/>
    <w:pPr>
      <w:ind w:left="630" w:right="-609" w:firstLine="420"/>
      <w:spacing w:line="360" w:lineRule="auto"/>
    </w:pPr>
    <w:rPr>
      <w:rFonts w:ascii="仿宋_GB2312" w:eastAsia="仿宋_GB2312"/>
      <w:szCs w:val="20"/>
    </w:rPr>
  </w:style>
  <w:style w:type="paragraph" w:styleId="744" w:customStyle="1">
    <w:name w:val="目录 51"/>
    <w:basedOn w:val="668"/>
    <w:next w:val="668"/>
    <w:uiPriority w:val="39"/>
    <w:unhideWhenUsed/>
    <w:qFormat/>
    <w:pPr>
      <w:ind w:left="1134"/>
      <w:spacing w:after="57"/>
    </w:pPr>
  </w:style>
  <w:style w:type="paragraph" w:styleId="745" w:customStyle="1">
    <w:name w:val="目录 31"/>
    <w:basedOn w:val="668"/>
    <w:next w:val="668"/>
    <w:uiPriority w:val="39"/>
    <w:unhideWhenUsed/>
    <w:qFormat/>
    <w:pPr>
      <w:ind w:left="567"/>
      <w:spacing w:after="57"/>
    </w:pPr>
  </w:style>
  <w:style w:type="paragraph" w:styleId="746" w:customStyle="1">
    <w:name w:val="纯文本111"/>
    <w:basedOn w:val="668"/>
    <w:link w:val="747"/>
    <w:uiPriority w:val="0"/>
    <w:qFormat/>
    <w:rPr>
      <w:rFonts w:ascii="宋体" w:hAnsi="Courier New" w:eastAsia="楷体_GB2312"/>
      <w:sz w:val="26"/>
      <w:szCs w:val="20"/>
    </w:rPr>
  </w:style>
  <w:style w:type="character" w:styleId="747" w:customStyle="1">
    <w:name w:val="纯文本 Char1"/>
    <w:link w:val="746"/>
    <w:uiPriority w:val="0"/>
    <w:qFormat/>
    <w:rPr>
      <w:rFonts w:ascii="宋体" w:hAnsi="Courier New" w:eastAsia="楷体_GB2312"/>
      <w:sz w:val="26"/>
    </w:rPr>
  </w:style>
  <w:style w:type="paragraph" w:styleId="748" w:customStyle="1">
    <w:name w:val="目录 81"/>
    <w:basedOn w:val="668"/>
    <w:next w:val="668"/>
    <w:uiPriority w:val="39"/>
    <w:unhideWhenUsed/>
    <w:qFormat/>
    <w:pPr>
      <w:ind w:left="1984"/>
      <w:spacing w:after="57"/>
    </w:pPr>
  </w:style>
  <w:style w:type="paragraph" w:styleId="749" w:customStyle="1">
    <w:name w:val="日期1"/>
    <w:basedOn w:val="668"/>
    <w:next w:val="668"/>
    <w:link w:val="750"/>
    <w:uiPriority w:val="99"/>
    <w:unhideWhenUsed/>
    <w:qFormat/>
    <w:pPr>
      <w:ind w:left="100"/>
    </w:pPr>
    <w:rPr>
      <w:b/>
      <w:bCs/>
      <w:spacing w:val="20"/>
      <w:szCs w:val="24"/>
    </w:rPr>
  </w:style>
  <w:style w:type="character" w:styleId="750" w:customStyle="1">
    <w:name w:val="日期 Char1"/>
    <w:link w:val="749"/>
    <w:uiPriority w:val="99"/>
    <w:qFormat/>
    <w:rPr>
      <w:rFonts w:ascii="Times New Roman" w:hAnsi="Times New Roman"/>
      <w:b/>
      <w:bCs/>
      <w:spacing w:val="20"/>
      <w:sz w:val="21"/>
      <w:szCs w:val="24"/>
    </w:rPr>
  </w:style>
  <w:style w:type="paragraph" w:styleId="751" w:customStyle="1">
    <w:name w:val="正文文本缩进 21"/>
    <w:basedOn w:val="668"/>
    <w:link w:val="752"/>
    <w:uiPriority w:val="0"/>
    <w:unhideWhenUsed/>
    <w:qFormat/>
    <w:pPr>
      <w:ind w:firstLine="460"/>
      <w:jc w:val="left"/>
      <w:spacing w:line="360" w:lineRule="auto"/>
      <w:widowControl/>
    </w:pPr>
    <w:rPr>
      <w:spacing w:val="20"/>
      <w:szCs w:val="24"/>
    </w:rPr>
  </w:style>
  <w:style w:type="character" w:styleId="752" w:customStyle="1">
    <w:name w:val="正文文本缩进 2 Char"/>
    <w:link w:val="751"/>
    <w:uiPriority w:val="0"/>
    <w:qFormat/>
    <w:rPr>
      <w:rFonts w:ascii="Times New Roman" w:hAnsi="Times New Roman"/>
      <w:spacing w:val="20"/>
      <w:sz w:val="21"/>
      <w:szCs w:val="24"/>
    </w:rPr>
  </w:style>
  <w:style w:type="paragraph" w:styleId="753" w:customStyle="1">
    <w:name w:val="尾注文本1"/>
    <w:basedOn w:val="668"/>
    <w:link w:val="754"/>
    <w:uiPriority w:val="99"/>
    <w:unhideWhenUsed/>
    <w:qFormat/>
    <w:rPr>
      <w:sz w:val="20"/>
    </w:rPr>
  </w:style>
  <w:style w:type="character" w:styleId="754" w:customStyle="1">
    <w:name w:val="尾注文本 Char"/>
    <w:link w:val="753"/>
    <w:uiPriority w:val="99"/>
    <w:qFormat/>
    <w:rPr>
      <w:sz w:val="20"/>
    </w:rPr>
  </w:style>
  <w:style w:type="paragraph" w:styleId="755" w:customStyle="1">
    <w:name w:val="批注框文本1"/>
    <w:basedOn w:val="668"/>
    <w:link w:val="756"/>
    <w:uiPriority w:val="99"/>
    <w:unhideWhenUsed/>
    <w:qFormat/>
    <w:pPr>
      <w:jc w:val="left"/>
      <w:widowControl/>
    </w:pPr>
    <w:rPr>
      <w:sz w:val="18"/>
      <w:szCs w:val="18"/>
    </w:rPr>
  </w:style>
  <w:style w:type="character" w:styleId="756" w:customStyle="1">
    <w:name w:val="批注框文本 Char1"/>
    <w:link w:val="755"/>
    <w:uiPriority w:val="99"/>
    <w:qFormat/>
    <w:rPr>
      <w:rFonts w:ascii="Times New Roman" w:hAnsi="Times New Roman"/>
      <w:sz w:val="18"/>
      <w:szCs w:val="18"/>
    </w:rPr>
  </w:style>
  <w:style w:type="paragraph" w:styleId="757" w:customStyle="1">
    <w:name w:val="页脚1"/>
    <w:basedOn w:val="668"/>
    <w:link w:val="758"/>
    <w:uiPriority w:val="99"/>
    <w:unhideWhenUsed/>
    <w:qFormat/>
    <w:pPr>
      <w:jc w:val="left"/>
      <w:tabs>
        <w:tab w:val="center" w:pos="4153" w:leader="none"/>
        <w:tab w:val="right" w:pos="8306" w:leader="none"/>
      </w:tabs>
    </w:pPr>
    <w:rPr>
      <w:sz w:val="18"/>
      <w:szCs w:val="18"/>
    </w:rPr>
  </w:style>
  <w:style w:type="character" w:styleId="758" w:customStyle="1">
    <w:name w:val="页脚 Char1"/>
    <w:link w:val="757"/>
    <w:uiPriority w:val="99"/>
    <w:qFormat/>
    <w:rPr>
      <w:rFonts w:ascii="Times New Roman" w:hAnsi="Times New Roman"/>
      <w:sz w:val="18"/>
      <w:szCs w:val="18"/>
    </w:rPr>
  </w:style>
  <w:style w:type="paragraph" w:styleId="759" w:customStyle="1">
    <w:name w:val="页眉1"/>
    <w:basedOn w:val="668"/>
    <w:link w:val="760"/>
    <w:uiPriority w:val="99"/>
    <w:unhideWhenUsed/>
    <w:qFormat/>
    <w:pPr>
      <w:jc w:val="center"/>
      <w:tabs>
        <w:tab w:val="center" w:pos="4153" w:leader="none"/>
        <w:tab w:val="right" w:pos="8306" w:leader="none"/>
      </w:tabs>
    </w:pPr>
    <w:rPr>
      <w:sz w:val="18"/>
      <w:szCs w:val="18"/>
    </w:rPr>
  </w:style>
  <w:style w:type="character" w:styleId="760" w:customStyle="1">
    <w:name w:val="页眉 Char1"/>
    <w:link w:val="759"/>
    <w:uiPriority w:val="99"/>
    <w:qFormat/>
    <w:rPr>
      <w:rFonts w:ascii="Times New Roman" w:hAnsi="Times New Roman"/>
      <w:sz w:val="18"/>
      <w:szCs w:val="18"/>
    </w:rPr>
  </w:style>
  <w:style w:type="paragraph" w:styleId="761" w:customStyle="1">
    <w:name w:val="目录 11"/>
    <w:basedOn w:val="668"/>
    <w:next w:val="668"/>
    <w:uiPriority w:val="39"/>
    <w:unhideWhenUsed/>
    <w:qFormat/>
  </w:style>
  <w:style w:type="paragraph" w:styleId="762" w:customStyle="1">
    <w:name w:val="目录 41"/>
    <w:basedOn w:val="668"/>
    <w:next w:val="668"/>
    <w:uiPriority w:val="39"/>
    <w:unhideWhenUsed/>
    <w:qFormat/>
    <w:pPr>
      <w:ind w:left="850"/>
      <w:spacing w:after="57"/>
    </w:pPr>
  </w:style>
  <w:style w:type="paragraph" w:styleId="763" w:customStyle="1">
    <w:name w:val="副标题1"/>
    <w:basedOn w:val="668"/>
    <w:next w:val="668"/>
    <w:link w:val="764"/>
    <w:uiPriority w:val="0"/>
    <w:qFormat/>
    <w:pPr>
      <w:ind w:left="1920" w:right="1920"/>
      <w:jc w:val="left"/>
      <w:keepLines/>
      <w:keepNext/>
      <w:spacing w:line="480" w:lineRule="auto"/>
      <w:widowControl/>
    </w:pPr>
    <w:rPr>
      <w:sz w:val="24"/>
      <w:szCs w:val="24"/>
    </w:rPr>
  </w:style>
  <w:style w:type="character" w:styleId="764" w:customStyle="1">
    <w:name w:val="副标题 Char1"/>
    <w:link w:val="763"/>
    <w:uiPriority w:val="0"/>
    <w:qFormat/>
    <w:rPr>
      <w:rFonts w:ascii="Times New Roman" w:hAnsi="Times New Roman" w:cs="宋体"/>
      <w:sz w:val="24"/>
      <w:szCs w:val="24"/>
    </w:rPr>
  </w:style>
  <w:style w:type="paragraph" w:styleId="765" w:customStyle="1">
    <w:name w:val="列表1"/>
    <w:basedOn w:val="668"/>
    <w:uiPriority w:val="0"/>
    <w:qFormat/>
    <w:pPr>
      <w:contextualSpacing/>
      <w:ind w:left="200" w:hanging="200"/>
      <w:jc w:val="left"/>
      <w:spacing w:line="360" w:lineRule="auto"/>
    </w:pPr>
    <w:rPr>
      <w:rFonts w:ascii="宋体" w:hAnsi="宋体"/>
      <w:sz w:val="24"/>
      <w:szCs w:val="24"/>
    </w:rPr>
  </w:style>
  <w:style w:type="paragraph" w:styleId="766" w:customStyle="1">
    <w:name w:val="脚注文本1"/>
    <w:basedOn w:val="668"/>
    <w:link w:val="767"/>
    <w:uiPriority w:val="0"/>
    <w:unhideWhenUsed/>
    <w:qFormat/>
    <w:pPr>
      <w:contextualSpacing/>
      <w:jc w:val="left"/>
    </w:pPr>
    <w:rPr>
      <w:sz w:val="18"/>
      <w:szCs w:val="18"/>
    </w:rPr>
  </w:style>
  <w:style w:type="character" w:styleId="767" w:customStyle="1">
    <w:name w:val="脚注文本 Char"/>
    <w:link w:val="766"/>
    <w:uiPriority w:val="0"/>
    <w:qFormat/>
    <w:rPr>
      <w:rFonts w:ascii="Times New Roman" w:hAnsi="Times New Roman"/>
      <w:sz w:val="18"/>
      <w:szCs w:val="18"/>
    </w:rPr>
  </w:style>
  <w:style w:type="paragraph" w:styleId="768" w:customStyle="1">
    <w:name w:val="目录 61"/>
    <w:basedOn w:val="668"/>
    <w:next w:val="668"/>
    <w:uiPriority w:val="0"/>
    <w:unhideWhenUsed/>
    <w:qFormat/>
    <w:pPr>
      <w:ind w:left="1050"/>
    </w:pPr>
    <w:rPr>
      <w:rFonts w:ascii="Calibri" w:hAnsi="Calibri" w:cs="Calibri"/>
      <w:sz w:val="18"/>
      <w:szCs w:val="18"/>
    </w:rPr>
  </w:style>
  <w:style w:type="paragraph" w:styleId="769" w:customStyle="1">
    <w:name w:val="列表 51"/>
    <w:basedOn w:val="668"/>
    <w:uiPriority w:val="0"/>
    <w:qFormat/>
    <w:pPr>
      <w:contextualSpacing/>
      <w:ind w:left="100" w:hanging="200"/>
      <w:jc w:val="left"/>
      <w:spacing w:line="360" w:lineRule="auto"/>
    </w:pPr>
    <w:rPr>
      <w:rFonts w:ascii="宋体" w:hAnsi="宋体"/>
      <w:sz w:val="24"/>
      <w:szCs w:val="20"/>
    </w:rPr>
  </w:style>
  <w:style w:type="paragraph" w:styleId="770" w:customStyle="1">
    <w:name w:val="正文文本缩进 31"/>
    <w:basedOn w:val="668"/>
    <w:link w:val="771"/>
    <w:uiPriority w:val="99"/>
    <w:qFormat/>
    <w:pPr>
      <w:ind w:left="420"/>
      <w:spacing w:after="120"/>
    </w:pPr>
    <w:rPr>
      <w:rFonts w:eastAsia="楷体_GB2312"/>
      <w:sz w:val="16"/>
      <w:szCs w:val="16"/>
    </w:rPr>
  </w:style>
  <w:style w:type="character" w:styleId="771" w:customStyle="1">
    <w:name w:val="正文文本缩进 3 Char"/>
    <w:link w:val="770"/>
    <w:uiPriority w:val="99"/>
    <w:qFormat/>
    <w:rPr>
      <w:rFonts w:ascii="Times New Roman" w:hAnsi="Times New Roman" w:eastAsia="楷体_GB2312"/>
      <w:sz w:val="16"/>
      <w:szCs w:val="16"/>
    </w:rPr>
  </w:style>
  <w:style w:type="paragraph" w:styleId="772" w:customStyle="1">
    <w:name w:val="图表目录1"/>
    <w:basedOn w:val="668"/>
    <w:next w:val="668"/>
    <w:uiPriority w:val="99"/>
    <w:unhideWhenUsed/>
    <w:qFormat/>
  </w:style>
  <w:style w:type="paragraph" w:styleId="773" w:customStyle="1">
    <w:name w:val="目录 21"/>
    <w:basedOn w:val="668"/>
    <w:next w:val="668"/>
    <w:uiPriority w:val="39"/>
    <w:unhideWhenUsed/>
    <w:qFormat/>
    <w:pPr>
      <w:ind w:left="283"/>
      <w:spacing w:after="57"/>
    </w:pPr>
  </w:style>
  <w:style w:type="paragraph" w:styleId="774" w:customStyle="1">
    <w:name w:val="目录 91"/>
    <w:basedOn w:val="668"/>
    <w:next w:val="668"/>
    <w:uiPriority w:val="39"/>
    <w:unhideWhenUsed/>
    <w:qFormat/>
    <w:pPr>
      <w:ind w:left="2268"/>
      <w:spacing w:after="57"/>
    </w:pPr>
  </w:style>
  <w:style w:type="paragraph" w:styleId="775" w:customStyle="1">
    <w:name w:val="正文文本 21"/>
    <w:basedOn w:val="668"/>
    <w:link w:val="776"/>
    <w:uiPriority w:val="0"/>
    <w:unhideWhenUsed/>
    <w:qFormat/>
    <w:pPr>
      <w:jc w:val="left"/>
      <w:spacing w:after="120" w:line="480" w:lineRule="auto"/>
      <w:widowControl/>
    </w:pPr>
    <w:rPr>
      <w:sz w:val="24"/>
      <w:szCs w:val="24"/>
    </w:rPr>
  </w:style>
  <w:style w:type="character" w:styleId="776" w:customStyle="1">
    <w:name w:val="正文文本 2 Char1"/>
    <w:link w:val="775"/>
    <w:uiPriority w:val="0"/>
    <w:qFormat/>
    <w:rPr>
      <w:rFonts w:ascii="Times New Roman" w:hAnsi="Times New Roman"/>
      <w:sz w:val="24"/>
      <w:szCs w:val="24"/>
    </w:rPr>
  </w:style>
  <w:style w:type="paragraph" w:styleId="777" w:customStyle="1">
    <w:name w:val="列表 41"/>
    <w:basedOn w:val="668"/>
    <w:uiPriority w:val="0"/>
    <w:qFormat/>
    <w:pPr>
      <w:contextualSpacing/>
      <w:ind w:left="100" w:hanging="200"/>
      <w:jc w:val="left"/>
      <w:spacing w:line="360" w:lineRule="auto"/>
    </w:pPr>
    <w:rPr>
      <w:rFonts w:ascii="宋体" w:hAnsi="宋体"/>
      <w:sz w:val="24"/>
      <w:szCs w:val="20"/>
    </w:rPr>
  </w:style>
  <w:style w:type="paragraph" w:styleId="778" w:customStyle="1">
    <w:name w:val="HTML 预设格式1"/>
    <w:basedOn w:val="668"/>
    <w:link w:val="779"/>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79" w:customStyle="1">
    <w:name w:val="HTML 预设格式 Char"/>
    <w:link w:val="778"/>
    <w:uiPriority w:val="0"/>
    <w:qFormat/>
    <w:rPr>
      <w:rFonts w:ascii="宋体" w:hAnsi="宋体" w:cs="宋体"/>
      <w:sz w:val="24"/>
      <w:szCs w:val="24"/>
    </w:rPr>
  </w:style>
  <w:style w:type="paragraph" w:styleId="780" w:customStyle="1">
    <w:name w:val="普通(网站)1"/>
    <w:basedOn w:val="668"/>
    <w:uiPriority w:val="0"/>
    <w:qFormat/>
    <w:pPr>
      <w:contextualSpacing/>
      <w:ind w:firstLine="200"/>
      <w:jc w:val="left"/>
      <w:spacing w:line="360" w:lineRule="auto"/>
      <w:widowControl/>
    </w:pPr>
    <w:rPr>
      <w:rFonts w:ascii="ˎ̥" w:hAnsi="ˎ̥" w:cs="宋体"/>
      <w:color w:val="000000"/>
      <w:sz w:val="13"/>
      <w:szCs w:val="13"/>
    </w:rPr>
  </w:style>
  <w:style w:type="paragraph" w:styleId="781" w:customStyle="1">
    <w:name w:val="索引 11"/>
    <w:basedOn w:val="668"/>
    <w:next w:val="668"/>
    <w:uiPriority w:val="0"/>
    <w:qFormat/>
    <w:pPr>
      <w:contextualSpacing/>
      <w:ind w:firstLine="200"/>
      <w:jc w:val="center"/>
      <w:spacing w:line="360" w:lineRule="auto"/>
      <w:widowControl/>
    </w:pPr>
    <w:rPr>
      <w:rFonts w:ascii="Arial" w:hAnsi="Arial" w:cs="Arial"/>
      <w:sz w:val="24"/>
      <w:szCs w:val="24"/>
    </w:rPr>
  </w:style>
  <w:style w:type="paragraph" w:styleId="782" w:customStyle="1">
    <w:name w:val="标题1"/>
    <w:basedOn w:val="668"/>
    <w:next w:val="668"/>
    <w:link w:val="783"/>
    <w:uiPriority w:val="0"/>
    <w:qFormat/>
    <w:pPr>
      <w:jc w:val="center"/>
      <w:spacing w:before="240" w:after="60"/>
      <w:widowControl/>
      <w:outlineLvl w:val="0"/>
    </w:pPr>
    <w:rPr>
      <w:rFonts w:ascii="Cambria" w:hAnsi="Cambria"/>
      <w:b/>
      <w:bCs/>
      <w:sz w:val="32"/>
      <w:szCs w:val="32"/>
    </w:rPr>
  </w:style>
  <w:style w:type="character" w:styleId="783" w:customStyle="1">
    <w:name w:val="标题 Char1"/>
    <w:link w:val="782"/>
    <w:uiPriority w:val="0"/>
    <w:qFormat/>
    <w:rPr>
      <w:rFonts w:ascii="Cambria" w:hAnsi="Cambria"/>
      <w:b/>
      <w:bCs/>
      <w:sz w:val="32"/>
      <w:szCs w:val="32"/>
    </w:rPr>
  </w:style>
  <w:style w:type="paragraph" w:styleId="784" w:customStyle="1">
    <w:name w:val="批注主题1"/>
    <w:basedOn w:val="735"/>
    <w:next w:val="735"/>
    <w:link w:val="785"/>
    <w:uiPriority w:val="0"/>
    <w:unhideWhenUsed/>
    <w:qFormat/>
    <w:rPr>
      <w:b/>
      <w:bCs/>
    </w:rPr>
  </w:style>
  <w:style w:type="character" w:styleId="785" w:customStyle="1">
    <w:name w:val="批注主题 Char"/>
    <w:link w:val="784"/>
    <w:uiPriority w:val="0"/>
    <w:qFormat/>
    <w:rPr>
      <w:rFonts w:ascii="Times New Roman" w:hAnsi="Times New Roman"/>
      <w:b/>
      <w:bCs/>
      <w:sz w:val="24"/>
      <w:szCs w:val="24"/>
    </w:rPr>
  </w:style>
  <w:style w:type="paragraph" w:styleId="786" w:customStyle="1">
    <w:name w:val="正文首行缩进1"/>
    <w:basedOn w:val="739"/>
    <w:next w:val="768"/>
    <w:link w:val="787"/>
    <w:uiPriority w:val="99"/>
    <w:unhideWhenUsed/>
    <w:qFormat/>
    <w:pPr>
      <w:ind w:firstLine="420"/>
      <w:jc w:val="both"/>
      <w:spacing w:after="120" w:line="240" w:lineRule="auto"/>
      <w:widowControl w:val="off"/>
    </w:pPr>
    <w:rPr>
      <w:sz w:val="21"/>
      <w:szCs w:val="22"/>
    </w:rPr>
  </w:style>
  <w:style w:type="character" w:styleId="787" w:customStyle="1">
    <w:name w:val="正文首行缩进 Char"/>
    <w:link w:val="786"/>
    <w:uiPriority w:val="99"/>
    <w:semiHidden/>
    <w:qFormat/>
    <w:rPr>
      <w:rFonts w:ascii="Times New Roman" w:hAnsi="Times New Roman"/>
      <w:sz w:val="21"/>
      <w:szCs w:val="22"/>
    </w:rPr>
  </w:style>
  <w:style w:type="paragraph" w:styleId="788" w:customStyle="1">
    <w:name w:val="正文首行缩进 21"/>
    <w:basedOn w:val="702"/>
    <w:link w:val="789"/>
    <w:uiPriority w:val="99"/>
    <w:unhideWhenUsed/>
    <w:qFormat/>
    <w:pPr>
      <w:ind w:left="420" w:right="0" w:firstLine="420"/>
      <w:jc w:val="left"/>
      <w:spacing w:after="120" w:line="240" w:lineRule="auto"/>
      <w:widowControl/>
    </w:pPr>
    <w:rPr>
      <w:sz w:val="24"/>
    </w:rPr>
  </w:style>
  <w:style w:type="character" w:styleId="789" w:customStyle="1">
    <w:name w:val="正文首行缩进 2 Char"/>
    <w:link w:val="788"/>
    <w:uiPriority w:val="99"/>
    <w:qFormat/>
    <w:rPr>
      <w:rFonts w:ascii="Times New Roman" w:hAnsi="Times New Roman"/>
      <w:spacing w:val="20"/>
      <w:sz w:val="24"/>
      <w:szCs w:val="24"/>
    </w:rPr>
  </w:style>
  <w:style w:type="table" w:styleId="790" w:customStyle="1">
    <w:name w:val="网格型11"/>
    <w:basedOn w:val="719"/>
    <w:uiPriority w:val="39"/>
    <w:qFormat/>
    <w:pPr>
      <w:jc w:val="both"/>
      <w:widowControl w:val="off"/>
    </w:pPr>
    <w:tblPr/>
  </w:style>
  <w:style w:type="character" w:styleId="791" w:customStyle="1">
    <w:name w:val="要点1"/>
    <w:link w:val="668"/>
    <w:uiPriority w:val="0"/>
    <w:qFormat/>
    <w:rPr>
      <w:b/>
    </w:rPr>
  </w:style>
  <w:style w:type="character" w:styleId="792" w:customStyle="1">
    <w:name w:val="尾注引用1"/>
    <w:link w:val="668"/>
    <w:uiPriority w:val="99"/>
    <w:unhideWhenUsed/>
    <w:qFormat/>
    <w:rPr>
      <w:vertAlign w:val="superscript"/>
    </w:rPr>
  </w:style>
  <w:style w:type="character" w:styleId="793" w:customStyle="1">
    <w:name w:val="页码1"/>
    <w:link w:val="668"/>
    <w:uiPriority w:val="0"/>
    <w:unhideWhenUsed/>
    <w:qFormat/>
  </w:style>
  <w:style w:type="character" w:styleId="794" w:customStyle="1">
    <w:name w:val="已访问的超链接1"/>
    <w:link w:val="668"/>
    <w:uiPriority w:val="99"/>
    <w:unhideWhenUsed/>
    <w:qFormat/>
    <w:rPr>
      <w:color w:val="800080"/>
      <w:u w:val="single"/>
    </w:rPr>
  </w:style>
  <w:style w:type="character" w:styleId="795" w:customStyle="1">
    <w:name w:val="强调1"/>
    <w:link w:val="668"/>
    <w:uiPriority w:val="0"/>
    <w:qFormat/>
    <w:rPr>
      <w:color w:val="cc0033"/>
    </w:rPr>
  </w:style>
  <w:style w:type="character" w:styleId="796" w:customStyle="1">
    <w:name w:val="超链接1"/>
    <w:link w:val="668"/>
    <w:uiPriority w:val="99"/>
    <w:unhideWhenUsed/>
    <w:qFormat/>
    <w:rPr>
      <w:color w:val="0000ff"/>
      <w:u w:val="single"/>
    </w:rPr>
  </w:style>
  <w:style w:type="character" w:styleId="797" w:customStyle="1">
    <w:name w:val="批注引用1"/>
    <w:link w:val="668"/>
    <w:uiPriority w:val="0"/>
    <w:unhideWhenUsed/>
    <w:qFormat/>
    <w:rPr>
      <w:sz w:val="21"/>
      <w:szCs w:val="21"/>
    </w:rPr>
  </w:style>
  <w:style w:type="character" w:styleId="798" w:customStyle="1">
    <w:name w:val="脚注引用1"/>
    <w:link w:val="668"/>
    <w:uiPriority w:val="0"/>
    <w:unhideWhenUsed/>
    <w:qFormat/>
    <w:rPr>
      <w:rFonts w:cs="Times New Roman"/>
      <w:vertAlign w:val="superscript"/>
    </w:rPr>
  </w:style>
  <w:style w:type="character" w:styleId="799" w:customStyle="1">
    <w:name w:val="标题 1 Char"/>
    <w:link w:val="668"/>
    <w:uiPriority w:val="0"/>
    <w:qFormat/>
    <w:rPr>
      <w:rFonts w:ascii="宋体" w:hAnsi="宋体"/>
      <w:b/>
      <w:color w:val="000000"/>
      <w:sz w:val="36"/>
      <w:szCs w:val="24"/>
    </w:rPr>
  </w:style>
  <w:style w:type="character" w:styleId="800" w:customStyle="1">
    <w:name w:val="Quote Char"/>
    <w:link w:val="668"/>
    <w:uiPriority w:val="29"/>
    <w:qFormat/>
    <w:rPr>
      <w:i/>
    </w:rPr>
  </w:style>
  <w:style w:type="character" w:styleId="801" w:customStyle="1">
    <w:name w:val="Intense Quote Char"/>
    <w:link w:val="668"/>
    <w:uiPriority w:val="30"/>
    <w:qFormat/>
    <w:rPr>
      <w:i/>
    </w:rPr>
  </w:style>
  <w:style w:type="table" w:styleId="802" w:customStyle="1">
    <w:name w:val="Plain Table 1"/>
    <w:basedOn w:val="719"/>
    <w:uiPriority w:val="59"/>
    <w:qFormat/>
    <w:tblPr/>
  </w:style>
  <w:style w:type="table" w:styleId="803" w:customStyle="1">
    <w:name w:val="Plain Table 2"/>
    <w:basedOn w:val="719"/>
    <w:uiPriority w:val="59"/>
    <w:qFormat/>
    <w:tblPr/>
  </w:style>
  <w:style w:type="table" w:styleId="804" w:customStyle="1">
    <w:name w:val="Plain Table 3"/>
    <w:basedOn w:val="719"/>
    <w:uiPriority w:val="99"/>
    <w:qFormat/>
    <w:tblPr/>
  </w:style>
  <w:style w:type="table" w:styleId="805" w:customStyle="1">
    <w:name w:val="Plain Table 4"/>
    <w:basedOn w:val="719"/>
    <w:uiPriority w:val="99"/>
    <w:qFormat/>
    <w:tblPr/>
  </w:style>
  <w:style w:type="table" w:styleId="806" w:customStyle="1">
    <w:name w:val="Plain Table 5"/>
    <w:basedOn w:val="719"/>
    <w:uiPriority w:val="99"/>
    <w:qFormat/>
    <w:tblPr/>
  </w:style>
  <w:style w:type="table" w:styleId="807" w:customStyle="1">
    <w:name w:val="Grid Table 1 Light"/>
    <w:basedOn w:val="719"/>
    <w:uiPriority w:val="99"/>
    <w:qFormat/>
    <w:tblPr/>
  </w:style>
  <w:style w:type="table" w:styleId="808" w:customStyle="1">
    <w:name w:val="Grid Table 2"/>
    <w:basedOn w:val="719"/>
    <w:uiPriority w:val="99"/>
    <w:qFormat/>
    <w:tblPr/>
  </w:style>
  <w:style w:type="table" w:styleId="809" w:customStyle="1">
    <w:name w:val="Grid Table 3"/>
    <w:basedOn w:val="719"/>
    <w:uiPriority w:val="99"/>
    <w:qFormat/>
    <w:tblPr/>
  </w:style>
  <w:style w:type="table" w:styleId="810" w:customStyle="1">
    <w:name w:val="Grid Table 4"/>
    <w:basedOn w:val="719"/>
    <w:uiPriority w:val="59"/>
    <w:qFormat/>
    <w:tblPr/>
  </w:style>
  <w:style w:type="table" w:styleId="811" w:customStyle="1">
    <w:name w:val="Grid Table 5 Dark"/>
    <w:basedOn w:val="719"/>
    <w:uiPriority w:val="99"/>
    <w:qFormat/>
    <w:tblPr/>
  </w:style>
  <w:style w:type="table" w:styleId="812" w:customStyle="1">
    <w:name w:val="Grid Table 6 Colorful"/>
    <w:basedOn w:val="719"/>
    <w:uiPriority w:val="99"/>
    <w:qFormat/>
    <w:tblPr/>
  </w:style>
  <w:style w:type="table" w:styleId="813" w:customStyle="1">
    <w:name w:val="Grid Table 7 Colorful"/>
    <w:basedOn w:val="719"/>
    <w:uiPriority w:val="99"/>
    <w:qFormat/>
    <w:tblPr/>
  </w:style>
  <w:style w:type="table" w:styleId="814" w:customStyle="1">
    <w:name w:val="List Table 1 Light"/>
    <w:basedOn w:val="719"/>
    <w:uiPriority w:val="99"/>
    <w:qFormat/>
    <w:tblPr/>
  </w:style>
  <w:style w:type="table" w:styleId="815" w:customStyle="1">
    <w:name w:val="List Table 2"/>
    <w:basedOn w:val="719"/>
    <w:uiPriority w:val="99"/>
    <w:qFormat/>
    <w:tblPr/>
  </w:style>
  <w:style w:type="table" w:styleId="816" w:customStyle="1">
    <w:name w:val="List Table 3"/>
    <w:basedOn w:val="719"/>
    <w:uiPriority w:val="99"/>
    <w:qFormat/>
    <w:tblPr/>
  </w:style>
  <w:style w:type="table" w:styleId="817" w:customStyle="1">
    <w:name w:val="List Table 4"/>
    <w:basedOn w:val="719"/>
    <w:uiPriority w:val="99"/>
    <w:qFormat/>
    <w:tblPr/>
  </w:style>
  <w:style w:type="table" w:styleId="818" w:customStyle="1">
    <w:name w:val="List Table 5 Dark"/>
    <w:basedOn w:val="719"/>
    <w:uiPriority w:val="99"/>
    <w:qFormat/>
    <w:tblPr/>
  </w:style>
  <w:style w:type="table" w:styleId="819" w:customStyle="1">
    <w:name w:val="List Table 6 Colorful"/>
    <w:basedOn w:val="719"/>
    <w:uiPriority w:val="99"/>
    <w:qFormat/>
    <w:tblPr/>
  </w:style>
  <w:style w:type="table" w:styleId="820" w:customStyle="1">
    <w:name w:val="List Table 7 Colorful"/>
    <w:basedOn w:val="719"/>
    <w:uiPriority w:val="99"/>
    <w:qFormat/>
    <w:tblPr/>
  </w:style>
  <w:style w:type="character" w:styleId="821" w:customStyle="1">
    <w:name w:val="Endnote Text Char"/>
    <w:link w:val="668"/>
    <w:uiPriority w:val="99"/>
    <w:qFormat/>
    <w:rPr>
      <w:sz w:val="20"/>
    </w:rPr>
  </w:style>
  <w:style w:type="paragraph" w:styleId="822" w:customStyle="1">
    <w:name w:val="TOC 标题1"/>
    <w:uiPriority w:val="39"/>
    <w:unhideWhenUsed/>
    <w:qFormat/>
    <w:rPr>
      <w:rFonts w:hint="default" w:ascii="Times New Roman" w:hAnsi="Times New Roman" w:eastAsia="宋体" w:cs="Times New Roman"/>
      <w:lang w:val="en-US" w:eastAsia="zh-CN" w:bidi="ar-SA"/>
    </w:rPr>
  </w:style>
  <w:style w:type="character" w:styleId="823" w:customStyle="1">
    <w:name w:val="Heading 1 Char"/>
    <w:link w:val="668"/>
    <w:uiPriority w:val="9"/>
    <w:qFormat/>
    <w:rPr>
      <w:rFonts w:ascii="Arial" w:hAnsi="Arial" w:eastAsia="Arial" w:cs="Arial"/>
      <w:sz w:val="40"/>
      <w:szCs w:val="40"/>
    </w:rPr>
  </w:style>
  <w:style w:type="character" w:styleId="824" w:customStyle="1">
    <w:name w:val="Heading 2 Char"/>
    <w:link w:val="668"/>
    <w:uiPriority w:val="9"/>
    <w:qFormat/>
    <w:rPr>
      <w:rFonts w:ascii="Arial" w:hAnsi="Arial" w:eastAsia="Arial" w:cs="Arial"/>
      <w:sz w:val="34"/>
    </w:rPr>
  </w:style>
  <w:style w:type="character" w:styleId="825" w:customStyle="1">
    <w:name w:val="Heading 3 Char"/>
    <w:link w:val="668"/>
    <w:uiPriority w:val="9"/>
    <w:qFormat/>
    <w:rPr>
      <w:rFonts w:ascii="Arial" w:hAnsi="Arial" w:eastAsia="Arial" w:cs="Arial"/>
      <w:sz w:val="30"/>
      <w:szCs w:val="30"/>
    </w:rPr>
  </w:style>
  <w:style w:type="character" w:styleId="826" w:customStyle="1">
    <w:name w:val="Heading 4 Char"/>
    <w:link w:val="668"/>
    <w:uiPriority w:val="9"/>
    <w:qFormat/>
    <w:rPr>
      <w:rFonts w:ascii="Arial" w:hAnsi="Arial" w:eastAsia="Arial" w:cs="Arial"/>
      <w:b/>
      <w:bCs/>
      <w:sz w:val="26"/>
      <w:szCs w:val="26"/>
    </w:rPr>
  </w:style>
  <w:style w:type="character" w:styleId="827" w:customStyle="1">
    <w:name w:val="Heading 5 Char"/>
    <w:link w:val="668"/>
    <w:uiPriority w:val="9"/>
    <w:qFormat/>
    <w:rPr>
      <w:rFonts w:ascii="Arial" w:hAnsi="Arial" w:eastAsia="Arial" w:cs="Arial"/>
      <w:b/>
      <w:bCs/>
      <w:sz w:val="24"/>
      <w:szCs w:val="24"/>
    </w:rPr>
  </w:style>
  <w:style w:type="character" w:styleId="828" w:customStyle="1">
    <w:name w:val="Heading 6 Char"/>
    <w:link w:val="668"/>
    <w:uiPriority w:val="9"/>
    <w:qFormat/>
    <w:rPr>
      <w:rFonts w:ascii="Arial" w:hAnsi="Arial" w:eastAsia="Arial" w:cs="Arial"/>
      <w:b/>
      <w:bCs/>
      <w:sz w:val="22"/>
      <w:szCs w:val="22"/>
    </w:rPr>
  </w:style>
  <w:style w:type="character" w:styleId="829" w:customStyle="1">
    <w:name w:val="Heading 7 Char"/>
    <w:link w:val="668"/>
    <w:uiPriority w:val="9"/>
    <w:qFormat/>
    <w:rPr>
      <w:rFonts w:ascii="Arial" w:hAnsi="Arial" w:eastAsia="Arial" w:cs="Arial"/>
      <w:b/>
      <w:bCs/>
      <w:i/>
      <w:iCs/>
      <w:sz w:val="22"/>
      <w:szCs w:val="22"/>
    </w:rPr>
  </w:style>
  <w:style w:type="character" w:styleId="830" w:customStyle="1">
    <w:name w:val="Heading 8 Char"/>
    <w:link w:val="668"/>
    <w:uiPriority w:val="9"/>
    <w:qFormat/>
    <w:rPr>
      <w:rFonts w:ascii="Arial" w:hAnsi="Arial" w:eastAsia="Arial" w:cs="Arial"/>
      <w:i/>
      <w:iCs/>
      <w:sz w:val="22"/>
      <w:szCs w:val="22"/>
    </w:rPr>
  </w:style>
  <w:style w:type="character" w:styleId="831" w:customStyle="1">
    <w:name w:val="Heading 9 Char"/>
    <w:link w:val="668"/>
    <w:uiPriority w:val="9"/>
    <w:qFormat/>
    <w:rPr>
      <w:rFonts w:ascii="Arial" w:hAnsi="Arial" w:eastAsia="Arial" w:cs="Arial"/>
      <w:i/>
      <w:iCs/>
      <w:sz w:val="21"/>
      <w:szCs w:val="21"/>
    </w:rPr>
  </w:style>
  <w:style w:type="paragraph" w:styleId="832"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833" w:customStyle="1">
    <w:name w:val="Title Char"/>
    <w:link w:val="668"/>
    <w:uiPriority w:val="10"/>
    <w:qFormat/>
    <w:rPr>
      <w:sz w:val="48"/>
      <w:szCs w:val="48"/>
    </w:rPr>
  </w:style>
  <w:style w:type="character" w:styleId="834" w:customStyle="1">
    <w:name w:val="Subtitle Char"/>
    <w:link w:val="668"/>
    <w:uiPriority w:val="11"/>
    <w:qFormat/>
    <w:rPr>
      <w:sz w:val="24"/>
      <w:szCs w:val="24"/>
    </w:rPr>
  </w:style>
  <w:style w:type="paragraph" w:styleId="835" w:customStyle="1">
    <w:name w:val="引用"/>
    <w:basedOn w:val="668"/>
    <w:next w:val="668"/>
    <w:link w:val="836"/>
    <w:uiPriority w:val="29"/>
    <w:qFormat/>
    <w:pPr>
      <w:ind w:left="720" w:right="720"/>
    </w:pPr>
    <w:rPr>
      <w:i/>
    </w:rPr>
  </w:style>
  <w:style w:type="character" w:styleId="836" w:customStyle="1">
    <w:name w:val="引用 Char"/>
    <w:link w:val="835"/>
    <w:uiPriority w:val="29"/>
    <w:qFormat/>
    <w:rPr>
      <w:i/>
    </w:rPr>
  </w:style>
  <w:style w:type="paragraph" w:styleId="837" w:customStyle="1">
    <w:name w:val="明显引用"/>
    <w:basedOn w:val="668"/>
    <w:next w:val="668"/>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Char"/>
    <w:link w:val="837"/>
    <w:uiPriority w:val="30"/>
    <w:qFormat/>
    <w:rPr>
      <w:i/>
    </w:rPr>
  </w:style>
  <w:style w:type="character" w:styleId="839" w:customStyle="1">
    <w:name w:val="Header Char"/>
    <w:link w:val="668"/>
    <w:uiPriority w:val="99"/>
    <w:qFormat/>
  </w:style>
  <w:style w:type="character" w:styleId="840" w:customStyle="1">
    <w:name w:val="Footer Char"/>
    <w:link w:val="668"/>
    <w:uiPriority w:val="99"/>
    <w:qFormat/>
  </w:style>
  <w:style w:type="character" w:styleId="841" w:customStyle="1">
    <w:name w:val="Caption Char"/>
    <w:link w:val="668"/>
    <w:uiPriority w:val="99"/>
    <w:qFormat/>
  </w:style>
  <w:style w:type="table" w:styleId="842" w:customStyle="1">
    <w:name w:val="Table Grid Light"/>
    <w:uiPriority w:val="59"/>
    <w:qFormat/>
    <w:rPr>
      <w:lang w:val="en-US" w:eastAsia="zh-CN" w:bidi="ar-SA"/>
    </w:rPr>
    <w:tblPr/>
  </w:style>
  <w:style w:type="table" w:styleId="843" w:customStyle="1">
    <w:name w:val="无格式表格 11"/>
    <w:uiPriority w:val="59"/>
    <w:qFormat/>
    <w:rPr>
      <w:lang w:val="en-US" w:eastAsia="zh-CN" w:bidi="ar-SA"/>
    </w:rPr>
    <w:tblPr/>
  </w:style>
  <w:style w:type="table" w:styleId="844" w:customStyle="1">
    <w:name w:val="无格式表格 21"/>
    <w:uiPriority w:val="59"/>
    <w:qFormat/>
    <w:rPr>
      <w:lang w:val="en-US" w:eastAsia="zh-CN" w:bidi="ar-SA"/>
    </w:rPr>
    <w:tblPr/>
  </w:style>
  <w:style w:type="table" w:styleId="845" w:customStyle="1">
    <w:name w:val="无格式表格 31"/>
    <w:uiPriority w:val="99"/>
    <w:qFormat/>
    <w:rPr>
      <w:lang w:val="en-US" w:eastAsia="zh-CN" w:bidi="ar-SA"/>
    </w:rPr>
    <w:tblPr/>
  </w:style>
  <w:style w:type="table" w:styleId="846" w:customStyle="1">
    <w:name w:val="无格式表格 41"/>
    <w:uiPriority w:val="99"/>
    <w:qFormat/>
    <w:rPr>
      <w:lang w:val="en-US" w:eastAsia="zh-CN" w:bidi="ar-SA"/>
    </w:rPr>
    <w:tblPr/>
  </w:style>
  <w:style w:type="table" w:styleId="847" w:customStyle="1">
    <w:name w:val="无格式表格 51"/>
    <w:uiPriority w:val="99"/>
    <w:qFormat/>
    <w:rPr>
      <w:lang w:val="en-US" w:eastAsia="zh-CN" w:bidi="ar-SA"/>
    </w:rPr>
    <w:tblPr/>
  </w:style>
  <w:style w:type="table" w:styleId="848" w:customStyle="1">
    <w:name w:val="网格表 1 浅色1"/>
    <w:uiPriority w:val="99"/>
    <w:qFormat/>
    <w:rPr>
      <w:lang w:val="en-US" w:eastAsia="zh-CN" w:bidi="ar-SA"/>
    </w:rPr>
    <w:tblPr/>
  </w:style>
  <w:style w:type="table" w:styleId="849" w:customStyle="1">
    <w:name w:val="Grid Table 1 Light - Accent 1"/>
    <w:uiPriority w:val="99"/>
    <w:qFormat/>
    <w:rPr>
      <w:lang w:val="en-US" w:eastAsia="zh-CN" w:bidi="ar-SA"/>
    </w:rPr>
    <w:tblPr/>
  </w:style>
  <w:style w:type="table" w:styleId="850" w:customStyle="1">
    <w:name w:val="Grid Table 1 Light - Accent 2"/>
    <w:uiPriority w:val="99"/>
    <w:qFormat/>
    <w:rPr>
      <w:lang w:val="en-US" w:eastAsia="zh-CN" w:bidi="ar-SA"/>
    </w:rPr>
    <w:tblPr/>
  </w:style>
  <w:style w:type="table" w:styleId="851" w:customStyle="1">
    <w:name w:val="Grid Table 1 Light - Accent 3"/>
    <w:uiPriority w:val="99"/>
    <w:qFormat/>
    <w:rPr>
      <w:lang w:val="en-US" w:eastAsia="zh-CN" w:bidi="ar-SA"/>
    </w:rPr>
    <w:tblPr/>
  </w:style>
  <w:style w:type="table" w:styleId="852" w:customStyle="1">
    <w:name w:val="Grid Table 1 Light - Accent 4"/>
    <w:uiPriority w:val="99"/>
    <w:qFormat/>
    <w:rPr>
      <w:lang w:val="en-US" w:eastAsia="zh-CN" w:bidi="ar-SA"/>
    </w:rPr>
    <w:tblPr/>
  </w:style>
  <w:style w:type="table" w:styleId="853" w:customStyle="1">
    <w:name w:val="Grid Table 1 Light - Accent 5"/>
    <w:uiPriority w:val="99"/>
    <w:qFormat/>
    <w:rPr>
      <w:lang w:val="en-US" w:eastAsia="zh-CN" w:bidi="ar-SA"/>
    </w:rPr>
    <w:tblPr/>
  </w:style>
  <w:style w:type="table" w:styleId="854" w:customStyle="1">
    <w:name w:val="Grid Table 1 Light - Accent 6"/>
    <w:uiPriority w:val="99"/>
    <w:qFormat/>
    <w:rPr>
      <w:lang w:val="en-US" w:eastAsia="zh-CN" w:bidi="ar-SA"/>
    </w:rPr>
    <w:tblPr/>
  </w:style>
  <w:style w:type="table" w:styleId="855" w:customStyle="1">
    <w:name w:val="网格表 21"/>
    <w:uiPriority w:val="99"/>
    <w:qFormat/>
    <w:rPr>
      <w:lang w:val="en-US" w:eastAsia="zh-CN" w:bidi="ar-SA"/>
    </w:rPr>
    <w:tblPr/>
  </w:style>
  <w:style w:type="table" w:styleId="856" w:customStyle="1">
    <w:name w:val="Grid Table 2 - Accent 1"/>
    <w:uiPriority w:val="99"/>
    <w:qFormat/>
    <w:rPr>
      <w:lang w:val="en-US" w:eastAsia="zh-CN" w:bidi="ar-SA"/>
    </w:rPr>
    <w:tblPr/>
  </w:style>
  <w:style w:type="table" w:styleId="857" w:customStyle="1">
    <w:name w:val="Grid Table 2 - Accent 2"/>
    <w:uiPriority w:val="99"/>
    <w:qFormat/>
    <w:rPr>
      <w:lang w:val="en-US" w:eastAsia="zh-CN" w:bidi="ar-SA"/>
    </w:rPr>
    <w:tblPr/>
  </w:style>
  <w:style w:type="table" w:styleId="858" w:customStyle="1">
    <w:name w:val="Grid Table 2 - Accent 3"/>
    <w:uiPriority w:val="99"/>
    <w:qFormat/>
    <w:rPr>
      <w:lang w:val="en-US" w:eastAsia="zh-CN" w:bidi="ar-SA"/>
    </w:rPr>
    <w:tblPr/>
  </w:style>
  <w:style w:type="table" w:styleId="859" w:customStyle="1">
    <w:name w:val="Grid Table 2 - Accent 4"/>
    <w:uiPriority w:val="99"/>
    <w:qFormat/>
    <w:rPr>
      <w:lang w:val="en-US" w:eastAsia="zh-CN" w:bidi="ar-SA"/>
    </w:rPr>
    <w:tblPr/>
  </w:style>
  <w:style w:type="table" w:styleId="860" w:customStyle="1">
    <w:name w:val="Grid Table 2 - Accent 5"/>
    <w:uiPriority w:val="99"/>
    <w:qFormat/>
    <w:rPr>
      <w:lang w:val="en-US" w:eastAsia="zh-CN" w:bidi="ar-SA"/>
    </w:rPr>
    <w:tblPr/>
  </w:style>
  <w:style w:type="table" w:styleId="861" w:customStyle="1">
    <w:name w:val="Grid Table 2 - Accent 6"/>
    <w:uiPriority w:val="99"/>
    <w:qFormat/>
    <w:rPr>
      <w:lang w:val="en-US" w:eastAsia="zh-CN" w:bidi="ar-SA"/>
    </w:rPr>
    <w:tblPr/>
  </w:style>
  <w:style w:type="table" w:styleId="862" w:customStyle="1">
    <w:name w:val="网格表 31"/>
    <w:uiPriority w:val="99"/>
    <w:qFormat/>
    <w:rPr>
      <w:lang w:val="en-US" w:eastAsia="zh-CN" w:bidi="ar-SA"/>
    </w:rPr>
    <w:tblPr/>
  </w:style>
  <w:style w:type="table" w:styleId="863" w:customStyle="1">
    <w:name w:val="Grid Table 3 - Accent 1"/>
    <w:uiPriority w:val="99"/>
    <w:qFormat/>
    <w:rPr>
      <w:lang w:val="en-US" w:eastAsia="zh-CN" w:bidi="ar-SA"/>
    </w:rPr>
    <w:tblPr/>
  </w:style>
  <w:style w:type="table" w:styleId="864" w:customStyle="1">
    <w:name w:val="Grid Table 3 - Accent 2"/>
    <w:uiPriority w:val="99"/>
    <w:qFormat/>
    <w:rPr>
      <w:lang w:val="en-US" w:eastAsia="zh-CN" w:bidi="ar-SA"/>
    </w:rPr>
    <w:tblPr/>
  </w:style>
  <w:style w:type="table" w:styleId="865" w:customStyle="1">
    <w:name w:val="Grid Table 3 - Accent 3"/>
    <w:uiPriority w:val="99"/>
    <w:qFormat/>
    <w:rPr>
      <w:lang w:val="en-US" w:eastAsia="zh-CN" w:bidi="ar-SA"/>
    </w:rPr>
    <w:tblPr/>
  </w:style>
  <w:style w:type="table" w:styleId="866" w:customStyle="1">
    <w:name w:val="Grid Table 3 - Accent 4"/>
    <w:uiPriority w:val="99"/>
    <w:qFormat/>
    <w:rPr>
      <w:lang w:val="en-US" w:eastAsia="zh-CN" w:bidi="ar-SA"/>
    </w:rPr>
    <w:tblPr/>
  </w:style>
  <w:style w:type="table" w:styleId="867" w:customStyle="1">
    <w:name w:val="Grid Table 3 - Accent 5"/>
    <w:uiPriority w:val="99"/>
    <w:qFormat/>
    <w:rPr>
      <w:lang w:val="en-US" w:eastAsia="zh-CN" w:bidi="ar-SA"/>
    </w:rPr>
    <w:tblPr/>
  </w:style>
  <w:style w:type="table" w:styleId="868" w:customStyle="1">
    <w:name w:val="Grid Table 3 - Accent 6"/>
    <w:uiPriority w:val="99"/>
    <w:qFormat/>
    <w:rPr>
      <w:lang w:val="en-US" w:eastAsia="zh-CN" w:bidi="ar-SA"/>
    </w:rPr>
    <w:tblPr/>
  </w:style>
  <w:style w:type="table" w:styleId="869" w:customStyle="1">
    <w:name w:val="网格表 41"/>
    <w:uiPriority w:val="59"/>
    <w:qFormat/>
    <w:rPr>
      <w:lang w:val="en-US" w:eastAsia="zh-CN" w:bidi="ar-SA"/>
    </w:rPr>
    <w:tblPr/>
  </w:style>
  <w:style w:type="table" w:styleId="870" w:customStyle="1">
    <w:name w:val="Grid Table 4 - Accent 1"/>
    <w:uiPriority w:val="59"/>
    <w:qFormat/>
    <w:rPr>
      <w:lang w:val="en-US" w:eastAsia="zh-CN" w:bidi="ar-SA"/>
    </w:rPr>
    <w:tblPr/>
  </w:style>
  <w:style w:type="table" w:styleId="871" w:customStyle="1">
    <w:name w:val="Grid Table 4 - Accent 2"/>
    <w:uiPriority w:val="59"/>
    <w:qFormat/>
    <w:rPr>
      <w:lang w:val="en-US" w:eastAsia="zh-CN" w:bidi="ar-SA"/>
    </w:rPr>
    <w:tblPr/>
  </w:style>
  <w:style w:type="table" w:styleId="872" w:customStyle="1">
    <w:name w:val="Grid Table 4 - Accent 3"/>
    <w:uiPriority w:val="59"/>
    <w:qFormat/>
    <w:rPr>
      <w:lang w:val="en-US" w:eastAsia="zh-CN" w:bidi="ar-SA"/>
    </w:rPr>
    <w:tblPr/>
  </w:style>
  <w:style w:type="table" w:styleId="873" w:customStyle="1">
    <w:name w:val="Grid Table 4 - Accent 4"/>
    <w:uiPriority w:val="59"/>
    <w:qFormat/>
    <w:rPr>
      <w:lang w:val="en-US" w:eastAsia="zh-CN" w:bidi="ar-SA"/>
    </w:rPr>
    <w:tblPr/>
  </w:style>
  <w:style w:type="table" w:styleId="874" w:customStyle="1">
    <w:name w:val="Grid Table 4 - Accent 5"/>
    <w:uiPriority w:val="59"/>
    <w:qFormat/>
    <w:rPr>
      <w:lang w:val="en-US" w:eastAsia="zh-CN" w:bidi="ar-SA"/>
    </w:rPr>
    <w:tblPr/>
  </w:style>
  <w:style w:type="table" w:styleId="875" w:customStyle="1">
    <w:name w:val="Grid Table 4 - Accent 6"/>
    <w:uiPriority w:val="59"/>
    <w:qFormat/>
    <w:rPr>
      <w:lang w:val="en-US" w:eastAsia="zh-CN" w:bidi="ar-SA"/>
    </w:rPr>
    <w:tblPr/>
  </w:style>
  <w:style w:type="table" w:styleId="876" w:customStyle="1">
    <w:name w:val="网格表 5 深色1"/>
    <w:uiPriority w:val="99"/>
    <w:qFormat/>
    <w:rPr>
      <w:lang w:val="en-US" w:eastAsia="zh-CN" w:bidi="ar-SA"/>
    </w:rPr>
    <w:tblPr/>
  </w:style>
  <w:style w:type="table" w:styleId="877" w:customStyle="1">
    <w:name w:val="Grid Table 5 Dark- Accent 1"/>
    <w:uiPriority w:val="99"/>
    <w:qFormat/>
    <w:rPr>
      <w:lang w:val="en-US" w:eastAsia="zh-CN" w:bidi="ar-SA"/>
    </w:rPr>
    <w:tblPr/>
  </w:style>
  <w:style w:type="table" w:styleId="878" w:customStyle="1">
    <w:name w:val="Grid Table 5 Dark - Accent 2"/>
    <w:uiPriority w:val="99"/>
    <w:qFormat/>
    <w:rPr>
      <w:lang w:val="en-US" w:eastAsia="zh-CN" w:bidi="ar-SA"/>
    </w:rPr>
    <w:tblPr/>
  </w:style>
  <w:style w:type="table" w:styleId="879" w:customStyle="1">
    <w:name w:val="Grid Table 5 Dark - Accent 3"/>
    <w:uiPriority w:val="99"/>
    <w:qFormat/>
    <w:rPr>
      <w:lang w:val="en-US" w:eastAsia="zh-CN" w:bidi="ar-SA"/>
    </w:rPr>
    <w:tblPr/>
  </w:style>
  <w:style w:type="table" w:styleId="880" w:customStyle="1">
    <w:name w:val="Grid Table 5 Dark- Accent 4"/>
    <w:uiPriority w:val="99"/>
    <w:qFormat/>
    <w:rPr>
      <w:lang w:val="en-US" w:eastAsia="zh-CN" w:bidi="ar-SA"/>
    </w:rPr>
    <w:tblPr/>
  </w:style>
  <w:style w:type="table" w:styleId="881" w:customStyle="1">
    <w:name w:val="Grid Table 5 Dark - Accent 5"/>
    <w:uiPriority w:val="99"/>
    <w:qFormat/>
    <w:rPr>
      <w:lang w:val="en-US" w:eastAsia="zh-CN" w:bidi="ar-SA"/>
    </w:rPr>
    <w:tblPr/>
  </w:style>
  <w:style w:type="table" w:styleId="882" w:customStyle="1">
    <w:name w:val="Grid Table 5 Dark - Accent 6"/>
    <w:uiPriority w:val="99"/>
    <w:qFormat/>
    <w:rPr>
      <w:lang w:val="en-US" w:eastAsia="zh-CN" w:bidi="ar-SA"/>
    </w:rPr>
    <w:tblPr/>
  </w:style>
  <w:style w:type="table" w:styleId="883" w:customStyle="1">
    <w:name w:val="网格表 6 彩色1"/>
    <w:uiPriority w:val="99"/>
    <w:qFormat/>
    <w:rPr>
      <w:lang w:val="en-US" w:eastAsia="zh-CN" w:bidi="ar-SA"/>
    </w:rPr>
    <w:tblPr/>
  </w:style>
  <w:style w:type="table" w:styleId="884" w:customStyle="1">
    <w:name w:val="Grid Table 6 Colorful - Accent 1"/>
    <w:uiPriority w:val="99"/>
    <w:qFormat/>
    <w:rPr>
      <w:lang w:val="en-US" w:eastAsia="zh-CN" w:bidi="ar-SA"/>
    </w:rPr>
    <w:tblPr/>
  </w:style>
  <w:style w:type="table" w:styleId="885" w:customStyle="1">
    <w:name w:val="Grid Table 6 Colorful - Accent 2"/>
    <w:uiPriority w:val="99"/>
    <w:qFormat/>
    <w:rPr>
      <w:lang w:val="en-US" w:eastAsia="zh-CN" w:bidi="ar-SA"/>
    </w:rPr>
    <w:tblPr/>
  </w:style>
  <w:style w:type="table" w:styleId="886" w:customStyle="1">
    <w:name w:val="Grid Table 6 Colorful - Accent 3"/>
    <w:uiPriority w:val="99"/>
    <w:qFormat/>
    <w:rPr>
      <w:lang w:val="en-US" w:eastAsia="zh-CN" w:bidi="ar-SA"/>
    </w:rPr>
    <w:tblPr/>
  </w:style>
  <w:style w:type="table" w:styleId="887" w:customStyle="1">
    <w:name w:val="Grid Table 6 Colorful - Accent 4"/>
    <w:uiPriority w:val="99"/>
    <w:qFormat/>
    <w:rPr>
      <w:lang w:val="en-US" w:eastAsia="zh-CN" w:bidi="ar-SA"/>
    </w:rPr>
    <w:tblPr/>
  </w:style>
  <w:style w:type="table" w:styleId="888" w:customStyle="1">
    <w:name w:val="Grid Table 6 Colorful - Accent 5"/>
    <w:uiPriority w:val="99"/>
    <w:qFormat/>
    <w:rPr>
      <w:lang w:val="en-US" w:eastAsia="zh-CN" w:bidi="ar-SA"/>
    </w:rPr>
    <w:tblPr/>
  </w:style>
  <w:style w:type="table" w:styleId="889" w:customStyle="1">
    <w:name w:val="Grid Table 6 Colorful - Accent 6"/>
    <w:uiPriority w:val="99"/>
    <w:qFormat/>
    <w:rPr>
      <w:lang w:val="en-US" w:eastAsia="zh-CN" w:bidi="ar-SA"/>
    </w:rPr>
    <w:tblPr/>
  </w:style>
  <w:style w:type="table" w:styleId="890" w:customStyle="1">
    <w:name w:val="网格表 7 彩色1"/>
    <w:uiPriority w:val="99"/>
    <w:qFormat/>
    <w:rPr>
      <w:lang w:val="en-US" w:eastAsia="zh-CN" w:bidi="ar-SA"/>
    </w:rPr>
    <w:tblPr/>
  </w:style>
  <w:style w:type="table" w:styleId="891" w:customStyle="1">
    <w:name w:val="Grid Table 7 Colorful - Accent 1"/>
    <w:uiPriority w:val="99"/>
    <w:qFormat/>
    <w:rPr>
      <w:lang w:val="en-US" w:eastAsia="zh-CN" w:bidi="ar-SA"/>
    </w:rPr>
    <w:tblPr/>
  </w:style>
  <w:style w:type="table" w:styleId="892" w:customStyle="1">
    <w:name w:val="Grid Table 7 Colorful - Accent 2"/>
    <w:uiPriority w:val="99"/>
    <w:qFormat/>
    <w:rPr>
      <w:lang w:val="en-US" w:eastAsia="zh-CN" w:bidi="ar-SA"/>
    </w:rPr>
    <w:tblPr/>
  </w:style>
  <w:style w:type="table" w:styleId="893" w:customStyle="1">
    <w:name w:val="Grid Table 7 Colorful - Accent 3"/>
    <w:uiPriority w:val="99"/>
    <w:qFormat/>
    <w:rPr>
      <w:lang w:val="en-US" w:eastAsia="zh-CN" w:bidi="ar-SA"/>
    </w:rPr>
    <w:tblPr/>
  </w:style>
  <w:style w:type="table" w:styleId="894" w:customStyle="1">
    <w:name w:val="Grid Table 7 Colorful - Accent 4"/>
    <w:uiPriority w:val="99"/>
    <w:qFormat/>
    <w:rPr>
      <w:lang w:val="en-US" w:eastAsia="zh-CN" w:bidi="ar-SA"/>
    </w:rPr>
    <w:tblPr/>
  </w:style>
  <w:style w:type="table" w:styleId="895" w:customStyle="1">
    <w:name w:val="Grid Table 7 Colorful - Accent 5"/>
    <w:uiPriority w:val="99"/>
    <w:qFormat/>
    <w:rPr>
      <w:lang w:val="en-US" w:eastAsia="zh-CN" w:bidi="ar-SA"/>
    </w:rPr>
    <w:tblPr/>
  </w:style>
  <w:style w:type="table" w:styleId="896" w:customStyle="1">
    <w:name w:val="Grid Table 7 Colorful - Accent 6"/>
    <w:uiPriority w:val="99"/>
    <w:qFormat/>
    <w:rPr>
      <w:lang w:val="en-US" w:eastAsia="zh-CN" w:bidi="ar-SA"/>
    </w:rPr>
    <w:tblPr/>
  </w:style>
  <w:style w:type="table" w:styleId="897" w:customStyle="1">
    <w:name w:val="清单表 1 浅色1"/>
    <w:uiPriority w:val="99"/>
    <w:qFormat/>
    <w:rPr>
      <w:lang w:val="en-US" w:eastAsia="zh-CN" w:bidi="ar-SA"/>
    </w:rPr>
    <w:tblPr/>
  </w:style>
  <w:style w:type="table" w:styleId="898" w:customStyle="1">
    <w:name w:val="List Table 1 Light - Accent 1"/>
    <w:uiPriority w:val="99"/>
    <w:qFormat/>
    <w:rPr>
      <w:lang w:val="en-US" w:eastAsia="zh-CN" w:bidi="ar-SA"/>
    </w:rPr>
    <w:tblPr/>
  </w:style>
  <w:style w:type="table" w:styleId="899" w:customStyle="1">
    <w:name w:val="List Table 1 Light - Accent 2"/>
    <w:uiPriority w:val="99"/>
    <w:qFormat/>
    <w:rPr>
      <w:lang w:val="en-US" w:eastAsia="zh-CN" w:bidi="ar-SA"/>
    </w:rPr>
    <w:tblPr/>
  </w:style>
  <w:style w:type="table" w:styleId="900" w:customStyle="1">
    <w:name w:val="List Table 1 Light - Accent 3"/>
    <w:uiPriority w:val="99"/>
    <w:qFormat/>
    <w:rPr>
      <w:lang w:val="en-US" w:eastAsia="zh-CN" w:bidi="ar-SA"/>
    </w:rPr>
    <w:tblPr/>
  </w:style>
  <w:style w:type="table" w:styleId="901" w:customStyle="1">
    <w:name w:val="List Table 1 Light - Accent 4"/>
    <w:uiPriority w:val="99"/>
    <w:qFormat/>
    <w:rPr>
      <w:lang w:val="en-US" w:eastAsia="zh-CN" w:bidi="ar-SA"/>
    </w:rPr>
    <w:tblPr/>
  </w:style>
  <w:style w:type="table" w:styleId="902" w:customStyle="1">
    <w:name w:val="List Table 1 Light - Accent 5"/>
    <w:uiPriority w:val="99"/>
    <w:qFormat/>
    <w:rPr>
      <w:lang w:val="en-US" w:eastAsia="zh-CN" w:bidi="ar-SA"/>
    </w:rPr>
    <w:tblPr/>
  </w:style>
  <w:style w:type="table" w:styleId="903" w:customStyle="1">
    <w:name w:val="List Table 1 Light - Accent 6"/>
    <w:uiPriority w:val="99"/>
    <w:qFormat/>
    <w:rPr>
      <w:lang w:val="en-US" w:eastAsia="zh-CN" w:bidi="ar-SA"/>
    </w:rPr>
    <w:tblPr/>
  </w:style>
  <w:style w:type="table" w:styleId="904" w:customStyle="1">
    <w:name w:val="清单表 21"/>
    <w:uiPriority w:val="99"/>
    <w:qFormat/>
    <w:rPr>
      <w:lang w:val="en-US" w:eastAsia="zh-CN" w:bidi="ar-SA"/>
    </w:rPr>
    <w:tblPr/>
  </w:style>
  <w:style w:type="table" w:styleId="905" w:customStyle="1">
    <w:name w:val="List Table 2 - Accent 1"/>
    <w:uiPriority w:val="99"/>
    <w:qFormat/>
    <w:rPr>
      <w:lang w:val="en-US" w:eastAsia="zh-CN" w:bidi="ar-SA"/>
    </w:rPr>
    <w:tblPr/>
  </w:style>
  <w:style w:type="table" w:styleId="906" w:customStyle="1">
    <w:name w:val="List Table 2 - Accent 2"/>
    <w:uiPriority w:val="99"/>
    <w:qFormat/>
    <w:rPr>
      <w:lang w:val="en-US" w:eastAsia="zh-CN" w:bidi="ar-SA"/>
    </w:rPr>
    <w:tblPr/>
  </w:style>
  <w:style w:type="table" w:styleId="907" w:customStyle="1">
    <w:name w:val="List Table 2 - Accent 3"/>
    <w:uiPriority w:val="99"/>
    <w:qFormat/>
    <w:rPr>
      <w:lang w:val="en-US" w:eastAsia="zh-CN" w:bidi="ar-SA"/>
    </w:rPr>
    <w:tblPr/>
  </w:style>
  <w:style w:type="table" w:styleId="908" w:customStyle="1">
    <w:name w:val="List Table 2 - Accent 4"/>
    <w:uiPriority w:val="99"/>
    <w:qFormat/>
    <w:rPr>
      <w:lang w:val="en-US" w:eastAsia="zh-CN" w:bidi="ar-SA"/>
    </w:rPr>
    <w:tblPr/>
  </w:style>
  <w:style w:type="table" w:styleId="909" w:customStyle="1">
    <w:name w:val="List Table 2 - Accent 5"/>
    <w:uiPriority w:val="99"/>
    <w:qFormat/>
    <w:rPr>
      <w:lang w:val="en-US" w:eastAsia="zh-CN" w:bidi="ar-SA"/>
    </w:rPr>
    <w:tblPr/>
  </w:style>
  <w:style w:type="table" w:styleId="910" w:customStyle="1">
    <w:name w:val="List Table 2 - Accent 6"/>
    <w:uiPriority w:val="99"/>
    <w:qFormat/>
    <w:rPr>
      <w:lang w:val="en-US" w:eastAsia="zh-CN" w:bidi="ar-SA"/>
    </w:rPr>
    <w:tblPr/>
  </w:style>
  <w:style w:type="table" w:styleId="911" w:customStyle="1">
    <w:name w:val="清单表 31"/>
    <w:uiPriority w:val="99"/>
    <w:qFormat/>
    <w:rPr>
      <w:lang w:val="en-US" w:eastAsia="zh-CN" w:bidi="ar-SA"/>
    </w:rPr>
    <w:tblPr/>
  </w:style>
  <w:style w:type="table" w:styleId="912" w:customStyle="1">
    <w:name w:val="List Table 3 - Accent 1"/>
    <w:uiPriority w:val="99"/>
    <w:qFormat/>
    <w:rPr>
      <w:lang w:val="en-US" w:eastAsia="zh-CN" w:bidi="ar-SA"/>
    </w:rPr>
    <w:tblPr/>
  </w:style>
  <w:style w:type="table" w:styleId="913" w:customStyle="1">
    <w:name w:val="List Table 3 - Accent 2"/>
    <w:uiPriority w:val="99"/>
    <w:qFormat/>
    <w:rPr>
      <w:lang w:val="en-US" w:eastAsia="zh-CN" w:bidi="ar-SA"/>
    </w:rPr>
    <w:tblPr/>
  </w:style>
  <w:style w:type="table" w:styleId="914" w:customStyle="1">
    <w:name w:val="List Table 3 - Accent 3"/>
    <w:uiPriority w:val="99"/>
    <w:qFormat/>
    <w:rPr>
      <w:lang w:val="en-US" w:eastAsia="zh-CN" w:bidi="ar-SA"/>
    </w:rPr>
    <w:tblPr/>
  </w:style>
  <w:style w:type="table" w:styleId="915" w:customStyle="1">
    <w:name w:val="List Table 3 - Accent 4"/>
    <w:uiPriority w:val="99"/>
    <w:qFormat/>
    <w:rPr>
      <w:lang w:val="en-US" w:eastAsia="zh-CN" w:bidi="ar-SA"/>
    </w:rPr>
    <w:tblPr/>
  </w:style>
  <w:style w:type="table" w:styleId="916" w:customStyle="1">
    <w:name w:val="List Table 3 - Accent 5"/>
    <w:uiPriority w:val="99"/>
    <w:qFormat/>
    <w:rPr>
      <w:lang w:val="en-US" w:eastAsia="zh-CN" w:bidi="ar-SA"/>
    </w:rPr>
    <w:tblPr/>
  </w:style>
  <w:style w:type="table" w:styleId="917" w:customStyle="1">
    <w:name w:val="List Table 3 - Accent 6"/>
    <w:uiPriority w:val="99"/>
    <w:qFormat/>
    <w:rPr>
      <w:lang w:val="en-US" w:eastAsia="zh-CN" w:bidi="ar-SA"/>
    </w:rPr>
    <w:tblPr/>
  </w:style>
  <w:style w:type="table" w:styleId="918" w:customStyle="1">
    <w:name w:val="清单表 41"/>
    <w:uiPriority w:val="99"/>
    <w:qFormat/>
    <w:rPr>
      <w:lang w:val="en-US" w:eastAsia="zh-CN" w:bidi="ar-SA"/>
    </w:rPr>
    <w:tblPr/>
  </w:style>
  <w:style w:type="table" w:styleId="919" w:customStyle="1">
    <w:name w:val="List Table 4 - Accent 1"/>
    <w:uiPriority w:val="99"/>
    <w:qFormat/>
    <w:rPr>
      <w:lang w:val="en-US" w:eastAsia="zh-CN" w:bidi="ar-SA"/>
    </w:rPr>
    <w:tblPr/>
  </w:style>
  <w:style w:type="table" w:styleId="920" w:customStyle="1">
    <w:name w:val="List Table 4 - Accent 2"/>
    <w:uiPriority w:val="99"/>
    <w:qFormat/>
    <w:rPr>
      <w:lang w:val="en-US" w:eastAsia="zh-CN" w:bidi="ar-SA"/>
    </w:rPr>
    <w:tblPr/>
  </w:style>
  <w:style w:type="table" w:styleId="921" w:customStyle="1">
    <w:name w:val="List Table 4 - Accent 3"/>
    <w:uiPriority w:val="99"/>
    <w:qFormat/>
    <w:rPr>
      <w:lang w:val="en-US" w:eastAsia="zh-CN" w:bidi="ar-SA"/>
    </w:rPr>
    <w:tblPr/>
  </w:style>
  <w:style w:type="table" w:styleId="922" w:customStyle="1">
    <w:name w:val="List Table 4 - Accent 4"/>
    <w:uiPriority w:val="99"/>
    <w:qFormat/>
    <w:rPr>
      <w:lang w:val="en-US" w:eastAsia="zh-CN" w:bidi="ar-SA"/>
    </w:rPr>
    <w:tblPr/>
  </w:style>
  <w:style w:type="table" w:styleId="923" w:customStyle="1">
    <w:name w:val="List Table 4 - Accent 5"/>
    <w:uiPriority w:val="99"/>
    <w:qFormat/>
    <w:rPr>
      <w:lang w:val="en-US" w:eastAsia="zh-CN" w:bidi="ar-SA"/>
    </w:rPr>
    <w:tblPr/>
  </w:style>
  <w:style w:type="table" w:styleId="924" w:customStyle="1">
    <w:name w:val="List Table 4 - Accent 6"/>
    <w:uiPriority w:val="99"/>
    <w:qFormat/>
    <w:rPr>
      <w:lang w:val="en-US" w:eastAsia="zh-CN" w:bidi="ar-SA"/>
    </w:rPr>
    <w:tblPr/>
  </w:style>
  <w:style w:type="table" w:styleId="925" w:customStyle="1">
    <w:name w:val="清单表 5 深色1"/>
    <w:uiPriority w:val="99"/>
    <w:qFormat/>
    <w:rPr>
      <w:lang w:val="en-US" w:eastAsia="zh-CN" w:bidi="ar-SA"/>
    </w:rPr>
    <w:tblPr/>
  </w:style>
  <w:style w:type="table" w:styleId="926" w:customStyle="1">
    <w:name w:val="List Table 5 Dark - Accent 1"/>
    <w:uiPriority w:val="99"/>
    <w:qFormat/>
    <w:rPr>
      <w:lang w:val="en-US" w:eastAsia="zh-CN" w:bidi="ar-SA"/>
    </w:rPr>
    <w:tblPr/>
  </w:style>
  <w:style w:type="table" w:styleId="927" w:customStyle="1">
    <w:name w:val="List Table 5 Dark - Accent 2"/>
    <w:uiPriority w:val="99"/>
    <w:qFormat/>
    <w:rPr>
      <w:lang w:val="en-US" w:eastAsia="zh-CN" w:bidi="ar-SA"/>
    </w:rPr>
    <w:tblPr/>
  </w:style>
  <w:style w:type="table" w:styleId="928" w:customStyle="1">
    <w:name w:val="List Table 5 Dark - Accent 3"/>
    <w:uiPriority w:val="99"/>
    <w:qFormat/>
    <w:rPr>
      <w:lang w:val="en-US" w:eastAsia="zh-CN" w:bidi="ar-SA"/>
    </w:rPr>
    <w:tblPr/>
  </w:style>
  <w:style w:type="table" w:styleId="929" w:customStyle="1">
    <w:name w:val="List Table 5 Dark - Accent 4"/>
    <w:uiPriority w:val="99"/>
    <w:qFormat/>
    <w:rPr>
      <w:lang w:val="en-US" w:eastAsia="zh-CN" w:bidi="ar-SA"/>
    </w:rPr>
    <w:tblPr/>
  </w:style>
  <w:style w:type="table" w:styleId="930" w:customStyle="1">
    <w:name w:val="List Table 5 Dark - Accent 5"/>
    <w:uiPriority w:val="99"/>
    <w:qFormat/>
    <w:rPr>
      <w:lang w:val="en-US" w:eastAsia="zh-CN" w:bidi="ar-SA"/>
    </w:rPr>
    <w:tblPr/>
  </w:style>
  <w:style w:type="table" w:styleId="931" w:customStyle="1">
    <w:name w:val="List Table 5 Dark - Accent 6"/>
    <w:uiPriority w:val="99"/>
    <w:qFormat/>
    <w:rPr>
      <w:lang w:val="en-US" w:eastAsia="zh-CN" w:bidi="ar-SA"/>
    </w:rPr>
    <w:tblPr/>
  </w:style>
  <w:style w:type="table" w:styleId="932" w:customStyle="1">
    <w:name w:val="清单表 6 彩色1"/>
    <w:uiPriority w:val="99"/>
    <w:qFormat/>
    <w:rPr>
      <w:lang w:val="en-US" w:eastAsia="zh-CN" w:bidi="ar-SA"/>
    </w:rPr>
    <w:tblPr/>
  </w:style>
  <w:style w:type="table" w:styleId="933" w:customStyle="1">
    <w:name w:val="List Table 6 Colorful - Accent 1"/>
    <w:uiPriority w:val="99"/>
    <w:qFormat/>
    <w:rPr>
      <w:lang w:val="en-US" w:eastAsia="zh-CN" w:bidi="ar-SA"/>
    </w:rPr>
    <w:tblPr/>
  </w:style>
  <w:style w:type="table" w:styleId="934" w:customStyle="1">
    <w:name w:val="List Table 6 Colorful - Accent 2"/>
    <w:uiPriority w:val="99"/>
    <w:qFormat/>
    <w:rPr>
      <w:lang w:val="en-US" w:eastAsia="zh-CN" w:bidi="ar-SA"/>
    </w:rPr>
    <w:tblPr/>
  </w:style>
  <w:style w:type="table" w:styleId="935" w:customStyle="1">
    <w:name w:val="List Table 6 Colorful - Accent 3"/>
    <w:uiPriority w:val="99"/>
    <w:qFormat/>
    <w:rPr>
      <w:lang w:val="en-US" w:eastAsia="zh-CN" w:bidi="ar-SA"/>
    </w:rPr>
    <w:tblPr/>
  </w:style>
  <w:style w:type="table" w:styleId="936" w:customStyle="1">
    <w:name w:val="List Table 6 Colorful - Accent 4"/>
    <w:uiPriority w:val="99"/>
    <w:qFormat/>
    <w:rPr>
      <w:lang w:val="en-US" w:eastAsia="zh-CN" w:bidi="ar-SA"/>
    </w:rPr>
    <w:tblPr/>
  </w:style>
  <w:style w:type="table" w:styleId="937" w:customStyle="1">
    <w:name w:val="List Table 6 Colorful - Accent 5"/>
    <w:uiPriority w:val="99"/>
    <w:qFormat/>
    <w:rPr>
      <w:lang w:val="en-US" w:eastAsia="zh-CN" w:bidi="ar-SA"/>
    </w:rPr>
    <w:tblPr/>
  </w:style>
  <w:style w:type="table" w:styleId="938" w:customStyle="1">
    <w:name w:val="List Table 6 Colorful - Accent 6"/>
    <w:uiPriority w:val="99"/>
    <w:qFormat/>
    <w:rPr>
      <w:lang w:val="en-US" w:eastAsia="zh-CN" w:bidi="ar-SA"/>
    </w:rPr>
    <w:tblPr/>
  </w:style>
  <w:style w:type="table" w:styleId="939" w:customStyle="1">
    <w:name w:val="清单表 7 彩色1"/>
    <w:uiPriority w:val="99"/>
    <w:qFormat/>
    <w:rPr>
      <w:lang w:val="en-US" w:eastAsia="zh-CN" w:bidi="ar-SA"/>
    </w:rPr>
    <w:tblPr/>
  </w:style>
  <w:style w:type="table" w:styleId="940" w:customStyle="1">
    <w:name w:val="List Table 7 Colorful - Accent 1"/>
    <w:uiPriority w:val="99"/>
    <w:qFormat/>
    <w:rPr>
      <w:lang w:val="en-US" w:eastAsia="zh-CN" w:bidi="ar-SA"/>
    </w:rPr>
    <w:tblPr/>
  </w:style>
  <w:style w:type="table" w:styleId="941" w:customStyle="1">
    <w:name w:val="List Table 7 Colorful - Accent 2"/>
    <w:uiPriority w:val="99"/>
    <w:qFormat/>
    <w:rPr>
      <w:lang w:val="en-US" w:eastAsia="zh-CN" w:bidi="ar-SA"/>
    </w:rPr>
    <w:tblPr/>
  </w:style>
  <w:style w:type="table" w:styleId="942" w:customStyle="1">
    <w:name w:val="List Table 7 Colorful - Accent 3"/>
    <w:uiPriority w:val="99"/>
    <w:qFormat/>
    <w:rPr>
      <w:lang w:val="en-US" w:eastAsia="zh-CN" w:bidi="ar-SA"/>
    </w:rPr>
    <w:tblPr/>
  </w:style>
  <w:style w:type="table" w:styleId="943" w:customStyle="1">
    <w:name w:val="List Table 7 Colorful - Accent 4"/>
    <w:uiPriority w:val="99"/>
    <w:qFormat/>
    <w:rPr>
      <w:lang w:val="en-US" w:eastAsia="zh-CN" w:bidi="ar-SA"/>
    </w:rPr>
    <w:tblPr/>
  </w:style>
  <w:style w:type="table" w:styleId="944" w:customStyle="1">
    <w:name w:val="List Table 7 Colorful - Accent 5"/>
    <w:uiPriority w:val="99"/>
    <w:qFormat/>
    <w:rPr>
      <w:lang w:val="en-US" w:eastAsia="zh-CN" w:bidi="ar-SA"/>
    </w:rPr>
    <w:tblPr/>
  </w:style>
  <w:style w:type="table" w:styleId="945" w:customStyle="1">
    <w:name w:val="List Table 7 Colorful - Accent 6"/>
    <w:uiPriority w:val="99"/>
    <w:qFormat/>
    <w:rPr>
      <w:lang w:val="en-US" w:eastAsia="zh-CN" w:bidi="ar-SA"/>
    </w:rPr>
    <w:tblPr/>
  </w:style>
  <w:style w:type="table" w:styleId="946" w:customStyle="1">
    <w:name w:val="Lined - Accent"/>
    <w:uiPriority w:val="99"/>
    <w:qFormat/>
    <w:rPr>
      <w:color w:val="404040"/>
      <w:lang w:val="en-US" w:eastAsia="zh-CN" w:bidi="ar-SA"/>
    </w:rPr>
    <w:tblPr/>
  </w:style>
  <w:style w:type="table" w:styleId="947" w:customStyle="1">
    <w:name w:val="Lined - Accent 1"/>
    <w:uiPriority w:val="99"/>
    <w:qFormat/>
    <w:rPr>
      <w:color w:val="404040"/>
      <w:lang w:val="en-US" w:eastAsia="zh-CN" w:bidi="ar-SA"/>
    </w:rPr>
    <w:tblPr/>
  </w:style>
  <w:style w:type="table" w:styleId="948" w:customStyle="1">
    <w:name w:val="Lined - Accent 2"/>
    <w:uiPriority w:val="99"/>
    <w:qFormat/>
    <w:rPr>
      <w:color w:val="404040"/>
      <w:lang w:val="en-US" w:eastAsia="zh-CN" w:bidi="ar-SA"/>
    </w:rPr>
    <w:tblPr/>
  </w:style>
  <w:style w:type="table" w:styleId="949" w:customStyle="1">
    <w:name w:val="Lined - Accent 3"/>
    <w:uiPriority w:val="99"/>
    <w:qFormat/>
    <w:rPr>
      <w:color w:val="404040"/>
      <w:lang w:val="en-US" w:eastAsia="zh-CN" w:bidi="ar-SA"/>
    </w:rPr>
    <w:tblPr/>
  </w:style>
  <w:style w:type="table" w:styleId="950" w:customStyle="1">
    <w:name w:val="Lined - Accent 4"/>
    <w:uiPriority w:val="99"/>
    <w:qFormat/>
    <w:rPr>
      <w:color w:val="404040"/>
      <w:lang w:val="en-US" w:eastAsia="zh-CN" w:bidi="ar-SA"/>
    </w:rPr>
    <w:tblPr/>
  </w:style>
  <w:style w:type="table" w:styleId="951" w:customStyle="1">
    <w:name w:val="Lined - Accent 5"/>
    <w:uiPriority w:val="99"/>
    <w:qFormat/>
    <w:rPr>
      <w:color w:val="404040"/>
      <w:lang w:val="en-US" w:eastAsia="zh-CN" w:bidi="ar-SA"/>
    </w:rPr>
    <w:tblPr/>
  </w:style>
  <w:style w:type="table" w:styleId="952" w:customStyle="1">
    <w:name w:val="Lined - Accent 6"/>
    <w:uiPriority w:val="99"/>
    <w:qFormat/>
    <w:rPr>
      <w:color w:val="404040"/>
      <w:lang w:val="en-US" w:eastAsia="zh-CN" w:bidi="ar-SA"/>
    </w:rPr>
    <w:tblPr/>
  </w:style>
  <w:style w:type="table" w:styleId="953" w:customStyle="1">
    <w:name w:val="Bordered &amp; Lined - Accent"/>
    <w:uiPriority w:val="99"/>
    <w:qFormat/>
    <w:rPr>
      <w:color w:val="404040"/>
      <w:lang w:val="en-US" w:eastAsia="zh-CN" w:bidi="ar-SA"/>
    </w:rPr>
    <w:tblPr/>
  </w:style>
  <w:style w:type="table" w:styleId="954" w:customStyle="1">
    <w:name w:val="Bordered &amp; Lined - Accent 1"/>
    <w:uiPriority w:val="99"/>
    <w:qFormat/>
    <w:rPr>
      <w:color w:val="404040"/>
      <w:lang w:val="en-US" w:eastAsia="zh-CN" w:bidi="ar-SA"/>
    </w:rPr>
    <w:tblPr/>
  </w:style>
  <w:style w:type="table" w:styleId="955" w:customStyle="1">
    <w:name w:val="Bordered &amp; Lined - Accent 2"/>
    <w:uiPriority w:val="99"/>
    <w:qFormat/>
    <w:rPr>
      <w:color w:val="404040"/>
      <w:lang w:val="en-US" w:eastAsia="zh-CN" w:bidi="ar-SA"/>
    </w:rPr>
    <w:tblPr/>
  </w:style>
  <w:style w:type="table" w:styleId="956" w:customStyle="1">
    <w:name w:val="Bordered &amp; Lined - Accent 3"/>
    <w:uiPriority w:val="99"/>
    <w:qFormat/>
    <w:rPr>
      <w:color w:val="404040"/>
      <w:lang w:val="en-US" w:eastAsia="zh-CN" w:bidi="ar-SA"/>
    </w:rPr>
    <w:tblPr/>
  </w:style>
  <w:style w:type="table" w:styleId="957" w:customStyle="1">
    <w:name w:val="Bordered &amp; Lined - Accent 4"/>
    <w:uiPriority w:val="99"/>
    <w:qFormat/>
    <w:rPr>
      <w:color w:val="404040"/>
      <w:lang w:val="en-US" w:eastAsia="zh-CN" w:bidi="ar-SA"/>
    </w:rPr>
    <w:tblPr/>
  </w:style>
  <w:style w:type="table" w:styleId="958" w:customStyle="1">
    <w:name w:val="Bordered &amp; Lined - Accent 5"/>
    <w:uiPriority w:val="99"/>
    <w:qFormat/>
    <w:rPr>
      <w:color w:val="404040"/>
      <w:lang w:val="en-US" w:eastAsia="zh-CN" w:bidi="ar-SA"/>
    </w:rPr>
    <w:tblPr/>
  </w:style>
  <w:style w:type="table" w:styleId="959" w:customStyle="1">
    <w:name w:val="Bordered &amp; Lined - Accent 6"/>
    <w:uiPriority w:val="99"/>
    <w:qFormat/>
    <w:rPr>
      <w:color w:val="404040"/>
      <w:lang w:val="en-US" w:eastAsia="zh-CN" w:bidi="ar-SA"/>
    </w:rPr>
    <w:tblPr/>
  </w:style>
  <w:style w:type="table" w:styleId="960" w:customStyle="1">
    <w:name w:val="Bordered"/>
    <w:uiPriority w:val="99"/>
    <w:qFormat/>
    <w:rPr>
      <w:lang w:val="en-US" w:eastAsia="zh-CN" w:bidi="ar-SA"/>
    </w:rPr>
    <w:tblPr/>
  </w:style>
  <w:style w:type="table" w:styleId="961" w:customStyle="1">
    <w:name w:val="Bordered - Accent 1"/>
    <w:uiPriority w:val="99"/>
    <w:qFormat/>
    <w:rPr>
      <w:lang w:val="en-US" w:eastAsia="zh-CN" w:bidi="ar-SA"/>
    </w:rPr>
    <w:tblPr/>
  </w:style>
  <w:style w:type="table" w:styleId="962" w:customStyle="1">
    <w:name w:val="Bordered - Accent 2"/>
    <w:uiPriority w:val="99"/>
    <w:qFormat/>
    <w:rPr>
      <w:lang w:val="en-US" w:eastAsia="zh-CN" w:bidi="ar-SA"/>
    </w:rPr>
    <w:tblPr/>
  </w:style>
  <w:style w:type="table" w:styleId="963" w:customStyle="1">
    <w:name w:val="Bordered - Accent 3"/>
    <w:uiPriority w:val="99"/>
    <w:qFormat/>
    <w:rPr>
      <w:lang w:val="en-US" w:eastAsia="zh-CN" w:bidi="ar-SA"/>
    </w:rPr>
    <w:tblPr/>
  </w:style>
  <w:style w:type="table" w:styleId="964" w:customStyle="1">
    <w:name w:val="Bordered - Accent 4"/>
    <w:uiPriority w:val="99"/>
    <w:qFormat/>
    <w:rPr>
      <w:lang w:val="en-US" w:eastAsia="zh-CN" w:bidi="ar-SA"/>
    </w:rPr>
    <w:tblPr/>
  </w:style>
  <w:style w:type="table" w:styleId="965" w:customStyle="1">
    <w:name w:val="Bordered - Accent 5"/>
    <w:uiPriority w:val="99"/>
    <w:qFormat/>
    <w:rPr>
      <w:lang w:val="en-US" w:eastAsia="zh-CN" w:bidi="ar-SA"/>
    </w:rPr>
    <w:tblPr/>
  </w:style>
  <w:style w:type="table" w:styleId="966" w:customStyle="1">
    <w:name w:val="Bordered - Accent 6"/>
    <w:uiPriority w:val="99"/>
    <w:qFormat/>
    <w:rPr>
      <w:lang w:val="en-US" w:eastAsia="zh-CN" w:bidi="ar-SA"/>
    </w:rPr>
    <w:tblPr/>
  </w:style>
  <w:style w:type="character" w:styleId="967" w:customStyle="1">
    <w:name w:val="Footnote Text Char"/>
    <w:link w:val="668"/>
    <w:uiPriority w:val="99"/>
    <w:qFormat/>
    <w:rPr>
      <w:sz w:val="18"/>
    </w:rPr>
  </w:style>
  <w:style w:type="paragraph" w:styleId="968" w:customStyle="1">
    <w:name w:val="TOC 标题11"/>
    <w:uiPriority w:val="39"/>
    <w:unhideWhenUsed/>
    <w:qFormat/>
    <w:rPr>
      <w:rFonts w:hint="default" w:ascii="Times New Roman" w:hAnsi="Times New Roman" w:eastAsia="宋体" w:cs="Times New Roman"/>
      <w:lang w:val="en-US" w:eastAsia="zh-CN" w:bidi="ar-SA"/>
    </w:rPr>
  </w:style>
  <w:style w:type="character" w:styleId="969" w:customStyle="1">
    <w:name w:val="纯文本 字符"/>
    <w:link w:val="668"/>
    <w:uiPriority w:val="0"/>
    <w:qFormat/>
    <w:rPr>
      <w:rFonts w:ascii="宋体" w:hAnsi="Courier New" w:eastAsia="楷体_GB2312"/>
      <w:sz w:val="26"/>
    </w:rPr>
  </w:style>
  <w:style w:type="paragraph" w:styleId="970" w:customStyle="1">
    <w:name w:val="纯文本2"/>
    <w:basedOn w:val="668"/>
    <w:uiPriority w:val="0"/>
    <w:qFormat/>
    <w:pPr>
      <w:jc w:val="left"/>
      <w:widowControl/>
    </w:pPr>
    <w:rPr>
      <w:rFonts w:ascii="宋体" w:hAnsi="Courier New" w:eastAsia="楷体_GB2312"/>
      <w:sz w:val="26"/>
      <w:szCs w:val="20"/>
    </w:rPr>
  </w:style>
  <w:style w:type="character" w:styleId="971" w:customStyle="1">
    <w:name w:val="标题 1 字符"/>
    <w:link w:val="668"/>
    <w:uiPriority w:val="9"/>
    <w:qFormat/>
    <w:rPr>
      <w:b/>
      <w:bCs/>
      <w:sz w:val="44"/>
      <w:szCs w:val="44"/>
    </w:rPr>
  </w:style>
  <w:style w:type="character" w:styleId="972" w:customStyle="1">
    <w:name w:val="标题 2 字符"/>
    <w:link w:val="668"/>
    <w:uiPriority w:val="9"/>
    <w:semiHidden/>
    <w:qFormat/>
    <w:rPr>
      <w:rFonts w:ascii="Cambria" w:hAnsi="Cambria" w:eastAsia="宋体" w:cs="Times New Roman"/>
      <w:b/>
      <w:bCs/>
      <w:sz w:val="32"/>
      <w:szCs w:val="32"/>
    </w:rPr>
  </w:style>
  <w:style w:type="character" w:styleId="973" w:customStyle="1">
    <w:name w:val="标题 3 字符"/>
    <w:link w:val="668"/>
    <w:uiPriority w:val="9"/>
    <w:semiHidden/>
    <w:qFormat/>
    <w:rPr>
      <w:b/>
      <w:bCs/>
      <w:sz w:val="32"/>
      <w:szCs w:val="32"/>
    </w:rPr>
  </w:style>
  <w:style w:type="character" w:styleId="974" w:customStyle="1">
    <w:name w:val="标题 4 字符"/>
    <w:link w:val="668"/>
    <w:uiPriority w:val="9"/>
    <w:semiHidden/>
    <w:qFormat/>
    <w:rPr>
      <w:rFonts w:ascii="Cambria" w:hAnsi="Cambria" w:eastAsia="宋体" w:cs="Times New Roman"/>
      <w:b/>
      <w:bCs/>
      <w:sz w:val="28"/>
      <w:szCs w:val="28"/>
    </w:rPr>
  </w:style>
  <w:style w:type="character" w:styleId="975" w:customStyle="1">
    <w:name w:val="标题 5 字符"/>
    <w:link w:val="668"/>
    <w:uiPriority w:val="9"/>
    <w:semiHidden/>
    <w:qFormat/>
    <w:rPr>
      <w:b/>
      <w:bCs/>
      <w:sz w:val="28"/>
      <w:szCs w:val="28"/>
    </w:rPr>
  </w:style>
  <w:style w:type="character" w:styleId="976" w:customStyle="1">
    <w:name w:val="标题 6 字符"/>
    <w:link w:val="668"/>
    <w:uiPriority w:val="9"/>
    <w:semiHidden/>
    <w:qFormat/>
    <w:rPr>
      <w:rFonts w:ascii="Cambria" w:hAnsi="Cambria" w:eastAsia="宋体" w:cs="Times New Roman"/>
      <w:b/>
      <w:bCs/>
      <w:sz w:val="24"/>
      <w:szCs w:val="24"/>
    </w:rPr>
  </w:style>
  <w:style w:type="character" w:styleId="977" w:customStyle="1">
    <w:name w:val="标题 7 字符"/>
    <w:link w:val="668"/>
    <w:uiPriority w:val="9"/>
    <w:semiHidden/>
    <w:qFormat/>
    <w:rPr>
      <w:b/>
      <w:bCs/>
      <w:sz w:val="24"/>
      <w:szCs w:val="24"/>
    </w:rPr>
  </w:style>
  <w:style w:type="paragraph" w:styleId="978" w:customStyle="1">
    <w:name w:val="msonormal"/>
    <w:basedOn w:val="668"/>
    <w:uiPriority w:val="0"/>
    <w:qFormat/>
    <w:pPr>
      <w:jc w:val="left"/>
      <w:spacing w:before="100" w:beforeAutospacing="1" w:after="100" w:afterAutospacing="1"/>
      <w:widowControl/>
    </w:pPr>
    <w:rPr>
      <w:rFonts w:ascii="宋体" w:hAnsi="宋体" w:cs="宋体"/>
      <w:sz w:val="24"/>
      <w:szCs w:val="24"/>
    </w:rPr>
  </w:style>
  <w:style w:type="character" w:styleId="979" w:customStyle="1">
    <w:name w:val="批注文字 字符"/>
    <w:link w:val="668"/>
    <w:uiPriority w:val="0"/>
    <w:qFormat/>
    <w:rPr>
      <w:sz w:val="21"/>
      <w:szCs w:val="22"/>
    </w:rPr>
  </w:style>
  <w:style w:type="character" w:styleId="980" w:customStyle="1">
    <w:name w:val="页眉 字符"/>
    <w:link w:val="668"/>
    <w:uiPriority w:val="99"/>
    <w:qFormat/>
    <w:rPr>
      <w:sz w:val="18"/>
      <w:szCs w:val="18"/>
    </w:rPr>
  </w:style>
  <w:style w:type="character" w:styleId="981" w:customStyle="1">
    <w:name w:val="正文文本缩进 字符"/>
    <w:link w:val="668"/>
    <w:uiPriority w:val="99"/>
    <w:qFormat/>
    <w:rPr>
      <w:sz w:val="21"/>
      <w:szCs w:val="22"/>
    </w:rPr>
  </w:style>
  <w:style w:type="character" w:styleId="982" w:customStyle="1">
    <w:name w:val="副标题 字符"/>
    <w:link w:val="668"/>
    <w:uiPriority w:val="0"/>
    <w:qFormat/>
    <w:rPr>
      <w:rFonts w:ascii="Cambria" w:hAnsi="Cambria" w:cs="Times New Roman"/>
      <w:b/>
      <w:bCs/>
      <w:sz w:val="32"/>
      <w:szCs w:val="32"/>
    </w:rPr>
  </w:style>
  <w:style w:type="character" w:styleId="983" w:customStyle="1">
    <w:name w:val="正文文本首行缩进 2 字符"/>
    <w:link w:val="668"/>
    <w:uiPriority w:val="99"/>
    <w:qFormat/>
  </w:style>
  <w:style w:type="character" w:styleId="984" w:customStyle="1">
    <w:name w:val="正文文本缩进 2 字符"/>
    <w:link w:val="668"/>
    <w:uiPriority w:val="0"/>
    <w:qFormat/>
    <w:rPr>
      <w:sz w:val="21"/>
      <w:szCs w:val="22"/>
    </w:rPr>
  </w:style>
  <w:style w:type="character" w:styleId="985" w:customStyle="1">
    <w:name w:val="批注主题 字符"/>
    <w:link w:val="668"/>
    <w:uiPriority w:val="0"/>
    <w:qFormat/>
    <w:rPr>
      <w:b/>
      <w:bCs/>
      <w:sz w:val="21"/>
      <w:szCs w:val="22"/>
    </w:rPr>
  </w:style>
  <w:style w:type="character" w:styleId="986" w:customStyle="1">
    <w:name w:val="列出段落 Char1"/>
    <w:link w:val="987"/>
    <w:uiPriority w:val="34"/>
    <w:qFormat/>
    <w:rPr>
      <w:rFonts w:cs="Calibri"/>
      <w:sz w:val="21"/>
      <w:szCs w:val="22"/>
    </w:rPr>
  </w:style>
  <w:style w:type="paragraph" w:styleId="987" w:customStyle="1">
    <w:name w:val="列出段落"/>
    <w:basedOn w:val="668"/>
    <w:link w:val="986"/>
    <w:uiPriority w:val="34"/>
    <w:qFormat/>
    <w:pPr>
      <w:ind w:firstLine="420"/>
    </w:pPr>
  </w:style>
  <w:style w:type="paragraph" w:styleId="988" w:customStyle="1">
    <w:name w:val="Plain Text1"/>
    <w:basedOn w:val="668"/>
    <w:uiPriority w:val="0"/>
    <w:qFormat/>
    <w:rPr>
      <w:rFonts w:ascii="宋体" w:hAnsi="Courier New" w:eastAsia="楷体_GB2312"/>
      <w:sz w:val="26"/>
      <w:szCs w:val="20"/>
    </w:rPr>
  </w:style>
  <w:style w:type="paragraph" w:styleId="989" w:customStyle="1">
    <w:name w:val="Char1 Char Char Char"/>
    <w:basedOn w:val="668"/>
    <w:uiPriority w:val="0"/>
    <w:qFormat/>
    <w:rPr>
      <w:szCs w:val="24"/>
    </w:rPr>
  </w:style>
  <w:style w:type="paragraph" w:styleId="990" w:customStyle="1">
    <w:name w:val="符号列表"/>
    <w:basedOn w:val="66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91" w:customStyle="1">
    <w:name w:val="xl71"/>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92" w:customStyle="1">
    <w:name w:val="段"/>
    <w:next w:val="668"/>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993" w:customStyle="1">
    <w:name w:val="纯文本3"/>
    <w:basedOn w:val="668"/>
    <w:uiPriority w:val="0"/>
    <w:qFormat/>
    <w:pPr>
      <w:jc w:val="left"/>
      <w:widowControl/>
    </w:pPr>
    <w:rPr>
      <w:rFonts w:ascii="宋体" w:hAnsi="Courier New" w:eastAsia="楷体_GB2312"/>
      <w:sz w:val="26"/>
      <w:szCs w:val="20"/>
    </w:rPr>
  </w:style>
  <w:style w:type="paragraph" w:styleId="994" w:customStyle="1">
    <w:name w:val="xl94"/>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5" w:customStyle="1">
    <w:name w:val="列出段落1"/>
    <w:basedOn w:val="668"/>
    <w:link w:val="996"/>
    <w:uiPriority w:val="0"/>
    <w:qFormat/>
    <w:pPr>
      <w:ind w:firstLine="420"/>
    </w:pPr>
  </w:style>
  <w:style w:type="character" w:styleId="996" w:customStyle="1">
    <w:name w:val="List Paragraph Char"/>
    <w:link w:val="995"/>
    <w:uiPriority w:val="0"/>
    <w:qFormat/>
    <w:rPr>
      <w:sz w:val="21"/>
      <w:szCs w:val="22"/>
    </w:rPr>
  </w:style>
  <w:style w:type="paragraph" w:styleId="997" w:customStyle="1">
    <w:name w:val="xl82"/>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8" w:customStyle="1">
    <w:name w:val="xl101"/>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9" w:customStyle="1">
    <w:name w:val="Char Char2"/>
    <w:basedOn w:val="733"/>
    <w:uiPriority w:val="0"/>
    <w:qFormat/>
    <w:pPr>
      <w:spacing w:line="360" w:lineRule="auto"/>
    </w:pPr>
    <w:rPr>
      <w:rFonts w:ascii="等线" w:hAnsi="等线" w:eastAsia="等线"/>
    </w:rPr>
  </w:style>
  <w:style w:type="paragraph" w:styleId="1000" w:customStyle="1">
    <w:name w:val="xl99"/>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1" w:customStyle="1">
    <w:name w:val="Char"/>
    <w:basedOn w:val="733"/>
    <w:uiPriority w:val="0"/>
    <w:qFormat/>
    <w:pPr>
      <w:jc w:val="both"/>
      <w:spacing w:line="360" w:lineRule="auto"/>
      <w:widowControl w:val="off"/>
    </w:pPr>
    <w:rPr>
      <w:sz w:val="21"/>
    </w:rPr>
  </w:style>
  <w:style w:type="paragraph" w:styleId="1002" w:customStyle="1">
    <w:name w:val="xl100"/>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03" w:customStyle="1">
    <w:name w:val="xl87"/>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4" w:customStyle="1">
    <w:name w:val="xl98"/>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xl72"/>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6" w:customStyle="1">
    <w:name w:val="xl95"/>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7" w:customStyle="1">
    <w:name w:val="xl90"/>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8" w:customStyle="1">
    <w:name w:val="xl102"/>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09" w:customStyle="1">
    <w:name w:val="正文文本 3 Char"/>
    <w:link w:val="1010"/>
    <w:uiPriority w:val="0"/>
    <w:qFormat/>
    <w:rPr>
      <w:rFonts w:ascii="仿宋_GB2312" w:eastAsia="仿宋_GB2312"/>
      <w:sz w:val="16"/>
      <w:szCs w:val="16"/>
    </w:rPr>
  </w:style>
  <w:style w:type="paragraph" w:styleId="1010" w:customStyle="1">
    <w:name w:val="正文文本 31"/>
    <w:basedOn w:val="668"/>
    <w:link w:val="1009"/>
    <w:uiPriority w:val="0"/>
    <w:qFormat/>
    <w:pPr>
      <w:spacing w:after="120"/>
      <w:widowControl/>
    </w:pPr>
    <w:rPr>
      <w:rFonts w:ascii="仿宋_GB2312" w:eastAsia="仿宋_GB2312"/>
      <w:sz w:val="16"/>
      <w:szCs w:val="16"/>
    </w:rPr>
  </w:style>
  <w:style w:type="paragraph" w:styleId="1011" w:customStyle="1">
    <w:name w:val="xl79"/>
    <w:basedOn w:val="6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2" w:customStyle="1">
    <w:name w:val="Char1"/>
    <w:basedOn w:val="668"/>
    <w:uiPriority w:val="0"/>
    <w:qFormat/>
    <w:rPr>
      <w:rFonts w:ascii="Tahoma" w:hAnsi="Tahoma"/>
      <w:sz w:val="24"/>
      <w:szCs w:val="20"/>
    </w:rPr>
  </w:style>
  <w:style w:type="paragraph" w:styleId="1013" w:customStyle="1">
    <w:name w:val="a6"/>
    <w:basedOn w:val="668"/>
    <w:uiPriority w:val="0"/>
    <w:qFormat/>
    <w:pPr>
      <w:jc w:val="left"/>
      <w:spacing w:before="100" w:beforeAutospacing="1" w:after="100" w:afterAutospacing="1"/>
      <w:widowControl/>
    </w:pPr>
    <w:rPr>
      <w:rFonts w:ascii="宋体" w:hAnsi="宋体" w:cs="宋体"/>
      <w:sz w:val="24"/>
      <w:szCs w:val="24"/>
    </w:rPr>
  </w:style>
  <w:style w:type="paragraph" w:styleId="1014" w:customStyle="1">
    <w:name w:val="_Style 107"/>
    <w:next w:val="668"/>
    <w:uiPriority w:val="0"/>
    <w:qFormat/>
    <w:rPr>
      <w:rFonts w:hint="default" w:ascii="Times New Roman" w:hAnsi="Times New Roman" w:eastAsia="宋体" w:cs="Times New Roman"/>
      <w:sz w:val="24"/>
      <w:szCs w:val="24"/>
      <w:lang w:val="en-US" w:eastAsia="zh-CN" w:bidi="ar-SA"/>
    </w:rPr>
  </w:style>
  <w:style w:type="paragraph" w:styleId="1015" w:customStyle="1">
    <w:name w:val="xl97"/>
    <w:basedOn w:val="66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6" w:customStyle="1">
    <w:name w:val="正文2"/>
    <w:basedOn w:val="668"/>
    <w:uiPriority w:val="0"/>
    <w:qFormat/>
    <w:pPr>
      <w:ind w:firstLine="200"/>
      <w:jc w:val="left"/>
      <w:spacing w:after="160" w:line="360" w:lineRule="auto"/>
      <w:widowControl/>
    </w:pPr>
    <w:rPr>
      <w:rFonts w:ascii="Verdana" w:hAnsi="Verdana" w:eastAsia="黑体"/>
      <w:szCs w:val="20"/>
      <w:lang w:eastAsia="en-US"/>
    </w:rPr>
  </w:style>
  <w:style w:type="paragraph" w:styleId="1017" w:customStyle="1">
    <w:name w:val="正文1"/>
    <w:basedOn w:val="668"/>
    <w:next w:val="668"/>
    <w:uiPriority w:val="0"/>
    <w:qFormat/>
    <w:pPr>
      <w:ind w:left="420" w:firstLine="527"/>
      <w:spacing w:before="120" w:line="360" w:lineRule="auto"/>
    </w:pPr>
    <w:rPr>
      <w:rFonts w:ascii="宋体" w:hAnsi="宋体"/>
      <w:sz w:val="24"/>
      <w:szCs w:val="20"/>
    </w:rPr>
  </w:style>
  <w:style w:type="paragraph" w:styleId="1018" w:customStyle="1">
    <w:name w:val="xl85"/>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9" w:customStyle="1">
    <w:name w:val="_Style 49"/>
    <w:basedOn w:val="733"/>
    <w:uiPriority w:val="0"/>
    <w:qFormat/>
    <w:pPr>
      <w:spacing w:line="360" w:lineRule="auto"/>
    </w:pPr>
  </w:style>
  <w:style w:type="paragraph" w:styleId="1020" w:customStyle="1">
    <w:name w:val="xl92"/>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1" w:customStyle="1">
    <w:name w:val="xl88"/>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2" w:customStyle="1">
    <w:name w:val="xl80"/>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3" w:customStyle="1">
    <w:name w:val="xl7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4" w:customStyle="1">
    <w:name w:val="Char Char Char Char Char Char Char Char Char Char"/>
    <w:basedOn w:val="668"/>
    <w:uiPriority w:val="0"/>
    <w:qFormat/>
    <w:pPr>
      <w:numPr>
        <w:ilvl w:val="0"/>
        <w:numId w:val="2"/>
      </w:numPr>
      <w:tabs>
        <w:tab w:val="left" w:pos="360" w:leader="none"/>
        <w:tab w:val="left" w:pos="960" w:leader="none"/>
      </w:tabs>
    </w:pPr>
    <w:rPr>
      <w:sz w:val="24"/>
      <w:szCs w:val="24"/>
    </w:rPr>
  </w:style>
  <w:style w:type="paragraph" w:styleId="1025" w:customStyle="1">
    <w:name w:val="Char Char Char Char Char Char Char Char Char1 Char"/>
    <w:basedOn w:val="733"/>
    <w:uiPriority w:val="0"/>
    <w:qFormat/>
    <w:pPr>
      <w:jc w:val="both"/>
      <w:spacing w:line="360" w:lineRule="auto"/>
      <w:widowControl w:val="off"/>
    </w:pPr>
    <w:rPr>
      <w:rFonts w:ascii="Tahoma" w:hAnsi="Tahoma"/>
    </w:rPr>
  </w:style>
  <w:style w:type="paragraph" w:styleId="1026" w:customStyle="1">
    <w:name w:val="xl103"/>
    <w:basedOn w:val="66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27" w:customStyle="1">
    <w:name w:val="xl96"/>
    <w:basedOn w:val="66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8" w:customStyle="1">
    <w:name w:val="xl76"/>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9" w:customStyle="1">
    <w:name w:val="xl84"/>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30" w:customStyle="1">
    <w:name w:val="表格 Char"/>
    <w:link w:val="1031"/>
    <w:uiPriority w:val="0"/>
    <w:qFormat/>
    <w:rPr>
      <w:rFonts w:ascii="仿宋" w:hAnsi="仿宋" w:eastAsia="仿宋"/>
      <w:sz w:val="21"/>
      <w:szCs w:val="22"/>
      <w:lang w:val="en-US" w:eastAsia="zh-CN" w:bidi="ar-SA"/>
    </w:rPr>
  </w:style>
  <w:style w:type="paragraph" w:styleId="1031" w:customStyle="1">
    <w:name w:val="表格"/>
    <w:link w:val="1030"/>
    <w:uiPriority w:val="0"/>
    <w:qFormat/>
    <w:pPr>
      <w:jc w:val="center"/>
    </w:pPr>
    <w:rPr>
      <w:rFonts w:hint="default" w:ascii="仿宋" w:hAnsi="仿宋" w:eastAsia="仿宋" w:cs="Times New Roman"/>
      <w:sz w:val="21"/>
      <w:szCs w:val="22"/>
      <w:lang w:val="en-US" w:eastAsia="zh-CN" w:bidi="ar-SA"/>
    </w:rPr>
  </w:style>
  <w:style w:type="character" w:styleId="1032" w:customStyle="1">
    <w:name w:val="1级 Char Char"/>
    <w:link w:val="1033"/>
    <w:uiPriority w:val="0"/>
    <w:qFormat/>
    <w:rPr>
      <w:rFonts w:cs="Calibri"/>
      <w:sz w:val="36"/>
      <w:szCs w:val="36"/>
      <w:lang w:eastAsia="en-US" w:bidi="en-US"/>
    </w:rPr>
  </w:style>
  <w:style w:type="paragraph" w:styleId="1033" w:customStyle="1">
    <w:name w:val="1级"/>
    <w:basedOn w:val="668"/>
    <w:link w:val="1032"/>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34" w:customStyle="1">
    <w:name w:val="xl67"/>
    <w:basedOn w:val="6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5" w:customStyle="1">
    <w:name w:val="表格文字"/>
    <w:basedOn w:val="668"/>
    <w:uiPriority w:val="0"/>
    <w:qFormat/>
    <w:pPr>
      <w:jc w:val="left"/>
      <w:spacing w:line="288" w:lineRule="auto"/>
    </w:pPr>
    <w:rPr>
      <w:rFonts w:ascii="宋体"/>
      <w:sz w:val="34"/>
      <w:szCs w:val="20"/>
    </w:rPr>
  </w:style>
  <w:style w:type="paragraph" w:styleId="1036" w:customStyle="1">
    <w:name w:val="默认段落字体 Para Char Char Char Char Char Char Char Char Char Char Char Char Char"/>
    <w:basedOn w:val="668"/>
    <w:uiPriority w:val="0"/>
    <w:qFormat/>
    <w:rPr>
      <w:rFonts w:ascii="等线" w:hAnsi="等线" w:eastAsia="等线"/>
      <w:szCs w:val="24"/>
    </w:rPr>
  </w:style>
  <w:style w:type="paragraph" w:styleId="1037" w:customStyle="1">
    <w:name w:val="纯文本5"/>
    <w:basedOn w:val="668"/>
    <w:uiPriority w:val="0"/>
    <w:qFormat/>
    <w:rPr>
      <w:rFonts w:ascii="宋体" w:hAnsi="Courier New" w:eastAsia="楷体_GB2312"/>
      <w:sz w:val="26"/>
      <w:szCs w:val="20"/>
      <w:lang w:val="zh-CN"/>
    </w:rPr>
  </w:style>
  <w:style w:type="paragraph" w:styleId="1038" w:customStyle="1">
    <w:name w:val="_Style 12"/>
    <w:basedOn w:val="733"/>
    <w:uiPriority w:val="0"/>
    <w:qFormat/>
    <w:pPr>
      <w:spacing w:line="360" w:lineRule="auto"/>
    </w:pPr>
  </w:style>
  <w:style w:type="paragraph" w:styleId="1039" w:customStyle="1">
    <w:name w:val="Char Char Char"/>
    <w:basedOn w:val="668"/>
    <w:uiPriority w:val="0"/>
    <w:qFormat/>
    <w:pPr>
      <w:ind w:left="795" w:hanging="360"/>
      <w:tabs>
        <w:tab w:val="left" w:pos="795" w:leader="none"/>
      </w:tabs>
    </w:pPr>
    <w:rPr>
      <w:sz w:val="24"/>
      <w:szCs w:val="24"/>
    </w:rPr>
  </w:style>
  <w:style w:type="paragraph" w:styleId="1040" w:customStyle="1">
    <w:name w:val="xl89"/>
    <w:basedOn w:val="66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41" w:customStyle="1">
    <w:name w:val="xl63"/>
    <w:basedOn w:val="668"/>
    <w:uiPriority w:val="0"/>
    <w:qFormat/>
    <w:pPr>
      <w:jc w:val="left"/>
      <w:spacing w:before="100" w:beforeAutospacing="1" w:after="100" w:afterAutospacing="1"/>
      <w:widowControl/>
    </w:pPr>
    <w:rPr>
      <w:rFonts w:ascii="宋体" w:hAnsi="宋体" w:cs="宋体"/>
      <w:sz w:val="24"/>
      <w:szCs w:val="24"/>
    </w:rPr>
  </w:style>
  <w:style w:type="paragraph" w:styleId="1042" w:customStyle="1">
    <w:name w:val="xl70"/>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3" w:customStyle="1">
    <w:name w:val="Char Char Char1 Char Char Char Char"/>
    <w:basedOn w:val="668"/>
    <w:uiPriority w:val="0"/>
    <w:qFormat/>
    <w:pPr>
      <w:jc w:val="left"/>
      <w:spacing w:after="160" w:line="240" w:lineRule="exact"/>
      <w:widowControl/>
    </w:pPr>
    <w:rPr>
      <w:sz w:val="24"/>
      <w:szCs w:val="24"/>
    </w:rPr>
  </w:style>
  <w:style w:type="paragraph" w:styleId="1044" w:customStyle="1">
    <w:name w:val="Char Char Char Char"/>
    <w:basedOn w:val="733"/>
    <w:uiPriority w:val="0"/>
    <w:qFormat/>
    <w:pPr>
      <w:jc w:val="both"/>
      <w:spacing w:line="360" w:lineRule="auto"/>
      <w:widowControl w:val="off"/>
    </w:pPr>
    <w:rPr>
      <w:szCs w:val="20"/>
    </w:rPr>
  </w:style>
  <w:style w:type="paragraph" w:styleId="1045" w:customStyle="1">
    <w:name w:val="xl83"/>
    <w:basedOn w:val="66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6" w:customStyle="1">
    <w:name w:val="p0"/>
    <w:basedOn w:val="668"/>
    <w:uiPriority w:val="0"/>
    <w:qFormat/>
    <w:pPr>
      <w:jc w:val="left"/>
      <w:widowControl/>
    </w:pPr>
    <w:rPr>
      <w:sz w:val="24"/>
      <w:szCs w:val="24"/>
    </w:rPr>
  </w:style>
  <w:style w:type="paragraph" w:styleId="1047" w:customStyle="1">
    <w:name w:val="xl74"/>
    <w:basedOn w:val="668"/>
    <w:uiPriority w:val="0"/>
    <w:qFormat/>
    <w:pPr>
      <w:jc w:val="left"/>
      <w:spacing w:before="100" w:beforeAutospacing="1" w:after="100" w:afterAutospacing="1"/>
      <w:widowControl/>
    </w:pPr>
    <w:rPr>
      <w:rFonts w:ascii="宋体" w:hAnsi="宋体" w:cs="宋体"/>
      <w:sz w:val="24"/>
      <w:szCs w:val="24"/>
    </w:rPr>
  </w:style>
  <w:style w:type="paragraph" w:styleId="1048" w:customStyle="1">
    <w:name w:val="xl68"/>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9" w:customStyle="1">
    <w:name w:val="xl75"/>
    <w:basedOn w:val="66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0" w:customStyle="1">
    <w:name w:val="_Style 3"/>
    <w:basedOn w:val="668"/>
    <w:uiPriority w:val="0"/>
    <w:qFormat/>
    <w:pPr>
      <w:ind w:left="795" w:hanging="360"/>
      <w:tabs>
        <w:tab w:val="left" w:pos="540" w:leader="none"/>
        <w:tab w:val="left" w:pos="795" w:leader="none"/>
      </w:tabs>
    </w:pPr>
    <w:rPr>
      <w:sz w:val="24"/>
      <w:szCs w:val="24"/>
    </w:rPr>
  </w:style>
  <w:style w:type="paragraph" w:styleId="1051" w:customStyle="1">
    <w:name w:val="_Style 1"/>
    <w:basedOn w:val="668"/>
    <w:uiPriority w:val="34"/>
    <w:qFormat/>
    <w:pPr>
      <w:ind w:firstLine="420"/>
      <w:jc w:val="left"/>
      <w:widowControl/>
    </w:pPr>
    <w:rPr>
      <w:sz w:val="24"/>
      <w:szCs w:val="24"/>
    </w:rPr>
  </w:style>
  <w:style w:type="paragraph" w:styleId="1052" w:customStyle="1">
    <w:name w:val="xl104"/>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53" w:customStyle="1">
    <w:name w:val="xl73"/>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4" w:customStyle="1">
    <w:name w:val="_Style 79"/>
    <w:basedOn w:val="668"/>
    <w:uiPriority w:val="0"/>
    <w:qFormat/>
    <w:pPr>
      <w:spacing w:after="160" w:line="240" w:lineRule="exact"/>
    </w:pPr>
    <w:rPr>
      <w:szCs w:val="24"/>
    </w:rPr>
  </w:style>
  <w:style w:type="paragraph" w:styleId="1055" w:customStyle="1">
    <w:name w:val="纯文本1"/>
    <w:basedOn w:val="668"/>
    <w:uiPriority w:val="0"/>
    <w:qFormat/>
    <w:rPr>
      <w:rFonts w:ascii="宋体" w:hAnsi="Courier New" w:eastAsia="楷体_GB2312"/>
      <w:sz w:val="28"/>
      <w:szCs w:val="20"/>
    </w:rPr>
  </w:style>
  <w:style w:type="paragraph" w:styleId="1056" w:customStyle="1">
    <w:name w:val="xl78"/>
    <w:basedOn w:val="66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7" w:customStyle="1">
    <w:name w:val="xl6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8" w:customStyle="1">
    <w:name w:val="p18"/>
    <w:basedOn w:val="668"/>
    <w:uiPriority w:val="0"/>
    <w:qFormat/>
    <w:pPr>
      <w:ind w:firstLine="420"/>
      <w:jc w:val="left"/>
      <w:widowControl/>
    </w:pPr>
    <w:rPr>
      <w:sz w:val="24"/>
      <w:szCs w:val="24"/>
    </w:rPr>
  </w:style>
  <w:style w:type="paragraph" w:styleId="1059" w:customStyle="1">
    <w:name w:val="xl93"/>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customStyle="1">
    <w:name w:val="默认段落字体 Para Char Char Char Char Char Char Char Char Char1 Char Char Char Char Char Char Char"/>
    <w:basedOn w:val="733"/>
    <w:uiPriority w:val="0"/>
    <w:qFormat/>
    <w:pPr>
      <w:jc w:val="both"/>
      <w:widowControl w:val="off"/>
    </w:pPr>
    <w:rPr>
      <w:sz w:val="21"/>
    </w:rPr>
  </w:style>
  <w:style w:type="paragraph" w:styleId="1061" w:customStyle="1">
    <w:name w:val="font5"/>
    <w:basedOn w:val="668"/>
    <w:uiPriority w:val="0"/>
    <w:qFormat/>
    <w:pPr>
      <w:jc w:val="left"/>
      <w:spacing w:before="100" w:beforeAutospacing="1" w:after="100" w:afterAutospacing="1"/>
      <w:widowControl/>
    </w:pPr>
    <w:rPr>
      <w:rFonts w:ascii="宋体" w:hAnsi="宋体" w:cs="宋体"/>
      <w:sz w:val="18"/>
      <w:szCs w:val="18"/>
    </w:rPr>
  </w:style>
  <w:style w:type="paragraph" w:styleId="1062"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character" w:styleId="1063" w:customStyle="1">
    <w:name w:val="正文文本_"/>
    <w:link w:val="1064"/>
    <w:uiPriority w:val="0"/>
    <w:qFormat/>
    <w:rPr>
      <w:rFonts w:ascii="MingLiU" w:hAnsi="MingLiU" w:eastAsia="MingLiU"/>
      <w:szCs w:val="21"/>
      <w:shd w:val="clear" w:color="auto" w:fill="ffffff"/>
    </w:rPr>
  </w:style>
  <w:style w:type="paragraph" w:styleId="1064" w:customStyle="1">
    <w:name w:val="正文文本1"/>
    <w:basedOn w:val="668"/>
    <w:link w:val="1063"/>
    <w:uiPriority w:val="0"/>
    <w:qFormat/>
    <w:pPr>
      <w:jc w:val="left"/>
      <w:spacing w:line="403" w:lineRule="exact"/>
      <w:shd w:val="clear" w:color="auto" w:fill="ffffff"/>
    </w:pPr>
    <w:rPr>
      <w:rFonts w:ascii="MingLiU" w:hAnsi="MingLiU" w:eastAsia="MingLiU"/>
      <w:sz w:val="20"/>
      <w:szCs w:val="21"/>
    </w:rPr>
  </w:style>
  <w:style w:type="paragraph" w:styleId="1065" w:customStyle="1">
    <w:name w:val="xl81"/>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6" w:customStyle="1">
    <w:name w:val="Char Char1 Char Char Char Char Char Char Char"/>
    <w:basedOn w:val="668"/>
    <w:uiPriority w:val="0"/>
    <w:qFormat/>
    <w:rPr>
      <w:rFonts w:ascii="Tahoma" w:hAnsi="Tahoma" w:eastAsia="等线"/>
      <w:sz w:val="24"/>
      <w:szCs w:val="20"/>
    </w:rPr>
  </w:style>
  <w:style w:type="paragraph" w:styleId="1067" w:customStyle="1">
    <w:name w:val="xl91"/>
    <w:basedOn w:val="66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8" w:customStyle="1">
    <w:name w:val="xl69"/>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9" w:customStyle="1">
    <w:name w:val="xl64"/>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0" w:customStyle="1">
    <w:name w:val="_Style 36"/>
    <w:basedOn w:val="733"/>
    <w:uiPriority w:val="0"/>
    <w:qFormat/>
    <w:pPr>
      <w:spacing w:line="360" w:lineRule="auto"/>
    </w:pPr>
  </w:style>
  <w:style w:type="paragraph" w:styleId="1071" w:customStyle="1">
    <w:name w:val="_Style 26"/>
    <w:basedOn w:val="733"/>
    <w:uiPriority w:val="0"/>
    <w:qFormat/>
    <w:pPr>
      <w:spacing w:line="360" w:lineRule="auto"/>
    </w:pPr>
  </w:style>
  <w:style w:type="paragraph" w:styleId="1072" w:customStyle="1">
    <w:name w:val="H-TextFormat"/>
    <w:uiPriority w:val="0"/>
    <w:qFormat/>
    <w:rPr>
      <w:rFonts w:hint="default" w:ascii="Arial" w:hAnsi="Arial" w:eastAsia="宋体" w:cs="Times New Roman"/>
      <w:sz w:val="22"/>
      <w:lang w:val="en-GB" w:eastAsia="en-US" w:bidi="ar-SA"/>
    </w:rPr>
  </w:style>
  <w:style w:type="paragraph" w:styleId="1073" w:customStyle="1">
    <w:name w:val="文字"/>
    <w:basedOn w:val="668"/>
    <w:uiPriority w:val="0"/>
    <w:qFormat/>
    <w:pPr>
      <w:ind w:right="-210" w:firstLine="556"/>
      <w:spacing w:line="312" w:lineRule="auto"/>
      <w:tabs>
        <w:tab w:val="left" w:pos="8520" w:leader="none"/>
      </w:tabs>
    </w:pPr>
    <w:rPr>
      <w:rFonts w:ascii="宋体" w:hAnsi="宋体"/>
      <w:sz w:val="28"/>
      <w:szCs w:val="20"/>
    </w:rPr>
  </w:style>
  <w:style w:type="paragraph" w:styleId="1074" w:customStyle="1">
    <w:name w:val="xl8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5" w:customStyle="1">
    <w:name w:val="xl65"/>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76" w:customStyle="1">
    <w:name w:val="批注框文本 Char"/>
    <w:link w:val="668"/>
    <w:uiPriority w:val="0"/>
    <w:qFormat/>
    <w:rPr>
      <w:sz w:val="18"/>
      <w:szCs w:val="18"/>
    </w:rPr>
  </w:style>
  <w:style w:type="character" w:styleId="1077" w:customStyle="1">
    <w:name w:val="纯文本 Char2"/>
    <w:link w:val="668"/>
    <w:uiPriority w:val="99"/>
    <w:semiHidden/>
    <w:qFormat/>
    <w:rPr>
      <w:rFonts w:hint="eastAsia" w:ascii="宋体" w:hAnsi="Courier New" w:eastAsia="宋体" w:cs="Courier New"/>
      <w:sz w:val="21"/>
      <w:szCs w:val="21"/>
    </w:rPr>
  </w:style>
  <w:style w:type="character" w:styleId="1078" w:customStyle="1">
    <w:name w:val="批注文字 Char"/>
    <w:link w:val="668"/>
    <w:uiPriority w:val="0"/>
    <w:qFormat/>
    <w:rPr>
      <w:sz w:val="24"/>
      <w:szCs w:val="24"/>
    </w:rPr>
  </w:style>
  <w:style w:type="character" w:styleId="1079" w:customStyle="1">
    <w:name w:val="纯文本 Char"/>
    <w:link w:val="668"/>
    <w:uiPriority w:val="0"/>
    <w:qFormat/>
    <w:rPr>
      <w:rFonts w:hint="eastAsia" w:ascii="宋体" w:hAnsi="Courier New" w:eastAsia="楷体_GB2312"/>
      <w:sz w:val="26"/>
    </w:rPr>
  </w:style>
  <w:style w:type="character" w:styleId="1080" w:customStyle="1">
    <w:name w:val="文档结构图 Char"/>
    <w:link w:val="668"/>
    <w:uiPriority w:val="0"/>
    <w:qFormat/>
    <w:rPr>
      <w:sz w:val="24"/>
      <w:szCs w:val="24"/>
      <w:shd w:val="clear" w:color="auto" w:fill="000080"/>
    </w:rPr>
  </w:style>
  <w:style w:type="character" w:styleId="1081" w:customStyle="1">
    <w:name w:val="正文文本 + Microsoft Sans Serif"/>
    <w:link w:val="668"/>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82" w:customStyle="1">
    <w:name w:val="页脚 Char"/>
    <w:link w:val="668"/>
    <w:uiPriority w:val="99"/>
    <w:qFormat/>
    <w:rPr>
      <w:sz w:val="18"/>
      <w:szCs w:val="18"/>
    </w:rPr>
  </w:style>
  <w:style w:type="character" w:styleId="1083" w:customStyle="1">
    <w:name w:val="标题 Char"/>
    <w:link w:val="668"/>
    <w:uiPriority w:val="0"/>
    <w:qFormat/>
    <w:rPr>
      <w:rFonts w:ascii="Cambria" w:hAnsi="Cambria"/>
      <w:b/>
      <w:bCs/>
      <w:sz w:val="32"/>
      <w:szCs w:val="32"/>
    </w:rPr>
  </w:style>
  <w:style w:type="character" w:styleId="1084" w:customStyle="1">
    <w:name w:val="Plain Text Char Char"/>
    <w:link w:val="668"/>
    <w:uiPriority w:val="0"/>
    <w:qFormat/>
    <w:rPr>
      <w:rFonts w:hint="eastAsia" w:ascii="宋体" w:hAnsi="Courier New" w:eastAsia="楷体_GB2312"/>
      <w:sz w:val="26"/>
    </w:rPr>
  </w:style>
  <w:style w:type="character" w:styleId="1085" w:customStyle="1">
    <w:name w:val="正文文本 Char"/>
    <w:link w:val="668"/>
    <w:uiPriority w:val="0"/>
    <w:qFormat/>
    <w:rPr>
      <w:sz w:val="24"/>
      <w:szCs w:val="24"/>
    </w:rPr>
  </w:style>
  <w:style w:type="character" w:styleId="1086" w:customStyle="1">
    <w:name w:val="font01"/>
    <w:link w:val="668"/>
    <w:uiPriority w:val="0"/>
    <w:qFormat/>
    <w:rPr>
      <w:rFonts w:hint="eastAsia" w:ascii="宋体" w:hAnsi="宋体" w:eastAsia="宋体" w:cs="宋体"/>
      <w:color w:val="000000"/>
      <w:sz w:val="24"/>
      <w:szCs w:val="24"/>
      <w:u w:val="none"/>
    </w:rPr>
  </w:style>
  <w:style w:type="character" w:styleId="1087" w:customStyle="1">
    <w:name w:val="font71"/>
    <w:link w:val="668"/>
    <w:uiPriority w:val="0"/>
    <w:qFormat/>
    <w:rPr>
      <w:rFonts w:ascii="Times New Roman" w:hAnsi="Times New Roman" w:cs="Times New Roman"/>
      <w:color w:val="000000"/>
      <w:sz w:val="24"/>
      <w:szCs w:val="24"/>
      <w:u w:val="none"/>
    </w:rPr>
  </w:style>
  <w:style w:type="character" w:styleId="1088" w:customStyle="1">
    <w:name w:val="正文文本缩进 3 字符2"/>
    <w:link w:val="668"/>
    <w:uiPriority w:val="0"/>
    <w:qFormat/>
    <w:rPr>
      <w:sz w:val="24"/>
      <w:szCs w:val="24"/>
    </w:rPr>
  </w:style>
  <w:style w:type="character" w:styleId="1089" w:customStyle="1">
    <w:name w:val="标题 2 Char"/>
    <w:link w:val="668"/>
    <w:uiPriority w:val="0"/>
    <w:qFormat/>
    <w:rPr>
      <w:rFonts w:ascii="Cambria" w:hAnsi="Cambria" w:eastAsia="宋体" w:cs="Times New Roman"/>
      <w:b/>
      <w:bCs/>
      <w:sz w:val="32"/>
      <w:szCs w:val="32"/>
    </w:rPr>
  </w:style>
  <w:style w:type="paragraph" w:styleId="1090" w:customStyle="1">
    <w:name w:val="2级"/>
    <w:basedOn w:val="1033"/>
    <w:link w:val="1091"/>
    <w:uiPriority w:val="0"/>
    <w:qFormat/>
    <w:pPr>
      <w:ind w:firstLine="420"/>
      <w:tabs>
        <w:tab w:val="left" w:pos="960" w:leader="none"/>
      </w:tabs>
      <w:outlineLvl w:val="1"/>
    </w:pPr>
    <w:rPr>
      <w:sz w:val="32"/>
      <w:szCs w:val="32"/>
    </w:rPr>
  </w:style>
  <w:style w:type="character" w:styleId="1091" w:customStyle="1">
    <w:name w:val="2级 Char Char"/>
    <w:link w:val="1090"/>
    <w:uiPriority w:val="0"/>
    <w:qFormat/>
    <w:rPr>
      <w:rFonts w:cs="Calibri"/>
      <w:sz w:val="32"/>
      <w:szCs w:val="32"/>
      <w:lang w:eastAsia="en-US" w:bidi="en-US"/>
    </w:rPr>
  </w:style>
  <w:style w:type="character" w:styleId="1092" w:customStyle="1">
    <w:name w:val="正文文本缩进 2 Char1"/>
    <w:link w:val="668"/>
    <w:uiPriority w:val="0"/>
    <w:semiHidden/>
    <w:qFormat/>
    <w:rPr>
      <w:rFonts w:hint="eastAsia" w:ascii="等线" w:hAnsi="等线" w:eastAsia="等线" w:cs="Times New Roman"/>
      <w:sz w:val="24"/>
      <w:szCs w:val="24"/>
    </w:rPr>
  </w:style>
  <w:style w:type="character" w:styleId="1093" w:customStyle="1">
    <w:name w:val="日期 Char"/>
    <w:link w:val="668"/>
    <w:uiPriority w:val="99"/>
    <w:qFormat/>
    <w:rPr>
      <w:b/>
      <w:bCs/>
      <w:spacing w:val="20"/>
      <w:sz w:val="21"/>
      <w:szCs w:val="24"/>
    </w:rPr>
  </w:style>
  <w:style w:type="character" w:styleId="1094" w:customStyle="1">
    <w:name w:val="正文文本 2 Char"/>
    <w:link w:val="668"/>
    <w:uiPriority w:val="0"/>
    <w:qFormat/>
    <w:rPr>
      <w:sz w:val="24"/>
      <w:szCs w:val="24"/>
    </w:rPr>
  </w:style>
  <w:style w:type="character" w:styleId="1095" w:customStyle="1">
    <w:name w:val="纯文本 字符1"/>
    <w:link w:val="668"/>
    <w:uiPriority w:val="99"/>
    <w:semiHidden/>
    <w:qFormat/>
    <w:rPr>
      <w:rFonts w:hint="eastAsia" w:ascii="等线" w:hAnsi="Courier New" w:eastAsia="等线" w:cs="Courier New"/>
      <w:sz w:val="24"/>
      <w:szCs w:val="24"/>
    </w:rPr>
  </w:style>
  <w:style w:type="character" w:styleId="1096" w:customStyle="1">
    <w:name w:val="批注框文本 字符1"/>
    <w:link w:val="668"/>
    <w:uiPriority w:val="99"/>
    <w:semiHidden/>
    <w:qFormat/>
    <w:rPr>
      <w:sz w:val="18"/>
      <w:szCs w:val="18"/>
    </w:rPr>
  </w:style>
  <w:style w:type="character" w:styleId="1097" w:customStyle="1">
    <w:name w:val="文档结构图 字符1"/>
    <w:link w:val="668"/>
    <w:uiPriority w:val="99"/>
    <w:semiHidden/>
    <w:qFormat/>
    <w:rPr>
      <w:rFonts w:hint="eastAsia" w:ascii="Microsoft YaHei UI" w:hAnsi="Microsoft YaHei UI" w:eastAsia="Microsoft YaHei UI"/>
      <w:sz w:val="18"/>
      <w:szCs w:val="18"/>
    </w:rPr>
  </w:style>
  <w:style w:type="character" w:styleId="1098" w:customStyle="1">
    <w:name w:val="正文文本缩进 3 字符1"/>
    <w:link w:val="668"/>
    <w:uiPriority w:val="0"/>
    <w:qFormat/>
    <w:rPr>
      <w:sz w:val="16"/>
      <w:szCs w:val="16"/>
    </w:rPr>
  </w:style>
  <w:style w:type="character" w:styleId="1099" w:customStyle="1">
    <w:name w:val="批注主题 字符1"/>
    <w:link w:val="668"/>
    <w:uiPriority w:val="99"/>
    <w:semiHidden/>
    <w:qFormat/>
    <w:rPr>
      <w:b/>
      <w:bCs/>
      <w:sz w:val="24"/>
      <w:szCs w:val="24"/>
    </w:rPr>
  </w:style>
  <w:style w:type="character" w:styleId="1100" w:customStyle="1">
    <w:name w:val="日期 字符1"/>
    <w:link w:val="668"/>
    <w:uiPriority w:val="99"/>
    <w:semiHidden/>
    <w:qFormat/>
    <w:rPr>
      <w:sz w:val="24"/>
      <w:szCs w:val="24"/>
    </w:rPr>
  </w:style>
  <w:style w:type="character" w:styleId="1101" w:customStyle="1">
    <w:name w:val="正文文本缩进 2 字符1"/>
    <w:link w:val="668"/>
    <w:uiPriority w:val="99"/>
    <w:semiHidden/>
    <w:qFormat/>
    <w:rPr>
      <w:sz w:val="24"/>
      <w:szCs w:val="24"/>
    </w:rPr>
  </w:style>
  <w:style w:type="character" w:styleId="1102" w:customStyle="1">
    <w:name w:val="正文文本 2 字符1"/>
    <w:link w:val="668"/>
    <w:uiPriority w:val="99"/>
    <w:semiHidden/>
    <w:qFormat/>
    <w:rPr>
      <w:sz w:val="24"/>
      <w:szCs w:val="24"/>
    </w:rPr>
  </w:style>
  <w:style w:type="character" w:styleId="1103" w:customStyle="1">
    <w:name w:val="正文文本缩进 字符1"/>
    <w:link w:val="668"/>
    <w:uiPriority w:val="99"/>
    <w:semiHidden/>
    <w:qFormat/>
    <w:rPr>
      <w:sz w:val="24"/>
      <w:szCs w:val="24"/>
    </w:rPr>
  </w:style>
  <w:style w:type="character" w:styleId="1104" w:customStyle="1">
    <w:name w:val="副标题 字符1"/>
    <w:link w:val="668"/>
    <w:uiPriority w:val="11"/>
    <w:qFormat/>
    <w:rPr>
      <w:rFonts w:hint="eastAsia" w:ascii="等线" w:hAnsi="等线" w:eastAsia="等线" w:cs="Times New Roman"/>
      <w:b/>
      <w:bCs/>
      <w:sz w:val="32"/>
      <w:szCs w:val="32"/>
    </w:rPr>
  </w:style>
  <w:style w:type="character" w:styleId="1105" w:customStyle="1">
    <w:name w:val="正文文本 字符1"/>
    <w:link w:val="668"/>
    <w:uiPriority w:val="99"/>
    <w:semiHidden/>
    <w:qFormat/>
    <w:rPr>
      <w:sz w:val="24"/>
      <w:szCs w:val="24"/>
    </w:rPr>
  </w:style>
  <w:style w:type="character" w:styleId="1106" w:customStyle="1">
    <w:name w:val="标题 字符1"/>
    <w:link w:val="668"/>
    <w:uiPriority w:val="10"/>
    <w:qFormat/>
    <w:rPr>
      <w:rFonts w:hint="eastAsia" w:ascii="等线 Light" w:hAnsi="等线 Light" w:eastAsia="等线 Light" w:cs="Times New Roman"/>
      <w:b/>
      <w:bCs/>
      <w:sz w:val="32"/>
      <w:szCs w:val="32"/>
    </w:rPr>
  </w:style>
  <w:style w:type="character" w:styleId="1107" w:customStyle="1">
    <w:name w:val="页眉 字符1"/>
    <w:link w:val="668"/>
    <w:uiPriority w:val="99"/>
    <w:semiHidden/>
    <w:qFormat/>
    <w:rPr>
      <w:sz w:val="18"/>
      <w:szCs w:val="18"/>
    </w:rPr>
  </w:style>
  <w:style w:type="character" w:styleId="1108" w:customStyle="1">
    <w:name w:val="页脚 字符1"/>
    <w:link w:val="668"/>
    <w:uiPriority w:val="99"/>
    <w:semiHidden/>
    <w:qFormat/>
    <w:rPr>
      <w:sz w:val="18"/>
      <w:szCs w:val="18"/>
    </w:rPr>
  </w:style>
  <w:style w:type="table" w:styleId="1109" w:customStyle="1">
    <w:name w:val="网格型1"/>
    <w:basedOn w:val="719"/>
    <w:uiPriority w:val="0"/>
    <w:qFormat/>
    <w:pPr>
      <w:jc w:val="both"/>
      <w:widowControl w:val="off"/>
    </w:pPr>
    <w:tblPr/>
  </w:style>
  <w:style w:type="paragraph" w:styleId="1110" w:customStyle="1">
    <w:name w:val="font0"/>
    <w:basedOn w:val="66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11" w:customStyle="1">
    <w:name w:val="font1"/>
    <w:basedOn w:val="668"/>
    <w:uiPriority w:val="0"/>
    <w:qFormat/>
    <w:pPr>
      <w:jc w:val="left"/>
      <w:spacing w:before="100" w:beforeAutospacing="1" w:after="100" w:afterAutospacing="1"/>
      <w:widowControl/>
    </w:pPr>
    <w:rPr>
      <w:rFonts w:ascii="宋体" w:hAnsi="宋体" w:cs="宋体"/>
      <w:color w:val="000000"/>
      <w:sz w:val="22"/>
    </w:rPr>
  </w:style>
  <w:style w:type="paragraph" w:styleId="1112" w:customStyle="1">
    <w:name w:val="font2"/>
    <w:basedOn w:val="66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13" w:customStyle="1">
    <w:name w:val="et3"/>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4" w:customStyle="1">
    <w:name w:val="et4"/>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5" w:customStyle="1">
    <w:name w:val="et5"/>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6" w:customStyle="1">
    <w:name w:val="et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7" w:customStyle="1">
    <w:name w:val="et7"/>
    <w:basedOn w:val="6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8" w:customStyle="1">
    <w:name w:val="et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9" w:customStyle="1">
    <w:name w:val="font3"/>
    <w:basedOn w:val="668"/>
    <w:uiPriority w:val="0"/>
    <w:qFormat/>
    <w:pPr>
      <w:jc w:val="left"/>
      <w:spacing w:before="100" w:beforeAutospacing="1" w:after="100" w:afterAutospacing="1"/>
      <w:widowControl/>
    </w:pPr>
    <w:rPr>
      <w:rFonts w:cs="Calibri"/>
      <w:color w:val="000000"/>
      <w:szCs w:val="21"/>
    </w:rPr>
  </w:style>
  <w:style w:type="paragraph" w:styleId="1120" w:customStyle="1">
    <w:name w:val="font4"/>
    <w:basedOn w:val="668"/>
    <w:uiPriority w:val="0"/>
    <w:qFormat/>
    <w:pPr>
      <w:jc w:val="left"/>
      <w:spacing w:before="100" w:beforeAutospacing="1" w:after="100" w:afterAutospacing="1"/>
      <w:widowControl/>
    </w:pPr>
    <w:rPr>
      <w:rFonts w:ascii="宋体" w:hAnsi="宋体" w:cs="宋体"/>
      <w:color w:val="000000"/>
      <w:szCs w:val="21"/>
    </w:rPr>
  </w:style>
  <w:style w:type="character" w:styleId="1121" w:customStyle="1">
    <w:name w:val="font31"/>
    <w:basedOn w:val="678"/>
    <w:link w:val="668"/>
    <w:uiPriority w:val="0"/>
    <w:qFormat/>
    <w:rPr>
      <w:rFonts w:ascii="Calibri" w:hAnsi="Calibri" w:cs="Calibri"/>
      <w:color w:val="000000"/>
      <w:sz w:val="21"/>
      <w:szCs w:val="21"/>
      <w:u w:val="none"/>
    </w:rPr>
  </w:style>
  <w:style w:type="character" w:styleId="1122" w:customStyle="1">
    <w:name w:val="font41"/>
    <w:basedOn w:val="678"/>
    <w:link w:val="668"/>
    <w:uiPriority w:val="0"/>
    <w:qFormat/>
    <w:rPr>
      <w:rFonts w:hint="eastAsia" w:ascii="宋体" w:hAnsi="宋体" w:eastAsia="宋体"/>
      <w:color w:val="000000"/>
      <w:sz w:val="21"/>
      <w:szCs w:val="21"/>
      <w:u w:val="none"/>
    </w:rPr>
  </w:style>
  <w:style w:type="paragraph" w:styleId="1123" w:customStyle="1">
    <w:name w:val="修订1"/>
    <w:uiPriority w:val="99"/>
    <w:semiHidden/>
    <w:qFormat/>
    <w:rPr>
      <w:rFonts w:hint="default" w:ascii="Times New Roman" w:hAnsi="Times New Roman" w:eastAsia="宋体" w:cs="Times New Roman"/>
      <w:sz w:val="21"/>
      <w:szCs w:val="22"/>
      <w:lang w:val="en-US" w:eastAsia="zh-CN" w:bidi="ar-SA"/>
    </w:rPr>
  </w:style>
  <w:style w:type="character" w:styleId="1124" w:customStyle="1">
    <w:name w:val="标题 8 字符"/>
    <w:link w:val="668"/>
    <w:uiPriority w:val="9"/>
    <w:semiHidden/>
    <w:qFormat/>
    <w:rPr>
      <w:rFonts w:ascii="等线 Light" w:hAnsi="等线 Light" w:eastAsia="等线 Light" w:cs="Times New Roman"/>
      <w:sz w:val="24"/>
      <w:szCs w:val="24"/>
    </w:rPr>
  </w:style>
  <w:style w:type="character" w:styleId="1125" w:customStyle="1">
    <w:name w:val="标题 9 字符"/>
    <w:link w:val="668"/>
    <w:uiPriority w:val="9"/>
    <w:semiHidden/>
    <w:qFormat/>
    <w:rPr>
      <w:rFonts w:ascii="等线 Light" w:hAnsi="等线 Light" w:eastAsia="等线 Light" w:cs="Times New Roman"/>
      <w:sz w:val="21"/>
      <w:szCs w:val="21"/>
    </w:rPr>
  </w:style>
  <w:style w:type="character" w:styleId="1126" w:customStyle="1">
    <w:name w:val="标题 3 Char"/>
    <w:link w:val="668"/>
    <w:uiPriority w:val="0"/>
    <w:qFormat/>
    <w:rPr>
      <w:rFonts w:ascii="宋体" w:hAnsi="宋体"/>
      <w:b/>
      <w:sz w:val="30"/>
    </w:rPr>
  </w:style>
  <w:style w:type="character" w:styleId="1127" w:customStyle="1">
    <w:name w:val="标题 4 Char"/>
    <w:link w:val="668"/>
    <w:uiPriority w:val="0"/>
    <w:qFormat/>
    <w:rPr>
      <w:rFonts w:ascii="宋体" w:hAnsi="宋体"/>
      <w:b/>
      <w:sz w:val="28"/>
    </w:rPr>
  </w:style>
  <w:style w:type="character" w:styleId="1128" w:customStyle="1">
    <w:name w:val="正文缩进 Char"/>
    <w:link w:val="668"/>
    <w:uiPriority w:val="0"/>
    <w:qFormat/>
    <w:rPr>
      <w:rFonts w:eastAsia="宋体"/>
      <w:sz w:val="21"/>
      <w:szCs w:val="24"/>
      <w:lang w:val="en-US" w:eastAsia="zh-CN" w:bidi="ar-SA"/>
    </w:rPr>
  </w:style>
  <w:style w:type="character" w:styleId="1129" w:customStyle="1">
    <w:name w:val="标题 5 Char"/>
    <w:link w:val="668"/>
    <w:uiPriority w:val="0"/>
    <w:qFormat/>
    <w:rPr>
      <w:rFonts w:ascii="宋体" w:hAnsi="宋体" w:eastAsia="宋体"/>
      <w:b/>
      <w:sz w:val="28"/>
    </w:rPr>
  </w:style>
  <w:style w:type="character" w:styleId="1130" w:customStyle="1">
    <w:name w:val="标题 6 Char"/>
    <w:link w:val="668"/>
    <w:uiPriority w:val="0"/>
    <w:qFormat/>
    <w:rPr>
      <w:rFonts w:ascii="宋体" w:hAnsi="宋体"/>
      <w:b/>
      <w:sz w:val="24"/>
    </w:rPr>
  </w:style>
  <w:style w:type="character" w:styleId="1131" w:customStyle="1">
    <w:name w:val="标题 7 Char"/>
    <w:link w:val="668"/>
    <w:uiPriority w:val="0"/>
    <w:qFormat/>
    <w:rPr>
      <w:b/>
      <w:sz w:val="24"/>
    </w:rPr>
  </w:style>
  <w:style w:type="paragraph" w:styleId="1132" w:customStyle="1">
    <w:name w:val="_Style 235"/>
    <w:basedOn w:val="668"/>
    <w:next w:val="987"/>
    <w:link w:val="1133"/>
    <w:uiPriority w:val="0"/>
    <w:qFormat/>
    <w:pPr>
      <w:contextualSpacing/>
      <w:ind w:firstLine="420"/>
      <w:jc w:val="left"/>
      <w:spacing w:line="360" w:lineRule="auto"/>
    </w:pPr>
    <w:rPr>
      <w:szCs w:val="24"/>
    </w:rPr>
  </w:style>
  <w:style w:type="character" w:styleId="1133" w:customStyle="1">
    <w:name w:val="列出段落 Char"/>
    <w:link w:val="1132"/>
    <w:uiPriority w:val="0"/>
    <w:qFormat/>
    <w:rPr>
      <w:sz w:val="21"/>
      <w:szCs w:val="24"/>
    </w:rPr>
  </w:style>
  <w:style w:type="character" w:styleId="1134" w:customStyle="1">
    <w:name w:val="页眉 Char"/>
    <w:link w:val="668"/>
    <w:uiPriority w:val="0"/>
    <w:qFormat/>
    <w:rPr>
      <w:rFonts w:eastAsia="宋体"/>
      <w:sz w:val="18"/>
      <w:szCs w:val="18"/>
      <w:lang w:val="en-US" w:eastAsia="zh-CN" w:bidi="ar-SA"/>
    </w:rPr>
  </w:style>
  <w:style w:type="character" w:styleId="1135" w:customStyle="1">
    <w:name w:val="副标题 Char"/>
    <w:link w:val="668"/>
    <w:uiPriority w:val="0"/>
    <w:qFormat/>
    <w:rPr>
      <w:rFonts w:ascii="Cambria" w:hAnsi="Cambria" w:eastAsia="宋体"/>
      <w:b/>
      <w:bCs/>
      <w:sz w:val="32"/>
      <w:szCs w:val="32"/>
      <w:lang w:val="en-US" w:eastAsia="zh-CN" w:bidi="ar-SA"/>
    </w:rPr>
  </w:style>
  <w:style w:type="character" w:styleId="1136" w:customStyle="1">
    <w:name w:val="脚注文本 字符"/>
    <w:link w:val="668"/>
    <w:uiPriority w:val="99"/>
    <w:semiHidden/>
    <w:qFormat/>
    <w:rPr>
      <w:sz w:val="18"/>
      <w:szCs w:val="18"/>
    </w:rPr>
  </w:style>
  <w:style w:type="table" w:styleId="1137" w:customStyle="1">
    <w:name w:val="网格型2"/>
    <w:basedOn w:val="719"/>
    <w:uiPriority w:val="59"/>
    <w:qFormat/>
    <w:tblPr/>
  </w:style>
  <w:style w:type="character" w:styleId="1138" w:customStyle="1">
    <w:name w:val="Char Char3"/>
    <w:link w:val="668"/>
    <w:uiPriority w:val="0"/>
    <w:qFormat/>
    <w:rPr>
      <w:rFonts w:ascii="Arial" w:hAnsi="Arial" w:eastAsia="宋体"/>
      <w:b/>
      <w:bCs/>
      <w:sz w:val="21"/>
      <w:szCs w:val="32"/>
      <w:lang w:val="en-US" w:eastAsia="zh-CN" w:bidi="ar-SA"/>
    </w:rPr>
  </w:style>
  <w:style w:type="character" w:styleId="1139" w:customStyle="1">
    <w:name w:val="dy_biao_content1"/>
    <w:link w:val="668"/>
    <w:uiPriority w:val="0"/>
    <w:qFormat/>
    <w:rPr>
      <w:rFonts w:hint="eastAsia" w:ascii="宋体" w:hAnsi="宋体" w:eastAsia="宋体"/>
      <w:sz w:val="24"/>
      <w:szCs w:val="24"/>
    </w:rPr>
  </w:style>
  <w:style w:type="character" w:styleId="1140" w:customStyle="1">
    <w:name w:val="Char Char9"/>
    <w:link w:val="668"/>
    <w:uiPriority w:val="0"/>
    <w:qFormat/>
    <w:rPr>
      <w:sz w:val="18"/>
      <w:szCs w:val="18"/>
    </w:rPr>
  </w:style>
  <w:style w:type="character" w:styleId="1141" w:customStyle="1">
    <w:name w:val="NormalCharacter1"/>
    <w:link w:val="668"/>
    <w:uiPriority w:val="0"/>
    <w:semiHidden/>
    <w:qFormat/>
    <w:rPr>
      <w:rFonts w:ascii="宋体" w:hAnsi="宋体"/>
      <w:sz w:val="24"/>
      <w:szCs w:val="24"/>
      <w:lang w:val="en-US" w:eastAsia="zh-CN" w:bidi="ar-SA"/>
    </w:rPr>
  </w:style>
  <w:style w:type="character" w:styleId="1142" w:customStyle="1">
    <w:name w:val="普通文字 Char Char1"/>
    <w:link w:val="668"/>
    <w:uiPriority w:val="0"/>
    <w:qFormat/>
    <w:rPr>
      <w:rFonts w:ascii="宋体" w:hAnsi="Courier New" w:eastAsia="宋体"/>
      <w:sz w:val="21"/>
      <w:lang w:val="en-US" w:eastAsia="zh-CN" w:bidi="ar-SA"/>
    </w:rPr>
  </w:style>
  <w:style w:type="character" w:styleId="1143" w:customStyle="1">
    <w:name w:val="Char Char Char Char Char"/>
    <w:link w:val="668"/>
    <w:uiPriority w:val="0"/>
    <w:qFormat/>
    <w:rPr>
      <w:rFonts w:ascii="Courier New" w:eastAsia="Courier New"/>
      <w:color w:val="ff0000"/>
      <w:sz w:val="24"/>
      <w:szCs w:val="24"/>
      <w:u w:val="single"/>
      <w:lang w:val="en-US" w:eastAsia="zh-CN" w:bidi="ar-SA"/>
    </w:rPr>
  </w:style>
  <w:style w:type="character" w:styleId="1144" w:customStyle="1">
    <w:name w:val="样式1 Char Char Char"/>
    <w:link w:val="668"/>
    <w:uiPriority w:val="0"/>
    <w:qFormat/>
    <w:rPr>
      <w:rFonts w:ascii="Arial" w:hAnsi="Arial" w:eastAsia="宋体"/>
      <w:sz w:val="21"/>
      <w:szCs w:val="24"/>
      <w:lang w:val="en-US" w:eastAsia="zh-CN" w:bidi="ar-SA"/>
    </w:rPr>
  </w:style>
  <w:style w:type="character" w:styleId="1145" w:customStyle="1">
    <w:name w:val="样式1 Char"/>
    <w:link w:val="668"/>
    <w:uiPriority w:val="0"/>
    <w:qFormat/>
    <w:rPr>
      <w:rFonts w:ascii="Arial" w:hAnsi="Arial" w:eastAsia="宋体"/>
      <w:sz w:val="21"/>
      <w:szCs w:val="24"/>
      <w:lang w:val="en-US" w:eastAsia="zh-CN" w:bidi="ar-SA"/>
    </w:rPr>
  </w:style>
  <w:style w:type="character" w:styleId="1146" w:customStyle="1">
    <w:name w:val="zbggmain style9"/>
    <w:link w:val="668"/>
    <w:uiPriority w:val="0"/>
    <w:qFormat/>
  </w:style>
  <w:style w:type="character" w:styleId="1147" w:customStyle="1">
    <w:name w:val="unnamed51"/>
    <w:link w:val="668"/>
    <w:uiPriority w:val="0"/>
    <w:qFormat/>
    <w:rPr>
      <w:sz w:val="22"/>
      <w:szCs w:val="22"/>
    </w:rPr>
  </w:style>
  <w:style w:type="character" w:styleId="1148" w:customStyle="1">
    <w:name w:val="普通文字 Char1"/>
    <w:link w:val="668"/>
    <w:uiPriority w:val="0"/>
    <w:qFormat/>
    <w:rPr>
      <w:rFonts w:ascii="宋体" w:hAnsi="Courier New" w:eastAsia="宋体"/>
      <w:sz w:val="21"/>
      <w:lang w:val="en-US" w:eastAsia="zh-CN"/>
    </w:rPr>
  </w:style>
  <w:style w:type="character" w:styleId="1149" w:customStyle="1">
    <w:name w:val="样式1 Char Char"/>
    <w:link w:val="1150"/>
    <w:uiPriority w:val="0"/>
    <w:qFormat/>
    <w:rPr>
      <w:rFonts w:ascii="Arial" w:hAnsi="Arial"/>
      <w:sz w:val="21"/>
      <w:szCs w:val="24"/>
    </w:rPr>
  </w:style>
  <w:style w:type="paragraph" w:styleId="1150" w:customStyle="1">
    <w:name w:val="样式1"/>
    <w:basedOn w:val="668"/>
    <w:link w:val="1149"/>
    <w:uiPriority w:val="0"/>
    <w:qFormat/>
    <w:pPr>
      <w:contextualSpacing/>
      <w:ind w:firstLine="200"/>
      <w:jc w:val="left"/>
      <w:spacing w:line="360" w:lineRule="exact"/>
    </w:pPr>
    <w:rPr>
      <w:rFonts w:ascii="Arial" w:hAnsi="Arial"/>
      <w:szCs w:val="24"/>
    </w:rPr>
  </w:style>
  <w:style w:type="paragraph" w:styleId="1151"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52" w:customStyle="1">
    <w:name w:val="正文－恩普"/>
    <w:basedOn w:val="716"/>
    <w:uiPriority w:val="0"/>
    <w:qFormat/>
    <w:pPr>
      <w:contextualSpacing/>
      <w:ind w:firstLine="480"/>
      <w:spacing w:after="156" w:line="360" w:lineRule="auto"/>
      <w:widowControl/>
    </w:pPr>
    <w:rPr>
      <w:rFonts w:ascii="Times New Roman" w:eastAsia="宋体"/>
    </w:rPr>
  </w:style>
  <w:style w:type="paragraph" w:styleId="1153"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54" w:customStyle="1">
    <w:name w:val="正文段"/>
    <w:basedOn w:val="668"/>
    <w:uiPriority w:val="0"/>
    <w:qFormat/>
    <w:pPr>
      <w:contextualSpacing/>
      <w:ind w:firstLine="200"/>
      <w:jc w:val="left"/>
      <w:spacing w:after="50" w:line="360" w:lineRule="auto"/>
      <w:widowControl/>
    </w:pPr>
    <w:rPr>
      <w:rFonts w:ascii="宋体" w:hAnsi="宋体"/>
      <w:sz w:val="24"/>
      <w:szCs w:val="20"/>
    </w:rPr>
  </w:style>
  <w:style w:type="paragraph" w:styleId="1155" w:customStyle="1">
    <w:name w:val="题目 2"/>
    <w:next w:val="668"/>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56" w:customStyle="1">
    <w:name w:val="题目 3"/>
    <w:next w:val="668"/>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57" w:customStyle="1">
    <w:name w:val="默认段落字体 Para Char"/>
    <w:basedOn w:val="668"/>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58"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59" w:customStyle="1">
    <w:name w:val="Char Char Char1"/>
    <w:basedOn w:val="668"/>
    <w:uiPriority w:val="0"/>
    <w:qFormat/>
    <w:pPr>
      <w:contextualSpacing/>
      <w:ind w:firstLine="200"/>
      <w:jc w:val="left"/>
      <w:spacing w:line="360" w:lineRule="auto"/>
    </w:pPr>
    <w:rPr>
      <w:rFonts w:ascii="仿宋_GB2312" w:hAnsi="宋体" w:eastAsia="仿宋_GB2312"/>
      <w:b/>
      <w:sz w:val="32"/>
      <w:szCs w:val="32"/>
    </w:rPr>
  </w:style>
  <w:style w:type="paragraph" w:styleId="1160" w:customStyle="1">
    <w:name w:val="Char1 Char Char Char1"/>
    <w:basedOn w:val="668"/>
    <w:uiPriority w:val="0"/>
    <w:qFormat/>
    <w:pPr>
      <w:contextualSpacing/>
      <w:ind w:firstLine="200"/>
      <w:jc w:val="left"/>
      <w:spacing w:line="360" w:lineRule="auto"/>
    </w:pPr>
    <w:rPr>
      <w:rFonts w:ascii="宋体" w:hAnsi="宋体"/>
      <w:sz w:val="24"/>
      <w:szCs w:val="20"/>
    </w:rPr>
  </w:style>
  <w:style w:type="paragraph" w:styleId="1161" w:customStyle="1">
    <w:name w:val="Char11"/>
    <w:basedOn w:val="668"/>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62"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63" w:customStyle="1">
    <w:name w:val="UserStyle_1"/>
    <w:next w:val="1158"/>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64" w:customStyle="1">
    <w:name w:val="Char2"/>
    <w:basedOn w:val="668"/>
    <w:uiPriority w:val="0"/>
    <w:qFormat/>
    <w:pPr>
      <w:contextualSpacing/>
      <w:ind w:firstLine="200"/>
      <w:jc w:val="left"/>
      <w:spacing w:line="360" w:lineRule="auto"/>
    </w:pPr>
    <w:rPr>
      <w:rFonts w:ascii="仿宋_GB2312" w:hAnsi="宋体" w:eastAsia="仿宋_GB2312"/>
      <w:b/>
      <w:sz w:val="32"/>
      <w:szCs w:val="32"/>
    </w:rPr>
  </w:style>
  <w:style w:type="paragraph" w:styleId="1165" w:customStyle="1">
    <w:name w:val="Char Char Char Char Char Char"/>
    <w:basedOn w:val="668"/>
    <w:uiPriority w:val="0"/>
    <w:qFormat/>
    <w:pPr>
      <w:contextualSpacing/>
      <w:ind w:firstLine="200"/>
      <w:jc w:val="left"/>
      <w:spacing w:line="360" w:lineRule="auto"/>
    </w:pPr>
    <w:rPr>
      <w:rFonts w:ascii="Tahoma" w:hAnsi="Tahoma"/>
      <w:sz w:val="24"/>
      <w:szCs w:val="20"/>
    </w:rPr>
  </w:style>
  <w:style w:type="paragraph" w:styleId="1166" w:customStyle="1">
    <w:name w:val="Heading21"/>
    <w:next w:val="668"/>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67" w:customStyle="1">
    <w:name w:val="正文文字缩进 2"/>
    <w:basedOn w:val="668"/>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68" w:customStyle="1">
    <w:name w:val="1"/>
    <w:basedOn w:val="668"/>
    <w:next w:val="770"/>
    <w:uiPriority w:val="0"/>
    <w:qFormat/>
    <w:pPr>
      <w:contextualSpacing/>
      <w:ind w:firstLine="480"/>
      <w:jc w:val="left"/>
      <w:spacing w:line="440" w:lineRule="atLeast"/>
      <w:widowControl/>
    </w:pPr>
    <w:rPr>
      <w:rFonts w:ascii="宋体" w:hAnsi="宋体"/>
      <w:sz w:val="24"/>
      <w:szCs w:val="20"/>
    </w:rPr>
  </w:style>
  <w:style w:type="paragraph" w:styleId="1169" w:customStyle="1">
    <w:name w:val="Char1 Char Char Char Char Char Char"/>
    <w:basedOn w:val="668"/>
    <w:uiPriority w:val="0"/>
    <w:qFormat/>
    <w:pPr>
      <w:contextualSpacing/>
      <w:ind w:firstLine="200"/>
      <w:jc w:val="left"/>
      <w:spacing w:line="360" w:lineRule="auto"/>
    </w:pPr>
    <w:rPr>
      <w:rFonts w:ascii="仿宋_GB2312" w:hAnsi="宋体" w:eastAsia="仿宋_GB2312"/>
      <w:b/>
      <w:sz w:val="32"/>
      <w:szCs w:val="32"/>
    </w:rPr>
  </w:style>
  <w:style w:type="paragraph" w:styleId="1170" w:customStyle="1">
    <w:name w:val="正文文字缩进 3"/>
    <w:basedOn w:val="668"/>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71"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72" w:customStyle="1">
    <w:name w:val="样式4"/>
    <w:basedOn w:val="757"/>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73" w:customStyle="1">
    <w:name w:val="Char3"/>
    <w:basedOn w:val="668"/>
    <w:uiPriority w:val="0"/>
    <w:qFormat/>
    <w:pPr>
      <w:contextualSpacing/>
      <w:ind w:firstLine="200"/>
      <w:jc w:val="left"/>
      <w:spacing w:line="360" w:lineRule="auto"/>
    </w:pPr>
    <w:rPr>
      <w:rFonts w:ascii="仿宋_GB2312" w:hAnsi="宋体" w:eastAsia="仿宋_GB2312"/>
      <w:b/>
      <w:sz w:val="32"/>
      <w:szCs w:val="32"/>
    </w:rPr>
  </w:style>
  <w:style w:type="paragraph" w:styleId="1174"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175" w:customStyle="1">
    <w:name w:val="Char4"/>
    <w:basedOn w:val="716"/>
    <w:uiPriority w:val="0"/>
    <w:qFormat/>
    <w:pPr>
      <w:contextualSpacing/>
      <w:ind w:firstLine="480"/>
      <w:spacing w:after="156" w:line="360" w:lineRule="auto"/>
      <w:widowControl/>
    </w:pPr>
    <w:rPr>
      <w:rFonts w:ascii="Times New Roman" w:eastAsia="宋体"/>
      <w:sz w:val="21"/>
      <w:szCs w:val="24"/>
    </w:rPr>
  </w:style>
  <w:style w:type="paragraph" w:styleId="1176" w:customStyle="1">
    <w:name w:val="g11"/>
    <w:basedOn w:val="668"/>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7" w:customStyle="1">
    <w:name w:val="普通文字"/>
    <w:basedOn w:val="668"/>
    <w:uiPriority w:val="0"/>
    <w:qFormat/>
    <w:pPr>
      <w:contextualSpacing/>
      <w:ind w:firstLine="419"/>
      <w:jc w:val="left"/>
      <w:spacing w:line="351" w:lineRule="atLeast"/>
      <w:widowControl/>
    </w:pPr>
    <w:rPr>
      <w:rFonts w:ascii="宋体" w:hAnsi="宋体"/>
      <w:color w:val="000000"/>
      <w:sz w:val="24"/>
      <w:szCs w:val="20"/>
    </w:rPr>
  </w:style>
  <w:style w:type="paragraph" w:styleId="1178" w:customStyle="1">
    <w:name w:val="样式 样式 标题 3 + (符号) 宋体 四号 加粗 黑色 段前: 0 磅 段后: 0 磅 行距: 固定值 22 磅 + 段前:..."/>
    <w:basedOn w:val="668"/>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79" w:customStyle="1">
    <w:name w:val="内文正文"/>
    <w:basedOn w:val="746"/>
    <w:uiPriority w:val="0"/>
    <w:qFormat/>
    <w:pPr>
      <w:contextualSpacing/>
      <w:ind w:firstLine="200"/>
      <w:spacing w:line="400" w:lineRule="exact"/>
    </w:pPr>
    <w:rPr>
      <w:rFonts w:ascii="Arial" w:hAnsi="Arial" w:eastAsia="宋体" w:cs="Courier New"/>
      <w:color w:val="000000"/>
      <w:sz w:val="21"/>
      <w:szCs w:val="21"/>
    </w:rPr>
  </w:style>
  <w:style w:type="paragraph" w:styleId="1180" w:customStyle="1">
    <w:name w:val="style11"/>
    <w:basedOn w:val="668"/>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81" w:customStyle="1">
    <w:name w:val="纯文本11"/>
    <w:basedOn w:val="668"/>
    <w:uiPriority w:val="0"/>
    <w:qFormat/>
    <w:pPr>
      <w:jc w:val="left"/>
      <w:widowControl/>
    </w:pPr>
    <w:rPr>
      <w:rFonts w:ascii="宋体" w:hAnsi="Courier New" w:eastAsia="楷体_GB2312"/>
      <w:sz w:val="26"/>
    </w:rPr>
  </w:style>
  <w:style w:type="character" w:styleId="1182" w:customStyle="1">
    <w:name w:val="正文缩进 字符"/>
    <w:link w:val="668"/>
    <w:uiPriority w:val="0"/>
    <w:qFormat/>
    <w:rPr>
      <w:sz w:val="24"/>
      <w:szCs w:val="24"/>
    </w:rPr>
  </w:style>
  <w:style w:type="paragraph" w:styleId="1183" w:customStyle="1">
    <w:name w:val="首行缩进"/>
    <w:basedOn w:val="668"/>
    <w:uiPriority w:val="0"/>
    <w:qFormat/>
    <w:pPr>
      <w:ind w:firstLine="480"/>
    </w:pPr>
    <w:rPr>
      <w:lang w:val="zh-CN"/>
    </w:rPr>
  </w:style>
  <w:style w:type="character" w:styleId="1184" w:customStyle="1">
    <w:name w:val="font21"/>
    <w:basedOn w:val="678"/>
    <w:uiPriority w:val="0"/>
    <w:qFormat/>
    <w:rPr>
      <w:rFonts w:hint="eastAsia" w:ascii="宋体" w:hAnsi="宋体" w:eastAsia="宋体" w:cs="宋体"/>
      <w:color w:val="000000"/>
      <w:sz w:val="18"/>
      <w:szCs w:val="18"/>
      <w:u w:val="none"/>
    </w:rPr>
  </w:style>
  <w:style w:type="character" w:styleId="1185" w:customStyle="1">
    <w:name w:val="font61"/>
    <w:basedOn w:val="678"/>
    <w:uiPriority w:val="0"/>
    <w:qFormat/>
    <w:rPr>
      <w:rFonts w:hint="default" w:ascii="Times New Roman" w:hAnsi="Times New Roman" w:cs="Times New Roman"/>
      <w:color w:val="000000"/>
      <w:sz w:val="18"/>
      <w:szCs w:val="18"/>
      <w:u w:val="none"/>
    </w:rPr>
  </w:style>
  <w:style w:type="paragraph" w:styleId="1186" w:customStyle="1">
    <w:name w:val="列出段落11"/>
    <w:basedOn w:val="668"/>
    <w:uiPriority w:val="99"/>
    <w:qFormat/>
    <w:pPr>
      <w:ind w:firstLine="420"/>
    </w:pPr>
    <w:rPr>
      <w:rFonts w:ascii="Calibri" w:hAnsi="Calibri"/>
    </w:rPr>
  </w:style>
  <w:style w:type="paragraph" w:styleId="1187" w:customStyle="1">
    <w:name w:val="M提示"/>
    <w:basedOn w:val="668"/>
    <w:uiPriority w:val="0"/>
    <w:qFormat/>
    <w:pPr>
      <w:ind w:firstLine="480"/>
      <w:jc w:val="left"/>
      <w:spacing w:line="360" w:lineRule="auto"/>
      <w:widowControl/>
    </w:pPr>
    <w:rPr>
      <w:rFonts w:ascii="Calibri" w:hAnsi="Calibri"/>
      <w:i/>
      <w:sz w:val="24"/>
      <w:szCs w:val="24"/>
    </w:rPr>
  </w:style>
  <w:style w:type="numbering" w:styleId="1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5</cp:revision>
  <dcterms:created xsi:type="dcterms:W3CDTF">2025-10-15T05:37:00Z</dcterms:created>
  <dcterms:modified xsi:type="dcterms:W3CDTF">2026-05-19T05:24:00Z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2052-12.1.0.25865</vt:lpwstr>
  </property>
  <property fmtid="{D5CDD505-2E9C-101B-9397-08002B2CF9AE}" pid="4" name="ICV">
    <vt:lpwstr>1BDADA4ABF9D4FE284DE47535CCDEA20_12</vt:lpwstr>
  </property>
</Properties>
</file>