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2E603">
      <w:pPr>
        <w:pStyle w:val="12"/>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color w:val="auto"/>
          <w:sz w:val="22"/>
          <w:szCs w:val="48"/>
          <w:highlight w:val="none"/>
          <w:lang w:eastAsia="zh-CN"/>
        </w:rPr>
      </w:pPr>
      <w:r>
        <w:rPr>
          <w:rFonts w:hint="eastAsia" w:ascii="宋体" w:hAnsi="宋体" w:eastAsia="宋体" w:cs="宋体"/>
          <w:color w:val="auto"/>
          <w:sz w:val="52"/>
          <w:szCs w:val="52"/>
          <w:highlight w:val="none"/>
          <w:lang w:eastAsia="zh-CN"/>
        </w:rPr>
        <w:t>船舶海工智能制造“云造船”数字教材中心项目</w:t>
      </w:r>
    </w:p>
    <w:p w14:paraId="43834024">
      <w:pPr>
        <w:pStyle w:val="12"/>
        <w:rPr>
          <w:rFonts w:hint="eastAsia" w:ascii="宋体" w:hAnsi="宋体" w:eastAsia="宋体" w:cs="宋体"/>
          <w:color w:val="auto"/>
          <w:highlight w:val="none"/>
        </w:rPr>
      </w:pPr>
    </w:p>
    <w:p w14:paraId="3FD88B04">
      <w:pPr>
        <w:pStyle w:val="12"/>
        <w:rPr>
          <w:rFonts w:hint="eastAsia" w:ascii="宋体" w:hAnsi="宋体" w:eastAsia="宋体" w:cs="宋体"/>
          <w:color w:val="auto"/>
          <w:highlight w:val="none"/>
        </w:rPr>
      </w:pPr>
    </w:p>
    <w:p w14:paraId="7F0DEFAA">
      <w:pPr>
        <w:spacing w:line="360" w:lineRule="auto"/>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公开招标文件</w:t>
      </w:r>
    </w:p>
    <w:p w14:paraId="6D7C536F">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（资格后审）</w:t>
      </w:r>
    </w:p>
    <w:p w14:paraId="43EC1ED3">
      <w:pP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项目编号</w:t>
      </w:r>
      <w:r>
        <w:rPr>
          <w:rFonts w:hint="eastAsia" w:ascii="宋体" w:hAnsi="宋体" w:eastAsia="宋体" w:cs="宋体"/>
          <w:b/>
          <w:color w:val="auto"/>
          <w:sz w:val="30"/>
          <w:szCs w:val="30"/>
          <w:highlight w:val="none"/>
        </w:rPr>
        <w:t>：</w:t>
      </w:r>
      <w:r>
        <w:rPr>
          <w:rFonts w:hint="eastAsia" w:ascii="宋体" w:hAnsi="宋体" w:eastAsia="宋体" w:cs="宋体"/>
          <w:b/>
          <w:color w:val="auto"/>
          <w:sz w:val="30"/>
          <w:szCs w:val="30"/>
          <w:highlight w:val="none"/>
          <w:lang w:eastAsia="zh-CN"/>
        </w:rPr>
        <w:t>JSZC-320690-NTJC-G2026-0008</w:t>
      </w:r>
    </w:p>
    <w:p w14:paraId="474FE66B">
      <w:pPr>
        <w:pStyle w:val="12"/>
        <w:rPr>
          <w:rFonts w:hint="eastAsia" w:ascii="宋体" w:hAnsi="宋体" w:eastAsia="宋体" w:cs="宋体"/>
          <w:color w:val="auto"/>
          <w:highlight w:val="none"/>
        </w:rPr>
      </w:pPr>
    </w:p>
    <w:p w14:paraId="4F54B510">
      <w:pPr>
        <w:pStyle w:val="12"/>
        <w:rPr>
          <w:rFonts w:hint="eastAsia" w:ascii="宋体" w:hAnsi="宋体" w:eastAsia="宋体" w:cs="宋体"/>
          <w:color w:val="auto"/>
          <w:highlight w:val="none"/>
        </w:rPr>
      </w:pPr>
      <w:r>
        <w:rPr>
          <w:rFonts w:hint="eastAsia" w:ascii="宋体" w:hAnsi="宋体" w:eastAsia="宋体" w:cs="宋体"/>
          <w:color w:val="auto"/>
          <w:sz w:val="36"/>
          <w:highlight w:val="none"/>
        </w:rPr>
        <w:tab/>
      </w:r>
    </w:p>
    <w:p w14:paraId="13148488">
      <w:pPr>
        <w:spacing w:line="360" w:lineRule="auto"/>
        <w:ind w:firstLine="602"/>
        <w:rPr>
          <w:rFonts w:hint="eastAsia" w:ascii="宋体" w:hAnsi="宋体" w:eastAsia="宋体" w:cs="宋体"/>
          <w:b/>
          <w:color w:val="auto"/>
          <w:sz w:val="30"/>
          <w:szCs w:val="30"/>
          <w:highlight w:val="none"/>
        </w:rPr>
      </w:pPr>
    </w:p>
    <w:p w14:paraId="40F6D5B9">
      <w:pPr>
        <w:pStyle w:val="11"/>
        <w:spacing w:line="360" w:lineRule="auto"/>
        <w:ind w:firstLine="643"/>
        <w:jc w:val="center"/>
        <w:rPr>
          <w:rFonts w:hint="eastAsia" w:ascii="宋体" w:hAnsi="宋体" w:eastAsia="宋体" w:cs="宋体"/>
          <w:b/>
          <w:color w:val="auto"/>
          <w:sz w:val="32"/>
          <w:szCs w:val="32"/>
          <w:highlight w:val="none"/>
        </w:rPr>
      </w:pPr>
    </w:p>
    <w:p w14:paraId="4CF88ADB">
      <w:pPr>
        <w:pStyle w:val="11"/>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宋体" w:hAnsi="宋体" w:eastAsia="宋体" w:cs="宋体"/>
          <w:b/>
          <w:color w:val="auto"/>
          <w:sz w:val="32"/>
          <w:szCs w:val="32"/>
          <w:highlight w:val="none"/>
        </w:rPr>
      </w:pPr>
    </w:p>
    <w:p w14:paraId="5B953546">
      <w:pPr>
        <w:pStyle w:val="11"/>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宋体" w:hAnsi="宋体" w:eastAsia="宋体" w:cs="宋体"/>
          <w:b/>
          <w:color w:val="auto"/>
          <w:sz w:val="32"/>
          <w:szCs w:val="32"/>
          <w:highlight w:val="none"/>
        </w:rPr>
      </w:pPr>
    </w:p>
    <w:p w14:paraId="1E357EF1">
      <w:pPr>
        <w:pStyle w:val="11"/>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宋体" w:hAnsi="宋体" w:eastAsia="宋体" w:cs="宋体"/>
          <w:b/>
          <w:color w:val="auto"/>
          <w:sz w:val="32"/>
          <w:szCs w:val="32"/>
          <w:highlight w:val="none"/>
        </w:rPr>
      </w:pPr>
    </w:p>
    <w:p w14:paraId="38AD4FAE">
      <w:pPr>
        <w:pStyle w:val="11"/>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采购单位：</w:t>
      </w:r>
      <w:r>
        <w:rPr>
          <w:rFonts w:hint="eastAsia" w:ascii="宋体" w:hAnsi="宋体" w:eastAsia="宋体" w:cs="宋体"/>
          <w:b/>
          <w:color w:val="auto"/>
          <w:sz w:val="32"/>
          <w:szCs w:val="32"/>
          <w:highlight w:val="none"/>
          <w:lang w:eastAsia="zh-CN"/>
        </w:rPr>
        <w:t>江苏航运职业技术学院</w:t>
      </w:r>
    </w:p>
    <w:p w14:paraId="5C7E45A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代理机构：</w:t>
      </w:r>
      <w:r>
        <w:rPr>
          <w:rFonts w:hint="eastAsia" w:ascii="宋体" w:hAnsi="宋体" w:eastAsia="宋体" w:cs="宋体"/>
          <w:b/>
          <w:color w:val="auto"/>
          <w:sz w:val="32"/>
          <w:szCs w:val="32"/>
          <w:highlight w:val="none"/>
          <w:lang w:eastAsia="zh-CN"/>
        </w:rPr>
        <w:t>南通建辰工程咨询有限公司</w:t>
      </w:r>
    </w:p>
    <w:p w14:paraId="2B030F4E">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宋体" w:hAnsi="宋体" w:eastAsia="宋体" w:cs="宋体"/>
          <w:b/>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588" w:right="1418" w:bottom="1418" w:left="1701" w:header="851" w:footer="964" w:gutter="0"/>
          <w:pgBorders>
            <w:top w:val="none" w:sz="0" w:space="0"/>
            <w:left w:val="none" w:sz="0" w:space="0"/>
            <w:bottom w:val="none" w:sz="0" w:space="0"/>
            <w:right w:val="none" w:sz="0" w:space="0"/>
          </w:pgBorders>
          <w:pgNumType w:start="1"/>
          <w:cols w:space="1701" w:num="1"/>
          <w:titlePg/>
          <w:docGrid w:linePitch="360" w:charSpace="0"/>
        </w:sectPr>
      </w:pPr>
      <w:r>
        <w:rPr>
          <w:rFonts w:hint="eastAsia" w:ascii="宋体" w:hAnsi="宋体" w:eastAsia="宋体" w:cs="宋体"/>
          <w:b/>
          <w:color w:val="auto"/>
          <w:sz w:val="32"/>
          <w:szCs w:val="32"/>
          <w:highlight w:val="none"/>
        </w:rPr>
        <w:t>日    期：二○二</w:t>
      </w:r>
      <w:r>
        <w:rPr>
          <w:rFonts w:hint="eastAsia" w:ascii="宋体" w:hAnsi="宋体" w:eastAsia="宋体" w:cs="宋体"/>
          <w:b/>
          <w:color w:val="auto"/>
          <w:sz w:val="32"/>
          <w:szCs w:val="32"/>
          <w:highlight w:val="none"/>
          <w:lang w:eastAsia="zh-CN"/>
        </w:rPr>
        <w:t>六</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月</w:t>
      </w:r>
    </w:p>
    <w:p w14:paraId="271B27D4">
      <w:pPr>
        <w:pStyle w:val="15"/>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目  录</w:t>
      </w:r>
    </w:p>
    <w:p w14:paraId="477DE5DA">
      <w:pPr>
        <w:pStyle w:val="11"/>
        <w:keepNext w:val="0"/>
        <w:keepLines w:val="0"/>
        <w:pageBreakBefore w:val="0"/>
        <w:widowControl w:val="0"/>
        <w:kinsoku/>
        <w:wordWrap/>
        <w:overflowPunct/>
        <w:topLinePunct w:val="0"/>
        <w:autoSpaceDE/>
        <w:autoSpaceDN/>
        <w:bidi w:val="0"/>
        <w:adjustRightInd/>
        <w:snapToGrid/>
        <w:spacing w:line="480" w:lineRule="auto"/>
        <w:ind w:firstLine="640" w:firstLineChars="200"/>
        <w:jc w:val="both"/>
        <w:textAlignment w:val="auto"/>
        <w:rPr>
          <w:rFonts w:hint="eastAsia" w:ascii="宋体" w:hAnsi="宋体" w:eastAsia="宋体" w:cs="宋体"/>
          <w:b w:val="0"/>
          <w:bCs/>
          <w:color w:val="auto"/>
          <w:sz w:val="32"/>
          <w:szCs w:val="32"/>
          <w:highlight w:val="none"/>
          <w:lang w:eastAsia="zh-CN"/>
        </w:rPr>
      </w:pPr>
    </w:p>
    <w:p w14:paraId="781E6B71">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第一章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招标公告</w:t>
      </w:r>
    </w:p>
    <w:p w14:paraId="1CF5BA4B">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第二章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投标人须知</w:t>
      </w:r>
    </w:p>
    <w:p w14:paraId="59EC3192">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第三章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项目需求</w:t>
      </w:r>
    </w:p>
    <w:p w14:paraId="27ABDBAF">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第四章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评审方法和程序</w:t>
      </w:r>
    </w:p>
    <w:p w14:paraId="6D19580A">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第五章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合同签订与验收付款</w:t>
      </w:r>
    </w:p>
    <w:p w14:paraId="76109356">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第六章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合同授予</w:t>
      </w:r>
    </w:p>
    <w:p w14:paraId="640292CA">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第七章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质疑与投诉</w:t>
      </w:r>
    </w:p>
    <w:p w14:paraId="6FB8FEB8">
      <w:pPr>
        <w:pStyle w:val="11"/>
        <w:keepNext w:val="0"/>
        <w:keepLines w:val="0"/>
        <w:pageBreakBefore w:val="0"/>
        <w:widowControl w:val="0"/>
        <w:kinsoku/>
        <w:wordWrap/>
        <w:overflowPunct/>
        <w:topLinePunct w:val="0"/>
        <w:autoSpaceDE/>
        <w:autoSpaceDN/>
        <w:bidi w:val="0"/>
        <w:adjustRightInd/>
        <w:snapToGrid/>
        <w:spacing w:line="480" w:lineRule="auto"/>
        <w:ind w:firstLine="643" w:firstLineChars="200"/>
        <w:jc w:val="both"/>
        <w:textAlignment w:val="auto"/>
        <w:rPr>
          <w:rFonts w:hint="eastAsia" w:ascii="宋体" w:hAnsi="宋体" w:eastAsia="宋体" w:cs="宋体"/>
          <w:b w:val="0"/>
          <w:bCs/>
          <w:color w:val="auto"/>
          <w:sz w:val="32"/>
          <w:szCs w:val="32"/>
          <w:highlight w:val="none"/>
          <w:lang w:eastAsia="zh-CN"/>
        </w:rPr>
      </w:pPr>
      <w:r>
        <w:rPr>
          <w:rFonts w:hint="eastAsia" w:ascii="宋体" w:hAnsi="宋体" w:eastAsia="宋体" w:cs="宋体"/>
          <w:b/>
          <w:bCs w:val="0"/>
          <w:color w:val="auto"/>
          <w:sz w:val="32"/>
          <w:szCs w:val="32"/>
          <w:highlight w:val="none"/>
          <w:lang w:eastAsia="zh-CN"/>
        </w:rPr>
        <w:t xml:space="preserve">第八章 </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bCs w:val="0"/>
          <w:color w:val="auto"/>
          <w:sz w:val="32"/>
          <w:szCs w:val="32"/>
          <w:highlight w:val="none"/>
          <w:lang w:eastAsia="zh-CN"/>
        </w:rPr>
        <w:t>投标文件组成及格式</w:t>
      </w:r>
    </w:p>
    <w:p w14:paraId="3E6E7732">
      <w:pPr>
        <w:pStyle w:val="11"/>
        <w:keepNext w:val="0"/>
        <w:keepLines w:val="0"/>
        <w:pageBreakBefore w:val="0"/>
        <w:widowControl w:val="0"/>
        <w:kinsoku/>
        <w:wordWrap/>
        <w:overflowPunct/>
        <w:topLinePunct w:val="0"/>
        <w:autoSpaceDE/>
        <w:autoSpaceDN/>
        <w:bidi w:val="0"/>
        <w:adjustRightInd/>
        <w:snapToGrid/>
        <w:spacing w:line="480" w:lineRule="auto"/>
        <w:ind w:firstLine="560" w:firstLineChars="200"/>
        <w:jc w:val="both"/>
        <w:textAlignment w:val="auto"/>
        <w:rPr>
          <w:rFonts w:hint="eastAsia" w:ascii="宋体" w:hAnsi="宋体" w:eastAsia="宋体" w:cs="宋体"/>
          <w:color w:val="auto"/>
          <w:highlight w:val="none"/>
        </w:rPr>
      </w:pPr>
    </w:p>
    <w:p w14:paraId="6FDDC003">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z w:val="36"/>
          <w:szCs w:val="36"/>
          <w:highlight w:val="none"/>
          <w:lang w:eastAsia="zh-CN"/>
        </w:rPr>
      </w:pPr>
      <w:bookmarkStart w:id="0" w:name="_Toc363573853"/>
    </w:p>
    <w:p w14:paraId="7496B0E6">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z w:val="36"/>
          <w:szCs w:val="36"/>
          <w:highlight w:val="none"/>
          <w:lang w:eastAsia="zh-CN"/>
        </w:rPr>
      </w:pPr>
    </w:p>
    <w:p w14:paraId="21105185">
      <w:pPr>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br w:type="page"/>
      </w:r>
    </w:p>
    <w:p w14:paraId="404D2350">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eastAsia="zh-CN"/>
        </w:rPr>
        <w:t>第一章</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招标公告</w:t>
      </w:r>
      <w:bookmarkEnd w:id="0"/>
    </w:p>
    <w:p w14:paraId="03DF7C9D">
      <w:pPr>
        <w:pageBreakBefore w:val="0"/>
        <w:widowControl w:val="0"/>
        <w:numPr>
          <w:ilvl w:val="0"/>
          <w:numId w:val="0"/>
        </w:numPr>
        <w:tabs>
          <w:tab w:val="left" w:pos="1050"/>
          <w:tab w:val="right" w:leader="dot" w:pos="9402"/>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24"/>
          <w:szCs w:val="24"/>
          <w:highlight w:val="none"/>
        </w:rPr>
      </w:pPr>
    </w:p>
    <w:p w14:paraId="07FCDE98">
      <w:pPr>
        <w:pageBreakBefore w:val="0"/>
        <w:widowControl w:val="0"/>
        <w:pBdr>
          <w:top w:val="single" w:color="000000" w:sz="4" w:space="1"/>
          <w:left w:val="single" w:color="000000" w:sz="4" w:space="4"/>
          <w:bottom w:val="single" w:color="000000" w:sz="4" w:space="1"/>
          <w:right w:val="single" w:color="000000"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项目概况</w:t>
      </w:r>
    </w:p>
    <w:p w14:paraId="17DDC2E6">
      <w:pPr>
        <w:pageBreakBefore w:val="0"/>
        <w:widowControl w:val="0"/>
        <w:pBdr>
          <w:top w:val="single" w:color="000000" w:sz="4" w:space="1"/>
          <w:left w:val="single" w:color="000000" w:sz="4" w:space="4"/>
          <w:bottom w:val="single" w:color="000000" w:sz="4" w:space="1"/>
          <w:right w:val="single" w:color="000000"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u w:val="single"/>
          <w:lang w:eastAsia="zh-CN"/>
        </w:rPr>
        <w:t>船舶海工智能制造“云造船”数字教材中心项目</w:t>
      </w:r>
      <w:r>
        <w:rPr>
          <w:rFonts w:hint="eastAsia" w:ascii="宋体" w:hAnsi="宋体" w:eastAsia="宋体" w:cs="宋体"/>
          <w:bCs/>
          <w:color w:val="auto"/>
          <w:sz w:val="24"/>
          <w:szCs w:val="24"/>
          <w:highlight w:val="none"/>
        </w:rPr>
        <w:t>的潜在投标人应在</w:t>
      </w:r>
      <w:r>
        <w:rPr>
          <w:rFonts w:hint="eastAsia" w:ascii="宋体" w:hAnsi="宋体" w:eastAsia="宋体" w:cs="宋体"/>
          <w:bCs/>
          <w:color w:val="auto"/>
          <w:sz w:val="24"/>
          <w:szCs w:val="24"/>
          <w:highlight w:val="none"/>
          <w:u w:val="single"/>
        </w:rPr>
        <w:t>江苏政府采购网苏采云系统</w:t>
      </w:r>
      <w:r>
        <w:rPr>
          <w:rFonts w:hint="eastAsia" w:ascii="宋体" w:hAnsi="宋体" w:eastAsia="宋体" w:cs="宋体"/>
          <w:bCs/>
          <w:color w:val="auto"/>
          <w:sz w:val="24"/>
          <w:szCs w:val="24"/>
          <w:highlight w:val="none"/>
        </w:rPr>
        <w:t>获取招标文件，并于</w:t>
      </w:r>
      <w:r>
        <w:rPr>
          <w:rFonts w:hint="eastAsia" w:ascii="宋体" w:hAnsi="宋体" w:eastAsia="宋体" w:cs="宋体"/>
          <w:bCs/>
          <w:color w:val="auto"/>
          <w:sz w:val="24"/>
          <w:szCs w:val="24"/>
          <w:highlight w:val="none"/>
          <w:u w:val="single"/>
          <w:lang w:eastAsia="zh-CN"/>
        </w:rPr>
        <w:t>2026年06月05日09时30分</w:t>
      </w:r>
      <w:r>
        <w:rPr>
          <w:rFonts w:hint="eastAsia" w:ascii="宋体" w:hAnsi="宋体" w:eastAsia="宋体" w:cs="宋体"/>
          <w:bCs/>
          <w:color w:val="auto"/>
          <w:sz w:val="24"/>
          <w:szCs w:val="24"/>
          <w:highlight w:val="none"/>
        </w:rPr>
        <w:t>（北京时间）前递交投标文件。</w:t>
      </w:r>
    </w:p>
    <w:p w14:paraId="559201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SA"/>
        </w:rPr>
        <w:t>一、</w:t>
      </w:r>
      <w:r>
        <w:rPr>
          <w:rFonts w:hint="eastAsia" w:ascii="宋体" w:hAnsi="宋体" w:eastAsia="宋体" w:cs="宋体"/>
          <w:b/>
          <w:bCs/>
          <w:color w:val="auto"/>
          <w:sz w:val="24"/>
          <w:szCs w:val="24"/>
          <w:highlight w:val="none"/>
        </w:rPr>
        <w:t>项目基本情况</w:t>
      </w:r>
    </w:p>
    <w:p w14:paraId="015E1D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JSZC-320690-NTJC-G2026-0008</w:t>
      </w:r>
    </w:p>
    <w:p w14:paraId="10A2BF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船舶海工智能制造“云造船”数字教材中心项目</w:t>
      </w:r>
    </w:p>
    <w:p w14:paraId="53F263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bookmarkStart w:id="1" w:name="_Toc387526169"/>
      <w:bookmarkStart w:id="2" w:name="_Toc387526273"/>
      <w:bookmarkStart w:id="3" w:name="_Toc387526365"/>
      <w:bookmarkStart w:id="4" w:name="_Toc20597"/>
      <w:r>
        <w:rPr>
          <w:rFonts w:hint="eastAsia" w:ascii="宋体" w:hAnsi="宋体" w:eastAsia="宋体" w:cs="宋体"/>
          <w:color w:val="auto"/>
          <w:sz w:val="24"/>
          <w:szCs w:val="24"/>
          <w:highlight w:val="none"/>
        </w:rPr>
        <w:t>项目类型：</w:t>
      </w:r>
      <w:r>
        <w:rPr>
          <w:rFonts w:hint="eastAsia" w:ascii="宋体" w:hAnsi="宋体" w:eastAsia="宋体" w:cs="宋体"/>
          <w:color w:val="auto"/>
          <w:sz w:val="24"/>
          <w:szCs w:val="24"/>
          <w:highlight w:val="none"/>
          <w:lang w:eastAsia="zh-CN"/>
        </w:rPr>
        <w:t>服务</w:t>
      </w:r>
    </w:p>
    <w:p w14:paraId="1808238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450万元</w:t>
      </w:r>
    </w:p>
    <w:p w14:paraId="3523AA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450万元，</w:t>
      </w:r>
      <w:r>
        <w:rPr>
          <w:rFonts w:hint="eastAsia" w:ascii="宋体" w:hAnsi="宋体" w:eastAsia="宋体" w:cs="宋体"/>
          <w:color w:val="auto"/>
          <w:sz w:val="24"/>
          <w:szCs w:val="24"/>
          <w:highlight w:val="none"/>
        </w:rPr>
        <w:t>投标报价超过最高限价的为无效投标。</w:t>
      </w:r>
    </w:p>
    <w:p w14:paraId="3E24F45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项目需求：船舶海工智能制造“云造船”数字教材中心项目，具体详见招标文件第三章项目需求。</w:t>
      </w:r>
    </w:p>
    <w:p w14:paraId="26A514A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合同履行期限：</w:t>
      </w:r>
      <w:bookmarkEnd w:id="1"/>
      <w:bookmarkEnd w:id="2"/>
      <w:bookmarkEnd w:id="3"/>
      <w:bookmarkEnd w:id="4"/>
      <w:r>
        <w:rPr>
          <w:rFonts w:hint="eastAsia" w:ascii="宋体" w:hAnsi="宋体" w:eastAsia="宋体" w:cs="宋体"/>
          <w:color w:val="auto"/>
          <w:sz w:val="24"/>
          <w:szCs w:val="24"/>
          <w:highlight w:val="none"/>
          <w:lang w:val="en-US" w:eastAsia="zh-CN"/>
        </w:rPr>
        <w:t>合同签订之日起五年，具体详见第三部分项目需求。</w:t>
      </w:r>
    </w:p>
    <w:p w14:paraId="7326B4C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本项目（是/否）接受联合体：否。</w:t>
      </w:r>
    </w:p>
    <w:p w14:paraId="7104F3B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007E4D9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（一）满足《中华人民共和国政府采购法》第二十二条规定，并提供下列材料</w:t>
      </w:r>
      <w:r>
        <w:rPr>
          <w:rFonts w:hint="eastAsia" w:ascii="宋体" w:hAnsi="宋体" w:eastAsia="宋体" w:cs="宋体"/>
          <w:b/>
          <w:bCs/>
          <w:color w:val="auto"/>
          <w:sz w:val="24"/>
          <w:szCs w:val="24"/>
          <w:highlight w:val="none"/>
        </w:rPr>
        <w:t>：</w:t>
      </w:r>
    </w:p>
    <w:p w14:paraId="249D636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1.投标人符合《中华人民共和国政府采购法》第二十二条规定条件的声明函（格式参见附件）；</w:t>
      </w:r>
    </w:p>
    <w:p w14:paraId="1E6705C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2.提供法人或者其他组织的营业执照等证明文件，如供应商为自然人的，提供其身份证明。</w:t>
      </w:r>
    </w:p>
    <w:p w14:paraId="6F8B886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（二）</w:t>
      </w:r>
      <w:r>
        <w:rPr>
          <w:rFonts w:hint="eastAsia" w:ascii="宋体" w:hAnsi="宋体" w:eastAsia="宋体" w:cs="宋体"/>
          <w:b/>
          <w:bCs w:val="0"/>
          <w:color w:val="auto"/>
          <w:sz w:val="24"/>
          <w:szCs w:val="24"/>
          <w:highlight w:val="none"/>
        </w:rPr>
        <w:t>落实政府采购政策需满足的资格要求：</w:t>
      </w:r>
      <w:r>
        <w:rPr>
          <w:rFonts w:hint="eastAsia" w:ascii="宋体" w:hAnsi="宋体" w:eastAsia="宋体" w:cs="宋体"/>
          <w:b/>
          <w:bCs/>
          <w:color w:val="auto"/>
          <w:sz w:val="24"/>
          <w:szCs w:val="24"/>
          <w:highlight w:val="none"/>
          <w:u w:val="single"/>
          <w:lang w:val="en-US" w:eastAsia="zh-CN"/>
        </w:rPr>
        <w:t>本项目不专门面向中小企业采购。</w:t>
      </w:r>
    </w:p>
    <w:p w14:paraId="1AE64C2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（三）</w:t>
      </w:r>
      <w:r>
        <w:rPr>
          <w:rFonts w:hint="eastAsia" w:ascii="宋体" w:hAnsi="宋体" w:eastAsia="宋体" w:cs="宋体"/>
          <w:b/>
          <w:bCs w:val="0"/>
          <w:color w:val="auto"/>
          <w:sz w:val="24"/>
          <w:szCs w:val="24"/>
          <w:highlight w:val="none"/>
        </w:rPr>
        <w:t>项目的特定资格要求：</w:t>
      </w:r>
    </w:p>
    <w:p w14:paraId="1BB90DF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未被“信用中国”网站（www.creditchina.gov.cn）列入失信被执行人、重大税收违法案件当事人名单、政府采购严重失信行为记录名单；</w:t>
      </w:r>
    </w:p>
    <w:p w14:paraId="3EEA3C4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参加投标的，必须提供法定代表人身份证明及法定代表人本人身份证复印件；非法定代表人参加投标的，必须提供法定代表人签字或盖章的授权委托书、法定代表人本人身份证复印件及被授权人本人身份证复印件</w:t>
      </w:r>
      <w:r>
        <w:rPr>
          <w:rFonts w:hint="eastAsia" w:ascii="宋体" w:hAnsi="宋体" w:eastAsia="宋体" w:cs="宋体"/>
          <w:color w:val="auto"/>
          <w:sz w:val="24"/>
          <w:szCs w:val="24"/>
          <w:highlight w:val="none"/>
          <w:lang w:eastAsia="zh-CN"/>
        </w:rPr>
        <w:t>；</w:t>
      </w:r>
    </w:p>
    <w:p w14:paraId="687FF85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拒绝下述投标人参加本次采购活动：</w:t>
      </w:r>
    </w:p>
    <w:p w14:paraId="20A3539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供应商单位负责人为同一人或者存在直接控股、管理关系的不同供应商，不得参加同一合同项下的政府采购活动；</w:t>
      </w:r>
    </w:p>
    <w:p w14:paraId="28506B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凡为采购项目提供整体设计、规范编制或者项目管理、监理、检测等服务的供应商，不得再参加本项目的采购活动。</w:t>
      </w:r>
    </w:p>
    <w:p w14:paraId="7F2CC490">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zh-CN"/>
        </w:rPr>
        <w:t>注：以上所有资格要求条件必须在资格审查材料中逐条提供有效证明材料及相关承诺书并加盖公章，否则投标无效。</w:t>
      </w:r>
    </w:p>
    <w:p w14:paraId="00F0A4F2">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具体资格要求详见第八章中的“资格审查文件”。</w:t>
      </w:r>
    </w:p>
    <w:p w14:paraId="547F6BC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三、获取招标文件</w:t>
      </w:r>
    </w:p>
    <w:p w14:paraId="16B5FD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时间：自本项目招标公告发布之日起5个工作日。</w:t>
      </w:r>
    </w:p>
    <w:p w14:paraId="1E143F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地点：网上注册登记成功后系统内免费下载。</w:t>
      </w:r>
    </w:p>
    <w:p w14:paraId="0DAA7D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获取方式：本项目采用网上注册登记方式。</w:t>
      </w:r>
    </w:p>
    <w:p w14:paraId="73BD6D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潜在供应商访问电子招标响应交易平台的网络地址和方法：</w:t>
      </w:r>
    </w:p>
    <w:p w14:paraId="1145B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政府采购网—资料下载中《江苏省政府采购管理交易系统（苏采云）供应商操作手册》。</w:t>
      </w:r>
    </w:p>
    <w:p w14:paraId="254876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潜在供应商访问“苏采云”系统的网络地址和方法：“苏采云”系统的网址：http</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//jszfcg.jsczt.cn/。</w:t>
      </w:r>
    </w:p>
    <w:p w14:paraId="399A7D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“CA数字证书”的获取：</w:t>
      </w:r>
    </w:p>
    <w:p w14:paraId="4D3338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供应商需办理“CA 数字证书”。“苏采云”系统目前仅支持政务CA、方正签章，省内各地区办理的用于“苏采云”平台的政务CA、方正签章全省通用。“CA数字证书”的办理方法详见江苏政府采购网—资料下载中《江苏省政府采购数字证书（供应商）CA及电子签章办理指南》。</w:t>
      </w:r>
    </w:p>
    <w:p w14:paraId="38163F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通过苏采云系统首页（http</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//jszfcg.jscz.gov.cn/）的“苏采云控件驱动下载”，选择“政务CA、方正签章控件驱动安装包及安装说明”下载安装，具体安装方法详见下载文件内的《安装说明》。</w:t>
      </w:r>
    </w:p>
    <w:p w14:paraId="0042AE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采购文件（后缀名为“.kedt”）、供应商操作手册及政府采购客户端工具可通过“苏采云”系统--已报名项目--报名详情页面内相应链接进行下载。</w:t>
      </w:r>
    </w:p>
    <w:p w14:paraId="13A764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采购人或招标代理机构（采购代理机构）将数据电文形式的采购文件加载至“苏采云”系统，供潜在供应商下载或者查阅。</w:t>
      </w:r>
    </w:p>
    <w:p w14:paraId="571D9E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3.6</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请潜在投标单位提前安装相应的控件（详见《江苏省政府采购管理交易系统（苏采云）供应商操作手册》）并使用谷歌浏览器登录“苏采云”系统参与不见面开评标。</w:t>
      </w:r>
    </w:p>
    <w:p w14:paraId="5908AC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3.7</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开评标全过程中，供应商一端参与交互的人员将均被视为是供应商的授权委托人或法定代表人，供应商不得以不承认交互人员的资格或身份等为借口抵赖推脱，供应商自行承担随意更换人员所导致的一切后果。为顺利实现本项目开评标的远程交互，建议供应商配置的硬件设施有：电脑或手机、高速稳定的网络、电源（不间断）、音视频设备（话筒、耳麦、高清摄像头、音响）等。为保证交互效果，建议供应商选择封闭安静的地点参与远程交互。因供应商自身软硬件问题而导致在交互过程中出现不稳定或中断等情况的，由供应商自身承担一切后果。</w:t>
      </w:r>
    </w:p>
    <w:p w14:paraId="5ECFEB5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注：如潜在供应商未按上述要求操作，将自行承担所产生的风险。</w:t>
      </w:r>
    </w:p>
    <w:p w14:paraId="05DC97E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四、提交投标文件截止时间、开标时间和地点</w:t>
      </w:r>
    </w:p>
    <w:p w14:paraId="2454AB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投标文件提交截止时间：</w:t>
      </w:r>
      <w:r>
        <w:rPr>
          <w:rFonts w:hint="eastAsia" w:ascii="宋体" w:hAnsi="宋体" w:eastAsia="宋体" w:cs="宋体"/>
          <w:b/>
          <w:bCs w:val="0"/>
          <w:color w:val="auto"/>
          <w:sz w:val="24"/>
          <w:szCs w:val="24"/>
          <w:highlight w:val="none"/>
          <w:u w:val="single"/>
          <w:lang w:eastAsia="zh-CN"/>
        </w:rPr>
        <w:t>2026年06月05日09时30分</w:t>
      </w:r>
      <w:r>
        <w:rPr>
          <w:rFonts w:hint="eastAsia" w:ascii="宋体" w:hAnsi="宋体" w:eastAsia="宋体" w:cs="宋体"/>
          <w:color w:val="auto"/>
          <w:sz w:val="24"/>
          <w:szCs w:val="24"/>
          <w:highlight w:val="none"/>
        </w:rPr>
        <w:t>（北京时间）。逾时，“苏采云”系统将拒绝接受上传响应文件电子文档。</w:t>
      </w:r>
    </w:p>
    <w:p w14:paraId="32B765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线上开标地点：“苏采云”系统（网址：http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//jszfcg.jsczt.cn/）“开标大厅”。</w:t>
      </w:r>
    </w:p>
    <w:p w14:paraId="3F3200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响应文件的解密：开标当天各供应商及时登录不见面开标大厅，响应文件递交截止时间后，采购人将在系统内公布投标供应商名单，然后通过开标会议区发出响应文件解密的指令，投标供应商在开标室按规定时间自行实施远程解密，</w:t>
      </w:r>
      <w:r>
        <w:rPr>
          <w:rFonts w:hint="eastAsia" w:ascii="宋体" w:hAnsi="宋体" w:eastAsia="宋体" w:cs="宋体"/>
          <w:b/>
          <w:color w:val="auto"/>
          <w:sz w:val="24"/>
          <w:szCs w:val="24"/>
          <w:highlight w:val="none"/>
        </w:rPr>
        <w:t>投标供应商解密限定在开标后30分钟之内完成</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响应文件将被退回；因采购人（或采购代理机构）原因或网上招投标平台发生故障，导致无法按时完成响应文件解密或开、评标工作无法进行的，可根据实际情况相应延迟解密时间或调整开、评标时间。</w:t>
      </w:r>
    </w:p>
    <w:p w14:paraId="2D5CC52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注：各供应商请关注开标大厅交流区，在开标结束后，请勿离开开标大厅。</w:t>
      </w:r>
    </w:p>
    <w:p w14:paraId="7A21D90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五、公告期限</w:t>
      </w:r>
    </w:p>
    <w:p w14:paraId="35F51D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自本公告发布之日起5个工作日。</w:t>
      </w:r>
    </w:p>
    <w:p w14:paraId="4756471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六、其他补充事宜</w:t>
      </w:r>
    </w:p>
    <w:p w14:paraId="502821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投标保证金：免收；本项目招标文件中涉及投标保证金的事项，均按免收投标保证金执行。</w:t>
      </w:r>
    </w:p>
    <w:p w14:paraId="376D35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项目开标活动模式：不见面远程投标模式，供应商在各自地点通过不见面交易系统参加开标会。</w:t>
      </w:r>
    </w:p>
    <w:p w14:paraId="4F9858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项目演示、样品、答辩等（如有请描述）：</w:t>
      </w:r>
      <w:r>
        <w:rPr>
          <w:rFonts w:hint="eastAsia" w:ascii="宋体" w:hAnsi="宋体" w:eastAsia="宋体" w:cs="宋体"/>
          <w:bCs/>
          <w:color w:val="auto"/>
          <w:sz w:val="24"/>
          <w:szCs w:val="24"/>
          <w:highlight w:val="none"/>
          <w:lang w:eastAsia="zh-CN"/>
        </w:rPr>
        <w:t>根据“</w:t>
      </w:r>
      <w:r>
        <w:rPr>
          <w:rFonts w:hint="eastAsia" w:ascii="宋体" w:hAnsi="宋体" w:eastAsia="宋体" w:cs="宋体"/>
          <w:bCs/>
          <w:color w:val="auto"/>
          <w:sz w:val="24"/>
          <w:szCs w:val="24"/>
          <w:highlight w:val="none"/>
        </w:rPr>
        <w:t>第四章  评审方法和程序</w:t>
      </w:r>
      <w:r>
        <w:rPr>
          <w:rFonts w:hint="eastAsia" w:ascii="宋体" w:hAnsi="宋体" w:eastAsia="宋体" w:cs="宋体"/>
          <w:bCs/>
          <w:color w:val="auto"/>
          <w:sz w:val="24"/>
          <w:szCs w:val="24"/>
          <w:highlight w:val="none"/>
          <w:lang w:eastAsia="zh-CN"/>
        </w:rPr>
        <w:t>”要求提供</w:t>
      </w:r>
      <w:r>
        <w:rPr>
          <w:rFonts w:hint="eastAsia" w:ascii="宋体" w:hAnsi="宋体" w:eastAsia="宋体" w:cs="宋体"/>
          <w:bCs/>
          <w:color w:val="auto"/>
          <w:sz w:val="24"/>
          <w:szCs w:val="24"/>
          <w:highlight w:val="none"/>
        </w:rPr>
        <w:t>演示视频，视频文件的格式为*.mp4或*.avi，供应商须将视频文件分段压缩为*.zip文件上传（单个文件不得大于50M，所有文件总共不得大于300M），上传的演示视频将作为投标文件的组成部分，</w:t>
      </w:r>
      <w:r>
        <w:rPr>
          <w:rFonts w:hint="eastAsia" w:ascii="宋体" w:hAnsi="宋体" w:eastAsia="宋体" w:cs="宋体"/>
          <w:bCs/>
          <w:color w:val="auto"/>
          <w:sz w:val="24"/>
          <w:szCs w:val="24"/>
          <w:highlight w:val="none"/>
          <w:lang w:val="en-US" w:eastAsia="zh-CN"/>
        </w:rPr>
        <w:t>演示时长不超过20分钟。</w:t>
      </w:r>
    </w:p>
    <w:p w14:paraId="222F50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对项目需求部分（投标人其他资格要求、项目需求、评分标准）的询问、质疑请向招标人提出，由招标人负责答复；对项目招标文件其它部分的询问请向招标人或招标代理提出。</w:t>
      </w:r>
    </w:p>
    <w:p w14:paraId="228730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投标人应依照规定提交各类声明函、承诺函，不再同时提供原件备查或提供有关部门出具的相关证明文件。但中标人应做好提交声明函、承诺函相应原件的核查准备；</w:t>
      </w:r>
      <w:bookmarkStart w:id="5" w:name="OLE_LINK5"/>
      <w:r>
        <w:rPr>
          <w:rFonts w:hint="eastAsia" w:ascii="宋体" w:hAnsi="宋体" w:eastAsia="宋体" w:cs="宋体"/>
          <w:bCs/>
          <w:color w:val="auto"/>
          <w:sz w:val="24"/>
          <w:szCs w:val="24"/>
          <w:highlight w:val="none"/>
        </w:rPr>
        <w:t>核查后发现虚假或违背承诺的，依照相关法律法规规定处理。</w:t>
      </w:r>
      <w:bookmarkEnd w:id="5"/>
    </w:p>
    <w:p w14:paraId="55317E9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本次采购的有关信息将在江苏政府采购网上发布，敬请留意。</w:t>
      </w:r>
    </w:p>
    <w:p w14:paraId="3C7CFBC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请各投标人充分考虑项目周期，谨慎参与交易，</w:t>
      </w:r>
      <w:r>
        <w:rPr>
          <w:rFonts w:hint="eastAsia" w:ascii="宋体" w:hAnsi="宋体" w:eastAsia="宋体" w:cs="宋体"/>
          <w:bCs/>
          <w:color w:val="auto"/>
          <w:sz w:val="24"/>
          <w:szCs w:val="24"/>
          <w:highlight w:val="none"/>
          <w:lang w:eastAsia="zh-CN"/>
        </w:rPr>
        <w:t>中标</w:t>
      </w:r>
      <w:r>
        <w:rPr>
          <w:rFonts w:hint="eastAsia" w:ascii="宋体" w:hAnsi="宋体" w:eastAsia="宋体" w:cs="宋体"/>
          <w:bCs/>
          <w:color w:val="auto"/>
          <w:sz w:val="24"/>
          <w:szCs w:val="24"/>
          <w:highlight w:val="none"/>
        </w:rPr>
        <w:t>后不得以任何理由放弃</w:t>
      </w:r>
      <w:r>
        <w:rPr>
          <w:rFonts w:hint="eastAsia" w:ascii="宋体" w:hAnsi="宋体" w:eastAsia="宋体" w:cs="宋体"/>
          <w:bCs/>
          <w:color w:val="auto"/>
          <w:sz w:val="24"/>
          <w:szCs w:val="24"/>
          <w:highlight w:val="none"/>
          <w:lang w:eastAsia="zh-CN"/>
        </w:rPr>
        <w:t>中标</w:t>
      </w:r>
      <w:r>
        <w:rPr>
          <w:rFonts w:hint="eastAsia" w:ascii="宋体" w:hAnsi="宋体" w:eastAsia="宋体" w:cs="宋体"/>
          <w:bCs/>
          <w:color w:val="auto"/>
          <w:sz w:val="24"/>
          <w:szCs w:val="24"/>
          <w:highlight w:val="none"/>
        </w:rPr>
        <w:t>资格或不按规定履约。</w:t>
      </w:r>
    </w:p>
    <w:p w14:paraId="3111E2E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勘察现场或答疑：本次采购不组织集中勘察现场。</w:t>
      </w:r>
      <w:r>
        <w:rPr>
          <w:rFonts w:hint="eastAsia" w:ascii="宋体" w:hAnsi="宋体" w:eastAsia="宋体" w:cs="宋体"/>
          <w:bCs/>
          <w:color w:val="auto"/>
          <w:sz w:val="24"/>
          <w:szCs w:val="24"/>
          <w:highlight w:val="none"/>
          <w:lang w:val="en-US" w:eastAsia="zh-CN"/>
        </w:rPr>
        <w:t>投标人如对采购需求有疑问请与采购联系人沟通。</w:t>
      </w:r>
    </w:p>
    <w:p w14:paraId="4852F259">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七、对本次招标提出询问，请按以下方式联系。</w:t>
      </w:r>
    </w:p>
    <w:p w14:paraId="214693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6" w:name="_Toc363573854"/>
      <w:r>
        <w:rPr>
          <w:rFonts w:hint="eastAsia" w:ascii="宋体" w:hAnsi="宋体" w:eastAsia="宋体" w:cs="宋体"/>
          <w:color w:val="auto"/>
          <w:sz w:val="24"/>
          <w:szCs w:val="24"/>
          <w:highlight w:val="none"/>
        </w:rPr>
        <w:t>1. 采购人信息</w:t>
      </w:r>
    </w:p>
    <w:p w14:paraId="4A01F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称：江苏航运职业技术学院</w:t>
      </w:r>
    </w:p>
    <w:p w14:paraId="4E6706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址：江苏省南通市经济技术开发区通盛大道185号</w:t>
      </w:r>
    </w:p>
    <w:p w14:paraId="05B9D9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陈</w:t>
      </w:r>
      <w:r>
        <w:rPr>
          <w:rFonts w:hint="eastAsia" w:ascii="宋体" w:hAnsi="宋体" w:eastAsia="宋体" w:cs="宋体"/>
          <w:color w:val="auto"/>
          <w:sz w:val="24"/>
          <w:szCs w:val="24"/>
          <w:highlight w:val="none"/>
        </w:rPr>
        <w:t>老师</w:t>
      </w:r>
    </w:p>
    <w:p w14:paraId="583BE9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联系方式：0513-</w:t>
      </w:r>
      <w:r>
        <w:rPr>
          <w:rFonts w:hint="eastAsia" w:ascii="宋体" w:hAnsi="宋体" w:eastAsia="宋体" w:cs="宋体"/>
          <w:color w:val="auto"/>
          <w:sz w:val="24"/>
          <w:szCs w:val="24"/>
          <w:highlight w:val="none"/>
          <w:lang w:val="en-US" w:eastAsia="zh-CN"/>
        </w:rPr>
        <w:t>85965561</w:t>
      </w:r>
    </w:p>
    <w:p w14:paraId="33174E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采购代理机构信息</w:t>
      </w:r>
    </w:p>
    <w:p w14:paraId="0C3FB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称：南通建辰工程咨询有限公司</w:t>
      </w:r>
    </w:p>
    <w:p w14:paraId="4E6DBB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址：南通市红星路1号太阳鑫城1幢东单元6楼</w:t>
      </w:r>
    </w:p>
    <w:p w14:paraId="27492F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联系方式：0513-89010636</w:t>
      </w:r>
    </w:p>
    <w:p w14:paraId="678F40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299A0A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采购文件制作人：陆语石</w:t>
      </w:r>
    </w:p>
    <w:p w14:paraId="74BC6D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话：0513-89010636</w:t>
      </w:r>
    </w:p>
    <w:p w14:paraId="327B676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软件技术支持：0519-86722801</w:t>
      </w:r>
    </w:p>
    <w:bookmarkEnd w:id="6"/>
    <w:p w14:paraId="0407DD50">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eastAsia="zh-CN"/>
        </w:rPr>
      </w:pPr>
    </w:p>
    <w:p w14:paraId="7CE44C7B">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附件：</w:t>
      </w:r>
    </w:p>
    <w:p w14:paraId="5136A586">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1.公开招标文件</w:t>
      </w:r>
    </w:p>
    <w:p w14:paraId="5E273C78">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2.政府采购采购人信用承诺书</w:t>
      </w:r>
    </w:p>
    <w:p w14:paraId="3D2D0D74">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3.公平竞争审查二维码</w:t>
      </w:r>
    </w:p>
    <w:p w14:paraId="2D9B594A">
      <w:pPr>
        <w:pStyle w:val="3"/>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4.办理政采贷和履约保函（保险）告知函</w:t>
      </w:r>
    </w:p>
    <w:p w14:paraId="306C31AC">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宋体" w:hAnsi="宋体" w:eastAsia="宋体" w:cs="宋体"/>
          <w:b/>
          <w:color w:val="auto"/>
          <w:sz w:val="36"/>
          <w:szCs w:val="36"/>
          <w:highlight w:val="none"/>
        </w:rPr>
      </w:pPr>
      <w:bookmarkStart w:id="7" w:name="_Toc13543213"/>
    </w:p>
    <w:p w14:paraId="4F790A1E">
      <w:pP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0BE4746A">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36"/>
          <w:szCs w:val="36"/>
          <w:highlight w:val="none"/>
        </w:rPr>
        <w:t>第二章</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投标人须知</w:t>
      </w:r>
    </w:p>
    <w:p w14:paraId="181B54FD">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textAlignment w:val="auto"/>
        <w:rPr>
          <w:rFonts w:hint="eastAsia" w:ascii="宋体" w:hAnsi="宋体" w:eastAsia="宋体" w:cs="宋体"/>
          <w:b/>
          <w:color w:val="auto"/>
          <w:sz w:val="21"/>
          <w:szCs w:val="21"/>
          <w:highlight w:val="none"/>
        </w:rPr>
      </w:pPr>
    </w:p>
    <w:p w14:paraId="7D0C53F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一、总则</w:t>
      </w:r>
    </w:p>
    <w:p w14:paraId="3C22A26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1.招标方式</w:t>
      </w:r>
    </w:p>
    <w:p w14:paraId="19BE49C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本次招标采取公开招标方式，本招标文件仅适用于招标公告中所述项目。</w:t>
      </w:r>
    </w:p>
    <w:p w14:paraId="00AFF50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2.合格的投标人</w:t>
      </w:r>
    </w:p>
    <w:p w14:paraId="5403E42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满足招标公告中投标人的资格要求的规定。</w:t>
      </w:r>
    </w:p>
    <w:p w14:paraId="654FA92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满足本文件实质性要求和条件的规定。</w:t>
      </w:r>
    </w:p>
    <w:p w14:paraId="6BF321F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3.适用法律</w:t>
      </w:r>
    </w:p>
    <w:p w14:paraId="5007A59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本次招标及由此产生的合同受中华人民共和国有关的法律法规制约和保护。</w:t>
      </w:r>
    </w:p>
    <w:p w14:paraId="19BFDF0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4.投标费用</w:t>
      </w:r>
    </w:p>
    <w:p w14:paraId="1552329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投标人应自行承担所有与参加投标有关的费用，无论投标过程中的做法和结果如何，招标人及代理机构在任何情况下均无义务和责任承担这些费用。</w:t>
      </w:r>
    </w:p>
    <w:p w14:paraId="03D82F4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4.2 </w:t>
      </w:r>
      <w:r>
        <w:rPr>
          <w:rFonts w:hint="eastAsia" w:ascii="宋体" w:hAnsi="宋体" w:eastAsia="宋体" w:cs="宋体"/>
          <w:color w:val="auto"/>
          <w:sz w:val="24"/>
          <w:szCs w:val="24"/>
          <w:highlight w:val="none"/>
        </w:rPr>
        <w:t>采购人不收取任何费用。</w:t>
      </w:r>
    </w:p>
    <w:p w14:paraId="64CD51F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4.3 </w:t>
      </w:r>
      <w:r>
        <w:rPr>
          <w:rFonts w:hint="eastAsia" w:ascii="宋体" w:hAnsi="宋体" w:eastAsia="宋体" w:cs="宋体"/>
          <w:color w:val="auto"/>
          <w:sz w:val="24"/>
          <w:szCs w:val="24"/>
          <w:highlight w:val="none"/>
        </w:rPr>
        <w:t>招标代理费：依据财政部《政府采购代理机构管理暂行办法》第十五条规定，约定由中标（成交）供应商向招标代理机构支付代理服务费。代理服务费计取金额按照《江苏省政府采购代理常规服务收费指导价》列明的定额或差额定率分档累进费率和项目中标或者成交金额计算(有分包的以一个项目计算)结果的70%计，此项费用含在投标报价中，并不单独列项，由中标（成交）供应商在取得中标（成交）通知书前，向招标代理机构一次付清。</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53"/>
        <w:gridCol w:w="2020"/>
      </w:tblGrid>
      <w:tr w14:paraId="1B1EC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353" w:type="dxa"/>
            <w:vAlign w:val="center"/>
          </w:tcPr>
          <w:p w14:paraId="75BBDB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中标或者成交金额</w:t>
            </w:r>
          </w:p>
        </w:tc>
        <w:tc>
          <w:tcPr>
            <w:tcW w:w="2020" w:type="dxa"/>
            <w:vAlign w:val="center"/>
          </w:tcPr>
          <w:p w14:paraId="2576E7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费率</w:t>
            </w:r>
          </w:p>
        </w:tc>
      </w:tr>
      <w:tr w14:paraId="3F13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353" w:type="dxa"/>
            <w:vAlign w:val="center"/>
          </w:tcPr>
          <w:p w14:paraId="7998CE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最低收费金额</w:t>
            </w:r>
            <w:r>
              <w:rPr>
                <w:rFonts w:hint="eastAsia" w:ascii="宋体" w:hAnsi="宋体" w:eastAsia="宋体" w:cs="宋体"/>
                <w:sz w:val="24"/>
                <w:szCs w:val="24"/>
                <w:lang w:eastAsia="zh-CN"/>
              </w:rPr>
              <w:t>（</w:t>
            </w:r>
            <w:r>
              <w:rPr>
                <w:rFonts w:hint="eastAsia" w:ascii="宋体" w:hAnsi="宋体" w:eastAsia="宋体" w:cs="宋体"/>
                <w:sz w:val="24"/>
                <w:szCs w:val="24"/>
              </w:rPr>
              <w:t>每个委托项目</w:t>
            </w:r>
            <w:r>
              <w:rPr>
                <w:rFonts w:hint="eastAsia" w:ascii="宋体" w:hAnsi="宋体" w:eastAsia="宋体" w:cs="宋体"/>
                <w:sz w:val="24"/>
                <w:szCs w:val="24"/>
                <w:lang w:eastAsia="zh-CN"/>
              </w:rPr>
              <w:t>）</w:t>
            </w:r>
          </w:p>
        </w:tc>
        <w:tc>
          <w:tcPr>
            <w:tcW w:w="2020" w:type="dxa"/>
            <w:vAlign w:val="center"/>
          </w:tcPr>
          <w:p w14:paraId="33E3DD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5000元</w:t>
            </w:r>
          </w:p>
        </w:tc>
      </w:tr>
      <w:tr w14:paraId="1CDCB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353" w:type="dxa"/>
            <w:vAlign w:val="center"/>
          </w:tcPr>
          <w:p w14:paraId="1C3B9C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50万元以下</w:t>
            </w:r>
            <w:r>
              <w:rPr>
                <w:rFonts w:hint="eastAsia" w:ascii="宋体" w:hAnsi="宋体" w:eastAsia="宋体" w:cs="宋体"/>
                <w:sz w:val="24"/>
                <w:szCs w:val="24"/>
                <w:lang w:eastAsia="zh-CN"/>
              </w:rPr>
              <w:t>（</w:t>
            </w:r>
            <w:r>
              <w:rPr>
                <w:rFonts w:hint="eastAsia" w:ascii="宋体" w:hAnsi="宋体" w:eastAsia="宋体" w:cs="宋体"/>
                <w:sz w:val="24"/>
                <w:szCs w:val="24"/>
              </w:rPr>
              <w:t>含50万元</w:t>
            </w:r>
            <w:r>
              <w:rPr>
                <w:rFonts w:hint="eastAsia" w:ascii="宋体" w:hAnsi="宋体" w:eastAsia="宋体" w:cs="宋体"/>
                <w:sz w:val="24"/>
                <w:szCs w:val="24"/>
                <w:lang w:eastAsia="zh-CN"/>
              </w:rPr>
              <w:t>）</w:t>
            </w:r>
          </w:p>
        </w:tc>
        <w:tc>
          <w:tcPr>
            <w:tcW w:w="2020" w:type="dxa"/>
            <w:vAlign w:val="center"/>
          </w:tcPr>
          <w:p w14:paraId="69E43B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r>
      <w:tr w14:paraId="3878D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353" w:type="dxa"/>
            <w:vAlign w:val="center"/>
          </w:tcPr>
          <w:p w14:paraId="6ECF38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50-400万元</w:t>
            </w:r>
            <w:r>
              <w:rPr>
                <w:rFonts w:hint="eastAsia" w:ascii="宋体" w:hAnsi="宋体" w:eastAsia="宋体" w:cs="宋体"/>
                <w:sz w:val="24"/>
                <w:szCs w:val="24"/>
                <w:lang w:eastAsia="zh-CN"/>
              </w:rPr>
              <w:t>（</w:t>
            </w:r>
            <w:r>
              <w:rPr>
                <w:rFonts w:hint="eastAsia" w:ascii="宋体" w:hAnsi="宋体" w:eastAsia="宋体" w:cs="宋体"/>
                <w:sz w:val="24"/>
                <w:szCs w:val="24"/>
              </w:rPr>
              <w:t>含400万元</w:t>
            </w:r>
            <w:r>
              <w:rPr>
                <w:rFonts w:hint="eastAsia" w:ascii="宋体" w:hAnsi="宋体" w:eastAsia="宋体" w:cs="宋体"/>
                <w:sz w:val="24"/>
                <w:szCs w:val="24"/>
                <w:lang w:eastAsia="zh-CN"/>
              </w:rPr>
              <w:t>）</w:t>
            </w:r>
          </w:p>
        </w:tc>
        <w:tc>
          <w:tcPr>
            <w:tcW w:w="2020" w:type="dxa"/>
            <w:vAlign w:val="center"/>
          </w:tcPr>
          <w:p w14:paraId="0A8685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r>
      <w:tr w14:paraId="0AB5F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353" w:type="dxa"/>
            <w:vAlign w:val="center"/>
          </w:tcPr>
          <w:p w14:paraId="4F9197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400-1000万元（</w:t>
            </w:r>
            <w:r>
              <w:rPr>
                <w:rFonts w:hint="eastAsia" w:ascii="宋体" w:hAnsi="宋体" w:eastAsia="宋体" w:cs="宋体"/>
                <w:sz w:val="24"/>
                <w:szCs w:val="24"/>
              </w:rPr>
              <w:t>含</w:t>
            </w:r>
            <w:r>
              <w:rPr>
                <w:rFonts w:hint="eastAsia" w:ascii="宋体" w:hAnsi="宋体" w:eastAsia="宋体" w:cs="宋体"/>
                <w:sz w:val="24"/>
                <w:szCs w:val="24"/>
                <w:lang w:val="en-US" w:eastAsia="zh-CN"/>
              </w:rPr>
              <w:t>10</w:t>
            </w:r>
            <w:r>
              <w:rPr>
                <w:rFonts w:hint="eastAsia" w:ascii="宋体" w:hAnsi="宋体" w:eastAsia="宋体" w:cs="宋体"/>
                <w:sz w:val="24"/>
                <w:szCs w:val="24"/>
              </w:rPr>
              <w:t>00万元</w:t>
            </w:r>
            <w:r>
              <w:rPr>
                <w:rFonts w:hint="eastAsia" w:ascii="宋体" w:hAnsi="宋体" w:eastAsia="宋体" w:cs="宋体"/>
                <w:sz w:val="24"/>
                <w:szCs w:val="24"/>
                <w:lang w:val="en-US" w:eastAsia="zh-CN"/>
              </w:rPr>
              <w:t>）</w:t>
            </w:r>
          </w:p>
        </w:tc>
        <w:tc>
          <w:tcPr>
            <w:tcW w:w="2020" w:type="dxa"/>
            <w:vAlign w:val="center"/>
          </w:tcPr>
          <w:p w14:paraId="049144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r>
    </w:tbl>
    <w:p w14:paraId="4A5C69F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采购代理服务费收取账户信息如下：</w:t>
      </w:r>
    </w:p>
    <w:p w14:paraId="7B5B1B7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收款单位：南通建辰工程咨询有限公司；</w:t>
      </w:r>
    </w:p>
    <w:p w14:paraId="7D12E41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开户行：上海浦东发展银行南通分行；</w:t>
      </w:r>
    </w:p>
    <w:p w14:paraId="06873C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号：88010154730000186。</w:t>
      </w:r>
    </w:p>
    <w:p w14:paraId="44BB39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5.招标文件的约束力</w:t>
      </w:r>
    </w:p>
    <w:p w14:paraId="4250BCB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5.1</w:t>
      </w:r>
      <w:r>
        <w:rPr>
          <w:rFonts w:hint="eastAsia" w:ascii="宋体" w:hAnsi="宋体" w:eastAsia="宋体" w:cs="宋体"/>
          <w:color w:val="auto"/>
          <w:sz w:val="24"/>
          <w:szCs w:val="24"/>
          <w:highlight w:val="none"/>
        </w:rPr>
        <w:t xml:space="preserve"> 投标人一旦参加本项目采购活动，即被认为接受了本招标文件的规定和约束。</w:t>
      </w:r>
    </w:p>
    <w:p w14:paraId="165FBBC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6.招标文件的解释</w:t>
      </w:r>
    </w:p>
    <w:p w14:paraId="1D02050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招标文件需求部分（投标人资格要求、项目需求、商务技术评分标准）由招标人解释，其它部分由招标代理机构解释。</w:t>
      </w:r>
    </w:p>
    <w:p w14:paraId="476E906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二、招标文件</w:t>
      </w:r>
    </w:p>
    <w:p w14:paraId="4068A27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1.招标文件构成</w:t>
      </w:r>
    </w:p>
    <w:p w14:paraId="51B6A7C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w:t>
      </w:r>
      <w:r>
        <w:rPr>
          <w:rFonts w:hint="eastAsia" w:ascii="宋体" w:hAnsi="宋体" w:eastAsia="宋体" w:cs="宋体"/>
          <w:color w:val="auto"/>
          <w:sz w:val="24"/>
          <w:szCs w:val="24"/>
          <w:highlight w:val="none"/>
        </w:rPr>
        <w:t xml:space="preserve"> 招标文件由以下部分组成：</w:t>
      </w:r>
    </w:p>
    <w:p w14:paraId="2E72026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招标公告</w:t>
      </w:r>
    </w:p>
    <w:p w14:paraId="7F5CD39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）投标人须知</w:t>
      </w:r>
    </w:p>
    <w:p w14:paraId="542C5A9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）项目需求</w:t>
      </w:r>
    </w:p>
    <w:p w14:paraId="497C268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）评审方法和程序</w:t>
      </w:r>
    </w:p>
    <w:p w14:paraId="7E4F907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）合同签订与验收付款</w:t>
      </w:r>
    </w:p>
    <w:p w14:paraId="7FCD77F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）合同授予</w:t>
      </w:r>
    </w:p>
    <w:p w14:paraId="487561A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）质疑与投诉</w:t>
      </w:r>
    </w:p>
    <w:p w14:paraId="6F7C276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）投标文件组成及格式</w:t>
      </w:r>
    </w:p>
    <w:p w14:paraId="18CCFC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请仔细检查招标文件是否齐全，如有缺漏请立即与</w:t>
      </w:r>
      <w:r>
        <w:rPr>
          <w:rFonts w:hint="eastAsia" w:ascii="宋体" w:hAnsi="宋体" w:eastAsia="宋体" w:cs="宋体"/>
          <w:bCs/>
          <w:color w:val="auto"/>
          <w:sz w:val="24"/>
          <w:szCs w:val="24"/>
          <w:highlight w:val="none"/>
        </w:rPr>
        <w:t>招标人或招标代理机构</w:t>
      </w:r>
      <w:r>
        <w:rPr>
          <w:rFonts w:hint="eastAsia" w:ascii="宋体" w:hAnsi="宋体" w:eastAsia="宋体" w:cs="宋体"/>
          <w:color w:val="auto"/>
          <w:sz w:val="24"/>
          <w:szCs w:val="24"/>
          <w:highlight w:val="none"/>
        </w:rPr>
        <w:t>联系解决。</w:t>
      </w:r>
    </w:p>
    <w:p w14:paraId="2ABBB7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B7505E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2.招标文件的澄清</w:t>
      </w:r>
    </w:p>
    <w:p w14:paraId="691696D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任何要求对招标文件进行澄清的投标人，应在提交投标文件截止时间十日前按招标公告中的通讯地址，以书面形式通知招标人或招标代理机构。招标人或招标代理机构有权对发出的招标文件进行必要的澄清或修改。</w:t>
      </w:r>
    </w:p>
    <w:p w14:paraId="596CF63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Cs/>
          <w:color w:val="auto"/>
          <w:sz w:val="24"/>
          <w:szCs w:val="24"/>
          <w:highlight w:val="none"/>
        </w:rPr>
        <w:t>招标人</w:t>
      </w:r>
      <w:r>
        <w:rPr>
          <w:rFonts w:hint="eastAsia" w:ascii="宋体" w:hAnsi="宋体" w:eastAsia="宋体" w:cs="宋体"/>
          <w:color w:val="auto"/>
          <w:sz w:val="24"/>
          <w:szCs w:val="24"/>
          <w:highlight w:val="none"/>
        </w:rPr>
        <w:t>可以视采购项目的具体情况，组织投标人进行现场考察或召开答疑会，但不单独或分别组织只有一个投标人参加的现场考察和答疑会。</w:t>
      </w:r>
    </w:p>
    <w:p w14:paraId="5C3209C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3.招标文件的修改</w:t>
      </w:r>
    </w:p>
    <w:p w14:paraId="096F142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 在投标文件提交截止时间前，招标人或招标代理机构可以对招标文件进行修改</w:t>
      </w:r>
      <w:r>
        <w:rPr>
          <w:rFonts w:hint="eastAsia" w:ascii="宋体" w:hAnsi="宋体" w:eastAsia="宋体" w:cs="宋体"/>
          <w:color w:val="auto"/>
          <w:sz w:val="24"/>
          <w:szCs w:val="24"/>
          <w:highlight w:val="none"/>
        </w:rPr>
        <w:t>，澄清或者修改的内容作为招标文件的组成部分。</w:t>
      </w:r>
    </w:p>
    <w:p w14:paraId="7DCE5BF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 招标人或招标代理机构有权按照法定的要求推迟投标文件提交截止日期和开标日期。</w:t>
      </w:r>
    </w:p>
    <w:p w14:paraId="0EC1997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3.3 招标文件的修改将在江苏政府采购网公布，补充文件将作为招标文件的组成部分，并对投标人具有约束力</w:t>
      </w:r>
      <w:r>
        <w:rPr>
          <w:rFonts w:hint="eastAsia" w:ascii="宋体" w:hAnsi="宋体" w:eastAsia="宋体" w:cs="宋体"/>
          <w:color w:val="auto"/>
          <w:sz w:val="24"/>
          <w:szCs w:val="24"/>
          <w:highlight w:val="none"/>
        </w:rPr>
        <w:t>。</w:t>
      </w:r>
    </w:p>
    <w:p w14:paraId="1532882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4.在投标文件提交截止日期，招标人对招标文件进行澄清或者修改的，通过“苏采云”系统发布澄清公告或者修改的内容。澄清或者修改的内容以所发布的本项目的“更正（澄清）公告”的形式通知所有获取招标文件的潜在投标人。发布本项目的“更正（澄清）公告”后招标代理机构已尽通知义务。敬请各潜在投标人关注本项目的“更正（澄清）公告”，并通过“苏采云”系统重新下载更正（澄清）后的招标文件（后缀名为“.kedt”），离线编制投标文件，否则，将自行承担相应的风险。</w:t>
      </w:r>
    </w:p>
    <w:p w14:paraId="6DAFF1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5.投标人对招标人提供的招标文件所做出的推论、解释和结论，招标人概不负责。投标人由于对招标文件的任何推论和误解以及招标人对有关问题的口头解释所造成的后果，均由各潜在投标人自负。</w:t>
      </w:r>
    </w:p>
    <w:p w14:paraId="48586E0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、投标文件的编制</w:t>
      </w:r>
    </w:p>
    <w:p w14:paraId="055159C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1.投标文件的语言及度量衡单位</w:t>
      </w:r>
    </w:p>
    <w:p w14:paraId="2666DE9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投标人提交的投标文件以及投标人与招标人或招标代理机构就有关投标的所有来往通知、函件和文件均应使用简体中文。</w:t>
      </w:r>
    </w:p>
    <w:p w14:paraId="4EA8705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 除技术性能另有规定外，投标文件所使用的度量衡单位，均须采用国家法定计量单位。</w:t>
      </w:r>
    </w:p>
    <w:p w14:paraId="1C92CF6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2.投标文件构成</w:t>
      </w:r>
    </w:p>
    <w:p w14:paraId="06A6CCA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投标人编写的投标文件应包括资格审查文件、符合性证明文件、投标分项报价表、技术要求响应及偏离表、商务要求响应及偏离表、其他证明文件、投标函、开标一览表等部分。投标人按“第八章 投标文件组成及格式”要求编写投标文件。</w:t>
      </w:r>
    </w:p>
    <w:p w14:paraId="2F26D26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 如标书制作工具中格式和内容与“江苏政府采购网”发布的招标文件不一致，请以“江苏政府采购网”发布的招标文件为准。</w:t>
      </w:r>
    </w:p>
    <w:p w14:paraId="37ED10E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3.证明投标人及投标标的符合招标文件规定的文件</w:t>
      </w:r>
    </w:p>
    <w:p w14:paraId="2EE809B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 投标人应按照法律、法规、规章和规范性文件以及招标文件要求提交证明文件，证明其及投标标的符合招标文件规定。</w:t>
      </w:r>
    </w:p>
    <w:p w14:paraId="7D75AFB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招标文件对证明文件无明确形式要求的，证明文件可以以文字资料、图纸和数据等形式提交。</w:t>
      </w:r>
    </w:p>
    <w:p w14:paraId="3C8FD34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4.投标分项报价表</w:t>
      </w:r>
    </w:p>
    <w:p w14:paraId="2483E44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投标人应按照招标文件规定格式填报投标分项报价表。</w:t>
      </w:r>
    </w:p>
    <w:p w14:paraId="6981E6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投标货币。投标文件中的单价和总价无特殊规定的采用人民币报价，以元为单位标注。招标文件中另有规定的按规定执行。</w:t>
      </w:r>
    </w:p>
    <w:p w14:paraId="4CAB975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5.技术要求响应及偏离表、商务要求响应及偏离表</w:t>
      </w:r>
    </w:p>
    <w:p w14:paraId="20F7C3B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投标人需对招标文件中的技术要求与商务要求逐项作出响应或偏离，并说明原因。</w:t>
      </w:r>
    </w:p>
    <w:p w14:paraId="74F82A6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 投标人可在投标文件中提供认为需要的其他技术文件或说明。</w:t>
      </w:r>
    </w:p>
    <w:p w14:paraId="320DDA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6.投标函和开标一览表</w:t>
      </w:r>
    </w:p>
    <w:p w14:paraId="478674E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投标人应按照招标文件中提供的格式完整、正确填写投标函、开标一览表</w:t>
      </w:r>
      <w:r>
        <w:rPr>
          <w:rFonts w:hint="eastAsia" w:ascii="宋体" w:hAnsi="宋体" w:eastAsia="宋体" w:cs="宋体"/>
          <w:bCs/>
          <w:color w:val="auto"/>
          <w:sz w:val="24"/>
          <w:szCs w:val="24"/>
          <w:highlight w:val="none"/>
          <w:lang w:eastAsia="zh-CN"/>
        </w:rPr>
        <w:t>。</w:t>
      </w:r>
      <w:r>
        <w:rPr>
          <w:rFonts w:hint="eastAsia" w:ascii="宋体" w:hAnsi="宋体" w:eastAsia="宋体" w:cs="宋体"/>
          <w:b/>
          <w:bCs w:val="0"/>
          <w:color w:val="auto"/>
          <w:sz w:val="24"/>
          <w:szCs w:val="24"/>
          <w:highlight w:val="none"/>
          <w:u w:val="single"/>
        </w:rPr>
        <w:t>*每项货物、服务等只允许有一个报价，任何有选择的报价将不予接受，将作为无效投标文件处理。</w:t>
      </w:r>
    </w:p>
    <w:p w14:paraId="2F51134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7.投标有效期</w:t>
      </w:r>
    </w:p>
    <w:p w14:paraId="5AAFA96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投标有效期为招标文件规定的投标文件提交截止时间后</w:t>
      </w:r>
      <w:r>
        <w:rPr>
          <w:rFonts w:hint="eastAsia" w:ascii="宋体" w:hAnsi="宋体" w:eastAsia="宋体" w:cs="宋体"/>
          <w:bCs/>
          <w:color w:val="auto"/>
          <w:sz w:val="24"/>
          <w:szCs w:val="24"/>
          <w:highlight w:val="none"/>
          <w:u w:val="single"/>
        </w:rPr>
        <w:t>六十（60）天</w:t>
      </w:r>
      <w:r>
        <w:rPr>
          <w:rFonts w:hint="eastAsia" w:ascii="宋体" w:hAnsi="宋体" w:eastAsia="宋体" w:cs="宋体"/>
          <w:bCs/>
          <w:color w:val="auto"/>
          <w:sz w:val="24"/>
          <w:szCs w:val="24"/>
          <w:highlight w:val="none"/>
        </w:rPr>
        <w:t>。投标有效期比规定短的将被视为非实质性响应而予以拒绝。</w:t>
      </w:r>
    </w:p>
    <w:p w14:paraId="53656D9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8.投标有效期的延长</w:t>
      </w:r>
    </w:p>
    <w:p w14:paraId="16C3F59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8.1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在特殊情况下，招标人或招标代理机构于原投标有效期满之前，可向投标人提出延长投标有效期的要求。这种要求与答复均应采用书面形式。投标人可以拒绝招标人或招标代理机构的这一要求而放弃投标，同意延长投标有效期的投标人既不能要求也不允许修改其投标文件，同时受投标有效期约束的所有权利与义务均延长至新的有效期。</w:t>
      </w:r>
    </w:p>
    <w:p w14:paraId="1FB4BE1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9.电子投标文件其他要求</w:t>
      </w:r>
    </w:p>
    <w:p w14:paraId="79FFA31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电子招标投标交易平台（即“苏采云”系统）相关要求是本招标文件的组成部分。</w:t>
      </w:r>
    </w:p>
    <w:p w14:paraId="4A9DDE3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投标人应对CA证书妥善保管，如被他人盗用投标，因此带来的结果均由投标人自行承担。</w:t>
      </w:r>
    </w:p>
    <w:p w14:paraId="7E0B618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投标人应当对招标文件提出的实质性要求和条件作出实质性响应，并在电子投标系统逐条应答。</w:t>
      </w:r>
    </w:p>
    <w:p w14:paraId="78646E9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 xml:space="preserve">投标人应对要求提供的资格证明文件（如资质证书、资格证书）、技术资料（如白皮书、彩页、手册、检测报告等）扫描上传至投标系统。 </w:t>
      </w:r>
    </w:p>
    <w:p w14:paraId="21B81F3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10.投标人应当在招标文件要求提交投标文件的截止时间前，将投标文件提交至“苏采云”系统，逾期提交的投标文件，“苏采云”系统将自动拒收。各投标人应在规定时间内凭CA证书进行网上解密。</w:t>
      </w:r>
    </w:p>
    <w:p w14:paraId="16692DC3">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、投标文件的提交</w:t>
      </w:r>
    </w:p>
    <w:p w14:paraId="6364F0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1.投标文件的提交</w:t>
      </w:r>
    </w:p>
    <w:p w14:paraId="3A7CE64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线上提交与接收地点：投标人应当通过“苏采云”系统提交数据电文形式的投标文件（即电子投标），“苏采云”系统自动接收。</w:t>
      </w:r>
    </w:p>
    <w:p w14:paraId="42F06644">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电子投标文件应由其法定代表人或被授权人在规定的网上投标时间内，凭CA证书登录“苏采云”系统在线编制投标文件（电子数据），并在投标截止时间之前上传投标文件。投标人应在达到开标时间后，使用CA数字证书解密各自投标文件。</w:t>
      </w:r>
    </w:p>
    <w:p w14:paraId="161E80E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2.提交投标文件截止日期</w:t>
      </w:r>
    </w:p>
    <w:p w14:paraId="507DE07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投标人上传电子投标文件的时间不得迟于公开招标公告中规定的投标文件提交截止时间。</w:t>
      </w:r>
    </w:p>
    <w:p w14:paraId="19050DD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投标人应充分考虑到网络环境、网络带宽等风险因素，如因投标人自身原因造成的电子投标文件上传不成功由投标人自行承担全部责任。</w:t>
      </w:r>
    </w:p>
    <w:p w14:paraId="36688E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 招标人或招标代理机构可以按照规定，通过修改投标文件酌情延长投标文件提交截止日期，在此情况下，投标人的所有权利和义务以及投标人受制的截止日期均应以延长后新的截止日期为准。</w:t>
      </w:r>
    </w:p>
    <w:p w14:paraId="17ED74B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3.投标文件的密封（加密）要求：</w:t>
      </w:r>
    </w:p>
    <w:p w14:paraId="01F1B68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投标人应当按照招标文件和“苏采云”系统的要求编制并加密投标文件。本项目投标人须通过“苏采云”系统提供的政府采购客户端工具（使用“CA数字证书”）对其数据电文形式的投标文件加密。</w:t>
      </w:r>
    </w:p>
    <w:p w14:paraId="778683F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投标人须通过“苏采云”系统提供的政府采购客户端工具（使用“CA数字证书”）加盖电子签章。</w:t>
      </w:r>
    </w:p>
    <w:p w14:paraId="316D15A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说明：投标人应在用CA数字证书以及自备的能够登录“苏采云”系统的电脑，在达到开标时间后，使用CA数字证书解密各自投标文件。</w:t>
      </w:r>
    </w:p>
    <w:p w14:paraId="104DE6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投标人未按规定加密的投标文件，“苏采云”系统将拒收并提示。</w:t>
      </w:r>
    </w:p>
    <w:p w14:paraId="4FFB0A7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4.投标文件的拒收</w:t>
      </w:r>
    </w:p>
    <w:p w14:paraId="6E35748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招标代理机构拒绝接收在其规定的投标文件提交截止时间后上传的任何投标文件。</w:t>
      </w:r>
    </w:p>
    <w:p w14:paraId="75ECDE4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5.投标文件的撤回和修改</w:t>
      </w:r>
    </w:p>
    <w:p w14:paraId="0872E96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投标文件的撤回</w:t>
      </w:r>
    </w:p>
    <w:p w14:paraId="407E59C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5.1.1 电子投标文件的撤回</w:t>
      </w:r>
    </w:p>
    <w:p w14:paraId="2629869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投标人可在投标文件提交截止时间前，撤回其电子投标文件，具体操作方法见“苏采云”系统供应商操作手册。</w:t>
      </w:r>
    </w:p>
    <w:p w14:paraId="4A826B7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5.1.2 投标人撤回电子投标文件，则认为其不再参与本项目投标活动。</w:t>
      </w:r>
    </w:p>
    <w:p w14:paraId="4A493E5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 投标文件的修改</w:t>
      </w:r>
    </w:p>
    <w:p w14:paraId="2C5F5DD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投标人可在投标文件提交截止时间前，对其电子投标文件进行修改。具体操作方法见“苏采云”系统供应商操作手册。</w:t>
      </w:r>
    </w:p>
    <w:p w14:paraId="20CEE1B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 在投标文件提交截止时间之后，投标人不得对其电子投标文件作任何修改。</w:t>
      </w:r>
    </w:p>
    <w:p w14:paraId="0E750E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5.4 在投标文件提交截止时间至招标文件中规定的投标有效期满之间的这段时间内，投标人不得撤回其投标文件。</w:t>
      </w:r>
    </w:p>
    <w:p w14:paraId="77639B2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6.投标文件线上格式要求</w:t>
      </w:r>
    </w:p>
    <w:p w14:paraId="0EDF9F3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供应商应当通过“苏采云”系统提交数据电文形式的投标文件（即电子投标）。</w:t>
      </w:r>
    </w:p>
    <w:p w14:paraId="4E74CDD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 通过“苏采云”系统提交政府采购客户端工具导出加密的投标文件（后缀名为zip）。响应文件不得超过150M!</w:t>
      </w:r>
    </w:p>
    <w:p w14:paraId="2CC5DF5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6.3 本项目采用线上投标，即供应商投标文件从政府采购客户端工具制作通过“苏采云”系统提交，未提供线上投标文件的，投标无效。</w:t>
      </w:r>
    </w:p>
    <w:p w14:paraId="706948E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、开标与评标</w:t>
      </w:r>
    </w:p>
    <w:p w14:paraId="519147A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1.开标</w:t>
      </w:r>
    </w:p>
    <w:p w14:paraId="4F8E740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
          <w:bCs w:val="0"/>
          <w:color w:val="auto"/>
          <w:sz w:val="24"/>
          <w:szCs w:val="24"/>
          <w:highlight w:val="none"/>
          <w:lang w:val="en-US" w:eastAsia="en-US"/>
        </w:rPr>
        <w:t>开标当天各</w:t>
      </w:r>
      <w:r>
        <w:rPr>
          <w:rFonts w:hint="eastAsia" w:ascii="宋体" w:hAnsi="宋体" w:eastAsia="宋体" w:cs="宋体"/>
          <w:b/>
          <w:bCs w:val="0"/>
          <w:color w:val="auto"/>
          <w:sz w:val="24"/>
          <w:szCs w:val="24"/>
          <w:highlight w:val="none"/>
          <w:lang w:val="en-US" w:eastAsia="zh-CN"/>
        </w:rPr>
        <w:t>投标人</w:t>
      </w:r>
      <w:r>
        <w:rPr>
          <w:rFonts w:hint="eastAsia" w:ascii="宋体" w:hAnsi="宋体" w:eastAsia="宋体" w:cs="宋体"/>
          <w:b/>
          <w:bCs w:val="0"/>
          <w:color w:val="auto"/>
          <w:sz w:val="24"/>
          <w:szCs w:val="24"/>
          <w:highlight w:val="none"/>
          <w:lang w:val="en-US" w:eastAsia="en-US"/>
        </w:rPr>
        <w:t>及时登录不见面开标大厅，响应文件提交截止时间后，</w:t>
      </w:r>
      <w:r>
        <w:rPr>
          <w:rFonts w:hint="eastAsia" w:ascii="宋体" w:hAnsi="宋体" w:eastAsia="宋体" w:cs="宋体"/>
          <w:b/>
          <w:bCs w:val="0"/>
          <w:color w:val="auto"/>
          <w:sz w:val="24"/>
          <w:szCs w:val="24"/>
          <w:highlight w:val="none"/>
          <w:lang w:val="en-US" w:eastAsia="zh-CN"/>
        </w:rPr>
        <w:t>招标</w:t>
      </w:r>
      <w:r>
        <w:rPr>
          <w:rFonts w:hint="eastAsia" w:ascii="宋体" w:hAnsi="宋体" w:eastAsia="宋体" w:cs="宋体"/>
          <w:b/>
          <w:bCs w:val="0"/>
          <w:color w:val="auto"/>
          <w:sz w:val="24"/>
          <w:szCs w:val="24"/>
          <w:highlight w:val="none"/>
          <w:lang w:val="en-US" w:eastAsia="en-US"/>
        </w:rPr>
        <w:t>代理机构将在系统内公布</w:t>
      </w:r>
      <w:r>
        <w:rPr>
          <w:rFonts w:hint="eastAsia" w:ascii="宋体" w:hAnsi="宋体" w:eastAsia="宋体" w:cs="宋体"/>
          <w:b/>
          <w:bCs w:val="0"/>
          <w:color w:val="auto"/>
          <w:sz w:val="24"/>
          <w:szCs w:val="24"/>
          <w:highlight w:val="none"/>
          <w:lang w:val="en-US" w:eastAsia="zh-CN"/>
        </w:rPr>
        <w:t>投标人</w:t>
      </w:r>
      <w:r>
        <w:rPr>
          <w:rFonts w:hint="eastAsia" w:ascii="宋体" w:hAnsi="宋体" w:eastAsia="宋体" w:cs="宋体"/>
          <w:b/>
          <w:bCs w:val="0"/>
          <w:color w:val="auto"/>
          <w:sz w:val="24"/>
          <w:szCs w:val="24"/>
          <w:highlight w:val="none"/>
          <w:lang w:val="en-US" w:eastAsia="en-US"/>
        </w:rPr>
        <w:t>名单，然后通过开标会议区发出响应文件解密的指令，</w:t>
      </w:r>
      <w:r>
        <w:rPr>
          <w:rFonts w:hint="eastAsia" w:ascii="宋体" w:hAnsi="宋体" w:eastAsia="宋体" w:cs="宋体"/>
          <w:b/>
          <w:bCs w:val="0"/>
          <w:color w:val="auto"/>
          <w:sz w:val="24"/>
          <w:szCs w:val="24"/>
          <w:highlight w:val="none"/>
          <w:lang w:val="en-US" w:eastAsia="zh-CN"/>
        </w:rPr>
        <w:t>投标人</w:t>
      </w:r>
      <w:r>
        <w:rPr>
          <w:rFonts w:hint="eastAsia" w:ascii="宋体" w:hAnsi="宋体" w:eastAsia="宋体" w:cs="宋体"/>
          <w:b/>
          <w:bCs w:val="0"/>
          <w:color w:val="auto"/>
          <w:sz w:val="24"/>
          <w:szCs w:val="24"/>
          <w:highlight w:val="none"/>
          <w:lang w:val="en-US" w:eastAsia="en-US"/>
        </w:rPr>
        <w:t>按规定时间自行实施远程解密，</w:t>
      </w:r>
      <w:r>
        <w:rPr>
          <w:rFonts w:hint="eastAsia" w:ascii="宋体" w:hAnsi="宋体" w:eastAsia="宋体" w:cs="宋体"/>
          <w:b/>
          <w:bCs w:val="0"/>
          <w:color w:val="auto"/>
          <w:sz w:val="24"/>
          <w:szCs w:val="24"/>
          <w:highlight w:val="none"/>
          <w:lang w:val="en-US" w:eastAsia="zh-CN"/>
        </w:rPr>
        <w:t>投标人</w:t>
      </w:r>
      <w:r>
        <w:rPr>
          <w:rFonts w:hint="eastAsia" w:ascii="宋体" w:hAnsi="宋体" w:eastAsia="宋体" w:cs="宋体"/>
          <w:b/>
          <w:bCs w:val="0"/>
          <w:color w:val="auto"/>
          <w:sz w:val="24"/>
          <w:szCs w:val="24"/>
          <w:highlight w:val="none"/>
          <w:lang w:val="en-US" w:eastAsia="en-US"/>
        </w:rPr>
        <w:t>解密限定在开标后30分钟之内完成。</w:t>
      </w:r>
    </w:p>
    <w:p w14:paraId="1B192AA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u w:val="single"/>
        </w:rPr>
        <w:t>因投标人网络与电源不稳定、未按操作手册要求配置软硬件、解密锁发生故障或用错、故意不在要求时限内完成解密等自身原因，导致投标文件在规定时间内未能解密、解密失败或解密超时，视为投标人撤销其投标文件，系统内投标文件将被退回；</w:t>
      </w:r>
      <w:r>
        <w:rPr>
          <w:rFonts w:hint="eastAsia" w:ascii="宋体" w:hAnsi="宋体" w:eastAsia="宋体" w:cs="宋体"/>
          <w:b/>
          <w:color w:val="auto"/>
          <w:sz w:val="24"/>
          <w:szCs w:val="24"/>
          <w:highlight w:val="none"/>
        </w:rPr>
        <w:t>因招标人（或招标代理机构）原因或网上招投标平台发生故障，导致无法按时完成投标文件解密或开、评标工作无法进行的，可根据实际情况相应延迟解密时间或调整开、评标时间。</w:t>
      </w:r>
    </w:p>
    <w:p w14:paraId="592CFFC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开标仪式由</w:t>
      </w:r>
      <w:r>
        <w:rPr>
          <w:rFonts w:hint="eastAsia" w:ascii="宋体" w:hAnsi="宋体" w:eastAsia="宋体" w:cs="宋体"/>
          <w:bCs/>
          <w:color w:val="auto"/>
          <w:sz w:val="24"/>
          <w:szCs w:val="24"/>
          <w:highlight w:val="none"/>
        </w:rPr>
        <w:t>招标代理机构</w:t>
      </w:r>
      <w:r>
        <w:rPr>
          <w:rFonts w:hint="eastAsia" w:ascii="宋体" w:hAnsi="宋体" w:eastAsia="宋体" w:cs="宋体"/>
          <w:color w:val="auto"/>
          <w:sz w:val="24"/>
          <w:szCs w:val="24"/>
          <w:highlight w:val="none"/>
        </w:rPr>
        <w:t>组织。苏采云系统将自动对项目进行开标，并宣布各投标人名称和投标价格。</w:t>
      </w:r>
    </w:p>
    <w:p w14:paraId="3748FF4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投标人在开标过程中涉及到的投标文件解密、开标结果确认等工作，应按照“苏采云”系统供应商操作手册规定执行。</w:t>
      </w:r>
    </w:p>
    <w:p w14:paraId="2AC68DB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投标人如果对开标过程和开标记录有疑义，应当根据</w:t>
      </w:r>
      <w:r>
        <w:rPr>
          <w:rFonts w:hint="eastAsia" w:ascii="宋体" w:hAnsi="宋体" w:eastAsia="宋体" w:cs="宋体"/>
          <w:bCs/>
          <w:color w:val="auto"/>
          <w:sz w:val="24"/>
          <w:szCs w:val="24"/>
          <w:highlight w:val="none"/>
        </w:rPr>
        <w:t>“苏采云”系统供应商操作手册</w:t>
      </w:r>
      <w:r>
        <w:rPr>
          <w:rFonts w:hint="eastAsia" w:ascii="宋体" w:hAnsi="宋体" w:eastAsia="宋体" w:cs="宋体"/>
          <w:color w:val="auto"/>
          <w:sz w:val="24"/>
          <w:szCs w:val="24"/>
          <w:highlight w:val="none"/>
        </w:rPr>
        <w:t>规定提出，如苏采云系统中《开标记录表》宣布后5分钟内未提出的，视同认可开标结果。</w:t>
      </w:r>
    </w:p>
    <w:p w14:paraId="47621E4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w:t>
      </w:r>
    </w:p>
    <w:p w14:paraId="0E28E45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开标后，招标代理机构将立即组织评标委员会（以下简称评委会）进行评审。</w:t>
      </w:r>
    </w:p>
    <w:p w14:paraId="7D295DA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评委会由招标人代表和有关技术、经济等方面的专家组成，且人员构成符合政府采购有关规定。</w:t>
      </w:r>
    </w:p>
    <w:p w14:paraId="3C50CEA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评标委员会独立工作，负责评审所有投标文件并确定中标候选人。</w:t>
      </w:r>
    </w:p>
    <w:p w14:paraId="571DFCB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3.评审过程的保密与公正</w:t>
      </w:r>
    </w:p>
    <w:p w14:paraId="14FED67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评标委员会、招标人或招标代理机构、相关监督人员等与评审工作有关的人员，对评审情况以及在评审过程中获悉的国家秘密、商业秘密负有保密责任。</w:t>
      </w:r>
    </w:p>
    <w:p w14:paraId="44A11A3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在评审过程中，投标人不得以任何行为影响评审过程，否则其投标文件将被作为无效投标文件。</w:t>
      </w:r>
    </w:p>
    <w:p w14:paraId="2EE221B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标委员会成员应当按照客观、公正、审慎的原则，根据招标文件规定的评审程序、评审方法和评审标准进行独立评审。未实质性响应招标文件的投标文件按无效投标处理，评标委员会应当告知提交投标文件的投标人。</w:t>
      </w:r>
    </w:p>
    <w:p w14:paraId="505B52F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凡是与审查、澄清、评价和比较投标的有关资料以及授标建议等，招标人、评标委员会、招标代理机构均不得向投标人或与评标无关的其他人员透露。</w:t>
      </w:r>
    </w:p>
    <w:p w14:paraId="52AB894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在评审期间，招标代理机构将设专门人员与投标人联系。</w:t>
      </w:r>
    </w:p>
    <w:p w14:paraId="228C85B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招标人、招标代理机构和评标委员会不向未中标的投标人解释未中标原因，也不公布评审过程中的相关细节。</w:t>
      </w:r>
    </w:p>
    <w:p w14:paraId="2C15ED1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采用综合评分法的项目，未中标的投标人可于中标结果公告期限届满之日起通过苏采云系统查看自己的评审得分及排序情况。</w:t>
      </w:r>
    </w:p>
    <w:p w14:paraId="2416277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4.投标文件的澄清</w:t>
      </w:r>
    </w:p>
    <w:p w14:paraId="0C78C1D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评审期间，评标委员会有权要求投标人对投标文件中含义不明确、同类问题表述不一致或者有明显文字和计算错误的内容等作出必要的澄清、说明或者更正。投标人的澄清、说明或者更正不得超出投标文件的范围或者改变投标文件的实质性内容。评标委员会并非对每个投标人都作澄清要求。</w:t>
      </w:r>
    </w:p>
    <w:p w14:paraId="723D73D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需要投标人进行澄清、说明和更正的，评标委员会将通过苏采云系统向投标人发布“澄清要求函”，接到“澄清要求函”的投标人应当按照要求在苏采云系统中提交“澄清响应函”并加盖CA电子公章。澄清、说明和更正的内容作为投标文件的补充部分，具体操作方式见《操作手册》。</w:t>
      </w:r>
    </w:p>
    <w:p w14:paraId="35B4F5F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接到评标委员会澄清、说明和更正要求的投标人如未按规定做出澄清、说明和 更正，其风险由投标人自行承担。</w:t>
      </w:r>
    </w:p>
    <w:p w14:paraId="4E55B46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5.对投标文件的审查</w:t>
      </w:r>
    </w:p>
    <w:p w14:paraId="22F95E3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投标文件初审分为资格性审查和符合性审查。</w:t>
      </w:r>
    </w:p>
    <w:p w14:paraId="71DF6B6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资格性检查：依据法律法规和招标文件的规定，由招标人对投标文件中的资格证明文件进行审查。资格审查的结论，招标人以书面形式向评委会进行反馈。</w:t>
      </w:r>
    </w:p>
    <w:p w14:paraId="35F1F51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招标人在进行资格性审查的同时，将在“信用中国”网站查询投标人的信用记录，以确定投标人是否具备投标资格，查询结果留存并归档。</w:t>
      </w:r>
    </w:p>
    <w:p w14:paraId="311A770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接受联合体的项目，两个以上的自然人、法人或者其他组织组成一个联合体，以一个投标人的身份共同参加政府采购活动的，联合体成员中任何一方存在不良信用记录的，视同联合体存在不良应用记录。</w:t>
      </w:r>
    </w:p>
    <w:p w14:paraId="55C4C6A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符合性审查：依据招标文件的规定，由评标委员会从投标文件的有效性、完整性和对招标文件的响应程度进行审查，以确定是否对招标文件的实质性要求作出响应。</w:t>
      </w:r>
    </w:p>
    <w:p w14:paraId="1EB6636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未通过资格审查或符合性审查的投标人，招标代理机构将在</w:t>
      </w:r>
      <w:r>
        <w:rPr>
          <w:rFonts w:hint="eastAsia" w:ascii="宋体" w:hAnsi="宋体" w:eastAsia="宋体" w:cs="宋体"/>
          <w:color w:val="auto"/>
          <w:sz w:val="24"/>
          <w:szCs w:val="24"/>
          <w:highlight w:val="none"/>
        </w:rPr>
        <w:t>苏采云系统</w:t>
      </w:r>
      <w:r>
        <w:rPr>
          <w:rFonts w:hint="eastAsia" w:ascii="宋体" w:hAnsi="宋体" w:eastAsia="宋体" w:cs="宋体"/>
          <w:bCs/>
          <w:color w:val="auto"/>
          <w:sz w:val="24"/>
          <w:szCs w:val="24"/>
          <w:highlight w:val="none"/>
        </w:rPr>
        <w:t>中告知未通过资格审查或符合性审查的原因，评审结束后，招标代理机构将不再告知未通过资格审查或符合性审查的原因。</w:t>
      </w:r>
    </w:p>
    <w:p w14:paraId="3044E9B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t>在详细评审之前</w:t>
      </w:r>
      <w:r>
        <w:rPr>
          <w:rFonts w:hint="eastAsia" w:ascii="宋体" w:hAnsi="宋体" w:eastAsia="宋体" w:cs="宋体"/>
          <w:bCs/>
          <w:color w:val="auto"/>
          <w:sz w:val="24"/>
          <w:szCs w:val="24"/>
          <w:highlight w:val="none"/>
        </w:rPr>
        <w:t>，评标委员会将首先审查每份投标文件是否实质性响应了招标文件的要求。实质性响应的投标文件应该是与招标文件要求的全部条款、条件和规格相符，没有重大负偏离或保留。</w:t>
      </w:r>
    </w:p>
    <w:p w14:paraId="143EC9B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谓重大负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w:t>
      </w:r>
      <w:r>
        <w:rPr>
          <w:rFonts w:hint="eastAsia" w:ascii="宋体" w:hAnsi="宋体" w:eastAsia="宋体" w:cs="宋体"/>
          <w:color w:val="auto"/>
          <w:sz w:val="24"/>
          <w:szCs w:val="24"/>
          <w:highlight w:val="none"/>
        </w:rPr>
        <w:t>重大偏离的认定需经过评委会以少数服从多数的原则作出结论</w:t>
      </w:r>
      <w:r>
        <w:rPr>
          <w:rFonts w:hint="eastAsia" w:ascii="宋体" w:hAnsi="宋体" w:eastAsia="宋体" w:cs="宋体"/>
          <w:bCs/>
          <w:color w:val="auto"/>
          <w:sz w:val="24"/>
          <w:szCs w:val="24"/>
          <w:highlight w:val="none"/>
        </w:rPr>
        <w:t>。评标委员会决定投标文件的响应性只根据投标文件本身的内容，而不寻求外部的证据。</w:t>
      </w:r>
    </w:p>
    <w:p w14:paraId="3B34B87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如果投标文件实质上没有响应招标文件的要求，评标委员会将予以拒绝，投标人不得通过修改或撤销</w:t>
      </w:r>
      <w:r>
        <w:rPr>
          <w:rFonts w:hint="eastAsia" w:ascii="宋体" w:hAnsi="宋体" w:eastAsia="宋体" w:cs="宋体"/>
          <w:bCs/>
          <w:color w:val="auto"/>
          <w:sz w:val="24"/>
          <w:szCs w:val="24"/>
          <w:highlight w:val="none"/>
          <w:lang w:eastAsia="zh-CN"/>
        </w:rPr>
        <w:t>不符</w:t>
      </w:r>
      <w:r>
        <w:rPr>
          <w:rFonts w:hint="eastAsia" w:ascii="宋体" w:hAnsi="宋体" w:eastAsia="宋体" w:cs="宋体"/>
          <w:bCs/>
          <w:color w:val="auto"/>
          <w:sz w:val="24"/>
          <w:szCs w:val="24"/>
          <w:highlight w:val="none"/>
        </w:rPr>
        <w:t>合要求的偏离或保留而使其投标文件成为实质性响应的文件。</w:t>
      </w:r>
    </w:p>
    <w:p w14:paraId="7186D3F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评标委员会将对确定为实质性响应的文件进行进一步审核，看其是否有计算上或累加上的算术错误，修正错误的原则如下：</w:t>
      </w:r>
    </w:p>
    <w:p w14:paraId="7E5C6CD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（1）投标文件中开标一览表内容与投标文件中相应内容不一致的，以开标一览表为准。</w:t>
      </w:r>
    </w:p>
    <w:p w14:paraId="0FA0765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（2）大写金额和小写金额不一致的，以大写金额为准。</w:t>
      </w:r>
    </w:p>
    <w:p w14:paraId="3F43210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（3）单价金额小数点或者百分比有明显错位的，以开标一览表的总价为准，并修改单价。</w:t>
      </w:r>
    </w:p>
    <w:p w14:paraId="744176E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（4）总价金额与按单价汇总金额不一致的，以单价金额计算结果为准。</w:t>
      </w:r>
    </w:p>
    <w:p w14:paraId="7F885CD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同时出现两种以上错误的，按照前款规定的顺序修正。</w:t>
      </w:r>
    </w:p>
    <w:p w14:paraId="5D989EC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5.5</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评标委员会将按上述修正错误的方法调整投标文件中的报价，通过“苏采云系统”告知投标人，调整后的价格应对投标人具有约束力。如果投标人不接受修正后的价格，则其投标文件将被拒绝。</w:t>
      </w:r>
    </w:p>
    <w:p w14:paraId="4526D3D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5.6</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评标委员会将允许修正投标文件中不构成重大偏离的、微小的、非正规的、不一致的或不规则的地方，但这些修改不能影响任何投标人相应的名次排列。</w:t>
      </w:r>
    </w:p>
    <w:p w14:paraId="10AC065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5.7 </w:t>
      </w:r>
      <w:r>
        <w:rPr>
          <w:rFonts w:hint="eastAsia" w:ascii="宋体" w:hAnsi="宋体" w:eastAsia="宋体" w:cs="宋体"/>
          <w:bCs/>
          <w:color w:val="auto"/>
          <w:sz w:val="24"/>
          <w:szCs w:val="24"/>
          <w:highlight w:val="none"/>
          <w:lang w:val="en-US" w:eastAsia="zh-CN"/>
        </w:rPr>
        <w:t>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1BDE5C3E">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3C6618D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非单一产品采购项目，招标文件中将载明其中的核心产品。多家投标人提供的核心产品品牌相同的，按前两款规定处理。</w:t>
      </w:r>
    </w:p>
    <w:p w14:paraId="1B5BD9E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5.8 评审委员会启动异常低价投标（响应）审查的情形和具体要求：</w:t>
      </w:r>
    </w:p>
    <w:p w14:paraId="5AF37E8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（一）根据财政部财库〔2026〕2号《关于推动解决政府采购异常低价问题的通知》文件精神，评审中出现下列情形之一的，评审委员会应当启动异常低价投标（响应）审查程序：</w:t>
      </w:r>
    </w:p>
    <w:p w14:paraId="4876852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724A53F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319C5B4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3.投标（响应）报价低于采购项目最高限价45%的，即投标（响应）报价&lt;采购项目最高限价×45%；</w:t>
      </w:r>
    </w:p>
    <w:p w14:paraId="428DC85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4.评审委员会基于专业判断，认为供应商报价过低，有可能影响产品质量或者不能诚信履约的其他情形。</w:t>
      </w:r>
    </w:p>
    <w:p w14:paraId="3E2C1D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相关法律法规对供应商报价有规定的，从其规定。</w:t>
      </w:r>
    </w:p>
    <w:p w14:paraId="04FD6B1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783868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675AD0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29D136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797DBBA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5.9 </w:t>
      </w:r>
      <w:r>
        <w:rPr>
          <w:rFonts w:hint="eastAsia" w:ascii="宋体" w:hAnsi="宋体" w:eastAsia="宋体" w:cs="宋体"/>
          <w:color w:val="auto"/>
          <w:sz w:val="24"/>
          <w:szCs w:val="24"/>
          <w:highlight w:val="none"/>
        </w:rPr>
        <w:t>投标人在开、评标全过程中应保持通讯畅通，及时登录苏采云系统查阅、答复相关信息</w:t>
      </w:r>
      <w:r>
        <w:rPr>
          <w:rFonts w:hint="eastAsia" w:ascii="宋体" w:hAnsi="宋体" w:eastAsia="宋体" w:cs="宋体"/>
          <w:bCs/>
          <w:color w:val="auto"/>
          <w:sz w:val="24"/>
          <w:szCs w:val="24"/>
          <w:highlight w:val="none"/>
        </w:rPr>
        <w:t>，并安排专人与招标人或招标代理机构及评标委员会联系</w:t>
      </w:r>
      <w:r>
        <w:rPr>
          <w:rFonts w:hint="eastAsia" w:ascii="宋体" w:hAnsi="宋体" w:eastAsia="宋体" w:cs="宋体"/>
          <w:color w:val="auto"/>
          <w:sz w:val="24"/>
          <w:szCs w:val="24"/>
          <w:highlight w:val="none"/>
        </w:rPr>
        <w:t>。</w:t>
      </w:r>
    </w:p>
    <w:p w14:paraId="2EFDEF79">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、无效投标条款</w:t>
      </w:r>
    </w:p>
    <w:p w14:paraId="6FF783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投标文件未按招标文件要求签署、盖章的</w:t>
      </w:r>
      <w:r>
        <w:rPr>
          <w:rFonts w:hint="eastAsia" w:ascii="宋体" w:hAnsi="宋体" w:eastAsia="宋体" w:cs="宋体"/>
          <w:bCs/>
          <w:color w:val="auto"/>
          <w:sz w:val="24"/>
          <w:szCs w:val="24"/>
          <w:highlight w:val="none"/>
          <w:lang w:eastAsia="zh-CN"/>
        </w:rPr>
        <w:t>；</w:t>
      </w:r>
    </w:p>
    <w:p w14:paraId="5423CF8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.同一投标人提交两个（含两个）以上不同的投标报价的</w:t>
      </w:r>
      <w:r>
        <w:rPr>
          <w:rFonts w:hint="eastAsia" w:ascii="宋体" w:hAnsi="宋体" w:eastAsia="宋体" w:cs="宋体"/>
          <w:bCs/>
          <w:color w:val="auto"/>
          <w:sz w:val="24"/>
          <w:szCs w:val="24"/>
          <w:highlight w:val="none"/>
          <w:lang w:eastAsia="zh-CN"/>
        </w:rPr>
        <w:t>；</w:t>
      </w:r>
    </w:p>
    <w:p w14:paraId="57016DC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.投标人不具备招标文件中规定的资格要求或投标文件未按招标文件规定提供资格证明文件的</w:t>
      </w:r>
      <w:r>
        <w:rPr>
          <w:rFonts w:hint="eastAsia" w:ascii="宋体" w:hAnsi="宋体" w:eastAsia="宋体" w:cs="宋体"/>
          <w:bCs/>
          <w:color w:val="auto"/>
          <w:sz w:val="24"/>
          <w:szCs w:val="24"/>
          <w:highlight w:val="none"/>
          <w:lang w:eastAsia="zh-CN"/>
        </w:rPr>
        <w:t>；</w:t>
      </w:r>
    </w:p>
    <w:p w14:paraId="5A088DD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.投标人的报价超过招标文件中规定的预算金额或者最高限价的；</w:t>
      </w:r>
    </w:p>
    <w:p w14:paraId="58FC625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5.投标文件含有采购人不能接受的附加条件的；</w:t>
      </w:r>
    </w:p>
    <w:p w14:paraId="0267953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.未通过符合性审查的</w:t>
      </w:r>
      <w:r>
        <w:rPr>
          <w:rFonts w:hint="eastAsia" w:ascii="宋体" w:hAnsi="宋体" w:eastAsia="宋体" w:cs="宋体"/>
          <w:bCs/>
          <w:color w:val="auto"/>
          <w:sz w:val="24"/>
          <w:szCs w:val="24"/>
          <w:highlight w:val="none"/>
          <w:lang w:eastAsia="zh-CN"/>
        </w:rPr>
        <w:t>；</w:t>
      </w:r>
    </w:p>
    <w:p w14:paraId="31F749A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投标人未成功解密电子投标文件的</w:t>
      </w:r>
      <w:r>
        <w:rPr>
          <w:rFonts w:hint="eastAsia" w:ascii="宋体" w:hAnsi="宋体" w:eastAsia="宋体" w:cs="宋体"/>
          <w:bCs/>
          <w:color w:val="auto"/>
          <w:sz w:val="24"/>
          <w:szCs w:val="24"/>
          <w:highlight w:val="none"/>
          <w:lang w:eastAsia="zh-CN"/>
        </w:rPr>
        <w:t>；</w:t>
      </w:r>
    </w:p>
    <w:p w14:paraId="3AD8E6F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投标人未按照采购文件要求上传电子投标文件的</w:t>
      </w:r>
      <w:r>
        <w:rPr>
          <w:rFonts w:hint="eastAsia" w:ascii="宋体" w:hAnsi="宋体" w:eastAsia="宋体" w:cs="宋体"/>
          <w:bCs/>
          <w:color w:val="auto"/>
          <w:sz w:val="24"/>
          <w:szCs w:val="24"/>
          <w:highlight w:val="none"/>
          <w:lang w:eastAsia="zh-CN"/>
        </w:rPr>
        <w:t>；</w:t>
      </w:r>
    </w:p>
    <w:p w14:paraId="6AE8C03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9</w:t>
      </w:r>
      <w:r>
        <w:rPr>
          <w:rFonts w:hint="eastAsia" w:ascii="宋体" w:hAnsi="宋体" w:eastAsia="宋体" w:cs="宋体"/>
          <w:bCs/>
          <w:color w:val="auto"/>
          <w:sz w:val="24"/>
          <w:szCs w:val="24"/>
          <w:highlight w:val="none"/>
        </w:rPr>
        <w:t>.不符合法律、法规及招标文件中规定的其他实质性要求的（本招标文件中实质性要求和条件包括但不限于加注“</w:t>
      </w:r>
      <w:r>
        <w:rPr>
          <w:rFonts w:hint="eastAsia" w:ascii="宋体" w:hAnsi="宋体" w:eastAsia="宋体" w:cs="宋体"/>
          <w:b/>
          <w:bCs w:val="0"/>
          <w:color w:val="auto"/>
          <w:sz w:val="24"/>
          <w:szCs w:val="24"/>
          <w:highlight w:val="none"/>
        </w:rPr>
        <w:t>*</w:t>
      </w:r>
      <w:r>
        <w:rPr>
          <w:rFonts w:hint="eastAsia" w:ascii="宋体" w:hAnsi="宋体" w:eastAsia="宋体" w:cs="宋体"/>
          <w:bCs/>
          <w:color w:val="auto"/>
          <w:sz w:val="24"/>
          <w:szCs w:val="24"/>
          <w:highlight w:val="none"/>
        </w:rPr>
        <w:t>”、“★”号部分或其他可能对本项目产生实质性影响的条款）；</w:t>
      </w:r>
    </w:p>
    <w:p w14:paraId="3771940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.投标人被 “信用中国”网站列入失信被执行人或重大税收违法案件当事人名单或政府采购严重失信行为记录名单。或查询“信用中国”网站后发现投标人存在其他不符合《中华人民共和国政府采购法》第二十二条规定条件的信用记录。</w:t>
      </w:r>
    </w:p>
    <w:p w14:paraId="0D37317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11</w:t>
      </w: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lang w:eastAsia="zh-CN"/>
        </w:rPr>
        <w:t>的商务技术部分得分相差悬殊，评委一致认为得分畸低者（即</w:t>
      </w: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lang w:eastAsia="zh-CN"/>
        </w:rPr>
        <w:t>的</w:t>
      </w:r>
      <w:r>
        <w:rPr>
          <w:rFonts w:hint="eastAsia" w:ascii="宋体" w:hAnsi="宋体" w:eastAsia="宋体" w:cs="宋体"/>
          <w:bCs/>
          <w:color w:val="auto"/>
          <w:sz w:val="24"/>
          <w:szCs w:val="24"/>
          <w:highlight w:val="none"/>
          <w:lang w:val="en-US" w:eastAsia="zh-CN"/>
        </w:rPr>
        <w:t>投标文件商务技术部分得分低于本采购文件商务技术部分总分值的50%</w:t>
      </w:r>
      <w:r>
        <w:rPr>
          <w:rFonts w:hint="eastAsia" w:ascii="宋体" w:hAnsi="宋体" w:eastAsia="宋体" w:cs="宋体"/>
          <w:bCs/>
          <w:color w:val="auto"/>
          <w:sz w:val="24"/>
          <w:szCs w:val="24"/>
          <w:highlight w:val="none"/>
          <w:lang w:eastAsia="zh-CN"/>
        </w:rPr>
        <w:t>）有可能影响产品质量或者不能诚信履约的；</w:t>
      </w:r>
    </w:p>
    <w:p w14:paraId="64B3CB4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12.</w:t>
      </w:r>
      <w:r>
        <w:rPr>
          <w:rFonts w:hint="eastAsia" w:ascii="宋体" w:hAnsi="宋体" w:eastAsia="宋体" w:cs="宋体"/>
          <w:bCs/>
          <w:color w:val="auto"/>
          <w:sz w:val="24"/>
          <w:szCs w:val="24"/>
          <w:highlight w:val="none"/>
        </w:rPr>
        <w:t>评标委员会认为投标人的报价明显低于其他通过符合性审查投标人的报价，有可能影响产品质量或者不能诚信履约的，将通过苏采云系统要求其在</w:t>
      </w:r>
      <w:r>
        <w:rPr>
          <w:rFonts w:hint="eastAsia" w:ascii="宋体" w:hAnsi="宋体" w:eastAsia="宋体" w:cs="宋体"/>
          <w:b/>
          <w:bCs w:val="0"/>
          <w:color w:val="auto"/>
          <w:sz w:val="24"/>
          <w:szCs w:val="24"/>
          <w:highlight w:val="none"/>
        </w:rPr>
        <w:t>30</w:t>
      </w:r>
      <w:r>
        <w:rPr>
          <w:rFonts w:hint="eastAsia" w:ascii="宋体" w:hAnsi="宋体" w:eastAsia="宋体" w:cs="宋体"/>
          <w:bCs/>
          <w:color w:val="auto"/>
          <w:sz w:val="24"/>
          <w:szCs w:val="24"/>
          <w:highlight w:val="none"/>
        </w:rPr>
        <w:t>分钟内提供书面说明，必要时提交相关证明材料；投标人不能证明其报价合理性的</w:t>
      </w:r>
      <w:r>
        <w:rPr>
          <w:rFonts w:hint="eastAsia" w:ascii="宋体" w:hAnsi="宋体" w:eastAsia="宋体" w:cs="宋体"/>
          <w:bCs/>
          <w:color w:val="auto"/>
          <w:sz w:val="24"/>
          <w:szCs w:val="24"/>
          <w:highlight w:val="none"/>
          <w:lang w:eastAsia="zh-CN"/>
        </w:rPr>
        <w:t>；</w:t>
      </w:r>
    </w:p>
    <w:p w14:paraId="722B21C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13</w:t>
      </w:r>
      <w:r>
        <w:rPr>
          <w:rFonts w:hint="eastAsia" w:ascii="宋体" w:hAnsi="宋体" w:eastAsia="宋体" w:cs="宋体"/>
          <w:bCs/>
          <w:color w:val="auto"/>
          <w:sz w:val="24"/>
          <w:szCs w:val="24"/>
          <w:highlight w:val="none"/>
        </w:rPr>
        <w:t>.本项目采购产品被财政部、国家发改委、生态环境部等列入“节能产品品目清单”、“环境标志产品品目清单”强制采购范围，而投标人所投标产品不在强制采购范围内的。（所投产品如属于政府强制采购节能产品品目清单范围内，投标文件中必须提供国家确定的认证机构出具的、处于有效期之内的该节能产品认证证书扫描件）。</w:t>
      </w:r>
    </w:p>
    <w:p w14:paraId="66DAF1D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.不同的投标人投标文件制作机器码、文件创建标识码一致的。</w:t>
      </w:r>
    </w:p>
    <w:p w14:paraId="2405889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.其他法律、法规及本招标文件规定的属无效投标的情形</w:t>
      </w:r>
      <w:r>
        <w:rPr>
          <w:rFonts w:hint="eastAsia" w:ascii="宋体" w:hAnsi="宋体" w:eastAsia="宋体" w:cs="宋体"/>
          <w:color w:val="auto"/>
          <w:sz w:val="24"/>
          <w:szCs w:val="24"/>
          <w:highlight w:val="none"/>
        </w:rPr>
        <w:t>。</w:t>
      </w:r>
    </w:p>
    <w:p w14:paraId="3CBC0348">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凡是</w:t>
      </w:r>
      <w:r>
        <w:rPr>
          <w:rFonts w:hint="eastAsia" w:ascii="宋体" w:hAnsi="宋体" w:eastAsia="宋体" w:cs="宋体"/>
          <w:b/>
          <w:bCs w:val="0"/>
          <w:color w:val="auto"/>
          <w:sz w:val="24"/>
          <w:szCs w:val="24"/>
          <w:highlight w:val="none"/>
          <w:lang w:val="en-US" w:eastAsia="zh-CN"/>
        </w:rPr>
        <w:t>投标</w:t>
      </w:r>
      <w:r>
        <w:rPr>
          <w:rFonts w:hint="eastAsia" w:ascii="宋体" w:hAnsi="宋体" w:eastAsia="宋体" w:cs="宋体"/>
          <w:b/>
          <w:bCs w:val="0"/>
          <w:color w:val="auto"/>
          <w:sz w:val="24"/>
          <w:szCs w:val="24"/>
          <w:highlight w:val="none"/>
        </w:rPr>
        <w:t>文件中涉及供应商资信认证、人员证书、业绩荣誉等</w:t>
      </w:r>
      <w:r>
        <w:rPr>
          <w:rFonts w:hint="eastAsia" w:ascii="宋体" w:hAnsi="宋体" w:eastAsia="宋体" w:cs="宋体"/>
          <w:b/>
          <w:bCs w:val="0"/>
          <w:color w:val="auto"/>
          <w:sz w:val="24"/>
          <w:szCs w:val="24"/>
          <w:highlight w:val="none"/>
          <w:lang w:eastAsia="zh-CN"/>
        </w:rPr>
        <w:t>扫描件</w:t>
      </w:r>
      <w:r>
        <w:rPr>
          <w:rFonts w:hint="eastAsia" w:ascii="宋体" w:hAnsi="宋体" w:eastAsia="宋体" w:cs="宋体"/>
          <w:b/>
          <w:bCs w:val="0"/>
          <w:color w:val="auto"/>
          <w:sz w:val="24"/>
          <w:szCs w:val="24"/>
          <w:highlight w:val="none"/>
        </w:rPr>
        <w:t>，和要求法定代表人或授权委托人签字，和以供应商名称落款并注明需要盖章的，均需相应盖章或签字。</w:t>
      </w:r>
    </w:p>
    <w:p w14:paraId="1AD1EB93">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、废标条款</w:t>
      </w:r>
    </w:p>
    <w:p w14:paraId="0453452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1.符合专业条件的供应商或者对招标文件作实质响应的供应商不足三家的（含不同投标人提供</w:t>
      </w:r>
      <w:r>
        <w:rPr>
          <w:rFonts w:hint="eastAsia" w:ascii="宋体" w:hAnsi="宋体" w:eastAsia="宋体" w:cs="宋体"/>
          <w:color w:val="auto"/>
          <w:sz w:val="24"/>
          <w:szCs w:val="24"/>
          <w:highlight w:val="none"/>
          <w:lang w:val="en-US" w:eastAsia="zh-CN"/>
        </w:rPr>
        <w:t>的核心产品</w:t>
      </w:r>
      <w:r>
        <w:rPr>
          <w:rFonts w:hint="eastAsia" w:ascii="宋体" w:hAnsi="宋体" w:eastAsia="宋体" w:cs="宋体"/>
          <w:color w:val="auto"/>
          <w:sz w:val="24"/>
          <w:szCs w:val="24"/>
          <w:highlight w:val="none"/>
        </w:rPr>
        <w:t>品牌不足三个的）。</w:t>
      </w:r>
    </w:p>
    <w:p w14:paraId="65E467B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5C3379B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3.因重大变故，采购任务取消的。</w:t>
      </w:r>
    </w:p>
    <w:p w14:paraId="28DA266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4.评标委员会认定招标文件存在歧义、重大缺陷导致评审工作无法进行。</w:t>
      </w:r>
    </w:p>
    <w:p w14:paraId="6C38950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5.因苏采云系统系统故障原因造成开标不成功的。</w:t>
      </w:r>
    </w:p>
    <w:p w14:paraId="5D28B0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6.投标截止时间结束后参加投标的供应商不足三家的处理：</w:t>
      </w:r>
    </w:p>
    <w:p w14:paraId="2605695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6.1如出现投标截止时间结束后参加投标的供应商或者在评标期间对招标文件做出实质响应的供应商不足三家情况，按政府采购相关规定执行。</w:t>
      </w:r>
    </w:p>
    <w:p w14:paraId="190EC45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lang w:val="zh-CN"/>
        </w:rPr>
        <w:t>、</w:t>
      </w:r>
      <w:r>
        <w:rPr>
          <w:rFonts w:hint="eastAsia" w:ascii="宋体" w:hAnsi="宋体" w:eastAsia="宋体" w:cs="宋体"/>
          <w:b/>
          <w:bCs/>
          <w:color w:val="auto"/>
          <w:sz w:val="24"/>
          <w:szCs w:val="24"/>
          <w:highlight w:val="none"/>
        </w:rPr>
        <w:t>定标</w:t>
      </w:r>
    </w:p>
    <w:p w14:paraId="13752F8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1.确定中标单位</w:t>
      </w:r>
    </w:p>
    <w:p w14:paraId="2ABF756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中标候选人的选取原则和数量见招标文件第四章规定。</w:t>
      </w:r>
    </w:p>
    <w:p w14:paraId="3E606BF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招标人应根据评委会推荐的中标候选人确定中标人。</w:t>
      </w:r>
    </w:p>
    <w:p w14:paraId="46147AC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 招标代理机构将在“江苏政府采购网”发布中标结果公告，公告期限为1个工作日。</w:t>
      </w:r>
    </w:p>
    <w:p w14:paraId="2D25EC1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 若有充分证据证明，中标人出现下列情况之一的，一经查实，将被取消中标资格：</w:t>
      </w:r>
    </w:p>
    <w:p w14:paraId="3B323B7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提供虚假材料谋取中标的。</w:t>
      </w:r>
    </w:p>
    <w:p w14:paraId="2E87ACE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向招标人或招标代理机构行贿或者评审专家提供其他不正当利益的。</w:t>
      </w:r>
    </w:p>
    <w:p w14:paraId="13A293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恶意竞争，报价明显低于其自身合理成本且又无法提供证明的。</w:t>
      </w:r>
    </w:p>
    <w:p w14:paraId="3B83953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属于本文件规定的无效条件，但在评审过程中又未被评标委员会发现的。</w:t>
      </w:r>
    </w:p>
    <w:p w14:paraId="5D3170B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1.4.5</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与评审专家、招标人、其他投标人或者招标代理机构工作人员恶意串通的。</w:t>
      </w:r>
    </w:p>
    <w:p w14:paraId="18B32DE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1.4.6</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采取不正当手段诋毁、排挤其他投标人的。</w:t>
      </w:r>
    </w:p>
    <w:p w14:paraId="71EAFD0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1.4.7</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中标后无正当理由拒不与招标人签订政府采购合同或者未按照招标文件确定的事项签订政府采购合同的。</w:t>
      </w:r>
    </w:p>
    <w:p w14:paraId="4195EB0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1.4.8</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将政府采购合同转包的。</w:t>
      </w:r>
    </w:p>
    <w:p w14:paraId="6ADE180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有下列情形之一的，视为投标人串通参与投标，投标无效：</w:t>
      </w:r>
    </w:p>
    <w:p w14:paraId="63D307C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不同投标人的投标文件由同一单位或者个人编制；</w:t>
      </w:r>
    </w:p>
    <w:p w14:paraId="62997AA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不同投标人委托同一单位或者个人办理投标事宜；</w:t>
      </w:r>
    </w:p>
    <w:p w14:paraId="448839B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不同投标人的投标文件载明的项目管理成员或者联系人员为同一人；</w:t>
      </w:r>
    </w:p>
    <w:p w14:paraId="7220BBB4">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不同投标人的投标文件异常一致或者响应报价呈规律性差异；</w:t>
      </w:r>
    </w:p>
    <w:p w14:paraId="006A9A9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1.5.5</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不同投标人的投标文件相互混装。</w:t>
      </w:r>
    </w:p>
    <w:p w14:paraId="7F1EFA6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2.质疑处理</w:t>
      </w:r>
    </w:p>
    <w:p w14:paraId="3AD5D59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提出质疑的投标人应当是参与所质疑项目采购活动的投标人。潜在投标人依法获取其可质疑的招标文件的，可以对招标文件提出质疑。</w:t>
      </w:r>
    </w:p>
    <w:p w14:paraId="641565C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认为招标文件、采购过程和采购结果使自己的权益受到损害的，可以在知道或应知其权益受到损害之日起七个工作日内，以书面形式向招标人或招标代理机构提出质疑。上述应知其权益受到损害之日，是指：</w:t>
      </w:r>
    </w:p>
    <w:p w14:paraId="6B26E9B2">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2.2.1</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
          <w:bCs w:val="0"/>
          <w:color w:val="auto"/>
          <w:sz w:val="24"/>
          <w:szCs w:val="24"/>
          <w:highlight w:val="none"/>
        </w:rPr>
        <w:t>对可以质疑的招标文件提出质疑的，为收到招标文件之日或者招标文件公告期限届满之日；</w:t>
      </w:r>
    </w:p>
    <w:p w14:paraId="521F63B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2.2.2</w:t>
      </w:r>
      <w:r>
        <w:rPr>
          <w:rFonts w:hint="eastAsia" w:ascii="宋体" w:hAnsi="宋体" w:eastAsia="宋体" w:cs="宋体"/>
          <w:b/>
          <w:bCs w:val="0"/>
          <w:color w:val="auto"/>
          <w:sz w:val="24"/>
          <w:szCs w:val="24"/>
          <w:highlight w:val="none"/>
          <w:lang w:val="en-US" w:eastAsia="zh-CN"/>
        </w:rPr>
        <w:t xml:space="preserve"> </w:t>
      </w:r>
      <w:r>
        <w:rPr>
          <w:rFonts w:hint="eastAsia" w:ascii="宋体" w:hAnsi="宋体" w:eastAsia="宋体" w:cs="宋体"/>
          <w:b/>
          <w:bCs w:val="0"/>
          <w:color w:val="auto"/>
          <w:sz w:val="24"/>
          <w:szCs w:val="24"/>
          <w:highlight w:val="none"/>
        </w:rPr>
        <w:t>对采购过程提出质疑的，为各采购程序环节结束之日；</w:t>
      </w:r>
    </w:p>
    <w:p w14:paraId="078AB70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对中标结果提出质疑的，为中标结果公告期限届满之日。</w:t>
      </w:r>
    </w:p>
    <w:p w14:paraId="2E8920B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投标人应当在法定质疑期内一次性提出针对同一采购程序环节的质疑。投标人如在法定期限内对同一采购程序环节提出多次质疑的，招标人、招标代理机构将只对投标人第一次质疑作出答复。</w:t>
      </w:r>
    </w:p>
    <w:p w14:paraId="2778D3D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质疑函必须按照本招标文件中《质疑函范本》要求的格式和内容进行填写。投标人如组成联合体参加投标，则《质疑函范本》中要求签字、盖章、加盖公章之处，联合体各方均须按要求签字、盖章、加盖公章。</w:t>
      </w:r>
    </w:p>
    <w:p w14:paraId="2454CD7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质疑答复依据《政府采购质疑和投诉办法》（财政部令第94号）。</w:t>
      </w:r>
    </w:p>
    <w:p w14:paraId="3B5A5A9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招标人或招标代理机构质疑接收人及联系方式，见招标文件第一章。</w:t>
      </w:r>
    </w:p>
    <w:p w14:paraId="1EBBDBF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 以下情形的质疑不予受理</w:t>
      </w:r>
    </w:p>
    <w:p w14:paraId="02D826E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2.5.1 内容不符合《政府采购质疑和投诉办法》第十二条规定的质疑。</w:t>
      </w:r>
    </w:p>
    <w:p w14:paraId="53116CF6">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2.5.2 超出政府采购法定期限的质疑。</w:t>
      </w:r>
    </w:p>
    <w:p w14:paraId="5592EB9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2.5.3 未参加投标活动的投标人或在投标活动中自身权益未受到损害的投标人所提出的质疑。</w:t>
      </w:r>
    </w:p>
    <w:p w14:paraId="71846C1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2.5.4</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投标人组成联合体参加投标，联合体中任何一方或多方未按要求签字、盖章、加盖公章的质疑。</w:t>
      </w:r>
    </w:p>
    <w:p w14:paraId="1D6ABB6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2.6 投标人提出书面质疑必须有理、有据，不得捏造事实、提供虚假材料进行恶意质疑。否则，一经查实，招标人或招标代理机构有权依据政府采购的有关规定，报请政府采购监管部门对该投标人进行相应的行政处罚和记录该投标人的失信信息。</w:t>
      </w:r>
    </w:p>
    <w:p w14:paraId="10B33D65">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val="zh-CN"/>
        </w:rPr>
        <w:t>、</w:t>
      </w:r>
      <w:r>
        <w:rPr>
          <w:rFonts w:hint="eastAsia" w:ascii="宋体" w:hAnsi="宋体" w:eastAsia="宋体" w:cs="宋体"/>
          <w:b/>
          <w:bCs/>
          <w:color w:val="auto"/>
          <w:sz w:val="24"/>
          <w:szCs w:val="24"/>
          <w:highlight w:val="none"/>
        </w:rPr>
        <w:t>中标通知书</w:t>
      </w:r>
    </w:p>
    <w:p w14:paraId="3AFAD2EF">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中标结果确定后，招标人或者招标代理机构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0273EB2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2.中标通知书将是合同的一个组成部分。对招标人和中标人均具有法律效力。中标通知书发出后，招标人改变中标结果的，或者中标人放弃中标项目的，应当依法承担法律责任。</w:t>
      </w:r>
    </w:p>
    <w:p w14:paraId="42C62EC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特别说明：中标人在下载或收到中标通知书后须提供3套加盖</w:t>
      </w:r>
      <w:r>
        <w:rPr>
          <w:rFonts w:hint="eastAsia" w:ascii="宋体" w:hAnsi="宋体" w:eastAsia="宋体" w:cs="宋体"/>
          <w:b/>
          <w:bCs/>
          <w:color w:val="auto"/>
          <w:sz w:val="24"/>
          <w:szCs w:val="24"/>
          <w:highlight w:val="none"/>
          <w:lang w:eastAsia="zh-CN"/>
        </w:rPr>
        <w:t>公章</w:t>
      </w:r>
      <w:r>
        <w:rPr>
          <w:rFonts w:hint="eastAsia" w:ascii="宋体" w:hAnsi="宋体" w:eastAsia="宋体" w:cs="宋体"/>
          <w:b/>
          <w:bCs/>
          <w:color w:val="auto"/>
          <w:sz w:val="24"/>
          <w:szCs w:val="24"/>
          <w:highlight w:val="none"/>
        </w:rPr>
        <w:t>的系统内打印的纸质投标文件交给招标代理机构存档。</w:t>
      </w:r>
    </w:p>
    <w:p w14:paraId="6CDA91B2">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zh-CN"/>
        </w:rPr>
        <w:t>履约保证金</w:t>
      </w:r>
    </w:p>
    <w:p w14:paraId="27DD19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1.履约保证金是否收取：</w:t>
      </w:r>
      <w:r>
        <w:rPr>
          <w:rFonts w:hint="eastAsia" w:ascii="宋体" w:hAnsi="宋体" w:eastAsia="宋体" w:cs="宋体"/>
          <w:color w:val="auto"/>
          <w:sz w:val="24"/>
          <w:szCs w:val="24"/>
          <w:highlight w:val="none"/>
          <w:u w:val="single"/>
        </w:rPr>
        <w:t>是</w:t>
      </w:r>
    </w:p>
    <w:p w14:paraId="27DCB4F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2.履约保证金的数额：本项目中标后的履约保证金为项目中标价的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5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none"/>
        </w:rPr>
        <w:t>。</w:t>
      </w:r>
    </w:p>
    <w:p w14:paraId="3042F3C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3.缴纳履约保证金时间：中标供应商在中标通知书发出之日起</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none"/>
        </w:rPr>
        <w:t>日内</w:t>
      </w:r>
      <w:r>
        <w:rPr>
          <w:rFonts w:hint="eastAsia" w:ascii="宋体" w:hAnsi="宋体" w:eastAsia="宋体" w:cs="宋体"/>
          <w:color w:val="auto"/>
          <w:sz w:val="24"/>
          <w:szCs w:val="24"/>
          <w:highlight w:val="none"/>
        </w:rPr>
        <w:t>。</w:t>
      </w:r>
    </w:p>
    <w:p w14:paraId="66751C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4.缴纳履约保证金形式：</w:t>
      </w:r>
      <w:r>
        <w:rPr>
          <w:rFonts w:hint="eastAsia" w:ascii="宋体" w:hAnsi="宋体" w:eastAsia="宋体" w:cs="宋体"/>
          <w:color w:val="auto"/>
          <w:sz w:val="24"/>
          <w:szCs w:val="24"/>
          <w:highlight w:val="none"/>
          <w:u w:val="single"/>
        </w:rPr>
        <w:t>支票、汇票、本票或者金融机构、担保机构出具的保函、履约保证金保险</w:t>
      </w:r>
      <w:r>
        <w:rPr>
          <w:rFonts w:hint="eastAsia" w:ascii="宋体" w:hAnsi="宋体" w:eastAsia="宋体" w:cs="宋体"/>
          <w:color w:val="auto"/>
          <w:sz w:val="24"/>
          <w:szCs w:val="24"/>
          <w:highlight w:val="none"/>
        </w:rPr>
        <w:t>等非现金形式。如选择担保机构出具的保函、履约保证金保险等形式，有效期须与履约时间一致。</w:t>
      </w:r>
    </w:p>
    <w:p w14:paraId="6EDF44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采购人的账户：</w:t>
      </w:r>
    </w:p>
    <w:p w14:paraId="5CD1F5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单位名称：江苏航运职业技术学院</w:t>
      </w:r>
      <w:r>
        <w:rPr>
          <w:rFonts w:hint="eastAsia" w:ascii="宋体" w:hAnsi="宋体" w:eastAsia="宋体" w:cs="宋体"/>
          <w:color w:val="auto"/>
          <w:sz w:val="24"/>
          <w:szCs w:val="24"/>
          <w:highlight w:val="none"/>
          <w:lang w:eastAsia="zh-CN"/>
        </w:rPr>
        <w:t>；</w:t>
      </w:r>
    </w:p>
    <w:p w14:paraId="45A2C4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开户行：中国建设银行南通经济技术开发区支行；</w:t>
      </w:r>
    </w:p>
    <w:p w14:paraId="31D919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账号：32001642336052515609；</w:t>
      </w:r>
    </w:p>
    <w:p w14:paraId="56132D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统一社会信用代码：123200004660042577。</w:t>
      </w:r>
    </w:p>
    <w:p w14:paraId="288059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5.退还履约保证金时间：中标供应商</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rPr>
        <w:t>全部履约合同义务</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经采购人验收合格无质量、进度等问题</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lang w:val="en-US" w:eastAsia="zh-CN"/>
        </w:rPr>
        <w:t>凭</w:t>
      </w:r>
      <w:r>
        <w:rPr>
          <w:rFonts w:hint="eastAsia" w:ascii="宋体" w:hAnsi="宋体" w:eastAsia="宋体" w:cs="宋体"/>
          <w:color w:val="auto"/>
          <w:sz w:val="24"/>
          <w:szCs w:val="24"/>
          <w:highlight w:val="none"/>
        </w:rPr>
        <w:t>中标供应商</w:t>
      </w:r>
      <w:r>
        <w:rPr>
          <w:rFonts w:hint="eastAsia" w:ascii="宋体" w:hAnsi="宋体" w:eastAsia="宋体" w:cs="宋体"/>
          <w:color w:val="auto"/>
          <w:sz w:val="24"/>
          <w:szCs w:val="24"/>
          <w:highlight w:val="none"/>
          <w:lang w:val="en-US" w:eastAsia="zh-CN"/>
        </w:rPr>
        <w:t>提交的申请，</w:t>
      </w:r>
      <w:r>
        <w:rPr>
          <w:rFonts w:hint="eastAsia" w:ascii="宋体" w:hAnsi="宋体" w:eastAsia="宋体" w:cs="宋体"/>
          <w:color w:val="auto"/>
          <w:sz w:val="24"/>
          <w:szCs w:val="24"/>
          <w:highlight w:val="none"/>
        </w:rPr>
        <w:t>在三十个工作日内一次性退还履约保证金（不计息）或者退还履约保证金保函，采购人若逾期退还履约保证金的，按照逾期部分的每日</w:t>
      </w:r>
      <w:r>
        <w:rPr>
          <w:rFonts w:hint="eastAsia" w:ascii="宋体" w:hAnsi="宋体" w:eastAsia="宋体" w:cs="宋体"/>
          <w:color w:val="auto"/>
          <w:sz w:val="24"/>
          <w:szCs w:val="24"/>
          <w:highlight w:val="none"/>
          <w:u w:val="single"/>
        </w:rPr>
        <w:t>0.05%</w:t>
      </w:r>
      <w:r>
        <w:rPr>
          <w:rFonts w:hint="eastAsia" w:ascii="宋体" w:hAnsi="宋体" w:eastAsia="宋体" w:cs="宋体"/>
          <w:color w:val="auto"/>
          <w:sz w:val="24"/>
          <w:szCs w:val="24"/>
          <w:highlight w:val="none"/>
        </w:rPr>
        <w:t xml:space="preserve">支付违约金。   </w:t>
      </w:r>
    </w:p>
    <w:p w14:paraId="738A70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6.退还履约保证金方式：同缴纳方式。   </w:t>
      </w:r>
    </w:p>
    <w:p w14:paraId="3E2F54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7.退还履约保证金条件：中标供应商</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rPr>
        <w:t>全部履约合同义务</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经采购人验收合格无质量、进度等问题</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lang w:val="en-US" w:eastAsia="zh-CN"/>
        </w:rPr>
        <w:t>凭</w:t>
      </w:r>
      <w:r>
        <w:rPr>
          <w:rFonts w:hint="eastAsia" w:ascii="宋体" w:hAnsi="宋体" w:eastAsia="宋体" w:cs="宋体"/>
          <w:color w:val="auto"/>
          <w:sz w:val="24"/>
          <w:szCs w:val="24"/>
          <w:highlight w:val="none"/>
        </w:rPr>
        <w:t>中标供应商</w:t>
      </w:r>
      <w:r>
        <w:rPr>
          <w:rFonts w:hint="eastAsia" w:ascii="宋体" w:hAnsi="宋体" w:eastAsia="宋体" w:cs="宋体"/>
          <w:color w:val="auto"/>
          <w:sz w:val="24"/>
          <w:szCs w:val="24"/>
          <w:highlight w:val="none"/>
          <w:lang w:val="en-US" w:eastAsia="zh-CN"/>
        </w:rPr>
        <w:t>提交的申请，</w:t>
      </w:r>
      <w:r>
        <w:rPr>
          <w:rFonts w:hint="eastAsia" w:ascii="宋体" w:hAnsi="宋体" w:eastAsia="宋体" w:cs="宋体"/>
          <w:color w:val="auto"/>
          <w:sz w:val="24"/>
          <w:szCs w:val="24"/>
          <w:highlight w:val="none"/>
        </w:rPr>
        <w:t xml:space="preserve">在三十个工作日内一次性退还履约保证金（不计息）或者退还履约保证金保函。 </w:t>
      </w:r>
    </w:p>
    <w:p w14:paraId="0B8C0A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8.不予退还履约保证金的情形：</w:t>
      </w:r>
    </w:p>
    <w:p w14:paraId="7A1306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a.签订合同后，</w:t>
      </w:r>
      <w:r>
        <w:rPr>
          <w:rFonts w:hint="eastAsia" w:ascii="宋体" w:hAnsi="宋体" w:eastAsia="宋体" w:cs="宋体"/>
          <w:color w:val="auto"/>
          <w:sz w:val="24"/>
          <w:szCs w:val="24"/>
          <w:highlight w:val="none"/>
          <w:lang w:eastAsia="zh-CN"/>
        </w:rPr>
        <w:t>中标供应商</w:t>
      </w:r>
      <w:r>
        <w:rPr>
          <w:rFonts w:hint="eastAsia" w:ascii="宋体" w:hAnsi="宋体" w:eastAsia="宋体" w:cs="宋体"/>
          <w:color w:val="auto"/>
          <w:sz w:val="24"/>
          <w:szCs w:val="24"/>
          <w:highlight w:val="none"/>
        </w:rPr>
        <w:t>不履行合同义务的，采购单位有权全额扣除履约保证金，全额不予退还，同时采购单位亦有权终止合同，</w:t>
      </w:r>
      <w:r>
        <w:rPr>
          <w:rFonts w:hint="eastAsia" w:ascii="宋体" w:hAnsi="宋体" w:eastAsia="宋体" w:cs="宋体"/>
          <w:color w:val="auto"/>
          <w:sz w:val="24"/>
          <w:szCs w:val="24"/>
          <w:highlight w:val="none"/>
          <w:lang w:eastAsia="zh-CN"/>
        </w:rPr>
        <w:t>中标供应商</w:t>
      </w:r>
      <w:r>
        <w:rPr>
          <w:rFonts w:hint="eastAsia" w:ascii="宋体" w:hAnsi="宋体" w:eastAsia="宋体" w:cs="宋体"/>
          <w:color w:val="auto"/>
          <w:sz w:val="24"/>
          <w:szCs w:val="24"/>
          <w:highlight w:val="none"/>
        </w:rPr>
        <w:t>还须承担相应的法律赔偿责任。</w:t>
      </w:r>
    </w:p>
    <w:p w14:paraId="1A81B9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w:t>
      </w:r>
      <w:r>
        <w:rPr>
          <w:rFonts w:hint="eastAsia" w:ascii="宋体" w:hAnsi="宋体" w:eastAsia="宋体" w:cs="宋体"/>
          <w:color w:val="auto"/>
          <w:sz w:val="24"/>
          <w:szCs w:val="24"/>
          <w:highlight w:val="none"/>
          <w:lang w:eastAsia="zh-CN"/>
        </w:rPr>
        <w:t>中标供应商</w:t>
      </w:r>
      <w:r>
        <w:rPr>
          <w:rFonts w:hint="eastAsia" w:ascii="宋体" w:hAnsi="宋体" w:eastAsia="宋体" w:cs="宋体"/>
          <w:color w:val="auto"/>
          <w:sz w:val="24"/>
          <w:szCs w:val="24"/>
          <w:highlight w:val="none"/>
        </w:rPr>
        <w:t>在履约过程中发生违约行为，给采购人造成损失的，采购人有权在</w:t>
      </w:r>
      <w:r>
        <w:rPr>
          <w:rFonts w:hint="eastAsia" w:ascii="宋体" w:hAnsi="宋体" w:eastAsia="宋体" w:cs="宋体"/>
          <w:color w:val="auto"/>
          <w:sz w:val="24"/>
          <w:szCs w:val="24"/>
          <w:highlight w:val="none"/>
          <w:lang w:eastAsia="zh-CN"/>
        </w:rPr>
        <w:t>中标供应商</w:t>
      </w:r>
      <w:r>
        <w:rPr>
          <w:rFonts w:hint="eastAsia" w:ascii="宋体" w:hAnsi="宋体" w:eastAsia="宋体" w:cs="宋体"/>
          <w:color w:val="auto"/>
          <w:sz w:val="24"/>
          <w:szCs w:val="24"/>
          <w:highlight w:val="none"/>
        </w:rPr>
        <w:t>缴纳的履约保证金中予以扣款，以弥补采购人经济损失，不足的部分</w:t>
      </w:r>
      <w:r>
        <w:rPr>
          <w:rFonts w:hint="eastAsia" w:ascii="宋体" w:hAnsi="宋体" w:eastAsia="宋体" w:cs="宋体"/>
          <w:color w:val="auto"/>
          <w:sz w:val="24"/>
          <w:szCs w:val="24"/>
          <w:highlight w:val="none"/>
          <w:lang w:eastAsia="zh-CN"/>
        </w:rPr>
        <w:t>中标供应商</w:t>
      </w:r>
      <w:r>
        <w:rPr>
          <w:rFonts w:hint="eastAsia" w:ascii="宋体" w:hAnsi="宋体" w:eastAsia="宋体" w:cs="宋体"/>
          <w:color w:val="auto"/>
          <w:sz w:val="24"/>
          <w:szCs w:val="24"/>
          <w:highlight w:val="none"/>
        </w:rPr>
        <w:t>另外补齐。</w:t>
      </w:r>
    </w:p>
    <w:p w14:paraId="60EEE32F">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以履约保函（保险）形式向采购人缴纳的，按照《关于在全省政府采购领域推行电子履约保函（保险）的通知》，登录江苏政府采购网，选择“保险保函”模块，进行相关操作。供应商可登陆江苏政府采购网“资料下载”栏目下载“政府采购电子履约（保函）保险操作手册（网址：www.ccgp-jiangsu.gov.cn/jisngsu/zlxz/）。</w:t>
      </w:r>
    </w:p>
    <w:p w14:paraId="13CA381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、授予合同</w:t>
      </w:r>
    </w:p>
    <w:p w14:paraId="13C1205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1.签订合同</w:t>
      </w:r>
    </w:p>
    <w:p w14:paraId="1ED9A62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1.l</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中标人应当在中标通知书发出之日起三十日内，按照招标文件确定的事项与招标人签订政府采购合同。</w:t>
      </w:r>
    </w:p>
    <w:p w14:paraId="01DF3077">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签订合同时需做好提交各类声明函、承诺函、业绩证明、资质、职称证书等相应原件的核查准备；核查后发现虚假或违背承诺的，依照相关法律法规规定处理。</w:t>
      </w:r>
    </w:p>
    <w:p w14:paraId="5E693CF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招标文件、中标人的投标文件及投标过程中有关澄清、承诺文件均应作为合同附件。</w:t>
      </w:r>
    </w:p>
    <w:p w14:paraId="633A9A7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签订合同后，</w:t>
      </w:r>
      <w:r>
        <w:rPr>
          <w:rFonts w:hint="eastAsia" w:ascii="宋体" w:hAnsi="宋体" w:eastAsia="宋体" w:cs="宋体"/>
          <w:bCs/>
          <w:color w:val="auto"/>
          <w:sz w:val="24"/>
          <w:szCs w:val="24"/>
          <w:highlight w:val="none"/>
          <w:u w:val="single"/>
        </w:rPr>
        <w:t>中标人不得将合同标的进行转包</w:t>
      </w:r>
      <w:r>
        <w:rPr>
          <w:rFonts w:hint="eastAsia" w:ascii="宋体" w:hAnsi="宋体" w:eastAsia="宋体" w:cs="宋体"/>
          <w:bCs/>
          <w:color w:val="auto"/>
          <w:sz w:val="24"/>
          <w:szCs w:val="24"/>
          <w:highlight w:val="none"/>
        </w:rPr>
        <w:t>。未经招标人同意，中标人也不得采用分包形式履行合同，否则招标人有权终止合同。转包或分包造成招标人损失的，中标人应承担相应赔偿责任。</w:t>
      </w:r>
    </w:p>
    <w:p w14:paraId="4C2B864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2.标的物的追加</w:t>
      </w:r>
    </w:p>
    <w:p w14:paraId="5FAD413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政府采购合同履行中，招标人需追加与合同标的相同的货物、服务（包含与货物相关的服务及与服务相关的货物）的，在不改变合同其他条款的前提下，可以与中标人协商签订补充合同，但所有补充合同的采购金额不超过原合同金额10%。</w:t>
      </w:r>
    </w:p>
    <w:p w14:paraId="46EBF83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采购结束后，招标人若由于各种客观原因，必须对采购项目所牵涉的货物和服务进行适当的减少时，在双方协商一致的前提下，可以按照招标采购时的价格水平做相应的调减，并据此签订补充合同。</w:t>
      </w:r>
    </w:p>
    <w:p w14:paraId="4BFECF1C">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政府采购合同信用融资扶持政策</w:t>
      </w:r>
    </w:p>
    <w:p w14:paraId="3A222CE4">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根据《关于深入开展南通市政府采购线上合同信用融资工作的通知》（通财购〔2022〕68号），对政府采购成交供应商提出“政采贷”融资申请的，采购人应当依法按时在“苏采云”系统中录入并公开政府采购合同信息，勾选“融资贷款”选项，并在合同签订、验收付款、账号维护等环节提供必要便利，持续降低参与政府采购的中小企业融资成本。成交供应商如需获得合同信用融资支持，可凭政府采购合同办理“政采贷”融资贷款，详情请见江苏省政府采购网-政采贷专栏。</w:t>
      </w:r>
    </w:p>
    <w:p w14:paraId="01DB17B8">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验收</w:t>
      </w:r>
    </w:p>
    <w:p w14:paraId="29F053C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A12F42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2.采购人可以邀请参加本项目的其他投标人或者第三方机构参与验收。参与验收的投标人或者第三方机构的意见作为验收书的参考资料一并存档。</w:t>
      </w:r>
    </w:p>
    <w:p w14:paraId="72C1A93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748029">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B88832D">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十三、</w:t>
      </w:r>
      <w:r>
        <w:rPr>
          <w:rFonts w:hint="eastAsia" w:ascii="宋体" w:hAnsi="宋体" w:eastAsia="宋体" w:cs="宋体"/>
          <w:b/>
          <w:bCs/>
          <w:color w:val="auto"/>
          <w:sz w:val="24"/>
          <w:szCs w:val="24"/>
          <w:highlight w:val="none"/>
        </w:rPr>
        <w:t>电子招标投标交易平台</w:t>
      </w:r>
    </w:p>
    <w:p w14:paraId="1E22A07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电子招标投标交易平台（即“苏采云”系统，网址：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"http://jszfcg.jsczt.cn/）相关要求是本招标文件的组成部分。" \o "http://jszfcg.jsczt.cn/）相关要求是本招标文件的组成部分。" </w:instrText>
      </w:r>
      <w:r>
        <w:rPr>
          <w:rFonts w:hint="eastAsia" w:ascii="宋体" w:hAnsi="宋体" w:eastAsia="宋体" w:cs="宋体"/>
          <w:color w:val="auto"/>
          <w:sz w:val="24"/>
          <w:szCs w:val="24"/>
          <w:highlight w:val="none"/>
        </w:rPr>
        <w:fldChar w:fldCharType="separate"/>
      </w:r>
      <w:r>
        <w:rPr>
          <w:rStyle w:val="16"/>
          <w:rFonts w:hint="eastAsia" w:ascii="宋体" w:hAnsi="宋体" w:eastAsia="宋体" w:cs="宋体"/>
          <w:bCs/>
          <w:color w:val="auto"/>
          <w:sz w:val="24"/>
          <w:szCs w:val="24"/>
          <w:highlight w:val="none"/>
        </w:rPr>
        <w:t>http</w:t>
      </w:r>
      <w:r>
        <w:rPr>
          <w:rStyle w:val="16"/>
          <w:rFonts w:hint="eastAsia" w:ascii="宋体" w:hAnsi="宋体" w:eastAsia="宋体" w:cs="宋体"/>
          <w:bCs/>
          <w:color w:val="auto"/>
          <w:sz w:val="24"/>
          <w:szCs w:val="24"/>
          <w:highlight w:val="none"/>
          <w:lang w:eastAsia="zh-CN"/>
        </w:rPr>
        <w:t>：</w:t>
      </w:r>
      <w:r>
        <w:rPr>
          <w:rStyle w:val="16"/>
          <w:rFonts w:hint="eastAsia" w:ascii="宋体" w:hAnsi="宋体" w:eastAsia="宋体" w:cs="宋体"/>
          <w:bCs/>
          <w:color w:val="auto"/>
          <w:sz w:val="24"/>
          <w:szCs w:val="24"/>
          <w:highlight w:val="none"/>
        </w:rPr>
        <w:t>//jszfcg.jsczt.cn/）相关要求是本招标文件的组成部分。</w:t>
      </w:r>
      <w:r>
        <w:rPr>
          <w:rStyle w:val="16"/>
          <w:rFonts w:hint="eastAsia" w:ascii="宋体" w:hAnsi="宋体" w:eastAsia="宋体" w:cs="宋体"/>
          <w:bCs/>
          <w:color w:val="auto"/>
          <w:sz w:val="24"/>
          <w:szCs w:val="24"/>
          <w:highlight w:val="none"/>
        </w:rPr>
        <w:fldChar w:fldCharType="end"/>
      </w:r>
    </w:p>
    <w:p w14:paraId="603B62F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、未尽事宜</w:t>
      </w:r>
    </w:p>
    <w:p w14:paraId="2811BB4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hint="eastAsia" w:ascii="宋体" w:hAnsi="宋体" w:eastAsia="宋体" w:cs="宋体"/>
          <w:b/>
          <w:bCs/>
          <w:color w:val="auto"/>
          <w:sz w:val="21"/>
          <w:szCs w:val="21"/>
          <w:highlight w:val="none"/>
        </w:rPr>
        <w:sectPr>
          <w:headerReference r:id="rId8" w:type="default"/>
          <w:pgSz w:w="11906" w:h="16838"/>
          <w:pgMar w:top="1588" w:right="1418" w:bottom="1418" w:left="1701" w:header="851" w:footer="850" w:gutter="0"/>
          <w:pgBorders>
            <w:top w:val="none" w:sz="0" w:space="0"/>
            <w:left w:val="none" w:sz="0" w:space="0"/>
            <w:bottom w:val="none" w:sz="0" w:space="0"/>
            <w:right w:val="none" w:sz="0" w:space="0"/>
          </w:pgBorders>
          <w:cols w:space="1701" w:num="1"/>
          <w:docGrid w:linePitch="360" w:charSpace="0"/>
        </w:sectPr>
      </w:pPr>
      <w:r>
        <w:rPr>
          <w:rFonts w:hint="eastAsia" w:ascii="宋体" w:hAnsi="宋体" w:eastAsia="宋体" w:cs="宋体"/>
          <w:color w:val="auto"/>
          <w:sz w:val="24"/>
          <w:szCs w:val="24"/>
          <w:highlight w:val="none"/>
        </w:rPr>
        <w:t>按《中华人民共和国政府采购法》及其他有关法律法规的规定执行。</w:t>
      </w:r>
    </w:p>
    <w:p w14:paraId="23D3FC9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第三章</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项目需求</w:t>
      </w:r>
    </w:p>
    <w:p w14:paraId="349B8025">
      <w:pPr>
        <w:pStyle w:val="17"/>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highlight w:val="none"/>
          <w:lang w:val="zh-CN"/>
        </w:rPr>
      </w:pPr>
      <w:bookmarkStart w:id="8" w:name="_Toc182848996"/>
    </w:p>
    <w:p w14:paraId="022EDCF0">
      <w:pPr>
        <w:pStyle w:val="17"/>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zh-CN"/>
        </w:rPr>
        <w:t>供应商在制作投标文件时仔细研究项目需求说明。项目需求包括技术要求和商务要求：技术要求是指对采购标的功能和质量要求，包括服务内容和标准等；商务要求是指取得采购标的的时间、地点、财务和服务要求，包括交付（实施）的时间（期限）和地点（范围），付款条件（进度和方法）等。</w:t>
      </w:r>
    </w:p>
    <w:p w14:paraId="2AAA809A">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zh-CN"/>
        </w:rPr>
        <w:t>供应商不能简单照搬照抄采购文件项目需求说明中的技术、商务要求，必须作实事求是的响应。如供应商提供的货物和服务同采购人提出的项目需求说明中的技术、商务要求不同的，必须再进行必要的说明。</w:t>
      </w:r>
    </w:p>
    <w:p w14:paraId="4CA7648B">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一、项目公开招标响应说明</w:t>
      </w:r>
    </w:p>
    <w:p w14:paraId="56AB492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公开招标响应供应商不能简单照搬照抄招标项目需求说明中的技术要求，必须作实事求是的响应：</w:t>
      </w:r>
    </w:p>
    <w:p w14:paraId="056D6730">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1.照搬照抄项目需求说明中的技术要求，一旦中标，在与采购人签订合同和履约环节中不得提出异议，一切后果和损失由中标人承担。</w:t>
      </w:r>
    </w:p>
    <w:p w14:paraId="3B24A96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2.公开招标响应供应商提供的货物和服务与采购人提出的项目需求说明中的技术要求不同，必</w:t>
      </w:r>
      <w:bookmarkStart w:id="9" w:name="_Hlk69896050"/>
      <w:r>
        <w:rPr>
          <w:rFonts w:hint="eastAsia" w:ascii="宋体" w:hAnsi="宋体" w:eastAsia="宋体" w:cs="宋体"/>
          <w:bCs/>
          <w:color w:val="auto"/>
          <w:sz w:val="24"/>
          <w:szCs w:val="24"/>
          <w:highlight w:val="none"/>
        </w:rPr>
        <w:t>须在逐一逐条响应的《技术条款响应正负偏离表》上明示偏离的部分。</w:t>
      </w:r>
      <w:bookmarkEnd w:id="9"/>
    </w:p>
    <w:p w14:paraId="734F300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采购标的数量、采购项目交付或者实施的时间和地点</w:t>
      </w:r>
    </w:p>
    <w:p w14:paraId="099F3C4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（一）采购标的需实现的功能或者目标，以及为落实政府采购政策需满足的要求</w:t>
      </w:r>
    </w:p>
    <w:p w14:paraId="7102723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旨在建设全校统一的数字教材建设、管理、监测一体化平台，实时掌握学校数字教材建设与应用整体情况，实现对数字教材建设、使用、出版、发行、审核等全链条、全场景数字化管理；重点建设、出版15部融合AR/VR、AIGC、数字人等前沿技术的数字教材，通过沉浸式3D建模、动态仿真和交互式操作，生动还原船舶与海工装备设计、建造与运维全过程，打造形象直观、互动性强的数字学习体验；在学校内形成示范效应，建设一批校本数字教材，打造具有航运特色的示范性数字教材中心，服务人才培养和教学改革。</w:t>
      </w:r>
    </w:p>
    <w:p w14:paraId="40A52FD8">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sectPr>
          <w:headerReference r:id="rId10" w:type="first"/>
          <w:footerReference r:id="rId12" w:type="first"/>
          <w:headerReference r:id="rId9" w:type="default"/>
          <w:footerReference r:id="rId11" w:type="default"/>
          <w:pgSz w:w="11906" w:h="16838"/>
          <w:pgMar w:top="1588" w:right="1418" w:bottom="1418" w:left="1701" w:header="851" w:footer="992" w:gutter="0"/>
          <w:pgBorders>
            <w:top w:val="none" w:sz="0" w:space="0"/>
            <w:left w:val="none" w:sz="0" w:space="0"/>
            <w:bottom w:val="none" w:sz="0" w:space="0"/>
            <w:right w:val="none" w:sz="0" w:space="0"/>
          </w:pgBorders>
          <w:cols w:space="1701" w:num="1"/>
          <w:docGrid w:linePitch="360" w:charSpace="0"/>
        </w:sectPr>
      </w:pPr>
    </w:p>
    <w:p w14:paraId="5E8B767A">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（二）采购标的需执行的国家相关标准、行业标准、地方标准或者其他标准、规范</w:t>
      </w:r>
    </w:p>
    <w:p w14:paraId="3CBD97E3">
      <w:pPr>
        <w:pStyle w:val="5"/>
        <w:keepNext w:val="0"/>
        <w:keepLines w:val="0"/>
        <w:pageBreakBefore w:val="0"/>
        <w:widowControl w:val="0"/>
        <w:tabs>
          <w:tab w:val="left" w:pos="0"/>
        </w:tabs>
        <w:kinsoku/>
        <w:wordWrap/>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本采购标的需执行的技术标准按国家标准执行，无国家标准的，按行业标准执行，无国家和行业标准的，按企业标准执行。</w:t>
      </w:r>
    </w:p>
    <w:p w14:paraId="18A0BF31">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（三）采购标的需满足的质量、安全、技术规格、物理特性等要求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005"/>
        <w:gridCol w:w="1125"/>
        <w:gridCol w:w="9450"/>
        <w:gridCol w:w="1230"/>
        <w:gridCol w:w="660"/>
      </w:tblGrid>
      <w:tr w14:paraId="399A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blHeader/>
          <w:jc w:val="center"/>
        </w:trPr>
        <w:tc>
          <w:tcPr>
            <w:tcW w:w="578" w:type="dxa"/>
            <w:noWrap w:val="0"/>
            <w:vAlign w:val="center"/>
          </w:tcPr>
          <w:p w14:paraId="4521B3F5">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2130" w:type="dxa"/>
            <w:gridSpan w:val="2"/>
            <w:noWrap w:val="0"/>
            <w:vAlign w:val="center"/>
          </w:tcPr>
          <w:p w14:paraId="7AF97D0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建设内容</w:t>
            </w:r>
          </w:p>
        </w:tc>
        <w:tc>
          <w:tcPr>
            <w:tcW w:w="9450" w:type="dxa"/>
            <w:noWrap w:val="0"/>
            <w:vAlign w:val="center"/>
          </w:tcPr>
          <w:p w14:paraId="4164579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参数要求</w:t>
            </w:r>
          </w:p>
        </w:tc>
        <w:tc>
          <w:tcPr>
            <w:tcW w:w="1230" w:type="dxa"/>
            <w:noWrap w:val="0"/>
            <w:vAlign w:val="center"/>
          </w:tcPr>
          <w:p w14:paraId="0D8CE1F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数量</w:t>
            </w:r>
          </w:p>
        </w:tc>
        <w:tc>
          <w:tcPr>
            <w:tcW w:w="660" w:type="dxa"/>
            <w:noWrap w:val="0"/>
            <w:vAlign w:val="center"/>
          </w:tcPr>
          <w:p w14:paraId="041697CB">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备注</w:t>
            </w:r>
          </w:p>
        </w:tc>
      </w:tr>
      <w:tr w14:paraId="7E94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noWrap w:val="0"/>
            <w:vAlign w:val="center"/>
          </w:tcPr>
          <w:p w14:paraId="3932835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005" w:type="dxa"/>
            <w:vMerge w:val="restart"/>
            <w:noWrap w:val="0"/>
            <w:vAlign w:val="center"/>
          </w:tcPr>
          <w:p w14:paraId="0D995C7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数字教材中心平台</w:t>
            </w:r>
          </w:p>
        </w:tc>
        <w:tc>
          <w:tcPr>
            <w:tcW w:w="1125" w:type="dxa"/>
            <w:noWrap w:val="0"/>
            <w:vAlign w:val="center"/>
          </w:tcPr>
          <w:p w14:paraId="79D92ECA">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数字教材发布与管理平台</w:t>
            </w:r>
          </w:p>
        </w:tc>
        <w:tc>
          <w:tcPr>
            <w:tcW w:w="9450" w:type="dxa"/>
            <w:noWrap w:val="0"/>
            <w:vAlign w:val="center"/>
          </w:tcPr>
          <w:p w14:paraId="32B5AFBC">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▲1</w:t>
            </w:r>
            <w:r>
              <w:rPr>
                <w:rFonts w:hint="eastAsia" w:ascii="宋体" w:hAnsi="宋体" w:eastAsia="宋体" w:cs="宋体"/>
                <w:b/>
                <w:bCs/>
                <w:color w:val="auto"/>
                <w:kern w:val="2"/>
                <w:sz w:val="21"/>
                <w:szCs w:val="21"/>
                <w:highlight w:val="none"/>
                <w:lang w:eastAsia="zh-CN"/>
              </w:rPr>
              <w:t>．</w:t>
            </w:r>
            <w:r>
              <w:rPr>
                <w:rFonts w:hint="eastAsia" w:ascii="宋体" w:hAnsi="宋体" w:eastAsia="宋体" w:cs="宋体"/>
                <w:b/>
                <w:bCs/>
                <w:color w:val="auto"/>
                <w:kern w:val="2"/>
                <w:sz w:val="21"/>
                <w:szCs w:val="21"/>
                <w:highlight w:val="none"/>
                <w:lang w:val="en-US" w:eastAsia="zh-CN"/>
              </w:rPr>
              <w:t>数字教材中心展示门户</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为学校</w:t>
            </w:r>
            <w:r>
              <w:rPr>
                <w:rFonts w:hint="eastAsia" w:ascii="宋体" w:hAnsi="宋体" w:eastAsia="宋体" w:cs="宋体"/>
                <w:color w:val="auto"/>
                <w:kern w:val="2"/>
                <w:sz w:val="21"/>
                <w:szCs w:val="21"/>
                <w:highlight w:val="none"/>
                <w:lang w:val="en-US" w:eastAsia="zh-CN"/>
              </w:rPr>
              <w:t>建设私有门户，提供</w:t>
            </w:r>
            <w:r>
              <w:rPr>
                <w:rFonts w:hint="eastAsia" w:ascii="宋体" w:hAnsi="宋体" w:eastAsia="宋体" w:cs="宋体"/>
                <w:color w:val="auto"/>
                <w:kern w:val="2"/>
                <w:sz w:val="21"/>
                <w:szCs w:val="21"/>
                <w:highlight w:val="none"/>
                <w:lang w:eastAsia="zh-CN"/>
              </w:rPr>
              <w:t>已开发数字教材成果展示</w:t>
            </w:r>
            <w:r>
              <w:rPr>
                <w:rFonts w:hint="eastAsia" w:ascii="宋体" w:hAnsi="宋体" w:eastAsia="宋体" w:cs="宋体"/>
                <w:color w:val="auto"/>
                <w:kern w:val="2"/>
                <w:sz w:val="21"/>
                <w:szCs w:val="21"/>
                <w:highlight w:val="none"/>
                <w:lang w:val="en-US" w:eastAsia="zh-CN"/>
              </w:rPr>
              <w:t>与</w:t>
            </w:r>
            <w:r>
              <w:rPr>
                <w:rFonts w:hint="eastAsia" w:ascii="宋体" w:hAnsi="宋体" w:eastAsia="宋体" w:cs="宋体"/>
                <w:color w:val="auto"/>
                <w:kern w:val="2"/>
                <w:sz w:val="21"/>
                <w:szCs w:val="21"/>
                <w:highlight w:val="none"/>
                <w:lang w:eastAsia="zh-CN"/>
              </w:rPr>
              <w:t>学习应用，方便师生</w:t>
            </w:r>
            <w:r>
              <w:rPr>
                <w:rFonts w:hint="eastAsia" w:ascii="宋体" w:hAnsi="宋体" w:eastAsia="宋体" w:cs="宋体"/>
                <w:color w:val="auto"/>
                <w:kern w:val="2"/>
                <w:sz w:val="21"/>
                <w:szCs w:val="21"/>
                <w:highlight w:val="none"/>
                <w:lang w:val="en-US" w:eastAsia="zh-CN"/>
              </w:rPr>
              <w:t>浏览、</w:t>
            </w:r>
            <w:r>
              <w:rPr>
                <w:rFonts w:hint="eastAsia" w:ascii="宋体" w:hAnsi="宋体" w:eastAsia="宋体" w:cs="宋体"/>
                <w:color w:val="auto"/>
                <w:kern w:val="2"/>
                <w:sz w:val="21"/>
                <w:szCs w:val="21"/>
                <w:highlight w:val="none"/>
                <w:lang w:eastAsia="zh-CN"/>
              </w:rPr>
              <w:t>获取数字教材资源，提高数字教材的使用率。校本数字讲义资源与正式出版数字教材都可以在门户上呈现，校本数字讲义只对校内开放，正式出版的数字教材校内外的师生都可下载使用、试读。</w:t>
            </w:r>
          </w:p>
          <w:p w14:paraId="7A506393">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门户功能要求如下：</w:t>
            </w:r>
          </w:p>
          <w:p w14:paraId="452073B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eastAsia="zh-CN"/>
              </w:rPr>
              <w:t>）定制学校LOGO、单独学校域名进行访问，具备快速检索功能；</w:t>
            </w:r>
            <w:r>
              <w:rPr>
                <w:rFonts w:hint="eastAsia" w:ascii="宋体" w:hAnsi="宋体" w:eastAsia="宋体" w:cs="宋体"/>
                <w:color w:val="auto"/>
                <w:kern w:val="2"/>
                <w:sz w:val="21"/>
                <w:szCs w:val="21"/>
                <w:highlight w:val="none"/>
                <w:lang w:val="en-US" w:eastAsia="zh-CN"/>
              </w:rPr>
              <w:t>能与学校门户对接</w:t>
            </w:r>
            <w:r>
              <w:rPr>
                <w:rFonts w:hint="eastAsia" w:ascii="宋体" w:hAnsi="宋体" w:eastAsia="宋体" w:cs="宋体"/>
                <w:color w:val="auto"/>
                <w:kern w:val="2"/>
                <w:sz w:val="21"/>
                <w:szCs w:val="21"/>
                <w:highlight w:val="none"/>
                <w:lang w:eastAsia="zh-CN"/>
              </w:rPr>
              <w:t>。</w:t>
            </w:r>
          </w:p>
          <w:p w14:paraId="44E4335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）首页包含推荐优秀数字教材清单，包含教材封面，教材名称，主编信息，显示每本教材学生学习数据。</w:t>
            </w:r>
          </w:p>
          <w:p w14:paraId="4509001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）首页包含全校数字教材建设明细，包含已出版教材清单，学习情况，并且可以进行各二级</w:t>
            </w:r>
            <w:r>
              <w:rPr>
                <w:rFonts w:hint="eastAsia" w:ascii="宋体" w:hAnsi="宋体" w:eastAsia="宋体" w:cs="宋体"/>
                <w:color w:val="auto"/>
                <w:kern w:val="2"/>
                <w:sz w:val="21"/>
                <w:szCs w:val="21"/>
                <w:highlight w:val="none"/>
                <w:lang w:val="en-US" w:eastAsia="zh-CN"/>
              </w:rPr>
              <w:t>学院</w:t>
            </w:r>
            <w:r>
              <w:rPr>
                <w:rFonts w:hint="eastAsia" w:ascii="宋体" w:hAnsi="宋体" w:eastAsia="宋体" w:cs="宋体"/>
                <w:color w:val="auto"/>
                <w:kern w:val="2"/>
                <w:sz w:val="21"/>
                <w:szCs w:val="21"/>
                <w:highlight w:val="none"/>
                <w:lang w:eastAsia="zh-CN"/>
              </w:rPr>
              <w:t>分类，快速检索每个二级学院教材建设数量（包含已出版教材和校本教材），学生学习数据等。</w:t>
            </w:r>
          </w:p>
          <w:p w14:paraId="60E824B9">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2．具备账号管理功能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提供统一管理制作中心的成员账号功能。支持管理员对账号进行增加、禁用；支持机构管理员在账号管理模块，通过在线编辑的方式和标准模版导入的方式，进行账号管理。</w:t>
            </w:r>
          </w:p>
          <w:p w14:paraId="50F9779A">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3．具备数字教材管理功能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提供统一管理制作中心的数字教材功能。支持</w:t>
            </w:r>
            <w:r>
              <w:rPr>
                <w:rFonts w:hint="eastAsia" w:ascii="宋体" w:hAnsi="宋体" w:eastAsia="宋体" w:cs="宋体"/>
                <w:color w:val="auto"/>
                <w:kern w:val="2"/>
                <w:sz w:val="21"/>
                <w:szCs w:val="21"/>
                <w:highlight w:val="none"/>
                <w:lang w:val="en-US" w:eastAsia="zh-CN"/>
              </w:rPr>
              <w:t>学校</w:t>
            </w:r>
            <w:r>
              <w:rPr>
                <w:rFonts w:hint="eastAsia" w:ascii="宋体" w:hAnsi="宋体" w:eastAsia="宋体" w:cs="宋体"/>
                <w:color w:val="auto"/>
                <w:kern w:val="2"/>
                <w:sz w:val="21"/>
                <w:szCs w:val="21"/>
                <w:highlight w:val="none"/>
                <w:lang w:eastAsia="zh-CN"/>
              </w:rPr>
              <w:t>管理员创建教材、</w:t>
            </w:r>
            <w:r>
              <w:rPr>
                <w:rFonts w:hint="eastAsia" w:ascii="宋体" w:hAnsi="宋体" w:eastAsia="宋体" w:cs="宋体"/>
                <w:color w:val="auto"/>
                <w:kern w:val="2"/>
                <w:sz w:val="21"/>
                <w:szCs w:val="21"/>
                <w:highlight w:val="none"/>
                <w:lang w:val="en-US" w:eastAsia="zh-CN"/>
              </w:rPr>
              <w:t>用户</w:t>
            </w:r>
            <w:r>
              <w:rPr>
                <w:rFonts w:hint="eastAsia" w:ascii="宋体" w:hAnsi="宋体" w:eastAsia="宋体" w:cs="宋体"/>
                <w:color w:val="auto"/>
                <w:kern w:val="2"/>
                <w:sz w:val="21"/>
                <w:szCs w:val="21"/>
                <w:highlight w:val="none"/>
                <w:lang w:eastAsia="zh-CN"/>
              </w:rPr>
              <w:t>，并</w:t>
            </w:r>
            <w:r>
              <w:rPr>
                <w:rFonts w:hint="eastAsia" w:ascii="宋体" w:hAnsi="宋体" w:eastAsia="宋体" w:cs="宋体"/>
                <w:color w:val="auto"/>
                <w:kern w:val="2"/>
                <w:sz w:val="21"/>
                <w:szCs w:val="21"/>
                <w:highlight w:val="none"/>
                <w:lang w:val="en-US" w:eastAsia="zh-CN"/>
              </w:rPr>
              <w:t>设置</w:t>
            </w:r>
            <w:r>
              <w:rPr>
                <w:rFonts w:hint="eastAsia" w:ascii="宋体" w:hAnsi="宋体" w:eastAsia="宋体" w:cs="宋体"/>
                <w:color w:val="auto"/>
                <w:kern w:val="2"/>
                <w:sz w:val="21"/>
                <w:szCs w:val="21"/>
                <w:highlight w:val="none"/>
                <w:lang w:eastAsia="zh-CN"/>
              </w:rPr>
              <w:t>编写人权限。</w:t>
            </w:r>
          </w:p>
          <w:p w14:paraId="21999798">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4．具备子机构管理功能</w:t>
            </w:r>
            <w:r>
              <w:rPr>
                <w:rFonts w:hint="eastAsia" w:ascii="宋体" w:hAnsi="宋体" w:eastAsia="宋体" w:cs="宋体"/>
                <w:b/>
                <w:bCs/>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eastAsia="zh-CN"/>
              </w:rPr>
              <w:t>可以创建二级</w:t>
            </w:r>
            <w:r>
              <w:rPr>
                <w:rFonts w:hint="eastAsia" w:ascii="宋体" w:hAnsi="宋体" w:eastAsia="宋体" w:cs="宋体"/>
                <w:b w:val="0"/>
                <w:bCs w:val="0"/>
                <w:color w:val="auto"/>
                <w:kern w:val="2"/>
                <w:sz w:val="21"/>
                <w:szCs w:val="21"/>
                <w:highlight w:val="none"/>
                <w:lang w:val="en-US" w:eastAsia="zh-CN"/>
              </w:rPr>
              <w:t>教学单位管理权限</w:t>
            </w:r>
            <w:r>
              <w:rPr>
                <w:rFonts w:hint="eastAsia" w:ascii="宋体" w:hAnsi="宋体" w:eastAsia="宋体" w:cs="宋体"/>
                <w:b w:val="0"/>
                <w:bCs w:val="0"/>
                <w:color w:val="auto"/>
                <w:kern w:val="2"/>
                <w:sz w:val="21"/>
                <w:szCs w:val="21"/>
                <w:highlight w:val="none"/>
                <w:lang w:eastAsia="zh-CN"/>
              </w:rPr>
              <w:t>，分配管理员、用户、教材等。</w:t>
            </w:r>
          </w:p>
          <w:p w14:paraId="74D0F419">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5．具备审核管理功能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创作者编写的内容需要经过服务编辑审核，审核通过之后才可以进行打包和发布。</w:t>
            </w:r>
          </w:p>
          <w:p w14:paraId="75AAB2A7">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6．流程跟踪及待办中心功能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eastAsia="zh-CN"/>
              </w:rPr>
              <w:t>支持查看教材在每个环节的审核情况，可以在流程跟踪模块查看；提供当前待办人转交待办的功能；发起人撤销审核流程。审核人可以以附件形式反馈审核意见。</w:t>
            </w:r>
          </w:p>
          <w:p w14:paraId="273371B5">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7．具备发布管理功能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提供统一发布、上架数字教材功能。</w:t>
            </w:r>
          </w:p>
          <w:p w14:paraId="6D649FC1">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8．具备教材推送功能</w:t>
            </w:r>
            <w:r>
              <w:rPr>
                <w:rFonts w:hint="eastAsia" w:ascii="宋体" w:hAnsi="宋体" w:eastAsia="宋体" w:cs="宋体"/>
                <w:b/>
                <w:bCs/>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eastAsia="zh-CN"/>
              </w:rPr>
              <w:t>将教材推送给教师、学生；可以按照班课推送、账号批量推送。</w:t>
            </w:r>
          </w:p>
          <w:p w14:paraId="1390A4D8">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9．具备教材复制功能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支持复制现有教材形成一本新的独立教材，以方便教材再版。</w:t>
            </w:r>
          </w:p>
          <w:p w14:paraId="3DC61E31">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10．具备丰富的数据分析功能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支持查看教材总数，编写中数量、已上架数量、已出版数量；全部使用学校数量、学生数、教师数；本校使用的学生数、教师数；本校使用的一些详细统计数据。以及每本数字教材的应用数据，至少包括：</w:t>
            </w:r>
          </w:p>
          <w:p w14:paraId="5CF242AC">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（1）使用学校数、学生数、教师数及本校学生、教师明细</w:t>
            </w:r>
          </w:p>
          <w:p w14:paraId="7989D3C8">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（2）全书学习汇总数据；</w:t>
            </w:r>
          </w:p>
          <w:p w14:paraId="25249B2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（3）每章每节的学习汇总数据；</w:t>
            </w:r>
          </w:p>
          <w:p w14:paraId="2A9FF22F">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（4）每个视频的学习汇总数据；</w:t>
            </w:r>
          </w:p>
          <w:p w14:paraId="1ED64DC6">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（5）每个测试练习的学习汇总数据。</w:t>
            </w:r>
          </w:p>
          <w:p w14:paraId="29B4149A">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11．具备完整的制作流程及技术规范</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提供数字教材制作质量规范体系，</w:t>
            </w:r>
            <w:r>
              <w:rPr>
                <w:rFonts w:hint="eastAsia" w:ascii="宋体" w:hAnsi="宋体" w:eastAsia="宋体" w:cs="宋体"/>
                <w:color w:val="auto"/>
                <w:kern w:val="2"/>
                <w:sz w:val="21"/>
                <w:szCs w:val="21"/>
                <w:highlight w:val="none"/>
                <w:lang w:val="en-US" w:eastAsia="zh-CN"/>
              </w:rPr>
              <w:t>保障</w:t>
            </w:r>
            <w:r>
              <w:rPr>
                <w:rFonts w:hint="eastAsia" w:ascii="宋体" w:hAnsi="宋体" w:eastAsia="宋体" w:cs="宋体"/>
                <w:color w:val="auto"/>
                <w:kern w:val="2"/>
                <w:sz w:val="21"/>
                <w:szCs w:val="21"/>
                <w:highlight w:val="none"/>
                <w:lang w:eastAsia="zh-CN"/>
              </w:rPr>
              <w:t>数字教材内容编写和制作开发工作的过程和产品质量规范化、标准化；制作质量规范体系中应包括有每个工作流程环节的质量规范要求、规范标准和岗位承担的职责和工作内容。</w:t>
            </w:r>
          </w:p>
          <w:p w14:paraId="0D7E4E99">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12．技术标准要求</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开发语言符合W3C规范（HTML5+CSS3+JavaScript）；内容可以根据用户阅读设备的特性，自动适配设备的阅读显示方式，实现数字教材开发制作一次打包跨平台发布。</w:t>
            </w:r>
          </w:p>
          <w:p w14:paraId="603C95F0">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2"/>
                <w:sz w:val="21"/>
                <w:szCs w:val="21"/>
                <w:highlight w:val="none"/>
                <w:lang w:eastAsia="zh-CN"/>
              </w:rPr>
              <w:t>13．成熟平台</w:t>
            </w:r>
            <w:r>
              <w:rPr>
                <w:rFonts w:hint="eastAsia" w:ascii="宋体" w:hAnsi="宋体" w:eastAsia="宋体" w:cs="宋体"/>
                <w:b/>
                <w:bCs/>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val="en-US" w:eastAsia="zh-CN"/>
              </w:rPr>
              <w:t>能链接供应商已建设并出版的、具有一定规模的数字教材书架或网上书城，能推荐获奖优秀数字教材</w:t>
            </w:r>
            <w:r>
              <w:rPr>
                <w:rFonts w:hint="eastAsia" w:ascii="宋体" w:hAnsi="宋体" w:eastAsia="宋体" w:cs="宋体"/>
                <w:b w:val="0"/>
                <w:bCs w:val="0"/>
                <w:color w:val="auto"/>
                <w:kern w:val="2"/>
                <w:sz w:val="21"/>
                <w:szCs w:val="21"/>
                <w:highlight w:val="none"/>
                <w:lang w:eastAsia="zh-CN"/>
              </w:rPr>
              <w:t>。</w:t>
            </w:r>
          </w:p>
        </w:tc>
        <w:tc>
          <w:tcPr>
            <w:tcW w:w="1230" w:type="dxa"/>
            <w:noWrap w:val="0"/>
            <w:vAlign w:val="center"/>
          </w:tcPr>
          <w:p w14:paraId="5565B99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1套</w:t>
            </w:r>
          </w:p>
        </w:tc>
        <w:tc>
          <w:tcPr>
            <w:tcW w:w="660" w:type="dxa"/>
            <w:noWrap w:val="0"/>
            <w:vAlign w:val="center"/>
          </w:tcPr>
          <w:p w14:paraId="0ABFF573">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3DBE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78" w:type="dxa"/>
            <w:vMerge w:val="continue"/>
            <w:noWrap w:val="0"/>
            <w:vAlign w:val="center"/>
          </w:tcPr>
          <w:p w14:paraId="7392FA8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vMerge w:val="continue"/>
            <w:noWrap w:val="0"/>
            <w:vAlign w:val="center"/>
          </w:tcPr>
          <w:p w14:paraId="09576AE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6923559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数字教材编辑器</w:t>
            </w:r>
          </w:p>
        </w:tc>
        <w:tc>
          <w:tcPr>
            <w:tcW w:w="9450" w:type="dxa"/>
            <w:noWrap w:val="0"/>
            <w:vAlign w:val="center"/>
          </w:tcPr>
          <w:p w14:paraId="0008CC41">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1．具备一次打包跨平台跨终端自适应</w:t>
            </w:r>
            <w:r>
              <w:rPr>
                <w:rFonts w:hint="eastAsia" w:ascii="宋体" w:hAnsi="宋体" w:eastAsia="宋体" w:cs="宋体"/>
                <w:b/>
                <w:bCs/>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eastAsia="zh-CN"/>
              </w:rPr>
              <w:t>具有适用于Android系统、iOS系统、Windows桌面系统</w:t>
            </w:r>
            <w:r>
              <w:rPr>
                <w:rFonts w:hint="eastAsia" w:ascii="宋体" w:hAnsi="宋体" w:eastAsia="宋体" w:cs="宋体"/>
                <w:b w:val="0"/>
                <w:bCs w:val="0"/>
                <w:color w:val="auto"/>
                <w:kern w:val="2"/>
                <w:sz w:val="21"/>
                <w:szCs w:val="21"/>
                <w:highlight w:val="none"/>
                <w:lang w:val="en-US" w:eastAsia="zh-CN"/>
              </w:rPr>
              <w:t>等多系统的</w:t>
            </w:r>
            <w:r>
              <w:rPr>
                <w:rFonts w:hint="eastAsia" w:ascii="宋体" w:hAnsi="宋体" w:eastAsia="宋体" w:cs="宋体"/>
                <w:b w:val="0"/>
                <w:bCs w:val="0"/>
                <w:color w:val="auto"/>
                <w:kern w:val="2"/>
                <w:sz w:val="21"/>
                <w:szCs w:val="21"/>
                <w:highlight w:val="none"/>
                <w:lang w:eastAsia="zh-CN"/>
              </w:rPr>
              <w:t>应用客户端，</w:t>
            </w:r>
            <w:r>
              <w:rPr>
                <w:rFonts w:hint="eastAsia" w:ascii="宋体" w:hAnsi="宋体" w:eastAsia="宋体" w:cs="宋体"/>
                <w:b w:val="0"/>
                <w:bCs w:val="0"/>
                <w:color w:val="auto"/>
                <w:kern w:val="2"/>
                <w:sz w:val="21"/>
                <w:szCs w:val="21"/>
                <w:highlight w:val="none"/>
                <w:lang w:val="en-US" w:eastAsia="zh-CN"/>
              </w:rPr>
              <w:t>且在桌面电脑、</w:t>
            </w:r>
            <w:r>
              <w:rPr>
                <w:rFonts w:hint="eastAsia" w:ascii="宋体" w:hAnsi="宋体" w:eastAsia="宋体" w:cs="宋体"/>
                <w:b w:val="0"/>
                <w:bCs w:val="0"/>
                <w:color w:val="auto"/>
                <w:kern w:val="2"/>
                <w:sz w:val="21"/>
                <w:szCs w:val="21"/>
                <w:highlight w:val="none"/>
                <w:lang w:eastAsia="zh-CN"/>
              </w:rPr>
              <w:t>手机、平板电脑</w:t>
            </w:r>
            <w:r>
              <w:rPr>
                <w:rFonts w:hint="eastAsia" w:ascii="宋体" w:hAnsi="宋体" w:eastAsia="宋体" w:cs="宋体"/>
                <w:b w:val="0"/>
                <w:bCs w:val="0"/>
                <w:color w:val="auto"/>
                <w:kern w:val="2"/>
                <w:sz w:val="21"/>
                <w:szCs w:val="21"/>
                <w:highlight w:val="none"/>
                <w:lang w:val="en-US" w:eastAsia="zh-CN"/>
              </w:rPr>
              <w:t>等多</w:t>
            </w:r>
            <w:r>
              <w:rPr>
                <w:rFonts w:hint="eastAsia" w:ascii="宋体" w:hAnsi="宋体" w:eastAsia="宋体" w:cs="宋体"/>
                <w:b w:val="0"/>
                <w:bCs w:val="0"/>
                <w:color w:val="auto"/>
                <w:kern w:val="2"/>
                <w:sz w:val="21"/>
                <w:szCs w:val="21"/>
                <w:highlight w:val="none"/>
                <w:lang w:eastAsia="zh-CN"/>
              </w:rPr>
              <w:t>屏幕自适应。</w:t>
            </w:r>
          </w:p>
          <w:p w14:paraId="16E1C8D4">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2．具备插入各种富媒体内容和交互练习组件</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具备在教材中插入视频、音频、画廊、单张图片、公式、3D模型、扩展阅读等，可以插入单选、多选、填空、简答题、排序题、连线题</w:t>
            </w:r>
            <w:r>
              <w:rPr>
                <w:rFonts w:hint="eastAsia" w:ascii="宋体" w:hAnsi="宋体" w:eastAsia="宋体" w:cs="宋体"/>
                <w:color w:val="auto"/>
                <w:kern w:val="2"/>
                <w:sz w:val="21"/>
                <w:szCs w:val="21"/>
                <w:highlight w:val="none"/>
                <w:lang w:val="en-US" w:eastAsia="zh-CN"/>
              </w:rPr>
              <w:t>等。</w:t>
            </w:r>
          </w:p>
          <w:p w14:paraId="4DD33934">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3．智能识别大段文本的题干和选项</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编写测试题目时可以根据输入的大段文本进行自动解析题干、选项以及问题解析。</w:t>
            </w:r>
          </w:p>
          <w:p w14:paraId="09FD4A23">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4．具备矢量公式功能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至少具备以LaTeX和MathType两种方式录入公式。</w:t>
            </w:r>
          </w:p>
          <w:p w14:paraId="137C68C8">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5．具备图片裁剪和缩放功能</w:t>
            </w:r>
          </w:p>
          <w:p w14:paraId="6757604B">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6．具备更换教材设计模板功能</w:t>
            </w:r>
          </w:p>
          <w:p w14:paraId="2B253C0D">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支持在编写过程中更换样式模版，不少于3种颜色样式。</w:t>
            </w:r>
          </w:p>
          <w:p w14:paraId="5C68F095">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7．具备图片、表格自动题注编号功能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对插入的图片、表格进行自动题注编号；可以选择编号的标签；可以选择编号规则：包含章序号、包含章节双重序号。</w:t>
            </w:r>
          </w:p>
          <w:p w14:paraId="02EBB909">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8．具备预览功能</w:t>
            </w:r>
          </w:p>
          <w:p w14:paraId="2E7F29F2">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编辑器可以按手机、平板、电脑多种模式预览数字教材编写的内容，包括预览多媒体资源和交互体验预览。</w:t>
            </w:r>
          </w:p>
          <w:p w14:paraId="5A05AD9F">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9．数据统计功能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编辑器中可以统计教材内容中的文字、图片、音频、视频以及其他交互组件数量，并且支持统计数据导出功能；支持应用数据查看及导出功能；</w:t>
            </w:r>
          </w:p>
          <w:p w14:paraId="39C3556B">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10．具备数字教材发布功能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编辑完的数字教材能发布到数字教材公共服务平台以供读者选用。数字教材内容要求加密打包，保护机构和作者权益。</w:t>
            </w:r>
          </w:p>
          <w:p w14:paraId="695D94AD">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11．具备数字教材推送班课功能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支持编辑器中编写的数字教材发布后，推送到编写团队成员的班课里；支持按照用户账号推送。</w:t>
            </w:r>
          </w:p>
          <w:p w14:paraId="3B4CADBD">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12．具备查看及处理用户反馈功能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用户阅读学习教材的时候，如果发现教材中的内容存在错误、偏差、不准确等，可以在学习端发起反馈；主编可以在编辑器查看反馈内容以及进行处理。</w:t>
            </w:r>
          </w:p>
          <w:p w14:paraId="5110A04C">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13．内容安全自动审核功能</w:t>
            </w:r>
          </w:p>
          <w:p w14:paraId="268D736E">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eastAsia="zh-CN"/>
              </w:rPr>
              <w:t>采用大数据与人工智能技术对教材中的文字、图像、视频、音频等内容进行自动安全审核，作为辅助筛查手段，可快速识别潜在风险、提示需关注的内容项，但自动审核结果仅供参考，不能完全替代人工审核。对于自动审核提示风险或不确定的内容，须由具备资质的人员进行人工复核确认，确保教材内容全面符合相关法律法规及意识形态要求。</w:t>
            </w:r>
          </w:p>
          <w:p w14:paraId="67E7B3F6">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14．具备3D功能</w:t>
            </w:r>
            <w:r>
              <w:rPr>
                <w:rFonts w:hint="eastAsia" w:ascii="宋体" w:hAnsi="宋体" w:eastAsia="宋体" w:cs="宋体"/>
                <w:b/>
                <w:bCs/>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eastAsia="zh-CN"/>
              </w:rPr>
              <w:t>平台具备3D模型学习内容嵌入和沉浸式学习体验。</w:t>
            </w:r>
          </w:p>
          <w:p w14:paraId="7B8F5E22">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kern w:val="2"/>
                <w:sz w:val="21"/>
                <w:szCs w:val="21"/>
                <w:highlight w:val="none"/>
                <w:lang w:eastAsia="zh-CN"/>
              </w:rPr>
              <w:t>15．具备丰富的二次交互优化组件库</w:t>
            </w:r>
            <w:r>
              <w:rPr>
                <w:rFonts w:hint="eastAsia" w:ascii="宋体" w:hAnsi="宋体" w:eastAsia="宋体" w:cs="宋体"/>
                <w:b/>
                <w:bCs/>
                <w:color w:val="auto"/>
                <w:kern w:val="2"/>
                <w:sz w:val="21"/>
                <w:szCs w:val="21"/>
                <w:highlight w:val="none"/>
                <w:lang w:eastAsia="zh-CN"/>
              </w:rPr>
              <w:br w:type="textWrapping"/>
            </w:r>
            <w:r>
              <w:rPr>
                <w:rFonts w:hint="eastAsia" w:ascii="宋体" w:hAnsi="宋体" w:eastAsia="宋体" w:cs="宋体"/>
                <w:color w:val="auto"/>
                <w:sz w:val="21"/>
                <w:szCs w:val="21"/>
                <w:highlight w:val="none"/>
                <w:lang w:eastAsia="zh-CN"/>
              </w:rPr>
              <w:t>提供丰富的交互测试和交互练习模版组件，</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每个交互组件能够在平板、手机和电脑上完全适配运行，并交互组件库具备持续更新能力。</w:t>
            </w:r>
          </w:p>
          <w:p w14:paraId="2B14D8C1">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16．具备丰富的二次优化设计模板库</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提供丰富的版式设计模版，可以根据自己数字教材的专业、种类、风格选择模板库中的模版，并支持选择多种模板从中抽取组件样式进行新模板组合功能，版式设计模板库数量</w:t>
            </w:r>
            <w:r>
              <w:rPr>
                <w:rFonts w:hint="eastAsia" w:ascii="宋体" w:hAnsi="宋体" w:eastAsia="宋体" w:cs="宋体"/>
                <w:color w:val="auto"/>
                <w:kern w:val="2"/>
                <w:sz w:val="21"/>
                <w:szCs w:val="21"/>
                <w:highlight w:val="none"/>
                <w:lang w:val="en-US" w:eastAsia="zh-CN"/>
              </w:rPr>
              <w:t>不少于200</w:t>
            </w:r>
            <w:r>
              <w:rPr>
                <w:rFonts w:hint="eastAsia" w:ascii="宋体" w:hAnsi="宋体" w:eastAsia="宋体" w:cs="宋体"/>
                <w:color w:val="auto"/>
                <w:kern w:val="2"/>
                <w:sz w:val="21"/>
                <w:szCs w:val="21"/>
                <w:highlight w:val="none"/>
                <w:lang w:eastAsia="zh-CN"/>
              </w:rPr>
              <w:t>套，并</w:t>
            </w:r>
            <w:r>
              <w:rPr>
                <w:rFonts w:hint="eastAsia" w:ascii="宋体" w:hAnsi="宋体" w:eastAsia="宋体" w:cs="宋体"/>
                <w:color w:val="auto"/>
                <w:kern w:val="2"/>
                <w:sz w:val="21"/>
                <w:szCs w:val="21"/>
                <w:highlight w:val="none"/>
                <w:lang w:val="en-US" w:eastAsia="zh-CN"/>
              </w:rPr>
              <w:t>能持续</w:t>
            </w:r>
            <w:r>
              <w:rPr>
                <w:rFonts w:hint="eastAsia" w:ascii="宋体" w:hAnsi="宋体" w:eastAsia="宋体" w:cs="宋体"/>
                <w:color w:val="auto"/>
                <w:kern w:val="2"/>
                <w:sz w:val="21"/>
                <w:szCs w:val="21"/>
                <w:highlight w:val="none"/>
                <w:lang w:eastAsia="zh-CN"/>
              </w:rPr>
              <w:t>更新。</w:t>
            </w:r>
          </w:p>
          <w:p w14:paraId="2358ED91">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17．AI智能辅助编写功能</w:t>
            </w:r>
          </w:p>
          <w:p w14:paraId="06B0F204">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eastAsia="zh-CN"/>
              </w:rPr>
              <w:t>可以通过输入关键信息，AI智能辅助编写文字内容。支持全网搜索和深度思考两种搜索模式；支持表格的插入，生成及在线编辑功能；兼容LaTex公式。</w:t>
            </w:r>
          </w:p>
          <w:p w14:paraId="3C6A4692">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18.AI智能校对功能</w:t>
            </w:r>
          </w:p>
          <w:p w14:paraId="07772A42">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eastAsia="zh-CN"/>
              </w:rPr>
              <w:t>对</w:t>
            </w:r>
            <w:r>
              <w:rPr>
                <w:rFonts w:hint="eastAsia" w:ascii="宋体" w:hAnsi="宋体" w:eastAsia="宋体" w:cs="宋体"/>
                <w:b w:val="0"/>
                <w:bCs w:val="0"/>
                <w:color w:val="auto"/>
                <w:kern w:val="2"/>
                <w:sz w:val="21"/>
                <w:szCs w:val="21"/>
                <w:highlight w:val="none"/>
                <w:lang w:val="en-US" w:eastAsia="zh-CN"/>
              </w:rPr>
              <w:t>教材作者</w:t>
            </w:r>
            <w:r>
              <w:rPr>
                <w:rFonts w:hint="eastAsia" w:ascii="宋体" w:hAnsi="宋体" w:eastAsia="宋体" w:cs="宋体"/>
                <w:b w:val="0"/>
                <w:bCs w:val="0"/>
                <w:color w:val="auto"/>
                <w:kern w:val="2"/>
                <w:sz w:val="21"/>
                <w:szCs w:val="21"/>
                <w:highlight w:val="none"/>
                <w:lang w:eastAsia="zh-CN"/>
              </w:rPr>
              <w:t>编写的文字内容进行智能校对，包括错别字、专有名词、语法、标点符号等，并且可以给出修改建议。</w:t>
            </w:r>
          </w:p>
          <w:p w14:paraId="4262A475">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19．支持知识图谱功能</w:t>
            </w:r>
          </w:p>
          <w:p w14:paraId="73F4C804">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支持知识图谱插入、知识单元插入、知识点插入，知识图谱</w:t>
            </w:r>
            <w:r>
              <w:rPr>
                <w:rFonts w:hint="eastAsia" w:ascii="宋体" w:hAnsi="宋体" w:eastAsia="宋体" w:cs="宋体"/>
                <w:color w:val="auto"/>
                <w:kern w:val="2"/>
                <w:sz w:val="21"/>
                <w:szCs w:val="21"/>
                <w:highlight w:val="none"/>
                <w:lang w:val="en-US" w:eastAsia="zh-CN"/>
              </w:rPr>
              <w:t>至少</w:t>
            </w:r>
            <w:r>
              <w:rPr>
                <w:rFonts w:hint="eastAsia" w:ascii="宋体" w:hAnsi="宋体" w:eastAsia="宋体" w:cs="宋体"/>
                <w:color w:val="auto"/>
                <w:kern w:val="2"/>
                <w:sz w:val="21"/>
                <w:szCs w:val="21"/>
                <w:highlight w:val="none"/>
                <w:lang w:eastAsia="zh-CN"/>
              </w:rPr>
              <w:t>具有</w:t>
            </w:r>
            <w:r>
              <w:rPr>
                <w:rFonts w:hint="eastAsia" w:ascii="宋体" w:hAnsi="宋体" w:eastAsia="宋体" w:cs="宋体"/>
                <w:color w:val="auto"/>
                <w:kern w:val="2"/>
                <w:sz w:val="21"/>
                <w:szCs w:val="21"/>
                <w:highlight w:val="none"/>
                <w:lang w:val="en-US" w:eastAsia="zh-CN"/>
              </w:rPr>
              <w:t>树型</w:t>
            </w:r>
            <w:r>
              <w:rPr>
                <w:rFonts w:hint="eastAsia" w:ascii="宋体" w:hAnsi="宋体" w:eastAsia="宋体" w:cs="宋体"/>
                <w:color w:val="auto"/>
                <w:kern w:val="2"/>
                <w:sz w:val="21"/>
                <w:szCs w:val="21"/>
                <w:highlight w:val="none"/>
                <w:lang w:eastAsia="zh-CN"/>
              </w:rPr>
              <w:t>和关系图两种呈现方式。</w:t>
            </w:r>
            <w:r>
              <w:rPr>
                <w:rFonts w:hint="eastAsia" w:ascii="宋体" w:hAnsi="宋体" w:eastAsia="宋体" w:cs="宋体"/>
                <w:color w:val="auto"/>
                <w:kern w:val="2"/>
                <w:sz w:val="21"/>
                <w:szCs w:val="21"/>
                <w:highlight w:val="none"/>
                <w:lang w:val="en-US" w:eastAsia="zh-CN"/>
              </w:rPr>
              <w:t>能</w:t>
            </w:r>
            <w:r>
              <w:rPr>
                <w:rFonts w:hint="eastAsia" w:ascii="宋体" w:hAnsi="宋体" w:eastAsia="宋体" w:cs="宋体"/>
                <w:color w:val="auto"/>
                <w:kern w:val="2"/>
                <w:sz w:val="21"/>
                <w:szCs w:val="21"/>
                <w:highlight w:val="none"/>
                <w:lang w:eastAsia="zh-CN"/>
              </w:rPr>
              <w:t>从图谱快速定位到教材相关内容，也可以直接在图谱中展开学习。具有知识图谱统计报告，可以统计知识图谱学习时长。</w:t>
            </w:r>
          </w:p>
          <w:p w14:paraId="3C2FC5F4">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20.具备word导入功能：</w:t>
            </w:r>
          </w:p>
          <w:p w14:paraId="50DBB6CB">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eastAsia="zh-CN"/>
              </w:rPr>
              <w:t>具备word导入功能，先在word里编写教材内容，然后一键导入，包括导入公式、图标和图片等。</w:t>
            </w:r>
          </w:p>
          <w:p w14:paraId="0A6DEC98">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21.支持AI智能生图功能</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平台支持创意描述，支持描述润色，根据描述内容进行智能生图，AI自动生成插图和配图，生成图片支持选择1024*768和1080*1920等图片尺寸，图片风格包含。通用写实、卡通手绘、3D等风格。</w:t>
            </w:r>
          </w:p>
          <w:p w14:paraId="48D96073">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22.支持AI图片增强功能</w:t>
            </w:r>
            <w:r>
              <w:rPr>
                <w:rFonts w:hint="eastAsia" w:ascii="宋体" w:hAnsi="宋体" w:eastAsia="宋体" w:cs="宋体"/>
                <w:b w:val="0"/>
                <w:bCs w:val="0"/>
                <w:color w:val="auto"/>
                <w:kern w:val="2"/>
                <w:sz w:val="21"/>
                <w:szCs w:val="21"/>
                <w:highlight w:val="none"/>
                <w:lang w:eastAsia="zh-CN"/>
              </w:rPr>
              <w:br w:type="textWrapping"/>
            </w:r>
            <w:r>
              <w:rPr>
                <w:rFonts w:hint="eastAsia" w:ascii="宋体" w:hAnsi="宋体" w:eastAsia="宋体" w:cs="宋体"/>
                <w:b w:val="0"/>
                <w:bCs w:val="0"/>
                <w:color w:val="auto"/>
                <w:kern w:val="2"/>
                <w:sz w:val="21"/>
                <w:szCs w:val="21"/>
                <w:highlight w:val="none"/>
                <w:lang w:eastAsia="zh-CN"/>
              </w:rPr>
              <w:t>支持 jpeg、jpg、png 格式文件，AI自动将模糊的示例图片处理为清晰图片，增强图片会以版式图形式插入到教材内容中。</w:t>
            </w:r>
          </w:p>
          <w:p w14:paraId="0E3F645E">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23.具备AI客服功能</w:t>
            </w:r>
          </w:p>
          <w:p w14:paraId="43F18F99">
            <w:pPr>
              <w:pStyle w:val="4"/>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kern w:val="2"/>
                <w:sz w:val="21"/>
                <w:szCs w:val="21"/>
                <w:highlight w:val="none"/>
                <w:lang w:eastAsia="zh-CN"/>
              </w:rPr>
            </w:pPr>
            <w:r>
              <w:rPr>
                <w:rFonts w:hint="eastAsia" w:ascii="宋体" w:hAnsi="宋体" w:eastAsia="宋体" w:cs="宋体"/>
                <w:color w:val="auto"/>
                <w:sz w:val="21"/>
                <w:szCs w:val="21"/>
                <w:highlight w:val="none"/>
                <w:lang w:eastAsia="zh-CN"/>
              </w:rPr>
              <w:t>在数字教材创作过程中遇到各种问题，可随时向AI客服提问，获得即时反馈和相关问题推荐。</w:t>
            </w:r>
          </w:p>
          <w:p w14:paraId="222E35AC">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eastAsia="zh-CN"/>
              </w:rPr>
              <w:t>24.</w:t>
            </w:r>
            <w:r>
              <w:rPr>
                <w:rFonts w:hint="eastAsia" w:ascii="宋体" w:hAnsi="宋体" w:eastAsia="宋体" w:cs="宋体"/>
                <w:b/>
                <w:bCs/>
                <w:color w:val="auto"/>
                <w:sz w:val="21"/>
                <w:szCs w:val="21"/>
                <w:highlight w:val="none"/>
                <w:lang w:eastAsia="zh-CN"/>
              </w:rPr>
              <w:t>知谱数字教材具备文献查询功能</w:t>
            </w:r>
          </w:p>
          <w:p w14:paraId="0BF7D5C9">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支持按知识点、文献标题、作者和关键词检索，为教材编写者提供参考资源与灵感来源。</w:t>
            </w:r>
          </w:p>
          <w:p w14:paraId="2012F119">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25.支持插入思维导图</w:t>
            </w:r>
          </w:p>
          <w:p w14:paraId="0EEA1A54">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支持插入思维导图，每个思维导图的节点可以链接跳转到数字教材的正文标题，思维导图支持丰富的形式和格式设置。</w:t>
            </w:r>
          </w:p>
          <w:p w14:paraId="3BA997A1">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eastAsia="zh-CN"/>
              </w:rPr>
              <w:t>26</w:t>
            </w:r>
            <w:r>
              <w:rPr>
                <w:rFonts w:hint="eastAsia" w:ascii="宋体" w:hAnsi="宋体" w:eastAsia="宋体" w:cs="宋体"/>
                <w:b/>
                <w:bCs/>
                <w:color w:val="auto"/>
                <w:sz w:val="21"/>
                <w:szCs w:val="21"/>
                <w:highlight w:val="none"/>
                <w:lang w:val="en-US" w:eastAsia="zh-CN"/>
              </w:rPr>
              <w:t>.具有</w:t>
            </w:r>
            <w:r>
              <w:rPr>
                <w:rFonts w:hint="eastAsia" w:ascii="宋体" w:hAnsi="宋体" w:eastAsia="宋体" w:cs="宋体"/>
                <w:b/>
                <w:bCs/>
                <w:color w:val="auto"/>
                <w:sz w:val="21"/>
                <w:szCs w:val="21"/>
                <w:highlight w:val="none"/>
                <w:lang w:eastAsia="zh-CN"/>
              </w:rPr>
              <w:t>丰富的学科素材库</w:t>
            </w:r>
          </w:p>
          <w:p w14:paraId="5252E1EC">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val="0"/>
                <w:bCs w:val="0"/>
                <w:color w:val="auto"/>
                <w:sz w:val="21"/>
                <w:szCs w:val="21"/>
                <w:highlight w:val="none"/>
                <w:lang w:eastAsia="zh-CN"/>
              </w:rPr>
              <w:t>能够提供丰富的学科素材库，</w:t>
            </w:r>
            <w:r>
              <w:rPr>
                <w:rFonts w:hint="eastAsia" w:ascii="宋体" w:hAnsi="宋体" w:eastAsia="宋体" w:cs="宋体"/>
                <w:b w:val="0"/>
                <w:bCs w:val="0"/>
                <w:color w:val="auto"/>
                <w:sz w:val="21"/>
                <w:szCs w:val="21"/>
                <w:highlight w:val="none"/>
                <w:lang w:val="en-US" w:eastAsia="zh-CN"/>
              </w:rPr>
              <w:t>且</w:t>
            </w:r>
            <w:r>
              <w:rPr>
                <w:rFonts w:hint="eastAsia" w:ascii="宋体" w:hAnsi="宋体" w:eastAsia="宋体" w:cs="宋体"/>
                <w:b w:val="0"/>
                <w:bCs w:val="0"/>
                <w:color w:val="auto"/>
                <w:sz w:val="21"/>
                <w:szCs w:val="21"/>
                <w:highlight w:val="none"/>
                <w:lang w:eastAsia="zh-CN"/>
              </w:rPr>
              <w:t>具有版权原创的相关授权；</w:t>
            </w:r>
            <w:r>
              <w:rPr>
                <w:rFonts w:hint="eastAsia" w:ascii="宋体" w:hAnsi="宋体" w:eastAsia="宋体" w:cs="宋体"/>
                <w:b w:val="0"/>
                <w:bCs w:val="0"/>
                <w:color w:val="auto"/>
                <w:sz w:val="21"/>
                <w:szCs w:val="21"/>
                <w:highlight w:val="none"/>
                <w:lang w:val="en-US" w:eastAsia="zh-CN"/>
              </w:rPr>
              <w:t>素材库</w:t>
            </w:r>
            <w:r>
              <w:rPr>
                <w:rFonts w:hint="eastAsia" w:ascii="宋体" w:hAnsi="宋体" w:eastAsia="宋体" w:cs="宋体"/>
                <w:b w:val="0"/>
                <w:bCs w:val="0"/>
                <w:color w:val="auto"/>
                <w:sz w:val="21"/>
                <w:szCs w:val="21"/>
                <w:highlight w:val="none"/>
                <w:lang w:eastAsia="zh-CN"/>
              </w:rPr>
              <w:t>覆盖学科不少于18个，原创图片不少于1.5万张，视频不少于4000个。</w:t>
            </w:r>
          </w:p>
        </w:tc>
        <w:tc>
          <w:tcPr>
            <w:tcW w:w="1230" w:type="dxa"/>
            <w:noWrap w:val="0"/>
            <w:vAlign w:val="center"/>
          </w:tcPr>
          <w:p w14:paraId="1CD5E73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1套</w:t>
            </w:r>
          </w:p>
        </w:tc>
        <w:tc>
          <w:tcPr>
            <w:tcW w:w="660" w:type="dxa"/>
            <w:noWrap w:val="0"/>
            <w:vAlign w:val="center"/>
          </w:tcPr>
          <w:p w14:paraId="5DC21C59">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6F8B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noWrap w:val="0"/>
            <w:vAlign w:val="center"/>
          </w:tcPr>
          <w:p w14:paraId="2DE953A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vMerge w:val="continue"/>
            <w:noWrap w:val="0"/>
            <w:vAlign w:val="center"/>
          </w:tcPr>
          <w:p w14:paraId="70AECFC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299C77C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数字教材学习与应用系统</w:t>
            </w:r>
          </w:p>
        </w:tc>
        <w:tc>
          <w:tcPr>
            <w:tcW w:w="9450" w:type="dxa"/>
            <w:noWrap w:val="0"/>
            <w:vAlign w:val="center"/>
          </w:tcPr>
          <w:p w14:paraId="20B6E16D">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1．具备一次打包跨平台跨终端自适应</w:t>
            </w:r>
          </w:p>
          <w:p w14:paraId="394A610C">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具有适用于Android系统、iOS系统、Windows桌面系统等多系统的应用客户端，且在桌面电脑、手机、平板电脑等多屏幕自适应。</w:t>
            </w:r>
          </w:p>
          <w:p w14:paraId="3D4AC3CF">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2．具备教材下载、更新和删除功能</w:t>
            </w:r>
          </w:p>
          <w:p w14:paraId="5EC7FD83">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支持数字教材按需进行下载、更新及删除。</w:t>
            </w:r>
          </w:p>
          <w:p w14:paraId="405B6BAF">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3．基本学习功能</w:t>
            </w:r>
          </w:p>
          <w:p w14:paraId="33958BAD">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数字教材的混合媒体一体化编排设计的阅读和浏览，支持文字、图片、画廊、语音、视频、音频、3D在一个场景里沉浸式学习；支持流式排版的上下滑动、翻页；支持字号大小调整；支持按照关键字查找教材内容；支持按照章节目录索引、按照页码定位。</w:t>
            </w:r>
          </w:p>
          <w:p w14:paraId="723BB97D">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4．素材库功能</w:t>
            </w:r>
          </w:p>
          <w:p w14:paraId="5153F3B1">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备素材库功能，将教材中的所有图片、音频、视频、动画、3D、交互组件等都汇聚在素材库中，允许读者在教材页面的系统化学习和素材库的快捷碎片化学习中切换，所有图片、音频、视频、动画、3D交互组件等都可以直接点击学习或扩展到云端教材配套素材库中学习。</w:t>
            </w:r>
          </w:p>
          <w:p w14:paraId="66FEF3CB">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▲5．交互学习功能</w:t>
            </w:r>
          </w:p>
          <w:p w14:paraId="77C52ED1">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具备阅读数字教材的交互学习点，学、练、测在一个场景里完成，具体的交互学习点包括：</w:t>
            </w:r>
          </w:p>
          <w:p w14:paraId="203F573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（1）知识点气泡：读者点击知识点，会弹出扩展解释，点击百度图标还会跳转到百度百科页面，得到对知识点更深入的讲解；</w:t>
            </w:r>
          </w:p>
          <w:p w14:paraId="1976DE7E">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（2）地理位置交互:选定地理位置或地名，显示电子地图，弹出地图索引后，地图可以放大或缩小；</w:t>
            </w:r>
          </w:p>
          <w:p w14:paraId="4A7C382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（3）图形互动:能够在一个图片上进行人机交互式学习；</w:t>
            </w:r>
          </w:p>
          <w:p w14:paraId="6F05FE42">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（4）交互组件：平台具有解析阅读大量趣味化、游戏化、情景化的交互测试、交互学习、交互游戏组件的能力。</w:t>
            </w:r>
          </w:p>
          <w:p w14:paraId="318D3E1C">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▲6．批注和笔记功能</w:t>
            </w:r>
          </w:p>
          <w:p w14:paraId="6869ACF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（1）在教材中对任意文字进行高亮标注，高亮可以选择颜色；</w:t>
            </w:r>
          </w:p>
          <w:p w14:paraId="4A93D71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（2）在教材中选择位置记录笔记，同时记录批注或笔记的时间和位置；</w:t>
            </w:r>
          </w:p>
          <w:p w14:paraId="56082545">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（3）在手机版、平板电脑版客户端中支持创建语音笔记，创建图片、照片笔记，创建语音、图片、文字的混合笔记；</w:t>
            </w:r>
          </w:p>
          <w:p w14:paraId="51A39C4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（4）笔记标注选择设置私有或公开，私有为仅自己可见，公开则可以让学习同本教材的学生、教师都能看到；</w:t>
            </w:r>
          </w:p>
          <w:p w14:paraId="08E90421">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（5）笔记标注管理，管理自己笔记，查看授课教师标注的学习重点、同班同学的笔记和全国学习者分享的笔记；</w:t>
            </w:r>
          </w:p>
          <w:p w14:paraId="4A885FD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（6）所有高亮和笔记可以统一索引管理，点击每个高亮和笔记可以定位到图书章节的相应位置。</w:t>
            </w:r>
          </w:p>
          <w:p w14:paraId="17CE6C0A">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7．书签功能</w:t>
            </w:r>
          </w:p>
          <w:p w14:paraId="5475854C">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随时记录学习进度，标注书签，并可通过书签快速定位学习位置。</w:t>
            </w:r>
          </w:p>
          <w:p w14:paraId="174D57A4">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8．全文检索功能</w:t>
            </w:r>
          </w:p>
          <w:p w14:paraId="1B232A64">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支持全文所有章节的文字搜索和定位。</w:t>
            </w:r>
          </w:p>
          <w:p w14:paraId="2EF69425">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9．页码快速定位功能</w:t>
            </w:r>
          </w:p>
          <w:p w14:paraId="68BE5DC1">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支持与纸质教材对应的页码快速定位功能，可以快速翻到指定页码。</w:t>
            </w:r>
          </w:p>
          <w:p w14:paraId="26FBE7A6">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10．全文百科字典功能</w:t>
            </w:r>
          </w:p>
          <w:p w14:paraId="051F4753">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可以选定全文中任意一个名词、术语、概念、人物、事件、知识点等到百度百科中扩展查阅学习。</w:t>
            </w:r>
          </w:p>
          <w:p w14:paraId="1B751AE6">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11．学习跳转功能</w:t>
            </w:r>
          </w:p>
          <w:p w14:paraId="28EFEBEF">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学习过程中可以依据知识点索引，快速转引到某个位置，学习后可以返回原位置。</w:t>
            </w:r>
          </w:p>
          <w:p w14:paraId="38208AD6">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12．讨论功能</w:t>
            </w:r>
          </w:p>
          <w:p w14:paraId="1AFE274F">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能发起讨论，邀请同学、老师、周边的人来共同讨论学习，支持问题回复和点赞功能，支持讨论删除功能，支持按照教材章节查找讨论功能，支持看全部讨论和只看自己的讨论功能，具有完善的社交对话功能。</w:t>
            </w:r>
          </w:p>
          <w:p w14:paraId="21530708">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13．学习行为记录功能</w:t>
            </w:r>
          </w:p>
          <w:p w14:paraId="675A01A6">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备教材学习行为记录功能，学生每一次学习行为都会被详细记录，包括学习进度（每一章节学习的总学习进度/总学习时长数据及每一章节的学习时长和百分比进度）、标注（学生在本教材上所有的标注和笔记）、视频（视频学习总时长和已经观看视频的百分比进度）、练习（教材中交互练习的结果）、知识图谱和AI学习报告。所有学习行为记录会在网络环境具备的时候自动同步到云端保存。支持在电脑客户端导出学习任务数据，支持下载数据报告。</w:t>
            </w:r>
          </w:p>
          <w:p w14:paraId="14AD0030">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▲14．反馈功能</w:t>
            </w:r>
          </w:p>
          <w:p w14:paraId="7ADB4BCE">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在数字教材app中，学习者在学习过程中就内容的正确性、有效性等，向创作者反馈。例如：内容错误、错别字等，可提供截图以供参考。</w:t>
            </w:r>
          </w:p>
          <w:p w14:paraId="3DA963A4">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15．离线学习功能</w:t>
            </w:r>
          </w:p>
          <w:p w14:paraId="21838E06">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教材可以进行离线学习的功能，支持记录学习者的离线学习痕迹，离线学习的行为记录可在网络条件具备时立即云同步。</w:t>
            </w:r>
          </w:p>
          <w:p w14:paraId="75ECCBD6">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16．系统设置</w:t>
            </w:r>
          </w:p>
          <w:p w14:paraId="07A0D532">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系统设置模块具有缓存管理功能；</w:t>
            </w:r>
          </w:p>
          <w:p w14:paraId="1880B7E4">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具有“开启新讨论提醒”功能，允许或禁止有新讨论消息时用户的移动终端通知栏中有弹出提醒；</w:t>
            </w:r>
          </w:p>
          <w:p w14:paraId="62326D68">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下载教材内容之前，提示用户本次下载的大小，保护用户的数据流量。</w:t>
            </w:r>
          </w:p>
          <w:p w14:paraId="776D3C2A">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17．与智能教学工具App数据互通</w:t>
            </w:r>
          </w:p>
          <w:p w14:paraId="7556E095">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数字教材学习App和智能教学工具App的底层数据互通，在智能教学工具课堂互动教学App的班课中选择了一本数字教材，就会显示在班课的资源模块，学生点击可跳转到移动交互教材（数字教材）学习App进行教材学习；支持课堂互动教学App的成员模块教师可以查阅学生的教材学习数据，数据内容同样包括学习进度（每一章节学习的总学习进度/总学习时长数据及每一章节的学习时长和百分比进度）、标注（学生在本教材上所有的标注和笔记）、视频（视频学习总时长和已经观看视频的百分比进度）和练习（教材中交互练习的结果）。</w:t>
            </w:r>
          </w:p>
          <w:p w14:paraId="328953F5">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▲18．学习任务功能</w:t>
            </w:r>
          </w:p>
          <w:p w14:paraId="45D84943">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教师可以在数字教材App中布置教材学习任务，并能按章节选择教材内容进行学习任务发布；可以通过二维码、手机号邀请学生参与学习任务；也可以从历史任务中同步学生参与学习任务；可以手动关闭二维码加入任务的渠道，避免二维码被散播导致任务中加入进来不相干的学生；可以查看每个学生的学习进度以及学习数据。包括学习总时长、学习进度、视频学习时长、测试正确率、练习次数等；老师可以查看学生AI自评的次数，每次的评测结果，回顾查看每次的评测题目和过程；老师可以导出学习报告。支持教师团队管理，加入团队的老师可以同样查看到学生数据报告。</w:t>
            </w:r>
          </w:p>
          <w:p w14:paraId="4103285E">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▲19．版权保护功能</w:t>
            </w:r>
          </w:p>
          <w:p w14:paraId="0AC4257A">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平台具有为版权保护多重加密功能，包括：</w:t>
            </w:r>
          </w:p>
          <w:p w14:paraId="0E846F3A">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第一层加密：云端-内容-移动终端的数字匹配加密，只有合法的用户才能获取内容。</w:t>
            </w:r>
          </w:p>
          <w:p w14:paraId="15987353">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第二层加密：移动终端的操作系统存储层加密，即使越狱，内容无法分解拷贝。</w:t>
            </w:r>
          </w:p>
          <w:p w14:paraId="236344B3">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复本数控制：移动终端的硬件匹配，合法读者按“终端复本数许可”多终端使用，非法复本可自动识别自动删除。</w:t>
            </w:r>
          </w:p>
          <w:p w14:paraId="1C2286EF">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20．公共云平台服务</w:t>
            </w:r>
          </w:p>
          <w:p w14:paraId="4E835C6B">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系统使用公共云服务，为老师和学生提供免费的公共云服务，基于云技术保证老师和学生在校外随时随地的沟通学习。所有数字教材及资源库也都在云端永久保存，支持移动设备按章随时下载。数字教材的学生学习行为数据也全部存储、备份在公共云平台。</w:t>
            </w:r>
          </w:p>
          <w:p w14:paraId="0DF4F6C8">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21.具备人工智能学习及行为记录功能</w:t>
            </w:r>
          </w:p>
          <w:p w14:paraId="3260856A">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数字教材App支持学生与AI数字教材开展AI对话式学习、AI探究式学习、AI引导式学习、AI播客学习等智能化学习模式，并追踪学习行为记录，支撑基于数据的精准教学干预，反哺教学评价。</w:t>
            </w:r>
          </w:p>
          <w:p w14:paraId="715CA315">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▲22.视频浮窗播放功能</w:t>
            </w:r>
          </w:p>
          <w:p w14:paraId="69B93A13">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数字教材APP支持学生在阅读教材的同时，可以浮窗观看教学视频，同时阅读文字内容。</w:t>
            </w:r>
          </w:p>
        </w:tc>
        <w:tc>
          <w:tcPr>
            <w:tcW w:w="1230" w:type="dxa"/>
            <w:noWrap w:val="0"/>
            <w:vAlign w:val="center"/>
          </w:tcPr>
          <w:p w14:paraId="1A2E1623">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1套</w:t>
            </w:r>
          </w:p>
        </w:tc>
        <w:tc>
          <w:tcPr>
            <w:tcW w:w="660" w:type="dxa"/>
            <w:noWrap w:val="0"/>
            <w:vAlign w:val="center"/>
          </w:tcPr>
          <w:p w14:paraId="0624FEC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609B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noWrap w:val="0"/>
            <w:vAlign w:val="center"/>
          </w:tcPr>
          <w:p w14:paraId="6BA381C4">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vMerge w:val="restart"/>
            <w:noWrap w:val="0"/>
            <w:vAlign w:val="center"/>
          </w:tcPr>
          <w:p w14:paraId="45AB7EF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426D6F16">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校本数字教材</w:t>
            </w:r>
          </w:p>
        </w:tc>
        <w:tc>
          <w:tcPr>
            <w:tcW w:w="9450" w:type="dxa"/>
            <w:noWrap w:val="0"/>
            <w:vAlign w:val="center"/>
          </w:tcPr>
          <w:p w14:paraId="4E5EF618">
            <w:pPr>
              <w:keepNext w:val="0"/>
              <w:keepLines w:val="0"/>
              <w:pageBreakBefore w:val="0"/>
              <w:widowControl/>
              <w:numPr>
                <w:ilvl w:val="0"/>
                <w:numId w:val="0"/>
              </w:numPr>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1.服务期内，不限制采购人校本数字教材建设数量，支持不少于100部数字教材编写工具应用权限（具体建设数量以学校需求为准），且数字教材平台全部功能开放；</w:t>
            </w:r>
          </w:p>
          <w:p w14:paraId="35185FE8">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2.提供校本数字教材编写过程中的培训与指导；</w:t>
            </w:r>
          </w:p>
          <w:p w14:paraId="4D39E9D8">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3.如后续校本教材有出版需求，能提供教材出版需要的数据对接或数据迁移协助服务。</w:t>
            </w:r>
          </w:p>
        </w:tc>
        <w:tc>
          <w:tcPr>
            <w:tcW w:w="1230" w:type="dxa"/>
            <w:shd w:val="clear" w:color="auto" w:fill="auto"/>
            <w:noWrap w:val="0"/>
            <w:vAlign w:val="center"/>
          </w:tcPr>
          <w:p w14:paraId="5113CE63">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1项</w:t>
            </w:r>
          </w:p>
        </w:tc>
        <w:tc>
          <w:tcPr>
            <w:tcW w:w="660" w:type="dxa"/>
            <w:noWrap w:val="0"/>
            <w:vAlign w:val="center"/>
          </w:tcPr>
          <w:p w14:paraId="43ABEA2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16E1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noWrap w:val="0"/>
            <w:vAlign w:val="center"/>
          </w:tcPr>
          <w:p w14:paraId="0A8C6AD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vMerge w:val="continue"/>
            <w:noWrap w:val="0"/>
            <w:vAlign w:val="center"/>
          </w:tcPr>
          <w:p w14:paraId="72A28E52">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0F5EA05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数字教材中心应用推广</w:t>
            </w:r>
          </w:p>
        </w:tc>
        <w:tc>
          <w:tcPr>
            <w:tcW w:w="9450" w:type="dxa"/>
            <w:noWrap w:val="0"/>
            <w:vAlign w:val="center"/>
          </w:tcPr>
          <w:p w14:paraId="5F9EBF76">
            <w:pPr>
              <w:keepNext w:val="0"/>
              <w:keepLines w:val="0"/>
              <w:pageBreakBefore w:val="0"/>
              <w:widowControl/>
              <w:numPr>
                <w:ilvl w:val="0"/>
                <w:numId w:val="0"/>
              </w:numPr>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vertAlign w:val="baseline"/>
                <w:lang w:val="en-US" w:eastAsia="zh-CN"/>
              </w:rPr>
              <w:t>1.提</w:t>
            </w:r>
            <w:r>
              <w:rPr>
                <w:rFonts w:hint="eastAsia" w:ascii="宋体" w:hAnsi="宋体" w:eastAsia="宋体" w:cs="宋体"/>
                <w:color w:val="auto"/>
                <w:kern w:val="0"/>
                <w:sz w:val="21"/>
                <w:szCs w:val="21"/>
                <w:highlight w:val="none"/>
                <w:lang w:val="en-US" w:eastAsia="zh-CN" w:bidi="ar"/>
              </w:rPr>
              <w:t>供教材评优、申报省规国规、申报教学成果奖等支持服务，提供佐证材料、数据服务，提供评审展示页面，提供必要的同行专家指导。</w:t>
            </w:r>
          </w:p>
          <w:p w14:paraId="1E902F7B">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2.设置精品标识，在平台、网络等多渠道面向其他院校、行业企业进行重点推广应用；根据采购人需求，提供推广支持。</w:t>
            </w:r>
          </w:p>
        </w:tc>
        <w:tc>
          <w:tcPr>
            <w:tcW w:w="1230" w:type="dxa"/>
            <w:shd w:val="clear" w:color="auto" w:fill="auto"/>
            <w:noWrap w:val="0"/>
            <w:vAlign w:val="center"/>
          </w:tcPr>
          <w:p w14:paraId="1A6B63D0">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1项</w:t>
            </w:r>
          </w:p>
        </w:tc>
        <w:tc>
          <w:tcPr>
            <w:tcW w:w="660" w:type="dxa"/>
            <w:noWrap w:val="0"/>
            <w:vAlign w:val="center"/>
          </w:tcPr>
          <w:p w14:paraId="5292DD2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31D2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7173AE92">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005" w:type="dxa"/>
            <w:noWrap w:val="0"/>
            <w:vAlign w:val="center"/>
          </w:tcPr>
          <w:p w14:paraId="2D7103F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15本重点建设数字教材</w:t>
            </w:r>
          </w:p>
        </w:tc>
        <w:tc>
          <w:tcPr>
            <w:tcW w:w="1125" w:type="dxa"/>
            <w:noWrap w:val="0"/>
            <w:vAlign w:val="center"/>
          </w:tcPr>
          <w:p w14:paraId="0CB3300B">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1.图谱建设</w:t>
            </w:r>
          </w:p>
          <w:p w14:paraId="19CD1378">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sz w:val="21"/>
                <w:szCs w:val="21"/>
                <w:highlight w:val="none"/>
              </w:rPr>
            </w:pPr>
          </w:p>
          <w:p w14:paraId="245706C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9450" w:type="dxa"/>
            <w:noWrap w:val="0"/>
            <w:vAlign w:val="center"/>
          </w:tcPr>
          <w:p w14:paraId="62DAD104">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开通知识图谱构建工具，并培训服务老师进行知识图谱构建，编写知识图谱教材；</w:t>
            </w:r>
          </w:p>
          <w:p w14:paraId="58FE6562">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1.功能入口：支持在数字教材目录页顶部、阅读页底部导航栏双入口展示，仅对已开通教材显示。</w:t>
            </w:r>
          </w:p>
          <w:p w14:paraId="66B4132B">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2.图谱列表：可展示教材内全部知识图谱，支持点击图谱卡片进入详情页。</w:t>
            </w:r>
          </w:p>
          <w:p w14:paraId="1BBFCC3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3.图谱详情：提供完整图谱脑图展示、教材内知识卡片汇总；支持点击知识卡片跳转详情，并一键定位至教材对应学习位置。</w:t>
            </w:r>
          </w:p>
          <w:p w14:paraId="0DF18DDA">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4.知识节点：节点详情含描述、关联关系，支持点击关联节点跳转对应详情。</w:t>
            </w:r>
          </w:p>
          <w:p w14:paraId="52207CA9">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5.学习数据统计：学习报告支持知识卡片（学习总数、总时长、章节 / 小节统计）、知识图谱（图谱学习数、节点学习数 / 总时长、单图谱节点学习明细）多维数据展示。</w:t>
            </w:r>
          </w:p>
        </w:tc>
        <w:tc>
          <w:tcPr>
            <w:tcW w:w="1230" w:type="dxa"/>
            <w:noWrap w:val="0"/>
            <w:vAlign w:val="center"/>
          </w:tcPr>
          <w:p w14:paraId="34851885">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每本建设1套图谱</w:t>
            </w:r>
          </w:p>
        </w:tc>
        <w:tc>
          <w:tcPr>
            <w:tcW w:w="660" w:type="dxa"/>
            <w:noWrap w:val="0"/>
            <w:vAlign w:val="center"/>
          </w:tcPr>
          <w:p w14:paraId="170018F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1995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578" w:type="dxa"/>
            <w:noWrap w:val="0"/>
            <w:vAlign w:val="center"/>
          </w:tcPr>
          <w:p w14:paraId="147FED35">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62A8382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393106DE">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2.定制数字人</w:t>
            </w:r>
          </w:p>
          <w:p w14:paraId="0EF711DF">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sz w:val="21"/>
                <w:szCs w:val="21"/>
                <w:highlight w:val="none"/>
              </w:rPr>
            </w:pPr>
          </w:p>
          <w:p w14:paraId="57A88654">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sz w:val="21"/>
                <w:szCs w:val="21"/>
                <w:highlight w:val="none"/>
              </w:rPr>
            </w:pPr>
          </w:p>
          <w:p w14:paraId="63D247A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9450" w:type="dxa"/>
            <w:noWrap w:val="0"/>
            <w:vAlign w:val="center"/>
          </w:tcPr>
          <w:p w14:paraId="367A03F9">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依托教材内容为每本教材搭建一位基于教育大模型知识引擎的数字人智能体。通过提供相关课程和教材内容训练数字人智能体，使其具备对应课程与教材的知识能力，学生、教师可以对数字人进行提问以及检索所需知识。</w:t>
            </w:r>
          </w:p>
          <w:p w14:paraId="50BEF0D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一、总体技术要求</w:t>
            </w:r>
          </w:p>
          <w:p w14:paraId="3EEB4A08">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1.帮助学校构建起基于大模型训练生成数字教师，同时支持利用数字教师制作微课，为课程数字化转型、高质量建设奠定基础。</w:t>
            </w:r>
          </w:p>
          <w:p w14:paraId="60646FFA">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2.利用人工智能技术，根据真人的声音、外貌等特征，创建虚拟数字人。</w:t>
            </w:r>
          </w:p>
          <w:p w14:paraId="4431D33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3.利用云计算、大数据和人工智能技术，使用包含循环神经网络和WaveGAN、Griffin-Lim等算法的大模型等技术。</w:t>
            </w:r>
          </w:p>
          <w:p w14:paraId="1140ADC7">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4.在B/S浏览器架构下操作，无需额外下载客户端。（提供截图证明）</w:t>
            </w:r>
          </w:p>
          <w:p w14:paraId="1F9BDA3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二、具体功能要求</w:t>
            </w:r>
          </w:p>
          <w:p w14:paraId="7A5BEA55">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1.支持数字教师声音克隆训练</w:t>
            </w:r>
          </w:p>
          <w:p w14:paraId="6E985076">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2"/>
                <w:sz w:val="21"/>
                <w:szCs w:val="21"/>
                <w:highlight w:val="none"/>
                <w:lang w:val="en-US" w:eastAsia="zh-CN"/>
              </w:rPr>
              <w:t>1)支持不超过10分钟录音数据即可完成声音训练，实现声音克隆效果的要求。</w:t>
            </w:r>
          </w:p>
          <w:p w14:paraId="1D0CA40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(2)支持 24小时内完成数字人声音模型训练的要求。</w:t>
            </w:r>
          </w:p>
          <w:p w14:paraId="030B42A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(3)支持手机采集的录音数据，上传至平台自动进行声音克隆。</w:t>
            </w:r>
          </w:p>
          <w:p w14:paraId="5932BC2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(4)支持实时生成数字人语音，并返回合成结果的要求。</w:t>
            </w:r>
          </w:p>
          <w:p w14:paraId="0B220645">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(5)支持线下录音棚录制或提供已有课程录音数据进行训练。</w:t>
            </w:r>
          </w:p>
          <w:p w14:paraId="041FCF6C">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(6)支持部分地区方言的合成服务。</w:t>
            </w:r>
          </w:p>
          <w:p w14:paraId="73760E87">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(7)可支持音频格式：WAV格式，录音时设备采用44100或48000采样率</w:t>
            </w:r>
          </w:p>
          <w:p w14:paraId="3A59C3B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(8)系统平台提供训练口播录音文案。</w:t>
            </w:r>
          </w:p>
          <w:p w14:paraId="02C4481A">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支持数字教师人像模型训练</w:t>
            </w:r>
          </w:p>
          <w:p w14:paraId="773A6B3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(1)支持不超过 5 分钟人像视频数据即可完成人像训练，实现人像克隆效果的要求。</w:t>
            </w:r>
          </w:p>
          <w:p w14:paraId="06C3BD5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(2)支持线下摄影棚视频采集或提供已有课程人像数据导入电脑客户端进行训练。</w:t>
            </w:r>
          </w:p>
          <w:p w14:paraId="5A61786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(3)数字教师人像模型驱动可以根据语音或文字自动模拟真人生成讲话的口型表情。</w:t>
            </w:r>
          </w:p>
          <w:p w14:paraId="0BCD530E">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(4)具有快速训练交付能力，训练交付时间不超过 3 天。</w:t>
            </w:r>
          </w:p>
          <w:p w14:paraId="6744A1D4">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(5)支持人像模型文件自动加密。</w:t>
            </w:r>
          </w:p>
          <w:p w14:paraId="3D22404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(6)可支持格式为H.264、25帧、4K分辨率高清视频训练及人像采集。</w:t>
            </w:r>
          </w:p>
          <w:p w14:paraId="70D585C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(7)支持数字教师的动作分解功能。</w:t>
            </w:r>
          </w:p>
          <w:p w14:paraId="32820EC1">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3.人工智能数字人微课制作系统</w:t>
            </w:r>
          </w:p>
          <w:p w14:paraId="55BB775E">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(1)支持声音克隆技术。</w:t>
            </w:r>
          </w:p>
          <w:p w14:paraId="5A281DB4">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(2)支持合成口唇匹配度精准。</w:t>
            </w:r>
          </w:p>
          <w:p w14:paraId="783E4CA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(3)根据文本文案快速完成数字人人像合成，并返回合成结果的要求。</w:t>
            </w:r>
          </w:p>
          <w:p w14:paraId="0610CB4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(4)支持自动同步已合成语音与人像进行合成。</w:t>
            </w:r>
          </w:p>
          <w:p w14:paraId="582B9E5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(5)支持语音和人像的灵活组合。</w:t>
            </w:r>
          </w:p>
          <w:p w14:paraId="19F0905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(6)支持通过文字驱动声音模型合成指定音色的数字人语音。</w:t>
            </w:r>
          </w:p>
          <w:p w14:paraId="403D5CEC">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(7)支持上传 PPT 文件，系统自动将PPT文件读取解析为PPT画面，可在工作台中逐页编辑微课内容。</w:t>
            </w:r>
          </w:p>
          <w:p w14:paraId="70F14416">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(8)支持教学操作录屏，可录制电脑操作界面或 PPT 动画。</w:t>
            </w:r>
          </w:p>
          <w:p w14:paraId="10B39174">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(9)支持文本驱动和声音驱动两种人像合成方式。</w:t>
            </w:r>
          </w:p>
          <w:p w14:paraId="10B2174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(10)支持图片高清形象数字人和视频高清数字人两种形式的数字人微课合成。</w:t>
            </w:r>
          </w:p>
          <w:p w14:paraId="6D9B34FE">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(11)支持上传课件背景是图片或者视频的功能，上传后可对页面的内容进行微课制作。</w:t>
            </w:r>
          </w:p>
          <w:p w14:paraId="2E831F6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(12)支持语音结果的下载、语音合成的在线试听。</w:t>
            </w:r>
          </w:p>
          <w:p w14:paraId="5A9D43FF">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(13)支持将效果预览功能，可在线预先预览合成效果。</w:t>
            </w:r>
          </w:p>
          <w:p w14:paraId="7FE01BB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(14)支持上传语音能识别敏感字词，并进行合成确认。</w:t>
            </w:r>
          </w:p>
          <w:p w14:paraId="237C5A0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(15)人像合成支持预览、查看、动作模型不同时间段的选择等。</w:t>
            </w:r>
          </w:p>
          <w:p w14:paraId="302E536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(16)系统支持通过语音或文字驱动人像模型合成指定动作的数字人人像。</w:t>
            </w:r>
          </w:p>
          <w:p w14:paraId="467A4265">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(17)支持查看成功合成的数字人，包括 PPT 对应画面，数字人人像。</w:t>
            </w:r>
          </w:p>
          <w:p w14:paraId="4F5BA5FE">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(18)可支持视频高清分辨率处理。</w:t>
            </w:r>
          </w:p>
          <w:p w14:paraId="22957F57">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(19)可支持视频脸部修复。</w:t>
            </w:r>
          </w:p>
          <w:p w14:paraId="1E27D6D5">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(20)系统支持多微课合成任务，动态化调用算力资源，弹性优化任务，并行快速合成微课。</w:t>
            </w:r>
          </w:p>
          <w:p w14:paraId="1C590CE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(21)支持课题组成员的微课合成统计，统计合成时长，统计并可查看已有的微课资源。</w:t>
            </w:r>
          </w:p>
          <w:p w14:paraId="6713B87F">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(22)支持内容制作中的保存与恢复，如果临时退出了平台系统，下次用户进入，用户可选择是否恢复上次制作的进度。</w:t>
            </w:r>
          </w:p>
          <w:p w14:paraId="287F52CE">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(23)提供数据加密服务，妥善保护用户的形象、音色隐私。</w:t>
            </w:r>
          </w:p>
          <w:p w14:paraId="1518AB0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CN"/>
              </w:rPr>
              <w:t>(24)生成的微课视频内容提供加密存储，保证用户视频安全。</w:t>
            </w:r>
          </w:p>
        </w:tc>
        <w:tc>
          <w:tcPr>
            <w:tcW w:w="1230" w:type="dxa"/>
            <w:noWrap w:val="0"/>
            <w:vAlign w:val="center"/>
          </w:tcPr>
          <w:p w14:paraId="27EFA35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每本教材建设一个虚拟数字人，共建设15个</w:t>
            </w:r>
          </w:p>
          <w:p w14:paraId="6E4AC48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660" w:type="dxa"/>
            <w:noWrap w:val="0"/>
            <w:vAlign w:val="center"/>
          </w:tcPr>
          <w:p w14:paraId="23C09766">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20A2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62EAB426">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4B35FEB4">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3E8B35AA">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3.微课视频建设</w:t>
            </w:r>
          </w:p>
          <w:p w14:paraId="68A6594E">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sz w:val="21"/>
                <w:szCs w:val="21"/>
                <w:highlight w:val="none"/>
              </w:rPr>
            </w:pPr>
          </w:p>
          <w:p w14:paraId="7CA86F2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9450" w:type="dxa"/>
            <w:noWrap w:val="0"/>
            <w:vAlign w:val="center"/>
          </w:tcPr>
          <w:p w14:paraId="7D3C3974">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围绕教材中的重点与难点知识点，拍摄系列化、碎片化的微课视频：</w:t>
            </w:r>
          </w:p>
          <w:p w14:paraId="47DF08E1">
            <w:pPr>
              <w:keepNext w:val="0"/>
              <w:keepLines w:val="0"/>
              <w:pageBreakBefore w:val="0"/>
              <w:widowControl/>
              <w:numPr>
                <w:ilvl w:val="0"/>
                <w:numId w:val="0"/>
              </w:numPr>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1.每本教材的视频应根据需要，统一风格；</w:t>
            </w:r>
          </w:p>
          <w:p w14:paraId="0AD24093">
            <w:pPr>
              <w:keepNext w:val="0"/>
              <w:keepLines w:val="0"/>
              <w:pageBreakBefore w:val="0"/>
              <w:widowControl/>
              <w:numPr>
                <w:ilvl w:val="0"/>
                <w:numId w:val="0"/>
              </w:numPr>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
              </w:rPr>
              <w:t>按照拍摄方案，不同的拍摄方式采用不同的制作方式。如PPT模式需分章节剪辑，基地访谈模式按照老师讲解的内容变换机位，真人动画模式设计平面以及动画，完全动画模式按照详细的制作脚本完成动画设计制作等。</w:t>
            </w:r>
          </w:p>
          <w:p w14:paraId="6BF98E83">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3.协助做好视频内容的审核，应符合我国法律法规，尊重各民族的风俗习惯，版权不存在争议。 </w:t>
            </w:r>
          </w:p>
          <w:p w14:paraId="3F369F71">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4.如有字幕，字幕要使用符合国家标准的规范字，不出现繁体字、异体字（国家规定的除外）、错别字；字幕的字体、大小、色彩搭配、摆放位置、停留时间、出入屏方式力求与其他要素 （画面、解说词、音乐） 配合适当，不能破坏原有画面。 </w:t>
            </w:r>
          </w:p>
          <w:p w14:paraId="56B8E9E4">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5.视频要求图像清晰，声音和画面同步，播放时没有明显的噪点，播放流畅。 </w:t>
            </w:r>
          </w:p>
          <w:p w14:paraId="42A280B7">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6.根据课程内容提供片头、片尾策划案例，时长 5-10 秒。 </w:t>
            </w:r>
          </w:p>
          <w:p w14:paraId="219C211A">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7.每帧图像颜色数不低于 256 色或灰度级不低于128级，码率 3M以上，帧率不低于25 fps，分辨率不低于1024×576（16:9）。</w:t>
            </w:r>
          </w:p>
          <w:p w14:paraId="663875B2">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8.支持教材已有视频资源的二次加工（如视频片头、片尾制作，风格统一等），</w:t>
            </w:r>
            <w:r>
              <w:rPr>
                <w:rFonts w:hint="eastAsia" w:ascii="宋体" w:hAnsi="宋体" w:eastAsia="宋体" w:cs="宋体"/>
                <w:b/>
                <w:bCs/>
                <w:color w:val="auto"/>
                <w:kern w:val="0"/>
                <w:sz w:val="21"/>
                <w:szCs w:val="21"/>
                <w:highlight w:val="none"/>
                <w:lang w:val="en-US" w:eastAsia="zh-CN" w:bidi="ar"/>
              </w:rPr>
              <w:t>每本教材原有资源加工数量不超过10个。</w:t>
            </w:r>
          </w:p>
        </w:tc>
        <w:tc>
          <w:tcPr>
            <w:tcW w:w="1230" w:type="dxa"/>
            <w:noWrap w:val="0"/>
            <w:vAlign w:val="center"/>
          </w:tcPr>
          <w:p w14:paraId="35D8999E">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每本教材制作不少于40个微课视频。</w:t>
            </w:r>
          </w:p>
          <w:p w14:paraId="5D75EAC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660" w:type="dxa"/>
            <w:noWrap w:val="0"/>
            <w:vAlign w:val="center"/>
          </w:tcPr>
          <w:p w14:paraId="77E39FF9">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75CD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56F6F0C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49AD328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2AD0FE55">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4.二维动画建设</w:t>
            </w:r>
          </w:p>
        </w:tc>
        <w:tc>
          <w:tcPr>
            <w:tcW w:w="9450" w:type="dxa"/>
            <w:noWrap w:val="0"/>
            <w:vAlign w:val="center"/>
          </w:tcPr>
          <w:p w14:paraId="07369098">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依据教材内容，将核心知识点与抽象概念通过二维动画进行动态演绎。</w:t>
            </w:r>
          </w:p>
          <w:p w14:paraId="117ECABE">
            <w:pPr>
              <w:keepNext w:val="0"/>
              <w:keepLines w:val="0"/>
              <w:pageBreakBefore w:val="0"/>
              <w:widowControl/>
              <w:numPr>
                <w:ilvl w:val="0"/>
                <w:numId w:val="1"/>
              </w:numPr>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动画色彩协调、文字规范。</w:t>
            </w:r>
          </w:p>
          <w:p w14:paraId="751E1F3F">
            <w:pPr>
              <w:keepNext w:val="0"/>
              <w:keepLines w:val="0"/>
              <w:pageBreakBefore w:val="0"/>
              <w:widowControl/>
              <w:numPr>
                <w:ilvl w:val="0"/>
                <w:numId w:val="1"/>
              </w:numPr>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动作（运动）轨迹标准，运动层次感强，动画简洁清晰，界面友好，动画连续，节奏合适，提供进度控制条。</w:t>
            </w:r>
          </w:p>
          <w:p w14:paraId="5F7FDA96">
            <w:pPr>
              <w:keepNext w:val="0"/>
              <w:keepLines w:val="0"/>
              <w:pageBreakBefore w:val="0"/>
              <w:widowControl/>
              <w:numPr>
                <w:ilvl w:val="0"/>
                <w:numId w:val="1"/>
              </w:numPr>
              <w:suppressLineNumbers w:val="0"/>
              <w:kinsoku/>
              <w:wordWrap/>
              <w:overflowPunct/>
              <w:topLinePunct w:val="0"/>
              <w:autoSpaceDE/>
              <w:autoSpaceDN/>
              <w:bidi w:val="0"/>
              <w:adjustRightInd/>
              <w:snapToGrid/>
              <w:spacing w:after="0" w:line="320" w:lineRule="exact"/>
              <w:ind w:left="0" w:leftChars="0" w:firstLine="0" w:firstLineChars="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图像清晰、色彩和谐、演播流畅，静止画面时间不超过5 秒钟。声音清晰、解说配音应标准，无噪音，快慢适度。</w:t>
            </w:r>
          </w:p>
          <w:p w14:paraId="498D1FCE">
            <w:pPr>
              <w:keepNext w:val="0"/>
              <w:keepLines w:val="0"/>
              <w:pageBreakBefore w:val="0"/>
              <w:widowControl/>
              <w:numPr>
                <w:ilvl w:val="0"/>
                <w:numId w:val="1"/>
              </w:numPr>
              <w:suppressLineNumbers w:val="0"/>
              <w:kinsoku/>
              <w:wordWrap/>
              <w:overflowPunct/>
              <w:topLinePunct w:val="0"/>
              <w:autoSpaceDE/>
              <w:autoSpaceDN/>
              <w:bidi w:val="0"/>
              <w:adjustRightInd/>
              <w:snapToGrid/>
              <w:spacing w:after="0" w:line="320" w:lineRule="exact"/>
              <w:ind w:left="0" w:leftChars="0" w:firstLine="0" w:firstLineChars="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二维动画文件存储格式为Html5 可支持格式：MP4。</w:t>
            </w:r>
          </w:p>
        </w:tc>
        <w:tc>
          <w:tcPr>
            <w:tcW w:w="1230" w:type="dxa"/>
            <w:noWrap w:val="0"/>
            <w:vAlign w:val="center"/>
          </w:tcPr>
          <w:p w14:paraId="616C3D69">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kern w:val="0"/>
                <w:sz w:val="21"/>
                <w:szCs w:val="21"/>
                <w:highlight w:val="none"/>
                <w:lang w:val="en-US" w:eastAsia="zh-CN" w:bidi="ar"/>
              </w:rPr>
              <w:t>二维动画总量不少于90个。</w:t>
            </w:r>
          </w:p>
        </w:tc>
        <w:tc>
          <w:tcPr>
            <w:tcW w:w="660" w:type="dxa"/>
            <w:noWrap w:val="0"/>
            <w:vAlign w:val="center"/>
          </w:tcPr>
          <w:p w14:paraId="1EC16CB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3908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16FF38CB">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065373B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5899AD63">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5.三维动画建设</w:t>
            </w:r>
          </w:p>
          <w:p w14:paraId="39F79EB0">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color w:val="auto"/>
                <w:kern w:val="0"/>
                <w:sz w:val="21"/>
                <w:szCs w:val="21"/>
                <w:highlight w:val="none"/>
                <w:lang w:val="en-US" w:eastAsia="zh-CN" w:bidi="ar"/>
              </w:rPr>
            </w:pPr>
          </w:p>
          <w:p w14:paraId="51048D7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9450" w:type="dxa"/>
            <w:noWrap w:val="0"/>
            <w:vAlign w:val="center"/>
          </w:tcPr>
          <w:p w14:paraId="389132F3">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基于教材中的复杂结构、微观世界或宏观过程建设三维动画，实现全方位、可交互的沉浸式视觉体验。</w:t>
            </w:r>
          </w:p>
          <w:p w14:paraId="1500D836">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一、总体要求</w:t>
            </w:r>
          </w:p>
          <w:p w14:paraId="1174FC43">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1.根据需求1:1定制模型；</w:t>
            </w:r>
          </w:p>
          <w:p w14:paraId="6687EA93">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2.标准化建模，引擎场景要做到最大优化，保证系统流畅运行;</w:t>
            </w:r>
          </w:p>
          <w:p w14:paraId="5A81FA9C">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3.有近距离交互功能模型需要精细建模，单体模型不能有穿插；</w:t>
            </w:r>
          </w:p>
          <w:p w14:paraId="018B40A2">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4.场景内模型不能有闪面、重面、破面，不能有多边面，保证场景演示无闪烁现象；</w:t>
            </w:r>
          </w:p>
          <w:p w14:paraId="473765CF">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5.布线基于结构优化表现，所有模型必须都要有光滑组，光滑组处理符合标准；</w:t>
            </w:r>
          </w:p>
          <w:p w14:paraId="080899E8">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6.模型UV需要最大限度的利用UV空间，减少接缝；</w:t>
            </w:r>
          </w:p>
          <w:p w14:paraId="24C41B65">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7.需进行场景烘焙，烘焙不能曝光过度，不能有黑边现象，烘焙方式视场景优化情况而定；</w:t>
            </w:r>
          </w:p>
          <w:p w14:paraId="07D44627">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8.场景动画要求真实、自然，符合仿真训练要求；</w:t>
            </w:r>
          </w:p>
          <w:p w14:paraId="7373BAF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9.模型总面数在300万三角面以内，材质球数量120个以内，贴图尺寸以512或1024级别为主；</w:t>
            </w:r>
          </w:p>
          <w:p w14:paraId="1650CE08">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10.场景帧率理想情况下大于60帧，最低不低于30帧。</w:t>
            </w:r>
          </w:p>
          <w:p w14:paraId="51A8DF4F">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二、图片要求：</w:t>
            </w:r>
          </w:p>
          <w:p w14:paraId="3D117781">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1.图片分辨率不低于1920x1080；</w:t>
            </w:r>
          </w:p>
          <w:p w14:paraId="32E8CBBC">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2.色彩真实、不偏色、不过饱和，亮度适中，不发黑、不过曝发白；</w:t>
            </w:r>
          </w:p>
          <w:p w14:paraId="0A2E3DD9">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3.符合教材内容，科学准确、无错误，不出现敏感信息、广告、水印；</w:t>
            </w:r>
          </w:p>
          <w:p w14:paraId="03653EC9">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4.提供JPG、PNG、TIF格式。</w:t>
            </w:r>
          </w:p>
          <w:p w14:paraId="1D53F70C">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三、视频要求：</w:t>
            </w:r>
          </w:p>
          <w:p w14:paraId="1E7B67D1">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1.分辨率不低于1280×720；</w:t>
            </w:r>
          </w:p>
          <w:p w14:paraId="63481B47">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2.视频编码H.264（MPEG-4 AVC） </w:t>
            </w:r>
          </w:p>
          <w:p w14:paraId="712BE974">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3.音频编码：AAC（双声道）</w:t>
            </w:r>
          </w:p>
          <w:p w14:paraId="25F2E3C9">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4.封装格式：MP4</w:t>
            </w:r>
          </w:p>
          <w:p w14:paraId="40DBBD76">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5.画面清晰无模糊、无马赛克、无锯齿、无重影，无闪烁、抖动、卡顿、花屏、撕裂，亮度适中，不过曝、不欠曝、无明显偏色，字幕清晰、字号适中、无遮挡、无错别字；</w:t>
            </w:r>
          </w:p>
          <w:p w14:paraId="7670F35F">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6.音量稳定，无爆音、破音、杂音、电流声；</w:t>
            </w:r>
          </w:p>
          <w:p w14:paraId="39C67E41">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7.内容科学准确，无知识性错误、无误导信息，无广告、水印、二维码、无关信息，版权合规，来源可追溯，标注必要出处。</w:t>
            </w:r>
          </w:p>
        </w:tc>
        <w:tc>
          <w:tcPr>
            <w:tcW w:w="1230" w:type="dxa"/>
            <w:noWrap w:val="0"/>
            <w:vAlign w:val="center"/>
          </w:tcPr>
          <w:p w14:paraId="324EDED7">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p>
          <w:p w14:paraId="7DACCAB2">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三维动画总量不低于45个。</w:t>
            </w:r>
          </w:p>
          <w:p w14:paraId="2680E14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660" w:type="dxa"/>
            <w:noWrap w:val="0"/>
            <w:vAlign w:val="center"/>
          </w:tcPr>
          <w:p w14:paraId="41291A3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2F0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0B2ADE36">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608FCAE9">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77C07EB7">
            <w:pPr>
              <w:keepNext w:val="0"/>
              <w:keepLines w:val="0"/>
              <w:pageBreakBefore w:val="0"/>
              <w:widowControl/>
              <w:suppressLineNumbers w:val="0"/>
              <w:kinsoku/>
              <w:wordWrap/>
              <w:overflowPunct/>
              <w:topLinePunct w:val="0"/>
              <w:autoSpaceDE/>
              <w:autoSpaceDN/>
              <w:bidi w:val="0"/>
              <w:spacing w:after="0" w:line="320" w:lineRule="exact"/>
              <w:jc w:val="center"/>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6.虚仿建设</w:t>
            </w:r>
          </w:p>
          <w:p w14:paraId="650A50F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9450" w:type="dxa"/>
            <w:noWrap w:val="0"/>
            <w:vAlign w:val="center"/>
          </w:tcPr>
          <w:p w14:paraId="0E709BF5">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依托教材中的核心技能点，建设可嵌入数字教材的轻虚仿模块，实现高沉浸感、强交互性的模拟操作。</w:t>
            </w:r>
          </w:p>
          <w:p w14:paraId="55CE3FE2">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1.内容开发：</w:t>
            </w:r>
          </w:p>
          <w:p w14:paraId="5B9CE5B1">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（1）真实性：模型、场景、流程须以校方提供的合作企业实际设备、工艺为蓝本，关键参数、操作规范与企业现行标准一致。</w:t>
            </w:r>
          </w:p>
          <w:p w14:paraId="6E8996A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（2）教学适配性：虚仿模块应配套任务工单，明确学习目标、操作步骤、评分标准，便于教师组织教学和学生自评。</w:t>
            </w:r>
          </w:p>
          <w:p w14:paraId="3A99597C">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（3）辅助资源：每个轻虚仿模块可配套微视频（含原理动画、实操演示），视频格式mp4（H.264编码），分辨率≥1080P。</w:t>
            </w:r>
          </w:p>
          <w:p w14:paraId="19240300">
            <w:pPr>
              <w:keepNext w:val="0"/>
              <w:keepLines w:val="0"/>
              <w:pageBreakBefore w:val="0"/>
              <w:widowControl/>
              <w:numPr>
                <w:ilvl w:val="0"/>
                <w:numId w:val="0"/>
              </w:numPr>
              <w:suppressLineNumbers w:val="0"/>
              <w:kinsoku/>
              <w:wordWrap/>
              <w:overflowPunct/>
              <w:topLinePunct w:val="0"/>
              <w:autoSpaceDE/>
              <w:autoSpaceDN/>
              <w:bidi w:val="0"/>
              <w:spacing w:after="0" w:line="320" w:lineRule="exact"/>
              <w:ind w:leftChars="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2.功能要求：</w:t>
            </w:r>
          </w:p>
          <w:p w14:paraId="6A64B0D5">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（1）无缝嵌入数字教材：轻虚仿模块应能直接嵌入数字教材的指定页面，学生点击即可启动，无需跳转至外部平台。嵌入方式支持链接跳转、HTML代码内嵌或基于xAPI的数据互通。</w:t>
            </w:r>
          </w:p>
          <w:p w14:paraId="698A1EA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（2）典型场景覆盖：可根据专业、教材需求，开发多类型轻虚仿模块，例如：</w:t>
            </w:r>
          </w:p>
          <w:p w14:paraId="625D602F">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①认知类场景：</w:t>
            </w:r>
            <w:r>
              <w:rPr>
                <w:rFonts w:hint="eastAsia" w:ascii="宋体" w:hAnsi="宋体" w:eastAsia="宋体" w:cs="宋体"/>
                <w:b w:val="0"/>
                <w:bCs w:val="0"/>
                <w:color w:val="auto"/>
                <w:kern w:val="0"/>
                <w:sz w:val="21"/>
                <w:szCs w:val="21"/>
                <w:highlight w:val="none"/>
                <w:lang w:val="en-US" w:eastAsia="zh-CN" w:bidi="ar"/>
              </w:rPr>
              <w:t>如船舶智能建造中的分段结构认知、船舶主机（如MAN B&amp;W低速柴油机）结构认知、船舶动力系统（轴系、螺旋桨、舵机）部件识别等，用于学生对船舶智能建造中的分段结构、船舶主机及动力系统组成、空间布局等进行直观认知和自主学习。</w:t>
            </w:r>
          </w:p>
          <w:p w14:paraId="06DD06CF">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eastAsia="宋体" w:cs="宋体"/>
                <w:b w:val="0"/>
                <w:bCs w:val="0"/>
                <w:color w:val="auto"/>
                <w:kern w:val="0"/>
                <w:sz w:val="21"/>
                <w:szCs w:val="21"/>
                <w:highlight w:val="none"/>
                <w:lang w:val="en-US" w:eastAsia="zh-CN" w:bidi="ar"/>
              </w:rPr>
              <w:t>提供高精度3D模型（支持glb/gltf/fbx格式），关键部件独立建模，支持鼠标/触控进行旋转、缩放、平移操作；点击任意部件时，高亮显示并弹出说明窗口（含名称、功能、技术参数、工作原理简图）；支持“透视”或“剖切”模式，展示设备内部构造及零部件装配关系；可配置引导式学习模式，如按顺序高亮部件，自动播放语音或文字介绍，帮助学生建立系统认知；模型面数适中，在主流配置PC及移动端（近三年手机）运行流畅，无卡顿。</w:t>
            </w:r>
          </w:p>
          <w:p w14:paraId="3BBA8549">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②流程管理类场景：</w:t>
            </w:r>
            <w:r>
              <w:rPr>
                <w:rFonts w:hint="eastAsia" w:ascii="宋体" w:hAnsi="宋体" w:eastAsia="宋体" w:cs="宋体"/>
                <w:b w:val="0"/>
                <w:bCs w:val="0"/>
                <w:color w:val="auto"/>
                <w:kern w:val="0"/>
                <w:sz w:val="21"/>
                <w:szCs w:val="21"/>
                <w:highlight w:val="none"/>
                <w:lang w:val="en-US" w:eastAsia="zh-CN" w:bidi="ar"/>
              </w:rPr>
              <w:t>如船舶智能建造中的分段吊装合拢流程、船舶主机安装调试流程、船舶动力系统日常检修标准流程等，用于模拟船舶智能建造或动力装置安装调试中的标准化作业程序（SOP），训练学生的流程执行能力和岗位规范意识。</w:t>
            </w:r>
          </w:p>
          <w:p w14:paraId="0EA06102">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eastAsia="宋体" w:cs="宋体"/>
                <w:b w:val="0"/>
                <w:bCs w:val="0"/>
                <w:color w:val="auto"/>
                <w:kern w:val="0"/>
                <w:sz w:val="21"/>
                <w:szCs w:val="21"/>
                <w:highlight w:val="none"/>
                <w:lang w:val="en-US" w:eastAsia="zh-CN" w:bidi="ar"/>
              </w:rPr>
              <w:t>构建完整的业务流程虚拟环境（如船舶分段吊装流程、主机安装调试流程、动力系统检修流程）；采用步骤引导式操作，如系统提示当前步骤应执行的操作，学生按顺序点击、拖拽或选择，系统判断正确性；对于错误操作，系统给出提示（文字/语音）并允许重试，且记录学生每一步操作的正确率、用时及最终完成情况；支持至少“教学示范”与“考核”两种模式，教学示范模式显示标准操作指引，考核模式隐藏指引，由学生自主操作；可设置分支流程，根据学生选择（如不同吊装方案）导向不同后续步骤，体现流程的灵活性。</w:t>
            </w:r>
          </w:p>
          <w:p w14:paraId="78FA8FB3">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③工艺优化类场景：</w:t>
            </w:r>
            <w:r>
              <w:rPr>
                <w:rFonts w:hint="eastAsia" w:ascii="宋体" w:hAnsi="宋体" w:eastAsia="宋体" w:cs="宋体"/>
                <w:b w:val="0"/>
                <w:bCs w:val="0"/>
                <w:color w:val="auto"/>
                <w:kern w:val="0"/>
                <w:sz w:val="21"/>
                <w:szCs w:val="21"/>
                <w:highlight w:val="none"/>
                <w:lang w:val="en-US" w:eastAsia="zh-CN" w:bidi="ar"/>
              </w:rPr>
              <w:t>如船舶智能建造中的焊接工艺参数优化（如埋弧焊电流/电压对焊缝成型的影响）、船舶推进系统匹配优化（螺旋桨螺距与主机功率匹配）、船舶动力装置能耗优化（燃油喷射正时与燃烧效率）等，用于模拟船舶建造过程中的工艺参数调整、工序排序优化、资源调配等决策场景，培养学生工艺改进和成本控制意识。</w:t>
            </w:r>
          </w:p>
          <w:p w14:paraId="73D55B1C">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eastAsia="宋体" w:cs="宋体"/>
                <w:b w:val="0"/>
                <w:bCs w:val="0"/>
                <w:color w:val="auto"/>
                <w:kern w:val="0"/>
                <w:sz w:val="21"/>
                <w:szCs w:val="21"/>
                <w:highlight w:val="none"/>
                <w:lang w:val="en-US" w:eastAsia="zh-CN" w:bidi="ar"/>
              </w:rPr>
              <w:t>提供可交互的参数调整面板（如焊接电流电压、喷涂厚度、切割速度、主机燃油喷射定时等），支持滑块输入或数值输入；实时反馈参数调整对产品质量、效率、能耗等指标的影响（以可视化图表或动画效果呈现）；允许学生尝试不同的工序排序或资源配置方案，系统自动计算并对比方案的总耗时、成本、合格率等关键绩效指标；内置至少一种标准方案作为基准，鼓励学生寻找更优方案，并记录优化成果（如效率提升百分比、成本降低幅度）；可设置随机干扰因素（如钢板厚度偏差、环境温度变化），增加决策的挑战性。</w:t>
            </w:r>
          </w:p>
          <w:p w14:paraId="6670127C">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④故障排除类场景：</w:t>
            </w:r>
            <w:r>
              <w:rPr>
                <w:rFonts w:hint="eastAsia" w:ascii="宋体" w:hAnsi="宋体" w:eastAsia="宋体" w:cs="宋体"/>
                <w:b w:val="0"/>
                <w:bCs w:val="0"/>
                <w:color w:val="auto"/>
                <w:kern w:val="0"/>
                <w:sz w:val="21"/>
                <w:szCs w:val="21"/>
                <w:highlight w:val="none"/>
                <w:lang w:val="en-US" w:eastAsia="zh-CN" w:bidi="ar"/>
              </w:rPr>
              <w:t>如船舶主机启动失败故障排除、船舶动力系统滑油压力异常排查、船舶电力推进系统逆变器故障诊断、增压器喘振原因分析等，用于模拟船舶主机或动力系统出现常见故障，训练学生按照规范流程进行故障诊断、分析与排除的能力。</w:t>
            </w:r>
          </w:p>
          <w:p w14:paraId="69A24D04">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eastAsia="宋体" w:cs="宋体"/>
                <w:b w:val="0"/>
                <w:bCs w:val="0"/>
                <w:color w:val="auto"/>
                <w:kern w:val="0"/>
                <w:sz w:val="21"/>
                <w:szCs w:val="21"/>
                <w:highlight w:val="none"/>
                <w:lang w:val="en-US" w:eastAsia="zh-CN" w:bidi="ar"/>
              </w:rPr>
              <w:t>预设2-3种典型故障（如主机启动失败、滑油压力过低、某缸不工作、增压器喘振等），每次可随机或指定某一故障；提供虚拟检测工具，学生需选择正确的工具并在合适位置进行检测；系统根据学生的检测步骤和结果判断其故障推理逻辑是否正确，记录检测顺序、检测点选择、结论正确性；支持“提示”功能，学生遇到困难时可请求提示（消耗一定评分），提示内容逐级递进（如：检查燃油系统 → 测量启动空气压力 → 更换喷油器）；故障排除完成后，系统生成诊断报告，包含故障原因分析、排除步骤回顾、改进建议。</w:t>
            </w:r>
          </w:p>
          <w:p w14:paraId="3BC4654A">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⑤装配类场景：</w:t>
            </w:r>
            <w:r>
              <w:rPr>
                <w:rFonts w:hint="eastAsia" w:ascii="宋体" w:hAnsi="宋体" w:eastAsia="宋体" w:cs="宋体"/>
                <w:b w:val="0"/>
                <w:bCs w:val="0"/>
                <w:color w:val="auto"/>
                <w:kern w:val="0"/>
                <w:sz w:val="21"/>
                <w:szCs w:val="21"/>
                <w:highlight w:val="none"/>
                <w:lang w:val="en-US" w:eastAsia="zh-CN" w:bidi="ar"/>
              </w:rPr>
              <w:t>如船舶柴油机活塞连杆组装配、船舶动力装置（含主机、齿轮箱、轴系）整体拆装、船舶推进轴系（中间轴、螺旋桨轴）装配与对中等，用于模拟船舶机械或动力装置的装配/拆解过程，训练学生的动手能力、空间想象能力和工艺规范执行力。</w:t>
            </w:r>
          </w:p>
          <w:p w14:paraId="735B8F00">
            <w:pPr>
              <w:pStyle w:val="4"/>
              <w:keepNext w:val="0"/>
              <w:keepLines w:val="0"/>
              <w:pageBreakBefore w:val="0"/>
              <w:kinsoku/>
              <w:wordWrap/>
              <w:overflowPunct/>
              <w:topLinePunct w:val="0"/>
              <w:autoSpaceDE/>
              <w:autoSpaceDN/>
              <w:bidi w:val="0"/>
              <w:adjustRightInd/>
              <w:snapToGrid/>
              <w:spacing w:after="0" w:line="320" w:lineRule="exact"/>
              <w:ind w:firstLine="211"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功能要求：</w:t>
            </w:r>
            <w:r>
              <w:rPr>
                <w:rFonts w:hint="eastAsia" w:ascii="宋体" w:hAnsi="宋体" w:eastAsia="宋体" w:cs="宋体"/>
                <w:b w:val="0"/>
                <w:bCs w:val="0"/>
                <w:color w:val="auto"/>
                <w:kern w:val="0"/>
                <w:sz w:val="21"/>
                <w:szCs w:val="21"/>
                <w:highlight w:val="none"/>
                <w:lang w:val="en-US" w:eastAsia="zh-CN" w:bidi="ar"/>
              </w:rPr>
              <w:t>提供完整的装配/拆解任务，包含所有零部件的虚拟模型及标准装配顺序；支持拖拽式装配，学生将零部件从零件库拖拽至装配位置，系统自动判断是否到位并吸附，错误位置无法装配；显示装配进度条及当前步骤编号，提供“上一步”“重置”“提示”等辅助功能；记录学生的装配顺序正确性、错误次数、总用时，并与标准工时进行对比；对于关键装配步骤（如螺栓拧紧力矩、活塞环开口方向、密封圈安装），设置交互确认环节，确保操作规范；装配完成后，可进行简单的功能验证（如点击“启动”按钮，设备应能模拟运行），验证装配质量。</w:t>
            </w:r>
          </w:p>
          <w:p w14:paraId="7955F07C">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3.技术要求：</w:t>
            </w:r>
          </w:p>
          <w:p w14:paraId="29652424">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（1）开发引擎：采用Unity3D、Unreal Engine等主流引擎开发，输出WebGL或H5格式，确保浏览器端流畅运行。</w:t>
            </w:r>
          </w:p>
          <w:p w14:paraId="23931C7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（2）渲染性能：主流配置PC（i5/8GB内存）上帧率≥30fps；移动端（近三年主流手机）帧率≥24fps。</w:t>
            </w:r>
          </w:p>
          <w:p w14:paraId="3327915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（3）模型精度：关键设备模型需独立拆解，零部件可单独选择、高亮显示；贴图分辨率≥1024×1024，文件大小经过优化。</w:t>
            </w:r>
          </w:p>
          <w:p w14:paraId="41A70268">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（4）交互响应：点击、拖拽等操作响应时间≤0.5秒。</w:t>
            </w:r>
          </w:p>
          <w:p w14:paraId="06EFC24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（5）资源加载：首次加载时间≤10秒（视场景大小），支持资源预加载和缓存。</w:t>
            </w:r>
          </w:p>
          <w:p w14:paraId="1351283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（6）兼容性：兼容Chrome、Firefox、Edge、Safari等主流浏览器，支持iOS、Android移动端浏览器。</w:t>
            </w:r>
          </w:p>
          <w:p w14:paraId="364F682B">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▲4.数据采集与对接</w:t>
            </w:r>
          </w:p>
          <w:p w14:paraId="1DCDA153">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支持学习行为记录：轻虚仿模块应能记录学生操作数据（如开始时间、学习时长、学生成绩等），并通过API回传至数字教材平台，形成完整学习画像。</w:t>
            </w:r>
          </w:p>
        </w:tc>
        <w:tc>
          <w:tcPr>
            <w:tcW w:w="1230" w:type="dxa"/>
            <w:noWrap w:val="0"/>
            <w:vAlign w:val="center"/>
          </w:tcPr>
          <w:p w14:paraId="6568E4A0">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根据教材情况有选择性进行建设，总计不少于60个轻虚仿资源。</w:t>
            </w:r>
          </w:p>
          <w:p w14:paraId="24EECBA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660" w:type="dxa"/>
            <w:noWrap w:val="0"/>
            <w:vAlign w:val="center"/>
          </w:tcPr>
          <w:p w14:paraId="5995255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1D4F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75CB194A">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76633583">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56AA3EF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7.个性化游戏定制及版面优化设计</w:t>
            </w:r>
          </w:p>
        </w:tc>
        <w:tc>
          <w:tcPr>
            <w:tcW w:w="9450" w:type="dxa"/>
            <w:noWrap w:val="0"/>
            <w:vAlign w:val="center"/>
          </w:tcPr>
          <w:p w14:paraId="5B632091">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1.提供游戏化、趣味化交互设计方案，搭配精品优化参考样本，配置不少于20个交互测试。</w:t>
            </w:r>
          </w:p>
          <w:p w14:paraId="744A4318">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2.根据学校需求定制个性化版面、章头、节头、风格及组件样式。</w:t>
            </w:r>
          </w:p>
          <w:p w14:paraId="489D31A6">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3.提供一对一专属指导，一对一培训，全程跟进教材优化全流程，快速响应创作与技术难题。</w:t>
            </w:r>
          </w:p>
        </w:tc>
        <w:tc>
          <w:tcPr>
            <w:tcW w:w="1230" w:type="dxa"/>
            <w:noWrap w:val="0"/>
            <w:vAlign w:val="center"/>
          </w:tcPr>
          <w:p w14:paraId="09060DF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每本教材不少于20个交互测试，总计不少于300个交互测试</w:t>
            </w:r>
          </w:p>
        </w:tc>
        <w:tc>
          <w:tcPr>
            <w:tcW w:w="660" w:type="dxa"/>
            <w:noWrap w:val="0"/>
            <w:vAlign w:val="center"/>
          </w:tcPr>
          <w:p w14:paraId="206BF53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3F14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19319A8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06BFD51A">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57607D1A">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8.AI训练</w:t>
            </w:r>
          </w:p>
        </w:tc>
        <w:tc>
          <w:tcPr>
            <w:tcW w:w="9450" w:type="dxa"/>
            <w:noWrap w:val="0"/>
            <w:vAlign w:val="center"/>
          </w:tcPr>
          <w:p w14:paraId="403A572D">
            <w:pPr>
              <w:keepNext w:val="0"/>
              <w:keepLines w:val="0"/>
              <w:pageBreakBefore w:val="0"/>
              <w:widowControl/>
              <w:suppressLineNumbers w:val="0"/>
              <w:kinsoku/>
              <w:wordWrap/>
              <w:overflowPunct/>
              <w:topLinePunct w:val="0"/>
              <w:autoSpaceDE/>
              <w:autoSpaceDN/>
              <w:bidi w:val="0"/>
              <w:spacing w:after="0" w:line="320" w:lineRule="exact"/>
              <w:jc w:val="left"/>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AI“教-学-评”一体化的交互式、多模态、智能化服务：</w:t>
            </w:r>
          </w:p>
          <w:p w14:paraId="4148A11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（1）AI 布置学习任务：教师发起学习任务后，可以通过三种方式邀请学生：历史任务中导入、通过手机号邀请、分享二维码邀请；学生不仅可以按照章节学习，还能借助“AI引导”开展个性化学习，并利用“AI自评”功能进行自我评估。AI精准评估学生对知识点的掌握情况，生成测评报告，教师也可以查看学生的历史自评记录，获取精准教学反馈。</w:t>
            </w:r>
          </w:p>
          <w:p w14:paraId="4DEE00A8">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（2）AI 生成课件：根据教材内容自动生成高质量的PPT课件，以辅助教师进行课堂教学；</w:t>
            </w:r>
          </w:p>
          <w:p w14:paraId="2CF0F2B8">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（3）AI 生成测试题：基于教材内容，AI能够设计出与之相匹配的测试题目，帮助学生巩固知识点；</w:t>
            </w:r>
          </w:p>
          <w:p w14:paraId="497519AF">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（4）AI 生成案例：使用 AI 基于教材内容创建出教学案例，使学生能够通过实例学习，加深对知识的理解；</w:t>
            </w:r>
          </w:p>
          <w:p w14:paraId="046BF2D4">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（5）AI 生成教案：根据教材内容，制定教案，为教师的教学活动提供指导；</w:t>
            </w:r>
          </w:p>
          <w:p w14:paraId="3E5AABC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（6）AI 生成大纲：根据教材内容，制定大纲，精准构建学习框架，助力老师教学规划；</w:t>
            </w:r>
          </w:p>
          <w:p w14:paraId="7676BF1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（7）AI 生成课程思政：使用 AI 基于教材内容生成课程思政；</w:t>
            </w:r>
          </w:p>
          <w:p w14:paraId="1CE95409">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（8）AI 生成讲稿：使用 AI 生成与教材内容相适应的讲义，方便学生课后复习和预习；</w:t>
            </w:r>
          </w:p>
          <w:p w14:paraId="1C4BAB7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（9）AI 评估：学生在 AI 引导下完成自测，AI 给出评估结果。在 AI 学习过程中，可以跳转到 AI 评估；在 AI 评估中可以跳转到 AI 学习，实现学-评小循环。</w:t>
            </w:r>
          </w:p>
          <w:p w14:paraId="2432C70D">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（10）AI对话式学习：</w:t>
            </w:r>
          </w:p>
          <w:p w14:paraId="50B5CA6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学生可以与AI数字教材开展自然语言对话，随意问答，精准回答，不允许产生“幻觉”，不允许在教材知识范围以外进行回答。确保知识的准确性和全面性，对学生提出的问题给出更精准的回答，同时为学生精准推荐相关的教材内资源（图片、视频等）来加强学生的理解，实现图文混排的多模态显示，按照章节提供前往学习的跳转链接。同时提供学习可以继续提问的相关问题，引导学生持续提问学习。</w:t>
            </w:r>
          </w:p>
          <w:p w14:paraId="1019E53A">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（11）AI探究式学习：</w:t>
            </w:r>
          </w:p>
          <w:p w14:paraId="165696DB">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学生允许扩展到数字教材知识范围以外的学习内容开展对话学习。</w:t>
            </w:r>
          </w:p>
          <w:p w14:paraId="28701EE0">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（12）AI引导式学习：</w:t>
            </w:r>
          </w:p>
          <w:p w14:paraId="4BF51977">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设置AI引导式模式，提供专属AI学习导师，在导师引导下开展个性化自适应学习，学生选择某个章节后，AI可以自动给出学习规划，引导学生完成学习，并给出个性化学习总结。</w:t>
            </w:r>
          </w:p>
          <w:p w14:paraId="41EF3E3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（13）AI播客学习模式：</w:t>
            </w:r>
          </w:p>
          <w:p w14:paraId="4ECFFA93">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支持学生随时随地听教材，语音自动化课程播放，能够模拟真实老师授课。</w:t>
            </w:r>
          </w:p>
          <w:p w14:paraId="60306C36">
            <w:pPr>
              <w:pStyle w:val="4"/>
              <w:keepNext w:val="0"/>
              <w:keepLines w:val="0"/>
              <w:pageBreakBefore w:val="0"/>
              <w:kinsoku/>
              <w:wordWrap/>
              <w:overflowPunct/>
              <w:topLinePunct w:val="0"/>
              <w:autoSpaceDE/>
              <w:autoSpaceDN/>
              <w:bidi w:val="0"/>
              <w:adjustRightInd/>
              <w:snapToGrid/>
              <w:spacing w:after="0" w:line="320" w:lineRule="exact"/>
              <w:ind w:firstLine="210" w:firstLineChars="1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val="0"/>
                <w:color w:val="auto"/>
                <w:kern w:val="0"/>
                <w:sz w:val="21"/>
                <w:szCs w:val="21"/>
                <w:highlight w:val="none"/>
                <w:lang w:val="en-US" w:eastAsia="zh-CN" w:bidi="ar"/>
              </w:rPr>
              <w:t>（14）AI研:①AI能够通过多维度学习数据的全量聚合与智能可视化，自动整合AI学习行为、学习评估、学习时段分布、章节学习时长占比等核心指标。②支持按个性化需求生成专属图表与教学建议。③AI智能定位学生学习薄弱环节，动态评估学习成效，推送个性化教学建议。</w:t>
            </w:r>
          </w:p>
        </w:tc>
        <w:tc>
          <w:tcPr>
            <w:tcW w:w="1230" w:type="dxa"/>
            <w:noWrap w:val="0"/>
            <w:vAlign w:val="center"/>
          </w:tcPr>
          <w:p w14:paraId="6176B6F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15套</w:t>
            </w:r>
          </w:p>
        </w:tc>
        <w:tc>
          <w:tcPr>
            <w:tcW w:w="660" w:type="dxa"/>
            <w:noWrap w:val="0"/>
            <w:vAlign w:val="center"/>
          </w:tcPr>
          <w:p w14:paraId="5F6BBB1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r w14:paraId="635C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noWrap w:val="0"/>
            <w:vAlign w:val="center"/>
          </w:tcPr>
          <w:p w14:paraId="38DA5CE4">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005" w:type="dxa"/>
            <w:noWrap w:val="0"/>
            <w:vAlign w:val="center"/>
          </w:tcPr>
          <w:p w14:paraId="46F4F82B">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c>
          <w:tcPr>
            <w:tcW w:w="1125" w:type="dxa"/>
            <w:noWrap w:val="0"/>
            <w:vAlign w:val="center"/>
          </w:tcPr>
          <w:p w14:paraId="0B3A2EC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9.出版要求</w:t>
            </w:r>
          </w:p>
        </w:tc>
        <w:tc>
          <w:tcPr>
            <w:tcW w:w="9450" w:type="dxa"/>
            <w:noWrap w:val="0"/>
            <w:vAlign w:val="center"/>
          </w:tcPr>
          <w:p w14:paraId="06B0A51E">
            <w:pPr>
              <w:keepNext w:val="0"/>
              <w:keepLines w:val="0"/>
              <w:pageBreakBefore w:val="0"/>
              <w:kinsoku/>
              <w:wordWrap/>
              <w:overflowPunct/>
              <w:topLinePunct w:val="0"/>
              <w:autoSpaceDE/>
              <w:autoSpaceDN/>
              <w:bidi w:val="0"/>
              <w:adjustRightInd/>
              <w:snapToGrid/>
              <w:spacing w:after="0" w:line="320" w:lineRule="exact"/>
              <w:textAlignment w:val="auto"/>
              <w:rPr>
                <w:rFonts w:hint="eastAsia" w:ascii="宋体" w:hAnsi="宋体" w:eastAsia="宋体" w:cs="宋体"/>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1.对接</w:t>
            </w:r>
            <w:r>
              <w:rPr>
                <w:rFonts w:hint="eastAsia" w:ascii="宋体" w:hAnsi="宋体" w:eastAsia="宋体" w:cs="宋体"/>
                <w:b/>
                <w:bCs/>
                <w:color w:val="auto"/>
                <w:kern w:val="2"/>
                <w:sz w:val="21"/>
                <w:szCs w:val="21"/>
                <w:highlight w:val="none"/>
                <w:lang w:val="en-US" w:eastAsia="zh-CN"/>
              </w:rPr>
              <w:t>指定</w:t>
            </w:r>
            <w:r>
              <w:rPr>
                <w:rFonts w:hint="eastAsia" w:ascii="宋体" w:hAnsi="宋体" w:eastAsia="宋体" w:cs="宋体"/>
                <w:b/>
                <w:bCs/>
                <w:color w:val="auto"/>
                <w:kern w:val="2"/>
                <w:sz w:val="21"/>
                <w:szCs w:val="21"/>
                <w:highlight w:val="none"/>
                <w:lang w:eastAsia="zh-CN"/>
              </w:rPr>
              <w:t>出版社开展数字教材审校和数字出版服务,</w:t>
            </w:r>
            <w:r>
              <w:rPr>
                <w:rFonts w:hint="eastAsia" w:ascii="宋体" w:hAnsi="宋体" w:eastAsia="宋体" w:cs="宋体"/>
                <w:color w:val="auto"/>
                <w:kern w:val="2"/>
                <w:sz w:val="21"/>
                <w:szCs w:val="21"/>
                <w:highlight w:val="none"/>
                <w:lang w:eastAsia="zh-CN"/>
              </w:rPr>
              <w:t>包括：</w:t>
            </w:r>
            <w:r>
              <w:rPr>
                <w:rFonts w:hint="eastAsia" w:ascii="宋体" w:hAnsi="宋体" w:eastAsia="宋体" w:cs="宋体"/>
                <w:color w:val="auto"/>
                <w:kern w:val="2"/>
                <w:sz w:val="21"/>
                <w:szCs w:val="21"/>
                <w:highlight w:val="none"/>
                <w:lang w:val="en-US" w:eastAsia="zh-CN"/>
              </w:rPr>
              <w:t>每本教材</w:t>
            </w:r>
            <w:r>
              <w:rPr>
                <w:rFonts w:hint="eastAsia" w:ascii="宋体" w:hAnsi="宋体" w:eastAsia="宋体" w:cs="宋体"/>
                <w:color w:val="auto"/>
                <w:kern w:val="2"/>
                <w:sz w:val="21"/>
                <w:szCs w:val="21"/>
                <w:highlight w:val="none"/>
                <w:lang w:eastAsia="zh-CN"/>
              </w:rPr>
              <w:t>获得国家正式出版号（ISBN）。</w:t>
            </w:r>
            <w:r>
              <w:rPr>
                <w:rFonts w:hint="eastAsia" w:ascii="宋体" w:hAnsi="宋体" w:eastAsia="宋体" w:cs="宋体"/>
                <w:color w:val="auto"/>
                <w:kern w:val="2"/>
                <w:sz w:val="21"/>
                <w:szCs w:val="21"/>
                <w:highlight w:val="none"/>
                <w:lang w:val="en-US" w:eastAsia="zh-CN"/>
              </w:rPr>
              <w:t>支持</w:t>
            </w:r>
            <w:r>
              <w:rPr>
                <w:rFonts w:hint="eastAsia" w:ascii="宋体" w:hAnsi="宋体" w:eastAsia="宋体" w:cs="宋体"/>
                <w:color w:val="auto"/>
                <w:kern w:val="2"/>
                <w:sz w:val="21"/>
                <w:szCs w:val="21"/>
                <w:highlight w:val="none"/>
                <w:lang w:eastAsia="zh-CN"/>
              </w:rPr>
              <w:t>数字教材内容素材审核、文字审校、版权审查等“三审三校”和出版测试数字教材内容中的所有产品功能；</w:t>
            </w:r>
            <w:r>
              <w:rPr>
                <w:rFonts w:hint="eastAsia" w:ascii="宋体" w:hAnsi="宋体" w:eastAsia="宋体" w:cs="宋体"/>
                <w:color w:val="auto"/>
                <w:kern w:val="2"/>
                <w:sz w:val="21"/>
                <w:szCs w:val="21"/>
                <w:highlight w:val="none"/>
                <w:lang w:val="en-US" w:eastAsia="zh-CN"/>
              </w:rPr>
              <w:t>每本教材安排专业编辑参与教材建设过程</w:t>
            </w:r>
            <w:r>
              <w:rPr>
                <w:rFonts w:hint="eastAsia" w:ascii="宋体" w:hAnsi="宋体" w:eastAsia="宋体" w:cs="宋体"/>
                <w:color w:val="auto"/>
                <w:kern w:val="2"/>
                <w:sz w:val="21"/>
                <w:szCs w:val="21"/>
                <w:highlight w:val="none"/>
                <w:lang w:eastAsia="zh-CN"/>
              </w:rPr>
              <w:t>。</w:t>
            </w:r>
          </w:p>
          <w:p w14:paraId="33391024">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2.教材付费管理：教材发布出版后，可根据实际情况设置付费或免费，付费教材的购买记录可通过后台形成数据统计。</w:t>
            </w:r>
          </w:p>
          <w:p w14:paraId="761AE274">
            <w:pPr>
              <w:keepNext w:val="0"/>
              <w:keepLines w:val="0"/>
              <w:pageBreakBefore w:val="0"/>
              <w:widowControl/>
              <w:suppressLineNumbers w:val="0"/>
              <w:kinsoku/>
              <w:wordWrap/>
              <w:overflowPunct/>
              <w:topLinePunct w:val="0"/>
              <w:autoSpaceDE/>
              <w:autoSpaceDN/>
              <w:bidi w:val="0"/>
              <w:adjustRightInd/>
              <w:snapToGrid/>
              <w:spacing w:after="0" w:line="320" w:lineRule="exact"/>
              <w:jc w:val="left"/>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3.正式出版的数字教材，可以在其他学校进行推广应用，教材著作权人可以获得版税收益。</w:t>
            </w:r>
          </w:p>
        </w:tc>
        <w:tc>
          <w:tcPr>
            <w:tcW w:w="1230" w:type="dxa"/>
            <w:noWrap w:val="0"/>
            <w:vAlign w:val="center"/>
          </w:tcPr>
          <w:p w14:paraId="0AF84C13">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15本</w:t>
            </w:r>
          </w:p>
        </w:tc>
        <w:tc>
          <w:tcPr>
            <w:tcW w:w="660" w:type="dxa"/>
            <w:noWrap w:val="0"/>
            <w:vAlign w:val="center"/>
          </w:tcPr>
          <w:p w14:paraId="6A477C0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1"/>
                <w:szCs w:val="21"/>
                <w:highlight w:val="none"/>
                <w:vertAlign w:val="baseline"/>
                <w:lang w:val="en-US" w:eastAsia="zh-CN"/>
              </w:rPr>
            </w:pPr>
          </w:p>
        </w:tc>
      </w:tr>
    </w:tbl>
    <w:p w14:paraId="531BB964">
      <w:pPr>
        <w:rPr>
          <w:rFonts w:hint="eastAsia" w:ascii="宋体" w:hAnsi="宋体" w:eastAsia="宋体" w:cs="宋体"/>
          <w:b/>
          <w:bCs/>
          <w:color w:val="auto"/>
          <w:kern w:val="2"/>
          <w:sz w:val="24"/>
          <w:szCs w:val="24"/>
          <w:highlight w:val="none"/>
        </w:rPr>
        <w:sectPr>
          <w:pgSz w:w="16838" w:h="11906" w:orient="landscape"/>
          <w:pgMar w:top="1701" w:right="1588" w:bottom="1418" w:left="1418" w:header="851" w:footer="992" w:gutter="0"/>
          <w:pgBorders>
            <w:top w:val="none" w:sz="0" w:space="0"/>
            <w:left w:val="none" w:sz="0" w:space="0"/>
            <w:bottom w:val="none" w:sz="0" w:space="0"/>
            <w:right w:val="none" w:sz="0" w:space="0"/>
          </w:pgBorders>
          <w:cols w:space="1701" w:num="1"/>
          <w:docGrid w:linePitch="360" w:charSpace="0"/>
        </w:sectPr>
      </w:pPr>
    </w:p>
    <w:p w14:paraId="459191AD">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（四）采购标的数量、采购项目交付或者实施的时间和地点</w:t>
      </w:r>
    </w:p>
    <w:p w14:paraId="3B68A62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1.采购标的数量：</w:t>
      </w:r>
    </w:p>
    <w:tbl>
      <w:tblPr>
        <w:tblStyle w:val="8"/>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066"/>
        <w:gridCol w:w="1809"/>
        <w:gridCol w:w="799"/>
        <w:gridCol w:w="919"/>
        <w:gridCol w:w="3577"/>
      </w:tblGrid>
      <w:tr w14:paraId="73E4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45" w:type="dxa"/>
            <w:vAlign w:val="center"/>
          </w:tcPr>
          <w:p w14:paraId="47FACE2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序号</w:t>
            </w:r>
          </w:p>
        </w:tc>
        <w:tc>
          <w:tcPr>
            <w:tcW w:w="2875" w:type="dxa"/>
            <w:gridSpan w:val="2"/>
            <w:vAlign w:val="center"/>
          </w:tcPr>
          <w:p w14:paraId="74301A5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建设内容</w:t>
            </w:r>
          </w:p>
        </w:tc>
        <w:tc>
          <w:tcPr>
            <w:tcW w:w="799" w:type="dxa"/>
            <w:vAlign w:val="center"/>
          </w:tcPr>
          <w:p w14:paraId="194766A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数量</w:t>
            </w:r>
          </w:p>
        </w:tc>
        <w:tc>
          <w:tcPr>
            <w:tcW w:w="919" w:type="dxa"/>
            <w:vAlign w:val="center"/>
          </w:tcPr>
          <w:p w14:paraId="040F9DC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单位</w:t>
            </w:r>
          </w:p>
        </w:tc>
        <w:tc>
          <w:tcPr>
            <w:tcW w:w="3577" w:type="dxa"/>
            <w:vAlign w:val="center"/>
          </w:tcPr>
          <w:p w14:paraId="1F63CAB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备注</w:t>
            </w:r>
          </w:p>
        </w:tc>
      </w:tr>
      <w:tr w14:paraId="48C8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5" w:type="dxa"/>
            <w:vMerge w:val="restart"/>
            <w:vAlign w:val="center"/>
          </w:tcPr>
          <w:p w14:paraId="5946588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066" w:type="dxa"/>
            <w:vMerge w:val="restart"/>
            <w:vAlign w:val="center"/>
          </w:tcPr>
          <w:p w14:paraId="24A59DD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数字教材中心平台</w:t>
            </w:r>
          </w:p>
        </w:tc>
        <w:tc>
          <w:tcPr>
            <w:tcW w:w="1809" w:type="dxa"/>
            <w:vAlign w:val="center"/>
          </w:tcPr>
          <w:p w14:paraId="658A660A">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数字教材发布与管理平台</w:t>
            </w:r>
          </w:p>
        </w:tc>
        <w:tc>
          <w:tcPr>
            <w:tcW w:w="799" w:type="dxa"/>
            <w:vAlign w:val="center"/>
          </w:tcPr>
          <w:p w14:paraId="3CBE7BE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919" w:type="dxa"/>
            <w:vAlign w:val="center"/>
          </w:tcPr>
          <w:p w14:paraId="298E9E4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套</w:t>
            </w:r>
          </w:p>
        </w:tc>
        <w:tc>
          <w:tcPr>
            <w:tcW w:w="3577" w:type="dxa"/>
            <w:vAlign w:val="center"/>
          </w:tcPr>
          <w:p w14:paraId="54BE674E">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3F45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45" w:type="dxa"/>
            <w:vMerge w:val="continue"/>
            <w:vAlign w:val="center"/>
          </w:tcPr>
          <w:p w14:paraId="38DDFB3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012728A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7541E3DB">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数字教材编辑器</w:t>
            </w:r>
          </w:p>
        </w:tc>
        <w:tc>
          <w:tcPr>
            <w:tcW w:w="799" w:type="dxa"/>
            <w:shd w:val="clear" w:color="auto" w:fill="auto"/>
            <w:vAlign w:val="center"/>
          </w:tcPr>
          <w:p w14:paraId="59005CC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w:t>
            </w:r>
          </w:p>
        </w:tc>
        <w:tc>
          <w:tcPr>
            <w:tcW w:w="919" w:type="dxa"/>
            <w:shd w:val="clear" w:color="auto" w:fill="auto"/>
            <w:vAlign w:val="center"/>
          </w:tcPr>
          <w:p w14:paraId="473F44B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eastAsia="zh-CN"/>
              </w:rPr>
              <w:t>套</w:t>
            </w:r>
          </w:p>
        </w:tc>
        <w:tc>
          <w:tcPr>
            <w:tcW w:w="3577" w:type="dxa"/>
            <w:vAlign w:val="center"/>
          </w:tcPr>
          <w:p w14:paraId="7C048CAD">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4FC8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5" w:type="dxa"/>
            <w:vMerge w:val="continue"/>
            <w:vAlign w:val="center"/>
          </w:tcPr>
          <w:p w14:paraId="63B67D6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76D47B6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52FDB370">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数字教材学习与应用系统</w:t>
            </w:r>
          </w:p>
        </w:tc>
        <w:tc>
          <w:tcPr>
            <w:tcW w:w="799" w:type="dxa"/>
            <w:shd w:val="clear" w:color="auto" w:fill="auto"/>
            <w:vAlign w:val="center"/>
          </w:tcPr>
          <w:p w14:paraId="717B5A2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w:t>
            </w:r>
          </w:p>
        </w:tc>
        <w:tc>
          <w:tcPr>
            <w:tcW w:w="919" w:type="dxa"/>
            <w:shd w:val="clear" w:color="auto" w:fill="auto"/>
            <w:vAlign w:val="center"/>
          </w:tcPr>
          <w:p w14:paraId="5864F99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eastAsia="zh-CN"/>
              </w:rPr>
              <w:t>套</w:t>
            </w:r>
          </w:p>
        </w:tc>
        <w:tc>
          <w:tcPr>
            <w:tcW w:w="3577" w:type="dxa"/>
            <w:vAlign w:val="center"/>
          </w:tcPr>
          <w:p w14:paraId="56BB7828">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089D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45" w:type="dxa"/>
            <w:vMerge w:val="continue"/>
            <w:vAlign w:val="center"/>
          </w:tcPr>
          <w:p w14:paraId="36CBCF8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0A25B6A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69459B9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校本数字教材</w:t>
            </w:r>
          </w:p>
        </w:tc>
        <w:tc>
          <w:tcPr>
            <w:tcW w:w="799" w:type="dxa"/>
            <w:vAlign w:val="center"/>
          </w:tcPr>
          <w:p w14:paraId="44AE857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919" w:type="dxa"/>
            <w:vAlign w:val="center"/>
          </w:tcPr>
          <w:p w14:paraId="29FD439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项</w:t>
            </w:r>
          </w:p>
        </w:tc>
        <w:tc>
          <w:tcPr>
            <w:tcW w:w="3577" w:type="dxa"/>
            <w:vAlign w:val="center"/>
          </w:tcPr>
          <w:p w14:paraId="0B73237E">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rPr>
            </w:pPr>
          </w:p>
        </w:tc>
      </w:tr>
      <w:tr w14:paraId="6E8C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5" w:type="dxa"/>
            <w:vMerge w:val="continue"/>
            <w:vAlign w:val="center"/>
          </w:tcPr>
          <w:p w14:paraId="7E464DB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6832915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29E701A9">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数字教材中心应用推广</w:t>
            </w:r>
          </w:p>
        </w:tc>
        <w:tc>
          <w:tcPr>
            <w:tcW w:w="799" w:type="dxa"/>
            <w:vAlign w:val="center"/>
          </w:tcPr>
          <w:p w14:paraId="13D08C7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919" w:type="dxa"/>
            <w:vAlign w:val="center"/>
          </w:tcPr>
          <w:p w14:paraId="0DD4768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项</w:t>
            </w:r>
          </w:p>
        </w:tc>
        <w:tc>
          <w:tcPr>
            <w:tcW w:w="3577" w:type="dxa"/>
            <w:vAlign w:val="center"/>
          </w:tcPr>
          <w:p w14:paraId="797ABD07">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3AEF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45" w:type="dxa"/>
            <w:vMerge w:val="restart"/>
            <w:vAlign w:val="center"/>
          </w:tcPr>
          <w:p w14:paraId="592AAB1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1066" w:type="dxa"/>
            <w:vMerge w:val="restart"/>
            <w:vAlign w:val="center"/>
          </w:tcPr>
          <w:p w14:paraId="5388DFE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sz w:val="24"/>
                <w:szCs w:val="24"/>
                <w:highlight w:val="none"/>
                <w:vertAlign w:val="baseline"/>
                <w:lang w:val="en-US" w:eastAsia="zh-CN"/>
              </w:rPr>
              <w:t>15本重点建设数字教材</w:t>
            </w:r>
          </w:p>
        </w:tc>
        <w:tc>
          <w:tcPr>
            <w:tcW w:w="1809" w:type="dxa"/>
            <w:vAlign w:val="center"/>
          </w:tcPr>
          <w:p w14:paraId="0F9ADA23">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图谱建设</w:t>
            </w:r>
          </w:p>
        </w:tc>
        <w:tc>
          <w:tcPr>
            <w:tcW w:w="799" w:type="dxa"/>
            <w:vAlign w:val="center"/>
          </w:tcPr>
          <w:p w14:paraId="6B4AFE2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19" w:type="dxa"/>
            <w:vAlign w:val="center"/>
          </w:tcPr>
          <w:p w14:paraId="36FDA9B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套</w:t>
            </w:r>
          </w:p>
        </w:tc>
        <w:tc>
          <w:tcPr>
            <w:tcW w:w="3577" w:type="dxa"/>
            <w:vAlign w:val="center"/>
          </w:tcPr>
          <w:p w14:paraId="3E291661">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每本教材1套</w:t>
            </w:r>
          </w:p>
        </w:tc>
      </w:tr>
      <w:tr w14:paraId="16F6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45" w:type="dxa"/>
            <w:vMerge w:val="continue"/>
            <w:vAlign w:val="center"/>
          </w:tcPr>
          <w:p w14:paraId="3133F87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7352853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53D0D996">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定制数字人</w:t>
            </w:r>
          </w:p>
        </w:tc>
        <w:tc>
          <w:tcPr>
            <w:tcW w:w="799" w:type="dxa"/>
            <w:vAlign w:val="center"/>
          </w:tcPr>
          <w:p w14:paraId="74765D0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19" w:type="dxa"/>
            <w:vAlign w:val="center"/>
          </w:tcPr>
          <w:p w14:paraId="6BA3363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3577" w:type="dxa"/>
            <w:vAlign w:val="center"/>
          </w:tcPr>
          <w:p w14:paraId="5B791F27">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每本教材1个</w:t>
            </w:r>
          </w:p>
        </w:tc>
      </w:tr>
      <w:tr w14:paraId="0454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45" w:type="dxa"/>
            <w:vMerge w:val="continue"/>
            <w:vAlign w:val="center"/>
          </w:tcPr>
          <w:p w14:paraId="0DE4337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423CB86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12E002FD">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微课视频建设</w:t>
            </w:r>
          </w:p>
        </w:tc>
        <w:tc>
          <w:tcPr>
            <w:tcW w:w="799" w:type="dxa"/>
            <w:vAlign w:val="center"/>
          </w:tcPr>
          <w:p w14:paraId="06A0BAE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600</w:t>
            </w:r>
          </w:p>
        </w:tc>
        <w:tc>
          <w:tcPr>
            <w:tcW w:w="919" w:type="dxa"/>
            <w:vAlign w:val="center"/>
          </w:tcPr>
          <w:p w14:paraId="33158A3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3577" w:type="dxa"/>
            <w:vAlign w:val="center"/>
          </w:tcPr>
          <w:p w14:paraId="6F87C09E">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每本教材制作不少于40个微课视频。</w:t>
            </w:r>
          </w:p>
        </w:tc>
      </w:tr>
      <w:tr w14:paraId="1725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45" w:type="dxa"/>
            <w:vMerge w:val="continue"/>
            <w:vAlign w:val="center"/>
          </w:tcPr>
          <w:p w14:paraId="7F49C21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72EF0BD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2C8AC1BB">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二维动画建设</w:t>
            </w:r>
          </w:p>
        </w:tc>
        <w:tc>
          <w:tcPr>
            <w:tcW w:w="799" w:type="dxa"/>
            <w:vAlign w:val="center"/>
          </w:tcPr>
          <w:p w14:paraId="60F685D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90</w:t>
            </w:r>
          </w:p>
        </w:tc>
        <w:tc>
          <w:tcPr>
            <w:tcW w:w="919" w:type="dxa"/>
            <w:vAlign w:val="center"/>
          </w:tcPr>
          <w:p w14:paraId="113555D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3577" w:type="dxa"/>
            <w:vAlign w:val="center"/>
          </w:tcPr>
          <w:p w14:paraId="57369FE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二维动画总量不少于90个。</w:t>
            </w:r>
          </w:p>
        </w:tc>
      </w:tr>
      <w:tr w14:paraId="528A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45" w:type="dxa"/>
            <w:vMerge w:val="continue"/>
            <w:vAlign w:val="center"/>
          </w:tcPr>
          <w:p w14:paraId="490B4A0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3CD4300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6740A9B7">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三维动画建设</w:t>
            </w:r>
          </w:p>
        </w:tc>
        <w:tc>
          <w:tcPr>
            <w:tcW w:w="799" w:type="dxa"/>
            <w:vAlign w:val="center"/>
          </w:tcPr>
          <w:p w14:paraId="648B140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45</w:t>
            </w:r>
          </w:p>
        </w:tc>
        <w:tc>
          <w:tcPr>
            <w:tcW w:w="919" w:type="dxa"/>
            <w:vAlign w:val="center"/>
          </w:tcPr>
          <w:p w14:paraId="49EE49C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3577" w:type="dxa"/>
            <w:vAlign w:val="center"/>
          </w:tcPr>
          <w:p w14:paraId="3B1C35D2">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三维动画总量不少于45个。</w:t>
            </w:r>
          </w:p>
        </w:tc>
      </w:tr>
      <w:tr w14:paraId="08AD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45" w:type="dxa"/>
            <w:vMerge w:val="continue"/>
            <w:vAlign w:val="center"/>
          </w:tcPr>
          <w:p w14:paraId="4C34702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77B32BC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3329D68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虚仿建设</w:t>
            </w:r>
          </w:p>
        </w:tc>
        <w:tc>
          <w:tcPr>
            <w:tcW w:w="799" w:type="dxa"/>
            <w:vAlign w:val="center"/>
          </w:tcPr>
          <w:p w14:paraId="47B5E41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60</w:t>
            </w:r>
          </w:p>
        </w:tc>
        <w:tc>
          <w:tcPr>
            <w:tcW w:w="919" w:type="dxa"/>
            <w:vAlign w:val="center"/>
          </w:tcPr>
          <w:p w14:paraId="65FFC49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3577" w:type="dxa"/>
            <w:vAlign w:val="center"/>
          </w:tcPr>
          <w:p w14:paraId="75DB8A1F">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根据教材情况有选择性进行建设，合计不少于60个轻虚仿资源。</w:t>
            </w:r>
          </w:p>
        </w:tc>
      </w:tr>
      <w:tr w14:paraId="7351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5" w:type="dxa"/>
            <w:vMerge w:val="continue"/>
            <w:vAlign w:val="center"/>
          </w:tcPr>
          <w:p w14:paraId="6DA8D7A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3D43F6D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54EFD979">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个性化游戏定制及版面优化设计</w:t>
            </w:r>
          </w:p>
        </w:tc>
        <w:tc>
          <w:tcPr>
            <w:tcW w:w="799" w:type="dxa"/>
            <w:vAlign w:val="center"/>
          </w:tcPr>
          <w:p w14:paraId="06D9AC3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19" w:type="dxa"/>
            <w:vAlign w:val="center"/>
          </w:tcPr>
          <w:p w14:paraId="6F21A37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套</w:t>
            </w:r>
          </w:p>
        </w:tc>
        <w:tc>
          <w:tcPr>
            <w:tcW w:w="3577" w:type="dxa"/>
            <w:vAlign w:val="center"/>
          </w:tcPr>
          <w:p w14:paraId="76349BEF">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其中，每本教材不少于20个交互测试</w:t>
            </w:r>
          </w:p>
        </w:tc>
      </w:tr>
      <w:tr w14:paraId="4A19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45" w:type="dxa"/>
            <w:vMerge w:val="continue"/>
            <w:vAlign w:val="center"/>
          </w:tcPr>
          <w:p w14:paraId="3933002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01EF14B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1CE1E3DF">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AI训练</w:t>
            </w:r>
          </w:p>
        </w:tc>
        <w:tc>
          <w:tcPr>
            <w:tcW w:w="799" w:type="dxa"/>
            <w:vAlign w:val="center"/>
          </w:tcPr>
          <w:p w14:paraId="5CD7823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19" w:type="dxa"/>
            <w:vAlign w:val="center"/>
          </w:tcPr>
          <w:p w14:paraId="7D1708D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套</w:t>
            </w:r>
          </w:p>
        </w:tc>
        <w:tc>
          <w:tcPr>
            <w:tcW w:w="3577" w:type="dxa"/>
            <w:vAlign w:val="center"/>
          </w:tcPr>
          <w:p w14:paraId="63702F13">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每本教材1套</w:t>
            </w:r>
          </w:p>
        </w:tc>
      </w:tr>
      <w:tr w14:paraId="6D55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545" w:type="dxa"/>
            <w:vMerge w:val="continue"/>
            <w:vAlign w:val="center"/>
          </w:tcPr>
          <w:p w14:paraId="2F86894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66" w:type="dxa"/>
            <w:vMerge w:val="continue"/>
            <w:vAlign w:val="center"/>
          </w:tcPr>
          <w:p w14:paraId="0EDCF7D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09" w:type="dxa"/>
            <w:vAlign w:val="center"/>
          </w:tcPr>
          <w:p w14:paraId="0681BCDD">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教材出版</w:t>
            </w:r>
          </w:p>
        </w:tc>
        <w:tc>
          <w:tcPr>
            <w:tcW w:w="799" w:type="dxa"/>
            <w:vAlign w:val="center"/>
          </w:tcPr>
          <w:p w14:paraId="29DBE2B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19" w:type="dxa"/>
            <w:vAlign w:val="center"/>
          </w:tcPr>
          <w:p w14:paraId="590D088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本</w:t>
            </w:r>
          </w:p>
        </w:tc>
        <w:tc>
          <w:tcPr>
            <w:tcW w:w="3577" w:type="dxa"/>
            <w:vAlign w:val="center"/>
          </w:tcPr>
          <w:p w14:paraId="24E04A15">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每本教材独立ISBN书号，并在采购人制定出版社出版。</w:t>
            </w:r>
          </w:p>
        </w:tc>
      </w:tr>
    </w:tbl>
    <w:p w14:paraId="3892E75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（1）数字教材中心平台：</w:t>
      </w:r>
      <w:r>
        <w:rPr>
          <w:rFonts w:hint="eastAsia" w:ascii="宋体" w:hAnsi="宋体" w:eastAsia="宋体" w:cs="宋体"/>
          <w:color w:val="auto"/>
          <w:sz w:val="24"/>
          <w:szCs w:val="24"/>
          <w:highlight w:val="none"/>
          <w:lang w:val="en-US" w:eastAsia="zh-CN"/>
        </w:rPr>
        <w:t>包含数字教材发布与管理平台、数字教材编辑器、数字教材学习与应用系统、校本数字教材建设支持以及数字教材中心应用推广等服务；</w:t>
      </w:r>
    </w:p>
    <w:p w14:paraId="48D19D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（2）重点数字教材建设：</w:t>
      </w:r>
      <w:r>
        <w:rPr>
          <w:rFonts w:hint="eastAsia" w:ascii="宋体" w:hAnsi="宋体" w:eastAsia="宋体" w:cs="宋体"/>
          <w:color w:val="auto"/>
          <w:sz w:val="24"/>
          <w:szCs w:val="24"/>
          <w:highlight w:val="none"/>
          <w:lang w:val="en-US" w:eastAsia="zh-CN"/>
        </w:rPr>
        <w:t>围绕第二期“双高计划”建设任务，建设《船舶辅机》等15部重点数字教材（</w:t>
      </w:r>
      <w:r>
        <w:rPr>
          <w:rFonts w:hint="eastAsia" w:ascii="宋体" w:hAnsi="宋体" w:eastAsia="宋体" w:cs="宋体"/>
          <w:b/>
          <w:bCs/>
          <w:color w:val="auto"/>
          <w:sz w:val="24"/>
          <w:szCs w:val="24"/>
          <w:highlight w:val="none"/>
          <w:lang w:val="en-US" w:eastAsia="zh-CN"/>
        </w:rPr>
        <w:t>后续教材如有调整，如教材名称变更、教材内容调整等，经双方友好协商后另行签署备忘录</w:t>
      </w:r>
      <w:r>
        <w:rPr>
          <w:rFonts w:hint="eastAsia" w:ascii="宋体" w:hAnsi="宋体" w:eastAsia="宋体" w:cs="宋体"/>
          <w:color w:val="auto"/>
          <w:sz w:val="24"/>
          <w:szCs w:val="24"/>
          <w:highlight w:val="none"/>
          <w:lang w:val="en-US" w:eastAsia="zh-CN"/>
        </w:rPr>
        <w:t>），教材名称及出版需求见下表：</w:t>
      </w:r>
    </w:p>
    <w:tbl>
      <w:tblPr>
        <w:tblStyle w:val="8"/>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4170"/>
        <w:gridCol w:w="3495"/>
      </w:tblGrid>
      <w:tr w14:paraId="6F92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96" w:type="dxa"/>
            <w:noWrap w:val="0"/>
            <w:vAlign w:val="center"/>
          </w:tcPr>
          <w:p w14:paraId="451BCAB8">
            <w:pPr>
              <w:keepNext w:val="0"/>
              <w:keepLines w:val="0"/>
              <w:pageBreakBefore w:val="0"/>
              <w:widowControl w:val="0"/>
              <w:numPr>
                <w:ilvl w:val="0"/>
                <w:numId w:val="0"/>
              </w:numPr>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4170" w:type="dxa"/>
            <w:noWrap w:val="0"/>
            <w:vAlign w:val="center"/>
          </w:tcPr>
          <w:p w14:paraId="20A1824B">
            <w:pPr>
              <w:keepNext w:val="0"/>
              <w:keepLines w:val="0"/>
              <w:pageBreakBefore w:val="0"/>
              <w:widowControl w:val="0"/>
              <w:numPr>
                <w:ilvl w:val="0"/>
                <w:numId w:val="0"/>
              </w:numPr>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教材名称</w:t>
            </w:r>
          </w:p>
        </w:tc>
        <w:tc>
          <w:tcPr>
            <w:tcW w:w="3495" w:type="dxa"/>
            <w:noWrap w:val="0"/>
            <w:vAlign w:val="center"/>
          </w:tcPr>
          <w:p w14:paraId="2DE91B01">
            <w:pPr>
              <w:keepNext w:val="0"/>
              <w:keepLines w:val="0"/>
              <w:pageBreakBefore w:val="0"/>
              <w:widowControl w:val="0"/>
              <w:numPr>
                <w:ilvl w:val="0"/>
                <w:numId w:val="0"/>
              </w:numPr>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出版社要求</w:t>
            </w:r>
          </w:p>
        </w:tc>
      </w:tr>
      <w:tr w14:paraId="29AF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493D532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4170" w:type="dxa"/>
            <w:noWrap w:val="0"/>
            <w:vAlign w:val="center"/>
          </w:tcPr>
          <w:p w14:paraId="1F00D094">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船舶辅机</w:t>
            </w:r>
          </w:p>
        </w:tc>
        <w:tc>
          <w:tcPr>
            <w:tcW w:w="3495" w:type="dxa"/>
            <w:vMerge w:val="restart"/>
            <w:noWrap w:val="0"/>
            <w:vAlign w:val="center"/>
          </w:tcPr>
          <w:p w14:paraId="5012C3EF">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rPr>
              <w:t>航海类、船舶制造类教材出版优质单位，如大连海事大学出版社、哈尔滨工程大学出版社、人民交通出版社等。</w:t>
            </w:r>
          </w:p>
        </w:tc>
      </w:tr>
      <w:tr w14:paraId="5D8D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7C02B10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4170" w:type="dxa"/>
            <w:noWrap w:val="0"/>
            <w:vAlign w:val="center"/>
          </w:tcPr>
          <w:p w14:paraId="3F731CC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船舶机电设备与系统</w:t>
            </w:r>
          </w:p>
        </w:tc>
        <w:tc>
          <w:tcPr>
            <w:tcW w:w="3495" w:type="dxa"/>
            <w:vMerge w:val="continue"/>
            <w:noWrap w:val="0"/>
            <w:vAlign w:val="top"/>
          </w:tcPr>
          <w:p w14:paraId="3A0EC69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7DE0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1F369C39">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4170" w:type="dxa"/>
            <w:noWrap w:val="0"/>
            <w:vAlign w:val="center"/>
          </w:tcPr>
          <w:p w14:paraId="4E0DDF3F">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船舶主机</w:t>
            </w:r>
          </w:p>
        </w:tc>
        <w:tc>
          <w:tcPr>
            <w:tcW w:w="3495" w:type="dxa"/>
            <w:vMerge w:val="continue"/>
            <w:noWrap w:val="0"/>
            <w:vAlign w:val="top"/>
          </w:tcPr>
          <w:p w14:paraId="1EB8312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69E4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0A9D11E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4170" w:type="dxa"/>
            <w:noWrap w:val="0"/>
            <w:vAlign w:val="center"/>
          </w:tcPr>
          <w:p w14:paraId="1754C13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船体智能建造与装配</w:t>
            </w:r>
          </w:p>
        </w:tc>
        <w:tc>
          <w:tcPr>
            <w:tcW w:w="3495" w:type="dxa"/>
            <w:vMerge w:val="continue"/>
            <w:noWrap w:val="0"/>
            <w:vAlign w:val="top"/>
          </w:tcPr>
          <w:p w14:paraId="6508AB4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7E35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09B42E16">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5</w:t>
            </w:r>
          </w:p>
        </w:tc>
        <w:tc>
          <w:tcPr>
            <w:tcW w:w="4170" w:type="dxa"/>
            <w:noWrap w:val="0"/>
            <w:vAlign w:val="center"/>
          </w:tcPr>
          <w:p w14:paraId="7699DBE2">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主机安装调试</w:t>
            </w:r>
          </w:p>
        </w:tc>
        <w:tc>
          <w:tcPr>
            <w:tcW w:w="3495" w:type="dxa"/>
            <w:vMerge w:val="continue"/>
            <w:noWrap w:val="0"/>
            <w:vAlign w:val="top"/>
          </w:tcPr>
          <w:p w14:paraId="36A98A4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sz w:val="24"/>
                <w:szCs w:val="24"/>
                <w:highlight w:val="none"/>
                <w:vertAlign w:val="baseline"/>
                <w:lang w:val="en-US" w:eastAsia="zh-CN"/>
              </w:rPr>
            </w:pPr>
          </w:p>
        </w:tc>
      </w:tr>
      <w:tr w14:paraId="5CBA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7C4AAD2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6</w:t>
            </w:r>
          </w:p>
        </w:tc>
        <w:tc>
          <w:tcPr>
            <w:tcW w:w="4170" w:type="dxa"/>
            <w:noWrap w:val="0"/>
            <w:vAlign w:val="center"/>
          </w:tcPr>
          <w:p w14:paraId="561A176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船舶管路数字化设计</w:t>
            </w:r>
          </w:p>
        </w:tc>
        <w:tc>
          <w:tcPr>
            <w:tcW w:w="3495" w:type="dxa"/>
            <w:vMerge w:val="continue"/>
            <w:noWrap w:val="0"/>
            <w:vAlign w:val="top"/>
          </w:tcPr>
          <w:p w14:paraId="5C0927FC">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2EFC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6456763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7</w:t>
            </w:r>
          </w:p>
        </w:tc>
        <w:tc>
          <w:tcPr>
            <w:tcW w:w="4170" w:type="dxa"/>
            <w:noWrap w:val="0"/>
            <w:vAlign w:val="center"/>
          </w:tcPr>
          <w:p w14:paraId="67512E12">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船舶电气</w:t>
            </w:r>
          </w:p>
        </w:tc>
        <w:tc>
          <w:tcPr>
            <w:tcW w:w="3495" w:type="dxa"/>
            <w:vMerge w:val="continue"/>
            <w:noWrap w:val="0"/>
            <w:vAlign w:val="top"/>
          </w:tcPr>
          <w:p w14:paraId="266B7003">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437F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2D2F4D3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8</w:t>
            </w:r>
          </w:p>
        </w:tc>
        <w:tc>
          <w:tcPr>
            <w:tcW w:w="4170" w:type="dxa"/>
            <w:noWrap w:val="0"/>
            <w:vAlign w:val="center"/>
          </w:tcPr>
          <w:p w14:paraId="7D46735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表面处理技术</w:t>
            </w:r>
          </w:p>
        </w:tc>
        <w:tc>
          <w:tcPr>
            <w:tcW w:w="3495" w:type="dxa"/>
            <w:vMerge w:val="continue"/>
            <w:noWrap w:val="0"/>
            <w:vAlign w:val="top"/>
          </w:tcPr>
          <w:p w14:paraId="2E15D54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15EB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3A6CAF3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9</w:t>
            </w:r>
          </w:p>
        </w:tc>
        <w:tc>
          <w:tcPr>
            <w:tcW w:w="4170" w:type="dxa"/>
            <w:noWrap w:val="0"/>
            <w:vAlign w:val="center"/>
          </w:tcPr>
          <w:p w14:paraId="784A8CD1">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造船检验</w:t>
            </w:r>
          </w:p>
        </w:tc>
        <w:tc>
          <w:tcPr>
            <w:tcW w:w="3495" w:type="dxa"/>
            <w:vMerge w:val="continue"/>
            <w:noWrap w:val="0"/>
            <w:vAlign w:val="top"/>
          </w:tcPr>
          <w:p w14:paraId="333A81B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72F3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4E622CC2">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10</w:t>
            </w:r>
          </w:p>
        </w:tc>
        <w:tc>
          <w:tcPr>
            <w:tcW w:w="4170" w:type="dxa"/>
            <w:noWrap w:val="0"/>
            <w:vAlign w:val="center"/>
          </w:tcPr>
          <w:p w14:paraId="2D0BFCC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船舶舾装</w:t>
            </w:r>
          </w:p>
        </w:tc>
        <w:tc>
          <w:tcPr>
            <w:tcW w:w="3495" w:type="dxa"/>
            <w:vMerge w:val="continue"/>
            <w:noWrap w:val="0"/>
            <w:vAlign w:val="top"/>
          </w:tcPr>
          <w:p w14:paraId="37855E05">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56A0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30FB0535">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11</w:t>
            </w:r>
          </w:p>
        </w:tc>
        <w:tc>
          <w:tcPr>
            <w:tcW w:w="4170" w:type="dxa"/>
            <w:noWrap w:val="0"/>
            <w:vAlign w:val="center"/>
          </w:tcPr>
          <w:p w14:paraId="182D764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智能制造产线集成</w:t>
            </w:r>
          </w:p>
        </w:tc>
        <w:tc>
          <w:tcPr>
            <w:tcW w:w="3495" w:type="dxa"/>
            <w:vMerge w:val="continue"/>
            <w:noWrap w:val="0"/>
            <w:vAlign w:val="top"/>
          </w:tcPr>
          <w:p w14:paraId="11FDA11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5321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72C5BFA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12</w:t>
            </w:r>
          </w:p>
        </w:tc>
        <w:tc>
          <w:tcPr>
            <w:tcW w:w="4170" w:type="dxa"/>
            <w:noWrap w:val="0"/>
            <w:vAlign w:val="center"/>
          </w:tcPr>
          <w:p w14:paraId="091944F3">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焊接质量检验</w:t>
            </w:r>
          </w:p>
        </w:tc>
        <w:tc>
          <w:tcPr>
            <w:tcW w:w="3495" w:type="dxa"/>
            <w:vMerge w:val="continue"/>
            <w:noWrap w:val="0"/>
            <w:vAlign w:val="top"/>
          </w:tcPr>
          <w:p w14:paraId="2F66653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0CAE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1675A692">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13</w:t>
            </w:r>
          </w:p>
        </w:tc>
        <w:tc>
          <w:tcPr>
            <w:tcW w:w="4170" w:type="dxa"/>
            <w:noWrap w:val="0"/>
            <w:vAlign w:val="center"/>
          </w:tcPr>
          <w:p w14:paraId="1525CF94">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数字化设计与制造</w:t>
            </w:r>
          </w:p>
        </w:tc>
        <w:tc>
          <w:tcPr>
            <w:tcW w:w="3495" w:type="dxa"/>
            <w:vMerge w:val="continue"/>
            <w:noWrap w:val="0"/>
            <w:vAlign w:val="top"/>
          </w:tcPr>
          <w:p w14:paraId="45CAD5F0">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0F79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 w:type="dxa"/>
            <w:noWrap w:val="0"/>
            <w:vAlign w:val="center"/>
          </w:tcPr>
          <w:p w14:paraId="6874412A">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14</w:t>
            </w:r>
          </w:p>
        </w:tc>
        <w:tc>
          <w:tcPr>
            <w:tcW w:w="4170" w:type="dxa"/>
            <w:noWrap w:val="0"/>
            <w:vAlign w:val="center"/>
          </w:tcPr>
          <w:p w14:paraId="733FBE6E">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船舶焊接</w:t>
            </w:r>
          </w:p>
        </w:tc>
        <w:tc>
          <w:tcPr>
            <w:tcW w:w="3495" w:type="dxa"/>
            <w:vMerge w:val="continue"/>
            <w:noWrap w:val="0"/>
            <w:vAlign w:val="top"/>
          </w:tcPr>
          <w:p w14:paraId="20553285">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r w14:paraId="04F2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96" w:type="dxa"/>
            <w:noWrap w:val="0"/>
            <w:vAlign w:val="center"/>
          </w:tcPr>
          <w:p w14:paraId="712F2718">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15</w:t>
            </w:r>
          </w:p>
        </w:tc>
        <w:tc>
          <w:tcPr>
            <w:tcW w:w="4170" w:type="dxa"/>
            <w:noWrap w:val="0"/>
            <w:vAlign w:val="center"/>
          </w:tcPr>
          <w:p w14:paraId="3F96F23D">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jc w:val="both"/>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船舶建造工艺</w:t>
            </w:r>
          </w:p>
        </w:tc>
        <w:tc>
          <w:tcPr>
            <w:tcW w:w="3495" w:type="dxa"/>
            <w:vMerge w:val="continue"/>
            <w:noWrap w:val="0"/>
            <w:vAlign w:val="top"/>
          </w:tcPr>
          <w:p w14:paraId="06F8D057">
            <w:pPr>
              <w:keepNext w:val="0"/>
              <w:keepLines w:val="0"/>
              <w:pageBreakBefore w:val="0"/>
              <w:widowControl w:val="0"/>
              <w:numPr>
                <w:ilvl w:val="0"/>
                <w:numId w:val="0"/>
              </w:numPr>
              <w:kinsoku/>
              <w:wordWrap/>
              <w:overflowPunct/>
              <w:topLinePunct w:val="0"/>
              <w:autoSpaceDE/>
              <w:autoSpaceDN/>
              <w:bidi w:val="0"/>
              <w:adjustRightInd w:val="0"/>
              <w:snapToGrid w:val="0"/>
              <w:spacing w:after="0" w:line="320" w:lineRule="exact"/>
              <w:ind w:left="0" w:leftChars="0" w:firstLine="0" w:firstLineChars="0"/>
              <w:textAlignment w:val="auto"/>
              <w:rPr>
                <w:rFonts w:hint="eastAsia" w:ascii="宋体" w:hAnsi="宋体" w:eastAsia="宋体" w:cs="宋体"/>
                <w:color w:val="auto"/>
                <w:kern w:val="2"/>
                <w:sz w:val="24"/>
                <w:szCs w:val="24"/>
                <w:highlight w:val="none"/>
                <w:vertAlign w:val="baseline"/>
                <w:lang w:val="en-US" w:eastAsia="zh-CN" w:bidi="ar-SA"/>
              </w:rPr>
            </w:pPr>
          </w:p>
        </w:tc>
      </w:tr>
    </w:tbl>
    <w:p w14:paraId="1E1127F5">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p>
    <w:p w14:paraId="64D08F15">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2.采购项目实施周期：</w:t>
      </w:r>
    </w:p>
    <w:p w14:paraId="654F8170">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 合同签订后6个月内，完成数字教材中心管理平台的部署及上线试运行，完成数字教材编辑器的权限配置。</w:t>
      </w:r>
    </w:p>
    <w:p w14:paraId="23DF6582">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 2028年年底，完成15本重点数字教材的资源建设及教材编写工作，2029年6月底前完成正式出版。每本教材完成出版后，单独组织专家验收，形成验收报告。</w:t>
      </w:r>
    </w:p>
    <w:p w14:paraId="18A620B7">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 服务期内，采购人根据校本教材建设任务需求，自主设置校内教材建设团队权限，自主推进校本教材建设任务，中标人协助提供编辑器使用的培训及教材编写的指导。</w:t>
      </w:r>
    </w:p>
    <w:p w14:paraId="0FCBE434">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 2029年8月底前，完成该项目整体验收。</w:t>
      </w:r>
    </w:p>
    <w:p w14:paraId="6E7089CF">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3.采购项目交付地点：</w:t>
      </w:r>
      <w:r>
        <w:rPr>
          <w:rFonts w:hint="eastAsia" w:ascii="宋体" w:hAnsi="宋体" w:eastAsia="宋体" w:cs="宋体"/>
          <w:color w:val="auto"/>
          <w:sz w:val="24"/>
          <w:szCs w:val="24"/>
          <w:highlight w:val="none"/>
          <w:u w:val="single"/>
          <w:lang w:val="en-US" w:eastAsia="zh-CN"/>
        </w:rPr>
        <w:t>江苏航运职业技术学院，具体按采购人指定地点</w:t>
      </w:r>
      <w:r>
        <w:rPr>
          <w:rFonts w:hint="eastAsia" w:ascii="宋体" w:hAnsi="宋体" w:eastAsia="宋体" w:cs="宋体"/>
          <w:color w:val="auto"/>
          <w:sz w:val="24"/>
          <w:szCs w:val="24"/>
          <w:highlight w:val="none"/>
          <w:lang w:val="en-US" w:eastAsia="zh-CN"/>
        </w:rPr>
        <w:t>。</w:t>
      </w:r>
    </w:p>
    <w:p w14:paraId="2BF28808">
      <w:pPr>
        <w:pStyle w:val="5"/>
        <w:keepNext w:val="0"/>
        <w:keepLines w:val="0"/>
        <w:pageBreakBefore w:val="0"/>
        <w:widowControl w:val="0"/>
        <w:tabs>
          <w:tab w:val="left" w:pos="0"/>
        </w:tabs>
        <w:kinsoku/>
        <w:overflowPunct/>
        <w:topLinePunct w:val="0"/>
        <w:autoSpaceDE/>
        <w:autoSpaceDN/>
        <w:bidi w:val="0"/>
        <w:snapToGrid w:val="0"/>
        <w:spacing w:before="120" w:after="120" w:line="360" w:lineRule="auto"/>
        <w:ind w:firstLine="482" w:firstLineChars="200"/>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eastAsia="zh-CN"/>
        </w:rPr>
        <w:t>三</w:t>
      </w:r>
      <w:r>
        <w:rPr>
          <w:rFonts w:hint="eastAsia" w:ascii="宋体" w:hAnsi="宋体" w:eastAsia="宋体" w:cs="宋体"/>
          <w:b/>
          <w:bCs/>
          <w:color w:val="auto"/>
          <w:kern w:val="2"/>
          <w:sz w:val="24"/>
          <w:szCs w:val="24"/>
          <w:highlight w:val="none"/>
        </w:rPr>
        <w:t>、采购标的需满足的服务标准、期限、效率等要求</w:t>
      </w:r>
    </w:p>
    <w:p w14:paraId="4D130D5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1.质保期：平台提供终身免费质保，质保期内免费提供系统升级、故障修复、数据维护等服务。</w:t>
      </w:r>
    </w:p>
    <w:p w14:paraId="754AB8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2.响应时间：提供7×24小时技术支持，一般问题2小时内响应，重大故障24小时内解决。</w:t>
      </w:r>
    </w:p>
    <w:p w14:paraId="5453DBC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3.培训服务：提供每年不少于20人次的教师培训，确保教师能熟练使用平台和编辑工具。</w:t>
      </w:r>
    </w:p>
    <w:p w14:paraId="22D4B8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4.内容更新：教材内容如需根据学校要求进行少量修改，中标人应在7个工作日内响应。</w:t>
      </w:r>
    </w:p>
    <w:p w14:paraId="3871CC35">
      <w:pPr>
        <w:pStyle w:val="5"/>
        <w:keepNext w:val="0"/>
        <w:keepLines w:val="0"/>
        <w:pageBreakBefore w:val="0"/>
        <w:widowControl w:val="0"/>
        <w:tabs>
          <w:tab w:val="left" w:pos="0"/>
        </w:tabs>
        <w:kinsoku/>
        <w:overflowPunct/>
        <w:topLinePunct w:val="0"/>
        <w:autoSpaceDE/>
        <w:autoSpaceDN/>
        <w:bidi w:val="0"/>
        <w:snapToGrid w:val="0"/>
        <w:spacing w:before="120" w:after="120" w:line="360" w:lineRule="auto"/>
        <w:ind w:firstLine="482" w:firstLineChars="200"/>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eastAsia="zh-CN"/>
        </w:rPr>
        <w:t>四</w:t>
      </w:r>
      <w:r>
        <w:rPr>
          <w:rFonts w:hint="eastAsia" w:ascii="宋体" w:hAnsi="宋体" w:eastAsia="宋体" w:cs="宋体"/>
          <w:b/>
          <w:bCs/>
          <w:color w:val="auto"/>
          <w:kern w:val="2"/>
          <w:sz w:val="24"/>
          <w:szCs w:val="24"/>
          <w:highlight w:val="none"/>
        </w:rPr>
        <w:t>、采购标的验收标准</w:t>
      </w:r>
    </w:p>
    <w:p w14:paraId="3EA0C0C5">
      <w:pPr>
        <w:pStyle w:val="5"/>
        <w:keepNext w:val="0"/>
        <w:keepLines w:val="0"/>
        <w:pageBreakBefore w:val="0"/>
        <w:widowControl w:val="0"/>
        <w:shd w:val="clear"/>
        <w:tabs>
          <w:tab w:val="left" w:pos="0"/>
        </w:tabs>
        <w:kinsoku/>
        <w:overflowPunct/>
        <w:topLinePunct w:val="0"/>
        <w:autoSpaceDE/>
        <w:autoSpaceDN/>
        <w:bidi w:val="0"/>
        <w:snapToGrid w:val="0"/>
        <w:spacing w:before="120" w:after="12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1.中标人依据招标文件、合同条款要求，完成约定的建设任务，履行项目招标文件中的技术需求、服务要求及投标文件中的承诺；</w:t>
      </w:r>
    </w:p>
    <w:p w14:paraId="487580A7">
      <w:pPr>
        <w:pStyle w:val="5"/>
        <w:keepNext w:val="0"/>
        <w:keepLines w:val="0"/>
        <w:pageBreakBefore w:val="0"/>
        <w:widowControl w:val="0"/>
        <w:shd w:val="clear"/>
        <w:tabs>
          <w:tab w:val="left" w:pos="0"/>
        </w:tabs>
        <w:kinsoku/>
        <w:overflowPunct/>
        <w:topLinePunct w:val="0"/>
        <w:autoSpaceDE/>
        <w:autoSpaceDN/>
        <w:bidi w:val="0"/>
        <w:snapToGrid w:val="0"/>
        <w:spacing w:before="120" w:after="12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2.采购人组成验收小组，对中标人交付的产品、服务进行确认验收，并出具书面意见。</w:t>
      </w:r>
    </w:p>
    <w:p w14:paraId="12029E6D">
      <w:pPr>
        <w:pStyle w:val="5"/>
        <w:keepNext w:val="0"/>
        <w:keepLines w:val="0"/>
        <w:pageBreakBefore w:val="0"/>
        <w:widowControl w:val="0"/>
        <w:tabs>
          <w:tab w:val="left" w:pos="0"/>
        </w:tabs>
        <w:kinsoku/>
        <w:overflowPunct/>
        <w:topLinePunct w:val="0"/>
        <w:autoSpaceDE/>
        <w:autoSpaceDN/>
        <w:bidi w:val="0"/>
        <w:snapToGrid w:val="0"/>
        <w:spacing w:before="120" w:after="120" w:line="360" w:lineRule="auto"/>
        <w:ind w:firstLine="482" w:firstLineChars="200"/>
        <w:textAlignment w:val="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eastAsia="zh-CN"/>
        </w:rPr>
        <w:t>五、</w:t>
      </w:r>
      <w:r>
        <w:rPr>
          <w:rFonts w:hint="eastAsia" w:ascii="宋体" w:hAnsi="宋体" w:eastAsia="宋体" w:cs="宋体"/>
          <w:b/>
          <w:bCs/>
          <w:color w:val="auto"/>
          <w:kern w:val="2"/>
          <w:sz w:val="24"/>
          <w:szCs w:val="24"/>
          <w:highlight w:val="none"/>
          <w:lang w:val="en-US" w:eastAsia="zh-CN"/>
        </w:rPr>
        <w:t>知识产权要求</w:t>
      </w:r>
    </w:p>
    <w:p w14:paraId="2538D3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1.所有开发成果（数字教材内容、配套资源、技术文档等）的知识产权归采购人所有。</w:t>
      </w:r>
    </w:p>
    <w:p w14:paraId="022C55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2.中标人须签订保密协议，确保书稿内容在出版前不外泄，未经采购人书面同意不得将任何内容用于其他商业用途。</w:t>
      </w:r>
    </w:p>
    <w:p w14:paraId="17A3471F">
      <w:pPr>
        <w:pStyle w:val="5"/>
        <w:keepNext w:val="0"/>
        <w:keepLines w:val="0"/>
        <w:pageBreakBefore w:val="0"/>
        <w:widowControl w:val="0"/>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eastAsia="zh-CN"/>
        </w:rPr>
        <w:t>六</w:t>
      </w:r>
      <w:r>
        <w:rPr>
          <w:rFonts w:hint="eastAsia" w:ascii="宋体" w:hAnsi="宋体" w:eastAsia="宋体" w:cs="宋体"/>
          <w:b/>
          <w:bCs/>
          <w:color w:val="auto"/>
          <w:kern w:val="2"/>
          <w:sz w:val="24"/>
          <w:szCs w:val="24"/>
          <w:highlight w:val="none"/>
        </w:rPr>
        <w:t>、采购标的付款方式</w:t>
      </w:r>
    </w:p>
    <w:p w14:paraId="39EC8D71">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1.本项目采用“平台建设固定费用 + 教材建设单本结算”的复合付款方式。</w:t>
      </w:r>
    </w:p>
    <w:p w14:paraId="7DF7083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数字教材中心平台建设，占项目总资金的20%，主要包含平台开发、部署、编辑器配置、权限管理、系统集成等。</w:t>
      </w:r>
    </w:p>
    <w:p w14:paraId="48D0790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数字教材建设，占项目总资金的80%，主要包含15本重点建设教材的资源建设、编写上线以及出版，平均每本教材费用占教材建设总费用的1/15。</w:t>
      </w:r>
    </w:p>
    <w:p w14:paraId="7537C0E3">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2.付款安排</w:t>
      </w:r>
    </w:p>
    <w:p w14:paraId="58B1E37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（1）数字教材中心平台</w:t>
      </w:r>
    </w:p>
    <w:p w14:paraId="2017CB6E">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合同签订后一个</w:t>
      </w:r>
      <w:r>
        <w:rPr>
          <w:rFonts w:hint="eastAsia" w:ascii="宋体" w:hAnsi="宋体" w:eastAsia="宋体" w:cs="宋体"/>
          <w:color w:val="auto"/>
          <w:sz w:val="24"/>
          <w:szCs w:val="24"/>
          <w:highlight w:val="none"/>
          <w:shd w:val="clear"/>
          <w:lang w:val="en-US" w:eastAsia="zh-CN"/>
        </w:rPr>
        <w:t>月内，中标人提交平台详细设计方案、项目实施方案、团队配置清单等，采购人支付平台费用的40%</w:t>
      </w:r>
      <w:r>
        <w:rPr>
          <w:rFonts w:hint="eastAsia" w:ascii="宋体" w:hAnsi="宋体" w:eastAsia="宋体" w:cs="宋体"/>
          <w:color w:val="auto"/>
          <w:sz w:val="24"/>
          <w:szCs w:val="24"/>
          <w:highlight w:val="none"/>
          <w:lang w:val="en-US" w:eastAsia="zh-CN"/>
        </w:rPr>
        <w:t>；</w:t>
      </w:r>
    </w:p>
    <w:p w14:paraId="607D7F02">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lang w:val="en-US" w:eastAsia="zh-CN"/>
        </w:rPr>
        <w:t>中标人平台完成部署、试运行，通过功能测试，提交完整技术文档，并完成教师培训，采购人支付</w:t>
      </w:r>
      <w:r>
        <w:rPr>
          <w:rFonts w:hint="eastAsia" w:ascii="宋体" w:hAnsi="宋体" w:eastAsia="宋体" w:cs="宋体"/>
          <w:color w:val="auto"/>
          <w:sz w:val="24"/>
          <w:szCs w:val="24"/>
          <w:highlight w:val="none"/>
          <w:lang w:val="en-US" w:eastAsia="zh-CN"/>
        </w:rPr>
        <w:t>平台费用的60%。</w:t>
      </w:r>
    </w:p>
    <w:p w14:paraId="12DA1DE7">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（2）数字教材建设</w:t>
      </w:r>
    </w:p>
    <w:p w14:paraId="72404752">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采用</w:t>
      </w:r>
      <w:r>
        <w:rPr>
          <w:rFonts w:hint="eastAsia" w:ascii="宋体" w:hAnsi="宋体" w:eastAsia="宋体" w:cs="宋体"/>
          <w:b/>
          <w:bCs/>
          <w:color w:val="auto"/>
          <w:sz w:val="24"/>
          <w:szCs w:val="24"/>
          <w:highlight w:val="none"/>
          <w:lang w:val="en-US" w:eastAsia="zh-CN"/>
        </w:rPr>
        <w:t>“按本验收、按本结算”</w:t>
      </w:r>
      <w:r>
        <w:rPr>
          <w:rFonts w:hint="eastAsia" w:ascii="宋体" w:hAnsi="宋体" w:eastAsia="宋体" w:cs="宋体"/>
          <w:color w:val="auto"/>
          <w:sz w:val="24"/>
          <w:szCs w:val="24"/>
          <w:highlight w:val="none"/>
          <w:lang w:val="en-US" w:eastAsia="zh-CN"/>
        </w:rPr>
        <w:t>的动态付款方式，每本教材独立核算，完成一本支付一本。每本教材总费用按照教材建设总经费的1/15结算。</w:t>
      </w:r>
    </w:p>
    <w:p w14:paraId="0EA1035A">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lang w:val="en-US" w:eastAsia="zh-CN"/>
        </w:rPr>
        <w:t>中标人单本教材提交教材编写大纲、样章（不少于2个知识点），形成教材资源建设清单，采购人确认中标人工作任务，实施单本教材配套资源建设，经课程团队、学校分别验收通过后，采购人支付该教材总费</w:t>
      </w:r>
      <w:r>
        <w:rPr>
          <w:rFonts w:hint="eastAsia" w:ascii="宋体" w:hAnsi="宋体" w:eastAsia="宋体" w:cs="宋体"/>
          <w:color w:val="auto"/>
          <w:sz w:val="24"/>
          <w:szCs w:val="24"/>
          <w:highlight w:val="none"/>
          <w:lang w:val="en-US" w:eastAsia="zh-CN"/>
        </w:rPr>
        <w:t>用的70%；</w:t>
      </w:r>
    </w:p>
    <w:p w14:paraId="42C4E366">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lang w:val="en-US" w:eastAsia="zh-CN"/>
        </w:rPr>
        <w:t>中标人单本教材在平台完成编辑、审核、正式上线，获得指定出版社ISBN号并出版，采购人支</w:t>
      </w:r>
      <w:r>
        <w:rPr>
          <w:rFonts w:hint="eastAsia" w:ascii="宋体" w:hAnsi="宋体" w:eastAsia="宋体" w:cs="宋体"/>
          <w:color w:val="auto"/>
          <w:sz w:val="24"/>
          <w:szCs w:val="24"/>
          <w:highlight w:val="none"/>
          <w:lang w:val="en-US" w:eastAsia="zh-CN"/>
        </w:rPr>
        <w:t>付该教材总费用的30%。</w:t>
      </w:r>
    </w:p>
    <w:p w14:paraId="4138BBF2">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.中标人凭以下文件资料申请支付合同款 </w:t>
      </w:r>
    </w:p>
    <w:p w14:paraId="3289D17E">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（1）采购合同； </w:t>
      </w:r>
    </w:p>
    <w:p w14:paraId="6E6C8224">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（2）中标通知书复印件或扫描件； </w:t>
      </w:r>
    </w:p>
    <w:p w14:paraId="3977186B">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（3）中标人开具的国家税务机关监制的正式</w:t>
      </w:r>
      <w:r>
        <w:rPr>
          <w:rFonts w:hint="eastAsia" w:ascii="宋体" w:hAnsi="宋体" w:eastAsia="宋体" w:cs="宋体"/>
          <w:color w:val="auto"/>
          <w:sz w:val="24"/>
          <w:szCs w:val="24"/>
          <w:highlight w:val="none"/>
          <w:lang w:val="en-US" w:eastAsia="zh-CN"/>
        </w:rPr>
        <w:t>增值税发票</w:t>
      </w:r>
      <w:r>
        <w:rPr>
          <w:rFonts w:hint="eastAsia" w:ascii="宋体" w:hAnsi="宋体" w:eastAsia="宋体" w:cs="宋体"/>
          <w:color w:val="auto"/>
          <w:sz w:val="24"/>
          <w:szCs w:val="24"/>
          <w:highlight w:val="none"/>
        </w:rPr>
        <w:t>；</w:t>
      </w:r>
    </w:p>
    <w:p w14:paraId="1095E0FC">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（4）采购人签发的验收合格文件。 </w:t>
      </w:r>
    </w:p>
    <w:p w14:paraId="376F0786">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采购人使用的是财政资金，采购人在前款规定的付款时间为向政府采购支付部门提出办理财政支付申请手续的时间（不含政府财政支付部门审核的时间），在规定时间内提出支付申请手续后即视为采购人是按期支付。</w:t>
      </w:r>
    </w:p>
    <w:p w14:paraId="7FA18569">
      <w:pPr>
        <w:pStyle w:val="5"/>
        <w:keepNext w:val="0"/>
        <w:keepLines w:val="0"/>
        <w:pageBreakBefore w:val="0"/>
        <w:widowControl w:val="0"/>
        <w:tabs>
          <w:tab w:val="left" w:pos="0"/>
        </w:tabs>
        <w:kinsoku/>
        <w:wordWrap/>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七、演示讲解</w:t>
      </w:r>
    </w:p>
    <w:p w14:paraId="108A26F3">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供应商需要求制作演示视频文件，视频文件的格式为*.mp4或*.avi，供应商须将视频文件分段压缩为*.zip文件上传（单个文件不得大于50M，所有文件总共不得大于300M）。文件上传方式见《江苏省政府采购管理交易系统（苏采云）供应商操作手册》规定，上传的演示视频将作为投标文件的组成部分。</w:t>
      </w:r>
    </w:p>
    <w:p w14:paraId="5106E5BC">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2.现场演示要求：</w:t>
      </w:r>
    </w:p>
    <w:p w14:paraId="2D75A546">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项目现场演示负责人于</w:t>
      </w:r>
      <w:r>
        <w:rPr>
          <w:rFonts w:hint="eastAsia" w:ascii="宋体" w:hAnsi="宋体" w:eastAsia="宋体" w:cs="宋体"/>
          <w:b/>
          <w:bCs/>
          <w:color w:val="auto"/>
          <w:sz w:val="24"/>
          <w:szCs w:val="24"/>
          <w:highlight w:val="none"/>
          <w:u w:val="single"/>
          <w:lang w:val="en-US" w:eastAsia="zh-CN"/>
        </w:rPr>
        <w:t>2026年06月05日10时00分至10时30分</w:t>
      </w:r>
      <w:r>
        <w:rPr>
          <w:rFonts w:hint="eastAsia" w:ascii="宋体" w:hAnsi="宋体" w:eastAsia="宋体" w:cs="宋体"/>
          <w:b/>
          <w:bCs/>
          <w:color w:val="auto"/>
          <w:sz w:val="24"/>
          <w:szCs w:val="24"/>
          <w:highlight w:val="none"/>
          <w:lang w:eastAsia="zh-CN"/>
        </w:rPr>
        <w:t>（北京时间），携</w:t>
      </w:r>
      <w:r>
        <w:rPr>
          <w:rFonts w:hint="eastAsia" w:ascii="宋体" w:hAnsi="宋体" w:eastAsia="宋体" w:cs="宋体"/>
          <w:b/>
          <w:bCs/>
          <w:color w:val="auto"/>
          <w:sz w:val="24"/>
          <w:szCs w:val="24"/>
          <w:highlight w:val="none"/>
          <w:lang w:val="en-US" w:eastAsia="zh-CN"/>
        </w:rPr>
        <w:t>带本人身份证原件及授权委托书原件（以便核验），到</w:t>
      </w:r>
      <w:r>
        <w:rPr>
          <w:rFonts w:hint="eastAsia" w:ascii="宋体" w:hAnsi="宋体" w:eastAsia="宋体" w:cs="宋体"/>
          <w:b/>
          <w:bCs/>
          <w:color w:val="auto"/>
          <w:sz w:val="24"/>
          <w:szCs w:val="24"/>
          <w:highlight w:val="none"/>
          <w:u w:val="single"/>
          <w:lang w:eastAsia="zh-CN"/>
        </w:rPr>
        <w:t>南通市经济技术开发区宏兴路</w:t>
      </w:r>
      <w:r>
        <w:rPr>
          <w:rFonts w:hint="eastAsia" w:ascii="宋体" w:hAnsi="宋体" w:eastAsia="宋体" w:cs="宋体"/>
          <w:b/>
          <w:bCs/>
          <w:color w:val="auto"/>
          <w:sz w:val="24"/>
          <w:szCs w:val="24"/>
          <w:highlight w:val="none"/>
          <w:u w:val="single"/>
          <w:lang w:val="en-US" w:eastAsia="zh-CN"/>
        </w:rPr>
        <w:t>9号能达大厦东裙楼五楼（504）</w:t>
      </w:r>
      <w:r>
        <w:rPr>
          <w:rFonts w:hint="eastAsia" w:ascii="宋体" w:hAnsi="宋体" w:eastAsia="宋体" w:cs="宋体"/>
          <w:b/>
          <w:bCs/>
          <w:color w:val="auto"/>
          <w:sz w:val="24"/>
          <w:szCs w:val="24"/>
          <w:highlight w:val="none"/>
          <w:lang w:eastAsia="zh-CN"/>
        </w:rPr>
        <w:t>现场签到并等候演示。</w:t>
      </w:r>
    </w:p>
    <w:p w14:paraId="7DE019B9">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）投标文件中须提供项目现场演示负责人，身份证扫描件并加盖公章，否则评委会不予计分。</w:t>
      </w:r>
    </w:p>
    <w:p w14:paraId="25BA4E40">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投标供应商自行准备电脑、网络等所需的全部设备，必须是基于该项目将投入使用的真实系统操作，演示技术参数要求内容。并与苏采云系统内上传的视频内容一致。评标委员会以现场演示内容为准进行打分，苏采云系统中上传的视频作为参考。</w:t>
      </w:r>
    </w:p>
    <w:p w14:paraId="687AF2C0">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（4）项目现场演示负责人演示讲解，时间控制在20分钟以内，超过时间停止演示。由评委根据演示情况进行评定。</w:t>
      </w:r>
    </w:p>
    <w:p w14:paraId="19127EB0">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36"/>
          <w:szCs w:val="36"/>
          <w:highlight w:val="none"/>
        </w:rPr>
      </w:pPr>
      <w:r>
        <w:rPr>
          <w:rFonts w:hint="eastAsia" w:ascii="宋体" w:hAnsi="宋体" w:eastAsia="宋体" w:cs="宋体"/>
          <w:b/>
          <w:bCs/>
          <w:color w:val="auto"/>
          <w:sz w:val="24"/>
          <w:szCs w:val="24"/>
          <w:highlight w:val="none"/>
          <w:lang w:val="en-US" w:eastAsia="zh-CN"/>
        </w:rPr>
        <w:t>（5）未携带身份证原件或未按上述规定时间、地点参加演示的，作无效标处理。</w:t>
      </w:r>
    </w:p>
    <w:p w14:paraId="6A1EC763">
      <w:pPr>
        <w:bidi w:val="0"/>
        <w:rPr>
          <w:rFonts w:hint="eastAsia" w:ascii="宋体" w:hAnsi="宋体" w:eastAsia="宋体" w:cs="宋体"/>
          <w:b/>
          <w:color w:val="auto"/>
          <w:sz w:val="36"/>
          <w:szCs w:val="36"/>
          <w:highlight w:val="none"/>
        </w:rPr>
      </w:pPr>
    </w:p>
    <w:p w14:paraId="0BECBA14">
      <w:pPr>
        <w:bidi w:val="0"/>
        <w:jc w:val="center"/>
        <w:rPr>
          <w:rFonts w:hint="eastAsia" w:ascii="宋体" w:hAnsi="宋体" w:eastAsia="宋体" w:cs="宋体"/>
          <w:color w:val="auto"/>
          <w:highlight w:val="none"/>
        </w:rPr>
      </w:pPr>
      <w:r>
        <w:rPr>
          <w:rFonts w:hint="eastAsia" w:ascii="宋体" w:hAnsi="宋体" w:eastAsia="宋体" w:cs="宋体"/>
          <w:b/>
          <w:color w:val="auto"/>
          <w:sz w:val="36"/>
          <w:szCs w:val="36"/>
          <w:highlight w:val="none"/>
        </w:rPr>
        <w:br w:type="page" w:clear="all"/>
      </w:r>
      <w:r>
        <w:rPr>
          <w:rFonts w:hint="eastAsia" w:ascii="宋体" w:hAnsi="宋体" w:eastAsia="宋体" w:cs="宋体"/>
          <w:b/>
          <w:color w:val="auto"/>
          <w:sz w:val="36"/>
          <w:szCs w:val="36"/>
          <w:highlight w:val="none"/>
        </w:rPr>
        <w:t>第四章</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评审方法和程序</w:t>
      </w:r>
      <w:bookmarkEnd w:id="8"/>
    </w:p>
    <w:p w14:paraId="7B5805B3">
      <w:pPr>
        <w:spacing w:line="360" w:lineRule="auto"/>
        <w:ind w:firstLine="480"/>
        <w:rPr>
          <w:rFonts w:hint="eastAsia" w:ascii="宋体" w:hAnsi="宋体" w:eastAsia="宋体" w:cs="宋体"/>
          <w:b/>
          <w:color w:val="auto"/>
          <w:sz w:val="24"/>
          <w:szCs w:val="24"/>
          <w:highlight w:val="none"/>
        </w:rPr>
      </w:pPr>
    </w:p>
    <w:p w14:paraId="339AC2A1">
      <w:pPr>
        <w:spacing w:line="360" w:lineRule="auto"/>
        <w:ind w:firstLine="48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一、招标人委托招标代理机构组织招标</w:t>
      </w:r>
    </w:p>
    <w:p w14:paraId="146DA7F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成立评标委员会小组，评标委员会由招标人代表和评审专家组成，成员人数应当为</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color w:val="auto"/>
          <w:sz w:val="24"/>
          <w:szCs w:val="24"/>
          <w:highlight w:val="none"/>
        </w:rPr>
        <w:t>人以上单数，其中评审专家不得少于成员总数的三分之二。</w:t>
      </w:r>
    </w:p>
    <w:p w14:paraId="75AFE483">
      <w:pPr>
        <w:spacing w:line="360" w:lineRule="auto"/>
        <w:ind w:firstLine="48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二、开标</w:t>
      </w:r>
    </w:p>
    <w:p w14:paraId="4C8F5332">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不见面远程开标模式：开标当天各投标人在各自地点通过苏采云系统及时登录不见面开标大厅，参加投标活动。</w:t>
      </w:r>
    </w:p>
    <w:p w14:paraId="5E0CBD0C">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招标代理机构主持开标并记录，及时处理投标人代表提出的询问或者回避申请。</w:t>
      </w:r>
    </w:p>
    <w:p w14:paraId="2BD41BD3">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投标人不足3家的不得开标。</w:t>
      </w:r>
    </w:p>
    <w:p w14:paraId="2CCE2B17">
      <w:pPr>
        <w:spacing w:line="360" w:lineRule="auto"/>
        <w:ind w:firstLine="48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三、资格审查</w:t>
      </w:r>
    </w:p>
    <w:p w14:paraId="728D0131">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开标后，招标人及其委托的采购代理机构依据相关法律政策的规定，根据招标文件载明的资格审查要求，对投标人的资格进行审查。</w:t>
      </w:r>
    </w:p>
    <w:p w14:paraId="067996AE">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资格审查合格的投标人进入评标。</w:t>
      </w:r>
    </w:p>
    <w:p w14:paraId="220C5815">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合格投标人不足3家的，不得评标。</w:t>
      </w:r>
    </w:p>
    <w:p w14:paraId="27A1D581">
      <w:pPr>
        <w:spacing w:line="360" w:lineRule="auto"/>
        <w:ind w:firstLine="480"/>
        <w:contextualSpacing/>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四、评标</w:t>
      </w:r>
    </w:p>
    <w:p w14:paraId="0CB15A05">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评标时间：</w:t>
      </w:r>
      <w:r>
        <w:rPr>
          <w:rFonts w:hint="eastAsia" w:ascii="宋体" w:hAnsi="宋体" w:eastAsia="宋体" w:cs="宋体"/>
          <w:b/>
          <w:bCs/>
          <w:color w:val="auto"/>
          <w:sz w:val="24"/>
          <w:szCs w:val="24"/>
          <w:highlight w:val="none"/>
        </w:rPr>
        <w:t>资格审查结束以后</w:t>
      </w:r>
      <w:r>
        <w:rPr>
          <w:rFonts w:hint="eastAsia" w:ascii="宋体" w:hAnsi="宋体" w:eastAsia="宋体" w:cs="宋体"/>
          <w:color w:val="auto"/>
          <w:sz w:val="24"/>
          <w:szCs w:val="24"/>
          <w:highlight w:val="none"/>
        </w:rPr>
        <w:t>。</w:t>
      </w:r>
    </w:p>
    <w:p w14:paraId="7E88A96F">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招标代理机构负责组织评标工作，并履行下列职责：</w:t>
      </w:r>
    </w:p>
    <w:p w14:paraId="41179AB4">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（1）核对评审专家身份和招标人代表授权函，对评审专家在招标采购活动中的职责履行情况予以记录，并及时将有关违法违规行为向相关部门报告。</w:t>
      </w:r>
    </w:p>
    <w:p w14:paraId="1BF6B842">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（2）宣布评标纪律。</w:t>
      </w:r>
    </w:p>
    <w:p w14:paraId="15C017E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（3）公布投标人名单，告知评审专家应当回避的情形。</w:t>
      </w:r>
    </w:p>
    <w:p w14:paraId="35C0825F">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（4）组织评标委员会推选评标组长，招标人代表不得担任组长。</w:t>
      </w:r>
    </w:p>
    <w:p w14:paraId="5CDE369E">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（5）在评标期间采取必要的通讯管理措施，保证评标活动不受外界干扰；除招标人代表、评标现场组织人员外，招标人的其他工作人员以及与评标工作无关的人员不得进入评标现场。</w:t>
      </w:r>
    </w:p>
    <w:p w14:paraId="2ECDB91D">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（6）根据评标委员会的要求介绍采购相关政策法规、招标文件。</w:t>
      </w:r>
    </w:p>
    <w:p w14:paraId="12582A52">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维护评标秩序，监督评标委员会依照招标文件规定的评标程序、方法和标准进行独立评审，及时制止和纠正招标人代表、评审专家的倾向性言论或者违法违规行为；招标人可以在评标前说明项目背景和采购需求，说明内容不得含有歧视性、倾向性意见，不得超出招标文件所述范围。说明应当提交书面材料，并随招标文件一并存档。</w:t>
      </w:r>
    </w:p>
    <w:p w14:paraId="37E0C323">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（8）核对评标结果，有下列规定情形的，要求评标委员会复核或者书面说明理由，评标委员会拒绝的，则予以书面记录并向本级相关部门报告：</w:t>
      </w:r>
    </w:p>
    <w:p w14:paraId="51532128">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①分值汇总计算错误的；</w:t>
      </w:r>
    </w:p>
    <w:p w14:paraId="13359E91">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②分项评分超出评分标准范围的；</w:t>
      </w:r>
    </w:p>
    <w:p w14:paraId="62BBD148">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③评标委员会成员对客观评审因素评分不一致的；</w:t>
      </w:r>
    </w:p>
    <w:p w14:paraId="2A0394AC">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④经评标委员会认定评分畸高、畸低的。</w:t>
      </w:r>
    </w:p>
    <w:p w14:paraId="1544BF82">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（9）评审工作完成后，按照规定向评审专家支付劳务报酬和异地评审差旅费，不得向评审专家以外的其他人员支付评审劳务报酬；</w:t>
      </w:r>
    </w:p>
    <w:p w14:paraId="5DE1A7EC">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（10）处理与评标有关的其他事项。</w:t>
      </w:r>
    </w:p>
    <w:p w14:paraId="7DFAA22B">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评标委员会负责具体评标事务：</w:t>
      </w:r>
    </w:p>
    <w:p w14:paraId="2D50BE92">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独立履行审查、评价合格投标人的投标文件是否符合招标文件的商务、技术等实质性要求并进行比较和评价；按照招标文件中规定的评标方法和标准，对符合性审查合格的投标文件进行商务和技术评估，综合比较与评价并依据招标文件载明的评标方法直接确定中标人。</w:t>
      </w:r>
    </w:p>
    <w:p w14:paraId="24CCAADB">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于投标文件中含义不明确、同类问题表述不一致或者有明显文字和计算错误的内容，评标委员会应当以书面形式要求投标人作出必要的澄清、说明或者补正。投标人的澄清、说明或者补正，应当采用书面形式由投标人代表签字，但不得超出招标文件的范围或者改变其实质性内容。</w:t>
      </w:r>
    </w:p>
    <w:p w14:paraId="330697C7">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委员会发现招标文件存在歧义、重大缺陷导致评标工作无法进行，或者招标文件内容违反国家有关强制性规定的，应当停止评标工作，与招标人或者招标代理机构沟通并作书面记录。招标人或者招标代理机构确认后，应当修改招标文件，重新组织采购活动。</w:t>
      </w:r>
    </w:p>
    <w:p w14:paraId="487AE50B">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评标委员会成员独立履行以下职责与义务：</w:t>
      </w:r>
    </w:p>
    <w:p w14:paraId="210FB875">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（1）遵纪守法，客观、公正、廉洁地履行职责；</w:t>
      </w:r>
    </w:p>
    <w:p w14:paraId="55C0821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（2）审查合格投标人的投标文件是否实质性响应招标文件要求，并做出评价；</w:t>
      </w:r>
    </w:p>
    <w:p w14:paraId="59B209D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（3）按照招标文件规定的评标办法和评标标准进行评标，对评审意见承担个人责任；</w:t>
      </w:r>
    </w:p>
    <w:p w14:paraId="4877F3E5">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（4）可以要求投标人对投标文件有关事项做出解释或澄清；</w:t>
      </w:r>
    </w:p>
    <w:p w14:paraId="75643A5A">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（5）对评标过程和结果，以及投标人的商业秘密保密；</w:t>
      </w:r>
    </w:p>
    <w:p w14:paraId="02DEA90F">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（6）配合相关部门的投诉处理工作；</w:t>
      </w:r>
    </w:p>
    <w:p w14:paraId="37F1E49A">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（7）配合招标人或招标代理机构答复投标人提出的质疑。</w:t>
      </w:r>
    </w:p>
    <w:p w14:paraId="18A71553">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除招标人代表、评标现场组织人员外，招标人的其他工作人员以及与评标工作无关的人员不得进入评标现场；有关人员对评标情况以及在评标过程中获悉的国家秘密、商业秘密负有保密责任。</w:t>
      </w:r>
    </w:p>
    <w:p w14:paraId="0C9DA33A">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开标后直到公告项目中标结果发出中标通知书并授予中标人合同为止，凡属于评审、澄清、评价和比较投标的所有资料及有关授予合同等的相关信息，都不应向投标人或与评标无关的其他人泄露。</w:t>
      </w:r>
    </w:p>
    <w:p w14:paraId="30CEEADF">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评审期间，合格投标人的投标文件仍有可能被评标委员会根据规定判为无效投标。</w:t>
      </w:r>
    </w:p>
    <w:p w14:paraId="3016EB26">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在投标文件的评审、澄清、评价和比较以及授予合同的过程中，投标人对招标人和评标委员会成员有施加影响的任何行为，都将取消其可能的中标资格。</w:t>
      </w:r>
    </w:p>
    <w:p w14:paraId="723142FB">
      <w:pPr>
        <w:spacing w:line="360" w:lineRule="auto"/>
        <w:ind w:firstLine="48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五、评审原则</w:t>
      </w:r>
    </w:p>
    <w:p w14:paraId="4D1601CC">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本项目采用</w:t>
      </w:r>
      <w:r>
        <w:rPr>
          <w:rFonts w:hint="eastAsia" w:ascii="宋体" w:hAnsi="宋体" w:eastAsia="宋体" w:cs="宋体"/>
          <w:b/>
          <w:bCs/>
          <w:color w:val="auto"/>
          <w:sz w:val="24"/>
          <w:szCs w:val="24"/>
          <w:highlight w:val="none"/>
          <w:u w:val="single"/>
        </w:rPr>
        <w:t>综合评分法</w:t>
      </w:r>
      <w:r>
        <w:rPr>
          <w:rFonts w:hint="eastAsia" w:ascii="宋体" w:hAnsi="宋体" w:eastAsia="宋体" w:cs="宋体"/>
          <w:color w:val="auto"/>
          <w:sz w:val="24"/>
          <w:szCs w:val="24"/>
          <w:highlight w:val="none"/>
        </w:rPr>
        <w:t>，即指投标文件满足本项目招标文件全部实质性要求，且按照评审因素的量化指标，经评审后得分最高的投标人推荐为中标人的评标方法。</w:t>
      </w:r>
    </w:p>
    <w:p w14:paraId="5879F5BD">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委员会成员：对符合资格的投标人的投标文件进行符合性审查，以确定其是否满足招标文件的实质性要求；按照招标文件中规定的评标方法和标准，对符合性审查合格的投标文件进行价格和商务技术评估，综合比较与评价。</w:t>
      </w:r>
    </w:p>
    <w:p w14:paraId="6EFFAC8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评标委员会严格按照招标文件规定的要求、条件、评分标准，对投标人所提供的完整计划标的物的科学性、可行性、产品质量、服务质量的保证及承诺等实质性响应内容进行比较评价。</w:t>
      </w:r>
    </w:p>
    <w:p w14:paraId="2583DF99">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对投标文件的评审判定，只依据投标文件内容本身，不依靠开标后任何外来证明文件。</w:t>
      </w:r>
    </w:p>
    <w:p w14:paraId="4AE421E6">
      <w:pPr>
        <w:spacing w:line="360" w:lineRule="auto"/>
        <w:ind w:firstLine="48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六、评审方法</w:t>
      </w:r>
    </w:p>
    <w:p w14:paraId="24FD8A7A">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评标程序：</w:t>
      </w:r>
    </w:p>
    <w:p w14:paraId="4B660A46">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资格符合性评审——商务技术标评审——价格标评审——确定中标候选人。</w:t>
      </w:r>
    </w:p>
    <w:p w14:paraId="55714D7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本次资格审查采用资格后审，各投标人资格审查通过后方能进入商务技术标的开标。</w:t>
      </w:r>
    </w:p>
    <w:p w14:paraId="60B9D451">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评标委员会将仅对按本招标文件载明的方法与规定，为实质上响应招标文件要求的投标文件评审并进行评价和比较。</w:t>
      </w:r>
    </w:p>
    <w:p w14:paraId="63FC4214">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本次项目的商务技术标和价格标评审总分值为100分。两部分评审因素比重如下：</w:t>
      </w:r>
    </w:p>
    <w:p w14:paraId="1B36A39F">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商务技术标分值占总分值的比重为</w:t>
      </w:r>
      <w:r>
        <w:rPr>
          <w:rFonts w:hint="eastAsia" w:ascii="宋体" w:hAnsi="宋体" w:eastAsia="宋体" w:cs="宋体"/>
          <w:b/>
          <w:bCs/>
          <w:color w:val="auto"/>
          <w:sz w:val="24"/>
          <w:szCs w:val="24"/>
          <w:highlight w:val="none"/>
          <w:u w:val="single"/>
          <w:shd w:val="clear"/>
          <w:lang w:val="en-US" w:eastAsia="zh-CN"/>
        </w:rPr>
        <w:t>90</w:t>
      </w:r>
      <w:r>
        <w:rPr>
          <w:rFonts w:hint="eastAsia" w:ascii="宋体" w:hAnsi="宋体" w:eastAsia="宋体" w:cs="宋体"/>
          <w:b/>
          <w:bCs/>
          <w:color w:val="auto"/>
          <w:sz w:val="24"/>
          <w:szCs w:val="24"/>
          <w:highlight w:val="none"/>
          <w:u w:val="single"/>
          <w:shd w:val="clear"/>
        </w:rPr>
        <w:t>%</w:t>
      </w:r>
      <w:r>
        <w:rPr>
          <w:rFonts w:hint="eastAsia" w:ascii="宋体" w:hAnsi="宋体" w:eastAsia="宋体" w:cs="宋体"/>
          <w:b/>
          <w:bCs/>
          <w:color w:val="auto"/>
          <w:sz w:val="24"/>
          <w:szCs w:val="24"/>
          <w:highlight w:val="none"/>
          <w:u w:val="none"/>
          <w:shd w:val="clear"/>
        </w:rPr>
        <w:t>（权重）</w:t>
      </w:r>
      <w:r>
        <w:rPr>
          <w:rFonts w:hint="eastAsia" w:ascii="宋体" w:hAnsi="宋体" w:eastAsia="宋体" w:cs="宋体"/>
          <w:color w:val="auto"/>
          <w:sz w:val="24"/>
          <w:szCs w:val="24"/>
          <w:highlight w:val="none"/>
        </w:rPr>
        <w:t>（计算结果均四舍五入保留两位小数）；</w:t>
      </w:r>
    </w:p>
    <w:p w14:paraId="499A3794">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价格标分值占总分值的比重为</w:t>
      </w:r>
      <w:r>
        <w:rPr>
          <w:rFonts w:hint="eastAsia" w:ascii="宋体" w:hAnsi="宋体" w:eastAsia="宋体" w:cs="宋体"/>
          <w:b/>
          <w:bCs/>
          <w:color w:val="auto"/>
          <w:sz w:val="24"/>
          <w:szCs w:val="24"/>
          <w:highlight w:val="none"/>
          <w:u w:val="single"/>
          <w:shd w:val="clear"/>
          <w:lang w:val="en-US" w:eastAsia="zh-CN"/>
        </w:rPr>
        <w:t>10</w:t>
      </w:r>
      <w:r>
        <w:rPr>
          <w:rFonts w:hint="eastAsia" w:ascii="宋体" w:hAnsi="宋体" w:eastAsia="宋体" w:cs="宋体"/>
          <w:b/>
          <w:bCs/>
          <w:color w:val="auto"/>
          <w:sz w:val="24"/>
          <w:szCs w:val="24"/>
          <w:highlight w:val="none"/>
          <w:u w:val="single"/>
          <w:shd w:val="clear"/>
        </w:rPr>
        <w:t>%</w:t>
      </w:r>
      <w:r>
        <w:rPr>
          <w:rFonts w:hint="eastAsia" w:ascii="宋体" w:hAnsi="宋体" w:eastAsia="宋体" w:cs="宋体"/>
          <w:b/>
          <w:bCs/>
          <w:color w:val="auto"/>
          <w:sz w:val="24"/>
          <w:szCs w:val="24"/>
          <w:highlight w:val="none"/>
          <w:u w:val="none"/>
          <w:shd w:val="clear"/>
        </w:rPr>
        <w:t>（权重）</w:t>
      </w:r>
      <w:r>
        <w:rPr>
          <w:rFonts w:hint="eastAsia" w:ascii="宋体" w:hAnsi="宋体" w:eastAsia="宋体" w:cs="宋体"/>
          <w:color w:val="auto"/>
          <w:sz w:val="24"/>
          <w:szCs w:val="24"/>
          <w:highlight w:val="none"/>
        </w:rPr>
        <w:t xml:space="preserve">（计算结果均四舍五入保留两位小数）； </w:t>
      </w:r>
    </w:p>
    <w:p w14:paraId="7354BD86">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评标委员会严格按照招标文件的要求、条件、评分标准，对投标人所提供服务的先进性、可靠性、售后服务承诺、质量保证承诺等实质性响应内容进行比较。</w:t>
      </w:r>
    </w:p>
    <w:p w14:paraId="115E995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评标专家确定方式：在专家库中随机抽取。评标委员会各成员独立对每个进入打分程序的有效投标人的投标文件的商务技术部分以打分的形式进行评审和评价。</w:t>
      </w:r>
    </w:p>
    <w:p w14:paraId="39FFBF5D">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商务技术分按评委的算术平均值计算（计算结果均四舍五入保留两位小数）。</w:t>
      </w:r>
    </w:p>
    <w:p w14:paraId="1307BDF9">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开启投标人的价格报价标，现场唱标后由投标人代表在苏采云系统确认。</w:t>
      </w:r>
    </w:p>
    <w:p w14:paraId="6EDF4388">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投标人的价格标评审得分直接计算取得，并与其商务技术标得分相加为该投标人的综合得分（计算结果均四舍五入保留两位小数）。</w:t>
      </w:r>
    </w:p>
    <w:p w14:paraId="25C425B0">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结果按评审后得分由高到低顺序排列。得分相同的，按投标报价由低到高顺序排列。得分且投标报价均相同时则通过抽签方式随机确定排名顺序。投标文件满足招标文件全部实质性要求，且按照评审因素的量化指标评审得分最高的投标人为排名第一的中标候选人。</w:t>
      </w:r>
    </w:p>
    <w:p w14:paraId="7B4C2AC9">
      <w:pPr>
        <w:spacing w:line="360" w:lineRule="auto"/>
        <w:ind w:firstLine="48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七、关于投标价格评审</w:t>
      </w:r>
    </w:p>
    <w:p w14:paraId="3273C0FC">
      <w:pPr>
        <w:spacing w:line="360" w:lineRule="auto"/>
        <w:ind w:firstLine="48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针对投标价格实质响应的评审</w:t>
      </w:r>
    </w:p>
    <w:p w14:paraId="0D2A74C9">
      <w:pPr>
        <w:keepNext w:val="0"/>
        <w:keepLines w:val="0"/>
        <w:pageBreakBefore w:val="0"/>
        <w:kinsoku/>
        <w:overflowPunct/>
        <w:topLinePunct w:val="0"/>
        <w:bidi w:val="0"/>
        <w:spacing w:line="360" w:lineRule="auto"/>
        <w:ind w:firstLine="480" w:firstLineChars="200"/>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评标委员会将审查每份投标文件的报价是否实质上响应了招标文件的要求。实质上响应的投标应该是与招标文件要求的全部条款、条件和规格相符，没有重大偏离或保留。所谓重大偏离或保留是指实质上影响合同的服务范围，或者实质上与招标文件的要求不一致。纠正这些偏离或保留将会对其他实质上响应要求的投标人的竞争地位产生不公正的影响。如未实质上响应，则按无效投标处理。 </w:t>
      </w:r>
    </w:p>
    <w:p w14:paraId="438BC228">
      <w:pPr>
        <w:spacing w:line="360" w:lineRule="auto"/>
        <w:ind w:firstLine="48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针对投标价格合理性的评审</w:t>
      </w:r>
    </w:p>
    <w:p w14:paraId="67F93A3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标委员会认为投标人的报价明显低于其他通过符合性审查投标人的报价，有可能影响产品质量或者不能诚信履约的，应当要求其在30分钟内提供书面说明，必要时提交相关证明材料；投标人不能证明其报价合理性的，评标委员会应当将其作为无效投标处理。</w:t>
      </w:r>
    </w:p>
    <w:p w14:paraId="70CC8FF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八、评审评分项 </w:t>
      </w:r>
    </w:p>
    <w:p w14:paraId="13B7C499">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（一）商务技术标评分：（</w:t>
      </w:r>
      <w:r>
        <w:rPr>
          <w:rFonts w:hint="eastAsia" w:ascii="宋体" w:hAnsi="宋体" w:eastAsia="宋体" w:cs="宋体"/>
          <w:b/>
          <w:color w:val="auto"/>
          <w:sz w:val="24"/>
          <w:szCs w:val="24"/>
          <w:highlight w:val="none"/>
          <w:lang w:val="en-US" w:eastAsia="zh-CN"/>
        </w:rPr>
        <w:t>90</w:t>
      </w:r>
      <w:r>
        <w:rPr>
          <w:rFonts w:hint="eastAsia" w:ascii="宋体" w:hAnsi="宋体" w:eastAsia="宋体" w:cs="宋体"/>
          <w:b/>
          <w:color w:val="auto"/>
          <w:sz w:val="24"/>
          <w:szCs w:val="24"/>
          <w:highlight w:val="none"/>
        </w:rPr>
        <w:t>分）</w:t>
      </w:r>
    </w:p>
    <w:tbl>
      <w:tblPr>
        <w:tblStyle w:val="8"/>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4"/>
        <w:gridCol w:w="1121"/>
        <w:gridCol w:w="7262"/>
        <w:gridCol w:w="662"/>
      </w:tblGrid>
      <w:tr w14:paraId="01E0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1" w:hRule="atLeast"/>
          <w:tblHeader/>
          <w:jc w:val="center"/>
        </w:trPr>
        <w:tc>
          <w:tcPr>
            <w:tcW w:w="694" w:type="dxa"/>
            <w:shd w:val="clear" w:color="auto" w:fill="auto"/>
            <w:noWrap w:val="0"/>
            <w:vAlign w:val="center"/>
          </w:tcPr>
          <w:p w14:paraId="1690EE1A">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1121" w:type="dxa"/>
            <w:shd w:val="clear" w:color="auto" w:fill="auto"/>
            <w:noWrap w:val="0"/>
            <w:vAlign w:val="center"/>
          </w:tcPr>
          <w:p w14:paraId="7A3D34F0">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评审项目</w:t>
            </w:r>
          </w:p>
        </w:tc>
        <w:tc>
          <w:tcPr>
            <w:tcW w:w="7262" w:type="dxa"/>
            <w:shd w:val="clear" w:color="auto" w:fill="auto"/>
            <w:noWrap w:val="0"/>
            <w:vAlign w:val="center"/>
          </w:tcPr>
          <w:p w14:paraId="1547472B">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评分标准</w:t>
            </w:r>
          </w:p>
        </w:tc>
        <w:tc>
          <w:tcPr>
            <w:tcW w:w="662" w:type="dxa"/>
            <w:shd w:val="clear" w:color="auto" w:fill="auto"/>
            <w:noWrap w:val="0"/>
            <w:vAlign w:val="center"/>
          </w:tcPr>
          <w:p w14:paraId="0885FA0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分值</w:t>
            </w:r>
          </w:p>
        </w:tc>
      </w:tr>
      <w:tr w14:paraId="296A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jc w:val="center"/>
        </w:trPr>
        <w:tc>
          <w:tcPr>
            <w:tcW w:w="9739" w:type="dxa"/>
            <w:gridSpan w:val="4"/>
            <w:shd w:val="clear" w:color="auto" w:fill="auto"/>
            <w:noWrap w:val="0"/>
            <w:vAlign w:val="center"/>
          </w:tcPr>
          <w:p w14:paraId="40C9793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color w:val="auto"/>
                <w:sz w:val="21"/>
                <w:szCs w:val="21"/>
                <w:highlight w:val="none"/>
                <w:lang w:val="en-US" w:eastAsia="zh-CN"/>
              </w:rPr>
              <w:t>一、商务分（37分）</w:t>
            </w:r>
          </w:p>
        </w:tc>
      </w:tr>
      <w:tr w14:paraId="4050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 w:hRule="atLeast"/>
          <w:jc w:val="center"/>
        </w:trPr>
        <w:tc>
          <w:tcPr>
            <w:tcW w:w="694" w:type="dxa"/>
            <w:shd w:val="clear" w:color="auto" w:fill="auto"/>
            <w:noWrap w:val="0"/>
            <w:vAlign w:val="center"/>
          </w:tcPr>
          <w:p w14:paraId="661D4C95">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w:t>
            </w:r>
          </w:p>
        </w:tc>
        <w:tc>
          <w:tcPr>
            <w:tcW w:w="1121" w:type="dxa"/>
            <w:shd w:val="clear" w:color="auto" w:fill="auto"/>
            <w:noWrap w:val="0"/>
            <w:vAlign w:val="center"/>
          </w:tcPr>
          <w:p w14:paraId="7D2207EE">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业绩</w:t>
            </w:r>
          </w:p>
        </w:tc>
        <w:tc>
          <w:tcPr>
            <w:tcW w:w="7262" w:type="dxa"/>
            <w:shd w:val="clear" w:color="auto" w:fill="auto"/>
            <w:noWrap w:val="0"/>
            <w:vAlign w:val="center"/>
          </w:tcPr>
          <w:p w14:paraId="33A6B9B4">
            <w:pPr>
              <w:keepNext w:val="0"/>
              <w:keepLines w:val="0"/>
              <w:pageBreakBefore w:val="0"/>
              <w:widowControl/>
              <w:shd w:val="clea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投标</w:t>
            </w:r>
            <w:r>
              <w:rPr>
                <w:rFonts w:hint="eastAsia" w:ascii="宋体" w:hAnsi="宋体" w:eastAsia="宋体" w:cs="宋体"/>
                <w:color w:val="auto"/>
                <w:sz w:val="21"/>
                <w:szCs w:val="21"/>
                <w:highlight w:val="none"/>
                <w:vertAlign w:val="baseline"/>
              </w:rPr>
              <w:t>供应商</w:t>
            </w:r>
            <w:r>
              <w:rPr>
                <w:rFonts w:hint="eastAsia" w:ascii="宋体" w:hAnsi="宋体" w:eastAsia="宋体" w:cs="宋体"/>
                <w:color w:val="auto"/>
                <w:sz w:val="21"/>
                <w:szCs w:val="21"/>
                <w:highlight w:val="none"/>
                <w:vertAlign w:val="baseline"/>
                <w:lang w:eastAsia="zh-CN"/>
              </w:rPr>
              <w:t>自</w:t>
            </w:r>
            <w:r>
              <w:rPr>
                <w:rFonts w:hint="eastAsia" w:ascii="宋体" w:hAnsi="宋体" w:eastAsia="宋体" w:cs="宋体"/>
                <w:color w:val="auto"/>
                <w:sz w:val="21"/>
                <w:szCs w:val="21"/>
                <w:highlight w:val="none"/>
                <w:vertAlign w:val="baseline"/>
              </w:rPr>
              <w:t>202</w:t>
            </w:r>
            <w:r>
              <w:rPr>
                <w:rFonts w:hint="eastAsia" w:ascii="宋体" w:hAnsi="宋体" w:eastAsia="宋体" w:cs="宋体"/>
                <w:color w:val="auto"/>
                <w:sz w:val="21"/>
                <w:szCs w:val="21"/>
                <w:highlight w:val="none"/>
                <w:vertAlign w:val="baseline"/>
                <w:lang w:val="en-US" w:eastAsia="zh-CN"/>
              </w:rPr>
              <w:t>3</w:t>
            </w:r>
            <w:r>
              <w:rPr>
                <w:rFonts w:hint="eastAsia" w:ascii="宋体" w:hAnsi="宋体" w:eastAsia="宋体" w:cs="宋体"/>
                <w:color w:val="auto"/>
                <w:sz w:val="21"/>
                <w:szCs w:val="21"/>
                <w:highlight w:val="none"/>
                <w:vertAlign w:val="baseline"/>
              </w:rPr>
              <w:t>年</w:t>
            </w:r>
            <w:r>
              <w:rPr>
                <w:rFonts w:hint="eastAsia" w:ascii="宋体" w:hAnsi="宋体" w:eastAsia="宋体" w:cs="宋体"/>
                <w:color w:val="auto"/>
                <w:sz w:val="21"/>
                <w:szCs w:val="21"/>
                <w:highlight w:val="none"/>
                <w:vertAlign w:val="baseline"/>
                <w:lang w:val="en-US" w:eastAsia="zh-CN"/>
              </w:rPr>
              <w:t>01</w:t>
            </w:r>
            <w:r>
              <w:rPr>
                <w:rFonts w:hint="eastAsia" w:ascii="宋体" w:hAnsi="宋体" w:eastAsia="宋体" w:cs="宋体"/>
                <w:color w:val="auto"/>
                <w:sz w:val="21"/>
                <w:szCs w:val="21"/>
                <w:highlight w:val="none"/>
                <w:vertAlign w:val="baseline"/>
              </w:rPr>
              <w:t>月</w:t>
            </w:r>
            <w:r>
              <w:rPr>
                <w:rFonts w:hint="eastAsia" w:ascii="宋体" w:hAnsi="宋体" w:eastAsia="宋体" w:cs="宋体"/>
                <w:color w:val="auto"/>
                <w:sz w:val="21"/>
                <w:szCs w:val="21"/>
                <w:highlight w:val="none"/>
                <w:vertAlign w:val="baseline"/>
                <w:lang w:val="en-US" w:eastAsia="zh-CN"/>
              </w:rPr>
              <w:t>0</w:t>
            </w:r>
            <w:r>
              <w:rPr>
                <w:rFonts w:hint="eastAsia" w:ascii="宋体" w:hAnsi="宋体" w:eastAsia="宋体" w:cs="宋体"/>
                <w:color w:val="auto"/>
                <w:sz w:val="21"/>
                <w:szCs w:val="21"/>
                <w:highlight w:val="none"/>
                <w:shd w:val="clear"/>
                <w:vertAlign w:val="baseline"/>
                <w:lang w:val="en-US" w:eastAsia="zh-CN"/>
              </w:rPr>
              <w:t>1</w:t>
            </w:r>
            <w:r>
              <w:rPr>
                <w:rFonts w:hint="eastAsia" w:ascii="宋体" w:hAnsi="宋体" w:eastAsia="宋体" w:cs="宋体"/>
                <w:color w:val="auto"/>
                <w:sz w:val="21"/>
                <w:szCs w:val="21"/>
                <w:highlight w:val="none"/>
                <w:shd w:val="clear"/>
                <w:vertAlign w:val="baseline"/>
              </w:rPr>
              <w:t>日</w:t>
            </w:r>
            <w:r>
              <w:rPr>
                <w:rFonts w:hint="eastAsia" w:ascii="宋体" w:hAnsi="宋体" w:eastAsia="宋体" w:cs="宋体"/>
                <w:color w:val="auto"/>
                <w:sz w:val="21"/>
                <w:szCs w:val="21"/>
                <w:highlight w:val="none"/>
                <w:shd w:val="clear"/>
                <w:vertAlign w:val="baseline"/>
                <w:lang w:eastAsia="zh-CN"/>
              </w:rPr>
              <w:t>（以合同签订时间为准）</w:t>
            </w:r>
            <w:r>
              <w:rPr>
                <w:rFonts w:hint="eastAsia" w:ascii="宋体" w:hAnsi="宋体" w:eastAsia="宋体" w:cs="宋体"/>
                <w:color w:val="auto"/>
                <w:sz w:val="21"/>
                <w:szCs w:val="21"/>
                <w:highlight w:val="none"/>
                <w:shd w:val="clear"/>
                <w:vertAlign w:val="baseline"/>
              </w:rPr>
              <w:t>至</w:t>
            </w:r>
            <w:r>
              <w:rPr>
                <w:rFonts w:hint="eastAsia" w:ascii="宋体" w:hAnsi="宋体" w:eastAsia="宋体" w:cs="宋体"/>
                <w:color w:val="auto"/>
                <w:sz w:val="21"/>
                <w:szCs w:val="21"/>
                <w:highlight w:val="none"/>
                <w:vertAlign w:val="baseline"/>
              </w:rPr>
              <w:t>今</w:t>
            </w:r>
            <w:r>
              <w:rPr>
                <w:rFonts w:hint="eastAsia" w:ascii="宋体" w:hAnsi="宋体" w:eastAsia="宋体" w:cs="宋体"/>
                <w:color w:val="auto"/>
                <w:sz w:val="21"/>
                <w:szCs w:val="21"/>
                <w:highlight w:val="none"/>
                <w:vertAlign w:val="baseline"/>
                <w:lang w:eastAsia="zh-CN"/>
              </w:rPr>
              <w:t>具有</w:t>
            </w:r>
            <w:r>
              <w:rPr>
                <w:rFonts w:hint="eastAsia" w:ascii="宋体" w:hAnsi="宋体" w:eastAsia="宋体" w:cs="宋体"/>
                <w:color w:val="auto"/>
                <w:sz w:val="21"/>
                <w:szCs w:val="21"/>
                <w:highlight w:val="none"/>
                <w:vertAlign w:val="baseline"/>
                <w:lang w:val="en-US" w:eastAsia="zh-CN"/>
              </w:rPr>
              <w:t>同类</w:t>
            </w:r>
            <w:r>
              <w:rPr>
                <w:rFonts w:hint="eastAsia" w:ascii="宋体" w:hAnsi="宋体" w:eastAsia="宋体" w:cs="宋体"/>
                <w:color w:val="auto"/>
                <w:sz w:val="21"/>
                <w:szCs w:val="21"/>
                <w:highlight w:val="none"/>
                <w:vertAlign w:val="baseline"/>
              </w:rPr>
              <w:t>业绩（</w:t>
            </w:r>
            <w:r>
              <w:rPr>
                <w:rFonts w:hint="eastAsia" w:ascii="宋体" w:hAnsi="宋体" w:eastAsia="宋体" w:cs="宋体"/>
                <w:color w:val="auto"/>
                <w:sz w:val="21"/>
                <w:szCs w:val="21"/>
                <w:highlight w:val="none"/>
                <w:vertAlign w:val="baseline"/>
                <w:lang w:val="en-US" w:eastAsia="zh-CN"/>
              </w:rPr>
              <w:t>高校数字</w:t>
            </w:r>
            <w:r>
              <w:rPr>
                <w:rFonts w:hint="eastAsia" w:ascii="宋体" w:hAnsi="宋体" w:eastAsia="宋体" w:cs="宋体"/>
                <w:color w:val="auto"/>
                <w:sz w:val="21"/>
                <w:szCs w:val="21"/>
                <w:highlight w:val="none"/>
                <w:vertAlign w:val="baseline"/>
              </w:rPr>
              <w:t>教材</w:t>
            </w:r>
            <w:r>
              <w:rPr>
                <w:rFonts w:hint="eastAsia" w:ascii="宋体" w:hAnsi="宋体" w:eastAsia="宋体" w:cs="宋体"/>
                <w:color w:val="auto"/>
                <w:sz w:val="21"/>
                <w:szCs w:val="21"/>
                <w:highlight w:val="none"/>
                <w:vertAlign w:val="baseline"/>
                <w:lang w:val="en-US" w:eastAsia="zh-CN"/>
              </w:rPr>
              <w:t>建设及出版</w:t>
            </w:r>
            <w:r>
              <w:rPr>
                <w:rFonts w:hint="eastAsia" w:ascii="宋体" w:hAnsi="宋体" w:eastAsia="宋体" w:cs="宋体"/>
                <w:color w:val="auto"/>
                <w:sz w:val="21"/>
                <w:szCs w:val="21"/>
                <w:highlight w:val="none"/>
                <w:vertAlign w:val="baseline"/>
              </w:rPr>
              <w:t>），每提供一个</w:t>
            </w:r>
            <w:r>
              <w:rPr>
                <w:rFonts w:hint="eastAsia" w:ascii="宋体" w:hAnsi="宋体" w:eastAsia="宋体" w:cs="宋体"/>
                <w:color w:val="auto"/>
                <w:sz w:val="21"/>
                <w:szCs w:val="21"/>
                <w:highlight w:val="none"/>
                <w:vertAlign w:val="baseline"/>
                <w:lang w:val="en-US" w:eastAsia="zh-CN"/>
              </w:rPr>
              <w:t>高校数字</w:t>
            </w:r>
            <w:r>
              <w:rPr>
                <w:rFonts w:hint="eastAsia" w:ascii="宋体" w:hAnsi="宋体" w:eastAsia="宋体" w:cs="宋体"/>
                <w:color w:val="auto"/>
                <w:sz w:val="21"/>
                <w:szCs w:val="21"/>
                <w:highlight w:val="none"/>
                <w:vertAlign w:val="baseline"/>
              </w:rPr>
              <w:t>教材</w:t>
            </w:r>
            <w:r>
              <w:rPr>
                <w:rFonts w:hint="eastAsia" w:ascii="宋体" w:hAnsi="宋体" w:eastAsia="宋体" w:cs="宋体"/>
                <w:color w:val="auto"/>
                <w:sz w:val="21"/>
                <w:szCs w:val="21"/>
                <w:highlight w:val="none"/>
                <w:vertAlign w:val="baseline"/>
                <w:lang w:val="en-US" w:eastAsia="zh-CN"/>
              </w:rPr>
              <w:t>建设及出版合同及付款发票</w:t>
            </w:r>
            <w:r>
              <w:rPr>
                <w:rFonts w:hint="eastAsia" w:ascii="宋体" w:hAnsi="宋体" w:eastAsia="宋体" w:cs="宋体"/>
                <w:color w:val="auto"/>
                <w:sz w:val="21"/>
                <w:szCs w:val="21"/>
                <w:highlight w:val="none"/>
                <w:vertAlign w:val="baseline"/>
              </w:rPr>
              <w:t>得 2 分，最高得 10 分，未提供或提供不全不得分。</w:t>
            </w:r>
          </w:p>
          <w:p w14:paraId="47CEEC3D">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shd w:val="clear"/>
                <w:vertAlign w:val="baseline"/>
                <w:lang w:eastAsia="zh-CN"/>
              </w:rPr>
              <w:t>证明材料：提供合同首页、内容页、签字盖章页</w:t>
            </w:r>
            <w:r>
              <w:rPr>
                <w:rFonts w:hint="eastAsia" w:ascii="宋体" w:hAnsi="宋体" w:eastAsia="宋体" w:cs="宋体"/>
                <w:b/>
                <w:bCs/>
                <w:color w:val="auto"/>
                <w:sz w:val="21"/>
                <w:szCs w:val="21"/>
                <w:highlight w:val="none"/>
                <w:shd w:val="clear"/>
                <w:vertAlign w:val="baseline"/>
                <w:lang w:val="en-US" w:eastAsia="zh-CN"/>
              </w:rPr>
              <w:t>以及该合同对应的付款发票</w:t>
            </w:r>
            <w:r>
              <w:rPr>
                <w:rFonts w:hint="eastAsia" w:ascii="宋体" w:hAnsi="宋体" w:eastAsia="宋体" w:cs="宋体"/>
                <w:b/>
                <w:bCs/>
                <w:color w:val="auto"/>
                <w:sz w:val="21"/>
                <w:szCs w:val="21"/>
                <w:highlight w:val="none"/>
                <w:shd w:val="clear"/>
                <w:vertAlign w:val="baseline"/>
                <w:lang w:eastAsia="zh-CN"/>
              </w:rPr>
              <w:t>扫描件</w:t>
            </w:r>
            <w:r>
              <w:rPr>
                <w:rFonts w:hint="eastAsia" w:ascii="宋体" w:hAnsi="宋体" w:eastAsia="宋体" w:cs="宋体"/>
                <w:b/>
                <w:bCs/>
                <w:color w:val="auto"/>
                <w:sz w:val="21"/>
                <w:szCs w:val="21"/>
                <w:highlight w:val="none"/>
                <w:shd w:val="clear"/>
                <w:vertAlign w:val="baseline"/>
                <w:lang w:val="en-US" w:eastAsia="zh-CN"/>
              </w:rPr>
              <w:t>并</w:t>
            </w:r>
            <w:r>
              <w:rPr>
                <w:rFonts w:hint="eastAsia" w:ascii="宋体" w:hAnsi="宋体" w:eastAsia="宋体" w:cs="宋体"/>
                <w:b/>
                <w:bCs/>
                <w:color w:val="auto"/>
                <w:sz w:val="21"/>
                <w:szCs w:val="21"/>
                <w:highlight w:val="none"/>
                <w:shd w:val="clear"/>
                <w:vertAlign w:val="baseline"/>
                <w:lang w:eastAsia="zh-CN"/>
              </w:rPr>
              <w:t>加盖投标人公章。</w:t>
            </w:r>
          </w:p>
        </w:tc>
        <w:tc>
          <w:tcPr>
            <w:tcW w:w="662" w:type="dxa"/>
            <w:shd w:val="clear" w:color="auto" w:fill="auto"/>
            <w:noWrap w:val="0"/>
            <w:vAlign w:val="center"/>
          </w:tcPr>
          <w:p w14:paraId="455A431B">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10</w:t>
            </w:r>
          </w:p>
        </w:tc>
      </w:tr>
      <w:tr w14:paraId="6AEB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25" w:hRule="atLeast"/>
          <w:jc w:val="center"/>
        </w:trPr>
        <w:tc>
          <w:tcPr>
            <w:tcW w:w="694" w:type="dxa"/>
            <w:shd w:val="clear" w:color="auto" w:fill="auto"/>
            <w:noWrap w:val="0"/>
            <w:vAlign w:val="center"/>
          </w:tcPr>
          <w:p w14:paraId="25AA7B7B">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kern w:val="2"/>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2</w:t>
            </w:r>
          </w:p>
        </w:tc>
        <w:tc>
          <w:tcPr>
            <w:tcW w:w="1121" w:type="dxa"/>
            <w:shd w:val="clear" w:color="auto" w:fill="auto"/>
            <w:noWrap w:val="0"/>
            <w:vAlign w:val="center"/>
          </w:tcPr>
          <w:p w14:paraId="2C458EA3">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证书</w:t>
            </w:r>
          </w:p>
        </w:tc>
        <w:tc>
          <w:tcPr>
            <w:tcW w:w="7262" w:type="dxa"/>
            <w:shd w:val="clear" w:color="auto" w:fill="auto"/>
            <w:noWrap w:val="0"/>
            <w:vAlign w:val="center"/>
          </w:tcPr>
          <w:p w14:paraId="0B9470F7">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bidi="ar-SA"/>
              </w:rPr>
              <w:t>1.</w:t>
            </w:r>
            <w:r>
              <w:rPr>
                <w:rFonts w:hint="eastAsia" w:ascii="宋体" w:hAnsi="宋体" w:eastAsia="宋体" w:cs="宋体"/>
                <w:color w:val="auto"/>
                <w:sz w:val="21"/>
                <w:szCs w:val="21"/>
                <w:highlight w:val="none"/>
                <w:vertAlign w:val="baseline"/>
                <w:lang w:val="en-US" w:eastAsia="zh-CN"/>
              </w:rPr>
              <w:t>投标供应商能达到《信息安全等级保护管理办法》规定的信息系统安全等级保护（三级）及以上评级，并可提供由公安部认证的运营平台信息系统安全等级保护备案相关证明的，得2分。</w:t>
            </w:r>
          </w:p>
          <w:p w14:paraId="42C7D1BF">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bidi="ar-SA"/>
              </w:rPr>
              <w:t>2.</w:t>
            </w:r>
            <w:r>
              <w:rPr>
                <w:rFonts w:hint="eastAsia" w:ascii="宋体" w:hAnsi="宋体" w:eastAsia="宋体" w:cs="宋体"/>
                <w:color w:val="auto"/>
                <w:sz w:val="21"/>
                <w:szCs w:val="21"/>
                <w:highlight w:val="none"/>
                <w:vertAlign w:val="baseline"/>
                <w:lang w:val="en-US" w:eastAsia="zh-CN"/>
              </w:rPr>
              <w:t>投标供应商具有《计算机软件著作权》证书得2分。</w:t>
            </w:r>
          </w:p>
          <w:p w14:paraId="42AAF157">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bidi="ar-SA"/>
              </w:rPr>
              <w:t>3.</w:t>
            </w:r>
            <w:r>
              <w:rPr>
                <w:rFonts w:hint="eastAsia" w:ascii="宋体" w:hAnsi="宋体" w:eastAsia="宋体" w:cs="宋体"/>
                <w:color w:val="auto"/>
                <w:sz w:val="21"/>
                <w:szCs w:val="21"/>
                <w:highlight w:val="none"/>
                <w:vertAlign w:val="baseline"/>
                <w:lang w:val="en-US" w:eastAsia="zh-CN"/>
              </w:rPr>
              <w:t>投标供应商具有与数字教材编辑、内容开发等项目相关的发明专利证书，每提供一个得1分，满分8分。不提供不得分。</w:t>
            </w:r>
          </w:p>
          <w:p w14:paraId="0D81A7B5">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b/>
                <w:bCs/>
                <w:color w:val="auto"/>
                <w:sz w:val="21"/>
                <w:szCs w:val="21"/>
                <w:highlight w:val="none"/>
                <w:shd w:val="clear"/>
                <w:vertAlign w:val="baseline"/>
                <w:lang w:eastAsia="zh-CN"/>
              </w:rPr>
              <w:t>证明材料：</w:t>
            </w:r>
            <w:r>
              <w:rPr>
                <w:rFonts w:hint="eastAsia" w:ascii="宋体" w:hAnsi="宋体" w:eastAsia="宋体" w:cs="宋体"/>
                <w:b/>
                <w:bCs/>
                <w:color w:val="auto"/>
                <w:sz w:val="21"/>
                <w:szCs w:val="21"/>
                <w:highlight w:val="none"/>
                <w:shd w:val="clear"/>
                <w:vertAlign w:val="baseline"/>
                <w:lang w:val="en-US" w:eastAsia="zh-CN"/>
              </w:rPr>
              <w:t>提供相关证书扫描件并加盖</w:t>
            </w:r>
            <w:r>
              <w:rPr>
                <w:rFonts w:hint="eastAsia" w:ascii="宋体" w:hAnsi="宋体" w:eastAsia="宋体" w:cs="宋体"/>
                <w:b/>
                <w:bCs/>
                <w:color w:val="auto"/>
                <w:sz w:val="21"/>
                <w:szCs w:val="21"/>
                <w:highlight w:val="none"/>
                <w:shd w:val="clear"/>
                <w:vertAlign w:val="baseline"/>
                <w:lang w:eastAsia="zh-CN"/>
              </w:rPr>
              <w:t>投标人</w:t>
            </w:r>
            <w:r>
              <w:rPr>
                <w:rFonts w:hint="eastAsia" w:ascii="宋体" w:hAnsi="宋体" w:eastAsia="宋体" w:cs="宋体"/>
                <w:b/>
                <w:bCs/>
                <w:color w:val="auto"/>
                <w:sz w:val="21"/>
                <w:szCs w:val="21"/>
                <w:highlight w:val="none"/>
                <w:shd w:val="clear"/>
                <w:vertAlign w:val="baseline"/>
                <w:lang w:val="en-US" w:eastAsia="zh-CN"/>
              </w:rPr>
              <w:t>公章。</w:t>
            </w:r>
          </w:p>
        </w:tc>
        <w:tc>
          <w:tcPr>
            <w:tcW w:w="662" w:type="dxa"/>
            <w:shd w:val="clear" w:color="auto" w:fill="auto"/>
            <w:noWrap w:val="0"/>
            <w:vAlign w:val="center"/>
          </w:tcPr>
          <w:p w14:paraId="241FD8EC">
            <w:pPr>
              <w:keepNext w:val="0"/>
              <w:keepLines w:val="0"/>
              <w:pageBreakBefore w:val="0"/>
              <w:widowControl w:val="0"/>
              <w:numPr>
                <w:ilvl w:val="0"/>
                <w:numId w:val="0"/>
              </w:numPr>
              <w:kinsoku/>
              <w:wordWrap/>
              <w:overflowPunct/>
              <w:topLinePunct w:val="0"/>
              <w:autoSpaceDE/>
              <w:autoSpaceDN/>
              <w:bidi w:val="0"/>
              <w:adjustRightInd w:val="0"/>
              <w:snapToGrid w:val="0"/>
              <w:spacing w:after="0" w:line="300" w:lineRule="exact"/>
              <w:ind w:leftChars="0"/>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12</w:t>
            </w:r>
          </w:p>
        </w:tc>
      </w:tr>
      <w:tr w14:paraId="2767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7" w:hRule="atLeast"/>
          <w:jc w:val="center"/>
        </w:trPr>
        <w:tc>
          <w:tcPr>
            <w:tcW w:w="694" w:type="dxa"/>
            <w:shd w:val="clear" w:color="auto" w:fill="auto"/>
            <w:noWrap w:val="0"/>
            <w:vAlign w:val="center"/>
          </w:tcPr>
          <w:p w14:paraId="5BC5C408">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3</w:t>
            </w:r>
          </w:p>
        </w:tc>
        <w:tc>
          <w:tcPr>
            <w:tcW w:w="1121" w:type="dxa"/>
            <w:shd w:val="clear" w:color="auto" w:fill="auto"/>
            <w:noWrap w:val="0"/>
            <w:vAlign w:val="center"/>
          </w:tcPr>
          <w:p w14:paraId="091F3BBC">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履约能力</w:t>
            </w:r>
          </w:p>
        </w:tc>
        <w:tc>
          <w:tcPr>
            <w:tcW w:w="7262" w:type="dxa"/>
            <w:shd w:val="clear" w:color="auto" w:fill="auto"/>
            <w:noWrap w:val="0"/>
            <w:vAlign w:val="center"/>
          </w:tcPr>
          <w:p w14:paraId="74381800">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val="en-US" w:eastAsia="zh-CN" w:bidi="ar-SA"/>
              </w:rPr>
              <w:t>1.</w:t>
            </w:r>
            <w:r>
              <w:rPr>
                <w:rFonts w:hint="eastAsia" w:ascii="宋体" w:hAnsi="宋体" w:eastAsia="宋体" w:cs="宋体"/>
                <w:color w:val="auto"/>
                <w:sz w:val="21"/>
                <w:szCs w:val="21"/>
                <w:highlight w:val="none"/>
                <w:vertAlign w:val="baseline"/>
                <w:lang w:val="en-US" w:eastAsia="zh-CN"/>
              </w:rPr>
              <w:t>投标</w:t>
            </w:r>
            <w:r>
              <w:rPr>
                <w:rFonts w:hint="eastAsia" w:ascii="宋体" w:hAnsi="宋体" w:eastAsia="宋体" w:cs="宋体"/>
                <w:color w:val="auto"/>
                <w:sz w:val="21"/>
                <w:szCs w:val="21"/>
                <w:highlight w:val="none"/>
                <w:vertAlign w:val="baseline"/>
                <w:lang w:eastAsia="zh-CN"/>
              </w:rPr>
              <w:t>供应商作为数字教材平台技术支撑单位，其提供技术支持的数字教材在“十四五”职业教育</w:t>
            </w:r>
            <w:r>
              <w:rPr>
                <w:rFonts w:hint="eastAsia" w:ascii="宋体" w:hAnsi="宋体" w:eastAsia="宋体" w:cs="宋体"/>
                <w:color w:val="auto"/>
                <w:sz w:val="21"/>
                <w:szCs w:val="21"/>
                <w:highlight w:val="none"/>
                <w:vertAlign w:val="baseline"/>
                <w:lang w:val="en-US" w:eastAsia="zh-CN"/>
              </w:rPr>
              <w:t>省规、国规</w:t>
            </w:r>
            <w:r>
              <w:rPr>
                <w:rFonts w:hint="eastAsia" w:ascii="宋体" w:hAnsi="宋体" w:eastAsia="宋体" w:cs="宋体"/>
                <w:color w:val="auto"/>
                <w:sz w:val="21"/>
                <w:szCs w:val="21"/>
                <w:highlight w:val="none"/>
                <w:vertAlign w:val="baseline"/>
                <w:lang w:eastAsia="zh-CN"/>
              </w:rPr>
              <w:t>教材获评情况：</w:t>
            </w:r>
          </w:p>
          <w:p w14:paraId="6EB45808">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val="en-US" w:eastAsia="zh-CN" w:bidi="ar-SA"/>
              </w:rPr>
              <w:t>①</w:t>
            </w:r>
            <w:r>
              <w:rPr>
                <w:rFonts w:hint="eastAsia" w:ascii="宋体" w:hAnsi="宋体" w:eastAsia="宋体" w:cs="宋体"/>
                <w:color w:val="auto"/>
                <w:sz w:val="21"/>
                <w:szCs w:val="21"/>
                <w:highlight w:val="none"/>
                <w:vertAlign w:val="baseline"/>
                <w:lang w:eastAsia="zh-CN"/>
              </w:rPr>
              <w:t>数字教材获奖</w:t>
            </w:r>
            <w:r>
              <w:rPr>
                <w:rFonts w:hint="eastAsia" w:ascii="宋体" w:hAnsi="宋体" w:eastAsia="宋体" w:cs="宋体"/>
                <w:color w:val="auto"/>
                <w:sz w:val="21"/>
                <w:szCs w:val="21"/>
                <w:highlight w:val="none"/>
                <w:vertAlign w:val="baseline"/>
                <w:lang w:val="en-US" w:eastAsia="zh-CN"/>
              </w:rPr>
              <w:t>30</w:t>
            </w:r>
            <w:r>
              <w:rPr>
                <w:rFonts w:hint="eastAsia" w:ascii="宋体" w:hAnsi="宋体" w:eastAsia="宋体" w:cs="宋体"/>
                <w:color w:val="auto"/>
                <w:sz w:val="21"/>
                <w:szCs w:val="21"/>
                <w:highlight w:val="none"/>
                <w:vertAlign w:val="baseline"/>
                <w:lang w:eastAsia="zh-CN"/>
              </w:rPr>
              <w:t>种（含）以上的，得6分；</w:t>
            </w:r>
          </w:p>
          <w:p w14:paraId="10291C6D">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②数字教材获奖</w:t>
            </w:r>
            <w:r>
              <w:rPr>
                <w:rFonts w:hint="eastAsia" w:ascii="宋体" w:hAnsi="宋体" w:eastAsia="宋体" w:cs="宋体"/>
                <w:color w:val="auto"/>
                <w:sz w:val="21"/>
                <w:szCs w:val="21"/>
                <w:highlight w:val="none"/>
                <w:vertAlign w:val="baseline"/>
                <w:lang w:val="en-US" w:eastAsia="zh-CN"/>
              </w:rPr>
              <w:t>20-29</w:t>
            </w:r>
            <w:r>
              <w:rPr>
                <w:rFonts w:hint="eastAsia" w:ascii="宋体" w:hAnsi="宋体" w:eastAsia="宋体" w:cs="宋体"/>
                <w:color w:val="auto"/>
                <w:sz w:val="21"/>
                <w:szCs w:val="21"/>
                <w:highlight w:val="none"/>
                <w:vertAlign w:val="baseline"/>
                <w:lang w:eastAsia="zh-CN"/>
              </w:rPr>
              <w:t>种（含），得4分；</w:t>
            </w:r>
          </w:p>
          <w:p w14:paraId="188DED21">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③数字教材获奖</w:t>
            </w:r>
            <w:r>
              <w:rPr>
                <w:rFonts w:hint="eastAsia" w:ascii="宋体" w:hAnsi="宋体" w:eastAsia="宋体" w:cs="宋体"/>
                <w:color w:val="auto"/>
                <w:sz w:val="21"/>
                <w:szCs w:val="21"/>
                <w:highlight w:val="none"/>
                <w:vertAlign w:val="baseline"/>
                <w:lang w:val="en-US" w:eastAsia="zh-CN"/>
              </w:rPr>
              <w:t>10-19</w:t>
            </w:r>
            <w:r>
              <w:rPr>
                <w:rFonts w:hint="eastAsia" w:ascii="宋体" w:hAnsi="宋体" w:eastAsia="宋体" w:cs="宋体"/>
                <w:color w:val="auto"/>
                <w:sz w:val="21"/>
                <w:szCs w:val="21"/>
                <w:highlight w:val="none"/>
                <w:vertAlign w:val="baseline"/>
                <w:lang w:eastAsia="zh-CN"/>
              </w:rPr>
              <w:t>种（含），得2分；</w:t>
            </w:r>
          </w:p>
          <w:p w14:paraId="4DC8C59E">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④未提供证明材料的不得分。</w:t>
            </w:r>
          </w:p>
          <w:p w14:paraId="5C7D3BD8">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color w:val="auto"/>
                <w:sz w:val="21"/>
                <w:szCs w:val="21"/>
                <w:highlight w:val="none"/>
                <w:shd w:val="clear" w:fill="92D050"/>
                <w:vertAlign w:val="baseline"/>
                <w:lang w:eastAsia="zh-CN"/>
              </w:rPr>
            </w:pPr>
            <w:r>
              <w:rPr>
                <w:rFonts w:hint="eastAsia" w:ascii="宋体" w:hAnsi="宋体" w:eastAsia="宋体" w:cs="宋体"/>
                <w:b/>
                <w:bCs/>
                <w:color w:val="auto"/>
                <w:sz w:val="21"/>
                <w:szCs w:val="21"/>
                <w:highlight w:val="none"/>
                <w:shd w:val="clear"/>
                <w:vertAlign w:val="baseline"/>
                <w:lang w:eastAsia="zh-CN"/>
              </w:rPr>
              <w:t>证明材料：提供出版社以数字教材申报且获评规划教材的盖章证明文件，需提供数字教材运行平台技术支持方的盖章证明文件。提供纸质教材的无效。提供相关证明文件的扫描件并加盖投标人公章。</w:t>
            </w:r>
          </w:p>
          <w:p w14:paraId="2E612268">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2.投标供应商与出版社具有良好合作关系，提供有效期内合作协议。每提供10家合作协议得1分，满分3分。不提供不得分。</w:t>
            </w:r>
          </w:p>
          <w:p w14:paraId="32ADD377">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投标供应商承诺能为重点建设的15部教材提供航海类、船舶制造类教材出版的优质出版社，并在签订项目合同前至少取得2家出版社的合作协议（无承诺书则取消投标资格）；投标供应商与航海类或船舶制造类教材出版的优质出版社就本项目的合作达成共识，提供合作协议，每提供1份合作协议得3分，满分6分。</w:t>
            </w:r>
          </w:p>
          <w:p w14:paraId="2C9DB39B">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shd w:val="clear"/>
                <w:vertAlign w:val="baseline"/>
                <w:lang w:eastAsia="zh-CN"/>
              </w:rPr>
              <w:t>证明材料：</w:t>
            </w:r>
            <w:r>
              <w:rPr>
                <w:rFonts w:hint="eastAsia" w:ascii="宋体" w:hAnsi="宋体" w:eastAsia="宋体" w:cs="宋体"/>
                <w:b/>
                <w:bCs/>
                <w:color w:val="auto"/>
                <w:sz w:val="21"/>
                <w:szCs w:val="21"/>
                <w:highlight w:val="none"/>
                <w:shd w:val="clear"/>
                <w:vertAlign w:val="baseline"/>
                <w:lang w:val="en-US" w:eastAsia="zh-CN"/>
              </w:rPr>
              <w:t>合作协议扫描件并加盖</w:t>
            </w:r>
            <w:r>
              <w:rPr>
                <w:rFonts w:hint="eastAsia" w:ascii="宋体" w:hAnsi="宋体" w:eastAsia="宋体" w:cs="宋体"/>
                <w:b/>
                <w:bCs/>
                <w:color w:val="auto"/>
                <w:sz w:val="21"/>
                <w:szCs w:val="21"/>
                <w:highlight w:val="none"/>
                <w:shd w:val="clear"/>
                <w:vertAlign w:val="baseline"/>
                <w:lang w:eastAsia="zh-CN"/>
              </w:rPr>
              <w:t>投标人</w:t>
            </w:r>
            <w:r>
              <w:rPr>
                <w:rFonts w:hint="eastAsia" w:ascii="宋体" w:hAnsi="宋体" w:eastAsia="宋体" w:cs="宋体"/>
                <w:b/>
                <w:bCs/>
                <w:color w:val="auto"/>
                <w:sz w:val="21"/>
                <w:szCs w:val="21"/>
                <w:highlight w:val="none"/>
                <w:shd w:val="clear"/>
                <w:vertAlign w:val="baseline"/>
                <w:lang w:val="en-US" w:eastAsia="zh-CN"/>
              </w:rPr>
              <w:t>公章。</w:t>
            </w:r>
          </w:p>
        </w:tc>
        <w:tc>
          <w:tcPr>
            <w:tcW w:w="662" w:type="dxa"/>
            <w:shd w:val="clear" w:color="auto" w:fill="auto"/>
            <w:noWrap w:val="0"/>
            <w:vAlign w:val="center"/>
          </w:tcPr>
          <w:p w14:paraId="7986DFAB">
            <w:pPr>
              <w:keepNext w:val="0"/>
              <w:keepLines w:val="0"/>
              <w:pageBreakBefore w:val="0"/>
              <w:widowControl w:val="0"/>
              <w:numPr>
                <w:ilvl w:val="0"/>
                <w:numId w:val="0"/>
              </w:numPr>
              <w:kinsoku/>
              <w:wordWrap/>
              <w:overflowPunct/>
              <w:topLinePunct w:val="0"/>
              <w:autoSpaceDE/>
              <w:autoSpaceDN/>
              <w:bidi w:val="0"/>
              <w:adjustRightInd w:val="0"/>
              <w:snapToGrid w:val="0"/>
              <w:spacing w:after="0" w:line="300" w:lineRule="exact"/>
              <w:ind w:leftChars="0"/>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15</w:t>
            </w:r>
          </w:p>
        </w:tc>
      </w:tr>
      <w:tr w14:paraId="7157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2" w:hRule="atLeast"/>
          <w:jc w:val="center"/>
        </w:trPr>
        <w:tc>
          <w:tcPr>
            <w:tcW w:w="9739" w:type="dxa"/>
            <w:gridSpan w:val="4"/>
            <w:shd w:val="clear" w:color="auto" w:fill="auto"/>
            <w:noWrap w:val="0"/>
            <w:vAlign w:val="center"/>
          </w:tcPr>
          <w:p w14:paraId="69EC65F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color w:val="auto"/>
                <w:sz w:val="21"/>
                <w:szCs w:val="21"/>
                <w:highlight w:val="none"/>
                <w:lang w:val="en-US" w:eastAsia="zh-CN"/>
              </w:rPr>
              <w:t>二、技术分（53分）</w:t>
            </w:r>
          </w:p>
        </w:tc>
      </w:tr>
      <w:tr w14:paraId="2090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1" w:hRule="atLeast"/>
          <w:jc w:val="center"/>
        </w:trPr>
        <w:tc>
          <w:tcPr>
            <w:tcW w:w="694" w:type="dxa"/>
            <w:shd w:val="clear" w:color="auto" w:fill="auto"/>
            <w:noWrap w:val="0"/>
            <w:vAlign w:val="center"/>
          </w:tcPr>
          <w:p w14:paraId="4B818124">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1</w:t>
            </w:r>
          </w:p>
        </w:tc>
        <w:tc>
          <w:tcPr>
            <w:tcW w:w="1121" w:type="dxa"/>
            <w:shd w:val="clear" w:color="auto" w:fill="auto"/>
            <w:noWrap w:val="0"/>
            <w:vAlign w:val="center"/>
          </w:tcPr>
          <w:p w14:paraId="665C910E">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技术要求响应情况</w:t>
            </w:r>
          </w:p>
        </w:tc>
        <w:tc>
          <w:tcPr>
            <w:tcW w:w="7262" w:type="dxa"/>
            <w:shd w:val="clear" w:color="auto" w:fill="auto"/>
            <w:noWrap w:val="0"/>
            <w:vAlign w:val="center"/>
          </w:tcPr>
          <w:p w14:paraId="075F2129">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采购文件“第三部分 采购需求”中带“▲”标识的参数为重要技术指标。重要技术指标需给出详细的功能建设内容描述、示意图或系统截图作为供应商后续实施能力的材料证明。</w:t>
            </w:r>
          </w:p>
          <w:p w14:paraId="3DF01AC3">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20项关键技术指标共10分，每偏离一项扣0.5分，扣完为止。</w:t>
            </w:r>
          </w:p>
        </w:tc>
        <w:tc>
          <w:tcPr>
            <w:tcW w:w="662" w:type="dxa"/>
            <w:shd w:val="clear" w:color="auto" w:fill="auto"/>
            <w:noWrap w:val="0"/>
            <w:vAlign w:val="center"/>
          </w:tcPr>
          <w:p w14:paraId="2DE537CE">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10</w:t>
            </w:r>
          </w:p>
        </w:tc>
      </w:tr>
      <w:tr w14:paraId="1805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90" w:hRule="atLeast"/>
          <w:jc w:val="center"/>
        </w:trPr>
        <w:tc>
          <w:tcPr>
            <w:tcW w:w="694" w:type="dxa"/>
            <w:shd w:val="clear" w:color="auto" w:fill="auto"/>
            <w:noWrap w:val="0"/>
            <w:vAlign w:val="center"/>
          </w:tcPr>
          <w:p w14:paraId="5B4427C4">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2</w:t>
            </w:r>
          </w:p>
        </w:tc>
        <w:tc>
          <w:tcPr>
            <w:tcW w:w="1121" w:type="dxa"/>
            <w:shd w:val="clear" w:color="auto" w:fill="auto"/>
            <w:noWrap w:val="0"/>
            <w:vAlign w:val="center"/>
          </w:tcPr>
          <w:p w14:paraId="4A67CAB2">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技术服务方案</w:t>
            </w:r>
          </w:p>
        </w:tc>
        <w:tc>
          <w:tcPr>
            <w:tcW w:w="7262" w:type="dxa"/>
            <w:shd w:val="clear" w:color="auto" w:fill="auto"/>
            <w:noWrap w:val="0"/>
            <w:vAlign w:val="center"/>
          </w:tcPr>
          <w:p w14:paraId="4DC1DB0D">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b/>
                <w:bCs/>
                <w:color w:val="auto"/>
                <w:sz w:val="21"/>
                <w:szCs w:val="21"/>
                <w:highlight w:val="none"/>
                <w:vertAlign w:val="baseline"/>
                <w:lang w:eastAsia="zh-CN"/>
              </w:rPr>
              <w:t>评委根据</w:t>
            </w:r>
            <w:r>
              <w:rPr>
                <w:rFonts w:hint="eastAsia" w:ascii="宋体" w:hAnsi="宋体" w:eastAsia="宋体" w:cs="宋体"/>
                <w:b/>
                <w:bCs/>
                <w:color w:val="auto"/>
                <w:sz w:val="21"/>
                <w:szCs w:val="21"/>
                <w:highlight w:val="none"/>
                <w:vertAlign w:val="baseline"/>
                <w:lang w:val="en-US" w:eastAsia="zh-CN"/>
              </w:rPr>
              <w:t>投标供应商</w:t>
            </w:r>
            <w:r>
              <w:rPr>
                <w:rFonts w:hint="eastAsia" w:ascii="宋体" w:hAnsi="宋体" w:eastAsia="宋体" w:cs="宋体"/>
                <w:b/>
                <w:bCs/>
                <w:color w:val="auto"/>
                <w:sz w:val="21"/>
                <w:szCs w:val="21"/>
                <w:highlight w:val="none"/>
                <w:vertAlign w:val="baseline"/>
                <w:lang w:eastAsia="zh-CN"/>
              </w:rPr>
              <w:t>针对本项目拟定的服务方案应包括：①项目人员配置及分工；②项目进度控制；③售后服务；④应急方案；⑤质量管理措施等方面内容。上述内容逻辑结构结合该项目实际，项目各阶段任务划分需符合本项目时间要求，工作的计划、组织、实施整体性需符合本项目实际需求，</w:t>
            </w:r>
            <w:r>
              <w:rPr>
                <w:rFonts w:hint="eastAsia" w:ascii="宋体" w:hAnsi="宋体" w:eastAsia="宋体" w:cs="宋体"/>
                <w:b/>
                <w:bCs/>
                <w:color w:val="auto"/>
                <w:sz w:val="21"/>
                <w:szCs w:val="21"/>
                <w:highlight w:val="none"/>
                <w:vertAlign w:val="baseline"/>
                <w:lang w:val="en-US" w:eastAsia="zh-CN"/>
              </w:rPr>
              <w:t>进行综合评分</w:t>
            </w:r>
            <w:r>
              <w:rPr>
                <w:rFonts w:hint="eastAsia" w:ascii="宋体" w:hAnsi="宋体" w:eastAsia="宋体" w:cs="宋体"/>
                <w:b/>
                <w:bCs/>
                <w:color w:val="auto"/>
                <w:sz w:val="21"/>
                <w:szCs w:val="21"/>
                <w:highlight w:val="none"/>
                <w:vertAlign w:val="baseline"/>
                <w:lang w:eastAsia="zh-CN"/>
              </w:rPr>
              <w:t>：</w:t>
            </w:r>
          </w:p>
          <w:p w14:paraId="389D3B9B">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eastAsia="zh-CN"/>
              </w:rPr>
              <w:t>）服务方案完整、具体、可操作性强；具有</w:t>
            </w:r>
            <w:r>
              <w:rPr>
                <w:rFonts w:hint="eastAsia" w:ascii="宋体" w:hAnsi="宋体" w:eastAsia="宋体" w:cs="宋体"/>
                <w:b w:val="0"/>
                <w:bCs w:val="0"/>
                <w:color w:val="auto"/>
                <w:sz w:val="21"/>
                <w:szCs w:val="21"/>
                <w:highlight w:val="none"/>
                <w:vertAlign w:val="baseline"/>
                <w:lang w:val="en-US" w:eastAsia="zh-CN"/>
              </w:rPr>
              <w:t>非常丰富的</w:t>
            </w:r>
            <w:r>
              <w:rPr>
                <w:rFonts w:hint="eastAsia" w:ascii="宋体" w:hAnsi="宋体" w:eastAsia="宋体" w:cs="宋体"/>
                <w:b w:val="0"/>
                <w:bCs w:val="0"/>
                <w:color w:val="auto"/>
                <w:sz w:val="21"/>
                <w:szCs w:val="21"/>
                <w:highlight w:val="none"/>
                <w:vertAlign w:val="baseline"/>
                <w:lang w:eastAsia="zh-CN"/>
              </w:rPr>
              <w:t>数字教材建设及出版项目经验，</w:t>
            </w:r>
            <w:r>
              <w:rPr>
                <w:rFonts w:hint="eastAsia" w:ascii="宋体" w:hAnsi="宋体" w:eastAsia="宋体" w:cs="宋体"/>
                <w:b w:val="0"/>
                <w:bCs w:val="0"/>
                <w:color w:val="auto"/>
                <w:sz w:val="21"/>
                <w:szCs w:val="21"/>
                <w:highlight w:val="none"/>
                <w:vertAlign w:val="baseline"/>
                <w:lang w:val="en-US" w:eastAsia="zh-CN"/>
              </w:rPr>
              <w:t>能</w:t>
            </w:r>
            <w:r>
              <w:rPr>
                <w:rFonts w:hint="eastAsia" w:ascii="宋体" w:hAnsi="宋体" w:eastAsia="宋体" w:cs="宋体"/>
                <w:b w:val="0"/>
                <w:bCs w:val="0"/>
                <w:color w:val="auto"/>
                <w:sz w:val="21"/>
                <w:szCs w:val="21"/>
                <w:highlight w:val="none"/>
                <w:vertAlign w:val="baseline"/>
                <w:lang w:eastAsia="zh-CN"/>
              </w:rPr>
              <w:t>充分满足项目需求，最高得</w:t>
            </w:r>
            <w:r>
              <w:rPr>
                <w:rFonts w:hint="eastAsia" w:ascii="宋体" w:hAnsi="宋体" w:eastAsia="宋体" w:cs="宋体"/>
                <w:b w:val="0"/>
                <w:bCs w:val="0"/>
                <w:color w:val="auto"/>
                <w:sz w:val="21"/>
                <w:szCs w:val="21"/>
                <w:highlight w:val="none"/>
                <w:vertAlign w:val="baseline"/>
                <w:lang w:val="en-US" w:eastAsia="zh-CN"/>
              </w:rPr>
              <w:t>15</w:t>
            </w:r>
            <w:r>
              <w:rPr>
                <w:rFonts w:hint="eastAsia" w:ascii="宋体" w:hAnsi="宋体" w:eastAsia="宋体" w:cs="宋体"/>
                <w:b w:val="0"/>
                <w:bCs w:val="0"/>
                <w:color w:val="auto"/>
                <w:sz w:val="21"/>
                <w:szCs w:val="21"/>
                <w:highlight w:val="none"/>
                <w:vertAlign w:val="baseline"/>
                <w:lang w:eastAsia="zh-CN"/>
              </w:rPr>
              <w:t>分；</w:t>
            </w:r>
          </w:p>
          <w:p w14:paraId="23511AA8">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b w:val="0"/>
                <w:bCs w:val="0"/>
                <w:color w:val="auto"/>
                <w:sz w:val="21"/>
                <w:szCs w:val="21"/>
                <w:highlight w:val="none"/>
                <w:vertAlign w:val="baseline"/>
                <w:lang w:val="en-US" w:eastAsia="zh-CN"/>
              </w:rPr>
              <w:t>2</w:t>
            </w:r>
            <w:r>
              <w:rPr>
                <w:rFonts w:hint="eastAsia" w:ascii="宋体" w:hAnsi="宋体" w:eastAsia="宋体" w:cs="宋体"/>
                <w:b w:val="0"/>
                <w:bCs w:val="0"/>
                <w:color w:val="auto"/>
                <w:sz w:val="21"/>
                <w:szCs w:val="21"/>
                <w:highlight w:val="none"/>
                <w:vertAlign w:val="baseline"/>
                <w:lang w:eastAsia="zh-CN"/>
              </w:rPr>
              <w:t>）服务方案基本完整，满足项目主要需求；</w:t>
            </w:r>
            <w:r>
              <w:rPr>
                <w:rFonts w:hint="eastAsia" w:ascii="宋体" w:hAnsi="宋体" w:eastAsia="宋体" w:cs="宋体"/>
                <w:b w:val="0"/>
                <w:bCs w:val="0"/>
                <w:color w:val="auto"/>
                <w:sz w:val="21"/>
                <w:szCs w:val="21"/>
                <w:highlight w:val="none"/>
                <w:vertAlign w:val="baseline"/>
                <w:lang w:val="en-US" w:eastAsia="zh-CN"/>
              </w:rPr>
              <w:t>具有</w:t>
            </w:r>
            <w:r>
              <w:rPr>
                <w:rFonts w:hint="eastAsia" w:ascii="宋体" w:hAnsi="宋体" w:eastAsia="宋体" w:cs="宋体"/>
                <w:b w:val="0"/>
                <w:bCs w:val="0"/>
                <w:color w:val="auto"/>
                <w:sz w:val="21"/>
                <w:szCs w:val="21"/>
                <w:highlight w:val="none"/>
                <w:vertAlign w:val="baseline"/>
                <w:lang w:eastAsia="zh-CN"/>
              </w:rPr>
              <w:t>数字教材建设及出版项目经验，</w:t>
            </w:r>
            <w:r>
              <w:rPr>
                <w:rFonts w:hint="eastAsia" w:ascii="宋体" w:hAnsi="宋体" w:eastAsia="宋体" w:cs="宋体"/>
                <w:b w:val="0"/>
                <w:bCs w:val="0"/>
                <w:color w:val="auto"/>
                <w:sz w:val="21"/>
                <w:szCs w:val="21"/>
                <w:highlight w:val="none"/>
                <w:vertAlign w:val="baseline"/>
                <w:lang w:val="en-US" w:eastAsia="zh-CN"/>
              </w:rPr>
              <w:t>方案</w:t>
            </w:r>
            <w:r>
              <w:rPr>
                <w:rFonts w:hint="eastAsia" w:ascii="宋体" w:hAnsi="宋体" w:eastAsia="宋体" w:cs="宋体"/>
                <w:b w:val="0"/>
                <w:bCs w:val="0"/>
                <w:color w:val="auto"/>
                <w:sz w:val="21"/>
                <w:szCs w:val="21"/>
                <w:highlight w:val="none"/>
                <w:vertAlign w:val="baseline"/>
                <w:lang w:eastAsia="zh-CN"/>
              </w:rPr>
              <w:t>部分细节需完善，最高得1</w:t>
            </w:r>
            <w:r>
              <w:rPr>
                <w:rFonts w:hint="eastAsia" w:ascii="宋体" w:hAnsi="宋体" w:eastAsia="宋体" w:cs="宋体"/>
                <w:b w:val="0"/>
                <w:bCs w:val="0"/>
                <w:color w:val="auto"/>
                <w:sz w:val="21"/>
                <w:szCs w:val="21"/>
                <w:highlight w:val="none"/>
                <w:vertAlign w:val="baseline"/>
                <w:lang w:val="en-US" w:eastAsia="zh-CN"/>
              </w:rPr>
              <w:t>0</w:t>
            </w:r>
            <w:r>
              <w:rPr>
                <w:rFonts w:hint="eastAsia" w:ascii="宋体" w:hAnsi="宋体" w:eastAsia="宋体" w:cs="宋体"/>
                <w:b w:val="0"/>
                <w:bCs w:val="0"/>
                <w:color w:val="auto"/>
                <w:sz w:val="21"/>
                <w:szCs w:val="21"/>
                <w:highlight w:val="none"/>
                <w:vertAlign w:val="baseline"/>
                <w:lang w:eastAsia="zh-CN"/>
              </w:rPr>
              <w:t>分；</w:t>
            </w:r>
          </w:p>
          <w:p w14:paraId="50D45919">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b w:val="0"/>
                <w:bCs w:val="0"/>
                <w:color w:val="auto"/>
                <w:sz w:val="21"/>
                <w:szCs w:val="21"/>
                <w:highlight w:val="none"/>
                <w:vertAlign w:val="baseline"/>
                <w:lang w:val="en-US" w:eastAsia="zh-CN"/>
              </w:rPr>
              <w:t>3</w:t>
            </w:r>
            <w:r>
              <w:rPr>
                <w:rFonts w:hint="eastAsia" w:ascii="宋体" w:hAnsi="宋体" w:eastAsia="宋体" w:cs="宋体"/>
                <w:b w:val="0"/>
                <w:bCs w:val="0"/>
                <w:color w:val="auto"/>
                <w:sz w:val="21"/>
                <w:szCs w:val="21"/>
                <w:highlight w:val="none"/>
                <w:vertAlign w:val="baseline"/>
                <w:lang w:eastAsia="zh-CN"/>
              </w:rPr>
              <w:t>）服务方案存在明显不足，但核心内容基本覆盖；</w:t>
            </w:r>
            <w:r>
              <w:rPr>
                <w:rFonts w:hint="eastAsia" w:ascii="宋体" w:hAnsi="宋体" w:eastAsia="宋体" w:cs="宋体"/>
                <w:b w:val="0"/>
                <w:bCs w:val="0"/>
                <w:color w:val="auto"/>
                <w:sz w:val="21"/>
                <w:szCs w:val="21"/>
                <w:highlight w:val="none"/>
                <w:vertAlign w:val="baseline"/>
                <w:lang w:val="en-US" w:eastAsia="zh-CN"/>
              </w:rPr>
              <w:t>数字教材建设及出版经验不足，方案</w:t>
            </w:r>
            <w:r>
              <w:rPr>
                <w:rFonts w:hint="eastAsia" w:ascii="宋体" w:hAnsi="宋体" w:eastAsia="宋体" w:cs="宋体"/>
                <w:b w:val="0"/>
                <w:bCs w:val="0"/>
                <w:color w:val="auto"/>
                <w:sz w:val="21"/>
                <w:szCs w:val="21"/>
                <w:highlight w:val="none"/>
                <w:vertAlign w:val="baseline"/>
                <w:lang w:eastAsia="zh-CN"/>
              </w:rPr>
              <w:t>需较大幅度改进，最高得</w:t>
            </w:r>
            <w:r>
              <w:rPr>
                <w:rFonts w:hint="eastAsia" w:ascii="宋体" w:hAnsi="宋体" w:eastAsia="宋体" w:cs="宋体"/>
                <w:b w:val="0"/>
                <w:bCs w:val="0"/>
                <w:color w:val="auto"/>
                <w:sz w:val="21"/>
                <w:szCs w:val="21"/>
                <w:highlight w:val="none"/>
                <w:vertAlign w:val="baseline"/>
                <w:lang w:val="en-US" w:eastAsia="zh-CN"/>
              </w:rPr>
              <w:t>5</w:t>
            </w:r>
            <w:r>
              <w:rPr>
                <w:rFonts w:hint="eastAsia" w:ascii="宋体" w:hAnsi="宋体" w:eastAsia="宋体" w:cs="宋体"/>
                <w:b w:val="0"/>
                <w:bCs w:val="0"/>
                <w:color w:val="auto"/>
                <w:sz w:val="21"/>
                <w:szCs w:val="21"/>
                <w:highlight w:val="none"/>
                <w:vertAlign w:val="baseline"/>
                <w:lang w:eastAsia="zh-CN"/>
              </w:rPr>
              <w:t>分；</w:t>
            </w:r>
          </w:p>
          <w:p w14:paraId="11011B10">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b w:val="0"/>
                <w:bCs w:val="0"/>
                <w:color w:val="auto"/>
                <w:sz w:val="21"/>
                <w:szCs w:val="21"/>
                <w:highlight w:val="none"/>
                <w:vertAlign w:val="baseline"/>
                <w:lang w:val="en-US" w:eastAsia="zh-CN"/>
              </w:rPr>
              <w:t>4</w:t>
            </w:r>
            <w:r>
              <w:rPr>
                <w:rFonts w:hint="eastAsia" w:ascii="宋体" w:hAnsi="宋体" w:eastAsia="宋体" w:cs="宋体"/>
                <w:b w:val="0"/>
                <w:bCs w:val="0"/>
                <w:color w:val="auto"/>
                <w:sz w:val="21"/>
                <w:szCs w:val="21"/>
                <w:highlight w:val="none"/>
                <w:vertAlign w:val="baseline"/>
                <w:lang w:eastAsia="zh-CN"/>
              </w:rPr>
              <w:t>）</w:t>
            </w:r>
            <w:r>
              <w:rPr>
                <w:rFonts w:hint="eastAsia" w:ascii="宋体" w:hAnsi="宋体" w:eastAsia="宋体" w:cs="宋体"/>
                <w:b w:val="0"/>
                <w:bCs w:val="0"/>
                <w:color w:val="auto"/>
                <w:sz w:val="21"/>
                <w:szCs w:val="21"/>
                <w:highlight w:val="none"/>
                <w:vertAlign w:val="baseline"/>
                <w:lang w:val="en-US" w:eastAsia="zh-CN"/>
              </w:rPr>
              <w:t>方案不完善，响应内容有</w:t>
            </w:r>
            <w:r>
              <w:rPr>
                <w:rFonts w:hint="eastAsia" w:ascii="宋体" w:hAnsi="宋体" w:eastAsia="宋体" w:cs="宋体"/>
                <w:b w:val="0"/>
                <w:bCs w:val="0"/>
                <w:color w:val="auto"/>
                <w:sz w:val="21"/>
                <w:szCs w:val="21"/>
                <w:highlight w:val="none"/>
                <w:vertAlign w:val="baseline"/>
                <w:lang w:eastAsia="zh-CN"/>
              </w:rPr>
              <w:t>缺陷，</w:t>
            </w:r>
            <w:r>
              <w:rPr>
                <w:rFonts w:hint="eastAsia" w:ascii="宋体" w:hAnsi="宋体" w:eastAsia="宋体" w:cs="宋体"/>
                <w:b w:val="0"/>
                <w:bCs w:val="0"/>
                <w:color w:val="auto"/>
                <w:sz w:val="21"/>
                <w:szCs w:val="21"/>
                <w:highlight w:val="none"/>
                <w:vertAlign w:val="baseline"/>
                <w:lang w:val="en-US" w:eastAsia="zh-CN"/>
              </w:rPr>
              <w:t>无法满足项目需求</w:t>
            </w:r>
            <w:r>
              <w:rPr>
                <w:rFonts w:hint="eastAsia" w:ascii="宋体" w:hAnsi="宋体" w:eastAsia="宋体" w:cs="宋体"/>
                <w:b w:val="0"/>
                <w:bCs w:val="0"/>
                <w:color w:val="auto"/>
                <w:sz w:val="21"/>
                <w:szCs w:val="21"/>
                <w:highlight w:val="none"/>
                <w:vertAlign w:val="baseline"/>
                <w:lang w:eastAsia="zh-CN"/>
              </w:rPr>
              <w:t>，或未提供方案的不得分。</w:t>
            </w:r>
          </w:p>
        </w:tc>
        <w:tc>
          <w:tcPr>
            <w:tcW w:w="662" w:type="dxa"/>
            <w:shd w:val="clear" w:color="auto" w:fill="auto"/>
            <w:noWrap w:val="0"/>
            <w:vAlign w:val="center"/>
          </w:tcPr>
          <w:p w14:paraId="6161D487">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15</w:t>
            </w:r>
          </w:p>
        </w:tc>
      </w:tr>
      <w:tr w14:paraId="4E8B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0" w:hRule="atLeast"/>
          <w:jc w:val="center"/>
        </w:trPr>
        <w:tc>
          <w:tcPr>
            <w:tcW w:w="694" w:type="dxa"/>
            <w:shd w:val="clear" w:color="auto" w:fill="auto"/>
            <w:noWrap w:val="0"/>
            <w:vAlign w:val="center"/>
          </w:tcPr>
          <w:p w14:paraId="1C7AD734">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3</w:t>
            </w:r>
          </w:p>
        </w:tc>
        <w:tc>
          <w:tcPr>
            <w:tcW w:w="1121" w:type="dxa"/>
            <w:shd w:val="clear" w:color="auto" w:fill="auto"/>
            <w:noWrap w:val="0"/>
            <w:vAlign w:val="center"/>
          </w:tcPr>
          <w:p w14:paraId="6A26F26D">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b/>
                <w:bCs/>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现场演示</w:t>
            </w:r>
          </w:p>
        </w:tc>
        <w:tc>
          <w:tcPr>
            <w:tcW w:w="7262" w:type="dxa"/>
            <w:shd w:val="clear" w:color="auto" w:fill="auto"/>
            <w:noWrap w:val="0"/>
            <w:vAlign w:val="center"/>
          </w:tcPr>
          <w:p w14:paraId="39290422">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演示评审：投标供应商现场演示，演示时长不超过20分钟。并提供承诺书，承诺演示的为拟投入本项目，且符合建设需求的数字教材建设平台（需具备自主知识产权、平台系统及所有关联功能均采用原生开发模式，具备一体化架构，各演示界面设计风格一致）。如不提供演示或采用 demo、PPT、截图无演示视频及无承诺书者作无效标处理。</w:t>
            </w:r>
          </w:p>
          <w:p w14:paraId="71C7725E">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lang w:val="en-US" w:eastAsia="zh-CN" w:bidi="ar-SA"/>
              </w:rPr>
              <w:t>投标</w:t>
            </w:r>
            <w:r>
              <w:rPr>
                <w:rFonts w:hint="eastAsia" w:ascii="宋体" w:hAnsi="宋体" w:eastAsia="宋体" w:cs="宋体"/>
                <w:b/>
                <w:bCs/>
                <w:color w:val="auto"/>
                <w:sz w:val="21"/>
                <w:szCs w:val="21"/>
                <w:highlight w:val="none"/>
                <w:vertAlign w:val="baseline"/>
                <w:lang w:val="en-US" w:eastAsia="zh-CN"/>
              </w:rPr>
              <w:t>供应商</w:t>
            </w:r>
            <w:r>
              <w:rPr>
                <w:rFonts w:hint="eastAsia" w:ascii="宋体" w:hAnsi="宋体" w:eastAsia="宋体" w:cs="宋体"/>
                <w:b/>
                <w:bCs/>
                <w:color w:val="auto"/>
                <w:sz w:val="21"/>
                <w:szCs w:val="21"/>
                <w:highlight w:val="none"/>
                <w:lang w:val="en-US" w:eastAsia="zh-CN" w:bidi="ar-SA"/>
              </w:rPr>
              <w:t>提供平台演示，</w:t>
            </w:r>
            <w:r>
              <w:rPr>
                <w:rFonts w:hint="eastAsia" w:ascii="宋体" w:hAnsi="宋体" w:eastAsia="宋体" w:cs="宋体"/>
                <w:b/>
                <w:bCs/>
                <w:color w:val="auto"/>
                <w:sz w:val="21"/>
                <w:szCs w:val="21"/>
                <w:highlight w:val="none"/>
                <w:vertAlign w:val="baseline"/>
                <w:lang w:val="en-US" w:eastAsia="zh-CN"/>
              </w:rPr>
              <w:t>完成以下功能内容的演示，根据学校评估需求设置25分，按步骤得分，不满足不得分。</w:t>
            </w:r>
          </w:p>
          <w:p w14:paraId="3D00CE0A">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（1）具备一定规模且拥有一定教材成果的平台（4分）</w:t>
            </w:r>
          </w:p>
          <w:p w14:paraId="1F9801BF">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供应商建有成熟的数字教材书架或书城，提供不少于1000种的正式出版的数字教材演示样本（2分）；其中全国教材奖获奖教材每有1本计1分，满分2分。</w:t>
            </w:r>
          </w:p>
          <w:p w14:paraId="418911E7">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（2）跨平台跨终端自适应（3分）</w:t>
            </w:r>
          </w:p>
          <w:p w14:paraId="3D811BE2">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适用于Android系统、iOS系统、Windows桌面系统、macOS系统以及国产桌面操作系统（麒麟，统信UOS）、鸿蒙操作系统客户端应用（APP）等多系统应用客户端。（</w:t>
            </w:r>
            <w:r>
              <w:rPr>
                <w:rFonts w:hint="eastAsia" w:ascii="宋体" w:hAnsi="宋体" w:eastAsia="宋体" w:cs="宋体"/>
                <w:b/>
                <w:bCs/>
                <w:color w:val="auto"/>
                <w:sz w:val="21"/>
                <w:szCs w:val="21"/>
                <w:highlight w:val="none"/>
                <w:vertAlign w:val="baseline"/>
                <w:lang w:val="en-US" w:eastAsia="zh-CN"/>
              </w:rPr>
              <w:t>每种客户端0.5分）</w:t>
            </w:r>
          </w:p>
          <w:p w14:paraId="75C0D584">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（3）离线学习、下载、删除、更新等功能（5分）</w:t>
            </w:r>
          </w:p>
          <w:p w14:paraId="7AFC353B">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①登录数字教材平台，展示教材列表，选择一本完整数字教材进行整本下载、按章下载（1分）；</w:t>
            </w:r>
          </w:p>
          <w:p w14:paraId="4EF5B52A">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②下载过程中断网，已下载教材能正常打开，所有内容（文字、图片、音视频等）均可正常访问（1分）；</w:t>
            </w:r>
          </w:p>
          <w:p w14:paraId="0B770B40">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③离线状态下，可以按章远程更新内容，并有更新提示（1分）；</w:t>
            </w:r>
          </w:p>
          <w:p w14:paraId="4ABC4D20">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④离线状态下，支持学习者笔记、批注、答题等行为记录，恢复网络，能检测到离线学习数据（1分）；</w:t>
            </w:r>
          </w:p>
          <w:p w14:paraId="7B8BBFC9">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⑤离线状态下，删除本地已下载的文件，但不影响学习者已经产生的学习数据（1分）。</w:t>
            </w:r>
          </w:p>
          <w:p w14:paraId="5A91CA3A">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（4）AI“教-学-评”一体化（6分）</w:t>
            </w:r>
          </w:p>
          <w:p w14:paraId="08831949">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①使用学生账号登录，展示数字教材的引导式学习、对话式学习、探究式学习三种互动模式，演示教材内三维模型旋转缩放、交互测试作答等操作；（每种互动模式1分，满分3分）</w:t>
            </w:r>
          </w:p>
          <w:p w14:paraId="7E632373">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②能记录学习时长、视频观看、交互练习完成度等全过程数据，开展大数据跟踪，并提供学习报告（1分）；</w:t>
            </w:r>
          </w:p>
          <w:p w14:paraId="041BDED6">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③可根据需求自由选择章节生成AI学习报告图表评估学生对于教材内容记忆和理解情况（1分）。</w:t>
            </w:r>
          </w:p>
          <w:p w14:paraId="3E7F6CBC">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1"/>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④使用移动设备登录同一账号，展示教材内容、学习进度、笔记批注等与PC端自动同步。（1分）</w:t>
            </w:r>
          </w:p>
          <w:p w14:paraId="5BF638FE">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1"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vertAlign w:val="baseline"/>
                <w:lang w:val="en-US" w:eastAsia="zh-CN" w:bidi="ar-SA"/>
              </w:rPr>
              <w:t>（5）</w:t>
            </w:r>
            <w:r>
              <w:rPr>
                <w:rFonts w:hint="eastAsia" w:ascii="宋体" w:hAnsi="宋体" w:eastAsia="宋体" w:cs="宋体"/>
                <w:b/>
                <w:bCs/>
                <w:color w:val="auto"/>
                <w:sz w:val="21"/>
                <w:szCs w:val="21"/>
                <w:highlight w:val="none"/>
                <w:vertAlign w:val="baseline"/>
                <w:lang w:val="en-US" w:eastAsia="zh-CN"/>
              </w:rPr>
              <w:t>数据分析功能（2分）</w:t>
            </w:r>
          </w:p>
          <w:p w14:paraId="6CBB6579">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 xml:space="preserve">    基于一本已开发、出版的数字教材，展示其应用数据：</w:t>
            </w:r>
          </w:p>
          <w:p w14:paraId="570AC1BF">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①全书学习汇总数据，如使用学校数、学生数、教师数及本校学生、教师明细等（1分）；</w:t>
            </w:r>
          </w:p>
          <w:p w14:paraId="1761202F">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0" w:firstLineChars="200"/>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②支持按每章、每节或测试练习进行学生的学习汇总数据（1分）。</w:t>
            </w:r>
          </w:p>
          <w:p w14:paraId="4EBFA63D">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（6）虚仿功能演示（8分）</w:t>
            </w:r>
          </w:p>
          <w:p w14:paraId="5E795A05">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jc w:val="both"/>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演示要求：基于已开发、上架的教材中的某一真实虚拟仿真内容进行现场演示。（投标代表必须在开标现场进行软件操作，图片、ppt、录屏、视频演示无效，不演示不得分）</w:t>
            </w:r>
          </w:p>
          <w:p w14:paraId="445828B9">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left="0" w:leftChars="0" w:firstLine="420" w:firstLineChars="200"/>
              <w:jc w:val="both"/>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vertAlign w:val="baseline"/>
                <w:lang w:val="en-US" w:eastAsia="zh-CN" w:bidi="ar-SA"/>
              </w:rPr>
              <w:t>①</w:t>
            </w:r>
            <w:r>
              <w:rPr>
                <w:rFonts w:hint="eastAsia" w:ascii="宋体" w:hAnsi="宋体" w:eastAsia="宋体" w:cs="宋体"/>
                <w:b w:val="0"/>
                <w:bCs w:val="0"/>
                <w:color w:val="auto"/>
                <w:sz w:val="21"/>
                <w:szCs w:val="21"/>
                <w:highlight w:val="none"/>
                <w:vertAlign w:val="baseline"/>
                <w:lang w:val="en-US" w:eastAsia="zh-CN"/>
              </w:rPr>
              <w:t>演示数字教材内嵌的仿真实验，仿真实验可在数字教材内启动，无需跳转至外部平台，2分（此条不满足，虚仿功能演示部分不得分）</w:t>
            </w:r>
          </w:p>
          <w:p w14:paraId="5A9E370C">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left="0" w:leftChars="0" w:firstLine="420" w:firstLineChars="200"/>
              <w:jc w:val="both"/>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vertAlign w:val="baseline"/>
                <w:lang w:val="en-US" w:eastAsia="zh-CN" w:bidi="ar-SA"/>
              </w:rPr>
              <w:t>②</w:t>
            </w:r>
            <w:r>
              <w:rPr>
                <w:rFonts w:hint="eastAsia" w:ascii="宋体" w:hAnsi="宋体" w:eastAsia="宋体" w:cs="宋体"/>
                <w:b w:val="0"/>
                <w:bCs w:val="0"/>
                <w:color w:val="auto"/>
                <w:sz w:val="21"/>
                <w:szCs w:val="21"/>
                <w:highlight w:val="none"/>
                <w:vertAlign w:val="baseline"/>
                <w:lang w:val="en-US" w:eastAsia="zh-CN"/>
              </w:rPr>
              <w:t>演示与数字教材任务内容相关的仿真实验1个，并按照实验流程或者实验步骤进行实验的完整操作，仿真实验必须演示完整流程，整个仿真实验流程需要逻辑通顺，步骤间前后内容关联，演示步骤至少6个操作交互步骤和得分点。（4分）</w:t>
            </w:r>
          </w:p>
          <w:p w14:paraId="5A9B403F">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left="0" w:leftChars="0" w:firstLine="420" w:firstLineChars="200"/>
              <w:jc w:val="both"/>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vertAlign w:val="baseline"/>
                <w:lang w:val="en-US" w:eastAsia="zh-CN" w:bidi="ar-SA"/>
              </w:rPr>
              <w:t>③</w:t>
            </w:r>
            <w:r>
              <w:rPr>
                <w:rFonts w:hint="eastAsia" w:ascii="宋体" w:hAnsi="宋体" w:eastAsia="宋体" w:cs="宋体"/>
                <w:b w:val="0"/>
                <w:bCs w:val="0"/>
                <w:color w:val="auto"/>
                <w:sz w:val="21"/>
                <w:szCs w:val="21"/>
                <w:highlight w:val="none"/>
                <w:vertAlign w:val="baseline"/>
                <w:lang w:val="en-US" w:eastAsia="zh-CN"/>
              </w:rPr>
              <w:t>演示在数字教材中完成1个虚拟仿真实验操作并提交后，可通过数字教材个人中心实时查看各仿真实验的学习次数、平均成绩、学习总时长，以及单次实验的成绩与时长，同时支持查看最优成绩和最新提交成绩。（2分）</w:t>
            </w:r>
          </w:p>
          <w:p w14:paraId="37944125">
            <w:pPr>
              <w:keepNext w:val="0"/>
              <w:keepLines w:val="0"/>
              <w:pageBreakBefore w:val="0"/>
              <w:widowControl/>
              <w:numPr>
                <w:ilvl w:val="0"/>
                <w:numId w:val="0"/>
              </w:numPr>
              <w:kinsoku/>
              <w:wordWrap/>
              <w:overflowPunct/>
              <w:topLinePunct w:val="0"/>
              <w:autoSpaceDE/>
              <w:autoSpaceDN/>
              <w:bidi w:val="0"/>
              <w:adjustRightInd w:val="0"/>
              <w:snapToGrid w:val="0"/>
              <w:spacing w:after="0" w:line="320" w:lineRule="exact"/>
              <w:ind w:left="421" w:leftChars="0"/>
              <w:textAlignment w:val="auto"/>
              <w:rPr>
                <w:rFonts w:hint="eastAsia" w:ascii="宋体" w:hAnsi="宋体" w:eastAsia="宋体" w:cs="宋体"/>
                <w:b w:val="0"/>
                <w:bCs w:val="0"/>
                <w:color w:val="auto"/>
                <w:sz w:val="21"/>
                <w:szCs w:val="21"/>
                <w:highlight w:val="none"/>
                <w:vertAlign w:val="baseline"/>
                <w:lang w:val="en-US" w:eastAsia="zh-CN"/>
              </w:rPr>
            </w:pPr>
          </w:p>
          <w:p w14:paraId="19B43F65">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证明材料：</w:t>
            </w:r>
          </w:p>
          <w:p w14:paraId="41D31815">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投标人将演示视频上传到苏采云系统、盖有投标人公章的承诺书、现场演示负责人身份证扫描件及授权委托书等。</w:t>
            </w:r>
          </w:p>
          <w:p w14:paraId="2A76C82A">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注：</w:t>
            </w:r>
          </w:p>
          <w:p w14:paraId="330C98A4">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①评标委员会以现场演示内容为准进行打分，苏采云系统中上传的视频作为参考。</w:t>
            </w:r>
          </w:p>
          <w:p w14:paraId="0B63C191">
            <w:pPr>
              <w:keepNext w:val="0"/>
              <w:keepLines w:val="0"/>
              <w:pageBreakBefore w:val="0"/>
              <w:widowControl/>
              <w:numPr>
                <w:ilvl w:val="0"/>
                <w:numId w:val="0"/>
              </w:numPr>
              <w:shd w:val="clear"/>
              <w:kinsoku/>
              <w:wordWrap/>
              <w:overflowPunct/>
              <w:topLinePunct w:val="0"/>
              <w:autoSpaceDE/>
              <w:autoSpaceDN/>
              <w:bidi w:val="0"/>
              <w:adjustRightInd w:val="0"/>
              <w:snapToGrid w:val="0"/>
              <w:spacing w:after="0" w:line="320" w:lineRule="exact"/>
              <w:ind w:firstLine="422" w:firstLineChars="20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lang w:val="en-US" w:eastAsia="zh-CN" w:bidi="ar-SA"/>
              </w:rPr>
              <w:t>②因投标人原因，造成的视频不清晰、不能正常播放、现场自备设备故障等，影响评委评审，后果由投标人自行承担。</w:t>
            </w:r>
          </w:p>
        </w:tc>
        <w:tc>
          <w:tcPr>
            <w:tcW w:w="662" w:type="dxa"/>
            <w:shd w:val="clear" w:color="auto" w:fill="auto"/>
            <w:noWrap w:val="0"/>
            <w:vAlign w:val="center"/>
          </w:tcPr>
          <w:p w14:paraId="29388D34">
            <w:pPr>
              <w:keepNext w:val="0"/>
              <w:keepLines w:val="0"/>
              <w:pageBreakBefore w:val="0"/>
              <w:widowControl w:val="0"/>
              <w:kinsoku/>
              <w:wordWrap/>
              <w:overflowPunct/>
              <w:topLinePunct w:val="0"/>
              <w:autoSpaceDE/>
              <w:autoSpaceDN/>
              <w:bidi w:val="0"/>
              <w:adjustRightInd w:val="0"/>
              <w:snapToGrid w:val="0"/>
              <w:spacing w:after="0" w:line="300" w:lineRule="exact"/>
              <w:jc w:val="center"/>
              <w:textAlignment w:val="auto"/>
              <w:rPr>
                <w:rFonts w:hint="eastAsia" w:ascii="宋体" w:hAnsi="宋体" w:eastAsia="宋体" w:cs="宋体"/>
                <w:color w:val="auto"/>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28</w:t>
            </w:r>
          </w:p>
        </w:tc>
      </w:tr>
    </w:tbl>
    <w:p w14:paraId="10A6E939">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以上所提供材料必须真实可靠，伪造证书证件、伪造合同等一切弄虚作假行为，一经发现和查实（含在本项目合同履行期间被查实），采购方有权终止合同，没收履约保证金，并追究供应商经济和法律责任，同时上报有关部门列入诚信黑名单。</w:t>
      </w:r>
    </w:p>
    <w:p w14:paraId="1B822BE5">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2.投标文件商务技术标得分低于本采购文件商务技术标评分分值</w:t>
      </w:r>
      <w:r>
        <w:rPr>
          <w:rFonts w:hint="eastAsia" w:ascii="宋体" w:hAnsi="宋体" w:eastAsia="宋体" w:cs="宋体"/>
          <w:b/>
          <w:bCs/>
          <w:color w:val="auto"/>
          <w:sz w:val="24"/>
          <w:szCs w:val="24"/>
          <w:highlight w:val="none"/>
          <w:shd w:val="clear"/>
          <w:lang w:val="en-US" w:eastAsia="zh-CN"/>
        </w:rPr>
        <w:t>（90分）的50%</w:t>
      </w:r>
      <w:r>
        <w:rPr>
          <w:rFonts w:hint="eastAsia" w:ascii="宋体" w:hAnsi="宋体" w:eastAsia="宋体" w:cs="宋体"/>
          <w:b/>
          <w:bCs/>
          <w:color w:val="auto"/>
          <w:sz w:val="24"/>
          <w:szCs w:val="24"/>
          <w:highlight w:val="none"/>
          <w:lang w:val="en-US" w:eastAsia="zh-CN"/>
        </w:rPr>
        <w:t>时，视为未实质性响应采购文件要求，作为无效投标处理。</w:t>
      </w:r>
    </w:p>
    <w:p w14:paraId="45E6EBB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.评委依据招标文件载明的方法评分，评分四舍五入精确到小数点后两位。</w:t>
      </w:r>
    </w:p>
    <w:p w14:paraId="709D904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color w:val="auto"/>
          <w:sz w:val="24"/>
          <w:szCs w:val="24"/>
          <w:highlight w:val="none"/>
          <w:shd w:val="clear"/>
        </w:rPr>
      </w:pPr>
      <w:r>
        <w:rPr>
          <w:rFonts w:hint="eastAsia" w:ascii="宋体" w:hAnsi="宋体" w:eastAsia="宋体" w:cs="宋体"/>
          <w:b/>
          <w:color w:val="auto"/>
          <w:sz w:val="24"/>
          <w:szCs w:val="24"/>
          <w:highlight w:val="none"/>
        </w:rPr>
        <w:t>（二）</w:t>
      </w:r>
      <w:r>
        <w:rPr>
          <w:rFonts w:hint="eastAsia" w:ascii="宋体" w:hAnsi="宋体" w:eastAsia="宋体" w:cs="宋体"/>
          <w:b/>
          <w:color w:val="auto"/>
          <w:sz w:val="24"/>
          <w:szCs w:val="24"/>
          <w:highlight w:val="none"/>
          <w:lang w:val="zh-CN"/>
        </w:rPr>
        <w:t>价格标</w:t>
      </w:r>
      <w:r>
        <w:rPr>
          <w:rFonts w:hint="eastAsia" w:ascii="宋体" w:hAnsi="宋体" w:eastAsia="宋体" w:cs="宋体"/>
          <w:b/>
          <w:color w:val="auto"/>
          <w:sz w:val="24"/>
          <w:szCs w:val="24"/>
          <w:highlight w:val="none"/>
        </w:rPr>
        <w:t>评</w:t>
      </w:r>
      <w:r>
        <w:rPr>
          <w:rFonts w:hint="eastAsia" w:ascii="宋体" w:hAnsi="宋体" w:eastAsia="宋体" w:cs="宋体"/>
          <w:b/>
          <w:color w:val="auto"/>
          <w:sz w:val="24"/>
          <w:szCs w:val="24"/>
          <w:highlight w:val="none"/>
          <w:shd w:val="clear"/>
        </w:rPr>
        <w:t>分：（</w:t>
      </w:r>
      <w:r>
        <w:rPr>
          <w:rFonts w:hint="eastAsia" w:ascii="宋体" w:hAnsi="宋体" w:eastAsia="宋体" w:cs="宋体"/>
          <w:b/>
          <w:color w:val="auto"/>
          <w:sz w:val="24"/>
          <w:szCs w:val="24"/>
          <w:highlight w:val="none"/>
          <w:shd w:val="clear"/>
          <w:lang w:val="en-US" w:eastAsia="zh-CN"/>
        </w:rPr>
        <w:t>10</w:t>
      </w:r>
      <w:r>
        <w:rPr>
          <w:rFonts w:hint="eastAsia" w:ascii="宋体" w:hAnsi="宋体" w:eastAsia="宋体" w:cs="宋体"/>
          <w:b/>
          <w:color w:val="auto"/>
          <w:sz w:val="24"/>
          <w:szCs w:val="24"/>
          <w:highlight w:val="none"/>
          <w:shd w:val="clear"/>
        </w:rPr>
        <w:t>分）</w:t>
      </w:r>
    </w:p>
    <w:p w14:paraId="6B087EC5">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本次项目最高限价：</w:t>
      </w:r>
      <w:r>
        <w:rPr>
          <w:rFonts w:hint="eastAsia" w:ascii="宋体" w:hAnsi="宋体" w:eastAsia="宋体" w:cs="宋体"/>
          <w:b/>
          <w:color w:val="auto"/>
          <w:sz w:val="24"/>
          <w:szCs w:val="24"/>
          <w:highlight w:val="none"/>
          <w:lang w:val="en-US" w:eastAsia="zh-CN"/>
        </w:rPr>
        <w:t>450万元，响应报价</w:t>
      </w:r>
      <w:r>
        <w:rPr>
          <w:rFonts w:hint="eastAsia" w:ascii="宋体" w:hAnsi="宋体" w:eastAsia="宋体" w:cs="宋体"/>
          <w:b/>
          <w:color w:val="auto"/>
          <w:sz w:val="24"/>
          <w:szCs w:val="24"/>
          <w:highlight w:val="none"/>
        </w:rPr>
        <w:t>超过限价作无效标处理。</w:t>
      </w:r>
    </w:p>
    <w:p w14:paraId="0B2ADC91">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满足招标文件要求且投标报价最低的报价为评标基准价，其</w:t>
      </w:r>
      <w:r>
        <w:rPr>
          <w:rFonts w:hint="eastAsia" w:ascii="宋体" w:hAnsi="宋体" w:eastAsia="宋体" w:cs="宋体"/>
          <w:color w:val="auto"/>
          <w:sz w:val="24"/>
          <w:szCs w:val="24"/>
          <w:highlight w:val="none"/>
          <w:lang w:val="en-US" w:eastAsia="zh-CN"/>
        </w:rPr>
        <w:t>价格</w:t>
      </w:r>
      <w:r>
        <w:rPr>
          <w:rFonts w:hint="eastAsia" w:ascii="宋体" w:hAnsi="宋体" w:eastAsia="宋体" w:cs="宋体"/>
          <w:color w:val="auto"/>
          <w:sz w:val="24"/>
          <w:szCs w:val="24"/>
          <w:highlight w:val="none"/>
        </w:rPr>
        <w:t>标得分为满分。</w:t>
      </w:r>
    </w:p>
    <w:p w14:paraId="10A463EA">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其他投标供应商的</w:t>
      </w:r>
      <w:r>
        <w:rPr>
          <w:rFonts w:hint="eastAsia" w:ascii="宋体" w:hAnsi="宋体" w:eastAsia="宋体" w:cs="宋体"/>
          <w:color w:val="auto"/>
          <w:sz w:val="24"/>
          <w:szCs w:val="24"/>
          <w:highlight w:val="none"/>
          <w:lang w:val="en-US" w:eastAsia="zh-CN"/>
        </w:rPr>
        <w:t>价格</w:t>
      </w:r>
      <w:r>
        <w:rPr>
          <w:rFonts w:hint="eastAsia" w:ascii="宋体" w:hAnsi="宋体" w:eastAsia="宋体" w:cs="宋体"/>
          <w:color w:val="auto"/>
          <w:sz w:val="24"/>
          <w:szCs w:val="24"/>
          <w:highlight w:val="none"/>
        </w:rPr>
        <w:t>标得分按照下列公式计算：</w:t>
      </w:r>
    </w:p>
    <w:p w14:paraId="585D1FDC">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价格</w:t>
      </w:r>
      <w:r>
        <w:rPr>
          <w:rFonts w:hint="eastAsia" w:ascii="宋体" w:hAnsi="宋体" w:eastAsia="宋体" w:cs="宋体"/>
          <w:color w:val="auto"/>
          <w:sz w:val="24"/>
          <w:szCs w:val="24"/>
          <w:highlight w:val="none"/>
        </w:rPr>
        <w:t>标得分 =（评标基准价/投标报价）×</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%×100</w:t>
      </w:r>
    </w:p>
    <w:p w14:paraId="26C06E1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（三）政府采购政策功能落实 </w:t>
      </w:r>
    </w:p>
    <w:bookmarkEnd w:id="7"/>
    <w:p w14:paraId="6CF1CC22">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bookmarkStart w:id="10" w:name="_Toc363573857"/>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小微型企业价格扣除（本项目标的需求明确的所属行业为</w:t>
      </w:r>
      <w:r>
        <w:rPr>
          <w:rFonts w:hint="eastAsia" w:ascii="宋体" w:hAnsi="宋体" w:eastAsia="宋体" w:cs="宋体"/>
          <w:b/>
          <w:bCs/>
          <w:color w:val="auto"/>
          <w:sz w:val="24"/>
          <w:szCs w:val="24"/>
          <w:highlight w:val="none"/>
          <w:u w:val="single"/>
        </w:rPr>
        <w:t>软件和信息技术服务业</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6AFF3F3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（1）本项目对小型和微型企业产品给予</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的扣除价格，用扣除后的价格参与评审。</w:t>
      </w:r>
    </w:p>
    <w:p w14:paraId="51D23F3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（2）供应商需按照采购文件的要求提供相应的《小微企业声明函》。</w:t>
      </w:r>
    </w:p>
    <w:p w14:paraId="785002F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（3）企业标准请参照《关于印发中小企业划型标准规定的通知》（工信部联企业[2011]300号）文件规定自行填写。</w:t>
      </w:r>
    </w:p>
    <w:p w14:paraId="003F05D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残疾人福利单位价格扣除</w:t>
      </w:r>
    </w:p>
    <w:p w14:paraId="77991589">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（1）本项目对残疾人福利性单位视同小型、微型企业，给予</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的价格扣除，用扣除后的价格参与评审。</w:t>
      </w:r>
    </w:p>
    <w:p w14:paraId="61EC9DC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（2）残疾人福利单位需按照采购文件的要求提供《残疾人福利性单位声明函》。</w:t>
      </w:r>
    </w:p>
    <w:p w14:paraId="1304F70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（3）残疾人福利单位标准请参照《关于促进残疾人就业政府采购政策的通知》（财库〔2017〕141号）。</w:t>
      </w:r>
    </w:p>
    <w:p w14:paraId="396930C9">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监狱和戒毒企业价格扣除</w:t>
      </w:r>
    </w:p>
    <w:p w14:paraId="081D63B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（1）本项目对监狱和戒毒企业（简称监狱企业）视同小型、微型企业，给予</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的价格扣除，用扣除后的价格参与评审。</w:t>
      </w:r>
    </w:p>
    <w:p w14:paraId="272B2F1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0BDC826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（3）监狱企业标准请参照《关于政府采购支持监狱企业发展有关问题的通知》（财库[2014]68号）。</w:t>
      </w:r>
    </w:p>
    <w:p w14:paraId="4F3091E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残疾人福利单位、监狱企业属于小型、微型企业的，不重复享受政策。</w:t>
      </w:r>
    </w:p>
    <w:p w14:paraId="7C0129B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如本项目同意分包履行合同的,大中型企业向一家或多家小微型企业分包，分包意向协议中约定小微型企业（残疾人福利单位、监狱企业）的合同份额占到合同总金额30%以上的，给予大中型企业</w:t>
      </w:r>
      <w:r>
        <w:rPr>
          <w:rFonts w:hint="eastAsia" w:ascii="宋体" w:hAnsi="宋体" w:eastAsia="宋体" w:cs="宋体"/>
          <w:color w:val="auto"/>
          <w:sz w:val="24"/>
          <w:szCs w:val="24"/>
          <w:highlight w:val="none"/>
          <w:u w:val="single"/>
        </w:rPr>
        <w:t>6%</w:t>
      </w:r>
      <w:r>
        <w:rPr>
          <w:rFonts w:hint="eastAsia" w:ascii="宋体" w:hAnsi="宋体" w:eastAsia="宋体" w:cs="宋体"/>
          <w:color w:val="auto"/>
          <w:sz w:val="24"/>
          <w:szCs w:val="24"/>
          <w:highlight w:val="none"/>
        </w:rPr>
        <w:t>的价格扣除，用扣除后的价格参与评审。</w:t>
      </w:r>
    </w:p>
    <w:p w14:paraId="3707FD6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（四）中标人的确定</w:t>
      </w:r>
    </w:p>
    <w:p w14:paraId="67BA2ED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委会汇总各评委评分后，按照综合得分从高到低的顺序推荐前三名中标候选人，得分相同的，按投标报价由低到高顺序排列。得分且投标报价均相同时则通过抽签方式随机确定排名顺序。投标文件满足招标文件全部实质性要求，且按照评审因素的量化指标评审得分最高的投标人为排名第一的中标候选人，并编写评标报告。</w:t>
      </w:r>
    </w:p>
    <w:p w14:paraId="0A9D333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招标人委托评标委员会直接确定中标人。</w:t>
      </w:r>
    </w:p>
    <w:p w14:paraId="3C9CC66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当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4AF615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九、评标争议</w:t>
      </w:r>
    </w:p>
    <w:p w14:paraId="0F8E8C0C">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评标时评委对评标的细则若有争议，由评标委员会评委集体讨论确定，并对未尽情况有最终解释权。</w:t>
      </w:r>
    </w:p>
    <w:p w14:paraId="1389627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十、落标原因</w:t>
      </w:r>
    </w:p>
    <w:p w14:paraId="1482BFE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评标委员会不对落标的投标人做落标原因的解释。</w:t>
      </w:r>
    </w:p>
    <w:p w14:paraId="26D862F9">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36"/>
          <w:szCs w:val="36"/>
          <w:highlight w:val="none"/>
          <w:shd w:val="clear"/>
        </w:rPr>
      </w:pPr>
      <w:r>
        <w:rPr>
          <w:rFonts w:hint="eastAsia" w:ascii="宋体" w:hAnsi="宋体" w:eastAsia="宋体" w:cs="宋体"/>
          <w:b/>
          <w:color w:val="auto"/>
          <w:sz w:val="36"/>
          <w:szCs w:val="36"/>
          <w:highlight w:val="none"/>
        </w:rPr>
        <w:br w:type="page" w:clear="all"/>
      </w:r>
      <w:r>
        <w:rPr>
          <w:rFonts w:hint="eastAsia" w:ascii="宋体" w:hAnsi="宋体" w:eastAsia="宋体" w:cs="宋体"/>
          <w:b/>
          <w:color w:val="auto"/>
          <w:sz w:val="36"/>
          <w:szCs w:val="36"/>
          <w:highlight w:val="none"/>
          <w:shd w:val="clear"/>
        </w:rPr>
        <w:t>第五章</w:t>
      </w:r>
      <w:r>
        <w:rPr>
          <w:rFonts w:hint="eastAsia" w:ascii="宋体" w:hAnsi="宋体" w:eastAsia="宋体" w:cs="宋体"/>
          <w:b/>
          <w:color w:val="auto"/>
          <w:sz w:val="36"/>
          <w:szCs w:val="36"/>
          <w:highlight w:val="none"/>
          <w:shd w:val="clear"/>
          <w:lang w:val="en-US" w:eastAsia="zh-CN"/>
        </w:rPr>
        <w:t xml:space="preserve">  </w:t>
      </w:r>
      <w:r>
        <w:rPr>
          <w:rFonts w:hint="eastAsia" w:ascii="宋体" w:hAnsi="宋体" w:eastAsia="宋体" w:cs="宋体"/>
          <w:b/>
          <w:color w:val="auto"/>
          <w:sz w:val="36"/>
          <w:szCs w:val="36"/>
          <w:highlight w:val="none"/>
          <w:shd w:val="clear"/>
          <w:lang w:eastAsia="zh-CN"/>
        </w:rPr>
        <w:t>合同签订与验收付款</w:t>
      </w:r>
    </w:p>
    <w:bookmarkEnd w:id="10"/>
    <w:p w14:paraId="775688E3">
      <w:pPr>
        <w:shd w:val="clear"/>
        <w:spacing w:line="360" w:lineRule="auto"/>
        <w:jc w:val="center"/>
        <w:outlineLvl w:val="0"/>
        <w:rPr>
          <w:rFonts w:hint="eastAsia" w:ascii="宋体" w:hAnsi="宋体" w:eastAsia="宋体" w:cs="宋体"/>
          <w:b/>
          <w:color w:val="auto"/>
          <w:sz w:val="32"/>
          <w:szCs w:val="32"/>
          <w:highlight w:val="none"/>
        </w:rPr>
      </w:pPr>
      <w:bookmarkStart w:id="11" w:name="_Toc8219"/>
      <w:bookmarkStart w:id="12" w:name="_Toc363573859"/>
      <w:r>
        <w:rPr>
          <w:rFonts w:hint="eastAsia" w:ascii="宋体" w:hAnsi="宋体" w:eastAsia="宋体" w:cs="宋体"/>
          <w:b/>
          <w:color w:val="auto"/>
          <w:sz w:val="32"/>
          <w:szCs w:val="32"/>
          <w:highlight w:val="none"/>
        </w:rPr>
        <w:t>江苏省政府采购合同（</w:t>
      </w:r>
      <w:r>
        <w:rPr>
          <w:rFonts w:hint="eastAsia" w:ascii="宋体" w:hAnsi="宋体" w:eastAsia="宋体" w:cs="宋体"/>
          <w:b/>
          <w:color w:val="auto"/>
          <w:sz w:val="32"/>
          <w:szCs w:val="32"/>
          <w:highlight w:val="none"/>
          <w:lang w:eastAsia="zh-CN"/>
        </w:rPr>
        <w:t>服务</w:t>
      </w:r>
      <w:r>
        <w:rPr>
          <w:rFonts w:hint="eastAsia" w:ascii="宋体" w:hAnsi="宋体" w:eastAsia="宋体" w:cs="宋体"/>
          <w:b/>
          <w:color w:val="auto"/>
          <w:sz w:val="32"/>
          <w:szCs w:val="32"/>
          <w:highlight w:val="none"/>
        </w:rPr>
        <w:t>）</w:t>
      </w:r>
    </w:p>
    <w:p w14:paraId="67B6750E">
      <w:pPr>
        <w:shd w:val="clear"/>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（合同编号：         ）</w:t>
      </w:r>
      <w:bookmarkEnd w:id="11"/>
    </w:p>
    <w:p w14:paraId="022B6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船舶海工智能制造“云造船”数字教材中心项目</w:t>
      </w:r>
    </w:p>
    <w:p w14:paraId="10AED4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p w14:paraId="68146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u w:val="single"/>
        </w:rPr>
        <w:t>江苏航运职业技术学院</w:t>
      </w:r>
    </w:p>
    <w:p w14:paraId="24AEA0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乙方（中标人）：</w:t>
      </w:r>
    </w:p>
    <w:p w14:paraId="0805F2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甲、乙双方根据</w:t>
      </w:r>
      <w:r>
        <w:rPr>
          <w:rFonts w:hint="eastAsia" w:ascii="宋体" w:hAnsi="宋体" w:eastAsia="宋体" w:cs="宋体"/>
          <w:color w:val="auto"/>
          <w:sz w:val="24"/>
          <w:szCs w:val="24"/>
          <w:highlight w:val="none"/>
          <w:u w:val="single"/>
          <w:lang w:eastAsia="zh-CN"/>
        </w:rPr>
        <w:t>船舶海工智能制造“云造船”数字教材中心项目</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）公开招标的结果，签署本合同。</w:t>
      </w:r>
    </w:p>
    <w:p w14:paraId="7D91154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一、合同内容</w:t>
      </w:r>
    </w:p>
    <w:p w14:paraId="4FDAA9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服务采购清单</w:t>
      </w:r>
    </w:p>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1070"/>
        <w:gridCol w:w="1817"/>
        <w:gridCol w:w="802"/>
        <w:gridCol w:w="923"/>
        <w:gridCol w:w="855"/>
        <w:gridCol w:w="842"/>
        <w:gridCol w:w="2500"/>
      </w:tblGrid>
      <w:tr w14:paraId="013F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Align w:val="center"/>
          </w:tcPr>
          <w:p w14:paraId="12B5AD1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序号</w:t>
            </w:r>
          </w:p>
        </w:tc>
        <w:tc>
          <w:tcPr>
            <w:tcW w:w="2887" w:type="dxa"/>
            <w:gridSpan w:val="2"/>
            <w:vAlign w:val="center"/>
          </w:tcPr>
          <w:p w14:paraId="5EA7B10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建设内容</w:t>
            </w:r>
          </w:p>
        </w:tc>
        <w:tc>
          <w:tcPr>
            <w:tcW w:w="802" w:type="dxa"/>
            <w:vAlign w:val="center"/>
          </w:tcPr>
          <w:p w14:paraId="1035033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数量</w:t>
            </w:r>
          </w:p>
        </w:tc>
        <w:tc>
          <w:tcPr>
            <w:tcW w:w="923" w:type="dxa"/>
            <w:vAlign w:val="center"/>
          </w:tcPr>
          <w:p w14:paraId="5BA3F69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单位</w:t>
            </w:r>
          </w:p>
        </w:tc>
        <w:tc>
          <w:tcPr>
            <w:tcW w:w="855" w:type="dxa"/>
            <w:vAlign w:val="center"/>
          </w:tcPr>
          <w:p w14:paraId="3125064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单价</w:t>
            </w:r>
          </w:p>
          <w:p w14:paraId="61B3CEE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（元）</w:t>
            </w:r>
          </w:p>
        </w:tc>
        <w:tc>
          <w:tcPr>
            <w:tcW w:w="842" w:type="dxa"/>
            <w:vAlign w:val="center"/>
          </w:tcPr>
          <w:p w14:paraId="59DD28A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合价</w:t>
            </w:r>
          </w:p>
          <w:p w14:paraId="18DDDE7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（元）</w:t>
            </w:r>
          </w:p>
        </w:tc>
        <w:tc>
          <w:tcPr>
            <w:tcW w:w="2500" w:type="dxa"/>
            <w:vAlign w:val="center"/>
          </w:tcPr>
          <w:p w14:paraId="79F4727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备注</w:t>
            </w:r>
          </w:p>
        </w:tc>
      </w:tr>
      <w:tr w14:paraId="141D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restart"/>
            <w:vAlign w:val="center"/>
          </w:tcPr>
          <w:p w14:paraId="4EB15CE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070" w:type="dxa"/>
            <w:vMerge w:val="restart"/>
            <w:vAlign w:val="center"/>
          </w:tcPr>
          <w:p w14:paraId="05455C8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数字教材中心平台</w:t>
            </w:r>
          </w:p>
        </w:tc>
        <w:tc>
          <w:tcPr>
            <w:tcW w:w="1817" w:type="dxa"/>
            <w:vAlign w:val="center"/>
          </w:tcPr>
          <w:p w14:paraId="26632485">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数字教材发布与管理平台</w:t>
            </w:r>
          </w:p>
        </w:tc>
        <w:tc>
          <w:tcPr>
            <w:tcW w:w="802" w:type="dxa"/>
            <w:vAlign w:val="center"/>
          </w:tcPr>
          <w:p w14:paraId="50FAE49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923" w:type="dxa"/>
            <w:vAlign w:val="center"/>
          </w:tcPr>
          <w:p w14:paraId="3D8BD58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套</w:t>
            </w:r>
          </w:p>
        </w:tc>
        <w:tc>
          <w:tcPr>
            <w:tcW w:w="855" w:type="dxa"/>
            <w:vMerge w:val="restart"/>
            <w:vAlign w:val="center"/>
          </w:tcPr>
          <w:p w14:paraId="256F5340">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restart"/>
            <w:vAlign w:val="center"/>
          </w:tcPr>
          <w:p w14:paraId="32EE76EA">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0C62D056">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31F6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128AD74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6520082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1E415EF2">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数字教材编辑器</w:t>
            </w:r>
          </w:p>
        </w:tc>
        <w:tc>
          <w:tcPr>
            <w:tcW w:w="802" w:type="dxa"/>
            <w:shd w:val="clear" w:color="auto" w:fill="auto"/>
            <w:vAlign w:val="center"/>
          </w:tcPr>
          <w:p w14:paraId="58FAAB4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w:t>
            </w:r>
          </w:p>
        </w:tc>
        <w:tc>
          <w:tcPr>
            <w:tcW w:w="923" w:type="dxa"/>
            <w:shd w:val="clear" w:color="auto" w:fill="auto"/>
            <w:vAlign w:val="center"/>
          </w:tcPr>
          <w:p w14:paraId="1F9EB53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eastAsia="zh-CN"/>
              </w:rPr>
              <w:t>套</w:t>
            </w:r>
          </w:p>
        </w:tc>
        <w:tc>
          <w:tcPr>
            <w:tcW w:w="855" w:type="dxa"/>
            <w:vMerge w:val="continue"/>
            <w:vAlign w:val="center"/>
          </w:tcPr>
          <w:p w14:paraId="3E46559F">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23D731E0">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4AC6CA53">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6D1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2CB3A15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4A4B991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54B6F09C">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数字教材学习与应用系统</w:t>
            </w:r>
          </w:p>
        </w:tc>
        <w:tc>
          <w:tcPr>
            <w:tcW w:w="802" w:type="dxa"/>
            <w:shd w:val="clear" w:color="auto" w:fill="auto"/>
            <w:vAlign w:val="center"/>
          </w:tcPr>
          <w:p w14:paraId="722FCA5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w:t>
            </w:r>
          </w:p>
        </w:tc>
        <w:tc>
          <w:tcPr>
            <w:tcW w:w="923" w:type="dxa"/>
            <w:shd w:val="clear" w:color="auto" w:fill="auto"/>
            <w:vAlign w:val="center"/>
          </w:tcPr>
          <w:p w14:paraId="414912D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eastAsia="zh-CN"/>
              </w:rPr>
              <w:t>套</w:t>
            </w:r>
          </w:p>
        </w:tc>
        <w:tc>
          <w:tcPr>
            <w:tcW w:w="855" w:type="dxa"/>
            <w:vMerge w:val="continue"/>
            <w:vAlign w:val="center"/>
          </w:tcPr>
          <w:p w14:paraId="1AC83543">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50B95836">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64EC4A38">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5E66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7" w:type="dxa"/>
            <w:vMerge w:val="continue"/>
            <w:vAlign w:val="center"/>
          </w:tcPr>
          <w:p w14:paraId="7FCC996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6734757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4DF65C23">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校本数字教材</w:t>
            </w:r>
          </w:p>
        </w:tc>
        <w:tc>
          <w:tcPr>
            <w:tcW w:w="802" w:type="dxa"/>
            <w:vAlign w:val="center"/>
          </w:tcPr>
          <w:p w14:paraId="5D6D016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923" w:type="dxa"/>
            <w:vAlign w:val="center"/>
          </w:tcPr>
          <w:p w14:paraId="2C2B968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项</w:t>
            </w:r>
          </w:p>
        </w:tc>
        <w:tc>
          <w:tcPr>
            <w:tcW w:w="855" w:type="dxa"/>
            <w:vMerge w:val="continue"/>
            <w:vAlign w:val="center"/>
          </w:tcPr>
          <w:p w14:paraId="31FDFEA4">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15F82281">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22C7BA07">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rPr>
            </w:pPr>
          </w:p>
        </w:tc>
      </w:tr>
      <w:tr w14:paraId="4CCB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4D5573F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25AC4EE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13249108">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数字教材中心应用推广</w:t>
            </w:r>
          </w:p>
        </w:tc>
        <w:tc>
          <w:tcPr>
            <w:tcW w:w="802" w:type="dxa"/>
            <w:vAlign w:val="center"/>
          </w:tcPr>
          <w:p w14:paraId="2E42761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923" w:type="dxa"/>
            <w:vAlign w:val="center"/>
          </w:tcPr>
          <w:p w14:paraId="6CCFBF6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项</w:t>
            </w:r>
          </w:p>
        </w:tc>
        <w:tc>
          <w:tcPr>
            <w:tcW w:w="855" w:type="dxa"/>
            <w:vMerge w:val="continue"/>
            <w:vAlign w:val="center"/>
          </w:tcPr>
          <w:p w14:paraId="6C307275">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45C4E4D2">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6544595F">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r w14:paraId="3FBF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7" w:type="dxa"/>
            <w:vMerge w:val="restart"/>
            <w:vAlign w:val="center"/>
          </w:tcPr>
          <w:p w14:paraId="04A22CF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1070" w:type="dxa"/>
            <w:vMerge w:val="restart"/>
            <w:vAlign w:val="center"/>
          </w:tcPr>
          <w:p w14:paraId="15897CB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sz w:val="24"/>
                <w:szCs w:val="24"/>
                <w:highlight w:val="none"/>
                <w:vertAlign w:val="baseline"/>
                <w:lang w:val="en-US" w:eastAsia="zh-CN"/>
              </w:rPr>
              <w:t>15本重点建设数字教材</w:t>
            </w:r>
          </w:p>
        </w:tc>
        <w:tc>
          <w:tcPr>
            <w:tcW w:w="1817" w:type="dxa"/>
            <w:vAlign w:val="center"/>
          </w:tcPr>
          <w:p w14:paraId="485B89A5">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图谱建设</w:t>
            </w:r>
          </w:p>
        </w:tc>
        <w:tc>
          <w:tcPr>
            <w:tcW w:w="802" w:type="dxa"/>
            <w:vAlign w:val="center"/>
          </w:tcPr>
          <w:p w14:paraId="4533E90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23" w:type="dxa"/>
            <w:vAlign w:val="center"/>
          </w:tcPr>
          <w:p w14:paraId="3463501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套</w:t>
            </w:r>
          </w:p>
        </w:tc>
        <w:tc>
          <w:tcPr>
            <w:tcW w:w="855" w:type="dxa"/>
            <w:vMerge w:val="restart"/>
            <w:vAlign w:val="center"/>
          </w:tcPr>
          <w:p w14:paraId="4F4D4A2F">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restart"/>
            <w:vAlign w:val="center"/>
          </w:tcPr>
          <w:p w14:paraId="7008A5FD">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06F9CD14">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每本教材1套</w:t>
            </w:r>
          </w:p>
        </w:tc>
      </w:tr>
      <w:tr w14:paraId="699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7" w:type="dxa"/>
            <w:vMerge w:val="continue"/>
            <w:vAlign w:val="center"/>
          </w:tcPr>
          <w:p w14:paraId="78B2951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597C52A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16795F36">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定制数字人</w:t>
            </w:r>
          </w:p>
        </w:tc>
        <w:tc>
          <w:tcPr>
            <w:tcW w:w="802" w:type="dxa"/>
            <w:vAlign w:val="center"/>
          </w:tcPr>
          <w:p w14:paraId="1259A03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23" w:type="dxa"/>
            <w:vAlign w:val="center"/>
          </w:tcPr>
          <w:p w14:paraId="4641652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855" w:type="dxa"/>
            <w:vMerge w:val="continue"/>
            <w:vAlign w:val="center"/>
          </w:tcPr>
          <w:p w14:paraId="5211B918">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276A68F9">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0175EAF1">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每本教材1个</w:t>
            </w:r>
          </w:p>
        </w:tc>
      </w:tr>
      <w:tr w14:paraId="7EFB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3024331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47F7179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3A2D27F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微课视频建设</w:t>
            </w:r>
          </w:p>
        </w:tc>
        <w:tc>
          <w:tcPr>
            <w:tcW w:w="802" w:type="dxa"/>
            <w:vAlign w:val="center"/>
          </w:tcPr>
          <w:p w14:paraId="488E5AC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600</w:t>
            </w:r>
          </w:p>
        </w:tc>
        <w:tc>
          <w:tcPr>
            <w:tcW w:w="923" w:type="dxa"/>
            <w:vAlign w:val="center"/>
          </w:tcPr>
          <w:p w14:paraId="584D564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855" w:type="dxa"/>
            <w:vMerge w:val="continue"/>
            <w:vAlign w:val="center"/>
          </w:tcPr>
          <w:p w14:paraId="7F2253DE">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092FE83F">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519A9473">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每本教材制作不少于40个微课视频。</w:t>
            </w:r>
          </w:p>
        </w:tc>
      </w:tr>
      <w:tr w14:paraId="0D08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21703D1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5D33250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7CE3ECFA">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二维动画建设</w:t>
            </w:r>
          </w:p>
        </w:tc>
        <w:tc>
          <w:tcPr>
            <w:tcW w:w="802" w:type="dxa"/>
            <w:vAlign w:val="center"/>
          </w:tcPr>
          <w:p w14:paraId="50AFDD6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90</w:t>
            </w:r>
          </w:p>
        </w:tc>
        <w:tc>
          <w:tcPr>
            <w:tcW w:w="923" w:type="dxa"/>
            <w:vAlign w:val="center"/>
          </w:tcPr>
          <w:p w14:paraId="72C796E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855" w:type="dxa"/>
            <w:vMerge w:val="continue"/>
            <w:vAlign w:val="center"/>
          </w:tcPr>
          <w:p w14:paraId="11D91474">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7D6C253D">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47638B4F">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二维动画总量不少于90个。</w:t>
            </w:r>
          </w:p>
        </w:tc>
      </w:tr>
      <w:tr w14:paraId="7E66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67A0859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5B92A81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65FA28F4">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三维动画建设</w:t>
            </w:r>
          </w:p>
        </w:tc>
        <w:tc>
          <w:tcPr>
            <w:tcW w:w="802" w:type="dxa"/>
            <w:vAlign w:val="center"/>
          </w:tcPr>
          <w:p w14:paraId="1B338C7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45</w:t>
            </w:r>
          </w:p>
        </w:tc>
        <w:tc>
          <w:tcPr>
            <w:tcW w:w="923" w:type="dxa"/>
            <w:vAlign w:val="center"/>
          </w:tcPr>
          <w:p w14:paraId="0067E2B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855" w:type="dxa"/>
            <w:vMerge w:val="continue"/>
            <w:vAlign w:val="center"/>
          </w:tcPr>
          <w:p w14:paraId="785136AD">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2DBEE4D8">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02AAA826">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三维动画总量不少于45个。</w:t>
            </w:r>
          </w:p>
        </w:tc>
      </w:tr>
      <w:tr w14:paraId="7FA8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547" w:type="dxa"/>
            <w:vMerge w:val="continue"/>
            <w:vAlign w:val="center"/>
          </w:tcPr>
          <w:p w14:paraId="3CDF3D0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5483350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320761C4">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虚仿建设</w:t>
            </w:r>
          </w:p>
        </w:tc>
        <w:tc>
          <w:tcPr>
            <w:tcW w:w="802" w:type="dxa"/>
            <w:vAlign w:val="center"/>
          </w:tcPr>
          <w:p w14:paraId="1069E3F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60</w:t>
            </w:r>
          </w:p>
        </w:tc>
        <w:tc>
          <w:tcPr>
            <w:tcW w:w="923" w:type="dxa"/>
            <w:vAlign w:val="center"/>
          </w:tcPr>
          <w:p w14:paraId="02783C0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个</w:t>
            </w:r>
          </w:p>
        </w:tc>
        <w:tc>
          <w:tcPr>
            <w:tcW w:w="855" w:type="dxa"/>
            <w:vMerge w:val="continue"/>
            <w:vAlign w:val="center"/>
          </w:tcPr>
          <w:p w14:paraId="503D3127">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0D892476">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5E152A23">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根据教材情况有选择性进行建设，合计不少于60个轻虚仿资源。</w:t>
            </w:r>
          </w:p>
        </w:tc>
      </w:tr>
      <w:tr w14:paraId="325D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47" w:type="dxa"/>
            <w:vMerge w:val="continue"/>
            <w:vAlign w:val="center"/>
          </w:tcPr>
          <w:p w14:paraId="1FE2EE4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74F174E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6446E225">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个性化游戏定制及版面优化设计</w:t>
            </w:r>
          </w:p>
        </w:tc>
        <w:tc>
          <w:tcPr>
            <w:tcW w:w="802" w:type="dxa"/>
            <w:vAlign w:val="center"/>
          </w:tcPr>
          <w:p w14:paraId="0705078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23" w:type="dxa"/>
            <w:vAlign w:val="center"/>
          </w:tcPr>
          <w:p w14:paraId="2AFD6C3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套</w:t>
            </w:r>
          </w:p>
        </w:tc>
        <w:tc>
          <w:tcPr>
            <w:tcW w:w="855" w:type="dxa"/>
            <w:vMerge w:val="continue"/>
            <w:vAlign w:val="center"/>
          </w:tcPr>
          <w:p w14:paraId="50F5596C">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57A00A87">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667DED7B">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其中，每本教材不少于20个交互测试</w:t>
            </w:r>
          </w:p>
        </w:tc>
      </w:tr>
      <w:tr w14:paraId="2B8E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47" w:type="dxa"/>
            <w:vMerge w:val="continue"/>
            <w:vAlign w:val="center"/>
          </w:tcPr>
          <w:p w14:paraId="5C15283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6B22C38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738EBB04">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AI训练</w:t>
            </w:r>
          </w:p>
        </w:tc>
        <w:tc>
          <w:tcPr>
            <w:tcW w:w="802" w:type="dxa"/>
            <w:vAlign w:val="center"/>
          </w:tcPr>
          <w:p w14:paraId="6D6F1C5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23" w:type="dxa"/>
            <w:vAlign w:val="center"/>
          </w:tcPr>
          <w:p w14:paraId="18CC444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套</w:t>
            </w:r>
          </w:p>
        </w:tc>
        <w:tc>
          <w:tcPr>
            <w:tcW w:w="855" w:type="dxa"/>
            <w:vMerge w:val="continue"/>
            <w:vAlign w:val="center"/>
          </w:tcPr>
          <w:p w14:paraId="51BAFD8F">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23BF7991">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53D2E0C5">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每本教材1套</w:t>
            </w:r>
          </w:p>
        </w:tc>
      </w:tr>
      <w:tr w14:paraId="63CD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47" w:type="dxa"/>
            <w:vMerge w:val="continue"/>
            <w:vAlign w:val="center"/>
          </w:tcPr>
          <w:p w14:paraId="3DA10CC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p>
        </w:tc>
        <w:tc>
          <w:tcPr>
            <w:tcW w:w="1070" w:type="dxa"/>
            <w:vMerge w:val="continue"/>
            <w:vAlign w:val="center"/>
          </w:tcPr>
          <w:p w14:paraId="1E296B0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p>
        </w:tc>
        <w:tc>
          <w:tcPr>
            <w:tcW w:w="1817" w:type="dxa"/>
            <w:vAlign w:val="center"/>
          </w:tcPr>
          <w:p w14:paraId="0DBD34BD">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教材出版</w:t>
            </w:r>
          </w:p>
        </w:tc>
        <w:tc>
          <w:tcPr>
            <w:tcW w:w="802" w:type="dxa"/>
            <w:vAlign w:val="center"/>
          </w:tcPr>
          <w:p w14:paraId="5B37636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923" w:type="dxa"/>
            <w:vAlign w:val="center"/>
          </w:tcPr>
          <w:p w14:paraId="3D9D665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本</w:t>
            </w:r>
          </w:p>
        </w:tc>
        <w:tc>
          <w:tcPr>
            <w:tcW w:w="855" w:type="dxa"/>
            <w:vMerge w:val="continue"/>
            <w:vAlign w:val="center"/>
          </w:tcPr>
          <w:p w14:paraId="71A981E6">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842" w:type="dxa"/>
            <w:vMerge w:val="continue"/>
            <w:vAlign w:val="center"/>
          </w:tcPr>
          <w:p w14:paraId="152C8EB3">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1D82C7EF">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每本教材独立ISBN书号，并在采购人制定出版社出版。</w:t>
            </w:r>
          </w:p>
        </w:tc>
      </w:tr>
      <w:tr w14:paraId="1835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47" w:type="dxa"/>
            <w:vAlign w:val="center"/>
          </w:tcPr>
          <w:p w14:paraId="57F32E9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2887" w:type="dxa"/>
            <w:gridSpan w:val="2"/>
            <w:vAlign w:val="center"/>
          </w:tcPr>
          <w:p w14:paraId="1CF43F5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合计</w:t>
            </w:r>
          </w:p>
        </w:tc>
        <w:tc>
          <w:tcPr>
            <w:tcW w:w="3422" w:type="dxa"/>
            <w:gridSpan w:val="4"/>
            <w:vAlign w:val="center"/>
          </w:tcPr>
          <w:p w14:paraId="52CA34BD">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c>
          <w:tcPr>
            <w:tcW w:w="2500" w:type="dxa"/>
            <w:vAlign w:val="center"/>
          </w:tcPr>
          <w:p w14:paraId="1CB37F7E">
            <w:pPr>
              <w:keepNext w:val="0"/>
              <w:keepLines w:val="0"/>
              <w:pageBreakBefore w:val="0"/>
              <w:widowControl w:val="0"/>
              <w:kinsoku/>
              <w:wordWrap/>
              <w:overflowPunct/>
              <w:topLinePunct w:val="0"/>
              <w:autoSpaceDE/>
              <w:autoSpaceDN/>
              <w:bidi w:val="0"/>
              <w:adjustRightInd/>
              <w:snapToGrid/>
              <w:spacing w:after="0" w:line="300" w:lineRule="exact"/>
              <w:ind w:firstLine="480" w:firstLineChars="200"/>
              <w:jc w:val="center"/>
              <w:textAlignment w:val="auto"/>
              <w:rPr>
                <w:rFonts w:hint="eastAsia" w:ascii="宋体" w:hAnsi="宋体" w:eastAsia="宋体" w:cs="宋体"/>
                <w:color w:val="auto"/>
                <w:kern w:val="0"/>
                <w:sz w:val="24"/>
                <w:szCs w:val="24"/>
                <w:highlight w:val="none"/>
              </w:rPr>
            </w:pPr>
          </w:p>
        </w:tc>
      </w:tr>
    </w:tbl>
    <w:p w14:paraId="16106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乙方向甲方提供的服务内容：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（具体的服务的内容、要求、服务质量等详见采购文件、乙方的</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文件及采购过程中有关澄清、承诺文件）。</w:t>
      </w:r>
    </w:p>
    <w:p w14:paraId="09C1AAD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lang w:val="en-US" w:eastAsia="zh-CN" w:bidi="ar-SA"/>
        </w:rPr>
        <w:t>标准、期限、效率等要求</w:t>
      </w:r>
    </w:p>
    <w:p w14:paraId="2596EFA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1.实施周期</w:t>
      </w:r>
    </w:p>
    <w:p w14:paraId="2E861DBB">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（1）合同签订后6个月内，完成数字教材中心管理平台的部署及上线试运行，完成数字教材编辑器的权限配置。</w:t>
      </w:r>
    </w:p>
    <w:p w14:paraId="6801F7DA">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（2）2028年年底，完成15本重点数字教材的资源建设及教材编写工作，2029年6月底前完成正式出版。每本教材完成出版后，单独组织专家验收，形成验收报告。</w:t>
      </w:r>
    </w:p>
    <w:p w14:paraId="646C4CE4">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（3）服务期内，甲方根据校本教材建设任务需求，自主设置校内教材建设团队权限，自主推进校本教材建设任务，乙方协助提供编辑器使用的培训及教材编写的指导。</w:t>
      </w:r>
    </w:p>
    <w:p w14:paraId="6D989C2E">
      <w:pPr>
        <w:keepNext w:val="0"/>
        <w:keepLines w:val="0"/>
        <w:pageBreakBefore w:val="0"/>
        <w:widowControl w:val="0"/>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（4）2029年8月底前，完成该项目整体验收。</w:t>
      </w:r>
    </w:p>
    <w:p w14:paraId="22EBDD3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2.售后要求</w:t>
      </w:r>
    </w:p>
    <w:p w14:paraId="5D1EAB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（1）质保期：平台提供终身免费质保，质保期内免费提供系统升级、故障修复、数据维护等服务。</w:t>
      </w:r>
    </w:p>
    <w:p w14:paraId="092D69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（2）响应时间：提供7×24小时技术支持，一般问题2小时内响应，重大故障24小时内解决。</w:t>
      </w:r>
    </w:p>
    <w:p w14:paraId="520A67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（3）培训服务：提供每年不少于20人次的教师培训，确保教师能熟练使用平台和编辑工具。</w:t>
      </w:r>
    </w:p>
    <w:p w14:paraId="77254F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（4）内容更新：教材内容如需根据学校要求进行少量修改，乙方应在7个工作日内响应。</w:t>
      </w:r>
    </w:p>
    <w:p w14:paraId="35AEEC0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四、项目交付地点</w:t>
      </w:r>
    </w:p>
    <w:p w14:paraId="4CD3D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江苏航运职业技术学院，具体按采购人指定地点</w:t>
      </w:r>
      <w:r>
        <w:rPr>
          <w:rFonts w:hint="eastAsia" w:ascii="宋体" w:hAnsi="宋体" w:eastAsia="宋体" w:cs="宋体"/>
          <w:color w:val="auto"/>
          <w:sz w:val="24"/>
          <w:szCs w:val="24"/>
          <w:highlight w:val="none"/>
        </w:rPr>
        <w:t>。</w:t>
      </w:r>
    </w:p>
    <w:p w14:paraId="76550E2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
          <w:bCs/>
          <w:color w:val="auto"/>
          <w:sz w:val="24"/>
          <w:szCs w:val="24"/>
          <w:highlight w:val="none"/>
        </w:rPr>
        <w:t>五、</w:t>
      </w:r>
      <w:r>
        <w:rPr>
          <w:rFonts w:hint="eastAsia" w:ascii="宋体" w:hAnsi="宋体" w:eastAsia="宋体" w:cs="宋体"/>
          <w:b/>
          <w:bCs/>
          <w:color w:val="auto"/>
          <w:sz w:val="24"/>
          <w:szCs w:val="24"/>
          <w:highlight w:val="none"/>
          <w:lang w:val="en-US" w:eastAsia="zh-CN"/>
        </w:rPr>
        <w:t>履约保证金</w:t>
      </w:r>
    </w:p>
    <w:p w14:paraId="369F4CC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1.履约保证金的数额：</w:t>
      </w:r>
      <w:r>
        <w:rPr>
          <w:rFonts w:hint="eastAsia" w:ascii="宋体" w:hAnsi="宋体" w:eastAsia="宋体" w:cs="宋体"/>
          <w:color w:val="auto"/>
          <w:sz w:val="24"/>
          <w:szCs w:val="24"/>
          <w:highlight w:val="none"/>
        </w:rPr>
        <w:t>中标价的</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计￥</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14:paraId="52B7B7C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2.缴纳履约保证金时间：乙方在中标通知书发出之日起</w:t>
      </w:r>
      <w:r>
        <w:rPr>
          <w:rFonts w:hint="eastAsia" w:ascii="宋体" w:hAnsi="宋体" w:eastAsia="宋体" w:cs="宋体"/>
          <w:color w:val="auto"/>
          <w:sz w:val="24"/>
          <w:szCs w:val="24"/>
          <w:highlight w:val="none"/>
          <w:u w:val="single"/>
          <w:lang w:val="en-US" w:eastAsia="zh-CN"/>
        </w:rPr>
        <w:t>15</w:t>
      </w:r>
      <w:r>
        <w:rPr>
          <w:rFonts w:hint="eastAsia" w:ascii="宋体" w:hAnsi="宋体" w:eastAsia="宋体" w:cs="宋体"/>
          <w:color w:val="auto"/>
          <w:sz w:val="24"/>
          <w:szCs w:val="24"/>
          <w:highlight w:val="none"/>
          <w:lang w:val="en-US" w:eastAsia="zh-CN"/>
        </w:rPr>
        <w:t>日内。</w:t>
      </w:r>
    </w:p>
    <w:p w14:paraId="31B11B3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3.缴纳履约保证金形式：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D4A3B4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甲方的账户：</w:t>
      </w:r>
    </w:p>
    <w:p w14:paraId="2D1496B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单位名称：江苏航运职业技术学院</w:t>
      </w:r>
    </w:p>
    <w:p w14:paraId="43DB9E1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开户行：中国建设银行南通经济技术开发区支行；</w:t>
      </w:r>
    </w:p>
    <w:p w14:paraId="5BB16B6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账号：32001642336052515609；</w:t>
      </w:r>
    </w:p>
    <w:p w14:paraId="0EB3567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统一社会信用代码：123200004660042577。</w:t>
      </w:r>
    </w:p>
    <w:p w14:paraId="4571C56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退还履约保证金时间：乙方在全部履约合同义务后，经甲方验收合格无质量、进度等问题，甲方凭乙方提交的申请，在三十个工作日内一次性退还履约保证金（不计息）或者退还履约保证金保函，甲方若逾期退还履约保证金的，按照逾期部分的每日0.05%支付违约金。 </w:t>
      </w:r>
    </w:p>
    <w:p w14:paraId="60F91EF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5.退还履约保证金方式：</w:t>
      </w:r>
      <w:r>
        <w:rPr>
          <w:rFonts w:hint="eastAsia" w:ascii="宋体" w:hAnsi="宋体" w:eastAsia="宋体" w:cs="宋体"/>
          <w:color w:val="auto"/>
          <w:sz w:val="24"/>
          <w:szCs w:val="24"/>
          <w:highlight w:val="none"/>
          <w:u w:val="single"/>
          <w:lang w:val="en-US" w:eastAsia="zh-CN"/>
        </w:rPr>
        <w:t>同缴纳方式</w:t>
      </w:r>
      <w:r>
        <w:rPr>
          <w:rFonts w:hint="eastAsia" w:ascii="宋体" w:hAnsi="宋体" w:eastAsia="宋体" w:cs="宋体"/>
          <w:color w:val="auto"/>
          <w:sz w:val="24"/>
          <w:szCs w:val="24"/>
          <w:highlight w:val="none"/>
          <w:lang w:val="en-US" w:eastAsia="zh-CN"/>
        </w:rPr>
        <w:t>。</w:t>
      </w:r>
    </w:p>
    <w:p w14:paraId="585ACB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.退还履约保证金条件：</w:t>
      </w:r>
      <w:r>
        <w:rPr>
          <w:rFonts w:hint="eastAsia" w:ascii="宋体" w:hAnsi="宋体" w:eastAsia="宋体" w:cs="宋体"/>
          <w:color w:val="auto"/>
          <w:sz w:val="24"/>
          <w:szCs w:val="24"/>
          <w:highlight w:val="none"/>
          <w:lang w:val="en-US" w:eastAsia="zh-CN"/>
        </w:rPr>
        <w:t>乙方在全部履约合同义务后，经甲方验收合格无质量、进度等问题，甲方凭乙方提交的申请，在三十个工作日内一次性退还履约保证金（不计息）或者退还履约保证金保函</w:t>
      </w:r>
      <w:r>
        <w:rPr>
          <w:rFonts w:hint="eastAsia" w:ascii="宋体" w:hAnsi="宋体" w:eastAsia="宋体" w:cs="宋体"/>
          <w:color w:val="auto"/>
          <w:sz w:val="24"/>
          <w:szCs w:val="24"/>
          <w:highlight w:val="none"/>
        </w:rPr>
        <w:t xml:space="preserve">。 </w:t>
      </w:r>
    </w:p>
    <w:p w14:paraId="513A5E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.不予退还履约保证金的情形：</w:t>
      </w:r>
    </w:p>
    <w:p w14:paraId="7838A74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a.签订合同后，乙方不履行合同义务的，甲方有权全额扣除履约保证金，全额不予退还，同时甲方亦有权终止合同，乙方还须承担相应的法律赔偿责任。</w:t>
      </w:r>
    </w:p>
    <w:p w14:paraId="3A14013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b.乙方在履约过程中发生违约行为，给甲方造成损失的，甲方有权在乙方缴纳的履约保证金中予以扣款，以弥补甲方经济损失，不足的部分乙方另外补齐。</w:t>
      </w:r>
    </w:p>
    <w:p w14:paraId="546A9B4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知识产权要求</w:t>
      </w:r>
    </w:p>
    <w:p w14:paraId="4CED6DD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1.所有开发成果（数字教材内容、配套资源、技术文档等）的知识产权归甲方所有。</w:t>
      </w:r>
    </w:p>
    <w:p w14:paraId="22A4571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2.乙方须签订保密协议，确保书稿内容在出版前不外泄，未经甲方书面同意不得将任何内容用于其他商业用途。</w:t>
      </w:r>
    </w:p>
    <w:p w14:paraId="43609FA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七、付款方式</w:t>
      </w:r>
    </w:p>
    <w:p w14:paraId="734623A3">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1.本项目采用“平台建设固定费用 + 教材建设单本结算”的复合付款方式。</w:t>
      </w:r>
    </w:p>
    <w:p w14:paraId="5763A73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数字教材中心平台建设，占项目总资金的20%，主要包含平台开发、部署、编辑器配置、权限管理、系统集成等。</w:t>
      </w:r>
    </w:p>
    <w:p w14:paraId="0E0850E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数字教材建设，占项目总资金的80%，主要包含15本重点建设教材的资源建设、编写上线以及出版，平均每本教材费用占教材建设总费用的1/15。</w:t>
      </w:r>
    </w:p>
    <w:p w14:paraId="5BC851E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2.付款安排</w:t>
      </w:r>
    </w:p>
    <w:p w14:paraId="64C9F5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（1）数字教材中心平台</w:t>
      </w:r>
    </w:p>
    <w:p w14:paraId="7B979953">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合同签订后一个</w:t>
      </w:r>
      <w:r>
        <w:rPr>
          <w:rFonts w:hint="eastAsia" w:ascii="宋体" w:hAnsi="宋体" w:eastAsia="宋体" w:cs="宋体"/>
          <w:color w:val="auto"/>
          <w:sz w:val="24"/>
          <w:szCs w:val="24"/>
          <w:highlight w:val="none"/>
          <w:shd w:val="clear"/>
          <w:lang w:val="en-US" w:eastAsia="zh-CN"/>
        </w:rPr>
        <w:t>月内，乙方提交平台详细设计方案、项目实施方案、团队配置清单等，甲方支付平台费用的40%</w:t>
      </w:r>
      <w:r>
        <w:rPr>
          <w:rFonts w:hint="eastAsia" w:ascii="宋体" w:hAnsi="宋体" w:eastAsia="宋体" w:cs="宋体"/>
          <w:color w:val="auto"/>
          <w:sz w:val="24"/>
          <w:szCs w:val="24"/>
          <w:highlight w:val="none"/>
          <w:lang w:val="en-US" w:eastAsia="zh-CN"/>
        </w:rPr>
        <w:t>；</w:t>
      </w:r>
    </w:p>
    <w:p w14:paraId="315C9CF7">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lang w:val="en-US" w:eastAsia="zh-CN"/>
        </w:rPr>
        <w:t>乙方平台完成部署、试运行，通过功能测试，提交完整技术文档，并完成教师培训，甲方支付</w:t>
      </w:r>
      <w:r>
        <w:rPr>
          <w:rFonts w:hint="eastAsia" w:ascii="宋体" w:hAnsi="宋体" w:eastAsia="宋体" w:cs="宋体"/>
          <w:color w:val="auto"/>
          <w:sz w:val="24"/>
          <w:szCs w:val="24"/>
          <w:highlight w:val="none"/>
          <w:lang w:val="en-US" w:eastAsia="zh-CN"/>
        </w:rPr>
        <w:t>平台费用的60%。</w:t>
      </w:r>
    </w:p>
    <w:p w14:paraId="12869C3F">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（2）数字教材建设</w:t>
      </w:r>
    </w:p>
    <w:p w14:paraId="443D8A54">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采用</w:t>
      </w:r>
      <w:r>
        <w:rPr>
          <w:rFonts w:hint="eastAsia" w:ascii="宋体" w:hAnsi="宋体" w:eastAsia="宋体" w:cs="宋体"/>
          <w:b/>
          <w:bCs/>
          <w:color w:val="auto"/>
          <w:sz w:val="24"/>
          <w:szCs w:val="24"/>
          <w:highlight w:val="none"/>
          <w:lang w:val="en-US" w:eastAsia="zh-CN"/>
        </w:rPr>
        <w:t>“按本验收、按本结算”</w:t>
      </w:r>
      <w:r>
        <w:rPr>
          <w:rFonts w:hint="eastAsia" w:ascii="宋体" w:hAnsi="宋体" w:eastAsia="宋体" w:cs="宋体"/>
          <w:color w:val="auto"/>
          <w:sz w:val="24"/>
          <w:szCs w:val="24"/>
          <w:highlight w:val="none"/>
          <w:lang w:val="en-US" w:eastAsia="zh-CN"/>
        </w:rPr>
        <w:t>的动态付款方式，每本教材独立核算，完成一本支付一本。每本教材总费用按照教材建设总经费的1/15结算。</w:t>
      </w:r>
    </w:p>
    <w:p w14:paraId="792F5A59">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lang w:val="en-US" w:eastAsia="zh-CN"/>
        </w:rPr>
        <w:t>乙方单本教材提交教材编写大纲、样章（不少于2个知识点），形成教材资源建设清单，甲方确认乙方工作任务，实施单本教材配套资源建设，经课程团队、学校分别验收通过后，甲方支付该教材总费</w:t>
      </w:r>
      <w:r>
        <w:rPr>
          <w:rFonts w:hint="eastAsia" w:ascii="宋体" w:hAnsi="宋体" w:eastAsia="宋体" w:cs="宋体"/>
          <w:color w:val="auto"/>
          <w:sz w:val="24"/>
          <w:szCs w:val="24"/>
          <w:highlight w:val="none"/>
          <w:lang w:val="en-US" w:eastAsia="zh-CN"/>
        </w:rPr>
        <w:t>用的70%；</w:t>
      </w:r>
    </w:p>
    <w:p w14:paraId="56B1407C">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lang w:val="en-US" w:eastAsia="zh-CN"/>
        </w:rPr>
        <w:t>乙方单本教材在平台完成编辑、审核、正式上线，获得指定出版社ISBN号并出版，甲方支</w:t>
      </w:r>
      <w:r>
        <w:rPr>
          <w:rFonts w:hint="eastAsia" w:ascii="宋体" w:hAnsi="宋体" w:eastAsia="宋体" w:cs="宋体"/>
          <w:color w:val="auto"/>
          <w:sz w:val="24"/>
          <w:szCs w:val="24"/>
          <w:highlight w:val="none"/>
          <w:lang w:val="en-US" w:eastAsia="zh-CN"/>
        </w:rPr>
        <w:t>付该教材总费用的30%。</w:t>
      </w:r>
    </w:p>
    <w:p w14:paraId="7DD3C838">
      <w:pPr>
        <w:keepNext w:val="0"/>
        <w:keepLines w:val="0"/>
        <w:pageBreakBefore w:val="0"/>
        <w:widowControl w:val="0"/>
        <w:shd w:val="clea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乙方</w:t>
      </w:r>
      <w:r>
        <w:rPr>
          <w:rFonts w:hint="eastAsia" w:ascii="宋体" w:hAnsi="宋体" w:eastAsia="宋体" w:cs="宋体"/>
          <w:b/>
          <w:bCs/>
          <w:color w:val="auto"/>
          <w:sz w:val="24"/>
          <w:szCs w:val="24"/>
          <w:highlight w:val="none"/>
        </w:rPr>
        <w:t xml:space="preserve">凭以下文件资料申请支付合同款 </w:t>
      </w:r>
    </w:p>
    <w:p w14:paraId="40AE929A">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（1）采购合同； </w:t>
      </w:r>
    </w:p>
    <w:p w14:paraId="423837FB">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（2）中标通知书复印件或扫描件； </w:t>
      </w:r>
    </w:p>
    <w:p w14:paraId="74641065">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开具的国家税务机关监制的正式</w:t>
      </w:r>
      <w:r>
        <w:rPr>
          <w:rFonts w:hint="eastAsia" w:ascii="宋体" w:hAnsi="宋体" w:eastAsia="宋体" w:cs="宋体"/>
          <w:color w:val="auto"/>
          <w:sz w:val="24"/>
          <w:szCs w:val="24"/>
          <w:highlight w:val="none"/>
          <w:lang w:val="en-US" w:eastAsia="zh-CN"/>
        </w:rPr>
        <w:t>增值税发票</w:t>
      </w:r>
      <w:r>
        <w:rPr>
          <w:rFonts w:hint="eastAsia" w:ascii="宋体" w:hAnsi="宋体" w:eastAsia="宋体" w:cs="宋体"/>
          <w:color w:val="auto"/>
          <w:sz w:val="24"/>
          <w:szCs w:val="24"/>
          <w:highlight w:val="none"/>
        </w:rPr>
        <w:t>；</w:t>
      </w:r>
    </w:p>
    <w:p w14:paraId="4141FDCD">
      <w:pPr>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 xml:space="preserve">签发的验收合格文件。 </w:t>
      </w:r>
    </w:p>
    <w:p w14:paraId="26A4EA3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使用的是财政资金，</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在前款规定的付款时间为向政府采购支付部门提出办理财政支付申请手续的时间（不含政府财政支付部门审核的时间），在规定时间内提出支付申请手续后即视为</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是按期支付。</w:t>
      </w:r>
    </w:p>
    <w:p w14:paraId="7F80EBD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七、验收标准</w:t>
      </w:r>
    </w:p>
    <w:p w14:paraId="54254A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1.乙方依据招标文件、合同条款要求，完成约定的建设任务，履行项目招标文件中的技术需求、服务要求及投标文件中的承诺；</w:t>
      </w:r>
    </w:p>
    <w:p w14:paraId="79A503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2.甲方组成验收小组，对甲方交付的产品、服务进行确认验收，并出具书面意见。</w:t>
      </w:r>
    </w:p>
    <w:p w14:paraId="3A4DB2E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八、补充条款（如无则删除）</w:t>
      </w:r>
    </w:p>
    <w:p w14:paraId="1E3766C5">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1.                                                                  </w:t>
      </w:r>
    </w:p>
    <w:p w14:paraId="12E97777">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2.                                                                  </w:t>
      </w:r>
    </w:p>
    <w:p w14:paraId="5888B0E9">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 xml:space="preserve">3.                                                                  </w:t>
      </w:r>
    </w:p>
    <w:p w14:paraId="05710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u w:val="single"/>
          <w:lang w:val="en-US" w:eastAsia="zh-CN"/>
        </w:rPr>
        <w:t xml:space="preserve">4.                                                                  </w:t>
      </w:r>
    </w:p>
    <w:p w14:paraId="2FB8A7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九、不可抗力事件处理</w:t>
      </w:r>
    </w:p>
    <w:p w14:paraId="2C2E53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由于不可抗拒的原因不能执行协议时，应及时通报对方，经双方协商，允许修改协议。未尽事宜，双方可另行协商订立补充协议。</w:t>
      </w:r>
    </w:p>
    <w:p w14:paraId="0F08251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十、合同生效及其它</w:t>
      </w:r>
    </w:p>
    <w:p w14:paraId="25C97DF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1.合同经双方法定代表人或授权委托代表人签字并加盖单位公章或合同专用章后生效。</w:t>
      </w:r>
    </w:p>
    <w:p w14:paraId="3F57F8B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本合同未尽事宜，遵照《中华人民共和国民法典》有关</w:t>
      </w:r>
      <w:r>
        <w:rPr>
          <w:rFonts w:hint="eastAsia" w:ascii="宋体" w:hAnsi="宋体" w:eastAsia="宋体" w:cs="宋体"/>
          <w:color w:val="auto"/>
          <w:sz w:val="24"/>
          <w:szCs w:val="24"/>
          <w:highlight w:val="none"/>
          <w:lang w:eastAsia="zh-CN"/>
        </w:rPr>
        <w:t>条款及</w:t>
      </w:r>
      <w:r>
        <w:rPr>
          <w:rFonts w:hint="eastAsia" w:ascii="宋体" w:hAnsi="宋体" w:eastAsia="宋体" w:cs="宋体"/>
          <w:color w:val="auto"/>
          <w:sz w:val="24"/>
          <w:szCs w:val="24"/>
          <w:highlight w:val="none"/>
        </w:rPr>
        <w:t>中华人民共和国现行</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法律法规有关条文执行。对本合同内容的任何修改和变更由甲乙双方协商后达成书面补充协议，并经双方签字并加盖单位公章或合同专用章后生效，补充协议与本合同具有同等法律效力。</w:t>
      </w:r>
    </w:p>
    <w:p w14:paraId="714597A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本合同正本一式捌份，具有同等法律效力，甲方、乙方各执肆份。</w:t>
      </w:r>
    </w:p>
    <w:p w14:paraId="444F497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组成本合同的有关文件</w:t>
      </w:r>
    </w:p>
    <w:p w14:paraId="6EE34DF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组成合同的各项文件应互相解释，互为说明。除专用合同条款另有约定外，解释合同文件的优先顺序如下： </w:t>
      </w:r>
    </w:p>
    <w:p w14:paraId="0C8F89B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（1）合同协议书； </w:t>
      </w:r>
    </w:p>
    <w:p w14:paraId="0857B65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（2）中标通知书； </w:t>
      </w:r>
    </w:p>
    <w:p w14:paraId="4C0F266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（3）投标文件； </w:t>
      </w:r>
    </w:p>
    <w:p w14:paraId="328C0EF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rPr>
        <w:t>招标文件；</w:t>
      </w:r>
    </w:p>
    <w:p w14:paraId="2F41E50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）相关服务计划；</w:t>
      </w:r>
    </w:p>
    <w:p w14:paraId="75D10F0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）其他合同文件。</w:t>
      </w:r>
    </w:p>
    <w:p w14:paraId="3140B4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十一、</w:t>
      </w:r>
      <w:r>
        <w:rPr>
          <w:rFonts w:hint="eastAsia" w:ascii="宋体" w:hAnsi="宋体" w:eastAsia="宋体" w:cs="宋体"/>
          <w:b/>
          <w:color w:val="auto"/>
          <w:sz w:val="24"/>
          <w:szCs w:val="24"/>
          <w:highlight w:val="none"/>
        </w:rPr>
        <w:t>解决争议的方法</w:t>
      </w:r>
    </w:p>
    <w:p w14:paraId="0682AF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甲乙双方因合同签订、履行而发生的一切争议，应通过友好协商解决。如协商不成，可向合同签订地法院起诉，合同签订地在此约定为</w:t>
      </w:r>
      <w:r>
        <w:rPr>
          <w:rFonts w:hint="eastAsia" w:ascii="宋体" w:hAnsi="宋体" w:eastAsia="宋体" w:cs="宋体"/>
          <w:color w:val="auto"/>
          <w:sz w:val="24"/>
          <w:szCs w:val="24"/>
          <w:highlight w:val="none"/>
          <w:u w:val="single"/>
        </w:rPr>
        <w:t>南</w:t>
      </w:r>
      <w:r>
        <w:rPr>
          <w:rFonts w:hint="eastAsia" w:ascii="宋体" w:hAnsi="宋体" w:eastAsia="宋体" w:cs="宋体"/>
          <w:color w:val="auto"/>
          <w:sz w:val="24"/>
          <w:szCs w:val="24"/>
          <w:highlight w:val="none"/>
          <w:u w:val="single"/>
          <w:lang w:eastAsia="zh-CN"/>
        </w:rPr>
        <w:t>通</w:t>
      </w:r>
      <w:r>
        <w:rPr>
          <w:rFonts w:hint="eastAsia" w:ascii="宋体" w:hAnsi="宋体" w:eastAsia="宋体" w:cs="宋体"/>
          <w:color w:val="auto"/>
          <w:sz w:val="24"/>
          <w:szCs w:val="24"/>
          <w:highlight w:val="none"/>
          <w:u w:val="single"/>
        </w:rPr>
        <w:t>市</w:t>
      </w:r>
      <w:r>
        <w:rPr>
          <w:rFonts w:hint="eastAsia" w:ascii="宋体" w:hAnsi="宋体" w:eastAsia="宋体" w:cs="宋体"/>
          <w:color w:val="auto"/>
          <w:sz w:val="24"/>
          <w:szCs w:val="24"/>
          <w:highlight w:val="none"/>
        </w:rPr>
        <w:t>。</w:t>
      </w:r>
    </w:p>
    <w:p w14:paraId="77C3487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598CEB8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                           乙方： </w:t>
      </w:r>
    </w:p>
    <w:p w14:paraId="2212A60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7E6338A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地址： </w:t>
      </w:r>
    </w:p>
    <w:p w14:paraId="4FF722A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2FB4228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           法定代表人或授权代表：</w:t>
      </w:r>
    </w:p>
    <w:p w14:paraId="22ABD585">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673F4B4C">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联系电话：                       联系电话：     </w:t>
      </w:r>
    </w:p>
    <w:p w14:paraId="12D1655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431223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lang w:eastAsia="zh-CN"/>
        </w:rPr>
        <w:t>2026年</w:t>
      </w:r>
      <w:r>
        <w:rPr>
          <w:rFonts w:hint="eastAsia" w:ascii="宋体" w:hAnsi="宋体" w:eastAsia="宋体" w:cs="宋体"/>
          <w:color w:val="auto"/>
          <w:sz w:val="24"/>
          <w:szCs w:val="24"/>
          <w:highlight w:val="none"/>
        </w:rPr>
        <w:t>月  日</w:t>
      </w:r>
      <w:bookmarkStart w:id="13" w:name="_Hlt16619369"/>
      <w:bookmarkEnd w:id="13"/>
      <w:r>
        <w:rPr>
          <w:rFonts w:hint="eastAsia" w:ascii="宋体" w:hAnsi="宋体" w:eastAsia="宋体" w:cs="宋体"/>
          <w:color w:val="auto"/>
          <w:sz w:val="24"/>
          <w:szCs w:val="24"/>
          <w:highlight w:val="none"/>
        </w:rPr>
        <w:t xml:space="preserve">          签订日期：</w:t>
      </w:r>
      <w:r>
        <w:rPr>
          <w:rFonts w:hint="eastAsia" w:ascii="宋体" w:hAnsi="宋体" w:eastAsia="宋体" w:cs="宋体"/>
          <w:color w:val="auto"/>
          <w:sz w:val="24"/>
          <w:szCs w:val="24"/>
          <w:highlight w:val="none"/>
          <w:lang w:eastAsia="zh-CN"/>
        </w:rPr>
        <w:t>2026年</w:t>
      </w:r>
      <w:r>
        <w:rPr>
          <w:rFonts w:hint="eastAsia" w:ascii="宋体" w:hAnsi="宋体" w:eastAsia="宋体" w:cs="宋体"/>
          <w:color w:val="auto"/>
          <w:sz w:val="24"/>
          <w:szCs w:val="24"/>
          <w:highlight w:val="none"/>
        </w:rPr>
        <w:t>月  日</w:t>
      </w:r>
    </w:p>
    <w:p w14:paraId="0C5AC8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7174AC46">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24"/>
          <w:szCs w:val="24"/>
          <w:highlight w:val="none"/>
        </w:rPr>
        <w:t>采购人保留对合同修改和完善的权利。</w:t>
      </w:r>
    </w:p>
    <w:p w14:paraId="27C29F4F">
      <w:pP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0E610427">
      <w:pPr>
        <w:spacing w:line="360" w:lineRule="auto"/>
        <w:contextualSpacing/>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第</w:t>
      </w:r>
      <w:r>
        <w:rPr>
          <w:rFonts w:hint="eastAsia" w:ascii="宋体" w:hAnsi="宋体" w:eastAsia="宋体" w:cs="宋体"/>
          <w:b/>
          <w:color w:val="auto"/>
          <w:sz w:val="36"/>
          <w:szCs w:val="36"/>
          <w:highlight w:val="none"/>
          <w:lang w:val="en-US" w:eastAsia="zh-CN"/>
        </w:rPr>
        <w:t>六</w:t>
      </w:r>
      <w:r>
        <w:rPr>
          <w:rFonts w:hint="eastAsia" w:ascii="宋体" w:hAnsi="宋体" w:eastAsia="宋体" w:cs="宋体"/>
          <w:b/>
          <w:color w:val="auto"/>
          <w:sz w:val="36"/>
          <w:szCs w:val="36"/>
          <w:highlight w:val="none"/>
        </w:rPr>
        <w:t>章  合同授予</w:t>
      </w:r>
    </w:p>
    <w:p w14:paraId="0784D4B4">
      <w:pPr>
        <w:spacing w:line="360" w:lineRule="auto"/>
        <w:ind w:firstLine="480"/>
        <w:contextualSpacing/>
        <w:rPr>
          <w:rFonts w:hint="eastAsia" w:ascii="宋体" w:hAnsi="宋体" w:eastAsia="宋体" w:cs="宋体"/>
          <w:color w:val="auto"/>
          <w:sz w:val="24"/>
          <w:szCs w:val="21"/>
          <w:highlight w:val="none"/>
        </w:rPr>
      </w:pPr>
    </w:p>
    <w:p w14:paraId="5BBB44BF">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一、</w:t>
      </w:r>
      <w:r>
        <w:rPr>
          <w:rFonts w:hint="eastAsia" w:ascii="宋体" w:hAnsi="宋体" w:eastAsia="宋体" w:cs="宋体"/>
          <w:bCs/>
          <w:color w:val="auto"/>
          <w:sz w:val="24"/>
          <w:szCs w:val="24"/>
          <w:highlight w:val="none"/>
        </w:rPr>
        <w:t>自中标通知书发出之日起30日内，中标人凭“中标通知书”及履约缴纳凭证与招标人签订合同。</w:t>
      </w:r>
      <w:r>
        <w:rPr>
          <w:rFonts w:hint="eastAsia" w:ascii="宋体" w:hAnsi="宋体" w:eastAsia="宋体" w:cs="宋体"/>
          <w:color w:val="auto"/>
          <w:sz w:val="24"/>
          <w:szCs w:val="21"/>
          <w:highlight w:val="none"/>
        </w:rPr>
        <w:t>合同一式肆份，招标人、中标人各贰份。所签合同不得对招标文件作实质性修改。招标人不得向中标人提出不合理的要求作为签订合同的条件，不得与中标人私下订立背离招标文件实质性内容的协议。</w:t>
      </w:r>
    </w:p>
    <w:p w14:paraId="17AA7879">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二、招标人按合同约定积极配合中标人履约，中标人履约到位后，请以书面形式向招标人提出验收申请。</w:t>
      </w:r>
    </w:p>
    <w:p w14:paraId="73F9162C">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三、中标人出现违约情形，应当及时纠正或补偿；造成损失的，按合同约定追究违约责任。</w:t>
      </w:r>
      <w:bookmarkEnd w:id="12"/>
    </w:p>
    <w:p w14:paraId="627D7E88">
      <w:pPr>
        <w:spacing w:line="360" w:lineRule="auto"/>
        <w:ind w:firstLine="480"/>
        <w:contextualSpacing/>
        <w:rPr>
          <w:rFonts w:hint="eastAsia" w:ascii="宋体" w:hAnsi="宋体" w:eastAsia="宋体" w:cs="宋体"/>
          <w:color w:val="auto"/>
          <w:sz w:val="24"/>
          <w:szCs w:val="21"/>
          <w:highlight w:val="none"/>
        </w:rPr>
      </w:pPr>
      <w:bookmarkStart w:id="14" w:name="_Toc363573860"/>
      <w:r>
        <w:rPr>
          <w:rFonts w:hint="eastAsia" w:ascii="宋体" w:hAnsi="宋体" w:eastAsia="宋体" w:cs="宋体"/>
          <w:color w:val="auto"/>
          <w:sz w:val="24"/>
          <w:szCs w:val="21"/>
          <w:highlight w:val="none"/>
        </w:rPr>
        <w:t>四、不响应付款方式的，视同投标文件无效，按无效投标文件处理。</w:t>
      </w:r>
    </w:p>
    <w:p w14:paraId="73C26D37">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五、付款方式详见招标文件第五章，以上项目款的支付不计息。</w:t>
      </w:r>
    </w:p>
    <w:p w14:paraId="09CC2AA4">
      <w:pPr>
        <w:spacing w:line="360" w:lineRule="auto"/>
        <w:contextualSpacing/>
        <w:rPr>
          <w:rFonts w:hint="eastAsia" w:ascii="宋体" w:hAnsi="宋体" w:eastAsia="宋体" w:cs="宋体"/>
          <w:color w:val="auto"/>
          <w:sz w:val="24"/>
          <w:szCs w:val="21"/>
          <w:highlight w:val="none"/>
        </w:rPr>
      </w:pPr>
    </w:p>
    <w:p w14:paraId="403ED87B">
      <w:pPr>
        <w:pStyle w:val="20"/>
        <w:spacing w:line="360" w:lineRule="auto"/>
        <w:rPr>
          <w:rFonts w:hint="eastAsia" w:ascii="宋体" w:hAnsi="宋体" w:eastAsia="宋体" w:cs="宋体"/>
          <w:color w:val="auto"/>
          <w:highlight w:val="none"/>
        </w:rPr>
      </w:pPr>
    </w:p>
    <w:p w14:paraId="6A3830AF">
      <w:pPr>
        <w:spacing w:line="360" w:lineRule="auto"/>
        <w:contextualSpacing/>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clear="all"/>
      </w:r>
      <w:r>
        <w:rPr>
          <w:rFonts w:hint="eastAsia" w:ascii="宋体" w:hAnsi="宋体" w:eastAsia="宋体" w:cs="宋体"/>
          <w:b/>
          <w:color w:val="auto"/>
          <w:sz w:val="36"/>
          <w:szCs w:val="36"/>
          <w:highlight w:val="none"/>
        </w:rPr>
        <w:t>第</w:t>
      </w:r>
      <w:r>
        <w:rPr>
          <w:rFonts w:hint="eastAsia" w:ascii="宋体" w:hAnsi="宋体" w:eastAsia="宋体" w:cs="宋体"/>
          <w:b/>
          <w:color w:val="auto"/>
          <w:sz w:val="36"/>
          <w:szCs w:val="36"/>
          <w:highlight w:val="none"/>
          <w:lang w:val="en-US" w:eastAsia="zh-CN"/>
        </w:rPr>
        <w:t>七</w:t>
      </w:r>
      <w:r>
        <w:rPr>
          <w:rFonts w:hint="eastAsia" w:ascii="宋体" w:hAnsi="宋体" w:eastAsia="宋体" w:cs="宋体"/>
          <w:b/>
          <w:color w:val="auto"/>
          <w:sz w:val="36"/>
          <w:szCs w:val="36"/>
          <w:highlight w:val="none"/>
        </w:rPr>
        <w:t>章  质疑与投诉</w:t>
      </w:r>
    </w:p>
    <w:p w14:paraId="17189F38">
      <w:pPr>
        <w:spacing w:line="360" w:lineRule="auto"/>
        <w:ind w:firstLine="482"/>
        <w:contextualSpacing/>
        <w:rPr>
          <w:rFonts w:hint="eastAsia" w:ascii="宋体" w:hAnsi="宋体" w:eastAsia="宋体" w:cs="宋体"/>
          <w:b/>
          <w:color w:val="auto"/>
          <w:sz w:val="24"/>
          <w:szCs w:val="21"/>
          <w:highlight w:val="none"/>
        </w:rPr>
      </w:pPr>
    </w:p>
    <w:p w14:paraId="5ED84EBD">
      <w:pPr>
        <w:spacing w:line="360" w:lineRule="auto"/>
        <w:ind w:firstLine="482"/>
        <w:contextualSpacing/>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rPr>
        <w:t>一、质疑的提出</w:t>
      </w:r>
    </w:p>
    <w:p w14:paraId="6B885DA2">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提出质疑的投标人应当是参与所质疑项目采购活动的投标人。潜在投标人依法获取其可质疑的招标文件的，可以对招标文件提出质疑。</w:t>
      </w:r>
    </w:p>
    <w:p w14:paraId="5A607B25">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投标人认为招标文件、招投标过程和招标结果使自己的权益受到损害的，可以在知道或应知其权益受到损害之日起七个工作日内，以书面形式向招标人提出质疑。上述应知其权益受到损害之日，是指：</w:t>
      </w:r>
    </w:p>
    <w:p w14:paraId="5E601ACD">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2.1对可以质疑的招标文件提出质疑的，为收到招标文件之日或者招标文件公告期限届满之日；</w:t>
      </w:r>
    </w:p>
    <w:p w14:paraId="116894EF">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2.2对采购过程提出质疑的，为各采购程序环节结束之日；</w:t>
      </w:r>
    </w:p>
    <w:p w14:paraId="42E898DD">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2.3对中标结果提出质疑的，为中标结果公告期限届满之日。</w:t>
      </w:r>
    </w:p>
    <w:p w14:paraId="2561AFF2">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投标人应当在法定质疑期内一次性提出针对同一采购程序环节的质疑。</w:t>
      </w:r>
    </w:p>
    <w:p w14:paraId="2CEE0488">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质疑函必须按照本招标文件中《质疑函范本》要求的格式和内容进行填写。投标人如组成联合体参加招投标活动，则《质疑函范本》中要求签字、盖章、加盖公章之处，联合体各方均须按要求签字、盖章、加盖公章。</w:t>
      </w:r>
    </w:p>
    <w:p w14:paraId="6822C78B">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4</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对招标方式、招标文件中项目需求、投标人资格条件、评审方法和评审标准、资格审查结果等应当由招标人答复的质疑，请向招标人提出，由招标人负责答复。</w:t>
      </w:r>
    </w:p>
    <w:p w14:paraId="609A914B">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招标人质疑接收人及联系方式，见招标文件第一章。</w:t>
      </w:r>
    </w:p>
    <w:p w14:paraId="48D0BE8A">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 xml:space="preserve"> 以下情形的质疑不予受理</w:t>
      </w:r>
    </w:p>
    <w:p w14:paraId="2D2AB8DD">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5.1 内容不符合《政府采购质疑和投诉办法》财政部第94号令第十二条规定的质疑。</w:t>
      </w:r>
    </w:p>
    <w:p w14:paraId="60B753F8">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5.2 超出政府采购法定期限的质疑。</w:t>
      </w:r>
    </w:p>
    <w:p w14:paraId="7F5B29B4">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5.3 未参加招投标活动的投标人。</w:t>
      </w:r>
    </w:p>
    <w:p w14:paraId="6F9C024C">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5.4投标人组成联合体参加招投标活动，联合体中任何一方或多方未按要求签字、盖章、加盖公章的质疑。</w:t>
      </w:r>
    </w:p>
    <w:p w14:paraId="15DBC146">
      <w:pPr>
        <w:spacing w:line="360" w:lineRule="auto"/>
        <w:ind w:firstLine="480"/>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6</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投标人提出书面质疑必须有理、有据，不得捏造事实、提供虚假材料进行恶意质疑。否则，一经查实，招标人有权依据政府采购的有关规定，报请政府采购监管部门对该投标人进行相应的行政处罚和记录该投标人的失信信息。</w:t>
      </w:r>
    </w:p>
    <w:p w14:paraId="5032B0DA">
      <w:pPr>
        <w:spacing w:line="360" w:lineRule="auto"/>
        <w:contextualSpacing/>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附件：</w:t>
      </w:r>
    </w:p>
    <w:p w14:paraId="528076D8">
      <w:pPr>
        <w:keepNext w:val="0"/>
        <w:keepLines w:val="0"/>
        <w:pageBreakBefore w:val="0"/>
        <w:widowControl w:val="0"/>
        <w:kinsoku/>
        <w:wordWrap/>
        <w:overflowPunct/>
        <w:topLinePunct w:val="0"/>
        <w:autoSpaceDE/>
        <w:autoSpaceDN/>
        <w:bidi w:val="0"/>
        <w:adjustRightInd/>
        <w:snapToGrid/>
        <w:spacing w:line="360" w:lineRule="auto"/>
        <w:ind w:firstLine="480"/>
        <w:contextualSpacing/>
        <w:jc w:val="center"/>
        <w:textAlignment w:val="auto"/>
        <w:rPr>
          <w:rFonts w:hint="eastAsia" w:ascii="宋体" w:hAnsi="宋体" w:eastAsia="宋体" w:cs="宋体"/>
          <w:bCs/>
          <w:color w:val="auto"/>
          <w:sz w:val="24"/>
          <w:szCs w:val="21"/>
          <w:highlight w:val="none"/>
        </w:rPr>
      </w:pPr>
      <w:r>
        <w:rPr>
          <w:rFonts w:hint="eastAsia" w:ascii="宋体" w:hAnsi="宋体" w:eastAsia="宋体" w:cs="宋体"/>
          <w:bCs/>
          <w:color w:val="auto"/>
          <w:sz w:val="32"/>
          <w:szCs w:val="32"/>
          <w:highlight w:val="none"/>
        </w:rPr>
        <w:t>质疑函范本</w:t>
      </w:r>
    </w:p>
    <w:p w14:paraId="33F5B47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一、质疑</w:t>
      </w:r>
      <w:r>
        <w:rPr>
          <w:rFonts w:hint="eastAsia" w:ascii="宋体" w:hAnsi="宋体" w:eastAsia="宋体" w:cs="宋体"/>
          <w:color w:val="auto"/>
          <w:sz w:val="24"/>
          <w:szCs w:val="21"/>
          <w:highlight w:val="none"/>
        </w:rPr>
        <w:t>投标人</w:t>
      </w:r>
      <w:r>
        <w:rPr>
          <w:rFonts w:hint="eastAsia" w:ascii="宋体" w:hAnsi="宋体" w:eastAsia="宋体" w:cs="宋体"/>
          <w:bCs/>
          <w:color w:val="auto"/>
          <w:sz w:val="24"/>
          <w:szCs w:val="21"/>
          <w:highlight w:val="none"/>
        </w:rPr>
        <w:t>基本信息</w:t>
      </w:r>
    </w:p>
    <w:p w14:paraId="46345EC0">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质疑投标人：</w:t>
      </w:r>
    </w:p>
    <w:p w14:paraId="6030B951">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地址：邮编：</w:t>
      </w:r>
    </w:p>
    <w:p w14:paraId="72BD3DBB">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联系人：联系电话：</w:t>
      </w:r>
    </w:p>
    <w:p w14:paraId="1A247F2C">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授权代表：</w:t>
      </w:r>
    </w:p>
    <w:p w14:paraId="51DCEB5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联系电话：</w:t>
      </w:r>
    </w:p>
    <w:p w14:paraId="33F92FFA">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地址：邮编：</w:t>
      </w:r>
    </w:p>
    <w:p w14:paraId="531B3668">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二、质疑项目基本情况</w:t>
      </w:r>
    </w:p>
    <w:p w14:paraId="6C6936B6">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质疑项目的名称：</w:t>
      </w:r>
    </w:p>
    <w:p w14:paraId="69885084">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质疑项目的编号：包号：</w:t>
      </w:r>
    </w:p>
    <w:p w14:paraId="1EC209F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招标人名称：</w:t>
      </w:r>
    </w:p>
    <w:p w14:paraId="24BFEB9F">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招标文件获取日期：</w:t>
      </w:r>
    </w:p>
    <w:p w14:paraId="33B07F0F">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三、质疑事项具体内容</w:t>
      </w:r>
    </w:p>
    <w:p w14:paraId="4F2BE137">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质疑事项1：</w:t>
      </w:r>
    </w:p>
    <w:p w14:paraId="7235AD33">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事实依据：</w:t>
      </w:r>
    </w:p>
    <w:p w14:paraId="07B1D3C4">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p>
    <w:p w14:paraId="5B7BCF82">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法律依据：</w:t>
      </w:r>
    </w:p>
    <w:p w14:paraId="0492AAC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p>
    <w:p w14:paraId="7243362B">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质疑事项2</w:t>
      </w:r>
    </w:p>
    <w:p w14:paraId="6EE3ED87">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w:t>
      </w:r>
    </w:p>
    <w:p w14:paraId="2B533EF3">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四、与质疑事项相关的质疑请求</w:t>
      </w:r>
    </w:p>
    <w:p w14:paraId="4481321A">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请求：</w:t>
      </w:r>
    </w:p>
    <w:p w14:paraId="301EEFA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 xml:space="preserve">签字(签章)：                   公章：                      </w:t>
      </w:r>
    </w:p>
    <w:p w14:paraId="0E1C536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 xml:space="preserve">日期：    </w:t>
      </w:r>
    </w:p>
    <w:p w14:paraId="77E43696">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p>
    <w:p w14:paraId="2F642B36">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ascii="宋体" w:hAnsi="宋体" w:eastAsia="宋体" w:cs="宋体"/>
          <w:b/>
          <w:color w:val="auto"/>
          <w:sz w:val="24"/>
          <w:szCs w:val="21"/>
          <w:highlight w:val="none"/>
        </w:rPr>
      </w:pPr>
    </w:p>
    <w:p w14:paraId="5F93D614">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ascii="宋体" w:hAnsi="宋体" w:eastAsia="宋体" w:cs="宋体"/>
          <w:b/>
          <w:color w:val="auto"/>
          <w:sz w:val="24"/>
          <w:szCs w:val="21"/>
          <w:highlight w:val="none"/>
        </w:rPr>
      </w:pPr>
    </w:p>
    <w:p w14:paraId="53DAAE22">
      <w:pPr>
        <w:keepNext w:val="0"/>
        <w:keepLines w:val="0"/>
        <w:pageBreakBefore w:val="0"/>
        <w:widowControl w:val="0"/>
        <w:kinsoku/>
        <w:wordWrap/>
        <w:overflowPunct/>
        <w:topLinePunct w:val="0"/>
        <w:autoSpaceDE/>
        <w:autoSpaceDN/>
        <w:bidi w:val="0"/>
        <w:adjustRightInd/>
        <w:snapToGrid/>
        <w:spacing w:line="360" w:lineRule="auto"/>
        <w:ind w:firstLine="482"/>
        <w:contextualSpacing/>
        <w:textAlignment w:val="auto"/>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rPr>
        <w:t>质疑函制作说明：</w:t>
      </w:r>
    </w:p>
    <w:p w14:paraId="420341DC">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投标人提出质疑时，应提交质疑函和必要的证明材料。</w:t>
      </w:r>
    </w:p>
    <w:p w14:paraId="6C9CDF24">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0D5A0172">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质疑投标人若对项目的某一分包进行质疑，质疑函中应列明具体分包号。</w:t>
      </w:r>
    </w:p>
    <w:p w14:paraId="0B6EFD77">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4</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质疑函的质疑事项应具体、明确，并有必要的事实依据和法律依据。</w:t>
      </w:r>
    </w:p>
    <w:p w14:paraId="33D7B579">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质疑函的质疑请求应与质疑事项相关。</w:t>
      </w:r>
    </w:p>
    <w:p w14:paraId="5157E6AD">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6</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质疑投标人为自然人的，质疑函应由本人签字；质疑投标人为法人或者其他组织的，质疑函应由法定代表人、主要负责人，或者其授权代表签字或者盖章，并加盖公章。</w:t>
      </w:r>
    </w:p>
    <w:p w14:paraId="36A38FF9">
      <w:pPr>
        <w:spacing w:line="360" w:lineRule="auto"/>
        <w:contextualSpacing/>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24"/>
          <w:szCs w:val="21"/>
          <w:highlight w:val="none"/>
        </w:rPr>
        <w:br w:type="page" w:clear="all"/>
      </w:r>
      <w:r>
        <w:rPr>
          <w:rFonts w:hint="eastAsia" w:ascii="宋体" w:hAnsi="宋体" w:eastAsia="宋体" w:cs="宋体"/>
          <w:b/>
          <w:color w:val="auto"/>
          <w:sz w:val="36"/>
          <w:szCs w:val="36"/>
          <w:highlight w:val="none"/>
        </w:rPr>
        <w:t>第</w:t>
      </w:r>
      <w:r>
        <w:rPr>
          <w:rFonts w:hint="eastAsia" w:ascii="宋体" w:hAnsi="宋体" w:eastAsia="宋体" w:cs="宋体"/>
          <w:b/>
          <w:color w:val="auto"/>
          <w:sz w:val="36"/>
          <w:szCs w:val="36"/>
          <w:highlight w:val="none"/>
          <w:lang w:val="en-US" w:eastAsia="zh-CN"/>
        </w:rPr>
        <w:t>八</w:t>
      </w:r>
      <w:r>
        <w:rPr>
          <w:rFonts w:hint="eastAsia" w:ascii="宋体" w:hAnsi="宋体" w:eastAsia="宋体" w:cs="宋体"/>
          <w:b/>
          <w:color w:val="auto"/>
          <w:sz w:val="36"/>
          <w:szCs w:val="36"/>
          <w:highlight w:val="none"/>
        </w:rPr>
        <w:t>章  投标文件组成及格式</w:t>
      </w:r>
      <w:bookmarkEnd w:id="14"/>
    </w:p>
    <w:p w14:paraId="0ADDE784">
      <w:pPr>
        <w:spacing w:line="360" w:lineRule="auto"/>
        <w:ind w:firstLine="482"/>
        <w:contextualSpacing/>
        <w:jc w:val="left"/>
        <w:rPr>
          <w:rFonts w:hint="eastAsia" w:ascii="宋体" w:hAnsi="宋体" w:eastAsia="宋体" w:cs="宋体"/>
          <w:b/>
          <w:color w:val="auto"/>
          <w:sz w:val="24"/>
          <w:szCs w:val="21"/>
          <w:highlight w:val="none"/>
        </w:rPr>
      </w:pPr>
    </w:p>
    <w:p w14:paraId="3DBFBBF5">
      <w:pPr>
        <w:spacing w:line="360" w:lineRule="auto"/>
        <w:ind w:firstLine="482"/>
        <w:contextualSpacing/>
        <w:jc w:val="left"/>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rPr>
        <w:t>一、基本目录</w:t>
      </w:r>
    </w:p>
    <w:p w14:paraId="6EA554C9">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1.开标一览表（格式参见附件1）。</w:t>
      </w:r>
    </w:p>
    <w:p w14:paraId="790E5A0C">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2.分项报价明细表（服务类）（格式参见附件2）。</w:t>
      </w:r>
    </w:p>
    <w:p w14:paraId="69CEB986">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3.供应商信用承诺书（格式参见附件3）。</w:t>
      </w:r>
    </w:p>
    <w:p w14:paraId="7CB0B161">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4.供应商情况表（格式参见附件4）。</w:t>
      </w:r>
    </w:p>
    <w:p w14:paraId="36A4A407">
      <w:pPr>
        <w:spacing w:line="360" w:lineRule="auto"/>
        <w:ind w:firstLine="482"/>
        <w:contextualSpacing/>
        <w:jc w:val="left"/>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lang w:eastAsia="zh-CN"/>
        </w:rPr>
        <w:t>二、</w:t>
      </w:r>
      <w:r>
        <w:rPr>
          <w:rFonts w:hint="eastAsia" w:ascii="宋体" w:hAnsi="宋体" w:eastAsia="宋体" w:cs="宋体"/>
          <w:b/>
          <w:color w:val="auto"/>
          <w:sz w:val="24"/>
          <w:szCs w:val="21"/>
          <w:highlight w:val="none"/>
        </w:rPr>
        <w:t>资格审查文件</w:t>
      </w:r>
    </w:p>
    <w:p w14:paraId="4183C291">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eastAsia="zh-CN"/>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eastAsia="zh-CN"/>
        </w:rPr>
        <w:t>投标人符合《中华人民共和国政府采购法》第二十二条规定条件的声明函（格式参见附件</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w:t>
      </w:r>
    </w:p>
    <w:p w14:paraId="3ACECC08">
      <w:pPr>
        <w:spacing w:line="360" w:lineRule="auto"/>
        <w:ind w:firstLine="480"/>
        <w:contextualSpacing/>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提供法人或者其他组织的营业执照等证明文件，如供应商为自然人的，提供其身份证明。</w:t>
      </w:r>
    </w:p>
    <w:p w14:paraId="414539CC">
      <w:pPr>
        <w:spacing w:line="360" w:lineRule="auto"/>
        <w:ind w:firstLine="480"/>
        <w:contextualSpacing/>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如为法定代表人参加投标的，必须提供法定代表人身份证明及法定代表人本人身份证复印件（格式参见附件</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lang w:eastAsia="zh-CN"/>
        </w:rPr>
        <w:t>）；如为非法定代表人参加投标的，必须提供法定代表人签字或盖章的授权委托书、法定代表人本人身份证复印件及被授权人本人身份证复印件（格式参见附件</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eastAsia="zh-CN"/>
        </w:rPr>
        <w:t>）。</w:t>
      </w:r>
    </w:p>
    <w:p w14:paraId="6CC3A3F3">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未被“信用中国”网站（www.creditchina.gov.cn）列入失信被执行人、重大税收违法案件当事人名单、政府采购严重失信行为记录名单</w:t>
      </w:r>
      <w:r>
        <w:rPr>
          <w:rFonts w:hint="eastAsia" w:ascii="宋体" w:hAnsi="宋体" w:eastAsia="宋体" w:cs="宋体"/>
          <w:color w:val="auto"/>
          <w:sz w:val="24"/>
          <w:szCs w:val="24"/>
          <w:highlight w:val="none"/>
          <w:lang w:eastAsia="zh-CN"/>
        </w:rPr>
        <w:t>。</w:t>
      </w:r>
    </w:p>
    <w:p w14:paraId="7211FD2A">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5.拒绝下述供应商参加本次采购活动（提供声明，</w:t>
      </w:r>
      <w:r>
        <w:rPr>
          <w:rFonts w:hint="eastAsia" w:ascii="宋体" w:hAnsi="宋体" w:eastAsia="宋体" w:cs="宋体"/>
          <w:bCs/>
          <w:color w:val="auto"/>
          <w:sz w:val="24"/>
          <w:szCs w:val="24"/>
          <w:highlight w:val="none"/>
          <w:lang w:eastAsia="zh-CN"/>
        </w:rPr>
        <w:t>格式参见附件</w:t>
      </w:r>
      <w:r>
        <w:rPr>
          <w:rFonts w:hint="eastAsia" w:ascii="宋体" w:hAnsi="宋体" w:eastAsia="宋体" w:cs="宋体"/>
          <w:bCs/>
          <w:color w:val="auto"/>
          <w:sz w:val="24"/>
          <w:szCs w:val="24"/>
          <w:highlight w:val="none"/>
          <w:lang w:val="en-US" w:eastAsia="zh-CN"/>
        </w:rPr>
        <w:t>8）：</w:t>
      </w:r>
    </w:p>
    <w:p w14:paraId="1877B7BE">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5.1供应商单位负责人为同一人或者存在直接控股、管理关系的不同供应商，不得参加同一合同项下的政府采购活动。</w:t>
      </w:r>
    </w:p>
    <w:p w14:paraId="35BC1E95">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5.2凡为采购项目提供整体设计、规范编制或者项目管理、监理、检测等服务的供应商，不得再参加本项目的采购活动。</w:t>
      </w:r>
    </w:p>
    <w:p w14:paraId="35E1C562">
      <w:pPr>
        <w:spacing w:line="360" w:lineRule="auto"/>
        <w:ind w:firstLine="480"/>
        <w:contextualSpacing/>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lang w:eastAsia="zh-CN"/>
        </w:rPr>
        <w:t>供应商认为需提供的其他材料。</w:t>
      </w:r>
    </w:p>
    <w:p w14:paraId="41B8179A">
      <w:pPr>
        <w:spacing w:line="360" w:lineRule="auto"/>
        <w:ind w:firstLine="482"/>
        <w:contextualSpacing/>
        <w:jc w:val="left"/>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注：以上所有资格要求条件必须在资格审查材料中逐条提供有效证明材料及相关承诺书并加盖公章，否则投标无效。</w:t>
      </w:r>
    </w:p>
    <w:p w14:paraId="3FA6C77D">
      <w:pPr>
        <w:spacing w:line="360" w:lineRule="auto"/>
        <w:ind w:firstLine="482"/>
        <w:contextualSpacing/>
        <w:jc w:val="left"/>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lang w:eastAsia="zh-CN"/>
        </w:rPr>
        <w:t>三</w:t>
      </w:r>
      <w:r>
        <w:rPr>
          <w:rFonts w:hint="eastAsia" w:ascii="宋体" w:hAnsi="宋体" w:eastAsia="宋体" w:cs="宋体"/>
          <w:b/>
          <w:color w:val="auto"/>
          <w:sz w:val="24"/>
          <w:szCs w:val="21"/>
          <w:highlight w:val="none"/>
        </w:rPr>
        <w:t>、符合性审查文件</w:t>
      </w:r>
    </w:p>
    <w:p w14:paraId="5D5A711F">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.投标声明函（格式参见附件9）。</w:t>
      </w:r>
    </w:p>
    <w:p w14:paraId="07F0770D">
      <w:pPr>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投标响应函（格式参见附件</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w:t>
      </w:r>
    </w:p>
    <w:p w14:paraId="37EBE71F">
      <w:pPr>
        <w:spacing w:line="360" w:lineRule="auto"/>
        <w:ind w:firstLine="480"/>
        <w:contextualSpacing/>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商务条款正负偏离表（格式参见附件</w:t>
      </w:r>
      <w:r>
        <w:rPr>
          <w:rFonts w:hint="eastAsia" w:ascii="宋体" w:hAnsi="宋体" w:eastAsia="宋体" w:cs="宋体"/>
          <w:bCs/>
          <w:color w:val="auto"/>
          <w:sz w:val="24"/>
          <w:szCs w:val="24"/>
          <w:highlight w:val="none"/>
          <w:lang w:val="en-US" w:eastAsia="zh-CN"/>
        </w:rPr>
        <w:t>11</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w:t>
      </w:r>
    </w:p>
    <w:p w14:paraId="61B32EDC">
      <w:pPr>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投标人认为需要提交的其他资料。</w:t>
      </w:r>
    </w:p>
    <w:p w14:paraId="5C307608">
      <w:pPr>
        <w:spacing w:line="360" w:lineRule="auto"/>
        <w:ind w:firstLine="48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、商务技术标文件</w:t>
      </w:r>
    </w:p>
    <w:p w14:paraId="4E0BFACF">
      <w:pPr>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评标办法中所涉及的事项需提供的所有资料。</w:t>
      </w:r>
    </w:p>
    <w:p w14:paraId="0AD6600E">
      <w:pPr>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项目需求中涉及需要投标人提交的材料。</w:t>
      </w:r>
    </w:p>
    <w:p w14:paraId="6260ACCD">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3</w:t>
      </w:r>
      <w:r>
        <w:rPr>
          <w:rFonts w:hint="eastAsia" w:ascii="宋体" w:hAnsi="宋体" w:eastAsia="宋体" w:cs="宋体"/>
          <w:bCs/>
          <w:color w:val="auto"/>
          <w:sz w:val="24"/>
          <w:szCs w:val="24"/>
          <w:highlight w:val="none"/>
          <w:lang w:val="en-US" w:eastAsia="zh-CN"/>
        </w:rPr>
        <w:t>.技术条款响应正负偏离表</w:t>
      </w:r>
      <w:r>
        <w:rPr>
          <w:rFonts w:hint="eastAsia" w:ascii="宋体" w:hAnsi="宋体" w:eastAsia="宋体" w:cs="宋体"/>
          <w:bCs/>
          <w:color w:val="auto"/>
          <w:sz w:val="24"/>
          <w:szCs w:val="24"/>
          <w:highlight w:val="none"/>
        </w:rPr>
        <w:t>（格式参见附件</w:t>
      </w:r>
      <w:r>
        <w:rPr>
          <w:rFonts w:hint="eastAsia" w:ascii="宋体" w:hAnsi="宋体" w:eastAsia="宋体" w:cs="宋体"/>
          <w:bCs/>
          <w:color w:val="auto"/>
          <w:sz w:val="24"/>
          <w:szCs w:val="24"/>
          <w:highlight w:val="none"/>
          <w:lang w:val="en-US" w:eastAsia="zh-CN"/>
        </w:rPr>
        <w:t>12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w:t>
      </w:r>
    </w:p>
    <w:p w14:paraId="3920CE04">
      <w:pPr>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招标文件中未涉及的事项，投标人认为需要提交的其他资料。</w:t>
      </w:r>
    </w:p>
    <w:p w14:paraId="58BF5B92">
      <w:pPr>
        <w:spacing w:line="360" w:lineRule="auto"/>
        <w:ind w:firstLine="482"/>
        <w:contextualSpacing/>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注：为方便评委评审，请投标人按评标办法中所涉及的事项顺序进行编制，可以补充相关材料。</w:t>
      </w:r>
    </w:p>
    <w:p w14:paraId="2B829ABD">
      <w:pPr>
        <w:spacing w:line="360" w:lineRule="auto"/>
        <w:ind w:firstLine="480"/>
        <w:contextualSpacing/>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五、价格扣除证明文件</w:t>
      </w:r>
    </w:p>
    <w:p w14:paraId="6BB0DB20">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1.中小企业声明函（工程、服务）（如有，</w:t>
      </w:r>
      <w:r>
        <w:rPr>
          <w:rFonts w:hint="eastAsia" w:ascii="宋体" w:hAnsi="宋体" w:eastAsia="宋体" w:cs="宋体"/>
          <w:bCs/>
          <w:color w:val="auto"/>
          <w:sz w:val="24"/>
          <w:szCs w:val="24"/>
          <w:highlight w:val="none"/>
        </w:rPr>
        <w:t>格式参见附件</w:t>
      </w:r>
      <w:r>
        <w:rPr>
          <w:rFonts w:hint="eastAsia" w:ascii="宋体" w:hAnsi="宋体" w:eastAsia="宋体" w:cs="宋体"/>
          <w:bCs/>
          <w:color w:val="auto"/>
          <w:sz w:val="24"/>
          <w:szCs w:val="24"/>
          <w:highlight w:val="none"/>
          <w:lang w:val="en-US" w:eastAsia="zh-CN"/>
        </w:rPr>
        <w:t>13）；</w:t>
      </w:r>
    </w:p>
    <w:p w14:paraId="5C8ABC7C">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2.残疾人福利性单位声明函（如有，</w:t>
      </w:r>
      <w:r>
        <w:rPr>
          <w:rFonts w:hint="eastAsia" w:ascii="宋体" w:hAnsi="宋体" w:eastAsia="宋体" w:cs="宋体"/>
          <w:bCs/>
          <w:color w:val="auto"/>
          <w:sz w:val="24"/>
          <w:szCs w:val="24"/>
          <w:highlight w:val="none"/>
        </w:rPr>
        <w:t>格式参见附件</w:t>
      </w:r>
      <w:r>
        <w:rPr>
          <w:rFonts w:hint="eastAsia" w:ascii="宋体" w:hAnsi="宋体" w:eastAsia="宋体" w:cs="宋体"/>
          <w:bCs/>
          <w:color w:val="auto"/>
          <w:sz w:val="24"/>
          <w:szCs w:val="24"/>
          <w:highlight w:val="none"/>
          <w:lang w:val="en-US" w:eastAsia="zh-CN"/>
        </w:rPr>
        <w:t>13）；</w:t>
      </w:r>
    </w:p>
    <w:p w14:paraId="28E28620">
      <w:pPr>
        <w:spacing w:line="360" w:lineRule="auto"/>
        <w:ind w:firstLine="480"/>
        <w:contextualSpacing/>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3.监狱企业的证明（如有，</w:t>
      </w:r>
      <w:r>
        <w:rPr>
          <w:rFonts w:hint="eastAsia" w:ascii="宋体" w:hAnsi="宋体" w:eastAsia="宋体" w:cs="宋体"/>
          <w:bCs/>
          <w:color w:val="auto"/>
          <w:sz w:val="24"/>
          <w:szCs w:val="24"/>
          <w:highlight w:val="none"/>
        </w:rPr>
        <w:t>格式参见附件</w:t>
      </w:r>
      <w:r>
        <w:rPr>
          <w:rFonts w:hint="eastAsia" w:ascii="宋体" w:hAnsi="宋体" w:eastAsia="宋体" w:cs="宋体"/>
          <w:bCs/>
          <w:color w:val="auto"/>
          <w:sz w:val="24"/>
          <w:szCs w:val="24"/>
          <w:highlight w:val="none"/>
          <w:lang w:val="en-US" w:eastAsia="zh-CN"/>
        </w:rPr>
        <w:t>13）。</w:t>
      </w:r>
    </w:p>
    <w:p w14:paraId="36540946">
      <w:pPr>
        <w:spacing w:line="360" w:lineRule="auto"/>
        <w:ind w:firstLine="482"/>
        <w:contextualSpacing/>
        <w:jc w:val="left"/>
        <w:rPr>
          <w:rFonts w:hint="eastAsia" w:ascii="宋体" w:hAnsi="宋体" w:eastAsia="宋体" w:cs="宋体"/>
          <w:bCs/>
          <w:color w:val="auto"/>
          <w:sz w:val="24"/>
          <w:szCs w:val="24"/>
          <w:highlight w:val="none"/>
        </w:rPr>
      </w:pPr>
    </w:p>
    <w:p w14:paraId="6C1C41A7">
      <w:pPr>
        <w:spacing w:line="360" w:lineRule="auto"/>
        <w:ind w:firstLine="48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p>
    <w:p w14:paraId="0848FDA5">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1"/>
          <w:highlight w:val="none"/>
        </w:rPr>
        <w:br w:type="page" w:clear="all"/>
      </w: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1：</w:t>
      </w:r>
    </w:p>
    <w:p w14:paraId="6482E49A">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开标一览表</w:t>
      </w:r>
    </w:p>
    <w:p w14:paraId="13EBD345">
      <w:pP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投标人全称（加盖公章）：</w:t>
      </w:r>
    </w:p>
    <w:p w14:paraId="6DDF29D4">
      <w:pP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14:paraId="44A22B5B">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607"/>
      </w:tblGrid>
      <w:tr w14:paraId="754D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148" w:type="dxa"/>
            <w:noWrap w:val="0"/>
            <w:vAlign w:val="center"/>
          </w:tcPr>
          <w:p w14:paraId="0A978D43">
            <w:pPr>
              <w:jc w:val="center"/>
              <w:rPr>
                <w:rFonts w:hint="eastAsia" w:ascii="宋体" w:hAnsi="宋体" w:eastAsia="宋体" w:cs="宋体"/>
                <w:color w:val="auto"/>
                <w:szCs w:val="22"/>
                <w:highlight w:val="none"/>
              </w:rPr>
            </w:pPr>
            <w:r>
              <w:rPr>
                <w:rFonts w:hint="eastAsia" w:ascii="宋体" w:hAnsi="宋体" w:eastAsia="宋体" w:cs="宋体"/>
                <w:color w:val="auto"/>
                <w:sz w:val="28"/>
                <w:szCs w:val="28"/>
                <w:highlight w:val="none"/>
              </w:rPr>
              <w:t>投标货物、服务名称</w:t>
            </w:r>
          </w:p>
        </w:tc>
        <w:tc>
          <w:tcPr>
            <w:tcW w:w="4607" w:type="dxa"/>
            <w:noWrap w:val="0"/>
            <w:vAlign w:val="center"/>
          </w:tcPr>
          <w:p w14:paraId="53876C8E">
            <w:pPr>
              <w:jc w:val="center"/>
              <w:rPr>
                <w:rFonts w:hint="eastAsia" w:ascii="宋体" w:hAnsi="宋体" w:eastAsia="宋体" w:cs="宋体"/>
                <w:color w:val="auto"/>
                <w:szCs w:val="22"/>
                <w:highlight w:val="none"/>
              </w:rPr>
            </w:pPr>
            <w:r>
              <w:rPr>
                <w:rFonts w:hint="eastAsia" w:ascii="宋体" w:hAnsi="宋体" w:eastAsia="宋体" w:cs="宋体"/>
                <w:color w:val="auto"/>
                <w:sz w:val="28"/>
                <w:szCs w:val="28"/>
                <w:highlight w:val="none"/>
              </w:rPr>
              <w:t>投标总报价</w:t>
            </w:r>
          </w:p>
        </w:tc>
      </w:tr>
      <w:tr w14:paraId="5C2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148" w:type="dxa"/>
            <w:noWrap w:val="0"/>
            <w:vAlign w:val="center"/>
          </w:tcPr>
          <w:p w14:paraId="2B6F5303">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数字教材中心平台</w:t>
            </w:r>
          </w:p>
        </w:tc>
        <w:tc>
          <w:tcPr>
            <w:tcW w:w="4607" w:type="dxa"/>
            <w:noWrap w:val="0"/>
            <w:vAlign w:val="center"/>
          </w:tcPr>
          <w:p w14:paraId="58F2113D">
            <w:pPr>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大写：</w:t>
            </w:r>
          </w:p>
          <w:p w14:paraId="1D467D19">
            <w:pPr>
              <w:jc w:val="both"/>
              <w:rPr>
                <w:rFonts w:hint="eastAsia" w:ascii="宋体" w:hAnsi="宋体" w:eastAsia="宋体" w:cs="宋体"/>
                <w:color w:val="auto"/>
                <w:szCs w:val="22"/>
                <w:highlight w:val="none"/>
                <w:u w:val="single"/>
              </w:rPr>
            </w:pPr>
            <w:r>
              <w:rPr>
                <w:rFonts w:hint="eastAsia" w:ascii="宋体" w:hAnsi="宋体" w:eastAsia="宋体" w:cs="宋体"/>
                <w:color w:val="auto"/>
                <w:sz w:val="28"/>
                <w:szCs w:val="28"/>
                <w:highlight w:val="none"/>
              </w:rPr>
              <w:t>小写：元（人民币）</w:t>
            </w:r>
          </w:p>
        </w:tc>
      </w:tr>
      <w:tr w14:paraId="604B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1" w:hRule="atLeast"/>
        </w:trPr>
        <w:tc>
          <w:tcPr>
            <w:tcW w:w="4148" w:type="dxa"/>
            <w:noWrap w:val="0"/>
            <w:vAlign w:val="center"/>
          </w:tcPr>
          <w:p w14:paraId="5AFCF7D8">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15本重点建设数字教材</w:t>
            </w:r>
          </w:p>
        </w:tc>
        <w:tc>
          <w:tcPr>
            <w:tcW w:w="4607" w:type="dxa"/>
            <w:noWrap w:val="0"/>
            <w:vAlign w:val="center"/>
          </w:tcPr>
          <w:p w14:paraId="3AA948DB">
            <w:pPr>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大写：</w:t>
            </w:r>
          </w:p>
          <w:p w14:paraId="66D855CB">
            <w:pPr>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小写：元（人民币）</w:t>
            </w:r>
          </w:p>
        </w:tc>
      </w:tr>
      <w:tr w14:paraId="471B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1" w:hRule="atLeast"/>
        </w:trPr>
        <w:tc>
          <w:tcPr>
            <w:tcW w:w="4148" w:type="dxa"/>
            <w:noWrap w:val="0"/>
            <w:vAlign w:val="center"/>
          </w:tcPr>
          <w:p w14:paraId="67493A2B">
            <w:pP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合  计</w:t>
            </w:r>
          </w:p>
        </w:tc>
        <w:tc>
          <w:tcPr>
            <w:tcW w:w="4607" w:type="dxa"/>
            <w:noWrap w:val="0"/>
            <w:vAlign w:val="center"/>
          </w:tcPr>
          <w:p w14:paraId="1DF7FAD6">
            <w:pPr>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大写：</w:t>
            </w:r>
          </w:p>
          <w:p w14:paraId="6AA55B51">
            <w:pPr>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小写：元（人民币）</w:t>
            </w:r>
          </w:p>
        </w:tc>
      </w:tr>
    </w:tbl>
    <w:p w14:paraId="664285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p>
    <w:p w14:paraId="62387E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填写说明：</w:t>
      </w:r>
    </w:p>
    <w:p w14:paraId="2491D7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1.开标一览表必须加盖投标单位公章（复印件无效）。</w:t>
      </w:r>
    </w:p>
    <w:p w14:paraId="1D5627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2.如有分包，投标人投任何一个包的标的，都需单独填写开标一览表。</w:t>
      </w:r>
    </w:p>
    <w:p w14:paraId="53BC9B95">
      <w:pPr>
        <w:spacing w:line="360" w:lineRule="auto"/>
        <w:jc w:val="center"/>
        <w:outlineLvl w:val="3"/>
        <w:rPr>
          <w:rFonts w:hint="eastAsia" w:ascii="宋体" w:hAnsi="宋体" w:eastAsia="宋体" w:cs="宋体"/>
          <w:b/>
          <w:color w:val="auto"/>
          <w:highlight w:val="none"/>
        </w:rPr>
      </w:pPr>
      <w:r>
        <w:rPr>
          <w:rFonts w:hint="eastAsia" w:ascii="宋体" w:hAnsi="宋体" w:eastAsia="宋体" w:cs="宋体"/>
          <w:b/>
          <w:color w:val="auto"/>
          <w:highlight w:val="none"/>
        </w:rPr>
        <w:br w:type="page" w:clear="all"/>
      </w:r>
    </w:p>
    <w:p w14:paraId="72989F41">
      <w:pPr>
        <w:spacing w:line="360" w:lineRule="auto"/>
        <w:jc w:val="left"/>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2：</w:t>
      </w:r>
    </w:p>
    <w:p w14:paraId="1E7AA7C7">
      <w:pPr>
        <w:spacing w:line="360" w:lineRule="auto"/>
        <w:jc w:val="center"/>
        <w:outlineLvl w:val="3"/>
        <w:rPr>
          <w:rFonts w:hint="eastAsia" w:ascii="宋体" w:hAnsi="宋体" w:eastAsia="宋体" w:cs="宋体"/>
          <w:b/>
          <w:bCs/>
          <w:color w:val="auto"/>
          <w:sz w:val="28"/>
          <w:szCs w:val="28"/>
          <w:highlight w:val="none"/>
          <w:shd w:val="clear" w:fill="00B0F0"/>
          <w:lang w:val="en-US" w:eastAsia="zh-CN"/>
        </w:rPr>
      </w:pPr>
      <w:r>
        <w:rPr>
          <w:rFonts w:hint="eastAsia" w:ascii="宋体" w:hAnsi="宋体" w:eastAsia="宋体" w:cs="宋体"/>
          <w:b/>
          <w:bCs/>
          <w:color w:val="auto"/>
          <w:sz w:val="28"/>
          <w:szCs w:val="28"/>
          <w:highlight w:val="none"/>
          <w:lang w:val="en-US" w:eastAsia="zh-CN"/>
        </w:rPr>
        <w:t>分项报价明细表（服务类）</w:t>
      </w:r>
    </w:p>
    <w:p w14:paraId="60D28B1C">
      <w:pP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p>
    <w:p w14:paraId="18DC6A39">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bl>
      <w:tblPr>
        <w:tblStyle w:val="8"/>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073"/>
        <w:gridCol w:w="1703"/>
        <w:gridCol w:w="718"/>
        <w:gridCol w:w="853"/>
        <w:gridCol w:w="838"/>
        <w:gridCol w:w="883"/>
        <w:gridCol w:w="2760"/>
      </w:tblGrid>
      <w:tr w14:paraId="15CD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Align w:val="center"/>
          </w:tcPr>
          <w:p w14:paraId="69B1397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序号</w:t>
            </w:r>
          </w:p>
        </w:tc>
        <w:tc>
          <w:tcPr>
            <w:tcW w:w="2776" w:type="dxa"/>
            <w:gridSpan w:val="2"/>
            <w:vAlign w:val="center"/>
          </w:tcPr>
          <w:p w14:paraId="277E005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建设内容</w:t>
            </w:r>
          </w:p>
        </w:tc>
        <w:tc>
          <w:tcPr>
            <w:tcW w:w="718" w:type="dxa"/>
            <w:vAlign w:val="center"/>
          </w:tcPr>
          <w:p w14:paraId="45F9B98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数量</w:t>
            </w:r>
          </w:p>
        </w:tc>
        <w:tc>
          <w:tcPr>
            <w:tcW w:w="853" w:type="dxa"/>
            <w:vAlign w:val="center"/>
          </w:tcPr>
          <w:p w14:paraId="34F78AE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单位</w:t>
            </w:r>
          </w:p>
        </w:tc>
        <w:tc>
          <w:tcPr>
            <w:tcW w:w="838" w:type="dxa"/>
            <w:vAlign w:val="center"/>
          </w:tcPr>
          <w:p w14:paraId="016708F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单价</w:t>
            </w:r>
          </w:p>
          <w:p w14:paraId="6A3374B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（元）</w:t>
            </w:r>
          </w:p>
        </w:tc>
        <w:tc>
          <w:tcPr>
            <w:tcW w:w="883" w:type="dxa"/>
            <w:vAlign w:val="center"/>
          </w:tcPr>
          <w:p w14:paraId="511E67E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合价</w:t>
            </w:r>
          </w:p>
          <w:p w14:paraId="2DCDFBA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（元）</w:t>
            </w:r>
          </w:p>
        </w:tc>
        <w:tc>
          <w:tcPr>
            <w:tcW w:w="2760" w:type="dxa"/>
            <w:vAlign w:val="center"/>
          </w:tcPr>
          <w:p w14:paraId="55C7E08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备注</w:t>
            </w:r>
          </w:p>
        </w:tc>
      </w:tr>
      <w:tr w14:paraId="1776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Merge w:val="restart"/>
            <w:vAlign w:val="center"/>
          </w:tcPr>
          <w:p w14:paraId="586D511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073" w:type="dxa"/>
            <w:vMerge w:val="restart"/>
            <w:vAlign w:val="center"/>
          </w:tcPr>
          <w:p w14:paraId="5626038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数字教材中心平台</w:t>
            </w:r>
          </w:p>
        </w:tc>
        <w:tc>
          <w:tcPr>
            <w:tcW w:w="1703" w:type="dxa"/>
            <w:vAlign w:val="center"/>
          </w:tcPr>
          <w:p w14:paraId="32E5494B">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数字教材发布与管理平台</w:t>
            </w:r>
          </w:p>
        </w:tc>
        <w:tc>
          <w:tcPr>
            <w:tcW w:w="718" w:type="dxa"/>
            <w:vAlign w:val="center"/>
          </w:tcPr>
          <w:p w14:paraId="53A5B8E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853" w:type="dxa"/>
            <w:vAlign w:val="center"/>
          </w:tcPr>
          <w:p w14:paraId="5966902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套</w:t>
            </w:r>
          </w:p>
        </w:tc>
        <w:tc>
          <w:tcPr>
            <w:tcW w:w="838" w:type="dxa"/>
            <w:vMerge w:val="restart"/>
            <w:vAlign w:val="center"/>
          </w:tcPr>
          <w:p w14:paraId="0F803F9C">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restart"/>
            <w:vAlign w:val="center"/>
          </w:tcPr>
          <w:p w14:paraId="4A852D16">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66817150">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r>
      <w:tr w14:paraId="5572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48" w:type="dxa"/>
            <w:vMerge w:val="continue"/>
            <w:vAlign w:val="center"/>
          </w:tcPr>
          <w:p w14:paraId="07C394A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4921A42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0EA45216">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数字教材编辑器</w:t>
            </w:r>
          </w:p>
        </w:tc>
        <w:tc>
          <w:tcPr>
            <w:tcW w:w="718" w:type="dxa"/>
            <w:shd w:val="clear" w:color="auto" w:fill="auto"/>
            <w:vAlign w:val="center"/>
          </w:tcPr>
          <w:p w14:paraId="2B48405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1</w:t>
            </w:r>
          </w:p>
        </w:tc>
        <w:tc>
          <w:tcPr>
            <w:tcW w:w="853" w:type="dxa"/>
            <w:shd w:val="clear" w:color="auto" w:fill="auto"/>
            <w:vAlign w:val="center"/>
          </w:tcPr>
          <w:p w14:paraId="71A8EEF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套</w:t>
            </w:r>
          </w:p>
        </w:tc>
        <w:tc>
          <w:tcPr>
            <w:tcW w:w="838" w:type="dxa"/>
            <w:vMerge w:val="continue"/>
            <w:vAlign w:val="center"/>
          </w:tcPr>
          <w:p w14:paraId="3D0E61A9">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0A7C61F8">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3FF469A1">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r>
      <w:tr w14:paraId="45DB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Merge w:val="continue"/>
            <w:vAlign w:val="center"/>
          </w:tcPr>
          <w:p w14:paraId="536C9BC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6B22B4F3">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46090AF4">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数字教材学习与应用系统</w:t>
            </w:r>
          </w:p>
        </w:tc>
        <w:tc>
          <w:tcPr>
            <w:tcW w:w="718" w:type="dxa"/>
            <w:shd w:val="clear" w:color="auto" w:fill="auto"/>
            <w:vAlign w:val="center"/>
          </w:tcPr>
          <w:p w14:paraId="03553F3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1</w:t>
            </w:r>
          </w:p>
        </w:tc>
        <w:tc>
          <w:tcPr>
            <w:tcW w:w="853" w:type="dxa"/>
            <w:shd w:val="clear" w:color="auto" w:fill="auto"/>
            <w:vAlign w:val="center"/>
          </w:tcPr>
          <w:p w14:paraId="373973E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套</w:t>
            </w:r>
          </w:p>
        </w:tc>
        <w:tc>
          <w:tcPr>
            <w:tcW w:w="838" w:type="dxa"/>
            <w:vMerge w:val="continue"/>
            <w:vAlign w:val="center"/>
          </w:tcPr>
          <w:p w14:paraId="758F97F4">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4E9A0212">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5523BC5B">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r>
      <w:tr w14:paraId="5901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48" w:type="dxa"/>
            <w:vMerge w:val="continue"/>
            <w:vAlign w:val="center"/>
          </w:tcPr>
          <w:p w14:paraId="2476AFA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7E2B980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24DE0017">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校本数字教材</w:t>
            </w:r>
          </w:p>
        </w:tc>
        <w:tc>
          <w:tcPr>
            <w:tcW w:w="718" w:type="dxa"/>
            <w:vAlign w:val="center"/>
          </w:tcPr>
          <w:p w14:paraId="4E70F5A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853" w:type="dxa"/>
            <w:vAlign w:val="center"/>
          </w:tcPr>
          <w:p w14:paraId="64F9D16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项</w:t>
            </w:r>
          </w:p>
        </w:tc>
        <w:tc>
          <w:tcPr>
            <w:tcW w:w="838" w:type="dxa"/>
            <w:vMerge w:val="continue"/>
            <w:vAlign w:val="center"/>
          </w:tcPr>
          <w:p w14:paraId="4A731355">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625D2C0A">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4F7F643A">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1"/>
                <w:szCs w:val="21"/>
                <w:highlight w:val="none"/>
              </w:rPr>
            </w:pPr>
          </w:p>
        </w:tc>
      </w:tr>
      <w:tr w14:paraId="1B0C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Merge w:val="continue"/>
            <w:vAlign w:val="center"/>
          </w:tcPr>
          <w:p w14:paraId="051060F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03306B3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7CA17194">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数字教材中心应用推广</w:t>
            </w:r>
          </w:p>
        </w:tc>
        <w:tc>
          <w:tcPr>
            <w:tcW w:w="718" w:type="dxa"/>
            <w:vAlign w:val="center"/>
          </w:tcPr>
          <w:p w14:paraId="262969E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853" w:type="dxa"/>
            <w:vAlign w:val="center"/>
          </w:tcPr>
          <w:p w14:paraId="2658FD3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项</w:t>
            </w:r>
          </w:p>
        </w:tc>
        <w:tc>
          <w:tcPr>
            <w:tcW w:w="838" w:type="dxa"/>
            <w:vMerge w:val="continue"/>
            <w:vAlign w:val="center"/>
          </w:tcPr>
          <w:p w14:paraId="1A1D406D">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45BB45A5">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50DF9821">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r>
      <w:tr w14:paraId="3525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48" w:type="dxa"/>
            <w:vMerge w:val="restart"/>
            <w:vAlign w:val="center"/>
          </w:tcPr>
          <w:p w14:paraId="2CCC8BE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073" w:type="dxa"/>
            <w:vMerge w:val="restart"/>
            <w:vAlign w:val="center"/>
          </w:tcPr>
          <w:p w14:paraId="40878E6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b/>
                <w:bCs/>
                <w:color w:val="auto"/>
                <w:sz w:val="21"/>
                <w:szCs w:val="21"/>
                <w:highlight w:val="none"/>
                <w:vertAlign w:val="baseline"/>
                <w:lang w:val="en-US" w:eastAsia="zh-CN"/>
              </w:rPr>
              <w:t>15本重点建设数字教材</w:t>
            </w:r>
          </w:p>
        </w:tc>
        <w:tc>
          <w:tcPr>
            <w:tcW w:w="1703" w:type="dxa"/>
            <w:vAlign w:val="center"/>
          </w:tcPr>
          <w:p w14:paraId="74661930">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图谱建设</w:t>
            </w:r>
          </w:p>
        </w:tc>
        <w:tc>
          <w:tcPr>
            <w:tcW w:w="718" w:type="dxa"/>
            <w:vAlign w:val="center"/>
          </w:tcPr>
          <w:p w14:paraId="0B467E0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p>
        </w:tc>
        <w:tc>
          <w:tcPr>
            <w:tcW w:w="853" w:type="dxa"/>
            <w:vAlign w:val="center"/>
          </w:tcPr>
          <w:p w14:paraId="4253408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套</w:t>
            </w:r>
          </w:p>
        </w:tc>
        <w:tc>
          <w:tcPr>
            <w:tcW w:w="838" w:type="dxa"/>
            <w:vMerge w:val="restart"/>
            <w:vAlign w:val="center"/>
          </w:tcPr>
          <w:p w14:paraId="2EEEBC43">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restart"/>
            <w:vAlign w:val="center"/>
          </w:tcPr>
          <w:p w14:paraId="4C8BE1DA">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2A2A2A55">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每本教材1套</w:t>
            </w:r>
          </w:p>
        </w:tc>
      </w:tr>
      <w:tr w14:paraId="42E9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48" w:type="dxa"/>
            <w:vMerge w:val="continue"/>
            <w:vAlign w:val="center"/>
          </w:tcPr>
          <w:p w14:paraId="142221A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3783AA6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0D2165FC">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定制数字人</w:t>
            </w:r>
          </w:p>
        </w:tc>
        <w:tc>
          <w:tcPr>
            <w:tcW w:w="718" w:type="dxa"/>
            <w:vAlign w:val="center"/>
          </w:tcPr>
          <w:p w14:paraId="1FAE91F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p>
        </w:tc>
        <w:tc>
          <w:tcPr>
            <w:tcW w:w="853" w:type="dxa"/>
            <w:vAlign w:val="center"/>
          </w:tcPr>
          <w:p w14:paraId="13D36F7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个</w:t>
            </w:r>
          </w:p>
        </w:tc>
        <w:tc>
          <w:tcPr>
            <w:tcW w:w="838" w:type="dxa"/>
            <w:vMerge w:val="continue"/>
            <w:vAlign w:val="center"/>
          </w:tcPr>
          <w:p w14:paraId="5EFA70E2">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03FB805E">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39646440">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每本教材1个</w:t>
            </w:r>
          </w:p>
        </w:tc>
      </w:tr>
      <w:tr w14:paraId="5419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Merge w:val="continue"/>
            <w:vAlign w:val="center"/>
          </w:tcPr>
          <w:p w14:paraId="3D76621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40911D92">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18D7E99A">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微课视频建设</w:t>
            </w:r>
          </w:p>
        </w:tc>
        <w:tc>
          <w:tcPr>
            <w:tcW w:w="718" w:type="dxa"/>
            <w:vAlign w:val="center"/>
          </w:tcPr>
          <w:p w14:paraId="27AF46E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600</w:t>
            </w:r>
          </w:p>
        </w:tc>
        <w:tc>
          <w:tcPr>
            <w:tcW w:w="853" w:type="dxa"/>
            <w:vAlign w:val="center"/>
          </w:tcPr>
          <w:p w14:paraId="214B1B3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个</w:t>
            </w:r>
          </w:p>
        </w:tc>
        <w:tc>
          <w:tcPr>
            <w:tcW w:w="838" w:type="dxa"/>
            <w:vMerge w:val="continue"/>
            <w:vAlign w:val="center"/>
          </w:tcPr>
          <w:p w14:paraId="575ED42A">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5B3AA3C2">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37E27A6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每本教材制作不少于40个微课视频。</w:t>
            </w:r>
          </w:p>
        </w:tc>
      </w:tr>
      <w:tr w14:paraId="0C34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48" w:type="dxa"/>
            <w:vMerge w:val="continue"/>
            <w:vAlign w:val="center"/>
          </w:tcPr>
          <w:p w14:paraId="2B8B3B0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634243E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33DADA6A">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二维动画建设</w:t>
            </w:r>
          </w:p>
        </w:tc>
        <w:tc>
          <w:tcPr>
            <w:tcW w:w="718" w:type="dxa"/>
            <w:vAlign w:val="center"/>
          </w:tcPr>
          <w:p w14:paraId="22D1E116">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90</w:t>
            </w:r>
          </w:p>
        </w:tc>
        <w:tc>
          <w:tcPr>
            <w:tcW w:w="853" w:type="dxa"/>
            <w:vAlign w:val="center"/>
          </w:tcPr>
          <w:p w14:paraId="445E435C">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个</w:t>
            </w:r>
          </w:p>
        </w:tc>
        <w:tc>
          <w:tcPr>
            <w:tcW w:w="838" w:type="dxa"/>
            <w:vMerge w:val="continue"/>
            <w:vAlign w:val="center"/>
          </w:tcPr>
          <w:p w14:paraId="5452CEA1">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5F9B8C5B">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2F58C9F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二维动画总量不少于90个。</w:t>
            </w:r>
          </w:p>
        </w:tc>
      </w:tr>
      <w:tr w14:paraId="1F97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48" w:type="dxa"/>
            <w:vMerge w:val="continue"/>
            <w:vAlign w:val="center"/>
          </w:tcPr>
          <w:p w14:paraId="66E318B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42DE1BC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3EBD669B">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三维动画建设</w:t>
            </w:r>
          </w:p>
        </w:tc>
        <w:tc>
          <w:tcPr>
            <w:tcW w:w="718" w:type="dxa"/>
            <w:vAlign w:val="center"/>
          </w:tcPr>
          <w:p w14:paraId="4A157964">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45</w:t>
            </w:r>
          </w:p>
        </w:tc>
        <w:tc>
          <w:tcPr>
            <w:tcW w:w="853" w:type="dxa"/>
            <w:vAlign w:val="center"/>
          </w:tcPr>
          <w:p w14:paraId="6035DDE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个</w:t>
            </w:r>
          </w:p>
        </w:tc>
        <w:tc>
          <w:tcPr>
            <w:tcW w:w="838" w:type="dxa"/>
            <w:vMerge w:val="continue"/>
            <w:vAlign w:val="center"/>
          </w:tcPr>
          <w:p w14:paraId="69CC65E2">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31155050">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197495AD">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三维动画总量不少于45个。</w:t>
            </w:r>
          </w:p>
        </w:tc>
      </w:tr>
      <w:tr w14:paraId="2FD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548" w:type="dxa"/>
            <w:vMerge w:val="continue"/>
            <w:vAlign w:val="center"/>
          </w:tcPr>
          <w:p w14:paraId="7B50BF2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68ECEE1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08500319">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虚仿建设</w:t>
            </w:r>
          </w:p>
        </w:tc>
        <w:tc>
          <w:tcPr>
            <w:tcW w:w="718" w:type="dxa"/>
            <w:vAlign w:val="center"/>
          </w:tcPr>
          <w:p w14:paraId="76907B29">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60</w:t>
            </w:r>
          </w:p>
        </w:tc>
        <w:tc>
          <w:tcPr>
            <w:tcW w:w="853" w:type="dxa"/>
            <w:vAlign w:val="center"/>
          </w:tcPr>
          <w:p w14:paraId="53DB75C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个</w:t>
            </w:r>
          </w:p>
        </w:tc>
        <w:tc>
          <w:tcPr>
            <w:tcW w:w="838" w:type="dxa"/>
            <w:vMerge w:val="continue"/>
            <w:vAlign w:val="center"/>
          </w:tcPr>
          <w:p w14:paraId="4757323C">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680AADC9">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3D118D41">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根据教材情况有选择性进行建设，合计不少于60个轻虚仿资源。</w:t>
            </w:r>
          </w:p>
        </w:tc>
      </w:tr>
      <w:tr w14:paraId="7649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Merge w:val="continue"/>
            <w:vAlign w:val="center"/>
          </w:tcPr>
          <w:p w14:paraId="61F29031">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18BA4AA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6E28AC29">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个性化游戏定制及版面优化设计</w:t>
            </w:r>
          </w:p>
        </w:tc>
        <w:tc>
          <w:tcPr>
            <w:tcW w:w="718" w:type="dxa"/>
            <w:vAlign w:val="center"/>
          </w:tcPr>
          <w:p w14:paraId="597AF318">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p>
        </w:tc>
        <w:tc>
          <w:tcPr>
            <w:tcW w:w="853" w:type="dxa"/>
            <w:vAlign w:val="center"/>
          </w:tcPr>
          <w:p w14:paraId="7D9583E5">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套</w:t>
            </w:r>
          </w:p>
        </w:tc>
        <w:tc>
          <w:tcPr>
            <w:tcW w:w="838" w:type="dxa"/>
            <w:vMerge w:val="continue"/>
            <w:vAlign w:val="center"/>
          </w:tcPr>
          <w:p w14:paraId="0FFC5498">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4C2EAD98">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50F9712A">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其中，每本教材不少于20个交互测试</w:t>
            </w:r>
          </w:p>
        </w:tc>
      </w:tr>
      <w:tr w14:paraId="4367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48" w:type="dxa"/>
            <w:vMerge w:val="continue"/>
            <w:vAlign w:val="center"/>
          </w:tcPr>
          <w:p w14:paraId="1450E06D">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2DB8167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091E83A5">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AI训练</w:t>
            </w:r>
          </w:p>
        </w:tc>
        <w:tc>
          <w:tcPr>
            <w:tcW w:w="718" w:type="dxa"/>
            <w:vAlign w:val="center"/>
          </w:tcPr>
          <w:p w14:paraId="524EF73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p>
        </w:tc>
        <w:tc>
          <w:tcPr>
            <w:tcW w:w="853" w:type="dxa"/>
            <w:vAlign w:val="center"/>
          </w:tcPr>
          <w:p w14:paraId="07245E67">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套</w:t>
            </w:r>
          </w:p>
        </w:tc>
        <w:tc>
          <w:tcPr>
            <w:tcW w:w="838" w:type="dxa"/>
            <w:vMerge w:val="continue"/>
            <w:vAlign w:val="center"/>
          </w:tcPr>
          <w:p w14:paraId="59A2C9AF">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630B9AF7">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322AECC1">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每本教材1套</w:t>
            </w:r>
          </w:p>
        </w:tc>
      </w:tr>
      <w:tr w14:paraId="748D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548" w:type="dxa"/>
            <w:vMerge w:val="continue"/>
            <w:vAlign w:val="center"/>
          </w:tcPr>
          <w:p w14:paraId="3588798A">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p>
        </w:tc>
        <w:tc>
          <w:tcPr>
            <w:tcW w:w="1073" w:type="dxa"/>
            <w:vMerge w:val="continue"/>
            <w:vAlign w:val="center"/>
          </w:tcPr>
          <w:p w14:paraId="5447777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p>
        </w:tc>
        <w:tc>
          <w:tcPr>
            <w:tcW w:w="1703" w:type="dxa"/>
            <w:vAlign w:val="center"/>
          </w:tcPr>
          <w:p w14:paraId="6C51E19D">
            <w:pPr>
              <w:keepNext w:val="0"/>
              <w:keepLines w:val="0"/>
              <w:pageBreakBefore w:val="0"/>
              <w:widowControl w:val="0"/>
              <w:kinsoku/>
              <w:wordWrap/>
              <w:overflowPunct/>
              <w:topLinePunct w:val="0"/>
              <w:autoSpaceDE/>
              <w:autoSpaceDN/>
              <w:bidi w:val="0"/>
              <w:adjustRightInd/>
              <w:snapToGrid/>
              <w:spacing w:after="0" w:line="30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教材出版</w:t>
            </w:r>
          </w:p>
        </w:tc>
        <w:tc>
          <w:tcPr>
            <w:tcW w:w="718" w:type="dxa"/>
            <w:vAlign w:val="center"/>
          </w:tcPr>
          <w:p w14:paraId="4BAF64C0">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p>
        </w:tc>
        <w:tc>
          <w:tcPr>
            <w:tcW w:w="853" w:type="dxa"/>
            <w:vAlign w:val="center"/>
          </w:tcPr>
          <w:p w14:paraId="68E2AFEE">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本</w:t>
            </w:r>
          </w:p>
        </w:tc>
        <w:tc>
          <w:tcPr>
            <w:tcW w:w="838" w:type="dxa"/>
            <w:vMerge w:val="continue"/>
            <w:vAlign w:val="center"/>
          </w:tcPr>
          <w:p w14:paraId="5B45E847">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883" w:type="dxa"/>
            <w:vMerge w:val="continue"/>
            <w:vAlign w:val="center"/>
          </w:tcPr>
          <w:p w14:paraId="3CB1B5E3">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68BAB4CF">
            <w:pPr>
              <w:keepNext w:val="0"/>
              <w:keepLines w:val="0"/>
              <w:pageBreakBefore w:val="0"/>
              <w:widowControl w:val="0"/>
              <w:kinsoku/>
              <w:wordWrap/>
              <w:overflowPunct/>
              <w:topLinePunct w:val="0"/>
              <w:autoSpaceDE/>
              <w:autoSpaceDN/>
              <w:bidi w:val="0"/>
              <w:adjustRightInd/>
              <w:snapToGrid/>
              <w:spacing w:after="0" w:line="300" w:lineRule="exact"/>
              <w:jc w:val="both"/>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每本教材独立ISBN书号，并在采购人制定出版社出版。</w:t>
            </w:r>
          </w:p>
        </w:tc>
      </w:tr>
      <w:tr w14:paraId="55BF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48" w:type="dxa"/>
            <w:vAlign w:val="center"/>
          </w:tcPr>
          <w:p w14:paraId="49C01C8F">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2776" w:type="dxa"/>
            <w:gridSpan w:val="2"/>
            <w:vAlign w:val="center"/>
          </w:tcPr>
          <w:p w14:paraId="53E08ABB">
            <w:pPr>
              <w:keepNext w:val="0"/>
              <w:keepLines w:val="0"/>
              <w:pageBreakBefore w:val="0"/>
              <w:widowControl w:val="0"/>
              <w:kinsoku/>
              <w:wordWrap/>
              <w:overflowPunct/>
              <w:topLinePunct w:val="0"/>
              <w:autoSpaceDE/>
              <w:autoSpaceDN/>
              <w:bidi w:val="0"/>
              <w:adjustRightInd/>
              <w:snapToGrid/>
              <w:spacing w:after="0" w:line="30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合计</w:t>
            </w:r>
          </w:p>
        </w:tc>
        <w:tc>
          <w:tcPr>
            <w:tcW w:w="3292" w:type="dxa"/>
            <w:gridSpan w:val="4"/>
            <w:vAlign w:val="center"/>
          </w:tcPr>
          <w:p w14:paraId="15980ACB">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c>
          <w:tcPr>
            <w:tcW w:w="2760" w:type="dxa"/>
            <w:vAlign w:val="center"/>
          </w:tcPr>
          <w:p w14:paraId="5E5221B2">
            <w:pPr>
              <w:keepNext w:val="0"/>
              <w:keepLines w:val="0"/>
              <w:pageBreakBefore w:val="0"/>
              <w:widowControl w:val="0"/>
              <w:kinsoku/>
              <w:wordWrap/>
              <w:overflowPunct/>
              <w:topLinePunct w:val="0"/>
              <w:autoSpaceDE/>
              <w:autoSpaceDN/>
              <w:bidi w:val="0"/>
              <w:adjustRightInd/>
              <w:snapToGrid/>
              <w:spacing w:after="0" w:line="300" w:lineRule="exact"/>
              <w:ind w:firstLine="420" w:firstLineChars="200"/>
              <w:jc w:val="center"/>
              <w:textAlignment w:val="auto"/>
              <w:rPr>
                <w:rFonts w:hint="eastAsia" w:ascii="宋体" w:hAnsi="宋体" w:eastAsia="宋体" w:cs="宋体"/>
                <w:color w:val="auto"/>
                <w:kern w:val="0"/>
                <w:sz w:val="21"/>
                <w:szCs w:val="21"/>
                <w:highlight w:val="none"/>
              </w:rPr>
            </w:pPr>
          </w:p>
        </w:tc>
      </w:tr>
    </w:tbl>
    <w:p w14:paraId="5507E07B">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
          <w:bCs w:val="0"/>
          <w:color w:val="auto"/>
          <w:sz w:val="24"/>
          <w:highlight w:val="none"/>
          <w:lang w:val="zh-CN"/>
        </w:rPr>
      </w:pPr>
      <w:r>
        <w:rPr>
          <w:rFonts w:hint="eastAsia" w:ascii="宋体" w:hAnsi="宋体" w:eastAsia="宋体" w:cs="宋体"/>
          <w:b/>
          <w:bCs w:val="0"/>
          <w:color w:val="auto"/>
          <w:sz w:val="24"/>
          <w:highlight w:val="none"/>
          <w:lang w:val="zh-CN"/>
        </w:rPr>
        <w:t>注：本表各分项报价合计应当与投标报价总表报价合计相等。请各供应商务必按照以上要求填报，否则作为无效投标处理。</w:t>
      </w:r>
    </w:p>
    <w:p w14:paraId="2FBB6F96">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4622EEDF">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3BFBDB46">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428FD09C">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w:t>
      </w:r>
      <w:r>
        <w:rPr>
          <w:rFonts w:hint="eastAsia" w:ascii="宋体" w:hAnsi="宋体" w:eastAsia="宋体" w:cs="宋体"/>
          <w:bCs/>
          <w:color w:val="auto"/>
          <w:sz w:val="24"/>
          <w:szCs w:val="24"/>
          <w:highlight w:val="none"/>
          <w:lang w:val="en-US" w:eastAsia="zh-CN"/>
        </w:rPr>
        <w:t>①</w:t>
      </w:r>
      <w:r>
        <w:rPr>
          <w:rFonts w:hint="eastAsia" w:ascii="宋体" w:hAnsi="宋体" w:eastAsia="宋体" w:cs="宋体"/>
          <w:bCs/>
          <w:color w:val="auto"/>
          <w:sz w:val="24"/>
          <w:szCs w:val="24"/>
          <w:highlight w:val="none"/>
        </w:rPr>
        <w:t>如果按单价计算的结果与总价不一致，以单价为准，修正总价。</w:t>
      </w:r>
    </w:p>
    <w:p w14:paraId="28DDC28C">
      <w:pPr>
        <w:numPr>
          <w:ilvl w:val="0"/>
          <w:numId w:val="0"/>
        </w:numPr>
        <w:spacing w:line="360" w:lineRule="auto"/>
        <w:ind w:firstLine="480" w:firstLineChars="0"/>
        <w:rPr>
          <w:rFonts w:hint="eastAsia" w:ascii="宋体" w:hAnsi="宋体" w:eastAsia="宋体" w:cs="宋体"/>
          <w:b/>
          <w:bCs/>
          <w:color w:val="auto"/>
          <w:sz w:val="28"/>
          <w:szCs w:val="28"/>
          <w:highlight w:val="none"/>
          <w:lang w:val="en-US" w:eastAsia="zh-CN"/>
        </w:rPr>
      </w:pPr>
      <w:r>
        <w:rPr>
          <w:rFonts w:hint="eastAsia" w:ascii="宋体" w:hAnsi="宋体" w:eastAsia="宋体" w:cs="宋体"/>
          <w:bCs/>
          <w:color w:val="auto"/>
          <w:sz w:val="24"/>
          <w:szCs w:val="24"/>
          <w:highlight w:val="none"/>
          <w:lang w:val="en-US" w:eastAsia="zh-CN"/>
        </w:rPr>
        <w:t>②</w:t>
      </w:r>
      <w:r>
        <w:rPr>
          <w:rFonts w:hint="eastAsia" w:ascii="宋体" w:hAnsi="宋体" w:eastAsia="宋体" w:cs="宋体"/>
          <w:bCs/>
          <w:color w:val="auto"/>
          <w:sz w:val="24"/>
          <w:szCs w:val="24"/>
          <w:highlight w:val="none"/>
        </w:rPr>
        <w:t>如果不提供详细分项报价将视为未实质性响应招标文件。</w:t>
      </w:r>
      <w:r>
        <w:rPr>
          <w:rFonts w:hint="eastAsia" w:ascii="宋体" w:hAnsi="宋体" w:eastAsia="宋体" w:cs="宋体"/>
          <w:bCs/>
          <w:color w:val="auto"/>
          <w:sz w:val="24"/>
          <w:szCs w:val="24"/>
          <w:highlight w:val="none"/>
          <w:lang w:val="en-US" w:eastAsia="zh-CN"/>
        </w:rPr>
        <w:br w:type="page"/>
      </w:r>
    </w:p>
    <w:p w14:paraId="21AA8297">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3：</w:t>
      </w:r>
    </w:p>
    <w:p w14:paraId="244B7942">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供应商信用承诺书</w:t>
      </w:r>
    </w:p>
    <w:p w14:paraId="165C335F">
      <w:pPr>
        <w:spacing w:line="360" w:lineRule="auto"/>
        <w:ind w:firstLine="480"/>
        <w:rPr>
          <w:rFonts w:hint="eastAsia" w:ascii="宋体" w:hAnsi="宋体" w:eastAsia="宋体" w:cs="宋体"/>
          <w:color w:val="auto"/>
          <w:sz w:val="24"/>
          <w:szCs w:val="21"/>
          <w:highlight w:val="none"/>
          <w:lang w:val="zh-CN"/>
        </w:rPr>
      </w:pPr>
    </w:p>
    <w:p w14:paraId="34ECD563">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为营造公开、公平、公正的公共资源交易环境，树立诚信守法的投标人形象，本人代表本单位作出以下承诺：</w:t>
      </w:r>
    </w:p>
    <w:p w14:paraId="3BA68C11">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一、本单位对所提交的单位基本信息、单位负责人、项目负责人、技术负责人、从业资质和资格、业绩、财务状况、信誉等所有资料，均合法、真实、准确、有效，无任何伪造、修改、虚假成分；</w:t>
      </w:r>
    </w:p>
    <w:p w14:paraId="29D2D82B">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二、严格依照国家和省、市、县关于招标投标等方面的法律、法规、规章、规范性文件，参加公共资源交易招标投标活动；积极履行社会责任，促进廉政建设；</w:t>
      </w:r>
    </w:p>
    <w:p w14:paraId="70A7F379">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三、严格遵守即时信息公示规定，及时更新公共资源交易中心主体信息库中信息；</w:t>
      </w:r>
    </w:p>
    <w:p w14:paraId="63694308">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四、自我约束、自我管理，守合同、重信用，不参与围标串标、弄虚作假、骗取中标、干扰评标、违约毁约、恶意投诉等行为，主动维护公共资源交易招标投标的良好秩序；</w:t>
      </w:r>
    </w:p>
    <w:p w14:paraId="692DF378">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五、本单位自愿接受招标投标有关行政监督部门的依法检查。如发生违法违规或不良行为或存在其他法律法规对招标投标行为予以限制的情形，自愿接受招标投标有关行政监督部门依法给予的行政处罚（处理），并依法承担相应的法律责任；</w:t>
      </w:r>
    </w:p>
    <w:p w14:paraId="770FDAA6">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六、自觉接受政府部门、行业组织、社会公众、新闻舆论等监督；</w:t>
      </w:r>
    </w:p>
    <w:p w14:paraId="2DA82141">
      <w:pPr>
        <w:spacing w:line="360" w:lineRule="auto"/>
        <w:ind w:firstLine="480"/>
        <w:rPr>
          <w:rFonts w:hint="eastAsia"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lang w:val="zh-CN"/>
        </w:rPr>
        <w:t>七、上述承诺已向本单位员工作了宣传教育；</w:t>
      </w:r>
    </w:p>
    <w:p w14:paraId="50FD78E0">
      <w:pPr>
        <w:spacing w:line="360" w:lineRule="auto"/>
        <w:ind w:firstLine="480"/>
        <w:rPr>
          <w:rFonts w:hint="eastAsia" w:ascii="宋体" w:hAnsi="宋体" w:eastAsia="宋体" w:cs="宋体"/>
          <w:color w:val="auto"/>
          <w:sz w:val="24"/>
          <w:szCs w:val="21"/>
          <w:highlight w:val="none"/>
          <w:lang w:eastAsia="zh-CN"/>
        </w:rPr>
      </w:pPr>
      <w:r>
        <w:rPr>
          <w:rFonts w:hint="eastAsia" w:ascii="宋体" w:hAnsi="宋体" w:eastAsia="宋体" w:cs="宋体"/>
          <w:b/>
          <w:bCs/>
          <w:color w:val="auto"/>
          <w:sz w:val="24"/>
          <w:szCs w:val="21"/>
          <w:highlight w:val="none"/>
          <w:lang w:val="zh-CN"/>
        </w:rPr>
        <w:t>如有违反上述承诺的不良行为，本单位同意将其予以上网公示。</w:t>
      </w:r>
    </w:p>
    <w:p w14:paraId="70946FA1">
      <w:pPr>
        <w:keepNext w:val="0"/>
        <w:keepLines w:val="0"/>
        <w:pageBreakBefore w:val="0"/>
        <w:widowControl w:val="0"/>
        <w:kinsoku/>
        <w:wordWrap/>
        <w:overflowPunct/>
        <w:topLinePunct w:val="0"/>
        <w:autoSpaceDE/>
        <w:autoSpaceDN/>
        <w:bidi w:val="0"/>
        <w:adjustRightInd/>
        <w:snapToGrid w:val="0"/>
        <w:spacing w:line="360" w:lineRule="auto"/>
        <w:jc w:val="both"/>
        <w:textAlignment w:val="auto"/>
        <w:outlineLvl w:val="4"/>
        <w:rPr>
          <w:rFonts w:hint="eastAsia" w:ascii="宋体" w:hAnsi="宋体" w:eastAsia="宋体" w:cs="宋体"/>
          <w:bCs/>
          <w:color w:val="auto"/>
          <w:sz w:val="24"/>
          <w:highlight w:val="none"/>
          <w:lang w:eastAsia="zh-CN"/>
        </w:rPr>
      </w:pPr>
    </w:p>
    <w:p w14:paraId="4B09F37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12A85432">
      <w:pPr>
        <w:spacing w:line="360" w:lineRule="auto"/>
        <w:ind w:firstLine="566"/>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41E53A25">
      <w:pPr>
        <w:keepNext w:val="0"/>
        <w:keepLines w:val="0"/>
        <w:pageBreakBefore w:val="0"/>
        <w:widowControl w:val="0"/>
        <w:kinsoku/>
        <w:wordWrap/>
        <w:overflowPunct/>
        <w:topLinePunct w:val="0"/>
        <w:autoSpaceDE/>
        <w:autoSpaceDN/>
        <w:bidi w:val="0"/>
        <w:adjustRightInd/>
        <w:snapToGrid w:val="0"/>
        <w:spacing w:line="360" w:lineRule="auto"/>
        <w:ind w:firstLine="2880" w:firstLineChars="1200"/>
        <w:jc w:val="both"/>
        <w:textAlignment w:val="auto"/>
        <w:outlineLvl w:val="4"/>
        <w:rPr>
          <w:rFonts w:hint="eastAsia" w:ascii="宋体" w:hAnsi="宋体" w:eastAsia="宋体" w:cs="宋体"/>
          <w:color w:val="auto"/>
          <w:sz w:val="24"/>
          <w:szCs w:val="24"/>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79B78F5C">
      <w:pPr>
        <w:rPr>
          <w:rFonts w:hint="eastAsia" w:ascii="宋体" w:hAnsi="宋体" w:eastAsia="宋体" w:cs="宋体"/>
          <w:b/>
          <w:bCs/>
          <w:color w:val="auto"/>
          <w:sz w:val="28"/>
          <w:szCs w:val="28"/>
          <w:highlight w:val="none"/>
          <w:lang w:val="en-US" w:eastAsia="zh-CN"/>
        </w:rPr>
      </w:pPr>
    </w:p>
    <w:p w14:paraId="250E427E">
      <w:pP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br w:type="page"/>
      </w:r>
    </w:p>
    <w:p w14:paraId="71147CF2">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4：</w:t>
      </w:r>
    </w:p>
    <w:p w14:paraId="43A8DA36">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供应商情况表</w:t>
      </w:r>
    </w:p>
    <w:tbl>
      <w:tblPr>
        <w:tblStyle w:val="7"/>
        <w:tblW w:w="9464" w:type="dxa"/>
        <w:jc w:val="center"/>
        <w:tblLayout w:type="fixed"/>
        <w:tblCellMar>
          <w:top w:w="0" w:type="dxa"/>
          <w:left w:w="108" w:type="dxa"/>
          <w:bottom w:w="0" w:type="dxa"/>
          <w:right w:w="108" w:type="dxa"/>
        </w:tblCellMar>
      </w:tblPr>
      <w:tblGrid>
        <w:gridCol w:w="2235"/>
        <w:gridCol w:w="708"/>
        <w:gridCol w:w="851"/>
        <w:gridCol w:w="849"/>
        <w:gridCol w:w="568"/>
        <w:gridCol w:w="1307"/>
        <w:gridCol w:w="159"/>
        <w:gridCol w:w="1320"/>
        <w:gridCol w:w="1467"/>
      </w:tblGrid>
      <w:tr w14:paraId="539FE3D8">
        <w:tblPrEx>
          <w:tblCellMar>
            <w:top w:w="0" w:type="dxa"/>
            <w:left w:w="108" w:type="dxa"/>
            <w:bottom w:w="0" w:type="dxa"/>
            <w:right w:w="108" w:type="dxa"/>
          </w:tblCellMar>
        </w:tblPrEx>
        <w:trPr>
          <w:cantSplit/>
          <w:trHeight w:val="286" w:hRule="atLeas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3B28C4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w:t>
            </w:r>
          </w:p>
        </w:tc>
        <w:tc>
          <w:tcPr>
            <w:tcW w:w="7229" w:type="dxa"/>
            <w:gridSpan w:val="8"/>
            <w:tcBorders>
              <w:top w:val="single" w:color="000000" w:sz="4" w:space="0"/>
              <w:left w:val="nil"/>
              <w:bottom w:val="single" w:color="000000" w:sz="4" w:space="0"/>
              <w:right w:val="single" w:color="000000" w:sz="4" w:space="0"/>
            </w:tcBorders>
            <w:noWrap w:val="0"/>
            <w:vAlign w:val="top"/>
          </w:tcPr>
          <w:p w14:paraId="5FF223AB">
            <w:pPr>
              <w:spacing w:line="360" w:lineRule="auto"/>
              <w:rPr>
                <w:rFonts w:hint="eastAsia" w:ascii="宋体" w:hAnsi="宋体" w:eastAsia="宋体" w:cs="宋体"/>
                <w:color w:val="auto"/>
                <w:sz w:val="24"/>
                <w:szCs w:val="24"/>
                <w:highlight w:val="none"/>
              </w:rPr>
            </w:pPr>
          </w:p>
        </w:tc>
      </w:tr>
      <w:tr w14:paraId="0FE4966B">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E42F98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总部地址</w:t>
            </w:r>
          </w:p>
        </w:tc>
        <w:tc>
          <w:tcPr>
            <w:tcW w:w="7229" w:type="dxa"/>
            <w:gridSpan w:val="8"/>
            <w:tcBorders>
              <w:top w:val="single" w:color="000000" w:sz="4" w:space="0"/>
              <w:left w:val="nil"/>
              <w:bottom w:val="single" w:color="000000" w:sz="4" w:space="0"/>
              <w:right w:val="single" w:color="000000" w:sz="4" w:space="0"/>
            </w:tcBorders>
            <w:noWrap w:val="0"/>
            <w:vAlign w:val="top"/>
          </w:tcPr>
          <w:p w14:paraId="125A0A59">
            <w:pPr>
              <w:spacing w:line="360" w:lineRule="auto"/>
              <w:rPr>
                <w:rFonts w:hint="eastAsia" w:ascii="宋体" w:hAnsi="宋体" w:eastAsia="宋体" w:cs="宋体"/>
                <w:color w:val="auto"/>
                <w:sz w:val="24"/>
                <w:szCs w:val="24"/>
                <w:highlight w:val="none"/>
              </w:rPr>
            </w:pPr>
          </w:p>
        </w:tc>
      </w:tr>
      <w:tr w14:paraId="3816C258">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C103F7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分支机构</w:t>
            </w:r>
          </w:p>
        </w:tc>
        <w:tc>
          <w:tcPr>
            <w:tcW w:w="7229" w:type="dxa"/>
            <w:gridSpan w:val="8"/>
            <w:tcBorders>
              <w:top w:val="single" w:color="000000" w:sz="4" w:space="0"/>
              <w:left w:val="nil"/>
              <w:bottom w:val="single" w:color="000000" w:sz="4" w:space="0"/>
              <w:right w:val="single" w:color="000000" w:sz="4" w:space="0"/>
            </w:tcBorders>
            <w:noWrap w:val="0"/>
            <w:vAlign w:val="top"/>
          </w:tcPr>
          <w:p w14:paraId="68B5E4CF">
            <w:pPr>
              <w:spacing w:line="360" w:lineRule="auto"/>
              <w:rPr>
                <w:rFonts w:hint="eastAsia" w:ascii="宋体" w:hAnsi="宋体" w:eastAsia="宋体" w:cs="宋体"/>
                <w:color w:val="auto"/>
                <w:sz w:val="24"/>
                <w:szCs w:val="24"/>
                <w:highlight w:val="none"/>
              </w:rPr>
            </w:pPr>
          </w:p>
        </w:tc>
      </w:tr>
      <w:tr w14:paraId="13100CA9">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74CEE07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当地代表处地址</w:t>
            </w:r>
          </w:p>
        </w:tc>
        <w:tc>
          <w:tcPr>
            <w:tcW w:w="7229" w:type="dxa"/>
            <w:gridSpan w:val="8"/>
            <w:tcBorders>
              <w:top w:val="single" w:color="000000" w:sz="4" w:space="0"/>
              <w:left w:val="nil"/>
              <w:bottom w:val="single" w:color="000000" w:sz="4" w:space="0"/>
              <w:right w:val="single" w:color="000000" w:sz="4" w:space="0"/>
            </w:tcBorders>
            <w:noWrap w:val="0"/>
            <w:vAlign w:val="top"/>
          </w:tcPr>
          <w:p w14:paraId="3D9665F3">
            <w:pPr>
              <w:spacing w:line="360" w:lineRule="auto"/>
              <w:rPr>
                <w:rFonts w:hint="eastAsia" w:ascii="宋体" w:hAnsi="宋体" w:eastAsia="宋体" w:cs="宋体"/>
                <w:color w:val="auto"/>
                <w:sz w:val="24"/>
                <w:szCs w:val="24"/>
                <w:highlight w:val="none"/>
              </w:rPr>
            </w:pPr>
          </w:p>
        </w:tc>
      </w:tr>
      <w:tr w14:paraId="3E20EA4D">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1339D62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c>
          <w:tcPr>
            <w:tcW w:w="2408" w:type="dxa"/>
            <w:gridSpan w:val="3"/>
            <w:tcBorders>
              <w:top w:val="single" w:color="000000" w:sz="4" w:space="0"/>
              <w:left w:val="nil"/>
              <w:bottom w:val="single" w:color="000000" w:sz="4" w:space="0"/>
              <w:right w:val="single" w:color="000000" w:sz="4" w:space="0"/>
            </w:tcBorders>
            <w:noWrap w:val="0"/>
            <w:vAlign w:val="top"/>
          </w:tcPr>
          <w:p w14:paraId="099B8F7A">
            <w:pPr>
              <w:spacing w:line="360" w:lineRule="auto"/>
              <w:rPr>
                <w:rFonts w:hint="eastAsia" w:ascii="宋体" w:hAnsi="宋体" w:eastAsia="宋体" w:cs="宋体"/>
                <w:color w:val="auto"/>
                <w:sz w:val="24"/>
                <w:szCs w:val="24"/>
                <w:highlight w:val="none"/>
              </w:rPr>
            </w:pPr>
          </w:p>
        </w:tc>
        <w:tc>
          <w:tcPr>
            <w:tcW w:w="1875" w:type="dxa"/>
            <w:gridSpan w:val="2"/>
            <w:tcBorders>
              <w:top w:val="single" w:color="000000" w:sz="4" w:space="0"/>
              <w:left w:val="nil"/>
              <w:bottom w:val="single" w:color="000000" w:sz="4" w:space="0"/>
              <w:right w:val="single" w:color="000000" w:sz="4" w:space="0"/>
            </w:tcBorders>
            <w:noWrap w:val="0"/>
            <w:vAlign w:val="top"/>
          </w:tcPr>
          <w:p w14:paraId="34EDA6D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2946" w:type="dxa"/>
            <w:gridSpan w:val="3"/>
            <w:tcBorders>
              <w:top w:val="single" w:color="000000" w:sz="4" w:space="0"/>
              <w:left w:val="nil"/>
              <w:bottom w:val="single" w:color="000000" w:sz="4" w:space="0"/>
              <w:right w:val="single" w:color="000000" w:sz="4" w:space="0"/>
            </w:tcBorders>
            <w:noWrap w:val="0"/>
            <w:vAlign w:val="top"/>
          </w:tcPr>
          <w:p w14:paraId="1619DDF4">
            <w:pPr>
              <w:spacing w:line="360" w:lineRule="auto"/>
              <w:rPr>
                <w:rFonts w:hint="eastAsia" w:ascii="宋体" w:hAnsi="宋体" w:eastAsia="宋体" w:cs="宋体"/>
                <w:color w:val="auto"/>
                <w:sz w:val="24"/>
                <w:szCs w:val="24"/>
                <w:highlight w:val="none"/>
              </w:rPr>
            </w:pPr>
          </w:p>
        </w:tc>
      </w:tr>
      <w:tr w14:paraId="1FFB80D3">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6A50EEE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tc>
        <w:tc>
          <w:tcPr>
            <w:tcW w:w="2408" w:type="dxa"/>
            <w:gridSpan w:val="3"/>
            <w:tcBorders>
              <w:top w:val="single" w:color="000000" w:sz="4" w:space="0"/>
              <w:left w:val="nil"/>
              <w:bottom w:val="single" w:color="000000" w:sz="4" w:space="0"/>
              <w:right w:val="single" w:color="000000" w:sz="4" w:space="0"/>
            </w:tcBorders>
            <w:noWrap w:val="0"/>
            <w:vAlign w:val="top"/>
          </w:tcPr>
          <w:p w14:paraId="59FAD209">
            <w:pPr>
              <w:spacing w:line="360" w:lineRule="auto"/>
              <w:rPr>
                <w:rFonts w:hint="eastAsia" w:ascii="宋体" w:hAnsi="宋体" w:eastAsia="宋体" w:cs="宋体"/>
                <w:color w:val="auto"/>
                <w:sz w:val="24"/>
                <w:szCs w:val="24"/>
                <w:highlight w:val="none"/>
              </w:rPr>
            </w:pPr>
          </w:p>
        </w:tc>
        <w:tc>
          <w:tcPr>
            <w:tcW w:w="1875" w:type="dxa"/>
            <w:gridSpan w:val="2"/>
            <w:tcBorders>
              <w:top w:val="single" w:color="000000" w:sz="4" w:space="0"/>
              <w:left w:val="nil"/>
              <w:bottom w:val="single" w:color="000000" w:sz="4" w:space="0"/>
              <w:right w:val="single" w:color="000000" w:sz="4" w:space="0"/>
            </w:tcBorders>
            <w:noWrap w:val="0"/>
            <w:vAlign w:val="top"/>
          </w:tcPr>
          <w:p w14:paraId="73EB8A3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电子邮件</w:t>
            </w:r>
          </w:p>
        </w:tc>
        <w:tc>
          <w:tcPr>
            <w:tcW w:w="2946" w:type="dxa"/>
            <w:gridSpan w:val="3"/>
            <w:tcBorders>
              <w:top w:val="single" w:color="000000" w:sz="4" w:space="0"/>
              <w:left w:val="nil"/>
              <w:bottom w:val="single" w:color="000000" w:sz="4" w:space="0"/>
              <w:right w:val="single" w:color="000000" w:sz="4" w:space="0"/>
            </w:tcBorders>
            <w:noWrap w:val="0"/>
            <w:vAlign w:val="top"/>
          </w:tcPr>
          <w:p w14:paraId="4EA4A8D4">
            <w:pPr>
              <w:spacing w:line="360" w:lineRule="auto"/>
              <w:rPr>
                <w:rFonts w:hint="eastAsia" w:ascii="宋体" w:hAnsi="宋体" w:eastAsia="宋体" w:cs="宋体"/>
                <w:color w:val="auto"/>
                <w:sz w:val="24"/>
                <w:szCs w:val="24"/>
                <w:highlight w:val="none"/>
              </w:rPr>
            </w:pPr>
          </w:p>
        </w:tc>
      </w:tr>
      <w:tr w14:paraId="48C3A8C1">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7DA15AE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w:t>
            </w:r>
          </w:p>
        </w:tc>
        <w:tc>
          <w:tcPr>
            <w:tcW w:w="2408" w:type="dxa"/>
            <w:gridSpan w:val="3"/>
            <w:tcBorders>
              <w:top w:val="single" w:color="000000" w:sz="4" w:space="0"/>
              <w:left w:val="nil"/>
              <w:bottom w:val="single" w:color="000000" w:sz="4" w:space="0"/>
              <w:right w:val="single" w:color="000000" w:sz="4" w:space="0"/>
            </w:tcBorders>
            <w:noWrap w:val="0"/>
            <w:vAlign w:val="top"/>
          </w:tcPr>
          <w:p w14:paraId="369AC5BD">
            <w:pPr>
              <w:spacing w:line="360" w:lineRule="auto"/>
              <w:rPr>
                <w:rFonts w:hint="eastAsia" w:ascii="宋体" w:hAnsi="宋体" w:eastAsia="宋体" w:cs="宋体"/>
                <w:color w:val="auto"/>
                <w:sz w:val="24"/>
                <w:szCs w:val="24"/>
                <w:highlight w:val="none"/>
              </w:rPr>
            </w:pPr>
          </w:p>
        </w:tc>
        <w:tc>
          <w:tcPr>
            <w:tcW w:w="1875" w:type="dxa"/>
            <w:gridSpan w:val="2"/>
            <w:tcBorders>
              <w:top w:val="single" w:color="000000" w:sz="4" w:space="0"/>
              <w:left w:val="nil"/>
              <w:bottom w:val="single" w:color="000000" w:sz="4" w:space="0"/>
              <w:right w:val="single" w:color="000000" w:sz="4" w:space="0"/>
            </w:tcBorders>
            <w:noWrap w:val="0"/>
            <w:vAlign w:val="top"/>
          </w:tcPr>
          <w:p w14:paraId="08E6A9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注册年份</w:t>
            </w:r>
          </w:p>
        </w:tc>
        <w:tc>
          <w:tcPr>
            <w:tcW w:w="2946" w:type="dxa"/>
            <w:gridSpan w:val="3"/>
            <w:tcBorders>
              <w:top w:val="single" w:color="000000" w:sz="4" w:space="0"/>
              <w:left w:val="nil"/>
              <w:bottom w:val="single" w:color="000000" w:sz="4" w:space="0"/>
              <w:right w:val="single" w:color="000000" w:sz="4" w:space="0"/>
            </w:tcBorders>
            <w:noWrap w:val="0"/>
            <w:vAlign w:val="top"/>
          </w:tcPr>
          <w:p w14:paraId="236D7630">
            <w:pPr>
              <w:spacing w:line="360" w:lineRule="auto"/>
              <w:rPr>
                <w:rFonts w:hint="eastAsia" w:ascii="宋体" w:hAnsi="宋体" w:eastAsia="宋体" w:cs="宋体"/>
                <w:color w:val="auto"/>
                <w:sz w:val="24"/>
                <w:szCs w:val="24"/>
                <w:highlight w:val="none"/>
              </w:rPr>
            </w:pPr>
          </w:p>
        </w:tc>
      </w:tr>
      <w:tr w14:paraId="02DAA40A">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5C2A2CC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资质等级</w:t>
            </w:r>
          </w:p>
        </w:tc>
        <w:tc>
          <w:tcPr>
            <w:tcW w:w="7229" w:type="dxa"/>
            <w:gridSpan w:val="8"/>
            <w:tcBorders>
              <w:top w:val="single" w:color="000000" w:sz="4" w:space="0"/>
              <w:left w:val="nil"/>
              <w:bottom w:val="single" w:color="000000" w:sz="4" w:space="0"/>
              <w:right w:val="single" w:color="000000" w:sz="4" w:space="0"/>
            </w:tcBorders>
            <w:noWrap w:val="0"/>
            <w:vAlign w:val="top"/>
          </w:tcPr>
          <w:p w14:paraId="1822C75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公司具备的相关资质等级及相应的证书号</w:t>
            </w:r>
          </w:p>
          <w:p w14:paraId="5CFDAB1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（请附有关证书的复印件）</w:t>
            </w:r>
          </w:p>
        </w:tc>
      </w:tr>
      <w:tr w14:paraId="0B52EEAE">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5098CE9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质量管理体系</w:t>
            </w:r>
          </w:p>
        </w:tc>
        <w:tc>
          <w:tcPr>
            <w:tcW w:w="7229" w:type="dxa"/>
            <w:gridSpan w:val="8"/>
            <w:tcBorders>
              <w:top w:val="single" w:color="000000" w:sz="4" w:space="0"/>
              <w:left w:val="nil"/>
              <w:bottom w:val="single" w:color="000000" w:sz="4" w:space="0"/>
              <w:right w:val="single" w:color="000000" w:sz="4" w:space="0"/>
            </w:tcBorders>
            <w:noWrap w:val="0"/>
            <w:vAlign w:val="top"/>
          </w:tcPr>
          <w:p w14:paraId="48D5C05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w:t>
            </w:r>
            <w:r>
              <w:rPr>
                <w:rFonts w:hint="eastAsia" w:ascii="宋体" w:hAnsi="宋体" w:eastAsia="宋体" w:cs="宋体"/>
                <w:color w:val="auto"/>
                <w:sz w:val="24"/>
                <w:szCs w:val="24"/>
                <w:highlight w:val="none"/>
                <w:u w:val="single"/>
              </w:rPr>
              <w:t xml:space="preserve">   （是否通过，何种）   </w:t>
            </w:r>
            <w:r>
              <w:rPr>
                <w:rFonts w:hint="eastAsia" w:ascii="宋体" w:hAnsi="宋体" w:eastAsia="宋体" w:cs="宋体"/>
                <w:color w:val="auto"/>
                <w:sz w:val="24"/>
                <w:szCs w:val="24"/>
                <w:highlight w:val="none"/>
              </w:rPr>
              <w:t>质量保证体系认证（如通过请附相关在有效期内的证书复印件）</w:t>
            </w:r>
          </w:p>
        </w:tc>
      </w:tr>
      <w:tr w14:paraId="467C1363">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2EBBFFF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1559" w:type="dxa"/>
            <w:gridSpan w:val="2"/>
            <w:tcBorders>
              <w:top w:val="single" w:color="000000" w:sz="4" w:space="0"/>
              <w:left w:val="nil"/>
              <w:bottom w:val="single" w:color="000000" w:sz="4" w:space="0"/>
              <w:right w:val="single" w:color="000000" w:sz="4" w:space="0"/>
            </w:tcBorders>
            <w:noWrap w:val="0"/>
            <w:vAlign w:val="top"/>
          </w:tcPr>
          <w:p w14:paraId="12C91391">
            <w:pPr>
              <w:spacing w:line="360" w:lineRule="auto"/>
              <w:jc w:val="center"/>
              <w:rPr>
                <w:rFonts w:hint="eastAsia" w:ascii="宋体" w:hAnsi="宋体" w:eastAsia="宋体" w:cs="宋体"/>
                <w:color w:val="auto"/>
                <w:sz w:val="24"/>
                <w:szCs w:val="24"/>
                <w:highlight w:val="none"/>
              </w:rPr>
            </w:pPr>
          </w:p>
        </w:tc>
        <w:tc>
          <w:tcPr>
            <w:tcW w:w="1417" w:type="dxa"/>
            <w:gridSpan w:val="2"/>
            <w:tcBorders>
              <w:top w:val="single" w:color="000000" w:sz="4" w:space="0"/>
              <w:left w:val="nil"/>
              <w:bottom w:val="single" w:color="000000" w:sz="4" w:space="0"/>
              <w:right w:val="single" w:color="000000" w:sz="4" w:space="0"/>
            </w:tcBorders>
            <w:noWrap w:val="0"/>
            <w:vAlign w:val="top"/>
          </w:tcPr>
          <w:p w14:paraId="45225F7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466" w:type="dxa"/>
            <w:gridSpan w:val="2"/>
            <w:tcBorders>
              <w:top w:val="single" w:color="000000" w:sz="4" w:space="0"/>
              <w:left w:val="nil"/>
              <w:bottom w:val="single" w:color="000000" w:sz="4" w:space="0"/>
              <w:right w:val="single" w:color="000000" w:sz="4" w:space="0"/>
            </w:tcBorders>
            <w:noWrap w:val="0"/>
            <w:vAlign w:val="top"/>
          </w:tcPr>
          <w:p w14:paraId="44078EB7">
            <w:pPr>
              <w:spacing w:line="360" w:lineRule="auto"/>
              <w:jc w:val="center"/>
              <w:rPr>
                <w:rFonts w:hint="eastAsia" w:ascii="宋体" w:hAnsi="宋体" w:eastAsia="宋体" w:cs="宋体"/>
                <w:color w:val="auto"/>
                <w:sz w:val="24"/>
                <w:szCs w:val="24"/>
                <w:highlight w:val="none"/>
              </w:rPr>
            </w:pPr>
          </w:p>
        </w:tc>
        <w:tc>
          <w:tcPr>
            <w:tcW w:w="1320" w:type="dxa"/>
            <w:tcBorders>
              <w:top w:val="single" w:color="000000" w:sz="4" w:space="0"/>
              <w:left w:val="nil"/>
              <w:bottom w:val="single" w:color="000000" w:sz="4" w:space="0"/>
              <w:right w:val="single" w:color="000000" w:sz="4" w:space="0"/>
            </w:tcBorders>
            <w:noWrap w:val="0"/>
            <w:vAlign w:val="top"/>
          </w:tcPr>
          <w:p w14:paraId="706E58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467" w:type="dxa"/>
            <w:tcBorders>
              <w:top w:val="single" w:color="000000" w:sz="4" w:space="0"/>
              <w:left w:val="nil"/>
              <w:bottom w:val="single" w:color="000000" w:sz="4" w:space="0"/>
              <w:right w:val="single" w:color="000000" w:sz="4" w:space="0"/>
            </w:tcBorders>
            <w:noWrap w:val="0"/>
            <w:vAlign w:val="top"/>
          </w:tcPr>
          <w:p w14:paraId="2A958166">
            <w:pPr>
              <w:spacing w:line="360" w:lineRule="auto"/>
              <w:jc w:val="center"/>
              <w:rPr>
                <w:rFonts w:hint="eastAsia" w:ascii="宋体" w:hAnsi="宋体" w:eastAsia="宋体" w:cs="宋体"/>
                <w:color w:val="auto"/>
                <w:sz w:val="24"/>
                <w:szCs w:val="24"/>
                <w:highlight w:val="none"/>
              </w:rPr>
            </w:pPr>
          </w:p>
        </w:tc>
      </w:tr>
      <w:tr w14:paraId="2051BF6B">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3BDC7B1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职务职称</w:t>
            </w:r>
          </w:p>
        </w:tc>
        <w:tc>
          <w:tcPr>
            <w:tcW w:w="2976" w:type="dxa"/>
            <w:gridSpan w:val="4"/>
            <w:tcBorders>
              <w:top w:val="single" w:color="000000" w:sz="4" w:space="0"/>
              <w:left w:val="nil"/>
              <w:bottom w:val="single" w:color="000000" w:sz="4" w:space="0"/>
              <w:right w:val="single" w:color="000000" w:sz="4" w:space="0"/>
            </w:tcBorders>
            <w:noWrap w:val="0"/>
            <w:vAlign w:val="top"/>
          </w:tcPr>
          <w:p w14:paraId="11229482">
            <w:pPr>
              <w:spacing w:line="360" w:lineRule="auto"/>
              <w:rPr>
                <w:rFonts w:hint="eastAsia" w:ascii="宋体" w:hAnsi="宋体" w:eastAsia="宋体" w:cs="宋体"/>
                <w:color w:val="auto"/>
                <w:sz w:val="24"/>
                <w:szCs w:val="24"/>
                <w:highlight w:val="none"/>
              </w:rPr>
            </w:pPr>
          </w:p>
        </w:tc>
        <w:tc>
          <w:tcPr>
            <w:tcW w:w="1466" w:type="dxa"/>
            <w:gridSpan w:val="2"/>
            <w:tcBorders>
              <w:top w:val="single" w:color="000000" w:sz="4" w:space="0"/>
              <w:left w:val="nil"/>
              <w:bottom w:val="single" w:color="000000" w:sz="4" w:space="0"/>
              <w:right w:val="single" w:color="000000" w:sz="4" w:space="0"/>
            </w:tcBorders>
            <w:noWrap w:val="0"/>
            <w:vAlign w:val="top"/>
          </w:tcPr>
          <w:p w14:paraId="74B6A5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执业资格</w:t>
            </w:r>
          </w:p>
        </w:tc>
        <w:tc>
          <w:tcPr>
            <w:tcW w:w="2787" w:type="dxa"/>
            <w:gridSpan w:val="2"/>
            <w:tcBorders>
              <w:top w:val="single" w:color="000000" w:sz="4" w:space="0"/>
              <w:left w:val="nil"/>
              <w:bottom w:val="single" w:color="000000" w:sz="4" w:space="0"/>
              <w:right w:val="single" w:color="000000" w:sz="4" w:space="0"/>
            </w:tcBorders>
            <w:noWrap w:val="0"/>
            <w:vAlign w:val="top"/>
          </w:tcPr>
          <w:p w14:paraId="795CF0EE">
            <w:pPr>
              <w:spacing w:line="360" w:lineRule="auto"/>
              <w:rPr>
                <w:rFonts w:hint="eastAsia" w:ascii="宋体" w:hAnsi="宋体" w:eastAsia="宋体" w:cs="宋体"/>
                <w:color w:val="auto"/>
                <w:sz w:val="24"/>
                <w:szCs w:val="24"/>
                <w:highlight w:val="none"/>
              </w:rPr>
            </w:pPr>
          </w:p>
        </w:tc>
      </w:tr>
      <w:tr w14:paraId="52BA9638">
        <w:tblPrEx>
          <w:tblCellMar>
            <w:top w:w="0" w:type="dxa"/>
            <w:left w:w="108" w:type="dxa"/>
            <w:bottom w:w="0" w:type="dxa"/>
            <w:right w:w="108" w:type="dxa"/>
          </w:tblCellMar>
        </w:tblPrEx>
        <w:trPr>
          <w:cantSplit/>
          <w:trHeight w:val="2234" w:hRule="atLeast"/>
          <w:jc w:val="center"/>
        </w:trPr>
        <w:tc>
          <w:tcPr>
            <w:tcW w:w="2235" w:type="dxa"/>
            <w:tcBorders>
              <w:top w:val="single" w:color="000000" w:sz="4" w:space="0"/>
              <w:left w:val="single" w:color="000000" w:sz="4" w:space="0"/>
              <w:bottom w:val="single" w:color="000000" w:sz="4" w:space="0"/>
              <w:right w:val="single" w:color="000000" w:sz="4" w:space="0"/>
            </w:tcBorders>
            <w:noWrap w:val="0"/>
            <w:vAlign w:val="center"/>
          </w:tcPr>
          <w:p w14:paraId="04F815E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229" w:type="dxa"/>
            <w:gridSpan w:val="8"/>
            <w:tcBorders>
              <w:top w:val="single" w:color="000000" w:sz="4" w:space="0"/>
              <w:left w:val="nil"/>
              <w:bottom w:val="single" w:color="000000" w:sz="4" w:space="0"/>
              <w:right w:val="single" w:color="000000" w:sz="4" w:space="0"/>
            </w:tcBorders>
            <w:noWrap w:val="0"/>
            <w:vAlign w:val="top"/>
          </w:tcPr>
          <w:p w14:paraId="6B9E2C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营业执照载明：</w:t>
            </w:r>
          </w:p>
          <w:p w14:paraId="43AA675B">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p>
          <w:p w14:paraId="52DEFCBD">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 xml:space="preserve">                                               </w:t>
            </w:r>
          </w:p>
          <w:p w14:paraId="50EED9D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r w14:paraId="6242C79D">
        <w:tblPrEx>
          <w:tblCellMar>
            <w:top w:w="0" w:type="dxa"/>
            <w:left w:w="108" w:type="dxa"/>
            <w:bottom w:w="0" w:type="dxa"/>
            <w:right w:w="108" w:type="dxa"/>
          </w:tblCellMar>
        </w:tblPrEx>
        <w:trPr>
          <w:trHeight w:val="471" w:hRule="atLeast"/>
          <w:jc w:val="center"/>
        </w:trPr>
        <w:tc>
          <w:tcPr>
            <w:tcW w:w="2943" w:type="dxa"/>
            <w:gridSpan w:val="2"/>
            <w:tcBorders>
              <w:top w:val="single" w:color="000000" w:sz="4" w:space="0"/>
              <w:left w:val="single" w:color="000000" w:sz="4" w:space="0"/>
              <w:bottom w:val="single" w:color="000000" w:sz="4" w:space="0"/>
              <w:right w:val="single" w:color="000000" w:sz="4" w:space="0"/>
            </w:tcBorders>
            <w:noWrap w:val="0"/>
            <w:vAlign w:val="center"/>
          </w:tcPr>
          <w:p w14:paraId="4F907C7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从事类似相关项目的经历及年数</w:t>
            </w:r>
          </w:p>
        </w:tc>
        <w:tc>
          <w:tcPr>
            <w:tcW w:w="6521" w:type="dxa"/>
            <w:gridSpan w:val="7"/>
            <w:tcBorders>
              <w:top w:val="single" w:color="000000" w:sz="4" w:space="0"/>
              <w:left w:val="nil"/>
              <w:bottom w:val="single" w:color="000000" w:sz="4" w:space="0"/>
              <w:right w:val="single" w:color="000000" w:sz="4" w:space="0"/>
            </w:tcBorders>
            <w:noWrap w:val="0"/>
            <w:vAlign w:val="top"/>
          </w:tcPr>
          <w:p w14:paraId="1C780F29">
            <w:pPr>
              <w:spacing w:line="360" w:lineRule="auto"/>
              <w:rPr>
                <w:rFonts w:hint="eastAsia" w:ascii="宋体" w:hAnsi="宋体" w:eastAsia="宋体" w:cs="宋体"/>
                <w:color w:val="auto"/>
                <w:sz w:val="24"/>
                <w:szCs w:val="24"/>
                <w:highlight w:val="none"/>
              </w:rPr>
            </w:pPr>
          </w:p>
        </w:tc>
      </w:tr>
      <w:tr w14:paraId="125B5455">
        <w:tblPrEx>
          <w:tblCellMar>
            <w:top w:w="0" w:type="dxa"/>
            <w:left w:w="108" w:type="dxa"/>
            <w:bottom w:w="0" w:type="dxa"/>
            <w:right w:w="108" w:type="dxa"/>
          </w:tblCellMar>
        </w:tblPrEx>
        <w:trPr>
          <w:trHeight w:val="471" w:hRule="atLeast"/>
          <w:jc w:val="center"/>
        </w:trPr>
        <w:tc>
          <w:tcPr>
            <w:tcW w:w="2943" w:type="dxa"/>
            <w:gridSpan w:val="2"/>
            <w:tcBorders>
              <w:top w:val="single" w:color="000000" w:sz="4" w:space="0"/>
              <w:left w:val="single" w:color="000000" w:sz="4" w:space="0"/>
              <w:bottom w:val="single" w:color="000000" w:sz="4" w:space="0"/>
              <w:right w:val="single" w:color="000000" w:sz="4" w:space="0"/>
            </w:tcBorders>
            <w:noWrap w:val="0"/>
            <w:vAlign w:val="center"/>
          </w:tcPr>
          <w:p w14:paraId="71ED50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其他认为有必要提供的内容，可自行添加</w:t>
            </w:r>
          </w:p>
        </w:tc>
        <w:tc>
          <w:tcPr>
            <w:tcW w:w="6521" w:type="dxa"/>
            <w:gridSpan w:val="7"/>
            <w:tcBorders>
              <w:top w:val="single" w:color="000000" w:sz="4" w:space="0"/>
              <w:left w:val="nil"/>
              <w:bottom w:val="single" w:color="000000" w:sz="4" w:space="0"/>
              <w:right w:val="single" w:color="000000" w:sz="4" w:space="0"/>
            </w:tcBorders>
            <w:noWrap w:val="0"/>
            <w:vAlign w:val="top"/>
          </w:tcPr>
          <w:p w14:paraId="57FDAF51">
            <w:pPr>
              <w:spacing w:line="360" w:lineRule="auto"/>
              <w:rPr>
                <w:rFonts w:hint="eastAsia" w:ascii="宋体" w:hAnsi="宋体" w:eastAsia="宋体" w:cs="宋体"/>
                <w:color w:val="auto"/>
                <w:sz w:val="24"/>
                <w:szCs w:val="24"/>
                <w:highlight w:val="none"/>
              </w:rPr>
            </w:pPr>
          </w:p>
        </w:tc>
      </w:tr>
    </w:tbl>
    <w:p w14:paraId="462360EB">
      <w:pPr>
        <w:spacing w:line="360" w:lineRule="auto"/>
        <w:ind w:firstLine="480"/>
        <w:jc w:val="right"/>
        <w:rPr>
          <w:rFonts w:hint="eastAsia" w:ascii="宋体" w:hAnsi="宋体" w:eastAsia="宋体" w:cs="宋体"/>
          <w:color w:val="auto"/>
          <w:sz w:val="24"/>
          <w:szCs w:val="24"/>
          <w:highlight w:val="none"/>
        </w:rPr>
      </w:pPr>
    </w:p>
    <w:p w14:paraId="72B7B982">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1A0AB596">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052E108F">
      <w:pPr>
        <w:spacing w:line="360" w:lineRule="auto"/>
        <w:ind w:firstLine="480"/>
        <w:jc w:val="right"/>
        <w:rPr>
          <w:rFonts w:hint="eastAsia" w:ascii="宋体" w:hAnsi="宋体" w:eastAsia="宋体" w:cs="宋体"/>
          <w:color w:val="auto"/>
          <w:sz w:val="24"/>
          <w:szCs w:val="24"/>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027B5D92">
      <w:pPr>
        <w:rPr>
          <w:rFonts w:hint="eastAsia" w:ascii="宋体" w:hAnsi="宋体" w:eastAsia="宋体" w:cs="宋体"/>
          <w:b/>
          <w:bCs/>
          <w:color w:val="auto"/>
          <w:sz w:val="28"/>
          <w:szCs w:val="28"/>
          <w:highlight w:val="none"/>
          <w:lang w:val="en-US" w:eastAsia="zh-CN"/>
        </w:rPr>
      </w:pPr>
    </w:p>
    <w:p w14:paraId="0E70B814">
      <w:pP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br w:type="page"/>
      </w:r>
    </w:p>
    <w:p w14:paraId="085F5AB7">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5：</w:t>
      </w:r>
    </w:p>
    <w:p w14:paraId="1F7B13E9">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投标人符合《中华人民共和国政府采购法》第二十二条规定条件的</w:t>
      </w:r>
    </w:p>
    <w:p w14:paraId="2A170324">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声明函</w:t>
      </w:r>
    </w:p>
    <w:p w14:paraId="0121ECDA">
      <w:pPr>
        <w:spacing w:line="360" w:lineRule="auto"/>
        <w:rPr>
          <w:rFonts w:hint="eastAsia" w:ascii="宋体" w:hAnsi="宋体" w:eastAsia="宋体" w:cs="宋体"/>
          <w:color w:val="auto"/>
          <w:sz w:val="24"/>
          <w:szCs w:val="21"/>
          <w:highlight w:val="none"/>
          <w:u w:val="single"/>
        </w:rPr>
      </w:pPr>
    </w:p>
    <w:p w14:paraId="0553DBE4">
      <w:pPr>
        <w:spacing w:line="360" w:lineRule="auto"/>
        <w:ind w:firstLine="480"/>
        <w:rPr>
          <w:rFonts w:hint="eastAsia" w:ascii="宋体" w:hAnsi="宋体" w:eastAsia="宋体" w:cs="宋体"/>
          <w:b/>
          <w:bCs/>
          <w:color w:val="auto"/>
          <w:sz w:val="24"/>
          <w:szCs w:val="21"/>
          <w:highlight w:val="none"/>
        </w:rPr>
      </w:pPr>
      <w:r>
        <w:rPr>
          <w:rFonts w:hint="eastAsia" w:ascii="宋体" w:hAnsi="宋体" w:eastAsia="宋体" w:cs="宋体"/>
          <w:bCs/>
          <w:color w:val="auto"/>
          <w:sz w:val="24"/>
          <w:szCs w:val="21"/>
          <w:highlight w:val="none"/>
        </w:rPr>
        <w:t>我单位参加</w:t>
      </w:r>
      <w:r>
        <w:rPr>
          <w:rFonts w:hint="eastAsia" w:ascii="宋体" w:hAnsi="宋体" w:eastAsia="宋体" w:cs="宋体"/>
          <w:bCs/>
          <w:color w:val="auto"/>
          <w:sz w:val="24"/>
          <w:szCs w:val="21"/>
          <w:highlight w:val="none"/>
          <w:u w:val="single"/>
          <w:lang w:val="en-US" w:eastAsia="zh-CN"/>
        </w:rPr>
        <w:t xml:space="preserve">                   </w:t>
      </w:r>
      <w:r>
        <w:rPr>
          <w:rFonts w:hint="eastAsia" w:ascii="宋体" w:hAnsi="宋体" w:eastAsia="宋体" w:cs="宋体"/>
          <w:bCs/>
          <w:color w:val="auto"/>
          <w:sz w:val="24"/>
          <w:szCs w:val="21"/>
          <w:highlight w:val="none"/>
        </w:rPr>
        <w:t>（项目名称），</w:t>
      </w:r>
      <w:r>
        <w:rPr>
          <w:rFonts w:hint="eastAsia" w:ascii="宋体" w:hAnsi="宋体" w:eastAsia="宋体" w:cs="宋体"/>
          <w:bCs/>
          <w:color w:val="auto"/>
          <w:sz w:val="24"/>
          <w:szCs w:val="21"/>
          <w:highlight w:val="none"/>
          <w:u w:val="single"/>
          <w:lang w:val="en-US" w:eastAsia="zh-CN"/>
        </w:rPr>
        <w:t xml:space="preserve">               </w:t>
      </w:r>
      <w:r>
        <w:rPr>
          <w:rFonts w:hint="eastAsia" w:ascii="宋体" w:hAnsi="宋体" w:eastAsia="宋体" w:cs="宋体"/>
          <w:bCs/>
          <w:color w:val="auto"/>
          <w:sz w:val="24"/>
          <w:szCs w:val="21"/>
          <w:highlight w:val="none"/>
        </w:rPr>
        <w:t>（项目编号）投标活动。针对《中华人民共和国政府采购法》第二十二条规定做出如下声明：</w:t>
      </w:r>
    </w:p>
    <w:p w14:paraId="6BC58A86">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bCs/>
          <w:color w:val="auto"/>
          <w:sz w:val="24"/>
          <w:szCs w:val="21"/>
          <w:highlight w:val="none"/>
        </w:rPr>
        <w:t>1.我单位具有独立承担民事责任的能力；</w:t>
      </w:r>
    </w:p>
    <w:p w14:paraId="4965AFCE">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2.我单位具有良好的商业信誉和健全的财务会计制度；</w:t>
      </w:r>
    </w:p>
    <w:p w14:paraId="2168AA11">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3.我单位具有履行合同所必需的设备和专业技术能力；</w:t>
      </w:r>
    </w:p>
    <w:p w14:paraId="284BB6D5">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4.我单位有依法缴纳税收和社会保障资金的良好记录；</w:t>
      </w:r>
    </w:p>
    <w:p w14:paraId="483EF4EF">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我单位参加政府采购活动前三年内，在经营活动中没有重大违法记录；（1.投标人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6DAB82C7">
      <w:pPr>
        <w:spacing w:line="360" w:lineRule="auto"/>
        <w:ind w:firstLine="480"/>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6.我单位满足法律、行政法规规定的其他条件。</w:t>
      </w:r>
    </w:p>
    <w:p w14:paraId="78B3CF65">
      <w:pPr>
        <w:pStyle w:val="11"/>
        <w:spacing w:line="360" w:lineRule="auto"/>
        <w:ind w:firstLine="560"/>
        <w:rPr>
          <w:rFonts w:hint="eastAsia" w:ascii="宋体" w:hAnsi="宋体" w:eastAsia="宋体" w:cs="宋体"/>
          <w:color w:val="auto"/>
          <w:highlight w:val="none"/>
        </w:rPr>
      </w:pPr>
    </w:p>
    <w:p w14:paraId="5EFCD95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0761AB6D">
      <w:pPr>
        <w:spacing w:line="360" w:lineRule="auto"/>
        <w:ind w:firstLine="566"/>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511CB9C5">
      <w:pPr>
        <w:spacing w:line="360" w:lineRule="auto"/>
        <w:ind w:firstLine="2920" w:firstLineChars="1217"/>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7E345BFD">
      <w:pPr>
        <w:pStyle w:val="11"/>
        <w:spacing w:line="360" w:lineRule="auto"/>
        <w:ind w:firstLine="560"/>
        <w:rPr>
          <w:rFonts w:hint="eastAsia" w:ascii="宋体" w:hAnsi="宋体" w:eastAsia="宋体" w:cs="宋体"/>
          <w:color w:val="auto"/>
          <w:highlight w:val="none"/>
        </w:rPr>
      </w:pPr>
    </w:p>
    <w:p w14:paraId="1E1DC12B">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br w:type="page" w:clear="all"/>
      </w:r>
    </w:p>
    <w:p w14:paraId="12BFB629">
      <w:pPr>
        <w:keepNext w:val="0"/>
        <w:keepLines w:val="0"/>
        <w:pageBreakBefore w:val="0"/>
        <w:widowControl w:val="0"/>
        <w:kinsoku/>
        <w:wordWrap/>
        <w:overflowPunct/>
        <w:topLinePunct w:val="0"/>
        <w:autoSpaceDE/>
        <w:autoSpaceDN/>
        <w:bidi w:val="0"/>
        <w:adjustRightInd/>
        <w:spacing w:line="360" w:lineRule="auto"/>
        <w:jc w:val="both"/>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6：</w:t>
      </w:r>
    </w:p>
    <w:p w14:paraId="67133ACC">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法定代表人身份证明</w:t>
      </w:r>
    </w:p>
    <w:p w14:paraId="41D82A3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u w:val="single"/>
        </w:rPr>
        <w:t>（法定代表人参加投标时，须出示此证明）</w:t>
      </w:r>
    </w:p>
    <w:p w14:paraId="633AE5A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1"/>
          <w:highlight w:val="none"/>
        </w:rPr>
      </w:pPr>
    </w:p>
    <w:p w14:paraId="1CA0BA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p w14:paraId="0A76E2D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先生/女士： 现任我单位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职务，为法定代表人，特此证明。</w:t>
      </w:r>
    </w:p>
    <w:p w14:paraId="25578BC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p>
    <w:p w14:paraId="5022EE4D">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附：法定代表人情况：</w:t>
      </w:r>
    </w:p>
    <w:p w14:paraId="1DEE803A">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rPr>
        <w:t>姓名：</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性别：</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年龄：</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职务：</w:t>
      </w:r>
      <w:r>
        <w:rPr>
          <w:rFonts w:hint="eastAsia" w:ascii="宋体" w:hAnsi="宋体" w:eastAsia="宋体" w:cs="宋体"/>
          <w:color w:val="auto"/>
          <w:sz w:val="24"/>
          <w:szCs w:val="21"/>
          <w:highlight w:val="none"/>
          <w:u w:val="single"/>
        </w:rPr>
        <w:t xml:space="preserve">          </w:t>
      </w:r>
    </w:p>
    <w:p w14:paraId="4D80DF35">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身份证号码：</w:t>
      </w:r>
      <w:r>
        <w:rPr>
          <w:rFonts w:hint="eastAsia" w:ascii="宋体" w:hAnsi="宋体" w:eastAsia="宋体" w:cs="宋体"/>
          <w:color w:val="auto"/>
          <w:sz w:val="24"/>
          <w:szCs w:val="21"/>
          <w:highlight w:val="none"/>
          <w:u w:val="single"/>
        </w:rPr>
        <w:t xml:space="preserve">                                         </w:t>
      </w:r>
    </w:p>
    <w:p w14:paraId="3AEEB63C">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手机：</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传真：</w:t>
      </w:r>
      <w:r>
        <w:rPr>
          <w:rFonts w:hint="eastAsia" w:ascii="宋体" w:hAnsi="宋体" w:eastAsia="宋体" w:cs="宋体"/>
          <w:color w:val="auto"/>
          <w:sz w:val="24"/>
          <w:szCs w:val="21"/>
          <w:highlight w:val="none"/>
          <w:u w:val="single"/>
        </w:rPr>
        <w:t xml:space="preserve">                       </w:t>
      </w:r>
    </w:p>
    <w:p w14:paraId="0DBAAAA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4"/>
          <w:szCs w:val="21"/>
          <w:highlight w:val="none"/>
        </w:rPr>
      </w:pPr>
    </w:p>
    <w:p w14:paraId="18DFDE9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r>
        <w:rPr>
          <w:rFonts w:hint="eastAsia" w:ascii="宋体" w:hAnsi="宋体" w:eastAsia="宋体" w:cs="宋体"/>
          <w:b/>
          <w:bCs/>
          <w:color w:val="auto"/>
          <w:sz w:val="24"/>
          <w:szCs w:val="21"/>
          <w:highlight w:val="none"/>
        </w:rPr>
        <w:t> 注：提供法定代表人的身份证复印件盖公章</w:t>
      </w:r>
    </w:p>
    <w:p w14:paraId="00734A5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p>
    <w:p w14:paraId="389A496F">
      <w:pPr>
        <w:keepNext w:val="0"/>
        <w:keepLines w:val="0"/>
        <w:pageBreakBefore w:val="0"/>
        <w:widowControl w:val="0"/>
        <w:kinsoku/>
        <w:wordWrap/>
        <w:overflowPunct/>
        <w:topLinePunct w:val="0"/>
        <w:autoSpaceDE/>
        <w:autoSpaceDN/>
        <w:bidi w:val="0"/>
        <w:adjustRightInd/>
        <w:spacing w:line="360" w:lineRule="auto"/>
        <w:ind w:firstLine="2920" w:firstLineChars="1217"/>
        <w:textAlignment w:val="auto"/>
        <w:rPr>
          <w:rFonts w:hint="eastAsia" w:ascii="宋体" w:hAnsi="宋体" w:eastAsia="宋体" w:cs="宋体"/>
          <w:bCs/>
          <w:color w:val="auto"/>
          <w:sz w:val="24"/>
          <w:highlight w:val="none"/>
          <w:lang w:eastAsia="zh-CN"/>
        </w:rPr>
      </w:pPr>
    </w:p>
    <w:p w14:paraId="27AD197E">
      <w:pPr>
        <w:keepNext w:val="0"/>
        <w:keepLines w:val="0"/>
        <w:pageBreakBefore w:val="0"/>
        <w:widowControl w:val="0"/>
        <w:kinsoku/>
        <w:wordWrap/>
        <w:overflowPunct/>
        <w:topLinePunct w:val="0"/>
        <w:autoSpaceDE/>
        <w:autoSpaceDN/>
        <w:bidi w:val="0"/>
        <w:adjustRightInd/>
        <w:spacing w:line="360" w:lineRule="auto"/>
        <w:ind w:firstLine="2920" w:firstLineChars="1217"/>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p>
    <w:p w14:paraId="31E54604">
      <w:pPr>
        <w:keepNext w:val="0"/>
        <w:keepLines w:val="0"/>
        <w:pageBreakBefore w:val="0"/>
        <w:widowControl w:val="0"/>
        <w:kinsoku/>
        <w:wordWrap/>
        <w:overflowPunct/>
        <w:topLinePunct w:val="0"/>
        <w:autoSpaceDE/>
        <w:autoSpaceDN/>
        <w:bidi w:val="0"/>
        <w:adjustRightInd/>
        <w:spacing w:line="360" w:lineRule="auto"/>
        <w:ind w:firstLine="2920" w:firstLineChars="1217"/>
        <w:textAlignment w:val="auto"/>
        <w:rPr>
          <w:rFonts w:hint="eastAsia" w:ascii="宋体" w:hAnsi="宋体" w:eastAsia="宋体" w:cs="宋体"/>
          <w:bCs/>
          <w:color w:val="auto"/>
          <w:sz w:val="24"/>
          <w:highlight w:val="none"/>
          <w:lang w:val="en-US" w:eastAsia="zh-CN"/>
        </w:rPr>
      </w:pPr>
      <w:r>
        <w:rPr>
          <w:rFonts w:hint="eastAsia" w:ascii="宋体" w:hAnsi="宋体" w:eastAsia="宋体" w:cs="宋体"/>
          <w:color w:val="auto"/>
          <w:sz w:val="24"/>
          <w:szCs w:val="21"/>
          <w:highlight w:val="none"/>
        </w:rPr>
        <w:t>法定代表人（签字或加盖CA电子签章）</w:t>
      </w:r>
    </w:p>
    <w:p w14:paraId="39D94246">
      <w:pPr>
        <w:keepNext w:val="0"/>
        <w:keepLines w:val="0"/>
        <w:pageBreakBefore w:val="0"/>
        <w:widowControl w:val="0"/>
        <w:kinsoku/>
        <w:wordWrap/>
        <w:overflowPunct/>
        <w:topLinePunct w:val="0"/>
        <w:autoSpaceDE/>
        <w:autoSpaceDN/>
        <w:bidi w:val="0"/>
        <w:adjustRightInd/>
        <w:spacing w:line="360" w:lineRule="auto"/>
        <w:ind w:firstLine="2920" w:firstLineChars="1217"/>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1471EFD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 xml:space="preserve">         </w:t>
      </w:r>
    </w:p>
    <w:p w14:paraId="490E280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p>
    <w:p w14:paraId="7A26017B">
      <w:pPr>
        <w:keepNext w:val="0"/>
        <w:keepLines w:val="0"/>
        <w:pageBreakBefore w:val="0"/>
        <w:widowControl w:val="0"/>
        <w:kinsoku/>
        <w:wordWrap/>
        <w:overflowPunct/>
        <w:topLinePunct w:val="0"/>
        <w:autoSpaceDE/>
        <w:autoSpaceDN/>
        <w:bidi w:val="0"/>
        <w:adjustRightInd/>
        <w:spacing w:line="360" w:lineRule="auto"/>
        <w:ind w:firstLine="720" w:firstLineChars="300"/>
        <w:textAlignment w:val="auto"/>
        <w:rPr>
          <w:rFonts w:hint="eastAsia" w:ascii="宋体" w:hAnsi="宋体" w:eastAsia="宋体" w:cs="宋体"/>
          <w:color w:val="auto"/>
          <w:sz w:val="24"/>
          <w:szCs w:val="21"/>
          <w:highlight w:val="none"/>
        </w:rPr>
      </w:pPr>
    </w:p>
    <w:p w14:paraId="43D70F97">
      <w:pPr>
        <w:keepNext w:val="0"/>
        <w:keepLines w:val="0"/>
        <w:pageBreakBefore w:val="0"/>
        <w:widowControl w:val="0"/>
        <w:kinsoku/>
        <w:wordWrap/>
        <w:overflowPunct/>
        <w:topLinePunct w:val="0"/>
        <w:autoSpaceDE/>
        <w:autoSpaceDN/>
        <w:bidi w:val="0"/>
        <w:adjustRightInd/>
        <w:spacing w:line="360" w:lineRule="auto"/>
        <w:ind w:firstLine="720" w:firstLineChars="3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 xml:space="preserve"> </w:t>
      </w:r>
    </w:p>
    <w:p w14:paraId="0C7BB18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p>
    <w:p w14:paraId="37A86090">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4"/>
          <w:szCs w:val="21"/>
          <w:highlight w:val="none"/>
        </w:rPr>
      </w:pPr>
    </w:p>
    <w:p w14:paraId="66155FFB">
      <w:pPr>
        <w:keepNext w:val="0"/>
        <w:keepLines w:val="0"/>
        <w:pageBreakBefore w:val="0"/>
        <w:widowControl w:val="0"/>
        <w:kinsoku/>
        <w:wordWrap/>
        <w:overflowPunct/>
        <w:topLinePunct w:val="0"/>
        <w:autoSpaceDE/>
        <w:autoSpaceDN/>
        <w:bidi w:val="0"/>
        <w:adjustRightInd/>
        <w:spacing w:line="360" w:lineRule="auto"/>
        <w:ind w:firstLine="482"/>
        <w:textAlignment w:val="auto"/>
        <w:rPr>
          <w:rFonts w:hint="eastAsia" w:ascii="宋体" w:hAnsi="宋体" w:eastAsia="宋体" w:cs="宋体"/>
          <w:b/>
          <w:bCs/>
          <w:color w:val="auto"/>
          <w:sz w:val="24"/>
          <w:szCs w:val="21"/>
          <w:highlight w:val="none"/>
        </w:rPr>
      </w:pPr>
    </w:p>
    <w:p w14:paraId="5ADF2426">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ascii="宋体" w:hAnsi="宋体" w:eastAsia="宋体" w:cs="宋体"/>
          <w:b/>
          <w:bCs/>
          <w:color w:val="auto"/>
          <w:sz w:val="24"/>
          <w:szCs w:val="21"/>
          <w:highlight w:val="none"/>
        </w:rPr>
      </w:pPr>
      <w:r>
        <w:rPr>
          <w:rFonts w:hint="eastAsia" w:ascii="宋体" w:hAnsi="宋体" w:eastAsia="宋体" w:cs="宋体"/>
          <w:b/>
          <w:bCs/>
          <w:color w:val="auto"/>
          <w:sz w:val="24"/>
          <w:szCs w:val="21"/>
          <w:highlight w:val="none"/>
        </w:rPr>
        <w:br w:type="page" w:clear="all"/>
      </w:r>
    </w:p>
    <w:p w14:paraId="2D30930A">
      <w:pPr>
        <w:keepNext w:val="0"/>
        <w:keepLines w:val="0"/>
        <w:pageBreakBefore w:val="0"/>
        <w:widowControl w:val="0"/>
        <w:kinsoku/>
        <w:wordWrap/>
        <w:overflowPunct/>
        <w:topLinePunct w:val="0"/>
        <w:autoSpaceDE/>
        <w:autoSpaceDN/>
        <w:bidi w:val="0"/>
        <w:adjustRightInd/>
        <w:spacing w:line="360" w:lineRule="auto"/>
        <w:jc w:val="both"/>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7：</w:t>
      </w:r>
    </w:p>
    <w:p w14:paraId="3FA6E91F">
      <w:pPr>
        <w:keepNext w:val="0"/>
        <w:keepLines w:val="0"/>
        <w:pageBreakBefore w:val="0"/>
        <w:widowControl w:val="0"/>
        <w:kinsoku/>
        <w:wordWrap/>
        <w:overflowPunct/>
        <w:topLinePunct w:val="0"/>
        <w:autoSpaceDE/>
        <w:autoSpaceDN/>
        <w:bidi w:val="0"/>
        <w:adjustRightInd/>
        <w:spacing w:line="360" w:lineRule="auto"/>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授权委托书</w:t>
      </w:r>
    </w:p>
    <w:p w14:paraId="253E389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1"/>
          <w:highlight w:val="none"/>
          <w:u w:val="single"/>
        </w:rPr>
      </w:pPr>
      <w:r>
        <w:rPr>
          <w:rFonts w:hint="eastAsia" w:ascii="宋体" w:hAnsi="宋体" w:eastAsia="宋体" w:cs="宋体"/>
          <w:color w:val="auto"/>
          <w:sz w:val="24"/>
          <w:szCs w:val="21"/>
          <w:highlight w:val="none"/>
          <w:u w:val="single"/>
        </w:rPr>
        <w:t>（被授权人参加投标时，须出示此证明）</w:t>
      </w:r>
    </w:p>
    <w:p w14:paraId="5A5699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p>
    <w:p w14:paraId="688B53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（授权单位名称）的法定代表人，现委托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（姓名）（身份证号：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）为我方代理人，以我方名义全权处理与本次采购项目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）有关的一切事务，其法律后果由我方承担。</w:t>
      </w:r>
    </w:p>
    <w:p w14:paraId="1AF82A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本授权书于</w:t>
      </w:r>
      <w:r>
        <w:rPr>
          <w:rFonts w:hint="eastAsia" w:ascii="宋体" w:hAnsi="宋体" w:eastAsia="宋体" w:cs="宋体"/>
          <w:color w:val="auto"/>
          <w:sz w:val="24"/>
          <w:highlight w:val="none"/>
          <w:lang w:eastAsia="zh-CN"/>
        </w:rPr>
        <w:t>2026年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日起生效。代理人无转委托权。</w:t>
      </w:r>
    </w:p>
    <w:p w14:paraId="503FD12D">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代理人(被授权人)</w:t>
      </w:r>
      <w:r>
        <w:rPr>
          <w:rFonts w:hint="eastAsia" w:ascii="宋体" w:hAnsi="宋体" w:eastAsia="宋体" w:cs="宋体"/>
          <w:color w:val="auto"/>
          <w:sz w:val="24"/>
          <w:highlight w:val="none"/>
          <w:lang w:eastAsia="zh-CN"/>
        </w:rPr>
        <w:t>：</w:t>
      </w:r>
    </w:p>
    <w:p w14:paraId="3A60559D">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授权单位名称（加盖CA电子签章）：</w:t>
      </w:r>
    </w:p>
    <w:p w14:paraId="5D54DB0A">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授权单位法定代表人（签字或加盖CA电子签章）：</w:t>
      </w:r>
    </w:p>
    <w:p w14:paraId="6F8428D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highlight w:val="none"/>
        </w:rPr>
      </w:pPr>
    </w:p>
    <w:p w14:paraId="1A8F28EA">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bidi="ar"/>
        </w:rPr>
        <w:t>时间：</w:t>
      </w:r>
      <w:r>
        <w:rPr>
          <w:rFonts w:hint="eastAsia" w:ascii="宋体" w:hAnsi="宋体" w:eastAsia="宋体" w:cs="宋体"/>
          <w:color w:val="auto"/>
          <w:sz w:val="24"/>
          <w:highlight w:val="none"/>
          <w:lang w:eastAsia="zh-CN" w:bidi="ar"/>
        </w:rPr>
        <w:t>2026年</w:t>
      </w:r>
      <w:r>
        <w:rPr>
          <w:rFonts w:hint="eastAsia" w:ascii="宋体" w:hAnsi="宋体" w:eastAsia="宋体" w:cs="宋体"/>
          <w:color w:val="auto"/>
          <w:sz w:val="24"/>
          <w:highlight w:val="none"/>
          <w:lang w:val="zh-CN" w:bidi="ar"/>
        </w:rPr>
        <w:t xml:space="preserve">  月   日</w:t>
      </w:r>
    </w:p>
    <w:p w14:paraId="020AC867">
      <w:pPr>
        <w:keepNext w:val="0"/>
        <w:keepLines w:val="0"/>
        <w:pageBreakBefore w:val="0"/>
        <w:widowControl w:val="0"/>
        <w:kinsoku/>
        <w:wordWrap/>
        <w:overflowPunct/>
        <w:topLinePunct w:val="0"/>
        <w:autoSpaceDE/>
        <w:autoSpaceDN/>
        <w:bidi w:val="0"/>
        <w:adjustRightInd/>
        <w:snapToGrid w:val="0"/>
        <w:spacing w:line="360" w:lineRule="auto"/>
        <w:ind w:firstLine="463" w:firstLineChars="192"/>
        <w:contextualSpacing/>
        <w:textAlignment w:val="auto"/>
        <w:rPr>
          <w:rFonts w:hint="eastAsia" w:ascii="宋体" w:hAnsi="宋体" w:eastAsia="宋体" w:cs="宋体"/>
          <w:b/>
          <w:color w:val="auto"/>
          <w:kern w:val="0"/>
          <w:sz w:val="24"/>
          <w:highlight w:val="none"/>
        </w:rPr>
      </w:pPr>
    </w:p>
    <w:p w14:paraId="0D3B7696">
      <w:pPr>
        <w:keepNext w:val="0"/>
        <w:keepLines w:val="0"/>
        <w:pageBreakBefore w:val="0"/>
        <w:widowControl w:val="0"/>
        <w:kinsoku/>
        <w:wordWrap/>
        <w:overflowPunct/>
        <w:topLinePunct w:val="0"/>
        <w:autoSpaceDE/>
        <w:autoSpaceDN/>
        <w:bidi w:val="0"/>
        <w:adjustRightInd/>
        <w:snapToGrid w:val="0"/>
        <w:spacing w:line="360" w:lineRule="auto"/>
        <w:ind w:firstLine="463" w:firstLineChars="192"/>
        <w:contextualSpacing/>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注：法定代表人本人身份证复印件及被授权人本人身份证复印件盖公章</w:t>
      </w:r>
    </w:p>
    <w:p w14:paraId="5A6126E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1"/>
          <w:highlight w:val="none"/>
        </w:rPr>
      </w:pPr>
    </w:p>
    <w:p w14:paraId="7E3D38C2">
      <w:pPr>
        <w:keepNext w:val="0"/>
        <w:keepLines w:val="0"/>
        <w:pageBreakBefore w:val="0"/>
        <w:widowControl w:val="0"/>
        <w:kinsoku/>
        <w:wordWrap/>
        <w:overflowPunct/>
        <w:topLinePunct w:val="0"/>
        <w:autoSpaceDE/>
        <w:autoSpaceDN/>
        <w:bidi w:val="0"/>
        <w:adjustRightInd/>
        <w:spacing w:line="360" w:lineRule="auto"/>
        <w:ind w:firstLine="482"/>
        <w:textAlignment w:val="auto"/>
        <w:rPr>
          <w:rFonts w:hint="eastAsia" w:ascii="宋体" w:hAnsi="宋体" w:eastAsia="宋体" w:cs="宋体"/>
          <w:b/>
          <w:bCs/>
          <w:color w:val="auto"/>
          <w:sz w:val="24"/>
          <w:szCs w:val="21"/>
          <w:highlight w:val="none"/>
        </w:rPr>
      </w:pPr>
    </w:p>
    <w:p w14:paraId="1DE62E7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1"/>
          <w:highlight w:val="none"/>
        </w:rPr>
      </w:pPr>
      <w:r>
        <w:rPr>
          <w:rFonts w:hint="eastAsia" w:ascii="宋体" w:hAnsi="宋体" w:eastAsia="宋体" w:cs="宋体"/>
          <w:b/>
          <w:bCs/>
          <w:color w:val="auto"/>
          <w:sz w:val="24"/>
          <w:szCs w:val="21"/>
          <w:highlight w:val="none"/>
        </w:rPr>
        <w:br w:type="page" w:clear="all"/>
      </w:r>
    </w:p>
    <w:p w14:paraId="1ADBFA81">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8：</w:t>
      </w:r>
    </w:p>
    <w:p w14:paraId="36CDBCA4">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声 明</w:t>
      </w:r>
    </w:p>
    <w:p w14:paraId="2A47A762">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4"/>
          <w:highlight w:val="none"/>
          <w:u w:val="single"/>
        </w:rPr>
      </w:pPr>
    </w:p>
    <w:p w14:paraId="754C5B95">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（采购人）：</w:t>
      </w:r>
    </w:p>
    <w:p w14:paraId="7C6D0581">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我单位不存在以下情况：</w:t>
      </w:r>
    </w:p>
    <w:p w14:paraId="3C86A3DF">
      <w:pPr>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单位负责人为同一人或者存在直接控股、管理关系的不同供应商，同时参加同一合同项下的政府采购活动。</w:t>
      </w:r>
    </w:p>
    <w:p w14:paraId="276EC508">
      <w:pPr>
        <w:keepNext w:val="0"/>
        <w:keepLines w:val="0"/>
        <w:pageBreakBefore w:val="0"/>
        <w:widowControl/>
        <w:kinsoku/>
        <w:wordWrap/>
        <w:overflowPunct/>
        <w:topLinePunct w:val="0"/>
        <w:autoSpaceDE/>
        <w:autoSpaceDN/>
        <w:bidi w:val="0"/>
        <w:adjustRightInd/>
        <w:spacing w:line="360" w:lineRule="auto"/>
        <w:ind w:left="18" w:right="1" w:firstLine="42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2.为采购项目提供整体设计、规范编制或者项目管理、监理、检测等服务的供应商，再参加该采购项目的其他采购活动。</w:t>
      </w:r>
    </w:p>
    <w:p w14:paraId="30948DC9">
      <w:pPr>
        <w:keepNext w:val="0"/>
        <w:keepLines w:val="0"/>
        <w:pageBreakBefore w:val="0"/>
        <w:widowControl/>
        <w:kinsoku/>
        <w:wordWrap/>
        <w:overflowPunct/>
        <w:topLinePunct w:val="0"/>
        <w:autoSpaceDE/>
        <w:autoSpaceDN/>
        <w:bidi w:val="0"/>
        <w:adjustRightInd/>
        <w:spacing w:line="360" w:lineRule="auto"/>
        <w:ind w:left="18" w:right="1" w:firstLine="42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特此声明。</w:t>
      </w:r>
    </w:p>
    <w:p w14:paraId="09C36CE3">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32"/>
          <w:szCs w:val="32"/>
          <w:highlight w:val="none"/>
        </w:rPr>
      </w:pPr>
    </w:p>
    <w:p w14:paraId="279E23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44AB276A">
      <w:pPr>
        <w:spacing w:line="360" w:lineRule="auto"/>
        <w:ind w:firstLine="566"/>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27810E38">
      <w:pPr>
        <w:spacing w:line="360" w:lineRule="auto"/>
        <w:ind w:firstLine="3160" w:firstLineChars="1317"/>
        <w:rPr>
          <w:rFonts w:hint="eastAsia" w:ascii="宋体" w:hAnsi="宋体" w:eastAsia="宋体" w:cs="宋体"/>
          <w:color w:val="auto"/>
          <w:sz w:val="24"/>
          <w:szCs w:val="26"/>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314563A9">
      <w:pPr>
        <w:widowControl/>
        <w:spacing w:line="360" w:lineRule="auto"/>
        <w:jc w:val="center"/>
        <w:rPr>
          <w:rFonts w:hint="eastAsia" w:ascii="宋体" w:hAnsi="宋体" w:eastAsia="宋体" w:cs="宋体"/>
          <w:color w:val="auto"/>
          <w:sz w:val="24"/>
          <w:szCs w:val="21"/>
          <w:highlight w:val="none"/>
        </w:rPr>
      </w:pPr>
    </w:p>
    <w:p w14:paraId="1DD1940A">
      <w:pPr>
        <w:widowControl/>
        <w:ind w:firstLine="482"/>
        <w:jc w:val="left"/>
        <w:rPr>
          <w:rFonts w:hint="eastAsia" w:ascii="宋体" w:hAnsi="宋体" w:eastAsia="宋体" w:cs="宋体"/>
          <w:b/>
          <w:bCs/>
          <w:color w:val="auto"/>
          <w:sz w:val="24"/>
          <w:szCs w:val="21"/>
          <w:highlight w:val="none"/>
        </w:rPr>
      </w:pPr>
      <w:r>
        <w:rPr>
          <w:rFonts w:hint="eastAsia" w:ascii="宋体" w:hAnsi="宋体" w:eastAsia="宋体" w:cs="宋体"/>
          <w:b/>
          <w:bCs/>
          <w:color w:val="auto"/>
          <w:sz w:val="24"/>
          <w:szCs w:val="21"/>
          <w:highlight w:val="none"/>
        </w:rPr>
        <w:br w:type="page" w:clear="all"/>
      </w:r>
    </w:p>
    <w:p w14:paraId="42860D04">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9：</w:t>
      </w:r>
    </w:p>
    <w:p w14:paraId="099D3E14">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投标声明函</w:t>
      </w:r>
    </w:p>
    <w:p w14:paraId="4E5D3080">
      <w:pPr>
        <w:spacing w:line="360" w:lineRule="auto"/>
        <w:ind w:firstLine="482"/>
        <w:rPr>
          <w:rFonts w:hint="eastAsia" w:ascii="宋体" w:hAnsi="宋体" w:eastAsia="宋体" w:cs="宋体"/>
          <w:b w:val="0"/>
          <w:bCs w:val="0"/>
          <w:color w:val="auto"/>
          <w:sz w:val="24"/>
          <w:szCs w:val="21"/>
          <w:highlight w:val="none"/>
        </w:rPr>
      </w:pPr>
    </w:p>
    <w:p w14:paraId="163FE6D2">
      <w:pPr>
        <w:spacing w:line="360" w:lineRule="auto"/>
        <w:ind w:firstLine="482"/>
        <w:rPr>
          <w:rFonts w:hint="eastAsia" w:ascii="宋体" w:hAnsi="宋体" w:eastAsia="宋体" w:cs="宋体"/>
          <w:b/>
          <w:bCs/>
          <w:color w:val="auto"/>
          <w:sz w:val="24"/>
          <w:szCs w:val="21"/>
          <w:highlight w:val="none"/>
        </w:rPr>
      </w:pPr>
      <w:r>
        <w:rPr>
          <w:rFonts w:hint="eastAsia" w:ascii="宋体" w:hAnsi="宋体" w:eastAsia="宋体" w:cs="宋体"/>
          <w:b w:val="0"/>
          <w:bCs w:val="0"/>
          <w:color w:val="auto"/>
          <w:sz w:val="24"/>
          <w:szCs w:val="21"/>
          <w:highlight w:val="none"/>
        </w:rPr>
        <w:t>致：</w:t>
      </w:r>
      <w:r>
        <w:rPr>
          <w:rFonts w:hint="eastAsia" w:ascii="宋体" w:hAnsi="宋体" w:eastAsia="宋体" w:cs="宋体"/>
          <w:b w:val="0"/>
          <w:bCs w:val="0"/>
          <w:color w:val="auto"/>
          <w:sz w:val="24"/>
          <w:szCs w:val="21"/>
          <w:highlight w:val="none"/>
          <w:u w:val="single"/>
          <w:shd w:val="clear" w:color="auto" w:fill="FFFFFF"/>
        </w:rPr>
        <w:t xml:space="preserve">   </w:t>
      </w:r>
      <w:r>
        <w:rPr>
          <w:rFonts w:hint="eastAsia" w:ascii="宋体" w:hAnsi="宋体" w:eastAsia="宋体" w:cs="宋体"/>
          <w:b w:val="0"/>
          <w:bCs w:val="0"/>
          <w:color w:val="auto"/>
          <w:sz w:val="24"/>
          <w:szCs w:val="21"/>
          <w:highlight w:val="none"/>
          <w:u w:val="single"/>
          <w:shd w:val="clear" w:color="auto" w:fill="FFFFFF"/>
          <w:lang w:val="en-US" w:eastAsia="zh-CN"/>
        </w:rPr>
        <w:t xml:space="preserve">      </w:t>
      </w:r>
      <w:r>
        <w:rPr>
          <w:rFonts w:hint="eastAsia" w:ascii="宋体" w:hAnsi="宋体" w:eastAsia="宋体" w:cs="宋体"/>
          <w:b w:val="0"/>
          <w:bCs w:val="0"/>
          <w:color w:val="auto"/>
          <w:sz w:val="24"/>
          <w:szCs w:val="21"/>
          <w:highlight w:val="none"/>
          <w:u w:val="single"/>
          <w:shd w:val="clear" w:color="auto" w:fill="FFFFFF"/>
        </w:rPr>
        <w:t xml:space="preserve">  </w:t>
      </w:r>
      <w:r>
        <w:rPr>
          <w:rFonts w:hint="eastAsia" w:ascii="宋体" w:hAnsi="宋体" w:eastAsia="宋体" w:cs="宋体"/>
          <w:b w:val="0"/>
          <w:bCs w:val="0"/>
          <w:color w:val="auto"/>
          <w:sz w:val="24"/>
          <w:szCs w:val="21"/>
          <w:highlight w:val="none"/>
          <w:u w:val="none"/>
          <w:shd w:val="clear" w:color="auto" w:fill="FFFFFF"/>
        </w:rPr>
        <w:t>（采购人）</w:t>
      </w:r>
      <w:r>
        <w:rPr>
          <w:rFonts w:hint="eastAsia" w:ascii="宋体" w:hAnsi="宋体" w:eastAsia="宋体" w:cs="宋体"/>
          <w:b w:val="0"/>
          <w:bCs w:val="0"/>
          <w:color w:val="auto"/>
          <w:sz w:val="24"/>
          <w:szCs w:val="21"/>
          <w:highlight w:val="none"/>
          <w:lang w:eastAsia="zh-CN"/>
        </w:rPr>
        <w:t>：</w:t>
      </w:r>
      <w:r>
        <w:rPr>
          <w:rFonts w:hint="eastAsia" w:ascii="宋体" w:hAnsi="宋体" w:eastAsia="宋体" w:cs="宋体"/>
          <w:b/>
          <w:bCs/>
          <w:color w:val="auto"/>
          <w:sz w:val="24"/>
          <w:szCs w:val="21"/>
          <w:highlight w:val="none"/>
        </w:rPr>
        <w:t xml:space="preserve">   </w:t>
      </w:r>
    </w:p>
    <w:p w14:paraId="2FF3C6DD">
      <w:pPr>
        <w:tabs>
          <w:tab w:val="left" w:pos="420"/>
          <w:tab w:val="left" w:pos="562"/>
          <w:tab w:val="left" w:pos="945"/>
          <w:tab w:val="left" w:pos="5382"/>
          <w:tab w:val="left" w:pos="7560"/>
        </w:tabs>
        <w:spacing w:line="360" w:lineRule="auto"/>
        <w:ind w:firstLine="480"/>
        <w:jc w:val="left"/>
        <w:rPr>
          <w:rFonts w:hint="eastAsia" w:ascii="宋体" w:hAnsi="宋体" w:eastAsia="宋体" w:cs="宋体"/>
          <w:color w:val="auto"/>
          <w:sz w:val="24"/>
          <w:szCs w:val="21"/>
          <w:highlight w:val="none"/>
        </w:rPr>
      </w:pPr>
      <w:bookmarkStart w:id="15" w:name="_Toc396833717"/>
      <w:r>
        <w:rPr>
          <w:rFonts w:hint="eastAsia" w:ascii="宋体" w:hAnsi="宋体" w:eastAsia="宋体" w:cs="宋体"/>
          <w:color w:val="auto"/>
          <w:sz w:val="24"/>
          <w:szCs w:val="21"/>
          <w:highlight w:val="none"/>
        </w:rPr>
        <w:t>我方承诺完全具备《中华人民共和国政府采购法》第二十二条规定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14:paraId="4E4DEDEF">
      <w:pPr>
        <w:numPr>
          <w:ilvl w:val="1"/>
          <w:numId w:val="0"/>
        </w:numPr>
        <w:tabs>
          <w:tab w:val="left" w:pos="420"/>
          <w:tab w:val="left" w:pos="945"/>
          <w:tab w:val="left" w:pos="5382"/>
          <w:tab w:val="left" w:pos="7560"/>
        </w:tabs>
        <w:spacing w:line="360" w:lineRule="auto"/>
        <w:ind w:left="0" w:leftChars="0" w:firstLine="480" w:firstLineChars="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bidi="ar-SA"/>
        </w:rPr>
        <w:t>1.</w:t>
      </w:r>
      <w:r>
        <w:rPr>
          <w:rFonts w:hint="eastAsia" w:ascii="宋体" w:hAnsi="宋体" w:eastAsia="宋体" w:cs="宋体"/>
          <w:color w:val="auto"/>
          <w:sz w:val="24"/>
          <w:szCs w:val="21"/>
          <w:highlight w:val="none"/>
        </w:rPr>
        <w:t>我方承诺信用记录中未</w:t>
      </w:r>
      <w:r>
        <w:rPr>
          <w:rFonts w:hint="eastAsia" w:ascii="宋体" w:hAnsi="宋体" w:eastAsia="宋体" w:cs="宋体"/>
          <w:color w:val="auto"/>
          <w:sz w:val="24"/>
          <w:szCs w:val="24"/>
          <w:highlight w:val="none"/>
        </w:rPr>
        <w:t>被“信用中国”网站(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\o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www.creditchina.gov.cn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)、中华人民共和国最高人民法院网站（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"http://www.court.gov.cn/" \o "http://www.court.gov.cn/"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//www.court.gov.cn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）等渠道列入信用记录失信被执行人，未被中国政府采购网(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\o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www.ccgp.gov.cn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)等渠道列入政府采购严重违法失信行为记录名单，未被中华人民共和国应急管理部网站（http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//www.mem.gov.cn/）等渠道列入安全生产失信联合惩戒“黑名单”，未被国家税务总局网站（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"http://hd.chinatax.gov.cn/xxk/" \o "http://hd.chinatax.gov.cn/xxk/"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//hd.chinatax.gov.cn/xxk</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）等渠道列入重大税收违法案件当事人名单，未被国家企业信用信息公示系统（</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"http://www.gsxt.gov.cn" \o "http://www.gsxt.gov.cn"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//www.gsxt.gov.cn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）等渠道列入经营异常名录、严重违法失信企业名单，未被全国公共资源交易平台（</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"http://www.ggzy.gov.cn" \o "http://www.ggzy.gov.cn"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//www.ggzy.gov.cn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）等渠道列入黑名单</w:t>
      </w:r>
      <w:r>
        <w:rPr>
          <w:rFonts w:hint="eastAsia" w:ascii="宋体" w:hAnsi="宋体" w:eastAsia="宋体" w:cs="宋体"/>
          <w:color w:val="auto"/>
          <w:sz w:val="24"/>
          <w:szCs w:val="21"/>
          <w:highlight w:val="none"/>
        </w:rPr>
        <w:t>，否则，可将我方的投标文件按照无效投标文件处理。</w:t>
      </w:r>
    </w:p>
    <w:p w14:paraId="5D08581A">
      <w:pPr>
        <w:tabs>
          <w:tab w:val="left" w:pos="420"/>
          <w:tab w:val="left" w:pos="945"/>
          <w:tab w:val="left" w:pos="5382"/>
          <w:tab w:val="left" w:pos="7560"/>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2.</w:t>
      </w:r>
      <w:r>
        <w:rPr>
          <w:rFonts w:hint="eastAsia" w:ascii="宋体" w:hAnsi="宋体" w:eastAsia="宋体" w:cs="宋体"/>
          <w:color w:val="auto"/>
          <w:sz w:val="24"/>
          <w:szCs w:val="21"/>
          <w:highlight w:val="none"/>
        </w:rPr>
        <w:t>我方承诺参加本次采购活动前三年内，在经营活动中没有重大违法记录，否则，可将我方的投标文件按照无效投标文件处理。</w:t>
      </w:r>
    </w:p>
    <w:p w14:paraId="0EFFBB5F">
      <w:pPr>
        <w:tabs>
          <w:tab w:val="left" w:pos="420"/>
          <w:tab w:val="left" w:pos="945"/>
          <w:tab w:val="left" w:pos="5382"/>
          <w:tab w:val="left" w:pos="7560"/>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3.</w:t>
      </w:r>
      <w:r>
        <w:rPr>
          <w:rFonts w:hint="eastAsia" w:ascii="宋体" w:hAnsi="宋体" w:eastAsia="宋体" w:cs="宋体"/>
          <w:color w:val="auto"/>
          <w:sz w:val="24"/>
          <w:szCs w:val="21"/>
          <w:highlight w:val="none"/>
        </w:rPr>
        <w:t>我方承诺按照本项目招标文件和相关技术标准的条件，提供货物及相关服务，并承担因货物质量或服务等引起的一切责任。</w:t>
      </w:r>
    </w:p>
    <w:p w14:paraId="2BC31D2E">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4.</w:t>
      </w:r>
      <w:r>
        <w:rPr>
          <w:rFonts w:hint="eastAsia" w:ascii="宋体" w:hAnsi="宋体" w:eastAsia="宋体" w:cs="宋体"/>
          <w:color w:val="auto"/>
          <w:sz w:val="24"/>
          <w:szCs w:val="21"/>
          <w:highlight w:val="none"/>
        </w:rPr>
        <w:t>我方对本项目招标文件（包括修改文件及有关附件）完全理解，并承诺在发生争议时，不会以对招标文件存在误解、不明为由，向你方行使任何法律上的抗辩权。</w:t>
      </w:r>
    </w:p>
    <w:p w14:paraId="111CBCE8">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5.</w:t>
      </w:r>
      <w:r>
        <w:rPr>
          <w:rFonts w:hint="eastAsia" w:ascii="宋体" w:hAnsi="宋体" w:eastAsia="宋体" w:cs="宋体"/>
          <w:color w:val="auto"/>
          <w:sz w:val="24"/>
          <w:szCs w:val="21"/>
          <w:highlight w:val="none"/>
        </w:rPr>
        <w:t>我方投标文件有效期为自开标日起</w:t>
      </w:r>
      <w:r>
        <w:rPr>
          <w:rFonts w:hint="eastAsia" w:ascii="宋体" w:hAnsi="宋体" w:eastAsia="宋体" w:cs="宋体"/>
          <w:color w:val="auto"/>
          <w:sz w:val="24"/>
          <w:szCs w:val="21"/>
          <w:highlight w:val="none"/>
          <w:u w:val="single"/>
        </w:rPr>
        <w:t>60</w:t>
      </w:r>
      <w:r>
        <w:rPr>
          <w:rFonts w:hint="eastAsia" w:ascii="宋体" w:hAnsi="宋体" w:eastAsia="宋体" w:cs="宋体"/>
          <w:color w:val="auto"/>
          <w:sz w:val="24"/>
          <w:szCs w:val="21"/>
          <w:highlight w:val="none"/>
        </w:rPr>
        <w:t>天，若中标，则投标有效期自动延续至合同履行完毕。</w:t>
      </w:r>
    </w:p>
    <w:p w14:paraId="10A7F5C3">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6.</w:t>
      </w:r>
      <w:r>
        <w:rPr>
          <w:rFonts w:hint="eastAsia" w:ascii="宋体" w:hAnsi="宋体" w:eastAsia="宋体" w:cs="宋体"/>
          <w:color w:val="auto"/>
          <w:sz w:val="24"/>
          <w:szCs w:val="21"/>
          <w:highlight w:val="none"/>
        </w:rPr>
        <w:t>我方承诺接受招标文件规定的付款方式。</w:t>
      </w:r>
    </w:p>
    <w:p w14:paraId="5614DB7F">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7.</w:t>
      </w:r>
      <w:r>
        <w:rPr>
          <w:rFonts w:hint="eastAsia" w:ascii="宋体" w:hAnsi="宋体" w:eastAsia="宋体" w:cs="宋体"/>
          <w:color w:val="auto"/>
          <w:sz w:val="24"/>
          <w:szCs w:val="21"/>
          <w:highlight w:val="none"/>
        </w:rPr>
        <w:t>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14:paraId="416E5148">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8.</w:t>
      </w:r>
      <w:r>
        <w:rPr>
          <w:rFonts w:hint="eastAsia" w:ascii="宋体" w:hAnsi="宋体" w:eastAsia="宋体" w:cs="宋体"/>
          <w:color w:val="auto"/>
          <w:sz w:val="24"/>
          <w:szCs w:val="21"/>
          <w:highlight w:val="none"/>
        </w:rPr>
        <w:t>我方承诺投标文件中所有的资料及所作各项承诺均真实准确，所提交的营业执照已依法向登记管理机关报送相应的年度报告并予以公示（或所提交的《社会团体法人登记证书》/《民办非企业单位登记证书》已通过登记管理机关的年度检查），不存在任何虚假之处，否则，可将我方的投标文件按照无效投标文件处理，即使我方中标，中标结果无效，对于因此给其他投标人及你方造成的全部损失，我方同意无条件予以赔偿。</w:t>
      </w:r>
    </w:p>
    <w:p w14:paraId="6F531258">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9.</w:t>
      </w:r>
      <w:r>
        <w:rPr>
          <w:rFonts w:hint="eastAsia" w:ascii="宋体" w:hAnsi="宋体" w:eastAsia="宋体" w:cs="宋体"/>
          <w:color w:val="auto"/>
          <w:sz w:val="24"/>
          <w:szCs w:val="21"/>
          <w:highlight w:val="none"/>
        </w:rPr>
        <w:t>我方委托授权</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rPr>
        <w:t>姓名：</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u w:val="none"/>
          <w:lang w:eastAsia="zh-CN"/>
        </w:rPr>
        <w:t>，</w:t>
      </w:r>
      <w:r>
        <w:rPr>
          <w:rFonts w:hint="eastAsia" w:ascii="宋体" w:hAnsi="宋体" w:eastAsia="宋体" w:cs="宋体"/>
          <w:color w:val="auto"/>
          <w:sz w:val="24"/>
          <w:szCs w:val="21"/>
          <w:highlight w:val="none"/>
        </w:rPr>
        <w:t>身份证号</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rPr>
        <w:t>_________，联系电话：________</w:t>
      </w:r>
      <w:r>
        <w:rPr>
          <w:rFonts w:hint="eastAsia"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rPr>
        <w:t>作为我方的代理人参加本项目投标，负责提交投标文件以及其它相关资料，参加开标，接受质询并予以澄清，签署、接受招投标过程中的各种法律文件，办理投标过程中的其他相关事务。</w:t>
      </w:r>
    </w:p>
    <w:p w14:paraId="6A368D92">
      <w:pPr>
        <w:tabs>
          <w:tab w:val="left" w:pos="525"/>
          <w:tab w:val="left" w:pos="945"/>
          <w:tab w:val="left" w:pos="5382"/>
        </w:tabs>
        <w:spacing w:line="360" w:lineRule="auto"/>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10.</w:t>
      </w:r>
      <w:r>
        <w:rPr>
          <w:rFonts w:hint="eastAsia" w:ascii="宋体" w:hAnsi="宋体" w:eastAsia="宋体" w:cs="宋体"/>
          <w:color w:val="auto"/>
          <w:sz w:val="24"/>
          <w:szCs w:val="21"/>
          <w:highlight w:val="none"/>
        </w:rPr>
        <w:t>我方承诺将严格遵守相关法律法规，若存在违法违规行为，将承担相应的法律后果。</w:t>
      </w:r>
    </w:p>
    <w:p w14:paraId="08F6FA30">
      <w:pPr>
        <w:tabs>
          <w:tab w:val="left" w:pos="945"/>
        </w:tabs>
        <w:spacing w:line="360" w:lineRule="auto"/>
        <w:jc w:val="right"/>
        <w:rPr>
          <w:rFonts w:hint="eastAsia" w:ascii="宋体" w:hAnsi="宋体" w:eastAsia="宋体" w:cs="宋体"/>
          <w:color w:val="auto"/>
          <w:sz w:val="24"/>
          <w:szCs w:val="21"/>
          <w:highlight w:val="none"/>
        </w:rPr>
      </w:pPr>
    </w:p>
    <w:p w14:paraId="391DF8DC">
      <w:pPr>
        <w:tabs>
          <w:tab w:val="left" w:pos="945"/>
        </w:tabs>
        <w:spacing w:line="360" w:lineRule="auto"/>
        <w:jc w:val="right"/>
        <w:rPr>
          <w:rFonts w:hint="eastAsia" w:ascii="宋体" w:hAnsi="宋体" w:eastAsia="宋体" w:cs="宋体"/>
          <w:color w:val="auto"/>
          <w:sz w:val="24"/>
          <w:szCs w:val="21"/>
          <w:highlight w:val="none"/>
        </w:rPr>
      </w:pPr>
    </w:p>
    <w:bookmarkEnd w:id="15"/>
    <w:p w14:paraId="1402417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13173607">
      <w:pPr>
        <w:spacing w:line="360" w:lineRule="auto"/>
        <w:ind w:firstLine="566"/>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1A53167F">
      <w:pPr>
        <w:spacing w:line="360" w:lineRule="auto"/>
        <w:ind w:firstLine="2920" w:firstLineChars="1217"/>
        <w:rPr>
          <w:rFonts w:hint="eastAsia" w:ascii="宋体" w:hAnsi="宋体" w:eastAsia="宋体" w:cs="宋体"/>
          <w:color w:val="auto"/>
          <w:sz w:val="24"/>
          <w:szCs w:val="21"/>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1AD3F9DF">
      <w:pPr>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4"/>
          <w:szCs w:val="21"/>
          <w:highlight w:val="none"/>
        </w:rPr>
        <w:br w:type="page" w:clear="all"/>
      </w:r>
    </w:p>
    <w:p w14:paraId="6A61FABC">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10：</w:t>
      </w:r>
    </w:p>
    <w:p w14:paraId="0F3F99D8">
      <w:pPr>
        <w:spacing w:line="360" w:lineRule="auto"/>
        <w:jc w:val="center"/>
        <w:outlineLvl w:val="3"/>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投标响应函（格式不得变动）</w:t>
      </w:r>
    </w:p>
    <w:p w14:paraId="5AFAB1B2">
      <w:pPr>
        <w:spacing w:line="360" w:lineRule="auto"/>
        <w:jc w:val="left"/>
        <w:rPr>
          <w:rFonts w:hint="eastAsia" w:ascii="宋体" w:hAnsi="宋体" w:eastAsia="宋体" w:cs="宋体"/>
          <w:color w:val="auto"/>
          <w:sz w:val="24"/>
          <w:szCs w:val="21"/>
          <w:highlight w:val="none"/>
          <w:u w:val="single"/>
          <w:lang w:val="en-US" w:eastAsia="zh-CN"/>
        </w:rPr>
      </w:pPr>
    </w:p>
    <w:p w14:paraId="51B3B7E5">
      <w:pPr>
        <w:spacing w:line="360" w:lineRule="auto"/>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u w:val="single"/>
          <w:lang w:val="en-US" w:eastAsia="zh-CN"/>
        </w:rPr>
        <w:t xml:space="preserve">              </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u w:val="none"/>
          <w:lang w:eastAsia="zh-CN"/>
        </w:rPr>
        <w:t>（采购人）</w:t>
      </w:r>
      <w:r>
        <w:rPr>
          <w:rFonts w:hint="eastAsia" w:ascii="宋体" w:hAnsi="宋体" w:eastAsia="宋体" w:cs="宋体"/>
          <w:color w:val="auto"/>
          <w:sz w:val="24"/>
          <w:szCs w:val="21"/>
          <w:highlight w:val="none"/>
        </w:rPr>
        <w:t>：</w:t>
      </w:r>
    </w:p>
    <w:p w14:paraId="410B1D58">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依据贵单位</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（招标项目名称）项目公开招标采购的邀请，我方授权</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（姓名）</w:t>
      </w:r>
      <w:r>
        <w:rPr>
          <w:rFonts w:hint="eastAsia" w:ascii="宋体" w:hAnsi="宋体" w:eastAsia="宋体" w:cs="宋体"/>
          <w:color w:val="auto"/>
          <w:sz w:val="24"/>
          <w:szCs w:val="21"/>
          <w:highlight w:val="none"/>
          <w:u w:val="single"/>
        </w:rPr>
        <w:t xml:space="preserve">      </w:t>
      </w:r>
      <w:r>
        <w:rPr>
          <w:rFonts w:hint="eastAsia" w:ascii="宋体" w:hAnsi="宋体" w:eastAsia="宋体" w:cs="宋体"/>
          <w:color w:val="auto"/>
          <w:sz w:val="24"/>
          <w:szCs w:val="21"/>
          <w:highlight w:val="none"/>
        </w:rPr>
        <w:t>（职务）为全权代表参加该项目的投标工作，全权处理本次投标的有关事宜。同时，我公司声明如下：</w:t>
      </w:r>
    </w:p>
    <w:p w14:paraId="18A203F1">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我方同意并接受本项目招标文件的各项要求，遵守招标文件中的各项规定，按招标文件的要求提供报价。</w:t>
      </w:r>
    </w:p>
    <w:p w14:paraId="0DC41F6F">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我方已经详细审查了全部招标文件，我方已完全清晰理解招标文件的要求，不存在任何含糊不清和误解之处，同意放弃对这些文件所提出的异议和质疑的权利。</w:t>
      </w:r>
    </w:p>
    <w:p w14:paraId="3EAEAEA2">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我方愿意提供招标人在招标文件中要求的所有资料。</w:t>
      </w:r>
    </w:p>
    <w:p w14:paraId="494FD7CE">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4</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我方承诺在本次招标响应中提供的一切文件，无论是原件</w:t>
      </w:r>
      <w:r>
        <w:rPr>
          <w:rFonts w:hint="eastAsia" w:ascii="宋体" w:hAnsi="宋体" w:eastAsia="宋体" w:cs="宋体"/>
          <w:color w:val="auto"/>
          <w:sz w:val="24"/>
          <w:szCs w:val="21"/>
          <w:highlight w:val="none"/>
          <w:lang w:eastAsia="zh-CN"/>
        </w:rPr>
        <w:t>、扫描件</w:t>
      </w:r>
      <w:bookmarkStart w:id="16" w:name="_GoBack"/>
      <w:bookmarkEnd w:id="16"/>
      <w:r>
        <w:rPr>
          <w:rFonts w:hint="eastAsia" w:ascii="宋体" w:hAnsi="宋体" w:eastAsia="宋体" w:cs="宋体"/>
          <w:color w:val="auto"/>
          <w:sz w:val="24"/>
          <w:szCs w:val="21"/>
          <w:highlight w:val="none"/>
        </w:rPr>
        <w:t>还是复印件均真实有效，绝无任何虚假、伪造和夸大的成份。否则，愿承担相应的后果和法律责任。</w:t>
      </w:r>
    </w:p>
    <w:p w14:paraId="47525B70">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我方尊重评标小组所作的评定结果，同时也清楚理解到投标报价最低并非意味着必定获得中标资格。</w:t>
      </w:r>
    </w:p>
    <w:p w14:paraId="45C2DC1E">
      <w:pPr>
        <w:spacing w:line="360" w:lineRule="auto"/>
        <w:ind w:firstLine="48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6</w:t>
      </w:r>
      <w:r>
        <w:rPr>
          <w:rFonts w:hint="eastAsia" w:ascii="宋体" w:hAnsi="宋体" w:eastAsia="宋体" w:cs="宋体"/>
          <w:color w:val="auto"/>
          <w:sz w:val="24"/>
          <w:szCs w:val="21"/>
          <w:highlight w:val="none"/>
          <w:lang w:val="en-US" w:eastAsia="zh-CN"/>
        </w:rPr>
        <w:t>.</w:t>
      </w:r>
      <w:r>
        <w:rPr>
          <w:rFonts w:hint="eastAsia" w:ascii="宋体" w:hAnsi="宋体" w:eastAsia="宋体" w:cs="宋体"/>
          <w:color w:val="auto"/>
          <w:sz w:val="24"/>
          <w:szCs w:val="21"/>
          <w:highlight w:val="none"/>
        </w:rPr>
        <w:t xml:space="preserve">一旦我方中标，我方将根据招标文件的规定，严格履行招标文件中规定的每一项要求，按期、按质、按量履行合同的义务。 </w:t>
      </w:r>
    </w:p>
    <w:p w14:paraId="3AF8F5E3">
      <w:pPr>
        <w:spacing w:line="360" w:lineRule="auto"/>
        <w:ind w:firstLine="480"/>
        <w:jc w:val="right"/>
        <w:rPr>
          <w:rFonts w:hint="eastAsia" w:ascii="宋体" w:hAnsi="宋体" w:eastAsia="宋体" w:cs="宋体"/>
          <w:color w:val="auto"/>
          <w:sz w:val="24"/>
          <w:szCs w:val="21"/>
          <w:highlight w:val="none"/>
        </w:rPr>
      </w:pPr>
    </w:p>
    <w:p w14:paraId="6E46BD1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03727E15">
      <w:pPr>
        <w:spacing w:line="360" w:lineRule="auto"/>
        <w:ind w:firstLine="566"/>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10264786">
      <w:pPr>
        <w:spacing w:line="360" w:lineRule="auto"/>
        <w:jc w:val="center"/>
        <w:rPr>
          <w:rFonts w:hint="eastAsia" w:ascii="宋体" w:hAnsi="宋体" w:eastAsia="宋体" w:cs="宋体"/>
          <w:color w:val="auto"/>
          <w:sz w:val="24"/>
          <w:szCs w:val="21"/>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78582C7D">
      <w:pPr>
        <w:pStyle w:val="15"/>
        <w:ind w:firstLine="723"/>
        <w:rPr>
          <w:rFonts w:hint="eastAsia" w:ascii="宋体" w:hAnsi="宋体" w:eastAsia="宋体" w:cs="宋体"/>
          <w:color w:val="auto"/>
          <w:highlight w:val="none"/>
        </w:rPr>
      </w:pPr>
    </w:p>
    <w:p w14:paraId="627698A6">
      <w:pPr>
        <w:spacing w:line="360" w:lineRule="auto"/>
        <w:ind w:firstLine="482"/>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Cs w:val="21"/>
          <w:highlight w:val="none"/>
        </w:rPr>
        <w:br w:type="page" w:clear="all"/>
      </w:r>
    </w:p>
    <w:p w14:paraId="3E7FFD3D">
      <w:pPr>
        <w:spacing w:line="360" w:lineRule="auto"/>
        <w:jc w:val="left"/>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11：</w:t>
      </w:r>
    </w:p>
    <w:p w14:paraId="4B8C2C29">
      <w:pPr>
        <w:spacing w:line="360" w:lineRule="auto"/>
        <w:jc w:val="center"/>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商务条款正负偏离表</w:t>
      </w:r>
    </w:p>
    <w:p w14:paraId="07DDA7B7">
      <w:pPr>
        <w:pStyle w:val="21"/>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项目名称：</w:t>
      </w:r>
    </w:p>
    <w:p w14:paraId="2D73612C">
      <w:pPr>
        <w:pStyle w:val="21"/>
        <w:spacing w:line="360" w:lineRule="auto"/>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项目编号：</w:t>
      </w:r>
    </w:p>
    <w:tbl>
      <w:tblPr>
        <w:tblStyle w:val="7"/>
        <w:tblW w:w="5000"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5"/>
        <w:gridCol w:w="2255"/>
        <w:gridCol w:w="2223"/>
        <w:gridCol w:w="2285"/>
        <w:gridCol w:w="1405"/>
      </w:tblGrid>
      <w:tr w14:paraId="002D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4" w:hRule="atLeast"/>
        </w:trPr>
        <w:tc>
          <w:tcPr>
            <w:tcW w:w="851" w:type="dxa"/>
            <w:noWrap w:val="0"/>
            <w:vAlign w:val="center"/>
          </w:tcPr>
          <w:p w14:paraId="618E535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331" w:type="dxa"/>
            <w:noWrap w:val="0"/>
            <w:vAlign w:val="center"/>
          </w:tcPr>
          <w:p w14:paraId="340436B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招标文件要求的商务条款</w:t>
            </w:r>
          </w:p>
        </w:tc>
        <w:tc>
          <w:tcPr>
            <w:tcW w:w="2297" w:type="dxa"/>
            <w:noWrap w:val="0"/>
            <w:vAlign w:val="center"/>
          </w:tcPr>
          <w:p w14:paraId="014F1A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投标文件响应情况</w:t>
            </w:r>
          </w:p>
        </w:tc>
        <w:tc>
          <w:tcPr>
            <w:tcW w:w="2362" w:type="dxa"/>
            <w:noWrap w:val="0"/>
            <w:vAlign w:val="center"/>
          </w:tcPr>
          <w:p w14:paraId="7D1EA23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c>
          <w:tcPr>
            <w:tcW w:w="1445" w:type="dxa"/>
            <w:noWrap w:val="0"/>
            <w:vAlign w:val="center"/>
          </w:tcPr>
          <w:p w14:paraId="76C6634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104EE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0501AC8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31" w:type="dxa"/>
            <w:noWrap w:val="0"/>
            <w:vAlign w:val="center"/>
          </w:tcPr>
          <w:p w14:paraId="1BAEF722">
            <w:pPr>
              <w:spacing w:line="360" w:lineRule="auto"/>
              <w:jc w:val="left"/>
              <w:rPr>
                <w:rFonts w:hint="eastAsia" w:ascii="宋体" w:hAnsi="宋体" w:eastAsia="宋体" w:cs="宋体"/>
                <w:color w:val="auto"/>
                <w:sz w:val="24"/>
                <w:szCs w:val="24"/>
                <w:highlight w:val="none"/>
              </w:rPr>
            </w:pPr>
          </w:p>
        </w:tc>
        <w:tc>
          <w:tcPr>
            <w:tcW w:w="2297" w:type="dxa"/>
            <w:noWrap w:val="0"/>
            <w:vAlign w:val="center"/>
          </w:tcPr>
          <w:p w14:paraId="395A5195">
            <w:pPr>
              <w:spacing w:line="360" w:lineRule="auto"/>
              <w:jc w:val="left"/>
              <w:rPr>
                <w:rFonts w:hint="eastAsia" w:ascii="宋体" w:hAnsi="宋体" w:eastAsia="宋体" w:cs="宋体"/>
                <w:color w:val="auto"/>
                <w:sz w:val="24"/>
                <w:szCs w:val="24"/>
                <w:highlight w:val="none"/>
              </w:rPr>
            </w:pPr>
          </w:p>
        </w:tc>
        <w:tc>
          <w:tcPr>
            <w:tcW w:w="2362" w:type="dxa"/>
            <w:noWrap w:val="0"/>
            <w:vAlign w:val="center"/>
          </w:tcPr>
          <w:p w14:paraId="52C65631">
            <w:pPr>
              <w:spacing w:line="360" w:lineRule="auto"/>
              <w:jc w:val="left"/>
              <w:rPr>
                <w:rFonts w:hint="eastAsia" w:ascii="宋体" w:hAnsi="宋体" w:eastAsia="宋体" w:cs="宋体"/>
                <w:color w:val="auto"/>
                <w:sz w:val="24"/>
                <w:szCs w:val="24"/>
                <w:highlight w:val="none"/>
              </w:rPr>
            </w:pPr>
          </w:p>
        </w:tc>
        <w:tc>
          <w:tcPr>
            <w:tcW w:w="1445" w:type="dxa"/>
            <w:noWrap w:val="0"/>
            <w:vAlign w:val="top"/>
          </w:tcPr>
          <w:p w14:paraId="4737EE4E">
            <w:pPr>
              <w:spacing w:line="360" w:lineRule="auto"/>
              <w:jc w:val="left"/>
              <w:rPr>
                <w:rFonts w:hint="eastAsia" w:ascii="宋体" w:hAnsi="宋体" w:eastAsia="宋体" w:cs="宋体"/>
                <w:color w:val="auto"/>
                <w:sz w:val="24"/>
                <w:szCs w:val="24"/>
                <w:highlight w:val="none"/>
              </w:rPr>
            </w:pPr>
          </w:p>
        </w:tc>
      </w:tr>
      <w:tr w14:paraId="68D1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01EC850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31" w:type="dxa"/>
            <w:noWrap w:val="0"/>
            <w:vAlign w:val="center"/>
          </w:tcPr>
          <w:p w14:paraId="31F18EED">
            <w:pPr>
              <w:spacing w:line="360" w:lineRule="auto"/>
              <w:jc w:val="left"/>
              <w:rPr>
                <w:rFonts w:hint="eastAsia" w:ascii="宋体" w:hAnsi="宋体" w:eastAsia="宋体" w:cs="宋体"/>
                <w:color w:val="auto"/>
                <w:sz w:val="24"/>
                <w:szCs w:val="24"/>
                <w:highlight w:val="none"/>
              </w:rPr>
            </w:pPr>
          </w:p>
        </w:tc>
        <w:tc>
          <w:tcPr>
            <w:tcW w:w="2297" w:type="dxa"/>
            <w:noWrap w:val="0"/>
            <w:vAlign w:val="center"/>
          </w:tcPr>
          <w:p w14:paraId="7C560D78">
            <w:pPr>
              <w:spacing w:line="360" w:lineRule="auto"/>
              <w:jc w:val="left"/>
              <w:rPr>
                <w:rFonts w:hint="eastAsia" w:ascii="宋体" w:hAnsi="宋体" w:eastAsia="宋体" w:cs="宋体"/>
                <w:color w:val="auto"/>
                <w:sz w:val="24"/>
                <w:szCs w:val="24"/>
                <w:highlight w:val="none"/>
              </w:rPr>
            </w:pPr>
          </w:p>
        </w:tc>
        <w:tc>
          <w:tcPr>
            <w:tcW w:w="2362" w:type="dxa"/>
            <w:noWrap w:val="0"/>
            <w:vAlign w:val="center"/>
          </w:tcPr>
          <w:p w14:paraId="4F5D8392">
            <w:pPr>
              <w:spacing w:line="360" w:lineRule="auto"/>
              <w:jc w:val="left"/>
              <w:rPr>
                <w:rFonts w:hint="eastAsia" w:ascii="宋体" w:hAnsi="宋体" w:eastAsia="宋体" w:cs="宋体"/>
                <w:color w:val="auto"/>
                <w:sz w:val="24"/>
                <w:szCs w:val="24"/>
                <w:highlight w:val="none"/>
              </w:rPr>
            </w:pPr>
          </w:p>
        </w:tc>
        <w:tc>
          <w:tcPr>
            <w:tcW w:w="1445" w:type="dxa"/>
            <w:noWrap w:val="0"/>
            <w:vAlign w:val="top"/>
          </w:tcPr>
          <w:p w14:paraId="321A738D">
            <w:pPr>
              <w:spacing w:line="360" w:lineRule="auto"/>
              <w:jc w:val="left"/>
              <w:rPr>
                <w:rFonts w:hint="eastAsia" w:ascii="宋体" w:hAnsi="宋体" w:eastAsia="宋体" w:cs="宋体"/>
                <w:color w:val="auto"/>
                <w:sz w:val="24"/>
                <w:szCs w:val="24"/>
                <w:highlight w:val="none"/>
              </w:rPr>
            </w:pPr>
          </w:p>
        </w:tc>
      </w:tr>
      <w:tr w14:paraId="6F408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227A5F6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31" w:type="dxa"/>
            <w:noWrap w:val="0"/>
            <w:vAlign w:val="center"/>
          </w:tcPr>
          <w:p w14:paraId="36C01E41">
            <w:pPr>
              <w:spacing w:line="360" w:lineRule="auto"/>
              <w:jc w:val="left"/>
              <w:rPr>
                <w:rFonts w:hint="eastAsia" w:ascii="宋体" w:hAnsi="宋体" w:eastAsia="宋体" w:cs="宋体"/>
                <w:color w:val="auto"/>
                <w:sz w:val="24"/>
                <w:szCs w:val="24"/>
                <w:highlight w:val="none"/>
              </w:rPr>
            </w:pPr>
          </w:p>
        </w:tc>
        <w:tc>
          <w:tcPr>
            <w:tcW w:w="2297" w:type="dxa"/>
            <w:noWrap w:val="0"/>
            <w:vAlign w:val="center"/>
          </w:tcPr>
          <w:p w14:paraId="7BA5F744">
            <w:pPr>
              <w:spacing w:line="360" w:lineRule="auto"/>
              <w:jc w:val="left"/>
              <w:rPr>
                <w:rFonts w:hint="eastAsia" w:ascii="宋体" w:hAnsi="宋体" w:eastAsia="宋体" w:cs="宋体"/>
                <w:color w:val="auto"/>
                <w:sz w:val="24"/>
                <w:szCs w:val="24"/>
                <w:highlight w:val="none"/>
              </w:rPr>
            </w:pPr>
          </w:p>
        </w:tc>
        <w:tc>
          <w:tcPr>
            <w:tcW w:w="2362" w:type="dxa"/>
            <w:noWrap w:val="0"/>
            <w:vAlign w:val="center"/>
          </w:tcPr>
          <w:p w14:paraId="6DFFDF96">
            <w:pPr>
              <w:spacing w:line="360" w:lineRule="auto"/>
              <w:jc w:val="left"/>
              <w:rPr>
                <w:rFonts w:hint="eastAsia" w:ascii="宋体" w:hAnsi="宋体" w:eastAsia="宋体" w:cs="宋体"/>
                <w:color w:val="auto"/>
                <w:sz w:val="24"/>
                <w:szCs w:val="24"/>
                <w:highlight w:val="none"/>
              </w:rPr>
            </w:pPr>
          </w:p>
        </w:tc>
        <w:tc>
          <w:tcPr>
            <w:tcW w:w="1445" w:type="dxa"/>
            <w:noWrap w:val="0"/>
            <w:vAlign w:val="top"/>
          </w:tcPr>
          <w:p w14:paraId="683C499F">
            <w:pPr>
              <w:spacing w:line="360" w:lineRule="auto"/>
              <w:jc w:val="left"/>
              <w:rPr>
                <w:rFonts w:hint="eastAsia" w:ascii="宋体" w:hAnsi="宋体" w:eastAsia="宋体" w:cs="宋体"/>
                <w:color w:val="auto"/>
                <w:sz w:val="24"/>
                <w:szCs w:val="24"/>
                <w:highlight w:val="none"/>
              </w:rPr>
            </w:pPr>
          </w:p>
        </w:tc>
      </w:tr>
      <w:tr w14:paraId="55FAA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noWrap w:val="0"/>
            <w:vAlign w:val="center"/>
          </w:tcPr>
          <w:p w14:paraId="61C64B0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31" w:type="dxa"/>
            <w:noWrap w:val="0"/>
            <w:vAlign w:val="center"/>
          </w:tcPr>
          <w:p w14:paraId="2F5E6AE2">
            <w:pPr>
              <w:spacing w:line="360" w:lineRule="auto"/>
              <w:jc w:val="left"/>
              <w:rPr>
                <w:rFonts w:hint="eastAsia" w:ascii="宋体" w:hAnsi="宋体" w:eastAsia="宋体" w:cs="宋体"/>
                <w:color w:val="auto"/>
                <w:sz w:val="24"/>
                <w:szCs w:val="24"/>
                <w:highlight w:val="none"/>
              </w:rPr>
            </w:pPr>
          </w:p>
        </w:tc>
        <w:tc>
          <w:tcPr>
            <w:tcW w:w="2297" w:type="dxa"/>
            <w:noWrap w:val="0"/>
            <w:vAlign w:val="center"/>
          </w:tcPr>
          <w:p w14:paraId="5EB182B0">
            <w:pPr>
              <w:spacing w:line="360" w:lineRule="auto"/>
              <w:jc w:val="left"/>
              <w:rPr>
                <w:rFonts w:hint="eastAsia" w:ascii="宋体" w:hAnsi="宋体" w:eastAsia="宋体" w:cs="宋体"/>
                <w:color w:val="auto"/>
                <w:sz w:val="24"/>
                <w:szCs w:val="24"/>
                <w:highlight w:val="none"/>
              </w:rPr>
            </w:pPr>
          </w:p>
        </w:tc>
        <w:tc>
          <w:tcPr>
            <w:tcW w:w="2362" w:type="dxa"/>
            <w:noWrap w:val="0"/>
            <w:vAlign w:val="center"/>
          </w:tcPr>
          <w:p w14:paraId="35D7D5C8">
            <w:pPr>
              <w:spacing w:line="360" w:lineRule="auto"/>
              <w:jc w:val="left"/>
              <w:rPr>
                <w:rFonts w:hint="eastAsia" w:ascii="宋体" w:hAnsi="宋体" w:eastAsia="宋体" w:cs="宋体"/>
                <w:color w:val="auto"/>
                <w:sz w:val="24"/>
                <w:szCs w:val="24"/>
                <w:highlight w:val="none"/>
              </w:rPr>
            </w:pPr>
          </w:p>
        </w:tc>
        <w:tc>
          <w:tcPr>
            <w:tcW w:w="1445" w:type="dxa"/>
            <w:noWrap w:val="0"/>
            <w:vAlign w:val="top"/>
          </w:tcPr>
          <w:p w14:paraId="1E3940CE">
            <w:pPr>
              <w:spacing w:line="360" w:lineRule="auto"/>
              <w:jc w:val="left"/>
              <w:rPr>
                <w:rFonts w:hint="eastAsia" w:ascii="宋体" w:hAnsi="宋体" w:eastAsia="宋体" w:cs="宋体"/>
                <w:color w:val="auto"/>
                <w:sz w:val="24"/>
                <w:szCs w:val="24"/>
                <w:highlight w:val="none"/>
              </w:rPr>
            </w:pPr>
          </w:p>
        </w:tc>
      </w:tr>
    </w:tbl>
    <w:p w14:paraId="5DEDE361">
      <w:pPr>
        <w:spacing w:line="360" w:lineRule="auto"/>
        <w:rPr>
          <w:rFonts w:hint="eastAsia" w:ascii="宋体" w:hAnsi="宋体" w:eastAsia="宋体" w:cs="宋体"/>
          <w:color w:val="auto"/>
          <w:sz w:val="24"/>
          <w:szCs w:val="24"/>
          <w:highlight w:val="none"/>
        </w:rPr>
      </w:pPr>
    </w:p>
    <w:p w14:paraId="5D869902">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4FCA5C60">
      <w:pPr>
        <w:keepNext w:val="0"/>
        <w:keepLines w:val="0"/>
        <w:pageBreakBefore w:val="0"/>
        <w:widowControl w:val="0"/>
        <w:kinsoku/>
        <w:wordWrap/>
        <w:overflowPunct/>
        <w:topLinePunct w:val="0"/>
        <w:autoSpaceDE/>
        <w:autoSpaceDN/>
        <w:bidi w:val="0"/>
        <w:adjustRightInd/>
        <w:snapToGrid w:val="0"/>
        <w:spacing w:line="360" w:lineRule="auto"/>
        <w:jc w:val="left"/>
        <w:textAlignment w:val="auto"/>
        <w:outlineLvl w:val="4"/>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7DAB11C5">
      <w:pPr>
        <w:pStyle w:val="21"/>
        <w:spacing w:line="360" w:lineRule="auto"/>
        <w:jc w:val="left"/>
        <w:rPr>
          <w:rFonts w:hint="eastAsia" w:ascii="宋体" w:hAnsi="宋体" w:eastAsia="宋体" w:cs="宋体"/>
          <w:color w:val="auto"/>
          <w:szCs w:val="24"/>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7FD6D712">
      <w:pPr>
        <w:pStyle w:val="21"/>
        <w:spacing w:line="360" w:lineRule="auto"/>
        <w:rPr>
          <w:rFonts w:hint="eastAsia" w:ascii="宋体" w:hAnsi="宋体" w:eastAsia="宋体" w:cs="宋体"/>
          <w:color w:val="auto"/>
          <w:szCs w:val="24"/>
          <w:highlight w:val="none"/>
        </w:rPr>
      </w:pPr>
    </w:p>
    <w:p w14:paraId="3B9CFB56">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注：1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供应商提交的响应文件中与招标文件第三部分“项目需求”中的</w:t>
      </w:r>
      <w:r>
        <w:rPr>
          <w:rFonts w:hint="eastAsia" w:ascii="宋体" w:hAnsi="宋体" w:eastAsia="宋体" w:cs="宋体"/>
          <w:b/>
          <w:bCs/>
          <w:color w:val="auto"/>
          <w:sz w:val="24"/>
          <w:szCs w:val="24"/>
          <w:highlight w:val="none"/>
          <w:lang w:val="zh-CN"/>
        </w:rPr>
        <w:t>商务</w:t>
      </w:r>
      <w:r>
        <w:rPr>
          <w:rFonts w:hint="eastAsia" w:ascii="宋体" w:hAnsi="宋体" w:eastAsia="宋体" w:cs="宋体"/>
          <w:color w:val="auto"/>
          <w:sz w:val="24"/>
          <w:szCs w:val="24"/>
          <w:highlight w:val="none"/>
          <w:lang w:val="zh-CN"/>
        </w:rPr>
        <w:t>要求，应逐条填列在偏离表中。也可以提供经签署、盖章的空白表格，招标人将视为供应商完全接受第三部分“项目需求”中的商务部分的条款内容。</w:t>
      </w:r>
    </w:p>
    <w:p w14:paraId="55FFE753">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“偏离说明”一栏选择“正偏离”、“负偏离”进行填写。正偏离的确认和负偏离的是否响应采购文件，经三分之二评委认定。</w:t>
      </w:r>
    </w:p>
    <w:p w14:paraId="418B9C0B">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供应商如果虚假响应，将承担被暂停参加招标人招标活动的风险。</w:t>
      </w:r>
    </w:p>
    <w:p w14:paraId="187B5DE0">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供应商若提供其他增值服务，可以在表中自行据实填写。</w:t>
      </w:r>
    </w:p>
    <w:p w14:paraId="78BB3C56">
      <w:pPr>
        <w:spacing w:line="360" w:lineRule="auto"/>
        <w:rPr>
          <w:rFonts w:hint="eastAsia" w:ascii="宋体" w:hAnsi="宋体" w:eastAsia="宋体" w:cs="宋体"/>
          <w:color w:val="auto"/>
          <w:sz w:val="24"/>
          <w:szCs w:val="24"/>
          <w:highlight w:val="none"/>
        </w:rPr>
      </w:pPr>
    </w:p>
    <w:p w14:paraId="1AD8679F">
      <w:pPr>
        <w:spacing w:line="360" w:lineRule="auto"/>
        <w:jc w:val="center"/>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clear="all"/>
      </w:r>
    </w:p>
    <w:p w14:paraId="30A69547">
      <w:pPr>
        <w:spacing w:line="360" w:lineRule="auto"/>
        <w:jc w:val="both"/>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12：</w:t>
      </w:r>
    </w:p>
    <w:p w14:paraId="771E71FA">
      <w:pPr>
        <w:widowControl/>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《技术条款响应正负偏离表》</w:t>
      </w:r>
    </w:p>
    <w:p w14:paraId="074559B5">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供应商必须满足响应文件中针对产品设备提出的全部技术规格与要求，逐一逐条响应填写《技术条款响应正负偏离表》；</w:t>
      </w:r>
    </w:p>
    <w:p w14:paraId="688DC4D8">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供应商提供的货物和服务与采购人提出的项目需求说明中的技术要求不同，必须在逐一逐条填写响应的《技术条款响应正负偏离表》上明示偏离的部分。</w:t>
      </w:r>
    </w:p>
    <w:p w14:paraId="30329481">
      <w:pPr>
        <w:tabs>
          <w:tab w:val="left" w:pos="720"/>
        </w:tabs>
        <w:spacing w:line="420" w:lineRule="exact"/>
        <w:ind w:firstLine="48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《技术条款响应正负偏离表》</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243"/>
        <w:gridCol w:w="1599"/>
        <w:gridCol w:w="1767"/>
        <w:gridCol w:w="2019"/>
        <w:gridCol w:w="1363"/>
        <w:gridCol w:w="809"/>
      </w:tblGrid>
      <w:tr w14:paraId="30A05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743" w:type="dxa"/>
            <w:noWrap w:val="0"/>
            <w:vAlign w:val="center"/>
          </w:tcPr>
          <w:p w14:paraId="49CB0F44">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43" w:type="dxa"/>
            <w:noWrap w:val="0"/>
            <w:vAlign w:val="center"/>
          </w:tcPr>
          <w:p w14:paraId="5D9F956C">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599" w:type="dxa"/>
            <w:noWrap w:val="0"/>
            <w:vAlign w:val="center"/>
          </w:tcPr>
          <w:p w14:paraId="77068702">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品牌型号</w:t>
            </w:r>
          </w:p>
        </w:tc>
        <w:tc>
          <w:tcPr>
            <w:tcW w:w="1767" w:type="dxa"/>
            <w:noWrap w:val="0"/>
            <w:vAlign w:val="center"/>
          </w:tcPr>
          <w:p w14:paraId="1416325F">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公开招标文件设备参数要求</w:t>
            </w:r>
          </w:p>
        </w:tc>
        <w:tc>
          <w:tcPr>
            <w:tcW w:w="2019" w:type="dxa"/>
            <w:noWrap w:val="0"/>
            <w:vAlign w:val="center"/>
          </w:tcPr>
          <w:p w14:paraId="7537E5AC">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所投设备</w:t>
            </w:r>
          </w:p>
          <w:p w14:paraId="2F4FA1C0">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技术响应参数</w:t>
            </w:r>
          </w:p>
        </w:tc>
        <w:tc>
          <w:tcPr>
            <w:tcW w:w="1363" w:type="dxa"/>
            <w:noWrap w:val="0"/>
            <w:vAlign w:val="center"/>
          </w:tcPr>
          <w:p w14:paraId="7FF5D35B">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偏离/响应</w:t>
            </w:r>
          </w:p>
        </w:tc>
        <w:tc>
          <w:tcPr>
            <w:tcW w:w="809" w:type="dxa"/>
            <w:noWrap w:val="0"/>
            <w:vAlign w:val="center"/>
          </w:tcPr>
          <w:p w14:paraId="2D0AB1CD">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14:paraId="27C34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noWrap w:val="0"/>
            <w:vAlign w:val="center"/>
          </w:tcPr>
          <w:p w14:paraId="120C4687">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43" w:type="dxa"/>
            <w:noWrap w:val="0"/>
            <w:vAlign w:val="center"/>
          </w:tcPr>
          <w:p w14:paraId="7146A44B">
            <w:pPr>
              <w:spacing w:line="420" w:lineRule="exact"/>
              <w:jc w:val="center"/>
              <w:rPr>
                <w:rFonts w:hint="eastAsia" w:ascii="宋体" w:hAnsi="宋体" w:eastAsia="宋体" w:cs="宋体"/>
                <w:color w:val="auto"/>
                <w:sz w:val="24"/>
                <w:szCs w:val="24"/>
                <w:highlight w:val="none"/>
              </w:rPr>
            </w:pPr>
          </w:p>
        </w:tc>
        <w:tc>
          <w:tcPr>
            <w:tcW w:w="1599" w:type="dxa"/>
            <w:noWrap w:val="0"/>
            <w:vAlign w:val="center"/>
          </w:tcPr>
          <w:p w14:paraId="0CDB396F">
            <w:pPr>
              <w:spacing w:line="420" w:lineRule="exact"/>
              <w:jc w:val="center"/>
              <w:rPr>
                <w:rFonts w:hint="eastAsia" w:ascii="宋体" w:hAnsi="宋体" w:eastAsia="宋体" w:cs="宋体"/>
                <w:color w:val="auto"/>
                <w:sz w:val="24"/>
                <w:szCs w:val="24"/>
                <w:highlight w:val="none"/>
              </w:rPr>
            </w:pPr>
          </w:p>
        </w:tc>
        <w:tc>
          <w:tcPr>
            <w:tcW w:w="1767" w:type="dxa"/>
            <w:noWrap w:val="0"/>
            <w:vAlign w:val="center"/>
          </w:tcPr>
          <w:p w14:paraId="0764A00B">
            <w:pPr>
              <w:spacing w:line="420" w:lineRule="exact"/>
              <w:jc w:val="center"/>
              <w:rPr>
                <w:rFonts w:hint="eastAsia" w:ascii="宋体" w:hAnsi="宋体" w:eastAsia="宋体" w:cs="宋体"/>
                <w:color w:val="auto"/>
                <w:sz w:val="24"/>
                <w:szCs w:val="24"/>
                <w:highlight w:val="none"/>
              </w:rPr>
            </w:pPr>
          </w:p>
        </w:tc>
        <w:tc>
          <w:tcPr>
            <w:tcW w:w="2019" w:type="dxa"/>
            <w:noWrap w:val="0"/>
            <w:vAlign w:val="center"/>
          </w:tcPr>
          <w:p w14:paraId="7B523BAF">
            <w:pPr>
              <w:spacing w:line="420" w:lineRule="exact"/>
              <w:jc w:val="center"/>
              <w:rPr>
                <w:rFonts w:hint="eastAsia" w:ascii="宋体" w:hAnsi="宋体" w:eastAsia="宋体" w:cs="宋体"/>
                <w:color w:val="auto"/>
                <w:sz w:val="24"/>
                <w:szCs w:val="24"/>
                <w:highlight w:val="none"/>
              </w:rPr>
            </w:pPr>
          </w:p>
        </w:tc>
        <w:tc>
          <w:tcPr>
            <w:tcW w:w="1363" w:type="dxa"/>
            <w:noWrap w:val="0"/>
            <w:vAlign w:val="center"/>
          </w:tcPr>
          <w:p w14:paraId="784C58A6">
            <w:pPr>
              <w:spacing w:line="420" w:lineRule="exact"/>
              <w:jc w:val="center"/>
              <w:rPr>
                <w:rFonts w:hint="eastAsia" w:ascii="宋体" w:hAnsi="宋体" w:eastAsia="宋体" w:cs="宋体"/>
                <w:color w:val="auto"/>
                <w:sz w:val="24"/>
                <w:szCs w:val="24"/>
                <w:highlight w:val="none"/>
              </w:rPr>
            </w:pPr>
          </w:p>
        </w:tc>
        <w:tc>
          <w:tcPr>
            <w:tcW w:w="809" w:type="dxa"/>
            <w:noWrap w:val="0"/>
            <w:vAlign w:val="center"/>
          </w:tcPr>
          <w:p w14:paraId="435E1F2C">
            <w:pPr>
              <w:spacing w:line="420" w:lineRule="exact"/>
              <w:jc w:val="center"/>
              <w:rPr>
                <w:rFonts w:hint="eastAsia" w:ascii="宋体" w:hAnsi="宋体" w:eastAsia="宋体" w:cs="宋体"/>
                <w:color w:val="auto"/>
                <w:sz w:val="24"/>
                <w:szCs w:val="24"/>
                <w:highlight w:val="none"/>
              </w:rPr>
            </w:pPr>
          </w:p>
        </w:tc>
      </w:tr>
      <w:tr w14:paraId="0E718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noWrap w:val="0"/>
            <w:vAlign w:val="center"/>
          </w:tcPr>
          <w:p w14:paraId="0DBAEFC4">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43" w:type="dxa"/>
            <w:noWrap w:val="0"/>
            <w:vAlign w:val="center"/>
          </w:tcPr>
          <w:p w14:paraId="1E946080">
            <w:pPr>
              <w:spacing w:line="420" w:lineRule="exact"/>
              <w:jc w:val="center"/>
              <w:rPr>
                <w:rFonts w:hint="eastAsia" w:ascii="宋体" w:hAnsi="宋体" w:eastAsia="宋体" w:cs="宋体"/>
                <w:color w:val="auto"/>
                <w:sz w:val="24"/>
                <w:szCs w:val="24"/>
                <w:highlight w:val="none"/>
              </w:rPr>
            </w:pPr>
          </w:p>
        </w:tc>
        <w:tc>
          <w:tcPr>
            <w:tcW w:w="1599" w:type="dxa"/>
            <w:noWrap w:val="0"/>
            <w:vAlign w:val="center"/>
          </w:tcPr>
          <w:p w14:paraId="7FCEF544">
            <w:pPr>
              <w:spacing w:line="420" w:lineRule="exact"/>
              <w:jc w:val="center"/>
              <w:rPr>
                <w:rFonts w:hint="eastAsia" w:ascii="宋体" w:hAnsi="宋体" w:eastAsia="宋体" w:cs="宋体"/>
                <w:color w:val="auto"/>
                <w:sz w:val="24"/>
                <w:szCs w:val="24"/>
                <w:highlight w:val="none"/>
              </w:rPr>
            </w:pPr>
          </w:p>
        </w:tc>
        <w:tc>
          <w:tcPr>
            <w:tcW w:w="1767" w:type="dxa"/>
            <w:noWrap w:val="0"/>
            <w:vAlign w:val="center"/>
          </w:tcPr>
          <w:p w14:paraId="47C90276">
            <w:pPr>
              <w:spacing w:line="420" w:lineRule="exact"/>
              <w:jc w:val="center"/>
              <w:rPr>
                <w:rFonts w:hint="eastAsia" w:ascii="宋体" w:hAnsi="宋体" w:eastAsia="宋体" w:cs="宋体"/>
                <w:color w:val="auto"/>
                <w:sz w:val="24"/>
                <w:szCs w:val="24"/>
                <w:highlight w:val="none"/>
              </w:rPr>
            </w:pPr>
          </w:p>
        </w:tc>
        <w:tc>
          <w:tcPr>
            <w:tcW w:w="2019" w:type="dxa"/>
            <w:noWrap w:val="0"/>
            <w:vAlign w:val="center"/>
          </w:tcPr>
          <w:p w14:paraId="1ECC0881">
            <w:pPr>
              <w:spacing w:line="420" w:lineRule="exact"/>
              <w:jc w:val="center"/>
              <w:rPr>
                <w:rFonts w:hint="eastAsia" w:ascii="宋体" w:hAnsi="宋体" w:eastAsia="宋体" w:cs="宋体"/>
                <w:color w:val="auto"/>
                <w:sz w:val="24"/>
                <w:szCs w:val="24"/>
                <w:highlight w:val="none"/>
              </w:rPr>
            </w:pPr>
          </w:p>
        </w:tc>
        <w:tc>
          <w:tcPr>
            <w:tcW w:w="1363" w:type="dxa"/>
            <w:noWrap w:val="0"/>
            <w:vAlign w:val="center"/>
          </w:tcPr>
          <w:p w14:paraId="4235A8E2">
            <w:pPr>
              <w:spacing w:line="420" w:lineRule="exact"/>
              <w:jc w:val="center"/>
              <w:rPr>
                <w:rFonts w:hint="eastAsia" w:ascii="宋体" w:hAnsi="宋体" w:eastAsia="宋体" w:cs="宋体"/>
                <w:color w:val="auto"/>
                <w:sz w:val="24"/>
                <w:szCs w:val="24"/>
                <w:highlight w:val="none"/>
              </w:rPr>
            </w:pPr>
          </w:p>
        </w:tc>
        <w:tc>
          <w:tcPr>
            <w:tcW w:w="809" w:type="dxa"/>
            <w:noWrap w:val="0"/>
            <w:vAlign w:val="center"/>
          </w:tcPr>
          <w:p w14:paraId="349EB9B9">
            <w:pPr>
              <w:spacing w:line="420" w:lineRule="exact"/>
              <w:jc w:val="center"/>
              <w:rPr>
                <w:rFonts w:hint="eastAsia" w:ascii="宋体" w:hAnsi="宋体" w:eastAsia="宋体" w:cs="宋体"/>
                <w:color w:val="auto"/>
                <w:sz w:val="24"/>
                <w:szCs w:val="24"/>
                <w:highlight w:val="none"/>
              </w:rPr>
            </w:pPr>
          </w:p>
        </w:tc>
      </w:tr>
    </w:tbl>
    <w:p w14:paraId="23993929">
      <w:pPr>
        <w:spacing w:line="420" w:lineRule="exact"/>
        <w:ind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241ADAEB">
      <w:pPr>
        <w:spacing w:line="420" w:lineRule="exact"/>
        <w:ind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①公开招标响应供应商应对照公开招标文件第三章项目需求内的要求，逐一填写。</w:t>
      </w:r>
    </w:p>
    <w:p w14:paraId="060920DC">
      <w:pPr>
        <w:spacing w:line="420" w:lineRule="exact"/>
        <w:ind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公开招标响应供应商不能简单照搬照抄采购单位项目需求说明中的技术要求，必须作实事求是的响应。如照搬照抄项目需求说明中的技术要求的，中标后供应商在同采购单位签订合同和履约环节中不得提出异议，一切后果和损失由中标供应商承担。如公开招标响应供应商提供的货物和服务同采购单位提出的项目需求说明中的技术要求不同的，必须在《技术响应一览表》上明示。</w:t>
      </w:r>
    </w:p>
    <w:p w14:paraId="3E1DAB9F">
      <w:pPr>
        <w:spacing w:line="420" w:lineRule="exact"/>
        <w:ind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③该表不作为公开招标响应供应商对项目需求产品技术要求等的详细描述和说明的替代。</w:t>
      </w:r>
    </w:p>
    <w:p w14:paraId="310C3774">
      <w:pPr>
        <w:spacing w:line="420" w:lineRule="exact"/>
        <w:ind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④公开招标响应供应商如果虚假响应，将承担一切可能的风险。</w:t>
      </w:r>
    </w:p>
    <w:p w14:paraId="775ABDC9">
      <w:pPr>
        <w:spacing w:line="420" w:lineRule="exact"/>
        <w:ind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⑤</w:t>
      </w:r>
      <w:r>
        <w:rPr>
          <w:rFonts w:hint="eastAsia" w:ascii="宋体" w:hAnsi="宋体" w:eastAsia="宋体" w:cs="宋体"/>
          <w:color w:val="auto"/>
          <w:sz w:val="24"/>
          <w:szCs w:val="24"/>
          <w:highlight w:val="none"/>
        </w:rPr>
        <w:t>所投品牌型号，必须确定、唯一。</w:t>
      </w:r>
    </w:p>
    <w:p w14:paraId="29D60F19">
      <w:pPr>
        <w:spacing w:line="420" w:lineRule="exact"/>
        <w:ind w:firstLine="485"/>
        <w:rPr>
          <w:rFonts w:hint="eastAsia" w:ascii="宋体" w:hAnsi="宋体" w:eastAsia="宋体" w:cs="宋体"/>
          <w:color w:val="auto"/>
          <w:sz w:val="24"/>
          <w:szCs w:val="24"/>
          <w:highlight w:val="none"/>
        </w:rPr>
      </w:pPr>
    </w:p>
    <w:p w14:paraId="6713A544">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eastAsia="zh-CN"/>
        </w:rPr>
        <w:t>投标人</w:t>
      </w:r>
      <w:r>
        <w:rPr>
          <w:rFonts w:hint="eastAsia" w:ascii="宋体" w:hAnsi="宋体" w:eastAsia="宋体" w:cs="宋体"/>
          <w:bCs/>
          <w:color w:val="auto"/>
          <w:sz w:val="24"/>
          <w:highlight w:val="none"/>
        </w:rPr>
        <w:t>（加盖CA电子签章）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 xml:space="preserve"> </w:t>
      </w:r>
    </w:p>
    <w:p w14:paraId="7028517B">
      <w:pPr>
        <w:keepNext w:val="0"/>
        <w:keepLines w:val="0"/>
        <w:pageBreakBefore w:val="0"/>
        <w:widowControl w:val="0"/>
        <w:kinsoku/>
        <w:wordWrap/>
        <w:overflowPunct/>
        <w:topLinePunct w:val="0"/>
        <w:autoSpaceDE/>
        <w:autoSpaceDN/>
        <w:bidi w:val="0"/>
        <w:adjustRightInd/>
        <w:snapToGrid w:val="0"/>
        <w:spacing w:line="360" w:lineRule="auto"/>
        <w:jc w:val="right"/>
        <w:textAlignment w:val="auto"/>
        <w:outlineLvl w:val="4"/>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法定代表人或被授权人（签字或加盖CA电子签章</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lang w:val="en-US" w:eastAsia="zh-CN"/>
        </w:rPr>
        <w:t xml:space="preserve"> </w:t>
      </w:r>
    </w:p>
    <w:p w14:paraId="0E349C1C">
      <w:pPr>
        <w:spacing w:line="420" w:lineRule="exact"/>
        <w:jc w:val="right"/>
        <w:rPr>
          <w:rFonts w:hint="eastAsia" w:ascii="宋体" w:hAnsi="宋体" w:eastAsia="宋体" w:cs="宋体"/>
          <w:color w:val="auto"/>
          <w:sz w:val="30"/>
          <w:szCs w:val="30"/>
          <w:highlight w:val="none"/>
        </w:rPr>
      </w:pPr>
      <w:r>
        <w:rPr>
          <w:rFonts w:hint="eastAsia" w:ascii="宋体" w:hAnsi="宋体" w:eastAsia="宋体" w:cs="宋体"/>
          <w:bCs/>
          <w:color w:val="auto"/>
          <w:sz w:val="24"/>
          <w:highlight w:val="none"/>
          <w:lang w:val="zh-CN"/>
        </w:rPr>
        <w:t>时间：</w:t>
      </w:r>
      <w:r>
        <w:rPr>
          <w:rFonts w:hint="eastAsia" w:ascii="宋体" w:hAnsi="宋体" w:eastAsia="宋体" w:cs="宋体"/>
          <w:bCs/>
          <w:color w:val="auto"/>
          <w:sz w:val="24"/>
          <w:highlight w:val="none"/>
          <w:lang w:eastAsia="zh-CN"/>
        </w:rPr>
        <w:t>2026年</w:t>
      </w:r>
      <w:r>
        <w:rPr>
          <w:rFonts w:hint="eastAsia" w:ascii="宋体" w:hAnsi="宋体" w:eastAsia="宋体" w:cs="宋体"/>
          <w:bCs/>
          <w:color w:val="auto"/>
          <w:sz w:val="24"/>
          <w:highlight w:val="none"/>
          <w:lang w:val="zh-CN"/>
        </w:rPr>
        <w:t xml:space="preserve">  月   日</w:t>
      </w:r>
    </w:p>
    <w:p w14:paraId="01A8312D">
      <w:pPr>
        <w:widowControl/>
        <w:ind w:firstLine="482"/>
        <w:jc w:val="left"/>
        <w:rPr>
          <w:rFonts w:hint="eastAsia" w:ascii="宋体" w:hAnsi="宋体" w:eastAsia="宋体" w:cs="宋体"/>
          <w:b/>
          <w:bCs/>
          <w:color w:val="auto"/>
          <w:sz w:val="24"/>
          <w:szCs w:val="21"/>
          <w:highlight w:val="none"/>
        </w:rPr>
      </w:pPr>
    </w:p>
    <w:p w14:paraId="1212F7ED">
      <w:pPr>
        <w:widowControl/>
        <w:jc w:val="left"/>
        <w:rPr>
          <w:rFonts w:hint="eastAsia" w:ascii="宋体" w:hAnsi="宋体" w:eastAsia="宋体" w:cs="宋体"/>
        </w:rPr>
      </w:pPr>
    </w:p>
    <w:p w14:paraId="6FF70F37">
      <w:pPr>
        <w:rPr>
          <w:rFonts w:hint="eastAsia" w:ascii="宋体" w:hAnsi="宋体" w:eastAsia="宋体" w:cs="宋体"/>
        </w:rPr>
      </w:pPr>
      <w:r>
        <w:rPr>
          <w:rFonts w:hint="eastAsia" w:ascii="宋体" w:hAnsi="宋体" w:eastAsia="宋体" w:cs="宋体"/>
        </w:rPr>
        <w:br w:type="page"/>
      </w:r>
    </w:p>
    <w:p w14:paraId="0F9C426A">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4"/>
          <w:szCs w:val="21"/>
          <w:highlight w:val="none"/>
        </w:rPr>
        <w:t>附件</w:t>
      </w:r>
      <w:r>
        <w:rPr>
          <w:rFonts w:hint="eastAsia" w:ascii="宋体" w:hAnsi="宋体" w:eastAsia="宋体" w:cs="宋体"/>
          <w:b/>
          <w:bCs/>
          <w:color w:val="auto"/>
          <w:sz w:val="24"/>
          <w:szCs w:val="21"/>
          <w:highlight w:val="none"/>
          <w:lang w:val="en-US" w:eastAsia="zh-CN"/>
        </w:rPr>
        <w:t>13：</w:t>
      </w:r>
    </w:p>
    <w:p w14:paraId="72C3F4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中小企业声明函（工程、服务）</w:t>
      </w:r>
    </w:p>
    <w:p w14:paraId="4BD95AF4">
      <w:pPr>
        <w:snapToGrid w:val="0"/>
        <w:spacing w:line="360" w:lineRule="auto"/>
        <w:ind w:firstLine="480" w:firstLineChars="200"/>
        <w:outlineLvl w:val="0"/>
        <w:rPr>
          <w:rFonts w:hint="eastAsia" w:ascii="宋体" w:hAnsi="宋体" w:eastAsia="宋体" w:cs="宋体"/>
          <w:color w:val="auto"/>
          <w:sz w:val="24"/>
          <w:szCs w:val="24"/>
          <w:highlight w:val="none"/>
          <w:lang w:bidi="zh-CN"/>
        </w:rPr>
      </w:pPr>
    </w:p>
    <w:p w14:paraId="6DD8DE89">
      <w:pPr>
        <w:snapToGrid w:val="0"/>
        <w:spacing w:line="360" w:lineRule="auto"/>
        <w:ind w:firstLine="480" w:firstLineChars="200"/>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lang w:bidi="zh-CN"/>
        </w:rPr>
        <w:t>（单位名称）</w:t>
      </w:r>
      <w:r>
        <w:rPr>
          <w:rFonts w:hint="eastAsia"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u w:val="single"/>
          <w:lang w:bidi="zh-CN"/>
        </w:rPr>
        <w:t>（项目名称）</w:t>
      </w:r>
      <w:r>
        <w:rPr>
          <w:rFonts w:hint="eastAsia" w:ascii="宋体" w:hAnsi="宋体" w:eastAsia="宋体" w:cs="宋体"/>
          <w:color w:val="auto"/>
          <w:sz w:val="24"/>
          <w:szCs w:val="24"/>
          <w:highlight w:val="none"/>
          <w:lang w:bidi="zh-CN"/>
        </w:rPr>
        <w:t>采购活动，工程的施工单位全部为符合政策要求的中小企业（或者：服务全部由符合政策要求的中小企业承接）。相关企业（含联合 体中的中小企业、签订分包意向协议的中小企业）的具体情况如下：</w:t>
      </w:r>
    </w:p>
    <w:p w14:paraId="3F88B34A">
      <w:pPr>
        <w:snapToGrid w:val="0"/>
        <w:spacing w:line="360" w:lineRule="auto"/>
        <w:jc w:val="left"/>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1.</w:t>
      </w:r>
      <w:r>
        <w:rPr>
          <w:rFonts w:hint="eastAsia" w:ascii="宋体" w:hAnsi="宋体" w:eastAsia="宋体" w:cs="宋体"/>
          <w:color w:val="auto"/>
          <w:sz w:val="24"/>
          <w:szCs w:val="24"/>
          <w:highlight w:val="none"/>
          <w:u w:val="single"/>
          <w:lang w:bidi="zh-CN"/>
        </w:rPr>
        <w:t>（标的名称）</w:t>
      </w:r>
      <w:r>
        <w:rPr>
          <w:rFonts w:hint="eastAsia" w:ascii="宋体" w:hAnsi="宋体" w:eastAsia="宋体" w:cs="宋体"/>
          <w:color w:val="auto"/>
          <w:sz w:val="24"/>
          <w:szCs w:val="24"/>
          <w:highlight w:val="none"/>
          <w:lang w:bidi="zh-CN"/>
        </w:rPr>
        <w:t>，属于（</w:t>
      </w:r>
      <w:r>
        <w:rPr>
          <w:rFonts w:hint="eastAsia" w:ascii="宋体" w:hAnsi="宋体" w:eastAsia="宋体" w:cs="宋体"/>
          <w:color w:val="auto"/>
          <w:sz w:val="24"/>
          <w:szCs w:val="24"/>
          <w:highlight w:val="none"/>
          <w:u w:val="single"/>
          <w:lang w:bidi="zh-CN"/>
        </w:rPr>
        <w:t>采购文件中明确的所属行业）</w:t>
      </w:r>
      <w:r>
        <w:rPr>
          <w:rFonts w:hint="eastAsia" w:ascii="宋体" w:hAnsi="宋体" w:eastAsia="宋体" w:cs="宋体"/>
          <w:color w:val="auto"/>
          <w:sz w:val="24"/>
          <w:szCs w:val="24"/>
          <w:highlight w:val="none"/>
          <w:lang w:bidi="zh-CN"/>
        </w:rPr>
        <w:t>；承建（承接）企业为</w:t>
      </w:r>
      <w:r>
        <w:rPr>
          <w:rFonts w:hint="eastAsia" w:ascii="宋体" w:hAnsi="宋体" w:eastAsia="宋体" w:cs="宋体"/>
          <w:color w:val="auto"/>
          <w:sz w:val="24"/>
          <w:szCs w:val="24"/>
          <w:highlight w:val="none"/>
          <w:u w:val="single"/>
          <w:lang w:bidi="zh-CN"/>
        </w:rPr>
        <w:t>（企业名称）</w:t>
      </w:r>
      <w:r>
        <w:rPr>
          <w:rFonts w:hint="eastAsia" w:ascii="宋体" w:hAnsi="宋体" w:eastAsia="宋体" w:cs="宋体"/>
          <w:color w:val="auto"/>
          <w:sz w:val="24"/>
          <w:szCs w:val="24"/>
          <w:highlight w:val="none"/>
          <w:lang w:bidi="zh-CN"/>
        </w:rPr>
        <w:t>，从业人员</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人，营业收入为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万元，资产总额为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万元，属于</w:t>
      </w:r>
      <w:r>
        <w:rPr>
          <w:rFonts w:hint="eastAsia" w:ascii="宋体" w:hAnsi="宋体" w:eastAsia="宋体" w:cs="宋体"/>
          <w:color w:val="auto"/>
          <w:sz w:val="24"/>
          <w:szCs w:val="24"/>
          <w:highlight w:val="none"/>
          <w:u w:val="single"/>
          <w:lang w:bidi="zh-CN"/>
        </w:rPr>
        <w:t>（中型企业、小型企业、微型企业）</w:t>
      </w:r>
      <w:r>
        <w:rPr>
          <w:rFonts w:hint="eastAsia" w:ascii="宋体" w:hAnsi="宋体" w:eastAsia="宋体" w:cs="宋体"/>
          <w:color w:val="auto"/>
          <w:sz w:val="24"/>
          <w:szCs w:val="24"/>
          <w:highlight w:val="none"/>
          <w:lang w:bidi="zh-CN"/>
        </w:rPr>
        <w:t>；</w:t>
      </w:r>
    </w:p>
    <w:p w14:paraId="028D2D10">
      <w:pPr>
        <w:snapToGrid w:val="0"/>
        <w:spacing w:line="360" w:lineRule="auto"/>
        <w:jc w:val="left"/>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2.</w:t>
      </w:r>
      <w:r>
        <w:rPr>
          <w:rFonts w:hint="eastAsia" w:ascii="宋体" w:hAnsi="宋体" w:eastAsia="宋体" w:cs="宋体"/>
          <w:color w:val="auto"/>
          <w:sz w:val="24"/>
          <w:szCs w:val="24"/>
          <w:highlight w:val="none"/>
          <w:u w:val="single"/>
          <w:lang w:bidi="zh-CN"/>
        </w:rPr>
        <w:t>（标的名称）</w:t>
      </w:r>
      <w:r>
        <w:rPr>
          <w:rFonts w:hint="eastAsia" w:ascii="宋体" w:hAnsi="宋体" w:eastAsia="宋体" w:cs="宋体"/>
          <w:color w:val="auto"/>
          <w:sz w:val="24"/>
          <w:szCs w:val="24"/>
          <w:highlight w:val="none"/>
          <w:lang w:bidi="zh-CN"/>
        </w:rPr>
        <w:t>，属于（</w:t>
      </w:r>
      <w:r>
        <w:rPr>
          <w:rFonts w:hint="eastAsia" w:ascii="宋体" w:hAnsi="宋体" w:eastAsia="宋体" w:cs="宋体"/>
          <w:color w:val="auto"/>
          <w:sz w:val="24"/>
          <w:szCs w:val="24"/>
          <w:highlight w:val="none"/>
          <w:u w:val="single"/>
          <w:lang w:bidi="zh-CN"/>
        </w:rPr>
        <w:t>采购文件中明确的所属行业）</w:t>
      </w:r>
      <w:r>
        <w:rPr>
          <w:rFonts w:hint="eastAsia" w:ascii="宋体" w:hAnsi="宋体" w:eastAsia="宋体" w:cs="宋体"/>
          <w:color w:val="auto"/>
          <w:sz w:val="24"/>
          <w:szCs w:val="24"/>
          <w:highlight w:val="none"/>
          <w:lang w:bidi="zh-CN"/>
        </w:rPr>
        <w:t>；承建（承接）企业为</w:t>
      </w:r>
      <w:r>
        <w:rPr>
          <w:rFonts w:hint="eastAsia" w:ascii="宋体" w:hAnsi="宋体" w:eastAsia="宋体" w:cs="宋体"/>
          <w:color w:val="auto"/>
          <w:sz w:val="24"/>
          <w:szCs w:val="24"/>
          <w:highlight w:val="none"/>
          <w:u w:val="single"/>
          <w:lang w:bidi="zh-CN"/>
        </w:rPr>
        <w:t>（企业名称）</w:t>
      </w:r>
      <w:r>
        <w:rPr>
          <w:rFonts w:hint="eastAsia" w:ascii="宋体" w:hAnsi="宋体" w:eastAsia="宋体" w:cs="宋体"/>
          <w:color w:val="auto"/>
          <w:sz w:val="24"/>
          <w:szCs w:val="24"/>
          <w:highlight w:val="none"/>
          <w:lang w:bidi="zh-CN"/>
        </w:rPr>
        <w:t>，从业人员</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人，营业收入为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万元，资产总额为</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u w:val="single"/>
          <w:lang w:bidi="zh-CN"/>
        </w:rPr>
        <w:tab/>
      </w:r>
      <w:r>
        <w:rPr>
          <w:rFonts w:hint="eastAsia" w:ascii="宋体" w:hAnsi="宋体" w:eastAsia="宋体" w:cs="宋体"/>
          <w:color w:val="auto"/>
          <w:sz w:val="24"/>
          <w:szCs w:val="24"/>
          <w:highlight w:val="none"/>
          <w:lang w:bidi="zh-CN"/>
        </w:rPr>
        <w:t>万元，属于</w:t>
      </w:r>
      <w:r>
        <w:rPr>
          <w:rFonts w:hint="eastAsia" w:ascii="宋体" w:hAnsi="宋体" w:eastAsia="宋体" w:cs="宋体"/>
          <w:color w:val="auto"/>
          <w:sz w:val="24"/>
          <w:szCs w:val="24"/>
          <w:highlight w:val="none"/>
          <w:u w:val="single"/>
          <w:lang w:bidi="zh-CN"/>
        </w:rPr>
        <w:t>（中型企业、小型企业、微型企业）</w:t>
      </w:r>
      <w:r>
        <w:rPr>
          <w:rFonts w:hint="eastAsia" w:ascii="宋体" w:hAnsi="宋体" w:eastAsia="宋体" w:cs="宋体"/>
          <w:color w:val="auto"/>
          <w:sz w:val="24"/>
          <w:szCs w:val="24"/>
          <w:highlight w:val="none"/>
          <w:lang w:bidi="zh-CN"/>
        </w:rPr>
        <w:t>；</w:t>
      </w:r>
    </w:p>
    <w:p w14:paraId="2C572AE6">
      <w:pPr>
        <w:snapToGrid w:val="0"/>
        <w:spacing w:line="360" w:lineRule="auto"/>
        <w:jc w:val="left"/>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p>
    <w:p w14:paraId="4FD14274">
      <w:pPr>
        <w:snapToGrid w:val="0"/>
        <w:spacing w:line="360" w:lineRule="auto"/>
        <w:ind w:firstLine="480" w:firstLineChars="200"/>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以上企业，不属于大企业的分支机构，不存在控股股东为大企业的情形，也不存在与大企业的负责人为同一人的情形。</w:t>
      </w:r>
    </w:p>
    <w:p w14:paraId="3F92AC54">
      <w:pPr>
        <w:snapToGrid w:val="0"/>
        <w:spacing w:line="360" w:lineRule="auto"/>
        <w:ind w:firstLine="480" w:firstLineChars="200"/>
        <w:outlineLvl w:val="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本企业对上述声明内容的真实性负责。如有虚假，将依法承担相应责任。</w:t>
      </w:r>
    </w:p>
    <w:p w14:paraId="34CCCBC7">
      <w:pPr>
        <w:snapToGrid w:val="0"/>
        <w:spacing w:line="300" w:lineRule="auto"/>
        <w:outlineLvl w:val="0"/>
        <w:rPr>
          <w:rFonts w:hint="eastAsia" w:ascii="宋体" w:hAnsi="宋体" w:eastAsia="宋体" w:cs="宋体"/>
          <w:color w:val="auto"/>
          <w:szCs w:val="21"/>
          <w:highlight w:val="none"/>
          <w:lang w:bidi="zh-CN"/>
        </w:rPr>
      </w:pPr>
    </w:p>
    <w:p w14:paraId="289736BA">
      <w:pPr>
        <w:snapToGrid w:val="0"/>
        <w:spacing w:line="300" w:lineRule="auto"/>
        <w:outlineLvl w:val="0"/>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注：1.如项目属性为“服务”或“工程”，请按本表填写。</w:t>
      </w:r>
    </w:p>
    <w:p w14:paraId="4A86AE2B">
      <w:pPr>
        <w:snapToGrid w:val="0"/>
        <w:spacing w:line="300" w:lineRule="auto"/>
        <w:ind w:firstLine="420" w:firstLineChars="200"/>
        <w:outlineLvl w:val="0"/>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2.从业人员、营业收入、资产总额填报上一年度数据，无上一年度数据的新成立企业可不填报。</w:t>
      </w:r>
    </w:p>
    <w:p w14:paraId="59D46DF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0"/>
        <w:rPr>
          <w:rFonts w:hint="eastAsia" w:ascii="宋体" w:hAnsi="宋体" w:eastAsia="宋体" w:cs="宋体"/>
          <w:color w:val="auto"/>
          <w:sz w:val="21"/>
          <w:szCs w:val="21"/>
          <w:highlight w:val="none"/>
          <w:lang w:bidi="zh-CN"/>
        </w:rPr>
      </w:pPr>
      <w:r>
        <w:rPr>
          <w:rFonts w:hint="eastAsia" w:ascii="宋体" w:hAnsi="宋体" w:eastAsia="宋体" w:cs="宋体"/>
          <w:color w:val="auto"/>
          <w:sz w:val="21"/>
          <w:szCs w:val="21"/>
          <w:highlight w:val="none"/>
          <w:lang w:bidi="zh-CN"/>
        </w:rPr>
        <w:t>3.中标（成交）供应商的《中小企业声明函》将随中标（成交）结果公告进行公示。供应商按照本办法规定提供声明函内容不实的，属于提供虚假材料谋取中标、成交，依照《中华人民共和国政府采购法》等国家有关规定追究相应责任。</w:t>
      </w:r>
    </w:p>
    <w:p w14:paraId="11EFADE6">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outlineLvl w:val="0"/>
        <w:rPr>
          <w:rFonts w:hint="eastAsia" w:ascii="宋体" w:hAnsi="宋体" w:eastAsia="宋体" w:cs="宋体"/>
          <w:color w:val="auto"/>
          <w:sz w:val="24"/>
          <w:szCs w:val="24"/>
          <w:highlight w:val="none"/>
          <w:lang w:bidi="zh-CN"/>
        </w:rPr>
      </w:pPr>
    </w:p>
    <w:p w14:paraId="6B5E2BB7">
      <w:pPr>
        <w:keepNext w:val="0"/>
        <w:keepLines w:val="0"/>
        <w:pageBreakBefore w:val="0"/>
        <w:widowControl w:val="0"/>
        <w:kinsoku/>
        <w:wordWrap/>
        <w:overflowPunct/>
        <w:topLinePunct w:val="0"/>
        <w:autoSpaceDE/>
        <w:autoSpaceDN/>
        <w:bidi w:val="0"/>
        <w:adjustRightInd/>
        <w:spacing w:line="360" w:lineRule="auto"/>
        <w:ind w:firstLine="4200"/>
        <w:jc w:val="center"/>
        <w:textAlignment w:val="auto"/>
        <w:outlineLvl w:val="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bidi="zh-CN"/>
        </w:rPr>
        <w:t>企业名称（</w:t>
      </w:r>
      <w:r>
        <w:rPr>
          <w:rFonts w:hint="eastAsia" w:ascii="宋体" w:hAnsi="宋体" w:eastAsia="宋体" w:cs="宋体"/>
          <w:bCs/>
          <w:color w:val="auto"/>
          <w:sz w:val="24"/>
          <w:highlight w:val="none"/>
        </w:rPr>
        <w:t>加盖CA电子签章</w:t>
      </w:r>
      <w:r>
        <w:rPr>
          <w:rFonts w:hint="eastAsia" w:ascii="宋体" w:hAnsi="宋体" w:eastAsia="宋体" w:cs="宋体"/>
          <w:color w:val="auto"/>
          <w:sz w:val="24"/>
          <w:szCs w:val="28"/>
          <w:highlight w:val="none"/>
          <w:lang w:bidi="zh-CN"/>
        </w:rPr>
        <w:t>）：</w:t>
      </w:r>
    </w:p>
    <w:p w14:paraId="3FADD81B">
      <w:pPr>
        <w:keepNext w:val="0"/>
        <w:keepLines w:val="0"/>
        <w:pageBreakBefore w:val="0"/>
        <w:widowControl w:val="0"/>
        <w:kinsoku/>
        <w:wordWrap/>
        <w:overflowPunct/>
        <w:topLinePunct w:val="0"/>
        <w:autoSpaceDE/>
        <w:autoSpaceDN/>
        <w:bidi w:val="0"/>
        <w:adjustRightInd/>
        <w:spacing w:line="360" w:lineRule="auto"/>
        <w:ind w:firstLine="4800" w:firstLineChars="2000"/>
        <w:textAlignment w:val="auto"/>
        <w:outlineLvl w:val="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bidi="zh-CN"/>
        </w:rPr>
        <w:t>日 期：</w:t>
      </w:r>
    </w:p>
    <w:p w14:paraId="539B032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4"/>
          <w:szCs w:val="21"/>
          <w:highlight w:val="none"/>
        </w:rPr>
        <w:br w:type="page" w:clear="all"/>
      </w:r>
      <w:r>
        <w:rPr>
          <w:rFonts w:hint="eastAsia" w:ascii="宋体" w:hAnsi="宋体" w:eastAsia="宋体" w:cs="宋体"/>
          <w:b/>
          <w:bCs/>
          <w:color w:val="auto"/>
          <w:sz w:val="28"/>
          <w:szCs w:val="28"/>
          <w:highlight w:val="none"/>
          <w:lang w:val="en-US" w:eastAsia="zh-CN"/>
        </w:rPr>
        <w:t>残疾人福利性单位声明函</w:t>
      </w:r>
    </w:p>
    <w:p w14:paraId="2EBFEA2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0CD58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6C4677F9">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供应商公章：</w:t>
      </w:r>
    </w:p>
    <w:p w14:paraId="1A015C40">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p>
    <w:p w14:paraId="156E571F">
      <w:pPr>
        <w:keepNext w:val="0"/>
        <w:keepLines w:val="0"/>
        <w:pageBreakBefore w:val="0"/>
        <w:widowControl w:val="0"/>
        <w:kinsoku/>
        <w:wordWrap/>
        <w:overflowPunct/>
        <w:topLinePunct w:val="0"/>
        <w:autoSpaceDE/>
        <w:autoSpaceDN/>
        <w:bidi w:val="0"/>
        <w:adjustRightInd/>
        <w:snapToGrid/>
        <w:spacing w:line="360" w:lineRule="auto"/>
        <w:ind w:firstLine="566"/>
        <w:textAlignment w:val="auto"/>
        <w:rPr>
          <w:rFonts w:hint="eastAsia" w:ascii="宋体" w:hAnsi="宋体" w:eastAsia="宋体" w:cs="宋体"/>
          <w:color w:val="auto"/>
          <w:sz w:val="24"/>
          <w:szCs w:val="26"/>
          <w:highlight w:val="none"/>
        </w:rPr>
      </w:pPr>
    </w:p>
    <w:p w14:paraId="1B263AFB">
      <w:pPr>
        <w:keepNext w:val="0"/>
        <w:keepLines w:val="0"/>
        <w:pageBreakBefore w:val="0"/>
        <w:widowControl w:val="0"/>
        <w:kinsoku/>
        <w:wordWrap/>
        <w:overflowPunct/>
        <w:topLinePunct w:val="0"/>
        <w:autoSpaceDE/>
        <w:autoSpaceDN/>
        <w:bidi w:val="0"/>
        <w:adjustRightInd/>
        <w:snapToGrid/>
        <w:spacing w:line="360" w:lineRule="auto"/>
        <w:ind w:firstLine="566"/>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享受政府采购支持政策的残疾人福利性单位应当同时满足以下条件：</w:t>
      </w:r>
    </w:p>
    <w:p w14:paraId="5209393A">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（一）安置的残疾人占本单位在职职工人数的比例不低于25%（含25%），并且安置的残疾人人数不少于10人（含10人）；</w:t>
      </w:r>
    </w:p>
    <w:p w14:paraId="78E2473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（二）依法与安置的每位残疾人签订了一年以上（含一年）的劳动合同或服务协议；</w:t>
      </w:r>
    </w:p>
    <w:p w14:paraId="227904C7">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（三）为安置的每位残疾人按月足额缴纳了基本养老保险、基本医疗保险、失业保险、工伤保险和生育保险等社会保险费；</w:t>
      </w:r>
    </w:p>
    <w:p w14:paraId="779D2273">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（四）通过银行等金融机构向安置的每位残疾人，按月支付了不低于单位所在区县适用的经省级人民政府批准的月最低工资标准的工资；</w:t>
      </w:r>
    </w:p>
    <w:p w14:paraId="034D916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（五）提供本单位制造的货物、承担的工程或者服务（以下简称产品），或者提供其他残疾人福利性单位制造的货物（不包括使用非残疾人福利性单位注册商标的货物）。</w:t>
      </w:r>
    </w:p>
    <w:p w14:paraId="0B9901A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sz w:val="24"/>
          <w:szCs w:val="26"/>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r>
        <w:rPr>
          <w:rFonts w:hint="eastAsia" w:ascii="宋体" w:hAnsi="宋体" w:eastAsia="宋体" w:cs="宋体"/>
          <w:color w:val="auto"/>
          <w:highlight w:val="none"/>
        </w:rPr>
        <w:t xml:space="preserve">  </w:t>
      </w:r>
    </w:p>
    <w:p w14:paraId="51BD0284">
      <w:pP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br w:type="page"/>
      </w:r>
    </w:p>
    <w:p w14:paraId="01B63E2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监狱企业的证明</w:t>
      </w:r>
    </w:p>
    <w:p w14:paraId="6F6805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（格式自拟）</w:t>
      </w:r>
    </w:p>
    <w:p w14:paraId="098AA7CD">
      <w:pPr>
        <w:keepNext w:val="0"/>
        <w:keepLines w:val="0"/>
        <w:pageBreakBefore w:val="0"/>
        <w:widowControl w:val="0"/>
        <w:kinsoku/>
        <w:wordWrap/>
        <w:overflowPunct/>
        <w:topLinePunct w:val="0"/>
        <w:autoSpaceDE/>
        <w:autoSpaceDN/>
        <w:bidi w:val="0"/>
        <w:adjustRightInd/>
        <w:snapToGrid/>
        <w:spacing w:line="360" w:lineRule="auto"/>
        <w:ind w:firstLine="566"/>
        <w:textAlignment w:val="auto"/>
        <w:rPr>
          <w:rFonts w:hint="eastAsia" w:ascii="宋体" w:hAnsi="宋体" w:eastAsia="宋体" w:cs="宋体"/>
          <w:color w:val="auto"/>
          <w:sz w:val="24"/>
          <w:szCs w:val="26"/>
          <w:highlight w:val="none"/>
        </w:rPr>
      </w:pPr>
      <w:r>
        <w:rPr>
          <w:rFonts w:hint="eastAsia" w:ascii="宋体" w:hAnsi="宋体" w:eastAsia="宋体" w:cs="宋体"/>
          <w:color w:val="auto"/>
          <w:sz w:val="24"/>
          <w:szCs w:val="26"/>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41D915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4978E0D2">
      <w:pPr>
        <w:rPr>
          <w:rFonts w:hint="eastAsia" w:ascii="宋体" w:hAnsi="宋体" w:eastAsia="宋体" w:cs="宋体"/>
        </w:rPr>
      </w:pPr>
    </w:p>
    <w:sectPr>
      <w:pgSz w:w="11906" w:h="16838"/>
      <w:pgMar w:top="1588" w:right="1418" w:bottom="1418" w:left="1701" w:header="851" w:footer="992" w:gutter="0"/>
      <w:pgBorders>
        <w:top w:val="none" w:sz="0" w:space="0"/>
        <w:left w:val="none" w:sz="0" w:space="0"/>
        <w:bottom w:val="none" w:sz="0" w:space="0"/>
        <w:right w:val="none" w:sz="0" w:space="0"/>
      </w:pgBorders>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2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ABD56">
    <w:pPr>
      <w:pStyle w:val="2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73</w:t>
    </w:r>
    <w:r>
      <w:rPr>
        <w:b/>
        <w:sz w:val="24"/>
        <w:szCs w:val="24"/>
      </w:rPr>
      <w:fldChar w:fldCharType="end"/>
    </w:r>
  </w:p>
  <w:p w14:paraId="0E99E13E">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93582">
    <w:pPr>
      <w:pStyle w:val="23"/>
      <w:framePr w:wrap="around" w:vAnchor="text" w:hAnchor="margin" w:xAlign="right" w:y="1"/>
      <w:rPr>
        <w:rStyle w:val="24"/>
      </w:rPr>
    </w:pPr>
    <w:r>
      <w:fldChar w:fldCharType="begin"/>
    </w:r>
    <w:r>
      <w:rPr>
        <w:rStyle w:val="24"/>
      </w:rPr>
      <w:instrText xml:space="preserve">PAGE  </w:instrText>
    </w:r>
    <w:r>
      <w:fldChar w:fldCharType="end"/>
    </w:r>
  </w:p>
  <w:p w14:paraId="0C5CC267">
    <w:pPr>
      <w:pStyle w:val="2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78DA3">
    <w:pPr>
      <w:pStyle w:val="2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73</w:t>
    </w:r>
    <w:r>
      <w:rPr>
        <w:b/>
        <w:sz w:val="24"/>
        <w:szCs w:val="24"/>
      </w:rPr>
      <w:fldChar w:fldCharType="end"/>
    </w:r>
    <w:r>
      <w:rPr>
        <w:rFonts w:hint="eastAsia"/>
        <w:b/>
        <w:sz w:val="24"/>
        <w:szCs w:val="24"/>
      </w:rPr>
      <w:t xml:space="preserve"> </w:t>
    </w:r>
  </w:p>
  <w:p w14:paraId="7245F8B9">
    <w:pPr>
      <w:pStyle w:val="2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B4E9">
    <w:pPr>
      <w:pStyle w:val="23"/>
      <w:ind w:firstLine="360"/>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74</w:t>
    </w:r>
    <w:r>
      <w:rPr>
        <w:b/>
        <w:sz w:val="24"/>
        <w:szCs w:val="24"/>
      </w:rPr>
      <w:fldChar w:fldCharType="end"/>
    </w:r>
  </w:p>
  <w:p w14:paraId="688F543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43984">
    <w:pPr>
      <w:pStyle w:val="23"/>
      <w:ind w:right="18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2350" cy="18923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022350" cy="189230"/>
                      </a:xfrm>
                      <a:prstGeom prst="rect">
                        <a:avLst/>
                      </a:prstGeom>
                      <a:noFill/>
                      <a:ln>
                        <a:noFill/>
                      </a:ln>
                    </wps:spPr>
                    <wps:txbx>
                      <w:txbxContent>
                        <w:p w14:paraId="4EAF5B65">
                          <w:pPr>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29</w:t>
                          </w:r>
                          <w:r>
                            <w:rPr>
                              <w:rFonts w:hint="eastAsia"/>
                              <w:sz w:val="18"/>
                            </w:rPr>
                            <w:fldChar w:fldCharType="end"/>
                          </w:r>
                          <w:r>
                            <w:rPr>
                              <w:rFonts w:hint="eastAsia"/>
                              <w:sz w:val="18"/>
                            </w:rPr>
                            <w:t xml:space="preserve"> 页 共 </w:t>
                          </w:r>
                          <w:r>
                            <w:fldChar w:fldCharType="begin"/>
                          </w:r>
                          <w:r>
                            <w:instrText xml:space="preserve">NUMPAGES \* MERGEFORMAT</w:instrText>
                          </w:r>
                          <w:r>
                            <w:fldChar w:fldCharType="separate"/>
                          </w:r>
                          <w:r>
                            <w:rPr>
                              <w:sz w:val="18"/>
                            </w:rPr>
                            <w:t>66</w:t>
                          </w:r>
                          <w:r>
                            <w:rPr>
                              <w:sz w:val="18"/>
                            </w:rPr>
                            <w:fldChar w:fldCharType="end"/>
                          </w:r>
                          <w:r>
                            <w:rPr>
                              <w:rFonts w:hint="eastAsia"/>
                              <w:sz w:val="18"/>
                            </w:rPr>
                            <w:t xml:space="preserve"> 页</w:t>
                          </w:r>
                        </w:p>
                        <w:p w14:paraId="0A2EC632"/>
                        <w:p w14:paraId="4A22A99C"/>
                      </w:txbxContent>
                    </wps:txbx>
                    <wps:bodyPr wrap="square" lIns="0" tIns="0" rIns="0" bIns="0" upright="1"/>
                  </wps:wsp>
                </a:graphicData>
              </a:graphic>
            </wp:anchor>
          </w:drawing>
        </mc:Choice>
        <mc:Fallback>
          <w:pict>
            <v:shape id="_x0000_s1026" o:spid="_x0000_s1026" o:spt="202" type="#_x0000_t202" style="position:absolute;left:0pt;margin-top:0pt;height:14.9pt;width:80.5pt;mso-position-horizontal:center;mso-position-horizontal-relative:margin;z-index:251659264;mso-width-relative:page;mso-height-relative:page;" filled="f" stroked="f" coordsize="21600,21600" o:gfxdata="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3Ue9PTAAAABAEAAA8AAAAAAAAAAQAgAAAAIgAAAGRycy9k&#10;b3ducmV2LnhtbFBLAQIUABQAAAAIAIdO4kBG6pyhzgEAAI4DAAAOAAAAAAAAAAEAIAAAACIBAABk&#10;cnMvZTJvRG9jLnhtbFBLBQYAAAAABgAGAFkBAABiBQAAAAA=&#10;">
              <v:fill on="f" focussize="0,0"/>
              <v:stroke on="f"/>
              <v:imagedata o:title=""/>
              <o:lock v:ext="edit" aspectratio="f"/>
              <v:textbox inset="0mm,0mm,0mm,0mm">
                <w:txbxContent>
                  <w:p w14:paraId="4EAF5B65">
                    <w:pPr>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29</w:t>
                    </w:r>
                    <w:r>
                      <w:rPr>
                        <w:rFonts w:hint="eastAsia"/>
                        <w:sz w:val="18"/>
                      </w:rPr>
                      <w:fldChar w:fldCharType="end"/>
                    </w:r>
                    <w:r>
                      <w:rPr>
                        <w:rFonts w:hint="eastAsia"/>
                        <w:sz w:val="18"/>
                      </w:rPr>
                      <w:t xml:space="preserve"> 页 共 </w:t>
                    </w:r>
                    <w:r>
                      <w:fldChar w:fldCharType="begin"/>
                    </w:r>
                    <w:r>
                      <w:instrText xml:space="preserve">NUMPAGES \* MERGEFORMAT</w:instrText>
                    </w:r>
                    <w:r>
                      <w:fldChar w:fldCharType="separate"/>
                    </w:r>
                    <w:r>
                      <w:rPr>
                        <w:sz w:val="18"/>
                      </w:rPr>
                      <w:t>66</w:t>
                    </w:r>
                    <w:r>
                      <w:rPr>
                        <w:sz w:val="18"/>
                      </w:rPr>
                      <w:fldChar w:fldCharType="end"/>
                    </w:r>
                    <w:r>
                      <w:rPr>
                        <w:rFonts w:hint="eastAsia"/>
                        <w:sz w:val="18"/>
                      </w:rPr>
                      <w:t xml:space="preserve"> 页</w:t>
                    </w:r>
                  </w:p>
                  <w:p w14:paraId="0A2EC632"/>
                  <w:p w14:paraId="4A22A99C"/>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2FCC">
    <w:pPr>
      <w:pStyle w:val="22"/>
    </w:pPr>
    <w:r>
      <w:rPr>
        <w:rFonts w:hint="eastAsia"/>
      </w:rPr>
      <w:t>南</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8D7F2">
    <w:pPr>
      <w:tabs>
        <w:tab w:val="left" w:pos="6300"/>
      </w:tabs>
      <w:spacing w:line="300" w:lineRule="auto"/>
      <w:rPr>
        <w:b/>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22A0">
    <w:pPr>
      <w:pStyle w:val="22"/>
      <w:pBdr>
        <w:bottom w:val="none" w:color="000000" w:sz="0" w:space="0"/>
      </w:pBdr>
      <w:tabs>
        <w:tab w:val="left" w:pos="540"/>
      </w:tabs>
      <w:jc w:val="both"/>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9F9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2270">
    <w:pPr>
      <w:tabs>
        <w:tab w:val="left" w:pos="6300"/>
      </w:tabs>
      <w:spacing w:line="300" w:lineRule="auto"/>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2CD0EE"/>
    <w:multiLevelType w:val="singleLevel"/>
    <w:tmpl w:val="282CD0E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mMDU0OTIxZTM0M2VjYTFhNjk3Nzk5YThmYTE1ZjcifQ=="/>
  </w:docVars>
  <w:rsids>
    <w:rsidRoot w:val="00000000"/>
    <w:rsid w:val="013E6E68"/>
    <w:rsid w:val="01483505"/>
    <w:rsid w:val="01495AD6"/>
    <w:rsid w:val="02B96468"/>
    <w:rsid w:val="02DF169E"/>
    <w:rsid w:val="03865A74"/>
    <w:rsid w:val="04D752DF"/>
    <w:rsid w:val="06D71A0B"/>
    <w:rsid w:val="077C170E"/>
    <w:rsid w:val="08847D2B"/>
    <w:rsid w:val="08971DE1"/>
    <w:rsid w:val="09012917"/>
    <w:rsid w:val="091D4AEF"/>
    <w:rsid w:val="09C740DE"/>
    <w:rsid w:val="0A3D5E32"/>
    <w:rsid w:val="0AD0616B"/>
    <w:rsid w:val="0B790BB4"/>
    <w:rsid w:val="0C3A20FD"/>
    <w:rsid w:val="0CDC7AD1"/>
    <w:rsid w:val="0CEA12C0"/>
    <w:rsid w:val="0DF94DB5"/>
    <w:rsid w:val="0FDB1B38"/>
    <w:rsid w:val="0FF33D68"/>
    <w:rsid w:val="10127E14"/>
    <w:rsid w:val="12885796"/>
    <w:rsid w:val="13674B86"/>
    <w:rsid w:val="16201DAA"/>
    <w:rsid w:val="17465E33"/>
    <w:rsid w:val="18745201"/>
    <w:rsid w:val="1A3D7527"/>
    <w:rsid w:val="1DC26578"/>
    <w:rsid w:val="1E221F74"/>
    <w:rsid w:val="20460467"/>
    <w:rsid w:val="212F35D3"/>
    <w:rsid w:val="214B4007"/>
    <w:rsid w:val="23B5012E"/>
    <w:rsid w:val="265005E2"/>
    <w:rsid w:val="28190E7E"/>
    <w:rsid w:val="287705D3"/>
    <w:rsid w:val="287B5650"/>
    <w:rsid w:val="2AAA1BA5"/>
    <w:rsid w:val="2C1E4CDB"/>
    <w:rsid w:val="2C520517"/>
    <w:rsid w:val="2E582CD9"/>
    <w:rsid w:val="303A5C16"/>
    <w:rsid w:val="33496F1A"/>
    <w:rsid w:val="33575884"/>
    <w:rsid w:val="33E66634"/>
    <w:rsid w:val="340919EE"/>
    <w:rsid w:val="34355450"/>
    <w:rsid w:val="358612F5"/>
    <w:rsid w:val="385C3172"/>
    <w:rsid w:val="39C944DB"/>
    <w:rsid w:val="3A143EC7"/>
    <w:rsid w:val="3C5A7A89"/>
    <w:rsid w:val="3D1858FD"/>
    <w:rsid w:val="3D896A1E"/>
    <w:rsid w:val="3DEC4CDA"/>
    <w:rsid w:val="3F75726F"/>
    <w:rsid w:val="3F964334"/>
    <w:rsid w:val="40734047"/>
    <w:rsid w:val="40B76525"/>
    <w:rsid w:val="418F08B0"/>
    <w:rsid w:val="4AE64EED"/>
    <w:rsid w:val="4B4A29BD"/>
    <w:rsid w:val="4D0B62FB"/>
    <w:rsid w:val="51D50E2C"/>
    <w:rsid w:val="552F7491"/>
    <w:rsid w:val="56EA6C38"/>
    <w:rsid w:val="572F709E"/>
    <w:rsid w:val="57746489"/>
    <w:rsid w:val="58791E1D"/>
    <w:rsid w:val="58D97B67"/>
    <w:rsid w:val="59804C51"/>
    <w:rsid w:val="59974C79"/>
    <w:rsid w:val="59FD190B"/>
    <w:rsid w:val="5B614207"/>
    <w:rsid w:val="5C3950B8"/>
    <w:rsid w:val="60D33D81"/>
    <w:rsid w:val="624C748C"/>
    <w:rsid w:val="62FA5DFC"/>
    <w:rsid w:val="68152938"/>
    <w:rsid w:val="684D0A38"/>
    <w:rsid w:val="6938639F"/>
    <w:rsid w:val="69B343B3"/>
    <w:rsid w:val="6A2458B7"/>
    <w:rsid w:val="6B0C7B1F"/>
    <w:rsid w:val="6B19231D"/>
    <w:rsid w:val="6EB05EE0"/>
    <w:rsid w:val="6EF35D8C"/>
    <w:rsid w:val="6F527ABA"/>
    <w:rsid w:val="71BB03E3"/>
    <w:rsid w:val="74303331"/>
    <w:rsid w:val="79233BC0"/>
    <w:rsid w:val="7A422D94"/>
    <w:rsid w:val="FD7FA46C"/>
    <w:rsid w:val="FFFF6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4"/>
    <w:qFormat/>
    <w:uiPriority w:val="0"/>
    <w:pPr>
      <w:widowControl w:val="0"/>
      <w:jc w:val="both"/>
    </w:pPr>
    <w:rPr>
      <w:rFonts w:hint="default" w:ascii="Times New Roman" w:hAnsi="Times New Roman" w:eastAsia="楷体_GB2312" w:cs="Times New Roman"/>
      <w:sz w:val="26"/>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仿宋_GB2312" w:eastAsia="仿宋_GB2312"/>
      <w:kern w:val="0"/>
      <w:sz w:val="24"/>
      <w:szCs w:val="20"/>
    </w:rPr>
  </w:style>
  <w:style w:type="paragraph" w:styleId="5">
    <w:name w:val="Plain Text"/>
    <w:basedOn w:val="1"/>
    <w:qFormat/>
    <w:uiPriority w:val="0"/>
    <w:rPr>
      <w:rFonts w:hAnsi="Courier New"/>
      <w:sz w:val="20"/>
      <w:szCs w:val="21"/>
    </w:rPr>
  </w:style>
  <w:style w:type="paragraph" w:styleId="6">
    <w:name w:val="Body Text First Indent"/>
    <w:basedOn w:val="4"/>
    <w:unhideWhenUsed/>
    <w:qFormat/>
    <w:uiPriority w:val="99"/>
    <w:pPr>
      <w:spacing w:after="120" w:line="240" w:lineRule="auto"/>
      <w:ind w:firstLine="420"/>
    </w:pPr>
    <w:rPr>
      <w:rFonts w:ascii="Times New Roman"/>
      <w:sz w:val="21"/>
      <w:szCs w:val="24"/>
    </w:rPr>
  </w:style>
  <w:style w:type="table" w:styleId="8">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0">
    <w:name w:val="正文首行缩进11"/>
    <w:basedOn w:val="11"/>
    <w:qFormat/>
    <w:uiPriority w:val="0"/>
    <w:pPr>
      <w:spacing w:line="360" w:lineRule="auto"/>
      <w:ind w:firstLine="200"/>
    </w:pPr>
    <w:rPr>
      <w:rFonts w:ascii="仿宋_GB2312" w:hAnsi="Times New Roman" w:eastAsia="仿宋_GB2312"/>
      <w:sz w:val="30"/>
      <w:szCs w:val="30"/>
    </w:rPr>
  </w:style>
  <w:style w:type="paragraph" w:customStyle="1" w:styleId="11">
    <w:name w:val="正文文本1"/>
    <w:basedOn w:val="1"/>
    <w:next w:val="1"/>
    <w:qFormat/>
    <w:uiPriority w:val="0"/>
    <w:pPr>
      <w:spacing w:line="400" w:lineRule="exact"/>
    </w:pPr>
    <w:rPr>
      <w:rFonts w:ascii="楷体_GB2312"/>
      <w:sz w:val="28"/>
    </w:rPr>
  </w:style>
  <w:style w:type="paragraph" w:customStyle="1" w:styleId="12">
    <w:name w:val="正文首行缩进 211"/>
    <w:basedOn w:val="13"/>
    <w:unhideWhenUsed/>
    <w:qFormat/>
    <w:uiPriority w:val="0"/>
    <w:pPr>
      <w:spacing w:line="360" w:lineRule="auto"/>
      <w:ind w:left="0"/>
      <w:jc w:val="center"/>
    </w:pPr>
    <w:rPr>
      <w:rFonts w:ascii="Times New Roman" w:eastAsia="宋体" w:cs="宋体"/>
      <w:b/>
      <w:color w:val="000000"/>
      <w:sz w:val="48"/>
      <w:szCs w:val="48"/>
    </w:rPr>
  </w:style>
  <w:style w:type="paragraph" w:customStyle="1" w:styleId="13">
    <w:name w:val="正文文本缩进11"/>
    <w:basedOn w:val="1"/>
    <w:next w:val="14"/>
    <w:qFormat/>
    <w:uiPriority w:val="0"/>
    <w:pPr>
      <w:spacing w:line="520" w:lineRule="exact"/>
      <w:ind w:left="570"/>
    </w:pPr>
    <w:rPr>
      <w:rFonts w:hint="eastAsia" w:ascii="楷体_GB2312"/>
    </w:rPr>
  </w:style>
  <w:style w:type="paragraph" w:customStyle="1" w:styleId="14">
    <w:name w:val="寄信人地址11"/>
    <w:basedOn w:val="1"/>
    <w:unhideWhenUsed/>
    <w:qFormat/>
    <w:uiPriority w:val="99"/>
    <w:rPr>
      <w:rFonts w:ascii="Arial" w:hAnsi="Arial"/>
    </w:rPr>
  </w:style>
  <w:style w:type="paragraph" w:customStyle="1" w:styleId="15">
    <w:name w:val="正文缩进1"/>
    <w:basedOn w:val="1"/>
    <w:qFormat/>
    <w:uiPriority w:val="0"/>
    <w:pPr>
      <w:spacing w:line="360" w:lineRule="auto"/>
      <w:jc w:val="center"/>
    </w:pPr>
    <w:rPr>
      <w:rFonts w:ascii="宋体" w:hAnsi="宋体" w:eastAsia="宋体"/>
      <w:b/>
      <w:sz w:val="36"/>
    </w:rPr>
  </w:style>
  <w:style w:type="character" w:customStyle="1" w:styleId="16">
    <w:name w:val="超链接1"/>
    <w:link w:val="1"/>
    <w:qFormat/>
    <w:uiPriority w:val="99"/>
    <w:rPr>
      <w:rFonts w:hint="default" w:ascii="Times New Roman" w:hAnsi="Times New Roman" w:eastAsia="楷体_GB2312" w:cs="Times New Roman"/>
      <w:sz w:val="26"/>
      <w:lang w:val="en-US" w:eastAsia="zh-CN" w:bidi="ar-SA"/>
    </w:rPr>
  </w:style>
  <w:style w:type="paragraph" w:customStyle="1" w:styleId="17">
    <w:name w:val="标题 211"/>
    <w:basedOn w:val="1"/>
    <w:next w:val="1"/>
    <w:qFormat/>
    <w:uiPriority w:val="0"/>
    <w:pPr>
      <w:keepNext/>
      <w:keepLines/>
      <w:jc w:val="left"/>
      <w:outlineLvl w:val="1"/>
    </w:pPr>
    <w:rPr>
      <w:rFonts w:ascii="宋体" w:hAnsi="宋体"/>
      <w:b/>
    </w:rPr>
  </w:style>
  <w:style w:type="paragraph" w:customStyle="1" w:styleId="1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9">
    <w:name w:val="null3"/>
    <w:qFormat/>
    <w:uiPriority w:val="0"/>
    <w:rPr>
      <w:rFonts w:hint="eastAsia" w:ascii="Calibri" w:hAnsi="Calibri" w:eastAsia="宋体" w:cs="Times New Roman"/>
      <w:lang w:val="en-US" w:eastAsia="zh-Hans" w:bidi="ar-SA"/>
    </w:rPr>
  </w:style>
  <w:style w:type="paragraph" w:customStyle="1" w:styleId="20">
    <w:name w:val="目录 11"/>
    <w:basedOn w:val="1"/>
    <w:next w:val="1"/>
    <w:qFormat/>
    <w:uiPriority w:val="0"/>
    <w:pPr>
      <w:jc w:val="left"/>
    </w:pPr>
    <w:rPr>
      <w:sz w:val="24"/>
    </w:rPr>
  </w:style>
  <w:style w:type="paragraph" w:customStyle="1" w:styleId="21">
    <w:name w:val="无间隔1"/>
    <w:qFormat/>
    <w:uiPriority w:val="0"/>
    <w:pPr>
      <w:widowControl w:val="0"/>
      <w:spacing w:line="300" w:lineRule="auto"/>
    </w:pPr>
    <w:rPr>
      <w:rFonts w:hint="default" w:ascii="Times New Roman" w:hAnsi="Times New Roman" w:eastAsia="华文仿宋" w:cs="Times New Roman"/>
      <w:sz w:val="24"/>
      <w:szCs w:val="21"/>
      <w:lang w:val="en-US" w:eastAsia="zh-CN" w:bidi="ar-SA"/>
    </w:rPr>
  </w:style>
  <w:style w:type="paragraph" w:customStyle="1" w:styleId="22">
    <w:name w:val="页眉11"/>
    <w:basedOn w:val="1"/>
    <w:qFormat/>
    <w:uiPriority w:val="99"/>
    <w:pPr>
      <w:pBdr>
        <w:bottom w:val="single" w:color="000000" w:sz="6" w:space="1"/>
      </w:pBdr>
      <w:tabs>
        <w:tab w:val="center" w:pos="4153"/>
        <w:tab w:val="right" w:pos="8306"/>
      </w:tabs>
      <w:jc w:val="center"/>
    </w:pPr>
    <w:rPr>
      <w:sz w:val="18"/>
    </w:rPr>
  </w:style>
  <w:style w:type="paragraph" w:customStyle="1" w:styleId="23">
    <w:name w:val="页脚11"/>
    <w:basedOn w:val="1"/>
    <w:qFormat/>
    <w:uiPriority w:val="99"/>
    <w:pPr>
      <w:tabs>
        <w:tab w:val="center" w:pos="4153"/>
        <w:tab w:val="right" w:pos="8306"/>
      </w:tabs>
      <w:jc w:val="left"/>
    </w:pPr>
    <w:rPr>
      <w:sz w:val="18"/>
    </w:rPr>
  </w:style>
  <w:style w:type="character" w:customStyle="1" w:styleId="24">
    <w:name w:val="页码1"/>
    <w:link w:val="1"/>
    <w:qFormat/>
    <w:uiPriority w:val="0"/>
  </w:style>
  <w:style w:type="paragraph" w:customStyle="1" w:styleId="25">
    <w:name w:val="01、普通正文"/>
    <w:basedOn w:val="1"/>
    <w:qFormat/>
    <w:uiPriority w:val="0"/>
    <w:pPr>
      <w:tabs>
        <w:tab w:val="left" w:pos="0"/>
      </w:tabs>
      <w:wordWrap w:val="0"/>
      <w:topLinePunct/>
      <w:ind w:firstLine="0" w:firstLineChars="0"/>
    </w:pPr>
    <w:rPr>
      <w:rFonts w:ascii="宋体" w:hAnsi="宋体" w:eastAsia="宋体"/>
      <w:snapToGrid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11977</Words>
  <Characters>12629</Characters>
  <Lines>0</Lines>
  <Paragraphs>0</Paragraphs>
  <TotalTime>8</TotalTime>
  <ScaleCrop>false</ScaleCrop>
  <LinksUpToDate>false</LinksUpToDate>
  <CharactersWithSpaces>12768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2025-11-04T03:59:00Z</dcterms:created>
  <dc:creator>HUAWEI</dc:creator>
  <cp:lastModifiedBy>余管琦</cp:lastModifiedBy>
  <cp:lastPrinted>2026-05-14T01:42:34Z</cp:lastPrinted>
  <dcterms:modified xsi:type="dcterms:W3CDTF">2026-05-14T01:48:38Z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eyJoZGlkIjoiNzczMDFlYjNmNWE2MjNkODg5YjBlYjc2NzVlYzJiY2EiLCJ1c2VySWQiOiIzMTEyNzcyNzUifQ==</vt:lpwstr>
  </property>
  <property fmtid="{D5CDD505-2E9C-101B-9397-08002B2CF9AE}" pid="4" name="ICV">
    <vt:lpwstr>7C044D35D032424FBD1CEFE620B581E3_13</vt:lpwstr>
  </property>
</Properties>
</file>