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6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年滨开区市政道路及管道养护与应急维修项目</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JSZC-320411001-CZWC-G2026-0009</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人：江苏常州滨江经济开发区管理委员会</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采购代理机构：常州沃成招标有限公司</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w:t>
      </w:r>
      <w:r>
        <w:rPr>
          <w:rFonts w:ascii="Times New Roman" w:hAnsi="Times New Roman" w:eastAsia="Times New Roman" w:cs="Times New Roman"/>
          <w:color w:val="000000"/>
          <w:sz w:val="36"/>
        </w:rPr>
        <w:t xml:space="preserve">4</w:t>
      </w:r>
      <w:r>
        <w:rPr>
          <w:rFonts w:ascii="SimSun" w:hAnsi="SimSun" w:eastAsia="SimSun" w:cs="SimSun"/>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4304820" w:history="1">
        <w:r>
          <w:rPr>
            <w:rStyle w:val="810"/>
            <w:rFonts w:ascii="SimSun" w:hAnsi="SimSun" w:eastAsia="SimSun" w:cs="SimSun"/>
            <w:color w:val="0000ee"/>
            <w:sz w:val="24"/>
            <w:u w:val="single"/>
          </w:rPr>
          <w:t xml:space="preserve">目      录</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4304821" w:history="1">
        <w:r>
          <w:rPr>
            <w:rStyle w:val="810"/>
            <w:rFonts w:ascii="SimSun" w:hAnsi="SimSun" w:eastAsia="SimSun" w:cs="SimSun"/>
            <w:color w:val="0000ee"/>
            <w:sz w:val="24"/>
            <w:u w:val="single"/>
          </w:rPr>
          <w:t xml:space="preserve">第一章   投标邀请</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4304822" w:history="1">
        <w:r>
          <w:rPr>
            <w:rStyle w:val="810"/>
            <w:rFonts w:ascii="SimSun" w:hAnsi="SimSun" w:eastAsia="SimSun" w:cs="SimSun"/>
            <w:color w:val="0000ee"/>
            <w:sz w:val="24"/>
            <w:u w:val="single"/>
          </w:rPr>
          <w:t xml:space="preserve">第二章   投标人须知</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4304823" w:history="1">
        <w:r>
          <w:rPr>
            <w:rStyle w:val="810"/>
            <w:rFonts w:ascii="SimSun" w:hAnsi="SimSun" w:eastAsia="SimSun" w:cs="SimSun"/>
            <w:color w:val="0000ee"/>
            <w:sz w:val="24"/>
            <w:u w:val="single"/>
          </w:rPr>
          <w:t xml:space="preserve">第三章   资格审查</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304824" w:history="1">
        <w:r>
          <w:rPr>
            <w:rStyle w:val="810"/>
            <w:rFonts w:ascii="SimSun" w:hAnsi="SimSun" w:eastAsia="SimSun" w:cs="SimSun"/>
            <w:color w:val="0000ee"/>
            <w:sz w:val="24"/>
            <w:u w:val="single"/>
          </w:rPr>
          <w:t xml:space="preserve">第四章   评标程序、评标方法和评标标准</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4304825" w:history="1">
        <w:r>
          <w:rPr>
            <w:rStyle w:val="810"/>
            <w:rFonts w:ascii="SimSun" w:hAnsi="SimSun" w:eastAsia="SimSun" w:cs="SimSun"/>
            <w:color w:val="0000ee"/>
            <w:sz w:val="24"/>
            <w:u w:val="single"/>
          </w:rPr>
          <w:t xml:space="preserve">第五章   采购需求</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4304826" w:history="1">
        <w:r>
          <w:rPr>
            <w:rStyle w:val="810"/>
            <w:rFonts w:ascii="SimSun" w:hAnsi="SimSun" w:eastAsia="SimSun" w:cs="SimSun"/>
            <w:color w:val="0000ee"/>
            <w:sz w:val="24"/>
            <w:u w:val="single"/>
          </w:rPr>
          <w:t xml:space="preserve">第六章   拟签订的合同文本</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44304827" w:history="1">
        <w:r>
          <w:rPr>
            <w:rStyle w:val="810"/>
            <w:rFonts w:ascii="SimSun" w:hAnsi="SimSun" w:eastAsia="SimSun" w:cs="SimSun"/>
            <w:color w:val="0000ee"/>
            <w:sz w:val="24"/>
            <w:u w:val="single"/>
          </w:rPr>
          <w:t xml:space="preserve">第七章   投标文件格式</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2026年滨开区市政道路及管道养护与应急维修项目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公开招标公告</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JSZC-320411001-CZWC-G2026-0009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年滨开区市政道路及管道养护与应急维修项目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u w:val="single"/>
        </w:rPr>
        <w:t xml:space="preserve">250</w:t>
      </w:r>
      <w:r>
        <w:rPr>
          <w:rFonts w:ascii="SimSun" w:hAnsi="SimSun" w:eastAsia="SimSun" w:cs="SimSun"/>
          <w:color w:val="000000"/>
          <w:sz w:val="24"/>
          <w:u w:val="single"/>
        </w:rPr>
        <w:t xml:space="preserve">万元</w:t>
      </w:r>
      <w:r>
        <w:rPr>
          <w:rFonts w:ascii="SimSun" w:hAnsi="SimSun" w:eastAsia="SimSun" w:cs="SimSun"/>
          <w:color w:val="000000"/>
          <w:sz w:val="24"/>
        </w:rPr>
        <w:t xml:space="preserve"> 。项目最高限价：250万元（本项目按投标优惠率报价）。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采购需求：服务内容为对滨开区范围内的雨水管道开展常规养护，汛期前开展疏通和检查，根据检查情况对破损管道进行维修，应急抢修。具体内容详见采购需求。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合同履行期限：暂定2026年5月15日-2027年5月14日，具体开始时间以采购人通知为准。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本项目是否接受联合体投标：不接受。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本项目是否接受进口产品投标：不接受。</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none"/>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中小企业政策（说明：中小企业包含中型、小型、微型企业，小微企业包含小型、微型企业）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本项目专门面向中小企业采购。即：提供的货物全部由符合政策要求中小企业制造、服务全部由符合政策要求的中小企业承接。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本项目是否属于政府购买服务：是，公益一类事业单位、使用事业编制且由财政拨款保障的群团组织，不得作为承接主体。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其他特定资格要求：无。</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w:t>
      </w:r>
      <w:r>
        <w:rPr>
          <w:rFonts w:ascii="SimSun" w:hAnsi="SimSun" w:eastAsia="SimSun" w:cs="SimSun"/>
          <w:color w:val="000000"/>
          <w:sz w:val="24"/>
        </w:rPr>
        <w:t xml:space="preserve">自本公告发布之日起</w:t>
      </w:r>
      <w:r>
        <w:rPr>
          <w:rFonts w:ascii="DengXian" w:hAnsi="DengXian" w:eastAsia="DengXian" w:cs="DengXian"/>
          <w:color w:val="000000"/>
          <w:sz w:val="24"/>
        </w:rPr>
        <w:t xml:space="preserve">5</w:t>
      </w:r>
      <w:r>
        <w:rPr>
          <w:rFonts w:ascii="SimSun" w:hAnsi="SimSun" w:eastAsia="SimSun" w:cs="SimSun"/>
          <w:color w:val="000000"/>
          <w:sz w:val="24"/>
        </w:rPr>
        <w:t xml:space="preserve">个工作日</w:t>
      </w:r>
      <w:r>
        <w:rPr>
          <w:rFonts w:ascii="SimSun" w:hAnsi="SimSun" w:eastAsia="SimSun" w:cs="SimSun"/>
          <w:color w:val="000000"/>
          <w:sz w:val="24"/>
        </w:rPr>
      </w:r>
      <w:r>
        <w:rPr>
          <w:rFonts w:ascii="SimSun" w:hAnsi="SimSun" w:eastAsia="SimSun" w:cs="SimSun"/>
          <w:color w:val="000000"/>
          <w:sz w:val="24"/>
        </w:rPr>
        <w:t xml:space="preserve">。</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2、地点：“江苏政府采购网”、“常州市政府采购网”。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3、方式：在“江苏政府采购网、常州市政府采购网”自行免费获取电子版招标文件。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投标截止时间、开标时间：</w:t>
      </w:r>
      <w:r>
        <w:rPr>
          <w:rFonts w:ascii="SimSun" w:hAnsi="SimSun" w:eastAsia="SimSun" w:cs="SimSun"/>
          <w:color w:val="000000"/>
          <w:sz w:val="24"/>
          <w:u w:val="single"/>
        </w:rPr>
        <w:t xml:space="preserve">2026年5月7日14点00分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本项目需要落实的政府采购政策：无。</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pacing w:val="2"/>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关于常州市中小企业政府采购信用融资：</w:t>
      </w:r>
      <w:r/>
    </w:p>
    <w:p>
      <w:pPr>
        <w:ind w:left="0" w:right="-3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rPr>
          <w:rFonts w:ascii="SimSun" w:hAnsi="SimSun" w:eastAsia="SimSun" w:cs="SimSun"/>
          <w:color w:val="000000"/>
          <w:spacing w:val="2"/>
          <w:sz w:val="24"/>
        </w:rPr>
        <w:t xml:space="preserve">。</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名称:江苏常州滨江经济开发区管理委员会</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地址:常州市新北区东海路202号</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联系方式:罗先生 0519-81591056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2.</w:t>
      </w:r>
      <w:r>
        <w:rPr>
          <w:rFonts w:ascii="SimSun" w:hAnsi="SimSun" w:eastAsia="SimSun" w:cs="SimSun"/>
          <w:b/>
          <w:color w:val="000000"/>
          <w:sz w:val="24"/>
          <w:u w:val="none"/>
        </w:rPr>
        <w:t xml:space="preserve">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项目联系人：李工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pStyle w:val="65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w:t>
      </w:r>
      <w:r>
        <w:rPr>
          <w:rFonts w:ascii="Times New Roman" w:hAnsi="Times New Roman" w:eastAsia="Times New Roman" w:cs="Times New Roman"/>
          <w:color w:val="000000"/>
          <w:sz w:val="24"/>
        </w:rPr>
        <w:t xml:space="preserve">“</w:t>
      </w:r>
      <w:r>
        <w:rPr>
          <w:rFonts w:ascii="Wingdings 2" w:hAnsi="Wingdings 2" w:eastAsia="Wingdings 2" w:cs="Wingdings 2"/>
          <w:color w:val="000000"/>
          <w:sz w:val="21"/>
        </w:rPr>
        <w:t xml:space="preserve">R</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255"/>
        <w:gridCol w:w="853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工程</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R关于核心产品本项目不适用。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ourier New" w:hAnsi="Courier New" w:eastAsia="Courier New" w:cs="Courier New"/>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包为单一产品采购项目。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包为非单一产品采购项目，核心产品为：</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满足甲方及相关法律法规要求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询问、质疑送达形式：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2026年4月23日17:00（北京时间）前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提交采购人和采购代理机构联系人处，文件需按采购文件要求编制并盖章、签字。邮箱：804311530@qq.com。</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栋三楼（曼哈顿广场北侧商铺）采购代理室。</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
              <w:gridCol w:w="54"/>
              <w:gridCol w:w="62"/>
              <w:gridCol w:w="62"/>
            </w:tblGrid>
            <w:tr>
              <w:trPr>
                <w:trHeight w:val="4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工程类</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1、代理服务收费按差额定率累进法计算。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2、缴纳时间：中标人</w:t>
            </w:r>
            <w:r>
              <w:rPr>
                <w:rFonts w:ascii="SimSun" w:hAnsi="SimSun" w:eastAsia="SimSun" w:cs="SimSun"/>
                <w:color w:val="000000"/>
                <w:spacing w:val="2"/>
                <w:sz w:val="24"/>
              </w:rPr>
              <w:t xml:space="preserve">在领取《成交通知书》时，一次性向采购代理机构交纳招标代理服务费</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供应商通过苏采云系统参与政府采购项目，需更换CA数字证书和电子签章。具体办理指南和操作手册见链接：http://www.ccgp-jiangsu.gov.cn/jiangsu/zlxz/ee/ee3a4bc5a3454aa2b0d9312230633ce9.html。</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“信用中国”网站（www.creditchina.gov.cn）、“中国政府采购网”网站（www.ccgp.gov.cn）。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pStyle w:val="65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5.2.1.2</w:t>
      </w:r>
      <w:r>
        <w:rPr>
          <w:rFonts w:ascii="SimSun" w:hAnsi="SimSun" w:eastAsia="SimSun" w:cs="SimSun"/>
          <w:color w:val="000000"/>
          <w:sz w:val="24"/>
        </w:rPr>
        <w:t xml:space="preserve">供应商提供的货物、工程或者服务符合下列情形的，享受中小企业扶持政策：</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5.2.1.4</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5.2.3.1</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5.2.3.2</w:t>
      </w:r>
      <w:r>
        <w:rPr>
          <w:rFonts w:ascii="SimSun" w:hAnsi="SimSun" w:eastAsia="SimSun" w:cs="SimSun"/>
          <w:color w:val="000000"/>
          <w:sz w:val="24"/>
        </w:rPr>
        <w:t xml:space="preserve">依法与安置的每位残疾人签订了一年以上（含一年）的劳动合同或服务协议；</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5.2.3.3</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5.2.3.4</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5.2.3.5</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5.2.3.6</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号）有关要求，做好支持脱贫攻坚工作，本项目采购活动中对于支持乡村振兴管理的相关要求见第五章《采购需求》（如涉及）。</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w:t>
      </w:r>
      <w:r>
        <w:rPr>
          <w:rFonts w:ascii="SimSun" w:hAnsi="SimSun" w:eastAsia="SimSun" w:cs="SimSun"/>
          <w:color w:val="000000"/>
          <w:sz w:val="24"/>
        </w:rPr>
        <w:t xml:space="preserve">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5.8.1</w:t>
      </w:r>
      <w:r>
        <w:rPr>
          <w:rFonts w:ascii="SimSun" w:hAnsi="SimSun" w:eastAsia="SimSun" w:cs="SimSun"/>
          <w:color w:val="000000"/>
          <w:sz w:val="24"/>
        </w:rPr>
        <w:t xml:space="preserve">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5.8.3 优先使用低挥发性有机化合物产品</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5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日前，以更正公告形式通知所有获取招标文件的潜在投标人；不足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日的，将顺延提交投标文件的截止时间和开标时间。</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各项条款最终解释权归常州沃成招标有限公司，投标人对采购代理机构提供的招标文件所做出的推论、解释和结论，采购代理机构概不负责。投标人由于对招标文件的任何推论和误解以及采购代理机构对有关问题的口头解释所造成的后果，均由投标人自负。</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5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w:t>
      </w:r>
      <w:r>
        <w:rPr>
          <w:rFonts w:ascii="Times New Roman" w:hAnsi="Times New Roman" w:eastAsia="Times New Roman" w:cs="Times New Roman"/>
          <w:color w:val="000000"/>
          <w:sz w:val="24"/>
        </w:rPr>
        <w:t xml:space="preserve"> </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投标人可在投标截止时间之前，对其电子投标文件进行修改，具体操作方法见《操作手册》。</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在投标截止时间之后，投标人不得对其电子投标文件作任何修改。</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投标人如果对开标过程和开标记录有疑义，应当根据《操作手册》规定提出，如 苏采云系统中《开标记录表》宣布后5分钟内未提出的，视同认可开标结果。</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评标程序、评标方法和评标标准：见第四章《评标程序、评标方法和评标标准》。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并非对每个供应商都作澄清要求。</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接到评审小组澄清、说明和更正要求的供应商如未按规定作出澄清、说明和 更正，其风险由供应商自行承担。</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作出响应。</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如果投标文件实质上没有响应招标文件的要求，评委会将予以拒绝，投标人不得通过修改或撤销不符合要求的偏离或保留而使其投标成为实质性响应的投标。</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投标人在开、评标全过程中应保持通信畅通，及时登录苏采云系统查阅、答复相关信息，并安排专人与采购代理机构及评标委员会联系。</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1.投标（响应）报价低于全部通过符合性审查供应商投标（响应）报价平均值50%的，即投标（响应）报价&lt;全部通过符合性审查供应商投标（响应）报价平均值×50%；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3.投标（响应）报价低于采购项目最高限价45%的，即投标（响应）报价&lt;采购项目最高限价×45%；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1"/>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color w:val="383838"/>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个工作日内，在“江苏政府采购网、常州市政府采购网”公告中标结果，同时向中标人发出中标通知书，中标公告期限为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有下列情形之一的，视为投标人串通投标，投标无效：（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）不同投标人的投标文件由同一单位或者个人编制（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）不同投标人委托同一单位或者个人办理投标事宜（</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）不同投标人的投标文件载明的项目管理成员或者联系人员为同一人（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日内，按照招标文件和中标人投标文件的规定签订书面合同。所签订的合同不得对招标文件确定的事项和中标人投标文件作实质性修改。</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810"/>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、中标服务费缴纳账户</w:t>
      </w:r>
      <w:r>
        <w:rPr>
          <w:rFonts w:ascii="Times New Roman" w:hAnsi="Times New Roman" w:eastAsia="Times New Roman" w:cs="Times New Roman"/>
          <w:b/>
          <w:color w:val="000000"/>
          <w:sz w:val="24"/>
        </w:rPr>
        <w:t xml:space="preserve">:</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80500188000081338</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w:t>
      </w:r>
      <w:r>
        <w:rPr>
          <w:rFonts w:ascii="Times New Roman" w:hAnsi="Times New Roman" w:eastAsia="Times New Roman" w:cs="Times New Roman"/>
          <w:color w:val="000000"/>
          <w:sz w:val="24"/>
        </w:rPr>
        <w:t xml:space="preserve">313304008052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30、诚实信用</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、投标人之间不得相互串通报价，不得妨碍其他投标人的公平竞争，不得损害招标人和其他投标人的合法权益。</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、投标人不得虚假承诺，否则，按照提供虚假材料谋取中标成交处理。</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w:t>
      </w:r>
      <w:r>
        <w:rPr>
          <w:rFonts w:ascii="SimSun" w:hAnsi="SimSun" w:eastAsia="SimSun" w:cs="SimSun"/>
          <w:color w:val="000000"/>
          <w:sz w:val="24"/>
        </w:rPr>
        <w:t xml:space="preserve">、投标人应自觉遵守开标、评标纪律，扰乱开标评标现场秩序的，属于失信行为，根据《江苏省政府采购供应商监督管理暂行办法》，失信行为将被记入供应商诚信档案。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32、未尽事宜</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经财政部门调查核实后依法给予行政处罚或者予以失信记录，情节严重的一至三年内不得参与政府采购活动，并在相关媒体网站予以公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8"/>
        <w:gridCol w:w="2025"/>
        <w:gridCol w:w="4643"/>
        <w:gridCol w:w="170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如本项目（包）是专门面向中小、小微企业采购的，必须提供，否则无须提供。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、投标人单独投标的，应提供中小企业声明函；如为监狱企业或残疾人福利性单位，不必提供中小企业声明函，但须按注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如本项目（包）要求通过分包措施预留部分采购份额面向中小企业采购、且投标人因落实政府采购政策拟进行分包的，必须提供；否则无须提供，此时本项可删除，防止误导供应商。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4"/>
              </w:rPr>
              <w:t xml:space="preserve">如本项目接受联合体投标，且投标人为联合体时必须提供《联合协议》</w:t>
            </w:r>
            <w:r>
              <w:rPr>
                <w:rFonts w:ascii="SimSun" w:hAnsi="SimSun" w:eastAsia="SimSun" w:cs="SimSun"/>
                <w:color w:val="000000"/>
                <w:sz w:val="24"/>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818"/>
        <w:gridCol w:w="679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w:t>
            </w:r>
            <w:r>
              <w:rPr>
                <w:rFonts w:ascii="SimSun" w:hAnsi="SimSun" w:eastAsia="SimSun" w:cs="SimSun"/>
                <w:b/>
                <w:color w:val="000000"/>
                <w:sz w:val="24"/>
              </w:rPr>
              <w:t xml:space="preserve">提供投标函、法定代表人资格证明书</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未将一个采购包中的内容拆开投标；（由评委审查，无需供应商提供材料）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①投标报价未超过招标文件中规定的项目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采购包最高限价；（由评委审查，无需供应商提供材料）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rPr>
                <w:rFonts w:ascii="SimSun" w:hAnsi="SimSun" w:eastAsia="SimSun" w:cs="SimSun"/>
                <w:b/>
                <w:color w:val="000000"/>
                <w:sz w:val="24"/>
              </w:rPr>
              <w:t xml:space="preserve">提供《投标分项报价表》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w:t>
            </w:r>
            <w:r>
              <w:rPr>
                <w:rFonts w:ascii="SimSun" w:hAnsi="SimSun" w:eastAsia="SimSun" w:cs="SimSun"/>
                <w:b/>
                <w:color w:val="000000"/>
                <w:sz w:val="24"/>
              </w:rPr>
              <w:t xml:space="preserve">提供分包意向协议原件的电子件的</w:t>
            </w:r>
            <w:r>
              <w:rPr>
                <w:rFonts w:ascii="SimSun" w:hAnsi="SimSun" w:eastAsia="SimSun" w:cs="SimSun"/>
                <w:color w:val="000000"/>
                <w:sz w:val="24"/>
              </w:rPr>
              <w:t xml:space="preserve">；（如有）格式见《投标文件格式》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招标文件不接受进口产品投标的内容时，投标人所投产品非进口产品的；（由评委审查，无需供应商提供材料）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w:t>
            </w:r>
            <w:r>
              <w:rPr>
                <w:rFonts w:ascii="SimSun" w:hAnsi="SimSun" w:eastAsia="SimSun" w:cs="SimSun"/>
                <w:b/>
                <w:color w:val="000000"/>
                <w:sz w:val="24"/>
              </w:rPr>
              <w:t xml:space="preserve">如有下列情形的，投标人的投标产品应符合相应规定或要求，并提供证明文件电子件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w:t>
            </w:r>
            <w:r>
              <w:rPr>
                <w:rFonts w:ascii="SimSun" w:hAnsi="SimSun" w:eastAsia="SimSun" w:cs="SimSun"/>
                <w:color w:val="000000"/>
                <w:sz w:val="24"/>
              </w:rPr>
              <w:t xml:space="preserve">人的账户转出；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u w:val="single"/>
        </w:rPr>
        <w:t xml:space="preserve">20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w:t>
      </w:r>
      <w:r>
        <w:rPr>
          <w:rFonts w:ascii="SimSun" w:hAnsi="SimSun" w:eastAsia="SimSun" w:cs="SimSun"/>
          <w:b/>
          <w:color w:val="000000"/>
          <w:sz w:val="24"/>
        </w:rPr>
        <w:t xml:space="preserve">整体预留专门面向中小、小微企业采购项目，根据《政府采购促进中小企业发展管理办法》（财库〔</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46</w:t>
      </w:r>
      <w:r>
        <w:rPr>
          <w:rFonts w:ascii="SimSun" w:hAnsi="SimSun" w:eastAsia="SimSun" w:cs="SimSun"/>
          <w:b/>
          <w:color w:val="000000"/>
          <w:sz w:val="24"/>
        </w:rPr>
        <w:t xml:space="preserve">号）及财政部发布《政府采购促进中小企业发展政策问答》等相关文件要求，专门面向中小、小微企业采购的项目或者采购包，不再执行价格评审优惠的扶持政策，即不作价格扣除。</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随机抽取</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2"/>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随机抽取</w:t>
      </w:r>
      <w:r/>
    </w:p>
    <w:p>
      <w:pPr>
        <w:ind w:left="993" w:right="0" w:firstLine="13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调整后的投标报价由低到高顺序排列。投标报价相同的并列。投标文件满足招标文件全部实质性要求且投标报价最低的投标人为排名第一的中标候选人。</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494"/>
        <w:gridCol w:w="860"/>
        <w:gridCol w:w="6313"/>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44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分）</w:t>
            </w:r>
            <w:r/>
          </w:p>
        </w:tc>
      </w:tr>
      <w:tr>
        <w:trPr>
          <w:trHeight w:val="11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投标报价）×分值。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rPr>
                <w:rFonts w:ascii="SimSun" w:hAnsi="SimSun" w:eastAsia="SimSun" w:cs="SimSun"/>
                <w:b/>
                <w:color w:val="000000"/>
                <w:sz w:val="24"/>
              </w:rPr>
              <w:t xml:space="preserve">：见采购文件22.14异常低价审查。</w:t>
            </w:r>
            <w:r/>
          </w:p>
        </w:tc>
      </w:tr>
      <w:tr>
        <w:trPr>
          <w:trHeight w:val="44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二、客观分（</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供应商具有有效期内的环境管理体系认证、企业诚信管理体系认证、社会责任认证、职业健康安全管理体系认证、质量管理体系认证证书，每有一份得1分，共5分。</w:t>
            </w:r>
            <w:r>
              <w:rPr>
                <w:rFonts w:ascii="SimSun" w:hAnsi="SimSun" w:eastAsia="SimSun" w:cs="SimSun"/>
                <w:b/>
                <w:color w:val="000000"/>
                <w:sz w:val="24"/>
              </w:rPr>
              <w:t xml:space="preserve">注：提供相关证书扫描件并加盖公章，否则不得分。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供应商自2023年1月1日以来承担的类似管道养护维修业绩，每有一个得2分，本项最高得8分。</w:t>
            </w:r>
            <w:r>
              <w:rPr>
                <w:rFonts w:ascii="SimSun" w:hAnsi="SimSun" w:eastAsia="SimSun" w:cs="SimSun"/>
                <w:b/>
                <w:color w:val="000000"/>
                <w:sz w:val="24"/>
              </w:rPr>
              <w:t xml:space="preserve">注：响应文件内提供合同原件扫描件，时间以合同签订时间为准，未按要求提供的不得分。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拟投入设备1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（1）供应商为本项目配备自有CCTV检测设备1套，得2分。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（2）为本项目配备自有QV潜望镜设备1套，得2分。</w:t>
            </w:r>
            <w:r>
              <w:rPr>
                <w:rFonts w:ascii="SimSun" w:hAnsi="SimSun" w:eastAsia="SimSun" w:cs="SimSun"/>
                <w:b/>
                <w:color w:val="000000"/>
                <w:sz w:val="24"/>
              </w:rPr>
              <w:t xml:space="preserve">注：响应文件内提供设备发票扫描件（购置发票上的所有人名称必须与供应商名称一致），未按要求提供的不得分。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拟投入设备2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供应商为本项目配备自有工业移动电源；配备1-2台得2分；配备3台及以上得4分。本项最高得4分。</w:t>
            </w:r>
            <w:r>
              <w:rPr>
                <w:rFonts w:ascii="SimSun" w:hAnsi="SimSun" w:eastAsia="SimSun" w:cs="SimSun"/>
                <w:b/>
                <w:color w:val="000000"/>
                <w:sz w:val="24"/>
              </w:rPr>
              <w:t xml:space="preserve">注：响应文件内提供设备发票扫描件（购置发票上的所有人名称必须与供应商名称一致），未按要求提供的不得分。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拟投入设备3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供应商为本项目配备液压动力站，每配备1台得2分，本项最高得4分。</w:t>
            </w:r>
            <w:r>
              <w:rPr>
                <w:rFonts w:ascii="SimSun" w:hAnsi="SimSun" w:eastAsia="SimSun" w:cs="SimSun"/>
                <w:b/>
                <w:color w:val="000000"/>
                <w:sz w:val="24"/>
              </w:rPr>
              <w:t xml:space="preserve">注：响应文件内提供设备发票扫描件（购置发票上的所有人名称必须与供应商名称一致），未按要求提供的不得分。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供应商为本项目配备统一的巡逻皮卡，若为油车每有一辆得1分，若为新能源车，每有一辆得2分。本项限评5辆车辆，最高得10分；</w:t>
            </w:r>
            <w:r>
              <w:rPr>
                <w:rFonts w:ascii="SimSun" w:hAnsi="SimSun" w:eastAsia="SimSun" w:cs="SimSun"/>
                <w:b/>
                <w:color w:val="000000"/>
                <w:sz w:val="24"/>
              </w:rPr>
              <w:t xml:space="preserve">注：响应文件内提供以下扫描件：1、在年审有效期内的《机动车行驶证》复印件；2、有效期内的《机动车登记证》复印件；3、购买发票（购置发票上的所有人名称必须与供应商名称一致）；4、车辆照片（体现车牌）。</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拟投入项目组人员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（1）项目组人员具有工程师及以上职称的，每有1名得2分，本项最高得4分。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（2）项目组人员具有有效期内的潜水员资格证书的，每有1名得3分，本项最高得6分。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（3）项目组人员具有专职安全管理人员（安全员C证）的，每有1名得2分，本项最高得4分。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注：①上述人员每人限评一张证书②响应文件内提供相关证书及响应人为其缴纳2025年12月-2026年2月社保证明原件扫描件，否则不得分。未按要求提供不得分。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服务响应及时性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承诺接到保修请求，在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小时内响应维修，</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小时内维修人员到达现场，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小时完成维修，得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分。未提供不得分。</w:t>
            </w:r>
            <w:r>
              <w:rPr>
                <w:rFonts w:ascii="SimSun" w:hAnsi="SimSun" w:eastAsia="SimSun" w:cs="SimSun"/>
                <w:b/>
                <w:color w:val="000000"/>
                <w:sz w:val="24"/>
              </w:rPr>
              <w:t xml:space="preserve">注：响应文件内提供以下原件扫描件：承诺书，格式自拟。</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三、主观分（40分）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针对项目范围周边环境，对本项目具体的服务内容，编制日常巡查与维护方案、清掏疏通方案、排查检测方案。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实施方案专业、全面、可行的得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实施方案较专业、较全面、较可行的得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实施方案一般的得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项目组织结构明晰，人员投入充足，成员职责明确，技术实力可靠。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项目组织结构明晰，人员充足且职责明确得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项目组织结构较明晰，人员较充足且职责较明确得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项目组织结构一般，人员安排及职责划分一般的得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包括但不限于组织措施、技术措施、物资安排措施；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施工进度计划和各阶段进度的保证措施方案完整、可行，进度计划与工期安排衔接对应，能完全满足项目实施要求，得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措施方案较具体、可行，能基本满足项目实施要求，得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措施方案内容较简单，对项目实施要求响应一般，得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1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针对本项目的安全保障措施，包括但不限于：下井作业、密闭空间作业、有毒有害空间作业、用电安全措施：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措施方案完整、可行，能完全满足项目实施要求，得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措施方案较具体、可行，能基本满足项目实施要求，得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措施方案内容较简单，对项目实施要求响应一般，得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针对本项目实施的重点、难点和解决方案进行评审：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重点、难点和解决方案具体、可行，能满足项目实施要求，得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重点、难点和解决方案内容较好，能基本满足项目实施要求，得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重点、难点和解决方案内容较差、无针对性或可行性较差，得基本分</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一、项目概况及总体要求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年滨开区市政道路及管道养护与应急维修项目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、服务周期：暂定2026年5月15日-2027年5月14日，具体开始时间以采购人通知为准。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1.严格执行国家法律法规，遵守本项目合同条款。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2.随时接受并配合采购人的监督检查。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3.在项目服务有效期内，按照成交价格（成交价格=服务清单内全费用综合单价*投标费率（投标费率=1-投标优惠率））向采购人提供相关服务。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4.在项目服务有效期内，供应商应根据国家相关法律法规做好用工管理，负责作业安全。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5.供应商必须在接收到采购人作业计划和内容后，在规定期限内开工。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6.清掏冲洗作业要求，供应商应做到清掏、冲洗彻底干净，无遗漏，并将每天完成 的作业情况及时记录。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7.因供应商排查不到位，未发现主管断裂或堵塞、出水口堵塞等问题。导致采购人 财产损失或出现投诉及媒体曝光等现象的，其后果均由供应商承担。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在汛期应按采购人要求增加雨水管道疏通人员，成立汛期应急队伍，供应商应保证汛期一般情况下雨停后2小时内排除；如遇特殊情况，供应商及时采取措施，保障交通畅通安全，供应商须在合同签订后1个月内提交灾害性天气应急预案，安排充足的人员及机械，并上报采购人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9.对于采购人提交的单子，要按规定的时间或承诺的时间及时完成，并将整改结果 及照片上报采购人及相关人员。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10.清掏、冲洗作业人员及巡视员必须穿戴有反光条的安全帽及工作服。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11.作业员应做到文明作业，不得在工作时间内出现集群聊天、吸烟等不文明行为；不得聚众闹事；不得将清出的垃圾乱堆放或放入绿化带内。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12.供应商必须落实好安全生产主体责任，在作业过程中(尤其是井下作业过程中) 必须严格遵守《中华人民共和国安全生产法》,《建设工程安全生产管理条例》以及建设部《排水管道维护安全技术规程》等相关法律法规的要求开展作业，采取必要的安全技术措施，由于供应商自身原因造成的安全责任事故，人员伤亡，经济损失由供应商承担，因供应商养护不到位，造成交通安全事故均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在对雨水管道清掏、疏通后须形成视频影像资料及检测结论，在每月申请支付进度款时刻录成光盘一同上报采购人，并绘制雨水管道示意图(图中内容至少包含管径、流向、出水口、接入支管等信息)。此外，采购人可根据实际需要调整影像资料排查计划，供应商必须服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14.供应商在管线排查时必须注重排查管道雨污串流情况，找出源头接入支管，并 形成书面报告第一时间上报采购人，并必须配合相关部门进行现场查勘复核。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15.雨水管道疏通必须至出水口。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16.为保证服务质量，供应商必须服从采购人的抽查考核，具体考核办法见合同中的《雨水管道养护及疏通清淤检测项目月度考核表》。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17.人员机械要求：供应商承诺设雨水检查井、集水井清掏班组1组，3人/组(不含驾驶员),配备污泥车1台/组；雨水支管冲洗班组1组，2人/组(不含驾驶员), 配备冲洗车1台/组，另外增加2人专门负责CCTV 检测，配备雨水管道潜望镜及机器人等必要检测设备；雨水主管冲洗班组1组，5人/组，配备冲洗车1台，检测车1台，厢式货车1台。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18.根据历年运维数据和应急响应记录，项目执行中常面临以下特殊工况：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杂排水工况：部分管网节点存在淤积严重、管径变化大、排水落差高等情况，常规水泵在扬程、流量及应对含固杂物方面可能存在局限，须具备更高可靠性、带压能力的排水设备，以确保在复杂条件下快速、有效排除积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维修无电环境：管网突发爆管、堵塞等紧急情况常发生于夜间、地下空间或偏远路段，现场往往无法及时接入市政电力。为保证应急维修的响应速度与处置效率，维修团队必须具备在无外部电源条件下开展核心作业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19.清掏冲洗计划要求：供应商需根据采购人要求，制定年度、月度《清掏、冲洗计划》;计划要求以整条道路为单位，片区划分、路线规划合理，秉着先主干后次干的原 则，做到冲洗清掏无盲点，责任落实到人；采购人调整计划时，供应商需按采购人要求执行。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（三）作业内容：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根据《城镇排水管道检测与评估技术规程》（CJJ181-2012）及管道养护有关规定，该工程内容包括：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(一)、CCTV 检测、清淤内容及相关要求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外观质量检测（含管道内部视频资料）：对管道管壁、接口、井室、井筒等部位进行外观检查，对各部位的外观质量进行评价；检测范围有雨污水管道、收水支管及检查井；检测内容包括临时封堵、降排水、清洗、CCTV 检测、出具检测报告（含影像资料）；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2.破裂检测：管道及配套的检查井结构。对有裂缝的部位，检测裂缝的宽度、深度、长度及其分布情况；变形检测：管道及配套的检查井结构。对各部位受外力挤压造成的形状变异进行评价；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3.砼腐蚀性检测：对管壁腐蚀情况进行测定，对砼结构的侵蚀程度进行评价；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4.错口检测：对管道接口的错位进行检测，错口影响排水的程度进行评价；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5.起伏检测：对管道接口位置偏移，管道位置竖向位置变化进行测定，并对位置变化造成的影响进行评价；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6.脱节评价：对两根管道的端部未充分接合或接口脱离进行测定，并对脱节造成的影响进行评价；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7.接口材料脱落检测：对管道接口位置橡胶圈、沥青或混凝土脱落进行检测，并对接口可能造成的空洞、漏水等现象进行评价；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8.支管暗接检测：对支管未通过检查井直接侧向接入管道进行检测；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9.异物导入检测：非排水系统附属设施的物体穿透管壁进入管道进行检测，并对可能造成的影响进行评价；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10.渗漏检测：对管道外水流入管道情况进行检测；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11.功能性缺陷检测：对管道及检查井内沉积、结垢、障碍物、残墙、坝根，树根，浮渣等情况进行检测。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12.CCTV 检测设备、检测方法和影像判读等主要技术要求（参见《城镇排水管道检测与评估技术规程》CJJ181-2012）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13.按照国家规范要求，管道内积泥深度不得超过管径的 20%，超过时必须对管道进行清疏工作，以保证管道水流畅通无阻；同时根据检测规程要求，进行管道 CCTV 检测时管道内积泥深度不允许超过管径的 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（1）检查井和雨水口清捞质量要求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1"/>
        <w:gridCol w:w="6624"/>
      </w:tblGrid>
      <w:tr>
        <w:trPr>
          <w:trHeight w:val="30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24"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积泥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24"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窨井、进水口无硬块厚泥，用猫耳朵轻轻放下，能触及井底。</w:t>
            </w:r>
            <w:r/>
          </w:p>
        </w:tc>
      </w:tr>
      <w:tr>
        <w:trPr>
          <w:trHeight w:val="2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24"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四壁清洁、无结垢。</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24"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冲水检验畅通</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污泥落地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24"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污泥不落地，落地要清洗。硬头不随地乱扔。</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（2）管道清淤质量要求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5"/>
        <w:gridCol w:w="3792"/>
        <w:gridCol w:w="2642"/>
      </w:tblGrid>
      <w:tr>
        <w:trPr>
          <w:trHeight w:val="30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8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沟管畅通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管道内无淤积，管道水流畅通无阻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CCTV 影像资料回放检查</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硬块厚泥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管道内无硬质积泥，管道水流畅通无阻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CCTV 影像资料回放检查</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窨井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井内无硬块、厚泥，四壁清洁无结垢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所有项目均目测合格</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14.清淤范围包括污水管道、合流管道及检查井；清淤内容包括有毒气体检测、临时封堵、渡水降排水、通风、清淤、淤泥外运、安全围护等。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15.施工期间的排水管网路段交通导行（包括警示牌、警示灯、反光锥等警示设施围护和人员疏导）。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16.日常检修巡查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①巡查管道有无乱开挖现象，如有应及时查看开挖单位是否具有开挖证，如无，应立即制止其开挖行为。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②巡查管道有无乱接管现象，如有，则应立即制止；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③定期检查雨、污水井盖有无摔坏、缺失，如有，则应立即上报采购人；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④检查路面是否有污水外溢现象，如有，应及时排查，并进行简单处理；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⑤检查井、雨水口等是否有杂物，如有，应立即处理；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⑥检查管道是否有堵塞、渗漏现象，如有，应立即设置警示标志，按操作规范立即进行处理，同时上报采购人。若经简单疏通处理后仍未能解决问题，及时上报给采购人。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①制定日常巡查管理机制，在日常巡查中要做好养护记录，每月向采购人上报一次；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②每日安排固定人员（含装备）在固定时间段沿本次招标范围内的路线进行巡查，巡查人员统一着装，言谈举止规范；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③为保证巡查质量，至少配备一部工具车用于巡查，巡查工具要求标识清晰。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巡查范围包括区域范围内的各雨水管道、检查井、雨水口，做好巡查记录并详细填写巡检记录单，巡检记录单内容至少包括各雨污水管道、检查井、雨水口巡查负责人信息、每日巡查情况描述、负责人签字确认等，格式由中标人拟定，采购人核实。恶劣天气或特殊情况，中标人应及时增加巡检次数，确保管道畅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⑤采购人将制定日常检查计划并不定期进行抽查。如发现有不符合考核标准情况的，将计入月考核成绩中；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⑥因成交单位日常巡视或检修不到位，收到市民反馈或举报经查实的或造成安全事故的，责任由成交单位自行承担。造成重大安全责任事故的，保留追究其赔偿责任和法律责任的权利；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⑦供应商配备的巡逻车须专项用于本项目的日常巡逻、应急处置等工作，不得挪用至其他项目。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17.日常维护、零星修缮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①对堵塞、破损的排水设施、雨污管道、沟渠、雨水口及检查井进行疏通、清淤及修复，确保设施完好、道路通畅。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②按照下井、清淤方案及规范作业，确保安全、质量；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③人员、设备及进度安排合理、紧凑，确保达到进度要求；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④文明施工，确保达到文明作业要求，避免收到市民投诉。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18.根据历年运维数据和应急响应记录，项目执行中常面临以下特殊工况：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杂排水工况：部分管网节点存在淤积严重、管径变化大、排水落差高等情况，常规水泵在扬程、流量及应对含固杂物方面可能存在局限，须具备更高可靠性、带压能力的排水设备，以确保在复杂条件下快速、有效排除积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维修无电环境：管网突发爆管、堵塞等紧急情况常发生于夜间、地下空间或偏远路段，现场往往无法及时接入市政电力。为保证应急维修的响应速度与处置效率，维修团队必须具备在无外部电源条件下开展核心作业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三、相关技术规范及要求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（一）技术规范及要求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1.排放口、雨水管道及水环境系统的养护必须遵守CJJ68-2007《城镇排水管渠与泵站维护技术规程》中相关规定及要求。疏通后，管渠内的积泥深度不得超过5厘米，雨水收水支管积泥厚度不得超过2厘米。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（二）安全及文明施工要求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1.作业安全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①作业单位必须熟悉管道水下封堵、淤泥清理等一系列作业程序和要求，并应强化安全教育、安全监督。作业人员应培训后上岗，作业过程必须符合《排水管道维护安全技术规程》（CJJ 6-2009）、《有限空间安全作业五条规定》（国家安全生产监督管理总局令第69号）等相关规定。下井作业需做好安全管理措施。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②管道内可能存在H2S、CO等有毒有害气体，在作业期间应考虑强制通风、气体检测仪检测、佩戴防毒面具等安全措施，并考虑相关应急预案，确保达到安全生产的目的。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2.交通安全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①作业过程中，必须依法设置道路交通安全标志，夜间应悬挂警示灯，作业完毕后应及时撤离现场。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②在交通繁忙路段上作业时，应避开高峰时段，如有需要，应进行夜间作业。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3.防汛安全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①在作业安排中，需充分考虑汛期对工程的影响。获取天气形势和近期天气预报工作是工程部署的重要前提。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②作业过程不得对防汛安全造成影响，管道中封堵的封头、气囊应在雨前及时拆除，不得用临时排水措施替代管渠的正常排水。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4.文明作业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过程中，人员的着装、车辆的停放、工程器具的摆放、污泥和垃圾的堆放等须符合城管部门的相关规定，清理出的污泥和垃圾如需在现场堆放，需用不透水的袋灌装。作业过程应避免对周围环境和居民的正常生活造成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安全和文明施工费用包含在中标价内，不另行结算。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过程中，采购人将对安全文明施工进行不定期检查，检查过程中发现的问题作业单位应及时整改，同一类型问题再次出现，则以500元/次扣除结算款。因安全文明施工造成相关事故，一切责任及费用均由作业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中需要全面疏通清淤检测的雨水管道，作业单位应提供反映管道内部结构性、功能性缺陷的检测报告，检测报告应使用CCTV进行录制（管径300mm及以下管道可用QV录制），缺陷的判定，报告的编制应符合《常州市市政道路排水管道数字检测技术要求》。</w:t>
      </w:r>
      <w:r>
        <w:rPr>
          <w:rFonts w:ascii="SimSun" w:hAnsi="SimSun" w:eastAsia="SimSun" w:cs="SimSun"/>
          <w:b/>
          <w:color w:val="000000"/>
          <w:sz w:val="24"/>
        </w:rPr>
        <w:t xml:space="preserve">并对养护中及CCTV检测发现的雨污串流、结构性缺陷、整体运行方面等问题进行判别和整理，并进行专业化分析，提出合理化意见建议，以书面形式递交采购人。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四、服务清单</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gridCol w:w="1134"/>
        <w:gridCol w:w="1134"/>
      </w:tblGrid>
      <w:tr>
        <w:trPr>
          <w:trHeight w:val="993"/>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75" w:type="dxa"/>
            <w:vAlign w:val="center"/>
            <w:textDirection w:val="lrTb"/>
            <w:noWrap w:val="false"/>
          </w:tcPr>
          <w:p>
            <w:pPr>
              <w:spacing w:before="0" w:after="0" w:line="57" w:lineRule="atLeast"/>
            </w:pPr>
            <w:r/>
            <w:r/>
          </w:p>
        </w:tc>
        <w:tc>
          <w:tcPr>
            <w:gridSpan w:val="1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2026年滨开区市政道路及管道养护与应急维修项目服务清单</w:t>
            </w:r>
            <w:r/>
          </w:p>
        </w:tc>
      </w:tr>
      <w:tr>
        <w:trPr>
          <w:trHeight w:val="59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75" w:type="dxa"/>
            <w:vAlign w:val="center"/>
            <w:textDirection w:val="lrTb"/>
            <w:noWrap w:val="false"/>
          </w:tcPr>
          <w:p>
            <w:pPr>
              <w:spacing w:before="0" w:after="0" w:line="57" w:lineRule="atLeast"/>
            </w:p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工程数量</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全费用综合单价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3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75" w:type="dxa"/>
            <w:vAlign w:val="center"/>
            <w:textDirection w:val="lrTb"/>
            <w:noWrap w:val="false"/>
          </w:tcPr>
          <w:p>
            <w:pPr>
              <w:spacing w:before="0" w:after="0" w:line="57" w:lineRule="atLeast"/>
            </w:pPr>
            <w:r/>
            <w:r/>
          </w:p>
        </w:tc>
        <w:tc>
          <w:tcPr>
            <w:gridSpan w:val="2"/>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3"/>
            <w:vMerge w:val="continue"/>
            <w:textDirection w:val="lrTb"/>
            <w:noWrap w:val="false"/>
          </w:tcPr>
          <w:p>
            <w:r/>
            <w:r/>
          </w:p>
        </w:tc>
        <w:tc>
          <w:tcPr>
            <w:gridSpan w:val="3"/>
            <w:vMerge w:val="continue"/>
            <w:textDirection w:val="lrTb"/>
            <w:noWrap w:val="false"/>
          </w:tcPr>
          <w:p>
            <w:r/>
            <w:r/>
          </w:p>
        </w:tc>
      </w:tr>
      <w:tr>
        <w:trPr>
          <w:trHeight w:val="10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75" w:type="dxa"/>
            <w:vAlign w:val="center"/>
            <w:textDirection w:val="lrTb"/>
            <w:noWrap w:val="false"/>
          </w:tcPr>
          <w:p>
            <w:pPr>
              <w:spacing w:before="0" w:after="0" w:line="57" w:lineRule="atLeast"/>
            </w:p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日常巡查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道路及市政配套设施巡查：1、巡查范围：合同清单内的道路；2、日常道路巡查，发现道路破损等问题做好登记并及时汇报；3、道路巡查工程量为31604m*365天/1000=11535.46km。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11535.46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16.56 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实际发生工程量以审计审定为准。最终按实结算</w:t>
            </w:r>
            <w:r/>
          </w:p>
        </w:tc>
      </w:tr>
      <w:tr>
        <w:trPr>
          <w:trHeight w:val="160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75" w:type="dxa"/>
            <w:vAlign w:val="center"/>
            <w:textDirection w:val="lrTb"/>
            <w:noWrap w:val="false"/>
          </w:tcPr>
          <w:p>
            <w:pPr>
              <w:spacing w:before="0" w:after="0" w:line="57" w:lineRule="atLeast"/>
            </w:p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雨水管道日常养护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对滨开区区域内镇属道路约31604米雨水主管道的收水支管、收水井、雨水检查井进行疏通清理，每年两次。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31604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实际发生工程量以审计审定为准。最终按实结算 </w:t>
            </w:r>
            <w:r/>
          </w:p>
        </w:tc>
      </w:tr>
      <w:tr>
        <w:trPr>
          <w:trHeight w:val="160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75" w:type="dxa"/>
            <w:vAlign w:val="center"/>
            <w:textDirection w:val="lrTb"/>
            <w:noWrap w:val="false"/>
          </w:tcPr>
          <w:p>
            <w:pPr>
              <w:spacing w:before="0" w:after="0" w:line="57" w:lineRule="atLeast"/>
            </w:p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应急抢修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实际发生工程量以审计审定为准，结算单价详见应急抢修办法全费用综合单价表。详见附件三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见附件三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实际发生工程量以审计审定为准。最终按实结算 </w:t>
            </w:r>
            <w:r/>
          </w:p>
        </w:tc>
      </w:tr>
      <w:tr>
        <w:trPr>
          <w:trHeight w:val="92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75" w:type="dxa"/>
            <w:vAlign w:val="center"/>
            <w:textDirection w:val="lrTb"/>
            <w:noWrap w:val="false"/>
          </w:tcPr>
          <w:p>
            <w:pPr>
              <w:spacing w:before="0" w:after="0" w:line="57" w:lineRule="atLeast"/>
            </w:pPr>
            <w:r/>
            <w:r/>
          </w:p>
        </w:tc>
        <w:tc>
          <w:tcPr>
            <w:gridSpan w:val="1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说明：以上单价为全费用单价（含一切费用），结算数量以实际竣工验收数量为准，无论量的变化多少，以单价不变的原则计算结算总价。</w:t>
            </w:r>
            <w:r/>
          </w:p>
        </w:tc>
      </w:tr>
      <w:tr>
        <w:trPr>
          <w:gridAfter w:val="1"/>
          <w:trHeight w:val="540"/>
        </w:trPr>
        <w:tc>
          <w:tcPr>
            <w:gridSpan w:val="1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w:t>
            </w:r>
            <w:r/>
          </w:p>
        </w:tc>
      </w:tr>
      <w:tr>
        <w:trPr>
          <w:gridAfter w:val="1"/>
          <w:trHeight w:val="700"/>
        </w:trPr>
        <w:tc>
          <w:tcPr>
            <w:gridSpan w:val="1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应急抢修部分全费用综合单价表</w:t>
            </w:r>
            <w:r/>
          </w:p>
        </w:tc>
      </w:tr>
      <w:tr>
        <w:trPr>
          <w:gridAfter w:val="1"/>
          <w:trHeight w:val="66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计量单位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全费用综合单价</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砼路面及沥青路面灌缝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水泥混凝土路面锯缝机锯缝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水泥路面灌缝，含切缝、清缝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灌缝;沥青采用进口石油沥青;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130.20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灌缝;沥青采用普通石油沥青;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110.12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沥青路面灌缝，含切缝、清缝及灌缝;缝宽20mm;沥青采用进口石油沥青;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沥青路面灌缝;缝宽20mm;沥青采用进口石油沥青;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253.63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沥青路面灌缝;沥青采用普通石油沥青;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110.12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拆除工程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单次面积400m2以内;洗刨沥青路面1-5CM,不含废料外运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单次面积400m2以内;机械拆除沥青类路面,厚10cm,不含废料外运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单次面积400m2以内;机械拆除沥青类路面,每增减1CM,不含废料外运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0.99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单次面积400m2以内;机械拆除无筋砼路面,20cm,不含废料外运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29.96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单次面积400m2以内;机械拆除无筋砼路面,每增减1CM,不含废料外运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单次面积400m2以内;拆除二灰碎石、水稳以及砖屑类,厚20CM,不含废料外运;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28.48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单次面积400m2以内;拆除二灰碎石、水稳以及砖屑类,每增减1CM,不含废料外运;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单次面积400m2以内;拆除灰土,厚10cm;不含废料外运;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14.90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单次面积400m2以内;拆除灰土,每增减1cm,不含废料外运;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拆除人行道</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单次面积400m2以内;拆除块料面层人行道,不含废料外运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13.95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拆除侧、平（缘）石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拆除预制侧石及砼基础,不含废料外运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12.72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拆除侧、平（缘）石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拆除花岗岩侧石及砼基础,不含废料外运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拆除侧、平（缘）石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拆除预制平石及砼基础,不含废料外运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拆除侧、平（缘）石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拆除花岗岩平石及砼基础,不含废料外运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单次面积400m2以内;拆除人行道侧平石下砼及砂浆垫层,10CM以内,不含废料外运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19.91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单次面积400m2以内;拆除人行道侧平石下砼及砂浆垫层,每增减1cm,不含废料外运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单次面积400m2以外;洗刨沥青路面1-5CM,不含废料外运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单次面积400m2以外;机械拆除沥青类路面,厚10cm,不含废料外运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单次面积400m2以外;机械拆除沥青类路面,每增减1cm,不含废料外运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0.99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单次面积400m2以外;机械拆除无筋砼路面,20cm,不含废料外运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29.96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拆除路面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单次面积400m2以外;机械拆除无筋砼路面,每增减1cm,不含废料外运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单次面积400m2以外;拆除二灰碎石、水稳以及砖屑类,厚20CM,不含废料外运;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23.96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单次面积400m2以外;拆除二灰碎石、水稳以及砖屑类,每增减1CM,不含废料外运;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单次面积400m2以外;拆除灰土,厚10cm;不含废料外运;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单次面积400m2以外;拆除灰土,每增减1cm,不含废料外运;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拆除人行道</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单次面积400m2以外;拆除块料面层人行道,不含废料外运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单次面积400m2以外;拆除人行道侧平石下砼及砂浆垫层,10cm以内,不含废料外运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拆除基层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单次面积400m2以外;拆除人行道侧平石下砼及砂浆垫层,每增减1cm,不含废料外运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锯缝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砼路面或沥青路面锯缝、不含灌缝;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余方弃置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单次任务外运100m3以内含100m3零散拆除物及垃圾清运30%人工装车,70%机械装车,弃场及运距自行考虑;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62.99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余方弃置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单次任务外运100m3以外零散拆除物及垃圾清运,30%人工装车,70%机械装车,弃场及运距自行考虑;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50.63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侧平石和人行道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花岗岩侧石654磨光;500*120*280mm;C20砼垫层(按常规设计要求）;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261.00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C30预制侧石800*300*150mm;C15垫层;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116.11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预制C25砼侧石;280*120*800mm;C15砼靠背（按常规设计要求）;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91.22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树池砌筑</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花岗岩树池1.5*1.5m;C20垫层;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154.54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树池砌筑</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C30预制树池1.5*1.5m;C20垫层;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107.38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预制C25平石;240*100*800mm;C15砼靠背（按常规设计要求）;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86.93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花岗岩侧石654磨光;500*120*280mm;C20砼垫层(按常规设计要求）,原材料利用;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49.39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C30预制侧石800*300*150mm;C15垫层,原材料利用;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32.48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预制C25砼侧石;280*120*800mm;C15砼靠背（按常规设计要求）,原材料利用;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32.48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树池砌筑</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花岗岩树池1.5*1.5m;C20垫层,原材料利用;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25.65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树池砌筑</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C30预制树池1.5*1.5m;C20垫层,原材料利用;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24.38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预制C25平石;240*100*800mm;C15砼靠背（按常规设计要求）,原材料利用;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32.48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单次400M2以内（20m2以外），利用原有道板进行铺贴，3cm厚1：3水泥砂浆;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88.85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单次20m2以内，利用原有道板进行铺贴，3cm厚1：3水泥砂浆;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132.76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单次400m2以外，利用原有道板进行铺贴，3cm厚1：3水泥砂浆;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74.64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单次400m2以内（20m2以外），654#花岗岩、2.5cm厚，3cm厚1：3水泥砂浆;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298.26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单次20m2以内，654#花岗岩、2.5cm厚，3cm厚1：3水泥砂浆;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342.18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单次400m2以内（20m2以外），654#花岗岩、4cm厚，3cm厚1：3水泥砂浆;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426.58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单次20m2以内，654#花岗岩、4cm厚，3cm厚1：3水泥砂浆;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470.51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单次400m2以内（20m2以外），654#花岗岩、6cm厚，3cm厚1：3水泥砂浆;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595.47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单次20m2以内，654#花岗岩、6cm厚，3cm厚1：3水泥砂浆;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639.36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单次400m2以内（20m2以外），654#花岗岩、8cm厚，3cm厚1：3水泥砂浆;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764.33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单次20m2以内，654#花岗岩、8cm厚，3cm厚1：3水泥砂浆;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808.24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单次400m2以内（20m2以外），C30苏布洛克砖,200*100*60mm,;3cm1：3水泥砂浆;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164.93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单次20m2以内*，C30苏布洛克砖,200*100*60mm,;3cm1：3水泥砂浆;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202.15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单次400m2以内（20m2以外），4cm预制道板C30;3cm1:3水泥砂浆;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112.77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单次20m2以内，4cm预制道板C30;3cm1:3水泥砂浆;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156.40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单次400m2以内（20m2以外），文化石，尺寸规格综合报价;3cm厚1：3水泥砂浆;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145.48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单次20m2以内，文化石，尺寸规格综合报价;3cm厚1：3水泥砂浆;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191.49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单次400m2以内（20m2以外），白色瓷砖，尺寸按施工需要，综合报价;2cm厚1：2.5水泥砂浆;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157.43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单次20m2以内，白色瓷砖，尺寸按施工需要，综合报价;2cm厚1：2.5水泥砂浆;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203.20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单次400m2以外，654#花岗岩、2.5cm厚，3cm厚1：3水泥砂浆;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264.06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单次400m2以外，654#花岗岩、4cm厚，3cm厚1：3水泥砂浆;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380.19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单次400m2以外，C30苏布洛克砖,200*100*60mm,;3cm1：3水泥砂浆;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165.56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单次400m2以外，4cm预制道板C30;3cm1:3水泥砂浆;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105.53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单次400m2以外，文化石，尺寸规格综合报价;3cm厚1：3水泥砂浆;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136.83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单次400m2以外，白色瓷砖，尺寸按施工需要，综合报价;2cm厚1：2.5水泥砂浆;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147.26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碎石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碎石垫层,厚度10cm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536.76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垫层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单次400m2以内，人行道15cmC15细石砼垫层，含养护、厚度综合;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839.52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垫层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单次400m2以内，人行道15cmC20细石砼垫层，含养护、厚度综合;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859.81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垫层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单次400m2以内，人行道15cmC25细石砼垫层，含养护、厚度综合;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878.91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垫层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单次400m2以外，人行道15cmC15细石砼垫层，含养护、厚度综合;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791.55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垫层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单次400m2以外，人行道15cmC20细石砼垫层，含养护、厚度综合;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811.84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垫层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单次400m2以外，人行道15cmC25细石砼垫层，含养护、厚度综合;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830.94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路面维修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20cm厚C35砼路面，含养生、刻痕处理;单次面积400m2以内;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204.46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C35砼路面，厚度每增减1cm;单次面积400m2以内;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20cm厚C30砼路面，含养生、刻痕处理;单次面积400m2以内;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202.71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C30砼路面，厚度每增减1cm;单次面积400m2以内;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9.40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20cm厚C25砼路面，含养生、刻痕处理;单次面积400m2以内;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198.51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C25砼路面，厚度每增减1cm;单次面积400m2以内;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20cm厚C25碾压式砼路面，含养生、刻痕处理;单次面积400m2以内;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198.51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C25碾压式砼路面，厚度每增减1cm;单次面积400m2以内;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20cm厚C35砼路面，含养生、刻痕处理;单次面积400m2以外;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189.74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C35砼路面，厚度每增减1cm;单次面积400m2以外;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8.76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20cm厚C30砼路面，含养生、刻痕处理;单次面积400m2以外;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188.07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C30砼路面，厚度每增减1cm;单次面积400m2以外;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20cm厚C25砼路面，含养生、刻痕处理;单次面积400m2以外;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184.01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C25砼路面，厚度每增减1cm;单次面积400m2以外;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20cm厚C25碾压式砼路面，含养生、刻痕处理;单次面积400m2以外;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184.00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C25碾压式砼路面，厚度每增减1cm;单次面积400m2以外;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水泥砼路面注浆;含打孔，注浆料满足施工要求;注浆量及注浆深度综合考虑;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171.83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沥青表面处治</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喷油，喷油量按施工要求;单次面积400m2以内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9.45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封层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1cm乳化沥青下封层，沥青AH-70;单次面积400m2以内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沥青表面处治</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喷油，喷油量按施工要求;单次面积400m2以外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封层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1cm乳化沥青下封层，沥青AH-70;单次面积400m2以外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15.19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沥青冷料修补摊铺,地聚合物灌浆料（速凝型道路加固专用）NK-T103型;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7998.21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8cmAC-25C粗粒式沥青混凝土,单次面积400m2以外;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143.34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8cmAC-25C粗粒式沥青混凝土（SBS改性）,单次面积400m2以外;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160.64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AC-25C粗粒式沥青混凝土,厚度每增减1cm.单次面积400m2以外;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17.65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AC-25C粗粒式沥青混凝土（SBS改性）,厚度每增减1cm.单次面积400m2以外;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19.81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8cmAC-25C粗粒式沥青混凝土,单次面积400m2以内;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168.58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8cmAC-25C粗粒式沥青混凝土（SBS改性）,单次面积400m2以内;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188.77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AC-25C粗粒式沥青混凝土,厚度每增减1cm.单次面积400m2以内;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AC-25C粗粒式沥青混凝土（SBS改性）,厚度每增减1cm.单次面积400m2以内;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22.75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5cmAC-20C中粒式沥青砼;单次面积400m2以外;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91.82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5cmAC-20C中粒式沥青砼（SBS改性）;单次面积400m2以外;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101.35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AC-20C中粒式沥青砼,厚度每增减1cm;单次面积400m2以外;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AC-20C中粒式沥青砼（SBS改性）,厚度每增减1cm;单次面积400m2以外;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20.76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5cmAC-20C中粒式沥青砼;单次面积400m2以内;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110.08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5cmAC-20C中粒式沥青砼（SBS改性）;单次面积400m2以内;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121.23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AC-20C中粒式沥青砼,厚度每增减1cm;单次面积400m2以内;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20.84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AC-20C中粒式沥青砼（SBS改性）,厚度每增减1cm;单次面积400m2以内;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23.04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4cm厚AC-13C细粒式沥青混凝土（玄武岩骨料）;单次面积400m2以外;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100.90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4cm厚AC-13C细粒式沥青混凝土（玄武岩骨料,SBS改性）;单次面积400m2以外;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107.01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AC-13C细粒式沥青混凝土（玄武岩骨料）;厚度每增减1cm;单次面积400m2以外;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25.78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AC-13C细粒式沥青混凝土（玄武岩骨料,SBS改性）;厚度每增减1cm;单次面积400m2以外;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27.29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4cm厚AC-13C细粒式沥青混凝土（玄武岩骨料）;单次面积400m2以内;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116.84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4cm厚AC-13C细粒式沥青混凝土（玄武岩骨料,SBS改性）;单次面积400m2以内;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123.50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AC-13C细粒式沥青混凝土（玄武岩骨料）;厚度每增减1cm;单次面积400m2以内;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28.25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AC-13C细粒式沥青混凝土（玄武岩骨料,SBS改性）;厚度每增减1cm;单次面积400m2以内;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29.92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4cm厚AC-10C细粒式沥青混凝土（玄武岩骨料）;单次面积400m2以外;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105.88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4cm厚AC-10C细粒式沥青混凝土（玄武岩骨料,SBS改性）;单次面积400m2以外;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112.53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AC-10C细粒式沥青混凝土（玄武岩骨料）;厚度每增减1cm;单次面积400m2以外;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27.01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AC-10C细粒式沥青混凝土（玄武岩骨料,SBS改性）;厚度每增减1cm;单次面积400m2以外;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28.70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4cm厚AC-10C细粒式沥青混凝土（玄武岩骨料）;单次面积400m2以内;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122.28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4cm厚AC-10C细粒式沥青混凝土（玄武岩骨料,SBS改性）;单次面积400m2以内;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129.56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AC-10C细粒式沥青混凝土（玄武岩骨料）;厚度每增减1cm;单次面积400m2以内;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29.62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AC-10C细粒式沥青混凝土（玄武岩骨料,SBS改性）;厚度每增减1cm;单次面积400m2以内;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31.44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4cm厚SMA沥青混凝土（玄武岩骨料）;单次面积400m2以外;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123.61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SMA沥青混凝土（玄武岩骨料）;厚度每增减1cm;单次面积400m2以外;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31.47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4cmSMA沥青混凝土（玄武岩骨料）;单次面积400m2以内;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141.67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SMA沥青混凝土（玄武岩骨料）;厚度每增减1cm;单次面积400m2以内;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34.48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水泥稳定碎（砾）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15cm厚水稳;含养生、单次面积400m2以外;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112.79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水泥稳定碎（砾）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水稳;厚度每增减1cm;含养生、单次面积400m2以外;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水泥稳定碎（砾）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15cm厚水稳;含养生、单次面积400m2以内;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130.12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水泥稳定碎（砾）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水稳;厚度每增减1cm;含养生、单次面积400m2以内;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其他零星项目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桥梁栏杆制作及焊接30*30mm方管,含栏杆涂漆;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71.90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更换栏杆,桥梁栏杆制作及焊接20*20*1.2mm镀锌管;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125.82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更换栏杆,桥梁栏杆制作及焊接25*25*1.2mm镀锌管;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131.80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更换栏杆,桥梁栏杆制作及焊接40*40*2mm镀锌管;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143.78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更换栏杆,桥梁栏杆制作及焊接60*60*3mm镀锌管;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161.76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更换栏杆,桥梁栏杆制作及焊接70*70*4mm镀锌管;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185.73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更换栏杆,桥梁栏杆制作及焊接100*100*5mm镀锌管;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213.27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桥梁金属栏杆除锈及涂刷防锈漆一遍;二遍调和油漆;按立面投影面积计算，含空隙面积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101.85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桥梁金属栏杆;二遍调和油漆;按立面投影面积计算，含空隙面积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59.92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木栏杆;刷桐油;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16.76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桥梁栏杆除灰尘，刷两遍乳胶漆（外）;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20.97</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304不锈钢栏杆制作安装，高度1100mm*厚度4mm;含栏杆涂漆;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1437.80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161</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钢管栏杆制作安装;高度1.1m以上;含栏杆涂漆;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778.82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162</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花岗岩栏杆(含预埋钢板、立柱、扶手等全部内容);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2006.93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163</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拆除高度5m以上水泥电杆;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419.38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164</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零星砌砖</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标准砖零星砖砌;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1160.47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排水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抽水台班,电动离心清水泵50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44.58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排水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抽水台班,电动离心清水泵100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101.22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排水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抽水台班,电动离心清水泵150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161.68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市政管网工程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挖沟槽土方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二～四类,人机配合开挖沟槽土方;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52.81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挖沟槽土方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二～四类,人工开挖沟槽土方;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100.72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回填方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素土,排水沟槽;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62.93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回填方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6%灰土,排水沟槽及井周范围回填;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181.16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回填方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沟槽中砂回填;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654.45</w:t>
            </w:r>
            <w:r/>
          </w:p>
        </w:tc>
      </w:tr>
      <w:tr>
        <w:trPr>
          <w:gridAfter w:val="1"/>
          <w:trHeight w:val="7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雨水连接管,HDPE双壁波纹管DN225,环刚度≥8kN/M2,10cm碎石+10cmC15垫层,C20砼回填至管顶20cm,宽度为管腔两侧各15cm,包括模板制作安装;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347.97</w:t>
            </w:r>
            <w:r/>
          </w:p>
        </w:tc>
      </w:tr>
      <w:tr>
        <w:trPr>
          <w:gridAfter w:val="1"/>
          <w:trHeight w:val="7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雨水连接管,HDPE双壁波纹管DN300,环刚度≥8kN/M2,10cm碎石+10cmC15垫层,C20砼回填至管顶20cm,宽度为管腔两侧各15cm,包括模板制作安装;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446.21</w:t>
            </w:r>
            <w:r/>
          </w:p>
        </w:tc>
      </w:tr>
      <w:tr>
        <w:trPr>
          <w:gridAfter w:val="1"/>
          <w:trHeight w:val="7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雨水管铺设,d400承插钢筋混凝土雨水管II级管,10cm碎石垫层+120°混凝土基础,做法详见图集06M201-1,包括模板制作安装;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430.81</w:t>
            </w:r>
            <w:r/>
          </w:p>
        </w:tc>
      </w:tr>
      <w:tr>
        <w:trPr>
          <w:gridAfter w:val="1"/>
          <w:trHeight w:val="7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雨水管铺设,d600承插钢筋混凝土雨水管II级管,10cm碎石垫层+120°混凝土基础,做法详见图集06M201-1,包括模板制作安装;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805.20</w:t>
            </w:r>
            <w:r/>
          </w:p>
        </w:tc>
      </w:tr>
      <w:tr>
        <w:trPr>
          <w:gridAfter w:val="1"/>
          <w:trHeight w:val="7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雨水管铺设,d800平口钢筋混凝土雨水管II级管,10cm碎石垫层+120°混凝土基础,详见图集06M201-1,采用钢丝网水泥砂浆抹带接口，详见图集06M201-1,包括模板制作安装;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1175.29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砌筑井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非定型井，M7.5水泥砖砌筑;1:2水泥砂浆粉刷;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1369.11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更换重型球墨铸铁雨污水检查井框盖;φ700;不含锯缝、井室加高;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1048.00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更换防沉降重型球墨铸铁雨污水检查井框盖;φ700;不含锯缝、井室加高、沥青;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1515.39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更换铸铁框，钢纤维井盖B级;φ700;不含锯缝、井室加高;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684.78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更换复合井盖，型号综合报价;φ700;不含锯缝、井室加高;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382.45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井框或井盖破损的、偷盗的;井盖或井框材料价格按实签证计量，更换或补盖;不含井室加高;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455.30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更换复合单箅收水井框盖,井盖尺寸综合;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712.35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砌筑井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检查井抬升30cm内;做法按规范要求;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295.51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现浇构件钢筋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道面钢筋,含传力杆;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8725.19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市政雨污水管道基础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混凝土其他构件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C30砼现浇构件,不含钢筋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1283.74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现浇构件钢筋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现浇构件钢筋;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7346.92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底板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C25钢筋混凝土底板;含钢筋;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1313.04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管道包封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C20混凝土包封；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993.14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市政雨水管道工程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Φ110PE排水管,基础另计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116.26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Φ160PE排水管,基础另计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349.06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更换DN110PVC塑料管,基础另计;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101.75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更换DN160PVC塑料管,基础另计;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127.31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铺设DN110PVC塑料管,基础另计;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40.62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铺设DN160PVC塑料管,基础另计;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71.85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雨水口连接管：DN200 HDPE双壁波纹管（环刚度≥8KN/m2），承插胶圈接口;管道施工满足设计及规范要求;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109.39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雨水口连接管：DN300 HDPE双壁波纹管（环刚度≥8KN/m2），承插胶圈接口;管道施工满足设计及规范要求;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117.63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雨水主管：DN300 HDPE双壁波纹管（环刚度≥8KN/m2），承插胶圈接口;管道施工满足设计及规范要求;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125.18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雨水主管：DN400 HDPE双壁波纹管（环刚度≥8KN/m2），承插胶圈接口;管道施工满足设计及规范要求;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216.15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雨水主管：DN500 HDPE双壁波纹管（环刚度≥8KN/m2），承插胶圈接口;管道施工满足设计及规范要求;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343.73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雨水主管：DN600 HDPE双壁波纹管（环刚度≥8KN/m2），承插胶圈接口;管道施工满足设计及规范要求;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478.75</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雨水管铺设,d1000平口钢筋混凝土雨水管II级管,10cm碎石垫层+120°C15混凝土基础,详见图集06M201-1,采用钢丝网水泥砂浆抹带接口，详见图集06M201-1,包括模板制作安装;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1386.79</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雨水管铺设,d1200平口钢筋混凝土雨水管II级管,10cm碎石垫层+120°C15混凝土基础,详见图集06M201-1,采用钢丝网水泥砂浆抹带接口，详见图集06M201-1,包括模板制作安装;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1950.04</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雨水管铺设,d1500平口钢筋混凝土雨水管II级管,10cm碎石垫层+120°C15混凝土基础,详见图集06M201-1,采用钢丝网水泥砂浆抹带接口，详见图集06M201-1,包括模板制作安装;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3165.09</w:t>
            </w:r>
            <w:r/>
          </w:p>
        </w:tc>
      </w:tr>
      <w:tr>
        <w:trPr>
          <w:gridAfter w:val="1"/>
          <w:trHeight w:val="12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钢承口（F型）钢筋混凝土管道顶进</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类别:综合，管径:DN800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2690.78</w:t>
            </w:r>
            <w:r/>
          </w:p>
        </w:tc>
      </w:tr>
      <w:tr>
        <w:trPr>
          <w:gridAfter w:val="1"/>
          <w:trHeight w:val="12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钢承口（F型）钢筋混凝土管道顶进</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类别:综合，管径:DN1000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3265.75</w:t>
            </w:r>
            <w:r/>
          </w:p>
        </w:tc>
      </w:tr>
      <w:tr>
        <w:trPr>
          <w:gridAfter w:val="1"/>
          <w:trHeight w:val="12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钢承口（F型）钢筋混凝土管道顶进</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类别:综合，管径:DN1200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4102.02</w:t>
            </w:r>
            <w:r/>
          </w:p>
        </w:tc>
      </w:tr>
      <w:tr>
        <w:trPr>
          <w:gridAfter w:val="1"/>
          <w:trHeight w:val="12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钢承口（F型）钢筋混凝土管道顶进</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类别:综合，管径:DN1500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5816.55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顶管工作井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深度2m内，工作内容:顶进后座及坑内工作平台搭拆、顶进设备安拆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5344.15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雨水口</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MU15水泥砖砌偏沟式/平篦式单篦雨水口（380*680）;井深1m;铸铁井圈井篦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1392.52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雨水口</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MU15水泥砖砌偏沟式/平篦式单篦雨水口（380*680）;井深0.7m;铸铁井圈井篦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1146.35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井周加固</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车行道内各种井周加固;含井周路面反开挖、垃圾弃置、垫层、钢筋砼井箍、玻纤格栅等所有工作内容;详见设计图纸;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3427.59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水泥砂浆抹面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1:2水泥砂浆抹面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70.71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水泥砂浆抹面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20厚1:2防水砂浆抹面（部位综合）;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51.06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污水管道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铸铁管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污水：DN150污水用球墨铸铁管，C40级，T型承插式橡胶圈接口;管道防腐、涂覆、闭水试验等须满足设计及规范要求;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295.27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铸铁管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污水：DN200污水用球墨铸铁管，C40级，T型承插式橡胶圈接口;管道防腐、涂覆、闭水试验等须满足设计及规范要求;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400.65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铸铁管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污水：DN300污水用球墨铸铁管，C40级，T型承插式橡胶圈接口;管道防腐、涂覆、闭水试验等须满足设计及规范要求;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513.98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铸铁管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污水管:1、DN400球墨铸铁管(C40级),T型承插式橡胶圈接口2、闭水试验合格;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779.35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路床（槽）整形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路床及人行道整形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路床（槽）整形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老路床整理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花岗岩侧石654磨光;500*150*300mm;C20砼垫层(按常规设计要求）;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269.66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单次400m2以内（20m2以外），C40苏布洛克砖,200*100*60mm,;3cm1：3水泥砂浆;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176.55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单次20m2以内*，C40苏布洛克砖,200*100*60mm,;3cm1：3水泥砂浆;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214.53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碎石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路基处换填碎石土（碎石含量70%）回填;分层夯实,压实度符合设计及规范要求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251.78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掺石灰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路基灰土处理,含灰量4%;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93.12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掺石灰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翻松20cm，掺灰4%；压实度要求≥90%；含生石灰集中消解；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19.05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石灰稳定土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6%石灰土处治；压实度要求≥94%；含生石灰集中消解；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123.03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灰土运输</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灰土拌合场地与施工场地之间灰土运输费用以及拌合场地的相关费用；含装车、运输、卸料等；运距自行考虑；按实际完成的灰土压实方数量计量；拌合场地满足建设单位要求；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29.09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花岗岩平石,不含圆弧段;C20商品砼基础;含模板制安、拆;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273.54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花岗岩平石,圆弧段;C20商品砼基础;含模板制安、拆;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291.79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利用现状完好花岗岩平石重新铺设,（花岗岩品种、规格与现状一致）含圆弧段;C20商品砼基础;含模板制安、拆;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30.31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树池围牙、盖板(篦子)</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树池盖板，玻璃钢型材（格栅）采用型号50*50*50mm，含制作及安装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431.33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挖树根（蔸）</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人工修理树根至可以安放盖板,含修理后垃圾清理及清扫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359.45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陶瓷颗粒面层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1、φ1-2mm橙色陶瓷颗粒面层；2、厚度2-4mm，含环氧树脂粘结剂；3、包含所有特殊图案等所有内容；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191.71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陶瓷颗粒面层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1、φ1-2mm蓝色陶瓷颗粒面层；2、厚度2-4mm，含环氧树脂粘结剂；3、包含所有特殊图案等所有内容；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191.71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陶瓷颗粒面层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1、φ1-2mm红色陶瓷颗粒面层；2、厚度2-4mm，含环氧树脂粘结剂；3、包含所有特殊图案等所有内容；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161.76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砼面层模具压花地面,含播撒强化料、收光、脱膜粉、冲洗、保护剂等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29.96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30mm彩色透水混凝土上面层,普通硅酸盐水泥  42.5级;玄武岩碎石;颜色综合考虑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89.36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彩色透水混凝土上面层每增减10MM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18.72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透水混凝土下面层60MM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52.73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透水混凝土下面层每增减10MM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水泥混凝土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40MM露骨料透水混凝土上面层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69.97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塑胶场地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1MM厚聚氨酯封底层;满足国家及行业最新环保要求;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19.16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塑胶场地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13厚现浇EPDM塑胶地垫,颜色综合考虑;满足国家及行业最新环保要求;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455.30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塑胶场地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20厚1:3水泥砂浆找平层;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31.28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塑胶场地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1:3水泥砂浆找平层每增减5mm;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橡胶板楼地面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5厚硅PU;封底处理;达到环保及设计要求;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215.68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土工合成材料</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透水或防水土工布,按实铺面积计量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23.54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土工合成材料</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19*19mm自粘式玻纤格栅,按实铺面积计量;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土工合成材料</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双向钢塑土工格栅,按实铺面积计量;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21.30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防尘网覆盖</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防尘网购置及铺设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铺贴防裂贴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嵌缝后使用宽30cm,厚2mm的“YN-自粘式防裂贴”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14.38</w:t>
            </w:r>
            <w:r/>
          </w:p>
        </w:tc>
      </w:tr>
      <w:tr>
        <w:trPr>
          <w:gridAfter w:val="1"/>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拆除各种障碍物;碎石类等各种基层;包含砖石砌体,侧平石,道板,已建的废弃管网（含基础）、雨水口等;拆除物归堆,不含废料外运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107.84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拆除钢筋混凝土结构</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有筋砼结构,含归堆及场内运输;不含废料外运;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544.69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铺贴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单次400M2以内（20m2以外）,2.5cm654#花岗岩砖墙面挂贴,1：2.5水泥砂浆;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368.04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单次400M2以内（20m2以外）,2.5cm654#花岗岩砼墙面挂贴,1：2.5水泥砂浆;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376.61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单次400M2以内（20m2以外）,2.5cm654#花岗岩砖柱面挂贴,1：2.5水泥砂浆;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377.78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单次400M2以内（20m2以外）,2.5cm654#花岗岩砼柱面挂贴,1：2.5水泥砂浆;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401.71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单次20m2以内，2.5cm654#花岗岩挂贴,1：2水泥砂浆;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388.27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单次400M2以内（20m2以外）,2.5cm654#花岗岩墙面干挂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400.48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单次400M2以内（20m2以外）,2.5cm654#花岗岩柱面干挂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425.92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单次20m2以内,2.5cm654#花岗岩干挂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496.29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1、25厚中国黑花岗岩压顶；2、20厚1:3水泥砂浆结合层；3、R20指甲圆石材磨边；4、含石材切割、损耗、表面防护剂】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514.56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石材台阶面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单次20m2以内，654#花岗岩(防滑纹)、2.5cm厚，3cm厚1：3水泥砂浆;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365.72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单次400M2以内（20m2以外）,3cm654#花岗岩砖墙面挂贴,1：2.5水泥砂浆;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404.72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单次400M2以内（20m2以外）,3cm654#花岗岩砼墙面挂贴,1：2.5水泥砂浆;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413.28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单次400M2以内（20m2以外）,3cm654#花岗岩砖柱面挂贴,1：2.5水泥砂浆;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414.45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单次400M2以内（20m2以外）,3cm654#花岗岩砼柱面挂贴,1：2.5水泥砂浆;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438.39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单次20m2以内，3cm654#花岗岩挂贴,1：2水泥砂浆;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424.95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单次400M2以内（20m2以外）,3cm654#花岗岩墙面干挂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437.14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单次400M2以内（20m2以外）,3cm654#花岗岩柱面干挂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462.59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单次20m2以内,3cm654#花岗岩干挂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532.97</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1、30厚中国黑花岗岩压顶；2、20厚1:3水泥砂浆结合层；3、R20指甲圆石材磨边；4、含石材切割、损耗、表面防护剂】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541.58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1、50厚中国黑花岗岩压顶；2、20厚1:3水泥砂浆结合层；3、R20指甲圆石材磨边；4、含石材切割、损耗、表面防护剂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798.25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1、80厚中国黑花岗岩压顶；2、20厚1:3水泥砂浆结合层；3、R20指甲圆石材磨边；4、含石材切割、损耗、表面防护剂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1081.96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石材台阶面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单次20m2以内，654#花岗岩(防滑纹)、3cm厚，3cm厚1：3水泥砂浆;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406.24</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单次400m2以内（20m2以外），654#花岗岩、5cm厚，3cm厚1：3水泥砂浆;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500.90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单次20m2以内，654#花岗岩、5cm厚，3cm厚1：3水泥砂浆;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544.81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墙面喷刷涂料</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真石漆饰面;（颜色综合考虑），分层线及分格缝处理等全部工序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129.71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栈道</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120*30空心塑木地板：间隙6mm，30*50塑木龙骨@450;1:3水泥砂浆找平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313.75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坐凳面</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40*40实心塑木条（坐凳面及靠背）：金属预埋件固定及安装，表面刷氟碳漆;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419.38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散铺卵石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100厚卵石;粒径50-70;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1437.80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井盖板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3mm不锈钢包边,含购置及加工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1048.41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铺装隐形井盖5厚镀锌钢板及板槽，拉手孔，5厚镀锌角钢固定于预埋钢板，1:3水泥砂浆，含安装、预埋件等;按展开面积计;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1317.98</w:t>
            </w:r>
            <w:r/>
          </w:p>
        </w:tc>
      </w:tr>
      <w:tr>
        <w:trPr>
          <w:gridAfter w:val="1"/>
          <w:trHeight w:val="8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5厚50*70L型304不锈钢外框，5厚304不锈钢内框，5厚不锈钢底板，φ6螺纹钢筋@100沿底板敷设，5厚50*50不锈钢开启口（设四角）按展开面积计;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1917.06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零星设施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预埋铁件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型钢铁件基础制作安装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9584.36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混凝土基础</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C25商品混凝土基础;含模板、人工挖填土方及余土外运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1020.32</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警示柱</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钢质警示反光柱;φ114*4.5*1200;镀锌;进口反光膜;底膜三级、字膜二级;C25砼基础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289.30</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石球</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φ600石球购置及安装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847.41</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止车柱</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D=19cm，L=60cm芝麻灰花岗岩止车柱（成品），含基础、模板、灌缝、反光漆等所有内容；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385.43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挡车器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金属挡车器，D60*2.5镀锌钢管，含制作、安装等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491.26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交通标志线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159.19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清除标线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71.49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成品减速带</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1、材料品种:橡胶材质2、规格、型号:350*50MM，铆钉安装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113.83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成品凸面镜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1、直径60cm成品凸面镜 2、含基础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479.26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路铭牌</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注明路名、方向等，符合相关部门要求；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599.09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隔离护栏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机非隔离护栏购置及安装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165.66</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车档</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1、橡胶车档；2、含采购、运输、安装及配件等所有内容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47.93</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喷淋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喷淋（租赁）,300米左右一套、按照1个月计算，不满1个月按照1个月结算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3474.68</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铺种草皮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彩钢瓦围挡挂草皮,工程普通草,含所有辅料、运输费、安装费等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13.79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铺种草皮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彩钢瓦围挡挂草皮,工程加密草,含所有辅料、运输费、安装费等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22.18</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2.5m高双层（桁架片）彩钢瓦围挡;0.4彩钢板Φ60*3.5镀锌管桁架片、30mm*30mm*3m*2.5m镀锌方管，Φ8镀锌圆钢;4号角钢;含场内运输，包含预埋件、混凝土基础、挖填土等;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599.09</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4m高双层（桁架片）彩钢瓦围挡;0.4彩钢板φ76*3.5镀锌管桁架片、25mm*25mm*3m*5m镀锌方管，φ8镀锌圆钢;4号角钢;含场内运输，包含预埋件、混凝土基础、挖填土等;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958.54</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1.8m彩钢板围挡,30mm*30mm*3m*2m镀锌管、Φ60*3.5立柱镀锌管、白彩钢瓦0.4mm+镀锌网格,含地面开孔、混凝土浇筑安装及辅材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215.68</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2m彩钢板围挡,30mm*30mm*3m*2m镀锌管、Φ60*3.5立柱镀锌管、白彩钢瓦0.4mm+镀锌网格,含地面开孔、混凝土浇筑安装及辅材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263.59</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2.5m彩钢板围挡,30mm*30mm*3m*2.5m镀锌管、Φ60*3.5立柱镀锌管、白彩钢瓦0.4mm+镀锌网格,含地面开孔、混凝土浇筑安装及辅材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m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371.44</w:t>
            </w:r>
            <w:r/>
          </w:p>
        </w:tc>
      </w:tr>
      <w:tr>
        <w:trPr>
          <w:gridAfter w:val="1"/>
          <w:trHeight w:val="8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3m彩钢板围挡,30mm*30mm*3m*3m镀锌管、Φ60*3.5镀锌管桁架片、白彩钢瓦0.5mm+镀锌网格，Φ8镀锌圆钢;4号角钢;含场内运输，包含预埋件、混凝土基础、挖填土等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599.09</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施工护栏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塑料水马移动式护栏，含安装、拆除、灌水或砂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35.95</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大挖机使用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299.55</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小挖机使用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215.68</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人工</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点工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419.38</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破碎机使用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215.68</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运输车使用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239.64</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抽水台班</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污水泵 出口直径150mm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293.55</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抽水台班</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污水泵 出口直径200mm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329.50</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液压动力站</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664.99</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【更换栏杆,桥梁栏杆制作及焊接φ25*3mm镀锌管;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65.90</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【更换栏杆,桥梁栏杆制作及焊接φ50*2.5mm镀锌管;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95.85</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【更换栏杆,桥梁栏杆制作及焊接φ76*2.5mm镀锌管;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125.82</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更换栏杆,桥梁栏杆制作及焊接20*20*1.5mm镀锌管;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155.76</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更换栏杆,桥梁栏杆制作及焊接25*25*1.5mm镀锌管;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167.74</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更换栏杆,桥梁栏杆制作及焊接40*40*3mm镀锌管;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179.74</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更换栏杆,桥梁栏杆制作及焊接304不锈钢复合管;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335.49</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更换栏杆,桥梁栏杆制作及焊接;多边多角异造型桥镀锌管栏杆;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455.30</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不锈钢栏杆焊接维修;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59.92</w:t>
            </w:r>
            <w:r/>
          </w:p>
        </w:tc>
      </w:tr>
      <w:tr>
        <w:trPr>
          <w:gridAfter w:val="1"/>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桥栏杆重新开孔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95.85</w:t>
            </w:r>
            <w:r/>
          </w:p>
        </w:tc>
      </w:tr>
      <w:tr>
        <w:trPr>
          <w:gridAfter w:val="1"/>
          <w:trHeight w:val="5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增加工程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花岗岩平石150*90,C20砼靠背（按常规设计要求）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197.63</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C25砼平石,800*240*100;C15砼靠背（按常规设计要求）;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82.92</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C25砼缘石,800*150*90,倒角;C15砼靠背（按常规设计要求）;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86.76</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C30砼平石,800*240*100;C15砼靠背（按常规设计要求）;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86.76</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安砌侧（平、缘） 石</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C30砼缘石,800*150*90,倒角;C15砼靠背（按常规设计要求）;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90.57</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沟盖板、井盖板、 井圈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更换重型球墨铸铁检查井盖;750*450;不含锯缝、井室加高;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959.27</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雨水口雨水口</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MU15水泥砖砌偏沟式/平篦式单篦雨水口（750*450）;井深1m;铸铁井圈井篦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1857.46</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挖一般土方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土壤类别综合考虑;铺装区域清表;含场内运输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14.22</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单次400m2以外,PC砖,300*300*50mm,3cm1：3水泥砂浆;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154.08</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单次400m2以内（20m2以外）,PC砖,300*300*50mm,3cm1：3水泥砂浆;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162.57</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块料面层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单次20m2以内*,PC砖,300*300*50mm,3cm1：3水泥砂浆;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173.99</w:t>
            </w:r>
            <w:r/>
          </w:p>
        </w:tc>
      </w:tr>
      <w:tr>
        <w:trPr>
          <w:gridAfter w:val="1"/>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排水设施养护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1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管径DN600（含）以下管道疏通、清淤、检查井清掏、CCTV检测、管道气囊封堵（含潜水作业）等相关内容；</w:t>
              <w:br/>
              <w:t xml:space="preserve">管道清淤，淤泥外运，运距及弃场自行考虑，含沿线检查井清淤、管道冲洗、降水、管道视频检测（CCTV）、制作检测报告等全费用价格（硬质障碍物除外）。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33.06 </w:t>
            </w:r>
            <w:r/>
          </w:p>
        </w:tc>
      </w:tr>
      <w:tr>
        <w:trPr>
          <w:gridAfter w:val="1"/>
          <w:trHeight w:val="1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管径DN600~DN1000（含）管道疏通、清淤、检查井清掏、CCTV检测、管道气囊封堵（含潜水作业）等相关内容；</w:t>
              <w:br/>
              <w:t xml:space="preserve">管道清淤，淤泥外运，运距及弃场自行考虑，含沿线检查井清淤、管道冲洗、降水、管道视频检测（CCTV）、制作检测报告等全费用价格（硬质障碍物除外）。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43.73 </w:t>
            </w:r>
            <w:r/>
          </w:p>
        </w:tc>
      </w:tr>
      <w:tr>
        <w:trPr>
          <w:gridAfter w:val="1"/>
          <w:trHeight w:val="1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管径DN1000以上管道疏通、清淤、检查井清掏、CCTV检测、管道气囊封堵（含潜水作业）等相关内容；</w:t>
              <w:br/>
              <w:t xml:space="preserve">管道清淤，淤泥外运，运距及弃场自行考虑，含沿线检查井清淤、管道冲洗、降水、管道视频检测（CCTV）、制作检测报告等全费用价格（硬质障碍物除外）。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62.71 </w:t>
            </w:r>
            <w:r/>
          </w:p>
        </w:tc>
      </w:tr>
      <w:tr>
        <w:trPr>
          <w:gridAfter w:val="1"/>
          <w:trHeight w:val="7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硬质障碍物（硬质垃圾）；砂石、砖块、沥青、水稳等散状垃圾清除，含清理，外运，运距及弃场自行考虑，全费用价格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1036.72 </w:t>
            </w:r>
            <w:r/>
          </w:p>
        </w:tc>
      </w:tr>
      <w:tr>
        <w:trPr>
          <w:gridAfter w:val="1"/>
          <w:trHeight w:val="7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硬质障碍物（硬质黄泥）；非淤泥类硬质黄泥清除，含清理，外运，运距及弃场自行考虑，全费用价格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448.41 </w:t>
            </w:r>
            <w:r/>
          </w:p>
        </w:tc>
      </w:tr>
      <w:tr>
        <w:trPr>
          <w:gridAfter w:val="1"/>
          <w:trHeight w:val="7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硬质障碍物（混凝土固结物）；水泥砂浆、混凝土浆板结状等物质清除，含清理，外运，运距及弃场自行考虑，全费用价格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10383.47 </w:t>
            </w:r>
            <w:r/>
          </w:p>
        </w:tc>
      </w:tr>
      <w:tr>
        <w:trPr>
          <w:gridAfter w:val="1"/>
          <w:trHeight w:val="9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DN400紫外光固化整体非开挖修复；</w:t>
              <w:br/>
              <w:t xml:space="preserve">含修复前封堵、抽排水、疏通清淤、预处理、修复前CCTV复核、整体光固化非开挖修复、修复后CCTV修复成果拍摄、出具修复报告。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1907.23 </w:t>
            </w:r>
            <w:r/>
          </w:p>
        </w:tc>
      </w:tr>
      <w:tr>
        <w:trPr>
          <w:gridAfter w:val="1"/>
          <w:trHeight w:val="9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DN500紫外光固化整体非开挖修复；</w:t>
              <w:br/>
              <w:t xml:space="preserve">含修复前封堵、抽排水、疏通清淤、预处理、修复前CCTV复核、整体光固化非开挖修复、修复后CCTV修复成果拍摄、出具修复报告。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2265.06 </w:t>
            </w:r>
            <w:r/>
          </w:p>
        </w:tc>
      </w:tr>
      <w:tr>
        <w:trPr>
          <w:gridAfter w:val="1"/>
          <w:trHeight w:val="9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DN600紫外光固化整体非开挖修复；</w:t>
              <w:br/>
              <w:t xml:space="preserve">含修复前封堵、抽排水、疏通清淤、预处理、修复前CCTV复核、整体光固化非开挖修复、修复后CCTV修复成果拍摄、出具修复报告。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2860.24 </w:t>
            </w:r>
            <w:r/>
          </w:p>
        </w:tc>
      </w:tr>
      <w:tr>
        <w:trPr>
          <w:gridAfter w:val="1"/>
          <w:trHeight w:val="9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DN800紫外光固化整体非开挖修复；</w:t>
              <w:br/>
              <w:t xml:space="preserve">含修复前封堵、抽排水、疏通清淤、预处理、修复前CCTV复核、整体光固化非开挖修复、修复后CCTV修复成果拍摄、出具修复报告。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4054.22 </w:t>
            </w:r>
            <w:r/>
          </w:p>
        </w:tc>
      </w:tr>
      <w:tr>
        <w:trPr>
          <w:gridAfter w:val="1"/>
          <w:trHeight w:val="9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DN1000紫外光固化整体非开挖修复；</w:t>
              <w:br/>
              <w:t xml:space="preserve">含修复前封堵、抽排水、疏通清淤、预处理、修复前CCTV复核、整体光固化非开挖修复、修复后CCTV修复成果拍摄、出具修复报告。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5780.72 </w:t>
            </w:r>
            <w:r/>
          </w:p>
        </w:tc>
      </w:tr>
      <w:tr>
        <w:trPr>
          <w:gridAfter w:val="1"/>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管道树根清除≤DN800；含修复前封堵、抽排水、疏通清淤、修复前CCTV复核、树根清除、修复后CCTV修复成果拍摄、出具修复报告。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2683.13 </w:t>
            </w:r>
            <w:r/>
          </w:p>
        </w:tc>
      </w:tr>
      <w:tr>
        <w:trPr>
          <w:gridAfter w:val="1"/>
          <w:trHeight w:val="8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≤DN300局部RR法非开挖修复；</w:t>
              <w:br/>
              <w:t xml:space="preserve">含修复前封堵、抽排水、疏通清淤、修复前CCTV复核、局部RR法非开挖修复、修复后CCTV修复成果拍摄、出具修复报告。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4113.25 </w:t>
            </w:r>
            <w:r/>
          </w:p>
        </w:tc>
      </w:tr>
      <w:tr>
        <w:trPr>
          <w:gridAfter w:val="1"/>
          <w:trHeight w:val="8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DN400局部RR法非开挖修复；</w:t>
              <w:br/>
              <w:t xml:space="preserve">含修复前封堵、抽排水、疏通清淤、修复前CCTV复核、局部RR法非开挖修复、修复后CCTV修复成果拍摄、出具修复报告。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4828.92 </w:t>
            </w:r>
            <w:r/>
          </w:p>
        </w:tc>
      </w:tr>
      <w:tr>
        <w:trPr>
          <w:gridAfter w:val="1"/>
          <w:trHeight w:val="8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DN500局部RR法非开挖修复；</w:t>
              <w:br/>
              <w:t xml:space="preserve">含修复前封堵、抽排水、疏通清淤、修复前CCTV复核、局部RR法非开挖修复、修复后CCTV修复成果拍摄、出具修复报告。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5484.34 </w:t>
            </w:r>
            <w:r/>
          </w:p>
        </w:tc>
      </w:tr>
      <w:tr>
        <w:trPr>
          <w:gridAfter w:val="1"/>
          <w:trHeight w:val="8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DN600局部RR法非开挖修复；</w:t>
              <w:br/>
              <w:t xml:space="preserve">含修复前封堵、抽排水、疏通清淤、修复前CCTV复核、局部RR法非开挖修复、修复后CCTV修复成果拍摄、出具修复报告。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6079.52 </w:t>
            </w:r>
            <w:r/>
          </w:p>
        </w:tc>
      </w:tr>
      <w:tr>
        <w:trPr>
          <w:gridAfter w:val="1"/>
          <w:trHeight w:val="8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DN800局部RR法非开挖修复；</w:t>
              <w:br/>
              <w:t xml:space="preserve">含修复前封堵、抽排水、疏通清淤、修复前CCTV复核、局部RR法非开挖修复、修复后CCTV修复成果拍摄、出具修复报告。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6855.42 </w:t>
            </w:r>
            <w:r/>
          </w:p>
        </w:tc>
      </w:tr>
      <w:tr>
        <w:trPr>
          <w:gridAfter w:val="1"/>
          <w:trHeight w:val="10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DN1000遇水膨胀不锈钢双涨圈点状修复；</w:t>
              <w:br/>
              <w:t xml:space="preserve">含修复前封堵、抽排水、疏通清淤、修复前CCTV复核、遇水膨胀不锈钢双涨圈点状修复、修复后CCTV修复成果拍摄、出具修复报告。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7927.71 </w:t>
            </w:r>
            <w:r/>
          </w:p>
        </w:tc>
      </w:tr>
      <w:tr>
        <w:trPr>
          <w:gridAfter w:val="1"/>
          <w:trHeight w:val="10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DN1200遇水膨胀不锈钢双涨圈点状修复；</w:t>
              <w:br/>
              <w:t xml:space="preserve">含修复前封堵、抽排水、疏通清淤、修复前CCTV复核、遇水膨胀不锈钢双涨圈点状修复、修复后CCTV修复成果拍摄、出具修复报告。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9359.04 </w:t>
            </w:r>
            <w:r/>
          </w:p>
        </w:tc>
      </w:tr>
      <w:tr>
        <w:trPr>
          <w:gridAfter w:val="1"/>
          <w:trHeight w:val="10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DN1350遇水膨胀不锈钢双涨圈点状修复；</w:t>
              <w:br/>
              <w:t xml:space="preserve">含修复前封堵、抽排水、疏通清淤、修复前CCTV复核、遇水膨胀不锈钢双涨圈点状修复、修复后CCTV修复成果拍摄、出具修复报告。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10728.92 </w:t>
            </w:r>
            <w:r/>
          </w:p>
        </w:tc>
      </w:tr>
      <w:tr>
        <w:trPr>
          <w:gridAfter w:val="1"/>
          <w:trHeight w:val="10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DN1500遇水膨胀不锈钢双涨圈点状修复；</w:t>
              <w:br/>
              <w:t xml:space="preserve">含修复前封堵、抽排水、疏通清淤、修复前CCTV复核、遇水膨胀不锈钢双涨圈点状修复、修复后CCTV修复成果拍摄、出具修复报告。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12518.07 </w:t>
            </w:r>
            <w:r/>
          </w:p>
        </w:tc>
      </w:tr>
      <w:tr>
        <w:trPr>
          <w:gridAfter w:val="1"/>
          <w:trHeight w:val="7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管道封堵、封头D600（含）以下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1158.23 </w:t>
            </w:r>
            <w:r/>
          </w:p>
        </w:tc>
      </w:tr>
      <w:tr>
        <w:trPr>
          <w:gridAfter w:val="1"/>
          <w:trHeight w:val="7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管道封堵、封头D600~D1000（含）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2049.88 </w:t>
            </w:r>
            <w:r/>
          </w:p>
        </w:tc>
      </w:tr>
      <w:tr>
        <w:trPr>
          <w:gridAfter w:val="1"/>
          <w:trHeight w:val="7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管道封堵、封头D1000以上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3504.82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疏通冲洗车台班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5060.24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槽罐车台班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2891.57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信号灯维护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信号灯【车行全色信号灯;φ300;LED;安装;铝壳】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2444.57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信号灯【车行箭头信号灯;φ300;LED;安装;铝壳】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2340.02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信号灯【交通人行信号灯两单元;φ300;LED;安装;铝壳】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1991.54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信号灯【交通人行信号灯三单元带倒数;φ300;LED;安装;铝壳】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2444.57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信号灯【交通信号灯灯盘（红、绿、黄单个）;φ300;安装】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239.76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信号灯【车行全色信号灯;φ400;LED;安装;铝壳】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3873.31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信号灯【车行箭头信号灯;φ400;LED;安装;铝壳】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3733.92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信号灯【太阳能慢字黄闪灯;φ400;安装;铝壳】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933.92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信号灯【交通信号灯灯盘（红、绿、黄单个）;φ400;安装】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387.50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设备控制机箱</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设备控制机箱（宝康）【不锈钢喷塑落地式智能信号机箱;信号机;含多相位控制仪;标配;具备预留多种控制、信息采集、通讯及故障自动报警及记录功能等设备位置;且必须符合交警交通信号智能控制系统】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62995.14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设备控制机箱</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设备控制机箱【3A不锈钢喷塑落地式信号机箱;1480*600*450;信号机;含多相位控制仪;标配】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7208.16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工井【信号机箱底座窨井;含盖板、人工挖填土方、余土外运、基础预埋铁件】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459.99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落地式配电箱</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落地式配电箱【配电转接控制柜;不锈钢喷塑;落地式;安装】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2848.16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工井【配电转接控制柜底座窨井;含盖板、人工挖填土方、余土外运、基础预埋铁件】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459.99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接地极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接地极【镀锌接地角钢;L60*6*1500+φ10*1600;制作安装】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52.95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信号灯杆件【人行信号灯钢质杆件;柱式;φ114*4.5*4000;镀锌喷塑】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821.61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信号灯杆件【信号灯钢质杆件;单臂横杆;φ159*5.5*5400;单臂横杆,L=5000;镀锌喷塑】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3580.97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信号灯杆件【信号灯钢质杆件;八角;单臂横杆;对角,340*8*6800;单臂横杆,L=10000;镀锌喷塑】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15999.22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信号灯杆件【信号灯钢质杆件;八角;单臂横杆;对角,340*8*6800;单臂横杆,L=8000;镀锌喷塑】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14884.11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顶管【过路牵引管;增强塑料PE管;φ75;单根;不计材料;含工作坑及机械进退场】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68.29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顶管保护管铺设</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顶管保护管铺设【过路牵引管配套增强塑料PE管;φ75;单根;只计主材;含工作坑及机械进退场】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35.13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电缆保护管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电缆保护管【高密度增强聚乙烯塑料PE管;φ50;埋地敷设】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30.05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电缆保护管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电缆保护管【高密度增强聚乙烯塑料PE管;φ75;埋地敷设】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48.43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电力电缆【铜芯电力电缆敷设;YJV-3*10】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40.89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电力电缆头【干包式铜芯电力电缆终端头制作安装;YJV-3*10】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17.01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电力电缆【铜芯电力电缆敷设;YJV-3*16】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45.15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电力电缆头【干包式铜芯电力电缆终端头制作安装;YJV-3*16】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30.01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管内配线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管内配线【管内穿控制导线;RVV-4*1.5】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13.17 </w:t>
            </w:r>
            <w:r/>
          </w:p>
        </w:tc>
      </w:tr>
      <w:tr>
        <w:trPr>
          <w:gridAfter w:val="1"/>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工井【窨井;500*500;含复合组合材料板盖板、挖填土方及余土外运】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662.13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常州市政府采购合同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项目名称：</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甲方：</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乙方：</w:t>
      </w:r>
      <w:r/>
    </w:p>
    <w:p>
      <w:pPr>
        <w:ind w:left="0" w:right="0" w:firstLine="98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签订地：</w:t>
      </w:r>
      <w:r/>
    </w:p>
    <w:p>
      <w:pPr>
        <w:ind w:left="0" w:right="0" w:firstLine="980"/>
        <w:jc w:val="both"/>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江苏常州滨江经济开发区管理委员会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pacing w:val="2"/>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根据甲乙双方友好协商，双方同意按下述条款和条件签订本合同（以下简称“合同”）。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（1）“合同”系指甲方与乙方共同签署，合同格式中载明的甲方与乙方所达成的协议，包括所有的附件、附录和构成合同的所有文件。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（2）“甲方”为“发包方”，系指</w:t>
      </w:r>
      <w:r>
        <w:rPr>
          <w:rFonts w:ascii="SimSun" w:hAnsi="SimSun" w:eastAsia="SimSun" w:cs="SimSun"/>
          <w:color w:val="000000"/>
          <w:spacing w:val="2"/>
          <w:sz w:val="24"/>
          <w:u w:val="single"/>
        </w:rPr>
        <w:t xml:space="preserve"> 江苏常州滨江经济开发区管理委员会。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（3）“乙方”为“承包方”，系指</w:t>
      </w:r>
      <w:r>
        <w:rPr>
          <w:rFonts w:ascii="SimSun" w:hAnsi="SimSun" w:eastAsia="SimSun" w:cs="SimSun"/>
          <w:color w:val="000000"/>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w:t>
      </w:r>
      <w:r>
        <w:rPr>
          <w:rFonts w:ascii="SimSun" w:hAnsi="SimSun" w:eastAsia="SimSun" w:cs="SimSun"/>
          <w:color w:val="000000"/>
          <w:sz w:val="24"/>
          <w:u w:val="single"/>
        </w:rPr>
        <w:t xml:space="preserve">2026年滨开区市政道路及管道养护与应急维修项目</w:t>
      </w:r>
      <w:r>
        <w:rPr>
          <w:rFonts w:ascii="SimSun" w:hAnsi="SimSun" w:eastAsia="SimSun" w:cs="SimSun"/>
          <w:color w:val="000000"/>
          <w:sz w:val="24"/>
        </w:rPr>
        <w:t xml:space="preserve">对江苏常州滨江经济开发区区域内约31公里的区属道路及雨水管道进行日常养护，乙方在合同期内与甲方代表共同对合同承包范围的市政基础设施日常维护进行定期或不定期检查，需要维护的，在收到甲方下达任务单后及时进行维护，同时通知甲方代表及相关人员现场计量签证，在维护前后对现场进行拍摄照片，与计量签证、结算报告一并提交。并根据甲方要求每年完成所有雨水管道日常养护二次，另外还包括本区域及其他甲方指令性区域汛期应急及雨污水混流排查等，具体以甲方指令单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3、合同总价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本项目暂估合同总价：</w:t>
      </w:r>
      <w:r>
        <w:rPr>
          <w:rFonts w:ascii="SimSun" w:hAnsi="SimSun" w:eastAsia="SimSun" w:cs="SimSun"/>
          <w:color w:val="000000"/>
          <w:sz w:val="24"/>
          <w:u w:val="single"/>
        </w:rPr>
        <w:t xml:space="preserve">含税总价¥ 2500000.00元，大写：贰佰伍拾万元整；税率9%</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合同工程量清单价格明细表详见合同附件二。最终结算单价=合同工程量清单价格明细表内单价*成交费率（成交费率=1-成交优惠率）。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本项目服务期限内，随时对乙方按合同要求等进行检查考核。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如发现乙方未按照规定提供服务，有权利处罚乙方和中止合同。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4.3甲方有权利要求乙方，更换不满足作业要求或不遵守国家法律法规或违法作业的作业人员。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甲方的义务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甲方负责将作业内容提前告知乙方。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甲方对乙方的工作进行作业指导和监管。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按照合同要求及时支付相关费用。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对甲方不正当要求和违规行为进行投诉，并要求有关部门做出处理。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6.3 乙方代表：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严格执行国家法律法规，遵守本合同条款。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随时接受并配合甲方的监督检查。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在项目服务有效期内，按照合同工程量清单价格向甲方提供相关服务。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在项目服务有效期内，乙方应根据国家相关法律法规做好用工管理，负责作业安全。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乙方必须在接收到甲方作业计划和内容后，在规定期限内开工。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清掏冲洗作业要求，乙方应做到清掏、冲洗彻底干净，无遗漏，并将每天完成的作业情况及时记录。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7.7因乙方排查不到位，未发现主管断裂或堵塞、出水口堵塞等问题。导致被害人财产损失或出现投诉及媒体曝光等现象的，其后果均由乙方承担。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乙方在汛期应按甲方要求增加雨水管道疏通人员，成立汛期应急队伍，乙方应保证汛期一般情况下雨停后2小时内排除；如遇特殊情况，乙方及时采取措施，保障交通畅通安全，乙方须在合同签订后1个月内提交灾害性天气应急预案，安排充足的人员机械，并上报甲方认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对于甲方提交的单子，要按规定的时间或承诺的时间及时完成，并将整改结果及照片上报甲方及相关人员。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7.10清掏、冲洗作业人员及巡视员必须穿戴有反光条的安全帽及工作服。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作业员应做到文明作业，不得在工作时间内出现集群聊天、吸烟等不文明行为；不得聚众闹事；不得将清出的垃圾乱堆放或放入绿化带内。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乙方必须落实好安全生产主体责任，在作业过程中（尤其是井下作业过程中）必须严格遵守《安全生产法》，《建设工程安全管理条例》以及建设部《排水管道维护安全技术规程》等相关法律法规的要求开展作业，采取必要的安全技术措施，由于乙方自身原因造成的安全责任事故，人员伤亡，经济损失由乙方承担，因乙方养护不到位，造成交通安全事故均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乙方在对雨水管道清掏、疏通后须形成视频影像资料及检测结论，在每月申请支付进度款时刻录成光盘一同上报甲方，并绘制雨水管道示意图（图中内容至少包含管径、流向、出水口、接入支管等信息）。此外，甲方可根据实际需要调整影像资料排查计划，乙方必须服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 乙方在管线排查时必须注重排查管道雨污串流情况，找出源头接入支管，并形成书面报告第一时间上报甲方，并必须配合相关部门进行现场查勘复核。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 雨水管道疏通必须至出水口。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 为保证服务质量，乙方必须服从甲方的抽查考核，具体考核办法见本文件中《雨水管道养护及疏通清淤检测项目月度考核表》（详见合同附件一）。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 人员机械要求：乙方承诺设雨水检查井、集水井清掏班组1组，3人/组（不含驾驶员），配备污泥车1台/组；雨水支管冲洗班组1组，2人/组（不含驾驶员），配备冲洗车1台/组，另外增加2人专门负责CCTV检测，配备雨水管道潜望镜及机器人等必要检测设备；雨水主管冲洗班组1组，5人/组，配备冲洗车1台，检测车1台，厢式货车1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 清掏冲洗计划要求：乙方需根据甲方要求，制定年度、月度《清掏、冲洗计划》；计划要求以整条道路为单位，片区划分、路线规划合理，秉着先主干后次干的原则，做到冲洗清掏无盲点，责任落实到人；甲方调整计划时，乙方需按甲方要求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8、服务要求：暂定2026年5月15日-2027年5月14日，具体开始时间以甲方通知为准。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9、作业费用结算和支付方式：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本合同服务内容采用固定单价方式，结算价格以实际完成的数量与各单价的乘积后确定。结算单价=服务清单内全费用综合单价*成交费率（成交费率=1-成交优惠率）。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本合同服务内容采用半年结算的方法，乙方每6月、12月将前半年完成的工程量报至甲方，甲方次月支付合格工程量的60%,扣除《雨水管道养护及疏通清淤检测项目月度考核表》考核扣款作为考核款。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实际完成的结算金额超过合同金额250万元时，超出部分不予结算。合同结束后送审，审计后日常巡查、雨水管道日常养护费用支付至审定金额的100%，审计后应急抢修费用付至审定金额的90%，审定金额的10%两年后支付（无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10、终止合同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甲方将不定期对乙方执行合同的情况进行检查，在甲方对乙方违约而采取的任何补救措施不受影响的情况下，甲方可在下列情况下向乙方发出书面通知书,提出终止部分或全部合同。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（1）乙方合同文件有严重不实的承诺以及其他弄虚作假情况的；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（2）乙方与发包方签订合同后，不遵守或未完全遵守承诺，经甲方要求整改两次后仍未能及时解决；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（3）乙方擅自或变相提高合同价格的；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（4）乙方未履合同内服务承诺的；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（5）其他违反本合同的情况。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11、破产终止合同及不可抗力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如果乙方破产或无清偿能力，甲方可在任何时候以书面形式通知乙方终止合同而不给乙方补偿。该终止合同将不损害或影响甲方已经采取或将要采取的任何行动或补救措施的权力。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在执行合同期限内，任何一方因不可抗力事件造成不能履行合同时，应立即通知对方，并寄送有关权威机构出具的证明，则在合同有效期内可暂停执行。出现上述情况不受合同有关逾期责任制约；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12、乙方不得整体转让其应履行的合同义务。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13、合同甲方、乙方双方签字盖章后生效。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14、本合同一式陆份，以中文书写，甲乙双方各执二份。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15、如需修改或补充合同内容，应经甲方、乙方协商，共同签署书面修改或补充协议并签字盖章后生效。该协议将作为本合同不可分割的一部分。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16、甲方将对乙方的合同执行情况进行检查，一旦发现违反本合同条款的情形，将采取以下一种或几种方式同时并处的形式追究乙方违约责任：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（1）中止或终止与乙方签订的合同；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（2）要求乙方支付不高于合同金额5%数额的违约金；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（3）在三年内不与乙方签订合同；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17、考核及合同的续签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参照滨开区市政市政设施管养检查考核实施办法，以合同附件形式下发。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18、本合同应按照中华人民共和国的现行法律进行解释。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19、合同纠纷处理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本合同在具体履行过程中所发生的合同纠纷，由甲方与乙方协商解决，协商不成可向常州市新北区人民法院提出诉讼。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乙方（单位盖章）：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代理机构（单位盖章）：常州沃成招标有限公司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合同附件一：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雨水管道养护及疏通清淤检测项目月度考核表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
        <w:gridCol w:w="584"/>
        <w:gridCol w:w="843"/>
        <w:gridCol w:w="2662"/>
        <w:gridCol w:w="2682"/>
        <w:gridCol w:w="1135"/>
      </w:tblGrid>
      <w:tr>
        <w:trPr>
          <w:trHeight w:val="8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考核指标</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扣款标准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考核款（元）</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养护计划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每月30日前上报次月施工计划。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9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次月10日前上报本月完成养护设施量统计汇总表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养护工作质量要求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管道及检查井内不得留有石块等阻碍排水的杂物，其允许积泥深度应符合规定要求，检查井井盖、安全兜完好情况。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收水管积泥超出规定范围，每处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661"/>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主管积泥超出规定范围，每处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661"/>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施工完成后检查井内留存有建筑垃圾，每处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60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井盖缺失未发现，每只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754"/>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井盖破损未发现、每只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81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坚持“固定”原则，定期巡查所有维护管线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巡查发现损坏排水设施及乱排放的行为未能及时制止并向甲方汇报，每发现一次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1004"/>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对已有堵塞管道未进行备案并未及时疏通，经发现，每次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775"/>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文明作业，保持周边环境整洁，污泥运输与处置妥当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被发现作业结束，影响周边环境整洁，每处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294"/>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污泥运输过程中，污泥落地，沿途洒落，每处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887"/>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污泥处置未倾倒指定地点，对环境造成污染，每处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安全作业要求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作业区域必须设置安全标识、反光锥，夜间应加爆闪灯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被发现未采取安全措施，每处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3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作业现场严禁明火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发现明火，每处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83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作业人员从事维护作业时，必须戴安全帽和带有反光条的工作服。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未穿戴安全帽及反光服，每次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专业作业人员下井时，必须佩戴呼吸器、配备安全带，其性能必须符合国家标准。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被发现未采取保护安全措施，每次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专业人员下井作业时，井上应有人监护。若进入管道，还应在井内增加监护人员作中间联络，监护人员不得擅离职守。接受临时性工作任务时，按质按时完成的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被发现未配备监护人员，每次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70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被发现监护人员擅离职守，每次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在接到甲方指令后，应在规定时间内到达现场进行处理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未在规定时间内到达现场处置，每次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未按质按时完成，每次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46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未到场完成处理，每次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66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被城市管理部门扣分；被各类媒体曝光；甲方安排任务未及时完成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被常州市城市管理部门长效考核扣分的，每次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r>
      <w:tr>
        <w:trPr>
          <w:trHeight w:val="718"/>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被各类媒体曝光（报纸、电视、电台、网站等）的，每次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w:t>
            </w:r>
            <w:r/>
          </w:p>
        </w:tc>
      </w:tr>
      <w:tr>
        <w:trPr>
          <w:trHeight w:val="842"/>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甲方布置的、上级领导布置的任务完成不及时或养护中出现3次同样的问题，每次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日常养护考核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甲方邀请第三方对月度养护内容进行抽查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根据月度养护检测报告中不合格率，同比例扣除当月养护款。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注：月度养护经费的核拨为扣除当月考核款后支付剩余金额。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附件二：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见：合同工程量清单价格明细表</w:t>
      </w:r>
      <w:r/>
    </w:p>
    <w:p>
      <w:pPr>
        <w:pStyle w:val="654"/>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廉政责任书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工程项目名称:2026年滨开区市政道路及管道养护与应急维修项目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工程项目地址:常州市新北区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甲方:江苏常州滨江经济开发区管理委员会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乙方: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FangSong" w:hAnsi="FangSong" w:eastAsia="FangSong" w:cs="FangSong"/>
          <w:color w:val="000000"/>
          <w:sz w:val="28"/>
        </w:rPr>
        <w:t xml:space="preserve">为切实加强政府性投资工程廉政建设，强化对工程建设领域突出问题的治理，从源头上预防腐败，确保工程建设优质、高效、廉洁，依据工程建设的法律法规和廉政建设有关规定，特订立本责任书。</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甲乙双方责任：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（一）严格遵守国家、省、市、区关于工程建设的各项法律规章和廉政建设的各项规定。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（二）业务活动应坚持公开、公平、公正和诚实守信原则，不得为获取不正当利益而损害国家、集体利益。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（三）加强对本方人员的廉政监督，建立健全廉政工作制度，认真查处本方人员的违纪违法行为。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（四）双方均有对本方人员开展廉政告知、廉政教育以及诚实守信教育的责任和义务。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（五）发现对方在业务活动中有违法违规行为的，应及时提醒，自觉抵制，或及时向上级主管部门、纪检监察和司法机关举报。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二、甲方责任：（一）甲方人员不得接受或索要乙方的回扣、礼金、有价证券、贵重物品和好处费、感谢费等。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（二）甲方人员不得到乙方报销应由甲方或个人支付的费用。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（三）甲方人员不得参加可能对公正执行公务有影响的宴请和娱乐活动。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（四）甲方人员不得要求或接受乙方为其住房装修、婚丧嫁娶、家属和子女就业、旅游以及出国（境）等提供方便。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（五）甲方人员不得向乙方介绍家属或亲友从事与甲方工程有关的材料设备供应、工程分包等经济活动。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（六）甲方人员不得强行要求乙方购买合同规定以外的材料和设备。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（七）自觉接受乙方的监督，不得以任何形式和理由对乙方及其人员的投诉举报行为进行打击报复。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三、乙方责任：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（一）不得以任何形式和理由向甲方人员赠送礼金、有价证券、贵重物品和回扣、好处费、感谢费等。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（二）不得以洽谈业务等为借口，邀请甲方人员外出考察旅游或进入高档消费娱乐场所。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（三）不得为甲方及其人员报销应由对方支付的费用，或为甲方及其人员提供通讯工具、交通工具、高档办公用品等物品。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（四）不得擅自与甲方人员就工程承包、工程费用、材料设备供应、工程量变更、工程验收以及工程质量问题处理等进行私下商谈或达成默契。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（五）自觉接受甲方监督。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甲方及其人员有违反本责任书第一、二条责任行为的，按照管理权限，依据有关法律法规和规定给予当事人党纪、政纪处分或组织处理，涉嫌犯罪的，移送司法机关追究刑事责任；给乙方造成经济损失的，依法予以赔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乙方及其人员有违反本责任书第一、三条责任行为的，按照管理权限，在依法对乙方企业给予相应处罚的同时，依据有关法律法规和规定给予当事人党纪、政纪处分或组织处理，涉嫌犯罪的，移送司法机关追究刑事责任；给甲方造成经济损失的，依法予以赔偿。</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本责任书作为工程施工合同的附件，与工程施工合同具有同等法律效力。本责任书自双方签署之日起生效。</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甲方单位：（盖章）乙方单位：（盖章）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项目负责人：项目负责人：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年月日年月日</w:t>
      </w:r>
      <w:r/>
    </w:p>
    <w:p>
      <w:pPr>
        <w:pStyle w:val="654"/>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54"/>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致：常州沃成招标有限公司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中小企业声明函（实质性格式）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）如本项目（包）不专门面向中小企业预留采购份额，资格证明文件部分无需提供《中小企业声明函》。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）中小企业参加政府采购活动，应当出具此格式文件。《中小企业声明函》由参加政府采购活动的投标人出具。联合体投标的，《中小企业声明函》由牵头人出具。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）对于多标的的采购项目，投标人应充分、准确地了解所投产品制造企业信息。对相关情况了解不清楚的，不建议填报本声明函。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其他特定资格要求</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包号）组织的招标活动，并对此项目进行投标。</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2.投标人为自然人的情形，可不提供本《法定代表人资格证明书》。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2、委托代理人参加投标时，提供法人资格证明、授权委托书和本人身份证原件。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16"/>
        <w:gridCol w:w="5520"/>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投标优惠率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 </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 （投标费率=1-投标优惠率）</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最终结算单价=服务清单内全费用综合单价*投标费率</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投标分项报价表（非实质性格式）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年滨开区市政道路及管道养护与应急维修项目 </w:t>
      </w:r>
      <w:r>
        <w:rPr>
          <w:rFonts w:ascii="Times New Roman" w:hAnsi="Times New Roman" w:eastAsia="Times New Roman" w:cs="Times New Roman"/>
          <w:color w:val="000000"/>
          <w:sz w:val="24"/>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我单位承诺，一旦成交，结算单价以《2026年滨开区市政道路及管道养护与应急维修项目服务清单》（含附件三）内全费用综合单价*投标费率（投标费率=1-投标优惠率）进行结算，结算数量以实际竣工验收数量为准，无论量的变化多少，以单价不变的原则计算结算总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433"/>
        <w:gridCol w:w="1479"/>
        <w:gridCol w:w="1480"/>
        <w:gridCol w:w="1791"/>
        <w:gridCol w:w="24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269"/>
        <w:gridCol w:w="1993"/>
        <w:gridCol w:w="1782"/>
        <w:gridCol w:w="1577"/>
        <w:gridCol w:w="2015"/>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对本项目采购文件要求的偏离情况</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请进行勾选</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□有偏离（如有偏离，则应在本表中对偏离项逐一列明）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对招标文件中的所有商务、技术要求，除本表所列明的所有偏离外，均视作供应商已对之理解和响应。此表中若无任何文字说明，内容为空白，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3）对于多标的的采购项目，投标人应充分、准确地了解所投产品制造企业信息。对相关情况了解不清楚的，不建议填报本声明函。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4）中小企业认定标准以《关于印发中小企业划型标准规定的通知》（工信部联企业〔2011〕300号）文件规定为准。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在货物采购项目中，投标人提供的货物既有中型企业制造货物，也有小微企业制造货物的，不享受小微企业扶持政策，不予价格扣除。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220" w:right="415"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w:t>
      </w:r>
      <w:hyperlink r:id="rId18" w:tooltip="http://jszfcg.jsczt.cn/jszc/onlyoffice/7.2.1-34/web-apps/apps/documenteditor/main/index_loader.html?_dc=7.2.1-34&amp;lang=zh&amp;customer=%20&amp;logo=%20&amp;headerlogo=%2Ffavicon.ico&amp;frameEditorId=iframePage&amp;compact=true&amp;parentOrigin=http://jszfcg.jsczt.cn#_bookmark1" w:history="1">
        <w:r>
          <w:rPr>
            <w:rStyle w:val="810"/>
            <w:rFonts w:ascii="Times New Roman" w:hAnsi="Times New Roman" w:eastAsia="Times New Roman" w:cs="Times New Roman"/>
            <w:color w:val="0000ee"/>
            <w:sz w:val="24"/>
            <w:u w:val="none"/>
          </w:rPr>
          <w:t xml:space="preserve">1</w:t>
        </w:r>
      </w:hyperlink>
      <w:r>
        <w:rPr>
          <w:rFonts w:ascii="SimSun" w:hAnsi="SimSun" w:eastAsia="SimSun" w:cs="SimSun"/>
          <w:color w:val="000000"/>
          <w:sz w:val="24"/>
        </w:rPr>
        <w:t xml:space="preserve">，属于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86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220" w:right="417"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  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699"/>
        <w:gridCol w:w="699"/>
        <w:gridCol w:w="699"/>
        <w:gridCol w:w="742"/>
        <w:gridCol w:w="699"/>
        <w:gridCol w:w="699"/>
        <w:gridCol w:w="787"/>
        <w:gridCol w:w="761"/>
        <w:gridCol w:w="1150"/>
      </w:tblGrid>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Wingdings 2">
    <w:panose1 w:val="05020102010507070707"/>
  </w:font>
  <w:font w:name="Times New Roman">
    <w:panose1 w:val="020206030504050203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1"/>
      <w:numFmt w:val="none"/>
      <w:isLgl w:val="false"/>
      <w:suff w:val="tab"/>
      <w:lvlText w:val="%1"/>
      <w:lvlJc w:val="left"/>
      <w:pPr>
        <w:ind w:left="0" w:firstLine="0"/>
      </w:pPr>
      <w:rPr>
        <w:sz w:val="21"/>
      </w:rPr>
    </w:lvl>
    <w:lvl w:ilvl="1">
      <w:start w:val="1"/>
      <w:numFmt w:val="decimal"/>
      <w:isLgl w:val="false"/>
      <w:suff w:val="tab"/>
      <w:lvlText w:val="%1%2　"/>
      <w:lvlJc w:val="left"/>
      <w:pPr>
        <w:ind w:left="0" w:firstLine="0"/>
      </w:pPr>
      <w:rPr>
        <w:rFonts w:ascii="SimHei" w:hAnsi="SimHei" w:eastAsia="SimHei" w:cs="SimHei"/>
        <w:sz w:val="21"/>
      </w:rPr>
    </w:lvl>
    <w:lvl w:ilvl="2">
      <w:start w:val="1"/>
      <w:numFmt w:val="decimal"/>
      <w:isLgl w:val="false"/>
      <w:suff w:val="tab"/>
      <w:lvlText w:val="%1%2.%3　"/>
      <w:lvlJc w:val="left"/>
      <w:pPr>
        <w:ind w:left="420" w:firstLine="0"/>
      </w:pPr>
      <w:rPr>
        <w:rFonts w:ascii="SimHei" w:hAnsi="SimHei" w:eastAsia="SimHei" w:cs="SimHei"/>
        <w:sz w:val="21"/>
      </w:rPr>
    </w:lvl>
    <w:lvl w:ilvl="3">
      <w:start w:val="1"/>
      <w:numFmt w:val="decimal"/>
      <w:isLgl w:val="false"/>
      <w:suff w:val="tab"/>
      <w:lvlText w:val="%1%2.%3.%4　"/>
      <w:lvlJc w:val="left"/>
      <w:pPr>
        <w:ind w:left="0" w:firstLine="0"/>
      </w:pPr>
      <w:rPr>
        <w:rFonts w:ascii="SimHei" w:hAnsi="SimHei" w:eastAsia="SimHei" w:cs="SimHei"/>
        <w:sz w:val="21"/>
      </w:rPr>
    </w:lvl>
    <w:lvl w:ilvl="4">
      <w:start w:val="1"/>
      <w:numFmt w:val="decimal"/>
      <w:isLgl w:val="false"/>
      <w:suff w:val="tab"/>
      <w:lvlText w:val="%1%2.%3.%4.%5　"/>
      <w:lvlJc w:val="left"/>
      <w:pPr>
        <w:ind w:left="0" w:firstLine="0"/>
      </w:pPr>
      <w:rPr>
        <w:rFonts w:ascii="SimHei" w:hAnsi="SimHei" w:eastAsia="SimHei" w:cs="SimHei"/>
        <w:sz w:val="21"/>
      </w:rPr>
    </w:lvl>
    <w:lvl w:ilvl="5">
      <w:start w:val="1"/>
      <w:numFmt w:val="decimal"/>
      <w:isLgl w:val="false"/>
      <w:suff w:val="tab"/>
      <w:lvlText w:val="%1%2.%3.%4.%5.%6　"/>
      <w:lvlJc w:val="left"/>
      <w:pPr>
        <w:ind w:left="0" w:firstLine="0"/>
      </w:pPr>
      <w:rPr>
        <w:rFonts w:ascii="SimHei" w:hAnsi="SimHei" w:eastAsia="SimHei" w:cs="SimHei"/>
        <w:sz w:val="21"/>
      </w:rPr>
    </w:lvl>
    <w:lvl w:ilvl="6">
      <w:start w:val="1"/>
      <w:numFmt w:val="decimal"/>
      <w:isLgl w:val="false"/>
      <w:suff w:val="tab"/>
      <w:lvlText w:val="%1%2.%3.%4.%5.%6.%7　"/>
      <w:lvlJc w:val="left"/>
      <w:pPr>
        <w:ind w:left="0" w:firstLine="0"/>
      </w:pPr>
      <w:rPr>
        <w:rFonts w:ascii="SimHei" w:hAnsi="SimHei" w:eastAsia="SimHei" w:cs="SimHei"/>
        <w:sz w:val="21"/>
      </w:rPr>
    </w:lvl>
    <w:lvl w:ilvl="7">
      <w:start w:val="1"/>
      <w:numFmt w:val="decimal"/>
      <w:isLgl w:val="false"/>
      <w:suff w:val="tab"/>
      <w:lvlText w:val="%1.%2.%3.%4.%5.%6.%7.%8"/>
      <w:lvlJc w:val="left"/>
      <w:pPr>
        <w:ind w:left="3969" w:hanging="1418"/>
      </w:pPr>
      <w:rPr>
        <w:rFonts w:ascii="SimSun" w:hAnsi="SimSun" w:eastAsia="SimSun" w:cs="SimSun"/>
      </w:rPr>
    </w:lvl>
    <w:lvl w:ilvl="8">
      <w:start w:val="1"/>
      <w:numFmt w:val="decimal"/>
      <w:isLgl w:val="false"/>
      <w:suff w:val="tab"/>
      <w:lvlText w:val="%1.%2.%3.%4.%5.%6.%7.%8.%9"/>
      <w:lvlJc w:val="left"/>
      <w:pPr>
        <w:ind w:left="4677" w:hanging="1700"/>
      </w:pPr>
      <w:rPr>
        <w:rFonts w:ascii="SimSun" w:hAnsi="SimSun" w:eastAsia="SimSun" w:cs="SimSun"/>
      </w:rPr>
    </w:lvl>
  </w:abstractNum>
  <w:abstractNum w:abstractNumId="6">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7" TargetMode="External"/><Relationship Id="rId17" Type="http://schemas.openxmlformats.org/officeDocument/2006/relationships/hyperlink" Target="http://gks.mof.gov.cn/ztztz/zhengfucaigouguanli/201802/t20180201_2804589.htm"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3</cp:revision>
  <dcterms:created xsi:type="dcterms:W3CDTF">2026-04-14T02:42:23Z</dcterms:created>
  <dcterms:modified xsi:type="dcterms:W3CDTF">2026-04-14T06:30:54Z</dcterms:modified>
</cp:coreProperties>
</file>