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ascii="宋体" w:hAnsi="宋体" w:cs="宋体"/>
          <w:b/>
          <w:color w:val="000000" w:themeColor="text1"/>
          <w:sz w:val="30"/>
          <w:szCs w:val="30"/>
          <w:highlight w:val="white"/>
        </w:rPr>
      </w:pPr>
      <w:r>
        <w:rPr>
          <w:rFonts w:ascii="宋体" w:hAnsi="宋体" w:cs="宋体"/>
          <w:b/>
          <w:color w:val="000000" w:themeColor="text1"/>
          <w:sz w:val="30"/>
          <w:szCs w:val="30"/>
          <w:highlight w:val="white"/>
        </w:rPr>
      </w:r>
      <w:r>
        <w:rPr>
          <w:color w:val="000000" w:themeColor="text1"/>
          <w:highlight w:val="white"/>
        </w:rPr>
      </w:r>
    </w:p>
    <w:p>
      <w:pPr>
        <w:ind w:left="0"/>
        <w:jc w:val="center"/>
        <w:rPr>
          <w:rFonts w:ascii="宋体" w:hAnsi="宋体" w:cs="宋体"/>
          <w:b/>
          <w:color w:val="000000" w:themeColor="text1"/>
          <w:sz w:val="72"/>
          <w:szCs w:val="72"/>
          <w:highlight w:val="white"/>
        </w:rPr>
      </w:pPr>
      <w:r>
        <w:rPr>
          <w:rFonts w:hint="eastAsia" w:ascii="宋体" w:hAnsi="宋体" w:cs="宋体"/>
          <w:b/>
          <w:color w:val="000000" w:themeColor="text1"/>
          <w:sz w:val="72"/>
          <w:szCs w:val="72"/>
          <w:highlight w:val="white"/>
        </w:rPr>
        <w:t xml:space="preserve">苏 州 政 府 采 购</w:t>
      </w:r>
      <w:r>
        <w:rPr>
          <w:color w:val="000000" w:themeColor="text1"/>
          <w:highlight w:val="white"/>
        </w:rPr>
      </w:r>
    </w:p>
    <w:p>
      <w:pPr>
        <w:ind w:left="0"/>
        <w:jc w:val="center"/>
        <w:rPr>
          <w:rFonts w:ascii="宋体" w:hAnsi="宋体" w:cs="宋体"/>
          <w:b/>
          <w:color w:val="000000" w:themeColor="text1"/>
          <w:sz w:val="72"/>
          <w:szCs w:val="72"/>
          <w:highlight w:val="white"/>
        </w:rPr>
      </w:pPr>
      <w:r>
        <w:rPr>
          <w:rFonts w:hint="eastAsia" w:ascii="宋体" w:hAnsi="宋体" w:cs="宋体"/>
          <w:b/>
          <w:color w:val="000000" w:themeColor="text1"/>
          <w:sz w:val="72"/>
          <w:szCs w:val="72"/>
          <w:highlight w:val="white"/>
        </w:rPr>
        <w:t xml:space="preserve">竞争性磋商文件</w:t>
      </w:r>
      <w:r>
        <w:rPr>
          <w:color w:val="000000" w:themeColor="text1"/>
          <w:highlight w:val="white"/>
        </w:rPr>
      </w:r>
    </w:p>
    <w:p>
      <w:pPr>
        <w:ind w:left="0"/>
        <w:jc w:val="left"/>
        <w:spacing w:line="360" w:lineRule="auto"/>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ind w:left="0"/>
        <w:jc w:val="left"/>
        <w:spacing w:line="480" w:lineRule="auto"/>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tbl>
      <w:tblPr>
        <w:tblStyle w:val="98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6261"/>
      </w:tblGrid>
      <w:tr>
        <w:trPr>
          <w:jc w:val="center"/>
        </w:trPr>
        <w:tc>
          <w:tcPr>
            <w:tcW w:w="1809" w:type="dxa"/>
            <w:textDirection w:val="lrTb"/>
            <w:noWrap w:val="false"/>
          </w:tcPr>
          <w:p>
            <w:pPr>
              <w:ind w:left="0"/>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采购编号：</w:t>
            </w:r>
            <w:r>
              <w:rPr>
                <w:color w:val="000000" w:themeColor="text1"/>
                <w:highlight w:val="white"/>
              </w:rPr>
            </w:r>
          </w:p>
        </w:tc>
        <w:tc>
          <w:tcPr>
            <w:tcW w:w="6261" w:type="dxa"/>
            <w:textDirection w:val="lrTb"/>
            <w:noWrap w:val="false"/>
          </w:tcPr>
          <w:p>
            <w:pPr>
              <w:ind w:left="0"/>
              <w:spacing w:line="360" w:lineRule="auto"/>
              <w:widowControl w:val="off"/>
              <w:rPr>
                <w:rStyle w:val="1004"/>
                <w:rFonts w:hint="eastAsia" w:ascii="宋体" w:hAnsi="宋体" w:eastAsia="宋体" w:cs="宋体"/>
                <w:b/>
                <w:color w:val="000000" w:themeColor="text1"/>
                <w:spacing w:val="-6"/>
                <w:sz w:val="32"/>
                <w:highlight w:val="white"/>
              </w:rPr>
            </w:pPr>
            <w:r>
              <w:rPr>
                <w:rFonts w:hint="eastAsia" w:ascii="宋体" w:hAnsi="宋体" w:cs="宋体"/>
                <w:b/>
                <w:color w:val="000000" w:themeColor="text1"/>
                <w:spacing w:val="-6"/>
                <w:sz w:val="32"/>
                <w:highlight w:val="white"/>
                <w:lang w:eastAsia="zh-CN"/>
              </w:rPr>
              <w:t xml:space="preserve">JSZC-320507-SHYS-C2026-0009</w:t>
            </w:r>
            <w:r>
              <w:rPr>
                <w:color w:val="000000" w:themeColor="text1"/>
                <w:highlight w:val="white"/>
              </w:rPr>
            </w:r>
          </w:p>
        </w:tc>
      </w:tr>
      <w:tr>
        <w:trPr>
          <w:jc w:val="center"/>
        </w:trPr>
        <w:tc>
          <w:tcPr>
            <w:tcW w:w="1809" w:type="dxa"/>
            <w:textDirection w:val="lrTb"/>
            <w:noWrap w:val="false"/>
          </w:tcPr>
          <w:p>
            <w:pPr>
              <w:ind w:left="0"/>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采 购 人：</w:t>
            </w:r>
            <w:r>
              <w:rPr>
                <w:color w:val="000000" w:themeColor="text1"/>
                <w:highlight w:val="white"/>
              </w:rPr>
            </w:r>
          </w:p>
        </w:tc>
        <w:tc>
          <w:tcPr>
            <w:tcW w:w="6261" w:type="dxa"/>
            <w:textDirection w:val="lrTb"/>
            <w:noWrap w:val="false"/>
          </w:tcPr>
          <w:p>
            <w:pPr>
              <w:ind w:left="0"/>
              <w:jc w:val="left"/>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苏州市相城区教育局</w:t>
            </w:r>
            <w:r>
              <w:rPr>
                <w:color w:val="000000" w:themeColor="text1"/>
                <w:highlight w:val="white"/>
              </w:rPr>
            </w:r>
          </w:p>
        </w:tc>
      </w:tr>
      <w:tr>
        <w:trPr>
          <w:jc w:val="center"/>
        </w:trPr>
        <w:tc>
          <w:tcPr>
            <w:tcW w:w="1809" w:type="dxa"/>
            <w:textDirection w:val="lrTb"/>
            <w:noWrap w:val="false"/>
          </w:tcPr>
          <w:p>
            <w:pPr>
              <w:ind w:left="0"/>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采购内容：</w:t>
            </w:r>
            <w:r>
              <w:rPr>
                <w:color w:val="000000" w:themeColor="text1"/>
                <w:highlight w:val="white"/>
              </w:rPr>
            </w:r>
          </w:p>
        </w:tc>
        <w:tc>
          <w:tcPr>
            <w:tcW w:w="6261" w:type="dxa"/>
            <w:textDirection w:val="lrTb"/>
            <w:noWrap w:val="false"/>
          </w:tcPr>
          <w:p>
            <w:pPr>
              <w:ind w:left="0"/>
              <w:jc w:val="left"/>
              <w:widowControl w:val="off"/>
              <w:rPr>
                <w:rStyle w:val="1004"/>
                <w:rFonts w:ascii="宋体" w:hAnsi="宋体" w:cs="宋体"/>
                <w:color w:val="000000" w:themeColor="text1"/>
                <w:highlight w:val="white"/>
              </w:rPr>
            </w:pPr>
            <w:r>
              <w:rPr>
                <w:rFonts w:hint="eastAsia" w:ascii="宋体" w:hAnsi="宋体" w:cs="宋体"/>
                <w:b/>
                <w:color w:val="000000" w:themeColor="text1"/>
                <w:sz w:val="32"/>
                <w:highlight w:val="white"/>
              </w:rPr>
              <w:t xml:space="preserve">直属学校安防、消防系统维保</w:t>
            </w:r>
            <w:r>
              <w:rPr>
                <w:color w:val="000000" w:themeColor="text1"/>
                <w:highlight w:val="white"/>
              </w:rPr>
            </w:r>
          </w:p>
        </w:tc>
      </w:tr>
      <w:tr>
        <w:trPr>
          <w:jc w:val="center"/>
        </w:trPr>
        <w:tc>
          <w:tcPr>
            <w:tcW w:w="1809" w:type="dxa"/>
            <w:textDirection w:val="lrTb"/>
            <w:noWrap w:val="false"/>
          </w:tcPr>
          <w:p>
            <w:pPr>
              <w:ind w:left="0"/>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采购类别：</w:t>
            </w:r>
            <w:r>
              <w:rPr>
                <w:color w:val="000000" w:themeColor="text1"/>
                <w:highlight w:val="white"/>
              </w:rPr>
            </w:r>
          </w:p>
        </w:tc>
        <w:tc>
          <w:tcPr>
            <w:tcW w:w="6261" w:type="dxa"/>
            <w:textDirection w:val="lrTb"/>
            <w:noWrap w:val="false"/>
          </w:tcPr>
          <w:p>
            <w:pPr>
              <w:ind w:left="0"/>
              <w:jc w:val="left"/>
              <w:spacing w:line="360" w:lineRule="auto"/>
              <w:widowControl w:val="off"/>
              <w:rPr>
                <w:rStyle w:val="1004"/>
                <w:rFonts w:ascii="宋体" w:hAnsi="宋体" w:cs="宋体"/>
                <w:color w:val="000000" w:themeColor="text1"/>
                <w:highlight w:val="white"/>
              </w:rPr>
            </w:pPr>
            <w:r>
              <w:rPr>
                <w:rStyle w:val="1004"/>
                <w:rFonts w:hint="eastAsia" w:ascii="宋体" w:hAnsi="宋体" w:cs="宋体"/>
                <w:b/>
                <w:color w:val="000000" w:themeColor="text1"/>
                <w:spacing w:val="-6"/>
                <w:sz w:val="32"/>
                <w:highlight w:val="white"/>
              </w:rPr>
              <w:t xml:space="preserve">服务类</w:t>
            </w:r>
            <w:r>
              <w:rPr>
                <w:color w:val="000000" w:themeColor="text1"/>
                <w:highlight w:val="white"/>
              </w:rPr>
            </w:r>
          </w:p>
        </w:tc>
      </w:tr>
    </w:tbl>
    <w:p>
      <w:pPr>
        <w:ind w:firstLine="1445"/>
        <w:jc w:val="left"/>
        <w:spacing w:line="480" w:lineRule="auto"/>
        <w:rPr>
          <w:rFonts w:ascii="宋体" w:hAnsi="宋体" w:cs="宋体"/>
          <w:b/>
          <w:color w:val="000000" w:themeColor="text1"/>
          <w:spacing w:val="20"/>
          <w:sz w:val="32"/>
          <w:highlight w:val="white"/>
        </w:rPr>
      </w:pPr>
      <w:r>
        <w:rPr>
          <w:rFonts w:ascii="宋体" w:hAnsi="宋体" w:cs="宋体"/>
          <w:b/>
          <w:color w:val="000000" w:themeColor="text1"/>
          <w:spacing w:val="20"/>
          <w:sz w:val="32"/>
          <w:highlight w:val="white"/>
        </w:rPr>
      </w:r>
      <w:r>
        <w:rPr>
          <w:color w:val="000000" w:themeColor="text1"/>
          <w:highlight w:val="white"/>
        </w:rPr>
      </w:r>
    </w:p>
    <w:p>
      <w:pPr>
        <w:ind w:left="0"/>
        <w:jc w:val="left"/>
        <w:rPr>
          <w:rFonts w:ascii="宋体" w:hAnsi="宋体" w:cs="宋体"/>
          <w:b/>
          <w:color w:val="000000" w:themeColor="text1"/>
          <w:sz w:val="32"/>
          <w:highlight w:val="white"/>
        </w:rPr>
      </w:pPr>
      <w:r>
        <w:rPr>
          <w:rFonts w:hint="eastAsia" w:ascii="宋体" w:hAnsi="宋体" w:cs="宋体"/>
          <w:b/>
          <w:color w:val="000000" w:themeColor="text1"/>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2035810</wp:posOffset>
                </wp:positionH>
                <wp:positionV relativeFrom="paragraph">
                  <wp:posOffset>205105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r/>
                      </pic:nvPicPr>
                      <pic:blipFill>
                        <a:blip r:embed="rId19"/>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9" o:title=""/>
              </v:shape>
            </w:pict>
          </mc:Fallback>
        </mc:AlternateContent>
      </w:r>
      <w:r>
        <w:rPr>
          <w:color w:val="000000" w:themeColor="text1"/>
          <w:highlight w:val="white"/>
        </w:rPr>
      </w:r>
    </w:p>
    <w:p>
      <w:pPr>
        <w:ind w:left="0"/>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firstLine="1606"/>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firstLine="1606"/>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firstLine="1606"/>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firstLine="1606"/>
        <w:jc w:val="left"/>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pStyle w:val="991"/>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pStyle w:val="990"/>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ind w:left="0"/>
        <w:jc w:val="center"/>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jc w:val="center"/>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rPr>
          <w:rFonts w:ascii="宋体" w:hAnsi="宋体" w:cs="宋体"/>
          <w:b/>
          <w:color w:val="000000" w:themeColor="text1"/>
          <w:sz w:val="32"/>
          <w:highlight w:val="white"/>
        </w:rPr>
      </w:pPr>
      <w:r>
        <w:rPr>
          <w:rFonts w:ascii="宋体" w:hAnsi="宋体" w:cs="宋体"/>
          <w:b/>
          <w:color w:val="000000" w:themeColor="text1"/>
          <w:sz w:val="32"/>
          <w:highlight w:val="white"/>
        </w:rPr>
      </w:r>
      <w:r>
        <w:rPr>
          <w:color w:val="000000" w:themeColor="text1"/>
          <w:highlight w:val="white"/>
        </w:rPr>
      </w:r>
    </w:p>
    <w:p>
      <w:pPr>
        <w:ind w:left="0"/>
        <w:jc w:val="center"/>
        <w:rPr>
          <w:rFonts w:ascii="宋体" w:hAnsi="宋体" w:cs="宋体"/>
          <w:b/>
          <w:color w:val="000000" w:themeColor="text1"/>
          <w:sz w:val="32"/>
          <w:highlight w:val="white"/>
        </w:rPr>
      </w:pPr>
      <w:r>
        <w:rPr>
          <w:rFonts w:hint="eastAsia" w:ascii="宋体" w:hAnsi="宋体" w:cs="宋体"/>
          <w:b/>
          <w:color w:val="000000" w:themeColor="text1"/>
          <w:sz w:val="32"/>
          <w:highlight w:val="white"/>
        </w:rPr>
        <w:t xml:space="preserve">苏州合亿盛工程咨询有限公司</w:t>
      </w:r>
      <w:r>
        <w:rPr>
          <w:color w:val="000000" w:themeColor="text1"/>
          <w:highlight w:val="white"/>
        </w:rPr>
      </w:r>
    </w:p>
    <w:p>
      <w:pPr>
        <w:ind w:left="0"/>
        <w:jc w:val="center"/>
        <w:rPr>
          <w:rFonts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二〇二六年四月</w:t>
      </w:r>
      <w:r>
        <w:rPr>
          <w:color w:val="000000" w:themeColor="text1"/>
          <w:highlight w:val="white"/>
        </w:rPr>
      </w:r>
    </w:p>
    <w:p>
      <w:pPr>
        <w:pStyle w:val="990"/>
        <w:ind w:left="0" w:firstLine="0"/>
        <w:rPr>
          <w:rFonts w:ascii="宋体" w:hAnsi="宋体" w:cs="宋体"/>
          <w:color w:val="000000" w:themeColor="text1"/>
          <w:highlight w:val="whit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pgNumType w:start="0"/>
          <w:cols w:num="1" w:sep="0" w:space="720" w:equalWidth="1"/>
          <w:docGrid w:linePitch="360"/>
          <w:titlePg/>
        </w:sectPr>
      </w:pPr>
      <w:r>
        <w:rPr>
          <w:rFonts w:ascii="宋体" w:hAnsi="宋体" w:cs="宋体"/>
          <w:color w:val="000000" w:themeColor="text1"/>
          <w:highlight w:val="white"/>
        </w:rPr>
      </w:r>
      <w:r>
        <w:rPr>
          <w:color w:val="000000" w:themeColor="text1"/>
          <w:highlight w:val="white"/>
        </w:rPr>
      </w:r>
    </w:p>
    <w:p>
      <w:pPr>
        <w:ind w:left="0"/>
        <w:jc w:val="center"/>
        <w:rPr>
          <w:rFonts w:ascii="宋体" w:hAnsi="宋体" w:cs="宋体"/>
          <w:b/>
          <w:color w:val="000000" w:themeColor="text1"/>
          <w:spacing w:val="20"/>
          <w:sz w:val="30"/>
          <w:highlight w:val="white"/>
        </w:rPr>
      </w:pPr>
      <w:r>
        <w:rPr>
          <w:color w:val="000000" w:themeColor="text1"/>
          <w:highlight w:val="white"/>
        </w:rPr>
      </w:r>
      <w:bookmarkStart w:id="0" w:name="_Toc12642"/>
      <w:r>
        <w:rPr>
          <w:color w:val="000000" w:themeColor="text1"/>
          <w:highlight w:val="white"/>
        </w:rPr>
      </w:r>
      <w:bookmarkStart w:id="1" w:name="_Toc15681"/>
      <w:r>
        <w:rPr>
          <w:color w:val="000000" w:themeColor="text1"/>
          <w:highlight w:val="white"/>
        </w:rPr>
      </w:r>
      <w:bookmarkStart w:id="2" w:name="_Toc17003"/>
      <w:r>
        <w:rPr>
          <w:color w:val="000000" w:themeColor="text1"/>
          <w:highlight w:val="white"/>
        </w:rPr>
      </w:r>
      <w:bookmarkStart w:id="3" w:name="_Toc16121"/>
      <w:r>
        <w:rPr>
          <w:rFonts w:hint="eastAsia" w:ascii="宋体" w:hAnsi="宋体" w:cs="宋体"/>
          <w:b/>
          <w:color w:val="000000" w:themeColor="text1"/>
          <w:spacing w:val="20"/>
          <w:sz w:val="30"/>
          <w:highlight w:val="white"/>
        </w:rPr>
        <w:t xml:space="preserve">前 附 表</w:t>
      </w:r>
      <w:bookmarkEnd w:id="0"/>
      <w:r>
        <w:rPr>
          <w:color w:val="000000" w:themeColor="text1"/>
          <w:highlight w:val="white"/>
        </w:rPr>
      </w:r>
      <w:bookmarkEnd w:id="1"/>
      <w:r>
        <w:rPr>
          <w:color w:val="000000" w:themeColor="text1"/>
          <w:highlight w:val="white"/>
        </w:rPr>
      </w:r>
      <w:bookmarkEnd w:id="2"/>
      <w:r>
        <w:rPr>
          <w:color w:val="000000" w:themeColor="text1"/>
          <w:highlight w:val="white"/>
        </w:rPr>
      </w:r>
      <w:bookmarkEnd w:id="3"/>
      <w:r>
        <w:rPr>
          <w:color w:val="000000" w:themeColor="text1"/>
          <w:highlight w:val="white"/>
        </w:rPr>
      </w:r>
      <w:r>
        <w:rPr>
          <w:color w:val="000000" w:themeColor="text1"/>
          <w:highlight w:val="white"/>
        </w:rPr>
      </w:r>
    </w:p>
    <w:tbl>
      <w:tblPr>
        <w:tblStyle w:val="988"/>
        <w:tblW w:w="10031" w:type="dxa"/>
        <w:jc w:val="center"/>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名称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内               容</w:t>
            </w:r>
            <w:r>
              <w:rPr>
                <w:color w:val="000000" w:themeColor="text1"/>
                <w:highlight w:val="white"/>
              </w:rPr>
            </w:r>
          </w:p>
        </w:tc>
      </w:tr>
      <w:tr>
        <w:trPr>
          <w:jc w:val="center"/>
          <w:trHeight w:val="3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项目编号</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JSZC-320507-SHYS-C2026-0009</w:t>
            </w:r>
            <w:r>
              <w:rPr>
                <w:color w:val="000000" w:themeColor="text1"/>
                <w:highlight w:val="white"/>
              </w:rP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项目名称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直属学校安防、消防系统维保</w:t>
            </w:r>
            <w:r>
              <w:rPr>
                <w:color w:val="000000" w:themeColor="text1"/>
                <w:highlight w:val="white"/>
              </w:rP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磋商保证金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本项目不收取磋商保证金（采购文件中涉及磋商保证金的条款均不适用）</w:t>
            </w:r>
            <w:r>
              <w:rPr>
                <w:color w:val="000000" w:themeColor="text1"/>
                <w:highlight w:val="white"/>
              </w:rP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响应文件有效期</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响应文件提交截止之日起九十天（日历日）</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报名成功的供应商在下载采购文件后，对采购文件有质疑的，</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质疑递交地址：苏州市相城区聚茂路185号活力大厦B座502室；电话：0512-67210880；联系人：徐晓逸/胡欢/吴雯瑜）。</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投标（响应）文件网上提交截止时间</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2026年</w:t>
            </w:r>
            <w:r>
              <w:rPr>
                <w:rFonts w:hint="eastAsia" w:ascii="宋体" w:hAnsi="宋体" w:cs="宋体"/>
                <w:color w:val="000000" w:themeColor="text1"/>
                <w:sz w:val="21"/>
                <w:szCs w:val="21"/>
                <w:highlight w:val="white"/>
                <w:lang w:val="en-US" w:eastAsia="zh-CN"/>
              </w:rPr>
              <w:t xml:space="preserve">5</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lang w:val="en-US" w:eastAsia="zh-CN"/>
              </w:rPr>
              <w:t xml:space="preserve">9</w:t>
            </w:r>
            <w:r>
              <w:rPr>
                <w:rFonts w:hint="eastAsia" w:ascii="宋体" w:hAnsi="宋体" w:cs="宋体"/>
                <w:color w:val="000000" w:themeColor="text1"/>
                <w:sz w:val="21"/>
                <w:szCs w:val="21"/>
                <w:highlight w:val="white"/>
              </w:rPr>
              <w:t xml:space="preserve">日09点30分（北京时间）</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b/>
                <w:bCs/>
                <w:color w:val="000000" w:themeColor="text1"/>
                <w:sz w:val="21"/>
                <w:szCs w:val="21"/>
                <w:highlight w:val="white"/>
              </w:rPr>
              <w:t xml:space="preserve">投标文件必须在截止时间前完成提交（上传），逾期提交（上传）的投标文件恕不接受。</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开标时间</w:t>
            </w:r>
            <w:r>
              <w:rPr>
                <w:color w:val="000000" w:themeColor="text1"/>
                <w:highlight w:val="white"/>
              </w:rPr>
            </w:r>
          </w:p>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开标地点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2026年</w:t>
            </w:r>
            <w:r>
              <w:rPr>
                <w:rFonts w:hint="eastAsia" w:ascii="宋体" w:hAnsi="宋体" w:cs="宋体"/>
                <w:color w:val="000000" w:themeColor="text1"/>
                <w:sz w:val="21"/>
                <w:szCs w:val="21"/>
                <w:highlight w:val="white"/>
                <w:lang w:val="en-US" w:eastAsia="zh-CN"/>
              </w:rPr>
              <w:t xml:space="preserve">5</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lang w:val="en-US" w:eastAsia="zh-CN"/>
              </w:rPr>
              <w:t xml:space="preserve">9</w:t>
            </w:r>
            <w:r>
              <w:rPr>
                <w:rFonts w:hint="eastAsia" w:ascii="宋体" w:hAnsi="宋体" w:cs="宋体"/>
                <w:color w:val="000000" w:themeColor="text1"/>
                <w:sz w:val="21"/>
                <w:szCs w:val="21"/>
                <w:highlight w:val="white"/>
              </w:rPr>
              <w:t xml:space="preserve">日09点30分（北京时间）</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“苏采云”系统（网址：http://jszfcg.jsczt.cn/）</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b/>
                <w:bCs/>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p>
        </w:tc>
      </w:tr>
      <w:tr>
        <w:trPr>
          <w:jc w:val="center"/>
          <w:trHeight w:val="6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评标时间</w:t>
            </w:r>
            <w:r>
              <w:rPr>
                <w:color w:val="000000" w:themeColor="text1"/>
                <w:highlight w:val="white"/>
              </w:rPr>
            </w:r>
          </w:p>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评标地点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2026年</w:t>
            </w:r>
            <w:r>
              <w:rPr>
                <w:rFonts w:hint="eastAsia" w:ascii="宋体" w:hAnsi="宋体" w:cs="宋体"/>
                <w:color w:val="000000" w:themeColor="text1"/>
                <w:sz w:val="21"/>
                <w:szCs w:val="21"/>
                <w:highlight w:val="white"/>
                <w:lang w:val="en-US" w:eastAsia="zh-CN"/>
              </w:rPr>
              <w:t xml:space="preserve">5</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lang w:val="en-US" w:eastAsia="zh-CN"/>
              </w:rPr>
              <w:t xml:space="preserve">9</w:t>
            </w:r>
            <w:r>
              <w:rPr>
                <w:rFonts w:hint="eastAsia" w:ascii="宋体" w:hAnsi="宋体" w:cs="宋体"/>
                <w:color w:val="000000" w:themeColor="text1"/>
                <w:sz w:val="21"/>
                <w:szCs w:val="21"/>
                <w:highlight w:val="white"/>
              </w:rPr>
              <w:t xml:space="preserve">日09点30分（北京时间）</w:t>
            </w:r>
            <w:r>
              <w:rPr>
                <w:color w:val="000000" w:themeColor="text1"/>
                <w:highlight w:val="white"/>
              </w:rPr>
            </w:r>
          </w:p>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苏州市高新区邓尉路105号狮山科技馆8楼</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投（响应）文件份数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本项目采用电子投标文件，投标人按照采购文件要求制作上传电子投标文件，投标人无需提供纸质投标文件。</w:t>
            </w:r>
            <w:r>
              <w:rPr>
                <w:color w:val="000000" w:themeColor="text1"/>
                <w:highlight w:val="white"/>
              </w:rP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现场踏勘</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本项目不组织统一勘察</w:t>
            </w:r>
            <w:r>
              <w:rPr>
                <w:color w:val="000000" w:themeColor="text1"/>
                <w:highlight w:val="white"/>
              </w:rPr>
            </w:r>
          </w:p>
        </w:tc>
      </w:tr>
      <w:tr>
        <w:trPr>
          <w:jc w:val="cente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履约保证金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Pr>
                <w:rFonts w:ascii="宋体" w:hAnsi="宋体" w:cs="宋体"/>
                <w:b/>
                <w:color w:val="000000" w:themeColor="text1"/>
                <w:sz w:val="21"/>
                <w:szCs w:val="21"/>
                <w:highlight w:val="white"/>
              </w:rPr>
            </w:pPr>
            <w:r>
              <w:rPr>
                <w:rFonts w:ascii="Wingdings" w:hAnsi="Wingdings" w:eastAsia="Wingdings" w:cs="Wingdings"/>
                <w:b/>
                <w:color w:val="000000" w:themeColor="text1"/>
                <w:sz w:val="21"/>
                <w:szCs w:val="21"/>
                <w:highlight w:val="white"/>
              </w:rPr>
              <w:t xml:space="preserve"></w:t>
            </w:r>
            <w:r>
              <w:rPr>
                <w:rFonts w:hint="eastAsia" w:ascii="宋体" w:hAnsi="宋体" w:cs="宋体"/>
                <w:b/>
                <w:color w:val="000000" w:themeColor="text1"/>
                <w:sz w:val="21"/>
                <w:szCs w:val="21"/>
                <w:highlight w:val="white"/>
              </w:rPr>
              <w:t xml:space="preserve">不需提交，</w:t>
            </w:r>
            <w:r>
              <w:rPr>
                <w:rFonts w:hint="eastAsia" w:cs="宋体"/>
                <w:b/>
                <w:color w:val="000000" w:themeColor="text1"/>
                <w:sz w:val="21"/>
                <w:szCs w:val="21"/>
                <w:highlight w:val="white"/>
              </w:rPr>
              <w:t xml:space="preserve">采购文件</w:t>
            </w:r>
            <w:r>
              <w:rPr>
                <w:rFonts w:hint="eastAsia" w:ascii="宋体" w:hAnsi="宋体" w:cs="宋体"/>
                <w:b/>
                <w:color w:val="000000" w:themeColor="text1"/>
                <w:sz w:val="21"/>
                <w:szCs w:val="21"/>
                <w:highlight w:val="white"/>
              </w:rPr>
              <w:t xml:space="preserve">中有关履约保证金的规定均不适用。</w:t>
            </w:r>
            <w:r>
              <w:rPr>
                <w:color w:val="000000" w:themeColor="text1"/>
                <w:highlight w:val="white"/>
              </w:rPr>
            </w:r>
          </w:p>
          <w:p>
            <w:pPr>
              <w:ind w:left="0"/>
              <w:jc w:val="left"/>
              <w:rPr>
                <w:rFonts w:ascii="宋体" w:hAnsi="宋体" w:cs="宋体"/>
                <w:color w:val="000000" w:themeColor="text1"/>
                <w:sz w:val="21"/>
                <w:szCs w:val="21"/>
                <w:highlight w:val="white"/>
              </w:rPr>
            </w:pPr>
            <w:r>
              <w:rPr>
                <w:rFonts w:ascii="Wingdings" w:hAnsi="Wingdings" w:eastAsia="Wingdings" w:cs="Wingdings"/>
                <w:bCs/>
                <w:color w:val="000000" w:themeColor="text1"/>
                <w:sz w:val="21"/>
                <w:szCs w:val="21"/>
                <w:highlight w:val="white"/>
              </w:rPr>
              <w:t xml:space="preserve"></w:t>
            </w:r>
            <w:r>
              <w:rPr>
                <w:rFonts w:hint="eastAsia" w:ascii="宋体" w:hAnsi="宋体" w:cs="宋体"/>
                <w:bCs/>
                <w:color w:val="000000" w:themeColor="text1"/>
                <w:sz w:val="21"/>
                <w:szCs w:val="21"/>
                <w:highlight w:val="white"/>
              </w:rPr>
              <w:t xml:space="preserve">需提交，</w:t>
            </w:r>
            <w:r>
              <w:rPr>
                <w:rFonts w:hint="eastAsia" w:ascii="宋体" w:hAnsi="宋体" w:cs="宋体"/>
                <w:color w:val="000000" w:themeColor="text1"/>
                <w:sz w:val="21"/>
                <w:szCs w:val="21"/>
                <w:highlight w:val="white"/>
              </w:rPr>
              <w:t xml:space="preserve">履约</w:t>
            </w:r>
            <w:r>
              <w:rPr>
                <w:rFonts w:hint="eastAsia" w:ascii="宋体" w:hAnsi="宋体" w:cs="宋体"/>
                <w:bCs/>
                <w:color w:val="000000" w:themeColor="text1"/>
                <w:sz w:val="21"/>
                <w:szCs w:val="21"/>
                <w:highlight w:val="white"/>
              </w:rPr>
              <w:t xml:space="preserve">保证金金额： 元整。</w:t>
            </w:r>
            <w:r>
              <w:rPr>
                <w:rFonts w:hint="eastAsia" w:ascii="宋体" w:hAnsi="宋体" w:cs="宋体"/>
                <w:color w:val="000000" w:themeColor="text1"/>
                <w:sz w:val="21"/>
                <w:szCs w:val="21"/>
                <w:highlight w:val="white"/>
              </w:rPr>
              <w:t xml:space="preserve"> (可提供符合《关于在全省政府采购领域推行电子履约保函(保险)的通知》(苏财购[2023]150号)要求的电子履约保函)</w:t>
            </w:r>
            <w:r>
              <w:rPr>
                <w:color w:val="000000" w:themeColor="text1"/>
                <w:highlight w:val="white"/>
              </w:rP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中标(成交)通知书</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05"/>
              <w:ind w:left="0" w:firstLine="0"/>
              <w:widowControl w:val="off"/>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lang w:val="en-US"/>
              </w:rPr>
              <w:t xml:space="preserve">确定出中标(成交)人后，采购代理机构在法定时间内向中标(成交)人发出中标(成交)通知书。中标(成交)通知书将成为合同的组成部分。</w:t>
            </w:r>
            <w:r>
              <w:rPr>
                <w:color w:val="000000" w:themeColor="text1"/>
                <w:highlight w:val="white"/>
              </w:rPr>
            </w:r>
          </w:p>
          <w:p>
            <w:pPr>
              <w:pStyle w:val="1005"/>
              <w:ind w:left="0" w:firstLine="0"/>
              <w:widowControl w:val="off"/>
              <w:rPr>
                <w:rFonts w:ascii="宋体" w:hAnsi="宋体" w:cs="宋体"/>
                <w:color w:val="000000" w:themeColor="text1"/>
                <w:sz w:val="21"/>
                <w:szCs w:val="21"/>
                <w:highlight w:val="white"/>
              </w:rPr>
            </w:pPr>
            <w:r>
              <w:rPr>
                <w:rFonts w:hint="eastAsia" w:ascii="宋体" w:hAnsi="宋体" w:cs="Arial"/>
                <w:b/>
                <w:bCs/>
                <w:color w:val="000000" w:themeColor="text1"/>
                <w:sz w:val="21"/>
                <w:szCs w:val="21"/>
                <w:highlight w:val="white"/>
                <w:lang w:val="en-US"/>
              </w:rPr>
              <w:t xml:space="preserve">请中标人在中标结果公告届满之日起30日内,使用CA证书登录“苏采云”系统及时下载中标通知书。</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代理服务费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代理服务费收费标准：</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预算金额100万元以下部分，费率为该部分预算金额的1.5%；</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预算金额100万元（含）－500万元部分，费率为该部分预算金额的1.1%；</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预算金额500万元（含）-1000万元部分，费率为该部分预算金额的0.8%；</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预算金额1000万元（含）-5000万元部分，费率为该部分预算金额的0.5%；</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成交单位须按上述规定计算并支付服务费，该费用应在领取成交通知书时付清。</w:t>
            </w:r>
            <w:r>
              <w:rPr>
                <w:color w:val="000000" w:themeColor="text1"/>
                <w:highlight w:val="white"/>
              </w:rPr>
            </w:r>
          </w:p>
          <w:p>
            <w:pPr>
              <w:pStyle w:val="1005"/>
              <w:ind w:left="0" w:firstLine="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汇款银行资料：</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收款人名称：苏州合亿盛工程咨询有限公司</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开户行名称：中国农业银行股份有限公司苏州元和支行</w:t>
            </w:r>
            <w:r>
              <w:rPr>
                <w:color w:val="000000" w:themeColor="text1"/>
                <w:highlight w:val="white"/>
              </w:rPr>
            </w:r>
          </w:p>
          <w:p>
            <w:pPr>
              <w:pStyle w:val="1005"/>
              <w:ind w:left="0" w:firstLine="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银行</w:t>
            </w:r>
            <w:r>
              <w:rPr>
                <w:rFonts w:hint="eastAsia" w:ascii="宋体" w:hAnsi="宋体" w:cs="宋体"/>
                <w:color w:val="000000" w:themeColor="text1"/>
                <w:sz w:val="21"/>
                <w:szCs w:val="21"/>
                <w:highlight w:val="white"/>
                <w:lang w:val="en-US"/>
              </w:rPr>
              <w:t xml:space="preserve">账</w:t>
            </w:r>
            <w:r>
              <w:rPr>
                <w:rFonts w:hint="eastAsia" w:ascii="宋体" w:hAnsi="宋体" w:cs="宋体"/>
                <w:color w:val="000000" w:themeColor="text1"/>
                <w:sz w:val="21"/>
                <w:szCs w:val="21"/>
                <w:highlight w:val="white"/>
              </w:rPr>
              <w:t xml:space="preserve">号：10541101040028625</w:t>
            </w:r>
            <w:r>
              <w:rPr>
                <w:color w:val="000000" w:themeColor="text1"/>
                <w:highlight w:val="white"/>
              </w:rPr>
            </w:r>
          </w:p>
        </w:tc>
      </w:tr>
    </w:tbl>
    <w:p>
      <w:pPr>
        <w:ind w:left="0"/>
        <w:jc w:val="center"/>
        <w:rPr>
          <w:rFonts w:ascii="宋体" w:hAnsi="宋体" w:cs="宋体"/>
          <w:color w:val="000000" w:themeColor="text1"/>
          <w:sz w:val="44"/>
          <w:szCs w:val="44"/>
          <w:highlight w:val="white"/>
        </w:rPr>
      </w:pPr>
      <w:r>
        <w:rPr>
          <w:color w:val="000000" w:themeColor="text1"/>
          <w:highlight w:val="white"/>
        </w:rPr>
      </w:r>
      <w:bookmarkStart w:id="4" w:name="_Toc7166"/>
      <w:r>
        <w:rPr>
          <w:color w:val="000000" w:themeColor="text1"/>
          <w:highlight w:val="white"/>
        </w:rPr>
      </w:r>
      <w:bookmarkStart w:id="5" w:name="_Toc28592"/>
      <w:r>
        <w:rPr>
          <w:color w:val="000000" w:themeColor="text1"/>
          <w:highlight w:val="white"/>
        </w:rPr>
      </w:r>
      <w:bookmarkStart w:id="6" w:name="_Toc58248879"/>
      <w:r>
        <w:rPr>
          <w:color w:val="000000" w:themeColor="text1"/>
          <w:highlight w:val="white"/>
        </w:rPr>
      </w:r>
      <w:bookmarkStart w:id="7" w:name="_Toc57376405"/>
      <w:r>
        <w:rPr>
          <w:rFonts w:hint="eastAsia" w:ascii="宋体" w:hAnsi="宋体" w:cs="宋体"/>
          <w:color w:val="000000" w:themeColor="text1"/>
          <w:sz w:val="44"/>
          <w:szCs w:val="44"/>
          <w:highlight w:val="white"/>
        </w:rPr>
        <w:t xml:space="preserve">目     录</w:t>
      </w:r>
      <w:r>
        <w:rPr>
          <w:color w:val="000000" w:themeColor="text1"/>
          <w:highlight w:val="white"/>
        </w:rPr>
      </w:r>
    </w:p>
    <w:p>
      <w:pPr>
        <w:pStyle w:val="991"/>
        <w:rPr>
          <w:rFonts w:ascii="宋体" w:hAnsi="宋体" w:cs="宋体"/>
          <w:color w:val="000000" w:themeColor="text1"/>
          <w:highlight w:val="white"/>
        </w:rPr>
      </w:pPr>
      <w:r>
        <w:rPr>
          <w:color w:val="000000" w:themeColor="text1"/>
          <w:highlight w:val="white"/>
        </w:rPr>
      </w:r>
      <w:bookmarkStart w:id="94" w:name="_GoBack"/>
      <w:r>
        <w:rPr>
          <w:color w:val="000000" w:themeColor="text1"/>
          <w:highlight w:val="white"/>
        </w:rPr>
      </w:r>
      <w:bookmarkEnd w:id="94"/>
      <w:r>
        <w:rPr>
          <w:color w:val="000000" w:themeColor="text1"/>
          <w:highlight w:val="white"/>
        </w:rPr>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TOC \o "1-1" \h \u </w:instrText>
      </w:r>
      <w:r>
        <w:rPr>
          <w:rFonts w:hint="eastAsia" w:ascii="宋体" w:hAnsi="宋体" w:cs="宋体"/>
          <w:color w:val="000000" w:themeColor="text1"/>
          <w:sz w:val="28"/>
          <w:szCs w:val="28"/>
          <w:highlight w:val="white"/>
        </w:rPr>
        <w:fldChar w:fldCharType="separate"/>
      </w:r>
      <w:r>
        <w:rPr>
          <w:color w:val="000000" w:themeColor="text1"/>
          <w:highlight w:val="white"/>
        </w:rPr>
        <w:fldChar w:fldCharType="begin"/>
      </w:r>
      <w:r>
        <w:rPr>
          <w:color w:val="000000" w:themeColor="text1"/>
          <w:highlight w:val="white"/>
        </w:rPr>
        <w:instrText xml:space="preserve"> HYPERLINK \l "_Toc31973"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第一章 磋商邀请函</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_Toc31973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"_Toc17757"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第二章 磋商须知</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_Toc17757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9</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"_Toc332"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第三章 响应文件格式</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_Toc332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17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"_Toc23981"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第四章 采购内容</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_Toc23981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"_Toc26481"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第五章 合同及主要条款</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_Toc26481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49</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"_Toc16154" </w:instrText>
      </w:r>
      <w:r>
        <w:rPr>
          <w:color w:val="000000" w:themeColor="text1"/>
          <w:highlight w:val="white"/>
        </w:rPr>
        <w:fldChar w:fldCharType="separate"/>
      </w:r>
      <w:r>
        <w:rPr>
          <w:rFonts w:hint="eastAsia" w:ascii="宋体" w:hAnsi="宋体" w:cs="宋体"/>
          <w:color w:val="000000" w:themeColor="text1"/>
          <w:sz w:val="28"/>
          <w:szCs w:val="28"/>
          <w:highlight w:val="white"/>
        </w:rPr>
        <w:t xml:space="preserve">第六章 评审办法</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_Toc16154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53</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999"/>
        <w:ind w:firstLine="0"/>
        <w:tabs>
          <w:tab w:val="right" w:pos="9864" w:leader="dot"/>
        </w:tabs>
        <w:rPr>
          <w:rFonts w:ascii="宋体" w:hAnsi="宋体" w:cs="宋体"/>
          <w:color w:val="000000" w:themeColor="text1"/>
          <w:sz w:val="28"/>
          <w:szCs w:val="28"/>
          <w:highlight w:val="white"/>
        </w:rPr>
      </w:pPr>
      <w:r>
        <w:rPr>
          <w:color w:val="000000" w:themeColor="text1"/>
          <w:highlight w:val="white"/>
        </w:rPr>
        <w:fldChar w:fldCharType="begin"/>
      </w:r>
      <w:r>
        <w:rPr>
          <w:color w:val="000000" w:themeColor="text1"/>
          <w:highlight w:val="white"/>
        </w:rPr>
        <w:instrText xml:space="preserve"> HYPERLINK \l "_Toc9262" </w:instrText>
      </w:r>
      <w:r>
        <w:rPr>
          <w:color w:val="000000" w:themeColor="text1"/>
          <w:highlight w:val="white"/>
        </w:rPr>
        <w:fldChar w:fldCharType="separate"/>
      </w:r>
      <w:r>
        <w:rPr>
          <w:color w:val="000000" w:themeColor="text1"/>
          <w:highlight w:val="white"/>
        </w:rPr>
        <w:fldChar w:fldCharType="end"/>
      </w:r>
      <w:r>
        <w:rPr>
          <w:color w:val="000000" w:themeColor="text1"/>
          <w:highlight w:val="white"/>
        </w:rPr>
      </w:r>
    </w:p>
    <w:p>
      <w:pPr>
        <w:ind w:left="0"/>
        <w:spacing w:line="360" w:lineRule="auto"/>
        <w:rPr>
          <w:rFonts w:ascii="宋体" w:hAnsi="宋体" w:cs="宋体"/>
          <w:b/>
          <w:color w:val="000000" w:themeColor="text1"/>
          <w:sz w:val="44"/>
          <w:szCs w:val="44"/>
          <w:highlight w:val="white"/>
        </w:rPr>
      </w:pPr>
      <w:r>
        <w:rPr>
          <w:rFonts w:hint="eastAsia" w:ascii="宋体" w:hAnsi="宋体" w:cs="宋体"/>
          <w:color w:val="000000" w:themeColor="text1"/>
          <w:sz w:val="28"/>
          <w:szCs w:val="28"/>
          <w:highlight w:val="white"/>
        </w:rPr>
        <w:fldChar w:fldCharType="end"/>
      </w:r>
      <w:bookmarkStart w:id="8" w:name="_Toc6212"/>
      <w:r>
        <w:rPr>
          <w:rFonts w:hint="eastAsia" w:ascii="宋体" w:hAnsi="宋体" w:cs="宋体"/>
          <w:b/>
          <w:color w:val="000000" w:themeColor="text1"/>
          <w:sz w:val="44"/>
          <w:szCs w:val="44"/>
          <w:highlight w:val="white"/>
        </w:rPr>
        <w:br w:type="page" w:clear="all"/>
      </w:r>
      <w:bookmarkEnd w:id="8"/>
      <w:r>
        <w:rPr>
          <w:color w:val="000000" w:themeColor="text1"/>
          <w:highlight w:val="white"/>
        </w:rPr>
      </w:r>
      <w:bookmarkStart w:id="9" w:name="_Toc19808"/>
      <w:r>
        <w:rPr>
          <w:color w:val="000000" w:themeColor="text1"/>
          <w:highlight w:val="white"/>
        </w:rPr>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color w:val="000000" w:themeColor="text1"/>
          <w:highlight w:val="white"/>
        </w:rPr>
      </w:r>
      <w:bookmarkStart w:id="10" w:name="_Toc31973"/>
      <w:r>
        <w:rPr>
          <w:color w:val="000000" w:themeColor="text1"/>
          <w:highlight w:val="white"/>
        </w:rPr>
      </w:r>
      <w:bookmarkStart w:id="11" w:name="_Toc22054"/>
      <w:r>
        <w:rPr>
          <w:rFonts w:hint="eastAsia" w:ascii="宋体" w:hAnsi="宋体" w:cs="宋体"/>
          <w:b/>
          <w:color w:val="000000" w:themeColor="text1"/>
          <w:sz w:val="44"/>
          <w:szCs w:val="44"/>
          <w:highlight w:val="white"/>
        </w:rPr>
        <w:t xml:space="preserve">第一章 磋商邀请函</w:t>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r>
        <w:rPr>
          <w:color w:val="000000" w:themeColor="text1"/>
          <w:highlight w:val="white"/>
        </w:rPr>
      </w:r>
    </w:p>
    <w:p>
      <w:pPr>
        <w:pStyle w:val="985"/>
        <w:ind w:left="0" w:firstLine="0"/>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color w:val="000000" w:themeColor="text1"/>
          <w:highlight w:val="white"/>
        </w:rPr>
      </w:r>
      <w:bookmarkStart w:id="12" w:name="_Toc16571"/>
      <w:r>
        <w:rPr>
          <w:color w:val="000000" w:themeColor="text1"/>
          <w:highlight w:val="white"/>
        </w:rPr>
      </w:r>
      <w:bookmarkStart w:id="13" w:name="_Toc3644"/>
      <w:r>
        <w:rPr>
          <w:rFonts w:hint="eastAsia" w:ascii="宋体" w:hAnsi="宋体" w:cs="宋体"/>
          <w:color w:val="000000" w:themeColor="text1"/>
          <w:sz w:val="24"/>
          <w:szCs w:val="24"/>
          <w:highlight w:val="white"/>
        </w:rPr>
        <w:br w:type="page" w:clear="all"/>
      </w:r>
      <w:r>
        <w:rPr>
          <w:rFonts w:hint="eastAsia" w:ascii="宋体" w:hAnsi="宋体" w:cs="宋体"/>
          <w:color w:val="000000" w:themeColor="text1"/>
          <w:sz w:val="24"/>
          <w:szCs w:val="24"/>
          <w:highlight w:val="white"/>
        </w:rPr>
        <w:t xml:space="preserve">苏州合亿盛工程咨询有限公司受</w:t>
      </w:r>
      <w:r>
        <w:rPr>
          <w:rFonts w:hint="eastAsia" w:ascii="宋体" w:hAnsi="宋体" w:cs="宋体"/>
          <w:color w:val="000000" w:themeColor="text1"/>
          <w:sz w:val="24"/>
          <w:szCs w:val="24"/>
          <w:highlight w:val="white"/>
          <w:u w:val="single"/>
        </w:rPr>
        <w:t xml:space="preserve">苏州市相城区教育局</w:t>
      </w:r>
      <w:r>
        <w:rPr>
          <w:rFonts w:hint="eastAsia" w:ascii="宋体" w:hAnsi="宋体" w:cs="宋体"/>
          <w:color w:val="000000" w:themeColor="text1"/>
          <w:sz w:val="24"/>
          <w:szCs w:val="24"/>
          <w:highlight w:val="white"/>
        </w:rPr>
        <w:t xml:space="preserve">的委托，就</w:t>
      </w:r>
      <w:r>
        <w:rPr>
          <w:rFonts w:hint="eastAsia" w:ascii="宋体" w:hAnsi="宋体" w:cs="宋体"/>
          <w:color w:val="000000" w:themeColor="text1"/>
          <w:sz w:val="24"/>
          <w:szCs w:val="24"/>
          <w:highlight w:val="white"/>
          <w:u w:val="single"/>
        </w:rPr>
        <w:t xml:space="preserve">直属学校安防、消防系统维保</w:t>
      </w:r>
      <w:r>
        <w:rPr>
          <w:rFonts w:hint="eastAsia" w:ascii="宋体" w:hAnsi="宋体" w:cs="宋体"/>
          <w:color w:val="000000" w:themeColor="text1"/>
          <w:sz w:val="24"/>
          <w:szCs w:val="24"/>
          <w:highlight w:val="white"/>
        </w:rPr>
        <w:t xml:space="preserve">采用竞争性磋商方式进行采购。欢迎符合资格条件的供应商前来报名参加磋商。</w:t>
      </w:r>
      <w:bookmarkEnd w:id="12"/>
      <w:r>
        <w:rPr>
          <w:color w:val="000000" w:themeColor="text1"/>
          <w:highlight w:val="white"/>
        </w:rPr>
      </w:r>
      <w:bookmarkEnd w:id="13"/>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color w:val="000000" w:themeColor="text1"/>
          <w:highlight w:val="white"/>
        </w:rPr>
      </w:r>
      <w:bookmarkStart w:id="14" w:name="_Toc14794"/>
      <w:r>
        <w:rPr>
          <w:color w:val="000000" w:themeColor="text1"/>
          <w:highlight w:val="white"/>
        </w:rPr>
      </w:r>
      <w:bookmarkStart w:id="15" w:name="_Toc19838"/>
      <w:r>
        <w:rPr>
          <w:rFonts w:hint="eastAsia" w:ascii="宋体" w:hAnsi="宋体" w:cs="宋体"/>
          <w:b/>
          <w:bCs/>
          <w:color w:val="000000" w:themeColor="text1"/>
          <w:sz w:val="24"/>
          <w:szCs w:val="24"/>
          <w:highlight w:val="white"/>
        </w:rPr>
        <w:t xml:space="preserve">一、项</w:t>
      </w:r>
      <w:r>
        <w:rPr>
          <w:rFonts w:hint="eastAsia" w:ascii="宋体" w:hAnsi="宋体" w:cs="宋体"/>
          <w:b/>
          <w:bCs/>
          <w:color w:val="000000" w:themeColor="text1"/>
          <w:sz w:val="24"/>
          <w:szCs w:val="24"/>
          <w:highlight w:val="white"/>
        </w:rPr>
        <w:t xml:space="preserve">目基本情况：</w:t>
      </w:r>
      <w:r>
        <w:rPr>
          <w:color w:val="000000" w:themeColor="text1"/>
          <w:highlight w:val="white"/>
        </w:rPr>
      </w:r>
    </w:p>
    <w:p>
      <w:pPr>
        <w:ind w:left="0" w:firstLine="480"/>
        <w:spacing w:line="360" w:lineRule="auto"/>
        <w:widowControl w:val="off"/>
        <w:rPr>
          <w:rFonts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1、项目编号：</w:t>
      </w:r>
      <w:r>
        <w:rPr>
          <w:rFonts w:hint="eastAsia" w:ascii="宋体" w:hAnsi="宋体" w:cs="宋体"/>
          <w:color w:val="000000" w:themeColor="text1"/>
          <w:sz w:val="24"/>
          <w:szCs w:val="24"/>
          <w:highlight w:val="white"/>
          <w:lang w:eastAsia="zh-CN"/>
        </w:rPr>
        <w:t xml:space="preserve">JSZC-320507-SHYS-C2026-0009</w:t>
      </w:r>
      <w:r>
        <w:rPr>
          <w:rFonts w:hint="eastAsia" w:ascii="宋体" w:hAnsi="宋体" w:cs="宋体"/>
          <w:color w:val="000000" w:themeColor="text1"/>
          <w:sz w:val="24"/>
          <w:szCs w:val="24"/>
          <w:highlight w:val="white"/>
        </w:rPr>
        <w:t xml:space="preserve">号</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2、项目名称：直属学校安防、消防系统维保</w:t>
      </w:r>
      <w:r>
        <w:rPr>
          <w:color w:val="000000" w:themeColor="text1"/>
          <w:highlight w:val="white"/>
        </w:rPr>
      </w:r>
    </w:p>
    <w:p>
      <w:pPr>
        <w:pStyle w:val="992"/>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3、采购方式：竞争性磋商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4、采购预算：人民币</w:t>
      </w:r>
      <w:r>
        <w:rPr>
          <w:rStyle w:val="1004"/>
          <w:rFonts w:hint="eastAsia" w:ascii="宋体" w:hAnsi="宋体" w:cs="宋体"/>
          <w:color w:val="000000" w:themeColor="text1"/>
          <w:sz w:val="24"/>
          <w:szCs w:val="24"/>
          <w:highlight w:val="white"/>
        </w:rPr>
        <w:t xml:space="preserve">壹佰贰拾万元整</w:t>
      </w:r>
      <w:r>
        <w:rPr>
          <w:rFonts w:hint="eastAsia" w:ascii="宋体" w:hAnsi="宋体" w:cs="宋体"/>
          <w:color w:val="000000" w:themeColor="text1"/>
          <w:sz w:val="24"/>
          <w:szCs w:val="24"/>
          <w:highlight w:val="white"/>
        </w:rPr>
        <w:t xml:space="preserve">（¥</w:t>
      </w:r>
      <w:r>
        <w:rPr>
          <w:rStyle w:val="1004"/>
          <w:rFonts w:hint="eastAsia" w:ascii="宋体" w:hAnsi="宋体" w:cs="宋体"/>
          <w:color w:val="000000" w:themeColor="text1"/>
          <w:sz w:val="24"/>
          <w:szCs w:val="24"/>
          <w:highlight w:val="white"/>
        </w:rPr>
        <w:t xml:space="preserve">1200000.00</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本项目标段数量：2个标段，各分标段预算如下：</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第一标段（消防维保）：人民币柒拾万元整（¥700000.00）</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第二标段（安防维保）：人民币伍拾万元整（¥500000.00）</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w:t>
      </w:r>
      <w:r>
        <w:rPr>
          <w:rStyle w:val="1004"/>
          <w:rFonts w:hint="eastAsia" w:ascii="宋体" w:hAnsi="宋体" w:cs="宋体"/>
          <w:color w:val="000000" w:themeColor="text1"/>
          <w:sz w:val="24"/>
          <w:szCs w:val="24"/>
          <w:highlight w:val="white"/>
        </w:rPr>
        <w:t xml:space="preserve">最高限价：</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第一标段（消防维保）：人民币柒拾万元整（¥700000.00）</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第二标段（安防维保）：人民币伍拾万元整（¥500000.00）</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6、标段成交原则：</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（1）本次采购共分为2个标段，响应单位可以根据要求选择任意标段进行响应；所响应标段于获取采购文件时确认，确认后不再变更；</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（2）本项目各标段磋商顺序按照上表标段顺序进行磋商。磋商时，响应单位仅可在其获取采购文件时选择确定的标段范围内进行响应（标段在获取采购文件确认后不得变更）；</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（3）每家响应单位在2个标段中累计成交标段数不得超过1个，评审时，按先开先中的原则，确定该响应单位的成交标段；</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（4）已在先开标段评审中获得了采购文件规定的成交上限数的响应单位，不再具有其余标段的成交权，不计入其余标段的实质性响应单位数量内。</w:t>
      </w:r>
      <w:r>
        <w:rPr>
          <w:color w:val="000000" w:themeColor="text1"/>
          <w:highlight w:val="white"/>
        </w:rPr>
      </w:r>
    </w:p>
    <w:p>
      <w:pPr>
        <w:ind w:left="0"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7、采购需求：</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第一标段：消防维保</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为保障各学校的消防安全，苏州市相城区教育局采购消防维保单位，从而协助各学校消防维保管理，保障各学校的消防系统正常运行，并协助学校落实好安全生产“六化”要求，协助学校开展消防知识教育培训，协助学校开展全员消防安全教育、消防演练，协助完善并培训学校消防志愿骨干队伍。维保期间内须为苏州市相城区教育局提供可远程实时查询维保信息记录等情况。维保期间内配合各学校针对微型消防站等建设制定方案，协助学校推进消防主机联网、联控等工作，同时加强学校消防维保及人员培训。</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第二标段：安防维保</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为保障各学校的安防安全，苏州市相城区教育局采购安防维保单位，从而协助各学校安防维保管理，保障各学校的安防系统正常运行，并协助学校落实安全生产“六化”要求，协助学校开展安防培训和演练，协助完善并培训学校安防志愿骨干队伍。维保期间内须为苏州市相城区教育局提供可远程实时查询维保信息记录等情况。维保期间内配合各学校针对校园安全人工智能等建设制定方案，同时加强学校安防维保及人员培训。</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8、服务时间：一年，具体时间以合同签订为准。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9、本项目不接受联合体。</w:t>
      </w:r>
      <w:bookmarkEnd w:id="14"/>
      <w:r>
        <w:rPr>
          <w:color w:val="000000" w:themeColor="text1"/>
          <w:highlight w:val="white"/>
        </w:rPr>
      </w:r>
      <w:bookmarkEnd w:id="15"/>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color w:val="000000" w:themeColor="text1"/>
          <w:highlight w:val="white"/>
        </w:rPr>
      </w:r>
      <w:bookmarkStart w:id="16" w:name="_Toc58248880"/>
      <w:r>
        <w:rPr>
          <w:color w:val="000000" w:themeColor="text1"/>
          <w:highlight w:val="white"/>
        </w:rPr>
      </w:r>
      <w:bookmarkStart w:id="17" w:name="_Toc6217"/>
      <w:r>
        <w:rPr>
          <w:color w:val="000000" w:themeColor="text1"/>
          <w:highlight w:val="white"/>
        </w:rPr>
      </w:r>
      <w:bookmarkStart w:id="18" w:name="_Toc57376406"/>
      <w:r>
        <w:rPr>
          <w:color w:val="000000" w:themeColor="text1"/>
          <w:highlight w:val="white"/>
        </w:rPr>
      </w:r>
      <w:bookmarkStart w:id="19" w:name="_Toc2412"/>
      <w:r>
        <w:rPr>
          <w:rFonts w:hint="eastAsia" w:ascii="宋体" w:hAnsi="宋体" w:cs="宋体"/>
          <w:b/>
          <w:bCs/>
          <w:color w:val="000000" w:themeColor="text1"/>
          <w:sz w:val="24"/>
          <w:szCs w:val="24"/>
          <w:highlight w:val="white"/>
        </w:rPr>
        <w:t xml:space="preserve">二、申请人的资格要求：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1、满足《中华人民共和国政府采购法》第二十二条规定：</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（1）具有独立承担民事责任的能力；</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（2）具有良好的商业信誉和健全的财务会计制度；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（3）具有履行合同所必需的设备和专业技术能力；</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（4）有依法缴纳税收和社会保障资金的良好记录；</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（5）参加政府采购活动近三年内，在经营活动中没有重大违法记录；</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（6）法律、行政法规规定的其他条件。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3、本项目的特定资格要求：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（1）未被“信用中国”网站（www.creditchina.gov.cn）列入失信被执行人、重大税收违法案件当事人名单、政府采购严重失信行为记录名单。</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三、获取采购文件：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（一）时间：</w:t>
      </w:r>
      <w:r>
        <w:rPr>
          <w:rFonts w:hint="eastAsia" w:ascii="宋体" w:hAnsi="宋体" w:cs="宋体"/>
          <w:color w:val="000000" w:themeColor="text1"/>
          <w:sz w:val="24"/>
          <w:szCs w:val="24"/>
          <w:highlight w:val="white"/>
        </w:rPr>
        <w:t xml:space="preserve">自采购文件公告发布之日起5个工作日</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（二）地点：“苏采云”系统下载（网址：</w:t>
      </w:r>
      <w:r>
        <w:rPr>
          <w:color w:val="000000" w:themeColor="text1"/>
          <w:highlight w:val="white"/>
        </w:rPr>
        <w:fldChar w:fldCharType="begin"/>
      </w:r>
      <w:r>
        <w:rPr>
          <w:color w:val="000000" w:themeColor="text1"/>
          <w:highlight w:val="white"/>
        </w:rPr>
        <w:instrText xml:space="preserve"> HYPERLINK "http://jszfcg.jsczt.cn/）" </w:instrText>
      </w:r>
      <w:r>
        <w:rPr>
          <w:color w:val="000000" w:themeColor="text1"/>
          <w:highlight w:val="white"/>
        </w:rPr>
        <w:fldChar w:fldCharType="separate"/>
      </w:r>
      <w:r>
        <w:rPr>
          <w:rStyle w:val="1001"/>
          <w:rFonts w:hint="eastAsia" w:ascii="宋体" w:hAnsi="宋体" w:cs="宋体"/>
          <w:color w:val="000000" w:themeColor="text1"/>
          <w:sz w:val="24"/>
          <w:szCs w:val="24"/>
          <w:highlight w:val="white"/>
        </w:rPr>
        <w:t xml:space="preserve">http://jszfcg.jsczt.cn/）</w:t>
      </w:r>
      <w:r>
        <w:rPr>
          <w:rStyle w:val="1001"/>
          <w:rFonts w:hint="eastAsia" w:ascii="宋体" w:hAnsi="宋体" w:cs="宋体"/>
          <w:color w:val="000000" w:themeColor="text1"/>
          <w:sz w:val="24"/>
          <w:szCs w:val="24"/>
          <w:highlight w:val="white"/>
        </w:rPr>
        <w:fldChar w:fldCharType="end"/>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（三）方式：网上获取</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1、CA证书办理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szCs w:val="24"/>
          <w:highlight w:val="white"/>
        </w:rPr>
        <w:t xml:space="preserve">苏州现场办理地址：苏州高新区邓尉路105号狮山科技馆1楼服务大厅，咨询电话：0512-65737699。</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2、参与采购活动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3、电子投标准备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4、在系统操作过程中如有疑问，请按以下方式联系：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注册咨询：13914088964；</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CA技术咨询电话：400-608-6099；</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签章使用问题：025-83633811、025-83633812、15380932027、15371015030；</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系统使用指导与咨询：联系电话：</w:t>
      </w:r>
      <w:bookmarkStart w:id="20" w:name="OLE_LINK40"/>
      <w:r>
        <w:rPr>
          <w:color w:val="000000" w:themeColor="text1"/>
          <w:highlight w:val="white"/>
        </w:rPr>
      </w:r>
      <w:bookmarkStart w:id="21" w:name="OLE_LINK39"/>
      <w:r>
        <w:rPr>
          <w:rFonts w:hint="eastAsia" w:ascii="宋体" w:hAnsi="宋体" w:cs="宋体"/>
          <w:color w:val="000000" w:themeColor="text1"/>
          <w:sz w:val="24"/>
          <w:szCs w:val="24"/>
          <w:highlight w:val="white"/>
        </w:rPr>
        <w:t xml:space="preserve">13914088964</w:t>
      </w:r>
      <w:bookmarkEnd w:id="20"/>
      <w:r>
        <w:rPr>
          <w:color w:val="000000" w:themeColor="text1"/>
          <w:highlight w:val="white"/>
        </w:rPr>
      </w:r>
      <w:bookmarkEnd w:id="21"/>
      <w:r>
        <w:rPr>
          <w:rFonts w:hint="eastAsia" w:ascii="宋体" w:hAnsi="宋体" w:cs="宋体"/>
          <w:color w:val="000000" w:themeColor="text1"/>
          <w:sz w:val="24"/>
          <w:szCs w:val="24"/>
          <w:highlight w:val="white"/>
        </w:rPr>
        <w:t xml:space="preserve">、0512-69820854；智能客服：登录苏采云系统后，联系系统右下方智能客服图标进行咨询。</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5、售价：免费获取</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四、提交投标文件截止时间、开标时间和地点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1、提交投标文件截止时间：2026年5月9日09点30分（北京时间）；</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2、开标时间：2026年5月9日09点30分（北京时间）；</w:t>
      </w:r>
      <w:r>
        <w:rPr>
          <w:color w:val="000000" w:themeColor="text1"/>
          <w:highlight w:val="white"/>
        </w:rPr>
      </w:r>
    </w:p>
    <w:p>
      <w:pPr>
        <w:ind w:left="0" w:firstLine="480"/>
        <w:spacing w:line="360" w:lineRule="auto"/>
        <w:widowControl w:val="off"/>
        <w:rPr>
          <w:rFonts w:ascii="宋体" w:hAnsi="宋体" w:cs="宋体"/>
          <w:b/>
          <w:bCs/>
          <w:color w:val="000000" w:themeColor="text1"/>
          <w:sz w:val="24"/>
          <w:szCs w:val="24"/>
          <w:highlight w:val="white"/>
        </w:rPr>
      </w:pPr>
      <w:r>
        <w:rPr>
          <w:rFonts w:hint="eastAsia" w:ascii="宋体" w:hAnsi="宋体" w:cs="宋体"/>
          <w:color w:val="000000" w:themeColor="text1"/>
          <w:sz w:val="24"/>
          <w:szCs w:val="24"/>
          <w:highlight w:val="white"/>
        </w:rPr>
        <w:t xml:space="preserve">3、开标地点：</w:t>
      </w:r>
      <w:r>
        <w:rPr>
          <w:rFonts w:hint="eastAsia" w:ascii="宋体" w:hAnsi="宋体" w:cs="宋体"/>
          <w:b/>
          <w:bCs/>
          <w:color w:val="000000" w:themeColor="text1"/>
          <w:sz w:val="24"/>
          <w:szCs w:val="24"/>
          <w:highlight w:val="white"/>
        </w:rPr>
        <w:t xml:space="preserve">“苏采云”系统（网址：http://jszfcg.jsczt.cn/）</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bCs/>
          <w:color w:val="000000" w:themeColor="text1"/>
          <w:sz w:val="24"/>
          <w:szCs w:val="24"/>
          <w:highlight w:val="white"/>
        </w:rPr>
        <w:t xml:space="preserve">供应商应充分考虑到网络环境、网络带宽等风险因素，如因供应商自身原因造成的电子投标文件上传不成功由供应商自行承担全部责任。</w:t>
      </w:r>
      <w:r>
        <w:rPr>
          <w:color w:val="000000" w:themeColor="text1"/>
          <w:highlight w:val="white"/>
        </w:rPr>
      </w:r>
    </w:p>
    <w:p>
      <w:pPr>
        <w:ind w:left="0" w:firstLine="480"/>
        <w:spacing w:line="360" w:lineRule="auto"/>
        <w:widowControl w:val="off"/>
        <w:rPr>
          <w:rFonts w:ascii="宋体" w:hAnsi="宋体" w:cs="宋体"/>
          <w:b/>
          <w:bCs/>
          <w:color w:val="000000" w:themeColor="text1"/>
          <w:sz w:val="24"/>
          <w:szCs w:val="24"/>
          <w:highlight w:val="white"/>
        </w:rPr>
      </w:pPr>
      <w:r>
        <w:rPr>
          <w:rFonts w:hint="eastAsia" w:ascii="宋体" w:hAnsi="宋体" w:cs="宋体"/>
          <w:color w:val="000000" w:themeColor="text1"/>
          <w:sz w:val="24"/>
          <w:szCs w:val="24"/>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highlight w:val="whit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000000" w:themeColor="text1"/>
          <w:highlight w:val="white"/>
        </w:rPr>
      </w:r>
    </w:p>
    <w:p>
      <w:pPr>
        <w:ind w:left="0" w:firstLine="482"/>
        <w:spacing w:line="360" w:lineRule="auto"/>
        <w:widowControl w:val="off"/>
        <w:rPr>
          <w:rFonts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rPr>
        <w:t xml:space="preserve">请供应商确保电脑、系统及其他设备（视频输入输出设备等）无误，且开标直至项目结束始终保持系统在线状态。</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五、其他补充事宜</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1、为本项目提供整体设计、规范编制或者项目管理、监理、检测等服务的供应商：无。</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2、单位负责人为同一人或者存在直接控股、管理关系的不同供应商，不得参加同一合同项下的政府采购活动。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3、政府采购管理监督电话：0512-67591005、0512-67591006</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4、本采购信息公告媒体：苏州市政府采购网、江苏政府采购网、中国政府采购网。</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5、响应保证金：本项目无需提交响应保证金。项目不收投标（响应）保证金的，投标（响应）人应在投标（响应）文件中提交《投标（响应）保证承诺书》（格式见采购文件第三章）。</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6、本项目获取采购文件截止日期之后仍可以下载采购文件，但截止日期之后下载的采购文件，视为非有效方式且不作为供应商权益受到损害的证明材料和依据。</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7、根据《政府采购促进中小企业发展管理办法》（财库〔2020〕46号）及《中小企业划型标准规定》（工信部联企业〔2011〕300号），本项目采购标的对应的中小企业划分标准所属行业为</w:t>
      </w:r>
      <w:r>
        <w:rPr>
          <w:rFonts w:hint="eastAsia" w:ascii="宋体" w:hAnsi="宋体" w:cs="宋体"/>
          <w:b/>
          <w:bCs/>
          <w:color w:val="000000" w:themeColor="text1"/>
          <w:sz w:val="24"/>
          <w:szCs w:val="24"/>
          <w:highlight w:val="white"/>
        </w:rPr>
        <w:t xml:space="preserve">其他未列明行业。</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8、在机器码检查中，如不同供应商响应文件机器码一致情形的，响应文件将被认定为无效响应。</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9、根据苏州市财政局《关于深入开展苏州市政府采购合同信用融资业务的通知》相关要求，本项目支持政府采购合同信用融资。</w:t>
      </w:r>
      <w:r>
        <w:rPr>
          <w:color w:val="000000" w:themeColor="text1"/>
          <w:highlight w:val="white"/>
        </w:rPr>
      </w:r>
    </w:p>
    <w:tbl>
      <w:tblPr>
        <w:tblStyle w:val="9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jc w:val="center"/>
          <w:trHeight w:val="1434"/>
        </w:trPr>
        <w:tc>
          <w:tcPr>
            <w:tcW w:w="5000" w:type="pct"/>
            <w:textDirection w:val="lrTb"/>
            <w:noWrap w:val="false"/>
          </w:tcPr>
          <w:p>
            <w:pPr>
              <w:ind w:left="0"/>
              <w:jc w:val="center"/>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政府采购合同信用融资政策告知函</w:t>
            </w:r>
            <w:r>
              <w:rPr>
                <w:color w:val="000000" w:themeColor="text1"/>
                <w:highlight w:val="white"/>
              </w:rPr>
            </w:r>
          </w:p>
          <w:p>
            <w:pPr>
              <w:ind w:left="0"/>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各政府采购供应商：</w:t>
            </w:r>
            <w:r>
              <w:rPr>
                <w:color w:val="000000" w:themeColor="text1"/>
                <w:highlight w:val="white"/>
              </w:rPr>
            </w:r>
          </w:p>
          <w:p>
            <w:pPr>
              <w:ind w:left="0" w:firstLine="42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欢迎贵公司参加苏州市政府采购活动！</w:t>
            </w:r>
            <w:r>
              <w:rPr>
                <w:color w:val="000000" w:themeColor="text1"/>
                <w:highlight w:val="white"/>
              </w:rPr>
            </w:r>
          </w:p>
          <w:p>
            <w:pPr>
              <w:ind w:left="0" w:firstLine="42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white"/>
              </w:rPr>
            </w:r>
          </w:p>
        </w:tc>
      </w:tr>
    </w:tbl>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六、凡对本次采购提出询问，请按以下方式联系：</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1、采购人信息</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名    称：苏州市相城区教育局</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    址：苏州市相城区阳澄湖东路8号</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联系方式：0512-85181041（何家瑞）</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2、采购代理机构信息</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名    称：</w:t>
      </w:r>
      <w:r>
        <w:rPr>
          <w:rFonts w:hint="eastAsia" w:ascii="宋体" w:hAnsi="宋体" w:cs="宋体"/>
          <w:color w:val="000000" w:themeColor="text1"/>
          <w:sz w:val="24"/>
          <w:szCs w:val="24"/>
          <w:highlight w:val="white"/>
        </w:rPr>
        <w:t xml:space="preserve">苏州合亿盛工程咨询有限公司</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地    址：</w:t>
      </w:r>
      <w:r>
        <w:rPr>
          <w:rFonts w:hint="eastAsia" w:ascii="宋体" w:hAnsi="宋体" w:cs="宋体"/>
          <w:color w:val="000000" w:themeColor="text1"/>
          <w:sz w:val="24"/>
          <w:szCs w:val="24"/>
          <w:highlight w:val="white"/>
        </w:rPr>
        <w:t xml:space="preserve">苏州市相城区聚茂路185号活力大厦B座502室</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联系方式：</w:t>
      </w:r>
      <w:r>
        <w:rPr>
          <w:rFonts w:hint="eastAsia" w:ascii="宋体" w:hAnsi="宋体" w:cs="宋体"/>
          <w:color w:val="000000" w:themeColor="text1"/>
          <w:sz w:val="24"/>
          <w:szCs w:val="24"/>
          <w:highlight w:val="white"/>
        </w:rPr>
        <w:t xml:space="preserve">0512-67210880</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3、项目联系方式</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项目联系人：</w:t>
      </w:r>
      <w:r>
        <w:rPr>
          <w:rFonts w:hint="eastAsia" w:ascii="宋体" w:hAnsi="宋体" w:cs="宋体"/>
          <w:color w:val="000000" w:themeColor="text1"/>
          <w:sz w:val="24"/>
          <w:szCs w:val="24"/>
          <w:highlight w:val="white"/>
        </w:rPr>
        <w:t xml:space="preserve">徐晓逸/胡欢/吴雯瑜</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电      话：</w:t>
      </w:r>
      <w:r>
        <w:rPr>
          <w:rFonts w:hint="eastAsia" w:ascii="宋体" w:hAnsi="宋体" w:cs="宋体"/>
          <w:color w:val="000000" w:themeColor="text1"/>
          <w:sz w:val="24"/>
          <w:szCs w:val="24"/>
          <w:highlight w:val="white"/>
        </w:rPr>
        <w:t xml:space="preserve">0512-67210880</w:t>
      </w:r>
      <w:r>
        <w:rPr>
          <w:color w:val="000000" w:themeColor="text1"/>
          <w:highlight w:val="white"/>
        </w:rPr>
      </w:r>
    </w:p>
    <w:p>
      <w:pPr>
        <w:pStyle w:val="985"/>
        <w:jc w:val="center"/>
        <w:rPr>
          <w:rFonts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22" w:name="_Toc11400"/>
      <w:r>
        <w:rPr>
          <w:color w:val="000000" w:themeColor="text1"/>
          <w:highlight w:val="white"/>
        </w:rPr>
      </w:r>
      <w:r>
        <w:rPr>
          <w:color w:val="000000" w:themeColor="text1"/>
          <w:highlight w:val="white"/>
        </w:rPr>
      </w:r>
    </w:p>
    <w:p>
      <w:pPr>
        <w:pStyle w:val="985"/>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jc w:val="center"/>
        <w:rPr>
          <w:rFonts w:ascii="宋体" w:hAnsi="宋体" w:cs="宋体"/>
          <w:b/>
          <w:color w:val="000000" w:themeColor="text1"/>
          <w:sz w:val="44"/>
          <w:szCs w:val="44"/>
          <w:highlight w:val="white"/>
        </w:rPr>
      </w:pPr>
      <w:r>
        <w:rPr>
          <w:color w:val="000000" w:themeColor="text1"/>
          <w:highlight w:val="white"/>
        </w:rPr>
      </w:r>
      <w:bookmarkStart w:id="23" w:name="_Toc29635"/>
      <w:r>
        <w:rPr>
          <w:color w:val="000000" w:themeColor="text1"/>
          <w:highlight w:val="white"/>
        </w:rPr>
      </w:r>
      <w:bookmarkStart w:id="24" w:name="_Toc17757"/>
      <w:r>
        <w:rPr>
          <w:rFonts w:hint="eastAsia" w:ascii="宋体" w:hAnsi="宋体" w:cs="宋体"/>
          <w:b/>
          <w:color w:val="000000" w:themeColor="text1"/>
          <w:sz w:val="44"/>
          <w:szCs w:val="44"/>
          <w:highlight w:val="white"/>
        </w:rPr>
        <w:t xml:space="preserve">第二章 </w:t>
      </w:r>
      <w:bookmarkStart w:id="25" w:name="投标人须知"/>
      <w:r>
        <w:rPr>
          <w:color w:val="000000" w:themeColor="text1"/>
          <w:highlight w:val="white"/>
        </w:rPr>
      </w:r>
      <w:bookmarkEnd w:id="25"/>
      <w:r>
        <w:rPr>
          <w:rFonts w:hint="eastAsia" w:ascii="宋体" w:hAnsi="宋体" w:cs="宋体"/>
          <w:b/>
          <w:color w:val="000000" w:themeColor="text1"/>
          <w:sz w:val="44"/>
          <w:szCs w:val="44"/>
          <w:highlight w:val="white"/>
        </w:rPr>
        <w:t xml:space="preserve">磋商须知</w:t>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color w:val="000000" w:themeColor="text1"/>
          <w:highlight w:val="white"/>
        </w:rPr>
      </w:r>
      <w:r>
        <w:rPr>
          <w:color w:val="000000" w:themeColor="text1"/>
          <w:highlight w:val="white"/>
        </w:rPr>
      </w:r>
    </w:p>
    <w:p>
      <w:pPr>
        <w:pStyle w:val="986"/>
        <w:ind w:left="0" w:firstLine="482"/>
        <w:keepNext w:val="0"/>
        <w:spacing w:before="0" w:after="0" w:line="360" w:lineRule="auto"/>
        <w:widowControl w:val="off"/>
        <w:rPr>
          <w:rFonts w:ascii="宋体" w:hAnsi="宋体" w:cs="宋体"/>
          <w:i w:val="0"/>
          <w:iCs w:val="0"/>
          <w:color w:val="000000" w:themeColor="text1"/>
          <w:sz w:val="24"/>
          <w:szCs w:val="24"/>
          <w:highlight w:val="white"/>
        </w:rPr>
      </w:pPr>
      <w:r>
        <w:rPr>
          <w:color w:val="000000" w:themeColor="text1"/>
          <w:highlight w:val="white"/>
        </w:rPr>
      </w:r>
      <w:bookmarkStart w:id="26" w:name="_Toc58248881"/>
      <w:r>
        <w:rPr>
          <w:color w:val="000000" w:themeColor="text1"/>
          <w:highlight w:val="white"/>
        </w:rPr>
      </w:r>
      <w:bookmarkStart w:id="27" w:name="_Toc7264"/>
      <w:r>
        <w:rPr>
          <w:color w:val="000000" w:themeColor="text1"/>
          <w:highlight w:val="white"/>
        </w:rPr>
      </w:r>
      <w:bookmarkStart w:id="28" w:name="_Toc24711"/>
      <w:r>
        <w:rPr>
          <w:color w:val="000000" w:themeColor="text1"/>
          <w:highlight w:val="white"/>
        </w:rPr>
      </w:r>
      <w:bookmarkStart w:id="29" w:name="_Toc57376407"/>
      <w:r>
        <w:rPr>
          <w:rFonts w:hint="eastAsia" w:ascii="宋体" w:hAnsi="宋体" w:cs="宋体"/>
          <w:i w:val="0"/>
          <w:iCs w:val="0"/>
          <w:color w:val="000000" w:themeColor="text1"/>
          <w:sz w:val="24"/>
          <w:szCs w:val="24"/>
          <w:highlight w:val="white"/>
        </w:rPr>
        <w:br w:type="page" w:clear="all"/>
      </w:r>
      <w:bookmarkStart w:id="30" w:name="_Toc16525"/>
      <w:r>
        <w:rPr>
          <w:rFonts w:hint="eastAsia" w:ascii="宋体" w:hAnsi="宋体" w:cs="宋体"/>
          <w:i w:val="0"/>
          <w:iCs w:val="0"/>
          <w:color w:val="000000" w:themeColor="text1"/>
          <w:sz w:val="24"/>
          <w:szCs w:val="24"/>
          <w:highlight w:val="white"/>
        </w:rPr>
        <w:t xml:space="preserve">一、响应文件的组成及要求</w:t>
      </w:r>
      <w:bookmarkEnd w:id="30"/>
      <w:r>
        <w:rPr>
          <w:color w:val="000000" w:themeColor="text1"/>
          <w:highlight w:val="white"/>
        </w:rPr>
      </w:r>
      <w:r>
        <w:rPr>
          <w:color w:val="000000" w:themeColor="text1"/>
          <w:highlight w:val="white"/>
        </w:rPr>
      </w:r>
    </w:p>
    <w:p>
      <w:pPr>
        <w:pStyle w:val="990"/>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（一）文件组成：</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1、响应文件一（报价部分）(格式见第三章)：</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1.1磋商响应函；</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1.2磋商报价表；</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1.3磋商报价明细表；</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1.4法定代表人授权委托书（如有授权）；</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2、响应文件二（资格及技术部分）（部分格式见第三章）：</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2.1关于资格文件的声明函；</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2.2磋商响应单位基本情况表；</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2.3磋商响应单位《营业执照》副本扫描件或相应主体资格证明文件；</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2.4磋商响应单位法定代表人身份证扫描件；</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2.5磋商响应单位代理人身份证扫描件</w:t>
      </w:r>
      <w:r>
        <w:rPr>
          <w:rStyle w:val="1004"/>
          <w:rFonts w:hint="eastAsia" w:ascii="宋体" w:hAnsi="宋体" w:cs="宋体"/>
          <w:color w:val="000000" w:themeColor="text1"/>
          <w:sz w:val="24"/>
          <w:szCs w:val="24"/>
          <w:highlight w:val="white"/>
        </w:rPr>
        <w:t xml:space="preserve">、法定代表人授权委托书</w:t>
      </w:r>
      <w:r>
        <w:rPr>
          <w:rFonts w:hint="eastAsia" w:ascii="宋体" w:hAnsi="宋体" w:cs="宋体"/>
          <w:color w:val="000000" w:themeColor="text1"/>
          <w:sz w:val="24"/>
          <w:szCs w:val="24"/>
          <w:highlight w:val="white"/>
        </w:rPr>
        <w:t xml:space="preserve">（如有授权）；</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w:t>
      </w:r>
      <w:r>
        <w:rPr>
          <w:rStyle w:val="1004"/>
          <w:rFonts w:hint="eastAsia" w:ascii="宋体" w:hAnsi="宋体" w:cs="宋体"/>
          <w:color w:val="000000" w:themeColor="text1"/>
          <w:sz w:val="24"/>
          <w:szCs w:val="24"/>
          <w:highlight w:val="white"/>
        </w:rPr>
        <w:t xml:space="preserve">合格供应商的基本条件、特定条件所需提供的相应证明材料，具体包括：</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2.6.1具有独立承担民事责任的能力证明。包括法人或者其他组织的营业执照等证明文件，自然人的身份证明；</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2.6.2具有良好的商业信誉和健全的财务会计制度证明。包括但不限于最近一期经审计的财务报告，其他组织、自然人及成立未满一年的法人应提供银行出具的资信证明；</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2.6.3</w:t>
      </w:r>
      <w:r>
        <w:rPr>
          <w:rStyle w:val="1004"/>
          <w:rFonts w:hint="eastAsia" w:ascii="宋体" w:hAnsi="宋体" w:cs="宋体"/>
          <w:color w:val="000000" w:themeColor="text1"/>
          <w:sz w:val="24"/>
          <w:szCs w:val="24"/>
          <w:highlight w:val="white"/>
        </w:rPr>
        <w:t xml:space="preserve">履行合同所必备的设备和专业技术能力的证明材料。包括履行合同所必需的设备和专业技术能力的书面声明等材料；</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2.6.4有依法缴纳税收和社会保障资金的良好记录。</w:t>
      </w:r>
      <w:r>
        <w:rPr>
          <w:rStyle w:val="1004"/>
          <w:rFonts w:hint="eastAsia" w:ascii="宋体" w:hAnsi="宋体" w:cs="宋体"/>
          <w:color w:val="000000" w:themeColor="text1"/>
          <w:sz w:val="24"/>
          <w:szCs w:val="24"/>
          <w:highlight w:val="whit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2.6.5参加政府采购活动前三年内在经营活动中没有重大违法记录的书面声明函；</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2.6.6磋商响应单位证明其为合格供应商所具备的法律、行政法规规定的其他条件的证明材料：按照相关法律法规参与本项目所必须取得国家有关主管部门的行政许可（如有）；</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2.6.7特定资格要求：</w:t>
      </w:r>
      <w:r>
        <w:rPr>
          <w:color w:val="000000" w:themeColor="text1"/>
          <w:highlight w:val="white"/>
        </w:rPr>
      </w:r>
    </w:p>
    <w:p>
      <w:pPr>
        <w:ind w:left="0" w:firstLine="480"/>
        <w:spacing w:line="360" w:lineRule="auto"/>
        <w:widowControl w:val="off"/>
        <w:rPr>
          <w:rStyle w:val="1012"/>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2.6.7</w:t>
      </w:r>
      <w:r>
        <w:rPr>
          <w:rStyle w:val="1012"/>
          <w:rFonts w:hint="eastAsia" w:ascii="宋体" w:hAnsi="宋体" w:cs="宋体"/>
          <w:color w:val="000000" w:themeColor="text1"/>
          <w:sz w:val="24"/>
          <w:szCs w:val="24"/>
          <w:highlight w:val="white"/>
        </w:rPr>
        <w:t xml:space="preserve">.1未被“信用中国”网站（www.creditchina.gov.cn）列入失信被执行人、重大税收违法案件当事人名单、政府采购严重失信行为记录名单。</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2.6.8《中小企业声明函》或《残疾人福利性单位声明函》或省级以上监狱管理局、戒毒管理局（含新疆生产建设兵团）出具的属于监狱企业的证明文件。</w:t>
      </w:r>
      <w:r>
        <w:rPr>
          <w:color w:val="000000" w:themeColor="text1"/>
          <w:highlight w:val="white"/>
        </w:rPr>
      </w:r>
    </w:p>
    <w:p>
      <w:pPr>
        <w:ind w:left="0" w:firstLine="482"/>
        <w:spacing w:line="360" w:lineRule="auto"/>
        <w:widowControl w:val="off"/>
        <w:rPr>
          <w:rStyle w:val="1004"/>
          <w:rFonts w:ascii="宋体" w:hAnsi="宋体" w:cs="宋体"/>
          <w:b/>
          <w:color w:val="000000" w:themeColor="text1"/>
          <w:sz w:val="24"/>
          <w:szCs w:val="24"/>
          <w:highlight w:val="white"/>
        </w:rPr>
      </w:pPr>
      <w:r>
        <w:rPr>
          <w:rStyle w:val="1004"/>
          <w:rFonts w:hint="eastAsia" w:ascii="宋体" w:hAnsi="宋体" w:cs="宋体"/>
          <w:b/>
          <w:color w:val="000000" w:themeColor="text1"/>
          <w:sz w:val="24"/>
          <w:szCs w:val="24"/>
          <w:highlight w:val="white"/>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2.7</w:t>
      </w:r>
      <w:r>
        <w:rPr>
          <w:rStyle w:val="1004"/>
          <w:rFonts w:hint="eastAsia" w:ascii="宋体" w:hAnsi="宋体"/>
          <w:color w:val="000000" w:themeColor="text1"/>
          <w:sz w:val="24"/>
          <w:szCs w:val="24"/>
          <w:highlight w:val="white"/>
        </w:rPr>
        <w:t xml:space="preserve">《实施方案》；</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2.8《拟投入本项目人员配备一览表》；</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2.9《商务条款偏离表》</w:t>
      </w:r>
      <w:r>
        <w:rPr>
          <w:rStyle w:val="1004"/>
          <w:rFonts w:ascii="宋体" w:hAnsi="宋体"/>
          <w:color w:val="000000" w:themeColor="text1"/>
          <w:szCs w:val="24"/>
          <w:highlight w:val="white"/>
        </w:rPr>
        <w:t xml:space="preserve">《服务要求偏离表》</w:t>
      </w:r>
      <w:r>
        <w:rPr>
          <w:rStyle w:val="1004"/>
          <w:rFonts w:hint="eastAsia" w:ascii="宋体" w:hAnsi="宋体" w:cs="宋体"/>
          <w:color w:val="000000" w:themeColor="text1"/>
          <w:szCs w:val="24"/>
          <w:highlight w:val="white"/>
        </w:rPr>
        <w:t xml:space="preserve">；</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2.10《投标（响应）保证承诺书》《磋商响应单位与其他单位存在控股、管理关系情况表》；</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2.11磋商采购文件中要求必须提供的其他相关证明材料；</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2.12</w:t>
      </w:r>
      <w:r>
        <w:rPr>
          <w:rFonts w:hint="eastAsia" w:ascii="宋体" w:hAnsi="宋体" w:cs="宋体"/>
          <w:color w:val="000000" w:themeColor="text1"/>
          <w:szCs w:val="24"/>
          <w:highlight w:val="white"/>
        </w:rPr>
        <w:t xml:space="preserve">《企业类似项目一览表》</w:t>
      </w:r>
      <w:r>
        <w:rPr>
          <w:rStyle w:val="1004"/>
          <w:rFonts w:hint="eastAsia" w:ascii="宋体" w:hAnsi="宋体" w:cs="宋体"/>
          <w:color w:val="000000" w:themeColor="text1"/>
          <w:szCs w:val="24"/>
          <w:highlight w:val="white"/>
        </w:rPr>
        <w:t xml:space="preserve">；</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2.13其它有关资格证明文件：</w:t>
      </w:r>
      <w:r>
        <w:rPr>
          <w:color w:val="000000" w:themeColor="text1"/>
          <w:highlight w:val="white"/>
        </w:rPr>
      </w:r>
    </w:p>
    <w:p>
      <w:pPr>
        <w:pStyle w:val="1006"/>
        <w:ind w:left="0" w:firstLine="480"/>
        <w:jc w:val="both"/>
        <w:spacing w:line="360" w:lineRule="auto"/>
        <w:widowControl w:val="off"/>
        <w:tabs>
          <w:tab w:val="left" w:pos="0" w:leader="none"/>
        </w:tabs>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2.13.1其他可以证明磋商供应商资信、资质和货物、服务质量的证书、文件、推荐信等资料。</w:t>
      </w:r>
      <w:r>
        <w:rPr>
          <w:color w:val="000000" w:themeColor="text1"/>
          <w:highlight w:val="white"/>
        </w:rPr>
      </w:r>
    </w:p>
    <w:p>
      <w:pPr>
        <w:pStyle w:val="990"/>
        <w:ind w:left="0" w:firstLine="482"/>
        <w:spacing w:line="360" w:lineRule="auto"/>
        <w:widowControl w:val="off"/>
        <w:rPr>
          <w:rStyle w:val="1004"/>
          <w:rFonts w:ascii="宋体" w:hAnsi="宋体" w:cs="宋体"/>
          <w:b/>
          <w:color w:val="000000" w:themeColor="text1"/>
          <w:sz w:val="24"/>
          <w:szCs w:val="24"/>
          <w:highlight w:val="white"/>
        </w:rPr>
        <w:outlineLvl w:val="1"/>
      </w:pPr>
      <w:r>
        <w:rPr>
          <w:color w:val="000000" w:themeColor="text1"/>
          <w:highlight w:val="white"/>
        </w:rPr>
      </w:r>
      <w:bookmarkStart w:id="31" w:name="_Toc5566"/>
      <w:r>
        <w:rPr>
          <w:rStyle w:val="1004"/>
          <w:rFonts w:hint="eastAsia" w:ascii="宋体" w:hAnsi="宋体" w:cs="宋体"/>
          <w:b/>
          <w:color w:val="000000" w:themeColor="text1"/>
          <w:sz w:val="24"/>
          <w:szCs w:val="24"/>
          <w:highlight w:val="white"/>
        </w:rPr>
        <w:t xml:space="preserve">注1：以上2.6为资格审查要求提供的材料，是作为对供应商资格审查、质疑身份认定的依据，响应供应商必须提供并加盖电子公章。否则，磋商响应文件将被认定为不符合资格审查要求。</w:t>
      </w:r>
      <w:r>
        <w:rPr>
          <w:color w:val="000000" w:themeColor="text1"/>
          <w:highlight w:val="white"/>
        </w:rPr>
      </w:r>
    </w:p>
    <w:p>
      <w:pPr>
        <w:pStyle w:val="990"/>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注2：以上1.1-2.5,2.7-2.11为符合性审查须提供的资料，响应供应商必须提供并加盖电子公章。否则，磋商响应文件将被认定为未实质性响应。</w:t>
      </w:r>
      <w:r>
        <w:rPr>
          <w:color w:val="000000" w:themeColor="text1"/>
          <w:highlight w:val="white"/>
        </w:rPr>
      </w:r>
    </w:p>
    <w:p>
      <w:pPr>
        <w:pStyle w:val="990"/>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注3：制作电子响应文件时必须与投标文件制作软件目录一一对应，将相关资料上传至相应模块。</w:t>
      </w:r>
      <w:r>
        <w:rPr>
          <w:color w:val="000000" w:themeColor="text1"/>
          <w:highlight w:val="white"/>
        </w:rPr>
      </w:r>
    </w:p>
    <w:p>
      <w:pPr>
        <w:pStyle w:val="990"/>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p>
    <w:p>
      <w:pPr>
        <w:pStyle w:val="990"/>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二、磋商程序</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1、采购代理机构按本须知规定的时间、地点主持磋商采购活动。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2、供应商通过“苏采云”系统在线参与磋商活动。供应商应当按照《苏采云系统供应商操作手册》规定在“苏采云”系统规定的时间内对响应文件进行解密。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3、在磋商响应文件网上递交截止时间止成功解密的磋商供应商少于三家，则本次采购失败。</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4、由磋商小组审查供应商解密的响应文件。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6、磋商小组要求供应商澄清、说明或者更正响应文件应当以书面形式做出。供应商的澄清、说明或者更正应当由其单位加盖电子公章。</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9、</w:t>
      </w:r>
      <w:r>
        <w:rPr>
          <w:rFonts w:hint="eastAsia" w:ascii="宋体" w:hAnsi="宋体" w:cs="宋体"/>
          <w:b/>
          <w:color w:val="000000" w:themeColor="text1"/>
          <w:sz w:val="24"/>
          <w:szCs w:val="24"/>
          <w:highlight w:val="whit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p>
    <w:p>
      <w:pPr>
        <w:ind w:left="0" w:firstLine="480"/>
        <w:spacing w:line="360" w:lineRule="auto"/>
        <w:widowControl w:val="off"/>
        <w:rPr>
          <w:rFonts w:ascii="宋体" w:hAnsi="宋体" w:cs="宋体"/>
          <w:b/>
          <w:bCs/>
          <w:color w:val="000000" w:themeColor="text1"/>
          <w:sz w:val="24"/>
          <w:szCs w:val="24"/>
          <w:highlight w:val="white"/>
        </w:rPr>
      </w:pPr>
      <w:r>
        <w:rPr>
          <w:rFonts w:hint="eastAsia" w:ascii="宋体" w:hAnsi="宋体" w:cs="宋体"/>
          <w:color w:val="000000" w:themeColor="text1"/>
          <w:sz w:val="24"/>
          <w:szCs w:val="24"/>
          <w:highlight w:val="whit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highlight w:val="white"/>
        </w:rPr>
        <w:t xml:space="preserve">（此处规定时间的计算以系统中的倒计时间为准，系统中的线上最后报价只有一次机会，提交后无法撤回，请供应商慎重提交）</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已提交响应文件的供应商，在提交最后报价之前，可以根据磋商情况退出磋商，并在“苏采云”系统中提交“退出磋商函”并加盖CA电子公章。</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*进入项目评审流程后，建议各供应商法定代表人或授权委托人始终保持通讯顺畅，时刻关注不见面开标大厅，不离开不见面开标大厅。</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color w:val="000000" w:themeColor="text1"/>
          <w:highlight w:val="white"/>
        </w:rPr>
      </w:r>
      <w:bookmarkStart w:id="32" w:name="OLE_LINK20"/>
      <w:r>
        <w:rPr>
          <w:rFonts w:hint="eastAsia" w:ascii="宋体" w:hAnsi="宋体" w:cs="宋体"/>
          <w:b/>
          <w:bCs/>
          <w:color w:val="000000" w:themeColor="text1"/>
          <w:sz w:val="24"/>
          <w:szCs w:val="24"/>
          <w:highlight w:val="white"/>
          <w:lang w:val="zh-CN"/>
        </w:rPr>
        <w:t xml:space="preserve">11、</w:t>
      </w:r>
      <w:r>
        <w:rPr>
          <w:rFonts w:hint="eastAsia" w:ascii="宋体" w:hAnsi="宋体" w:cs="宋体"/>
          <w:b/>
          <w:bCs/>
          <w:color w:val="000000" w:themeColor="text1"/>
          <w:sz w:val="24"/>
          <w:szCs w:val="24"/>
          <w:highlight w:val="white"/>
        </w:rPr>
        <w:t xml:space="preserve">政府采购</w:t>
      </w:r>
      <w:r>
        <w:rPr>
          <w:rFonts w:hint="eastAsia" w:ascii="宋体" w:hAnsi="宋体" w:cs="宋体"/>
          <w:b/>
          <w:bCs/>
          <w:color w:val="000000" w:themeColor="text1"/>
          <w:sz w:val="24"/>
          <w:szCs w:val="24"/>
          <w:highlight w:val="white"/>
          <w:lang w:val="zh-CN"/>
        </w:rPr>
        <w:t xml:space="preserve">异常低价投标审查</w:t>
      </w:r>
      <w:bookmarkEnd w:id="32"/>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color w:val="000000" w:themeColor="text1"/>
          <w:highlight w:val="white"/>
        </w:rPr>
      </w:r>
      <w:bookmarkStart w:id="33" w:name="OLE_LINK36"/>
      <w:r>
        <w:rPr>
          <w:rFonts w:ascii="宋体" w:hAnsi="宋体" w:cs="宋体"/>
          <w:b/>
          <w:bCs/>
          <w:color w:val="000000" w:themeColor="text1"/>
          <w:sz w:val="24"/>
          <w:szCs w:val="24"/>
          <w:highlight w:val="white"/>
        </w:rPr>
        <w:t xml:space="preserve">11.</w:t>
      </w:r>
      <w:bookmarkEnd w:id="33"/>
      <w:r>
        <w:rPr>
          <w:rFonts w:ascii="宋体" w:hAnsi="宋体" w:cs="宋体"/>
          <w:b/>
          <w:bCs/>
          <w:color w:val="000000" w:themeColor="text1"/>
          <w:sz w:val="24"/>
          <w:szCs w:val="24"/>
          <w:highlight w:val="white"/>
        </w:rPr>
        <w:t xml:space="preserve">1</w:t>
      </w:r>
      <w:r>
        <w:rPr>
          <w:rFonts w:hint="eastAsia" w:ascii="宋体" w:hAnsi="宋体" w:cs="宋体"/>
          <w:b/>
          <w:bCs/>
          <w:color w:val="000000" w:themeColor="text1"/>
          <w:sz w:val="24"/>
          <w:szCs w:val="24"/>
          <w:highlight w:val="white"/>
        </w:rPr>
        <w:t xml:space="preserve">评审过程中出现下列情形之一的，磋商小组应当启动异常低价响应审查程序：</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（1）响应报价低于全部通过符合性审查供应商响应报价平均值50%的，即响应报价&lt;全部通过符合性审查供应商响应报价平均值×50%；</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（2）响应报价低于通过符合性审查的次低报价供应商响应报价50%的，即响应报价&lt;通过符合性审查的次低报价供应商响应报价×50%；</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w:t>
      </w:r>
      <w:r>
        <w:rPr>
          <w:rFonts w:ascii="宋体" w:hAnsi="宋体" w:cs="宋体"/>
          <w:b/>
          <w:bCs/>
          <w:color w:val="000000" w:themeColor="text1"/>
          <w:sz w:val="24"/>
          <w:szCs w:val="24"/>
          <w:highlight w:val="white"/>
        </w:rPr>
        <w:t xml:space="preserve">3</w:t>
      </w:r>
      <w:r>
        <w:rPr>
          <w:rFonts w:hint="eastAsia" w:ascii="宋体" w:hAnsi="宋体" w:cs="宋体"/>
          <w:b/>
          <w:bCs/>
          <w:color w:val="000000" w:themeColor="text1"/>
          <w:sz w:val="24"/>
          <w:szCs w:val="24"/>
          <w:highlight w:val="white"/>
        </w:rPr>
        <w:t xml:space="preserve">）</w:t>
      </w:r>
      <w:bookmarkStart w:id="34" w:name="OLE_LINK27"/>
      <w:r>
        <w:rPr>
          <w:color w:val="000000" w:themeColor="text1"/>
          <w:highlight w:val="white"/>
        </w:rPr>
      </w:r>
      <w:bookmarkStart w:id="35" w:name="OLE_LINK28"/>
      <w:r>
        <w:rPr>
          <w:rFonts w:hint="eastAsia" w:ascii="宋体" w:hAnsi="宋体" w:cs="宋体"/>
          <w:b/>
          <w:bCs/>
          <w:color w:val="000000" w:themeColor="text1"/>
          <w:sz w:val="24"/>
          <w:szCs w:val="24"/>
          <w:highlight w:val="white"/>
        </w:rPr>
        <w:t xml:space="preserve">响应报价</w:t>
      </w:r>
      <w:bookmarkEnd w:id="34"/>
      <w:r>
        <w:rPr>
          <w:color w:val="000000" w:themeColor="text1"/>
          <w:highlight w:val="white"/>
        </w:rPr>
      </w:r>
      <w:bookmarkEnd w:id="35"/>
      <w:r>
        <w:rPr>
          <w:rFonts w:hint="eastAsia" w:ascii="宋体" w:hAnsi="宋体" w:cs="宋体"/>
          <w:b/>
          <w:bCs/>
          <w:color w:val="000000" w:themeColor="text1"/>
          <w:sz w:val="24"/>
          <w:szCs w:val="24"/>
          <w:highlight w:val="white"/>
        </w:rPr>
        <w:t xml:space="preserve">低于采购项目最高限价45%的，即响应报价&lt;采购项目最高限价×45%；</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w:t>
      </w:r>
      <w:r>
        <w:rPr>
          <w:rFonts w:ascii="宋体" w:hAnsi="宋体" w:cs="宋体"/>
          <w:b/>
          <w:bCs/>
          <w:color w:val="000000" w:themeColor="text1"/>
          <w:sz w:val="24"/>
          <w:szCs w:val="24"/>
          <w:highlight w:val="white"/>
        </w:rPr>
        <w:t xml:space="preserve">4</w:t>
      </w:r>
      <w:r>
        <w:rPr>
          <w:rFonts w:hint="eastAsia" w:ascii="宋体" w:hAnsi="宋体" w:cs="宋体"/>
          <w:b/>
          <w:bCs/>
          <w:color w:val="000000" w:themeColor="text1"/>
          <w:sz w:val="24"/>
          <w:szCs w:val="24"/>
          <w:highlight w:val="white"/>
        </w:rPr>
        <w:t xml:space="preserve">）</w:t>
      </w:r>
      <w:bookmarkStart w:id="36" w:name="OLE_LINK4"/>
      <w:r>
        <w:rPr>
          <w:color w:val="000000" w:themeColor="text1"/>
          <w:highlight w:val="white"/>
        </w:rPr>
      </w:r>
      <w:bookmarkStart w:id="37" w:name="OLE_LINK3"/>
      <w:r>
        <w:rPr>
          <w:rFonts w:hint="eastAsia" w:ascii="宋体" w:hAnsi="宋体" w:cs="宋体"/>
          <w:b/>
          <w:bCs/>
          <w:color w:val="000000" w:themeColor="text1"/>
          <w:sz w:val="24"/>
          <w:szCs w:val="24"/>
          <w:highlight w:val="white"/>
        </w:rPr>
        <w:t xml:space="preserve">磋商小组基于专业判断，认为供应商报价过低，有可能影响产品质量或者不能诚信履约的其他情形。</w:t>
      </w:r>
      <w:bookmarkEnd w:id="36"/>
      <w:r>
        <w:rPr>
          <w:color w:val="000000" w:themeColor="text1"/>
          <w:highlight w:val="white"/>
        </w:rPr>
      </w:r>
      <w:bookmarkEnd w:id="37"/>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t xml:space="preserve">11.</w:t>
      </w:r>
      <w:r>
        <w:rPr>
          <w:rFonts w:hint="eastAsia" w:ascii="宋体" w:hAnsi="宋体" w:cs="宋体"/>
          <w:b/>
          <w:bCs/>
          <w:color w:val="000000" w:themeColor="text1"/>
          <w:sz w:val="24"/>
          <w:szCs w:val="24"/>
          <w:highlight w:val="white"/>
          <w:lang w:val="zh-CN"/>
        </w:rPr>
        <w:t xml:space="preserve">2启动异常低价响应审查后，</w:t>
      </w:r>
      <w:bookmarkStart w:id="38" w:name="OLE_LINK44"/>
      <w:r>
        <w:rPr>
          <w:color w:val="000000" w:themeColor="text1"/>
          <w:highlight w:val="white"/>
        </w:rPr>
      </w:r>
      <w:bookmarkStart w:id="39" w:name="OLE_LINK37"/>
      <w:r>
        <w:rPr>
          <w:rFonts w:hint="eastAsia" w:ascii="宋体" w:hAnsi="宋体" w:cs="宋体"/>
          <w:b/>
          <w:bCs/>
          <w:color w:val="000000" w:themeColor="text1"/>
          <w:sz w:val="24"/>
          <w:szCs w:val="24"/>
          <w:highlight w:val="white"/>
          <w:lang w:val="zh-CN"/>
        </w:rPr>
        <w:t xml:space="preserve">磋商小组</w:t>
      </w:r>
      <w:bookmarkEnd w:id="38"/>
      <w:r>
        <w:rPr>
          <w:color w:val="000000" w:themeColor="text1"/>
          <w:highlight w:val="white"/>
        </w:rPr>
      </w:r>
      <w:bookmarkEnd w:id="39"/>
      <w:r>
        <w:rPr>
          <w:rFonts w:hint="eastAsia" w:ascii="宋体" w:hAnsi="宋体" w:cs="宋体"/>
          <w:b/>
          <w:bCs/>
          <w:color w:val="000000" w:themeColor="text1"/>
          <w:sz w:val="24"/>
          <w:szCs w:val="24"/>
          <w:highlight w:val="white"/>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应当要求相关供应商在评审现场合理的时间内对响应价格作出解释，提供项目具体成本测算等与报价合理性相关的书面说明及相关证明材料，包括但不限于原材料成本、人工成本、制造费用等。其中，属于</w:t>
      </w:r>
      <w:r>
        <w:rPr>
          <w:rFonts w:ascii="宋体" w:hAnsi="宋体" w:cs="宋体"/>
          <w:b/>
          <w:bCs/>
          <w:color w:val="000000" w:themeColor="text1"/>
          <w:sz w:val="24"/>
          <w:szCs w:val="24"/>
          <w:highlight w:val="white"/>
          <w:lang w:val="zh-CN"/>
        </w:rPr>
        <w:t xml:space="preserve">11</w:t>
      </w:r>
      <w:r>
        <w:rPr>
          <w:rFonts w:hint="eastAsia" w:ascii="宋体" w:hAnsi="宋体" w:cs="宋体"/>
          <w:b/>
          <w:bCs/>
          <w:color w:val="000000" w:themeColor="text1"/>
          <w:sz w:val="24"/>
          <w:szCs w:val="24"/>
          <w:highlight w:val="white"/>
          <w:lang w:val="zh-CN"/>
        </w:rPr>
        <w:t xml:space="preserve">.1第（3）项情形，供应商已随响应文件一并提交相关书面说明及必要的证明材料的，在评审现场可不再重复提交。</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t xml:space="preserve">11.</w:t>
      </w:r>
      <w:r>
        <w:rPr>
          <w:rFonts w:hint="eastAsia" w:ascii="宋体" w:hAnsi="宋体" w:cs="宋体"/>
          <w:b/>
          <w:bCs/>
          <w:color w:val="000000" w:themeColor="text1"/>
          <w:sz w:val="24"/>
          <w:szCs w:val="24"/>
          <w:highlight w:val="white"/>
          <w:lang w:val="zh-CN"/>
        </w:rPr>
        <w:t xml:space="preserve">3</w:t>
      </w:r>
      <w:bookmarkStart w:id="40" w:name="OLE_LINK46"/>
      <w:r>
        <w:rPr>
          <w:color w:val="000000" w:themeColor="text1"/>
          <w:highlight w:val="white"/>
        </w:rPr>
      </w:r>
      <w:bookmarkStart w:id="41" w:name="OLE_LINK47"/>
      <w:r>
        <w:rPr>
          <w:color w:val="000000" w:themeColor="text1"/>
          <w:highlight w:val="white"/>
        </w:rPr>
      </w:r>
      <w:bookmarkStart w:id="42" w:name="OLE_LINK45"/>
      <w:r>
        <w:rPr>
          <w:rFonts w:hint="eastAsia" w:ascii="宋体" w:hAnsi="宋体" w:cs="宋体"/>
          <w:b/>
          <w:bCs/>
          <w:color w:val="000000" w:themeColor="text1"/>
          <w:sz w:val="24"/>
          <w:szCs w:val="24"/>
          <w:highlight w:val="white"/>
          <w:lang w:val="zh-CN"/>
        </w:rPr>
        <w:t xml:space="preserve">磋商小组</w:t>
      </w:r>
      <w:bookmarkEnd w:id="40"/>
      <w:r>
        <w:rPr>
          <w:color w:val="000000" w:themeColor="text1"/>
          <w:highlight w:val="white"/>
        </w:rPr>
      </w:r>
      <w:bookmarkEnd w:id="41"/>
      <w:r>
        <w:rPr>
          <w:color w:val="000000" w:themeColor="text1"/>
          <w:highlight w:val="white"/>
        </w:rPr>
      </w:r>
      <w:bookmarkEnd w:id="42"/>
      <w:r>
        <w:rPr>
          <w:rFonts w:hint="eastAsia" w:ascii="宋体" w:hAnsi="宋体" w:cs="宋体"/>
          <w:b/>
          <w:bCs/>
          <w:color w:val="000000" w:themeColor="text1"/>
          <w:sz w:val="24"/>
          <w:szCs w:val="24"/>
          <w:highlight w:val="white"/>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t xml:space="preserve">11.</w:t>
      </w:r>
      <w:r>
        <w:rPr>
          <w:rFonts w:hint="eastAsia" w:ascii="宋体" w:hAnsi="宋体" w:cs="宋体"/>
          <w:b/>
          <w:bCs/>
          <w:color w:val="000000" w:themeColor="text1"/>
          <w:sz w:val="24"/>
          <w:szCs w:val="24"/>
          <w:highlight w:val="white"/>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12、经磋商确定最终采购需求和提交最后报价的供应商后，由磋商小组采用综合评分法对提交最后报价的供应商的响应文件和最后报价进行综合评分。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13、磋商小组根据磋商成交原则确定成交供应商，并将结果通知所有参加磋商的供应商。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14、如磋商过程中出现本采购文件未尽事宜，由磋商小组根据政府采购有关法律、法规讨论决定。</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三、磋商说明</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rPr>
        <w:t xml:space="preserve">不符合供应商资格要求的响应文件将被认定为无效响应；</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2、响应文件签署不符合要求的，响应文件将被拒绝；</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3、在机器码检查中，如不同供应商响应文件机器码一致情形的，响应文件将被认定为无效响应；</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4、二次报价超过采购预算</w:t>
      </w:r>
      <w:r>
        <w:rPr>
          <w:rFonts w:hint="eastAsia" w:ascii="宋体" w:hAnsi="宋体" w:cs="宋体"/>
          <w:color w:val="000000" w:themeColor="text1"/>
          <w:sz w:val="24"/>
          <w:szCs w:val="24"/>
          <w:highlight w:val="white"/>
          <w:lang w:val="zh-CN"/>
        </w:rPr>
        <w:t xml:space="preserve">或者最高限价</w:t>
      </w:r>
      <w:r>
        <w:rPr>
          <w:rFonts w:hint="eastAsia" w:ascii="宋体" w:hAnsi="宋体" w:cs="宋体"/>
          <w:color w:val="000000" w:themeColor="text1"/>
          <w:sz w:val="24"/>
          <w:szCs w:val="24"/>
          <w:highlight w:val="white"/>
        </w:rPr>
        <w:t xml:space="preserve">的，不能成交；</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5、不实质性响应采购文件的不能成交。</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四、质疑</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color w:val="000000" w:themeColor="text1"/>
          <w:highlight w:val="white"/>
        </w:rPr>
      </w:r>
      <w:bookmarkStart w:id="43" w:name="_Toc31942"/>
      <w:r>
        <w:rPr>
          <w:rFonts w:hint="eastAsia" w:ascii="宋体" w:hAnsi="宋体" w:cs="宋体"/>
          <w:color w:val="000000" w:themeColor="text1"/>
          <w:sz w:val="24"/>
          <w:szCs w:val="24"/>
          <w:highlight w:val="whit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2、本次采购文件要求供应商在法定质疑期内一次性提出针对同一采购程序环节的质疑。</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3</w:t>
      </w:r>
      <w:r>
        <w:rPr>
          <w:rFonts w:hint="eastAsia" w:ascii="宋体" w:hAnsi="宋体" w:cs="宋体"/>
          <w:color w:val="000000" w:themeColor="text1"/>
          <w:sz w:val="24"/>
          <w:szCs w:val="24"/>
          <w:highlight w:val="white"/>
        </w:rPr>
        <w:t xml:space="preserve">、供应商提出质疑应当提交质疑函和必要的证明材料，质疑函应当包括下列内容：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（1）供应商的姓名或者名称（以提供的营业执照副本</w:t>
      </w:r>
      <w:r>
        <w:rPr>
          <w:rFonts w:hint="eastAsia" w:ascii="宋体" w:hAnsi="宋体" w:cs="宋体"/>
          <w:color w:val="000000" w:themeColor="text1"/>
          <w:sz w:val="24"/>
          <w:szCs w:val="24"/>
          <w:highlight w:val="white"/>
        </w:rPr>
        <w:t xml:space="preserve">扫描件</w:t>
      </w:r>
      <w:r>
        <w:rPr>
          <w:rFonts w:hint="eastAsia" w:ascii="宋体" w:hAnsi="宋体" w:cs="宋体"/>
          <w:color w:val="000000" w:themeColor="text1"/>
          <w:sz w:val="24"/>
          <w:szCs w:val="24"/>
          <w:highlight w:val="white"/>
        </w:rPr>
        <w:t xml:space="preserve">为准）、地址、邮编、联系人及联系电话；</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（2）质疑项目的名称、编号；</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（3）具体、明确的质疑事项和与质疑事项相关的请求；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（4）事实依据；</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（5）必要的法律依据；</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（6）提出质疑的日期。</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highlight w:val="white"/>
        </w:rPr>
      </w:r>
    </w:p>
    <w:p>
      <w:pPr>
        <w:ind w:left="0" w:firstLine="482"/>
        <w:spacing w:line="360" w:lineRule="auto"/>
        <w:widowControl w:val="off"/>
        <w:rPr>
          <w:b/>
          <w:color w:val="000000" w:themeColor="text1"/>
          <w:sz w:val="24"/>
          <w:szCs w:val="24"/>
          <w:highlight w:val="white"/>
        </w:rPr>
      </w:pPr>
      <w:r>
        <w:rPr>
          <w:rFonts w:hint="eastAsia"/>
          <w:b/>
          <w:color w:val="000000" w:themeColor="text1"/>
          <w:sz w:val="24"/>
          <w:szCs w:val="24"/>
          <w:highlight w:val="white"/>
        </w:rPr>
        <w:t xml:space="preserve">供应商提交的质疑函必须按照《政府采购供应商质疑函范本》要求的格式和内容进行填写，质疑函范本下载网址详见链接：</w:t>
      </w:r>
      <w:r>
        <w:rPr>
          <w:rFonts w:hint="eastAsia" w:ascii="宋体" w:hAnsi="宋体"/>
          <w:b/>
          <w:color w:val="000000" w:themeColor="text1"/>
          <w:sz w:val="24"/>
          <w:szCs w:val="24"/>
          <w:highlight w:val="white"/>
        </w:rPr>
        <w:t xml:space="preserve">https://czju.suzhou.gov.cn/zfcg/html/content/20180305093615738.shtml</w:t>
      </w:r>
      <w:r>
        <w:rPr>
          <w:rFonts w:hint="eastAsia" w:ascii="宋体" w:hAnsi="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ascii="宋体" w:hAnsi="宋体"/>
          <w:b/>
          <w:color w:val="000000" w:themeColor="text1"/>
          <w:sz w:val="24"/>
          <w:szCs w:val="24"/>
          <w:highlight w:val="white"/>
        </w:rPr>
      </w:pPr>
      <w:r>
        <w:rPr>
          <w:rFonts w:ascii="宋体" w:hAnsi="宋体" w:cs="宋体"/>
          <w:color w:val="000000" w:themeColor="text1"/>
          <w:sz w:val="24"/>
          <w:szCs w:val="24"/>
          <w:highlight w:val="white"/>
        </w:rPr>
        <w:t xml:space="preserve">4</w:t>
      </w:r>
      <w:r>
        <w:rPr>
          <w:rFonts w:hint="eastAsia" w:ascii="宋体" w:hAnsi="宋体" w:cs="宋体"/>
          <w:color w:val="000000" w:themeColor="text1"/>
          <w:sz w:val="24"/>
          <w:szCs w:val="24"/>
          <w:highlight w:val="white"/>
        </w:rPr>
        <w:t xml:space="preserve">、根据《政府采购质疑和投诉办法》（财政部第94号令）第十一条规定，提出质疑的供应商应当是参与所质疑项目采购活动的供应商。</w:t>
      </w:r>
      <w:r>
        <w:rPr>
          <w:rFonts w:hint="eastAsia" w:ascii="宋体" w:hAnsi="宋体"/>
          <w:color w:val="000000" w:themeColor="text1"/>
          <w:sz w:val="24"/>
          <w:szCs w:val="24"/>
          <w:highlight w:val="white"/>
        </w:rPr>
        <w:t xml:space="preserve">因此凡是对采购文件提出质疑的供应商，必须是依法获取采购文件，请将合法获取采购文件的证明材料（即</w:t>
      </w:r>
      <w:r>
        <w:rPr>
          <w:rFonts w:hint="eastAsia" w:ascii="宋体" w:hAnsi="宋体"/>
          <w:b/>
          <w:color w:val="000000" w:themeColor="text1"/>
          <w:sz w:val="24"/>
          <w:szCs w:val="24"/>
          <w:highlight w:val="white"/>
        </w:rPr>
        <w:t xml:space="preserve">《投标供应商确认函》</w:t>
      </w:r>
      <w:r>
        <w:rPr>
          <w:rFonts w:hint="eastAsia" w:ascii="宋体" w:hAnsi="宋体"/>
          <w:color w:val="000000" w:themeColor="text1"/>
          <w:sz w:val="24"/>
          <w:szCs w:val="24"/>
          <w:highlight w:val="white"/>
        </w:rPr>
        <w:t xml:space="preserve">）与质疑函一起递交，否则不予受理。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5</w:t>
      </w:r>
      <w:r>
        <w:rPr>
          <w:rFonts w:hint="eastAsia" w:ascii="宋体" w:hAnsi="宋体" w:cs="宋体"/>
          <w:color w:val="000000" w:themeColor="text1"/>
          <w:sz w:val="24"/>
          <w:szCs w:val="24"/>
          <w:highlight w:val="white"/>
        </w:rPr>
        <w:t xml:space="preserve">、接收质疑函的方式：书面形式（当场送达或邮寄方式）</w:t>
      </w:r>
      <w:r>
        <w:rPr>
          <w:color w:val="000000" w:themeColor="text1"/>
          <w:highlight w:val="white"/>
        </w:rPr>
      </w:r>
    </w:p>
    <w:p>
      <w:pPr>
        <w:ind w:left="0" w:firstLine="480"/>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Cs/>
          <w:color w:val="000000" w:themeColor="text1"/>
          <w:sz w:val="24"/>
          <w:szCs w:val="24"/>
          <w:highlight w:val="white"/>
        </w:rPr>
        <w:t xml:space="preserve">质疑递交联系人、联系电话及地址详见采购公告。</w:t>
      </w:r>
      <w:bookmarkEnd w:id="43"/>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五、项目的终止</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出现下列情形之一的，将终止竞争性磋商采购活动：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1、因情况变化，不再符合规定的竞争性磋商采购方式适用情形的；</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2、出现影响采购公正的违法、违规行为的；</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3、在采购过程中符合要求的供应商或者报价未超过采购预算的供应商不足3家的；</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4、在采购活动中因重大变故，采购任务取消的。</w:t>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六、服务费及履约保证金</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1、成交单位须按前附表的规定计算并支付服务费，该费用应在领取成交通知书时付清。成交单位如果未按规定缴纳服务费，磋商采购单位将并保留诉讼的权利。</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highlight w:val="white"/>
        </w:rPr>
      </w:r>
    </w:p>
    <w:tbl>
      <w:tblPr>
        <w:tblStyle w:val="98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开票信息</w:t>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报名单位公司名称</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地址</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电话</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税号</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开户行</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W w:w="2288" w:type="dxa"/>
            <w:textDirection w:val="lrTb"/>
            <w:noWrap w:val="false"/>
          </w:tcPr>
          <w:p>
            <w:pPr>
              <w:ind w:left="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银行账号</w:t>
            </w:r>
            <w:r>
              <w:rPr>
                <w:color w:val="000000" w:themeColor="text1"/>
                <w:highlight w:val="white"/>
              </w:rPr>
            </w:r>
          </w:p>
        </w:tc>
        <w:tc>
          <w:tcPr>
            <w:tcW w:w="3990" w:type="dxa"/>
            <w:textDirection w:val="lrTb"/>
            <w:noWrap w:val="false"/>
          </w:tcPr>
          <w:p>
            <w:pPr>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bl>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3、成交单位凭已缴纳代理服务费的银行回单至代理机构领取成交通知书、合同。</w:t>
      </w:r>
      <w:r>
        <w:rPr>
          <w:color w:val="000000" w:themeColor="text1"/>
          <w:highlight w:val="white"/>
        </w:rPr>
      </w:r>
    </w:p>
    <w:p>
      <w:pPr>
        <w:ind w:left="0" w:firstLine="480"/>
        <w:spacing w:line="360" w:lineRule="auto"/>
        <w:widowControl w:val="off"/>
        <w:tabs>
          <w:tab w:val="left" w:pos="420" w:leader="none"/>
        </w:tabs>
        <w:rPr>
          <w:rFonts w:ascii="宋体" w:hAnsi="宋体" w:cs="宋体"/>
          <w:color w:val="000000" w:themeColor="text1"/>
          <w:sz w:val="24"/>
          <w:szCs w:val="24"/>
          <w:highlight w:val="white"/>
        </w:rPr>
        <w:outlineLvl w:val="1"/>
      </w:pPr>
      <w:r>
        <w:rPr>
          <w:rFonts w:hint="eastAsia" w:ascii="宋体" w:hAnsi="宋体" w:cs="宋体"/>
          <w:bCs/>
          <w:color w:val="000000" w:themeColor="text1"/>
          <w:sz w:val="24"/>
          <w:szCs w:val="24"/>
          <w:highlight w:val="white"/>
        </w:rPr>
        <w:t xml:space="preserve">4、</w:t>
      </w:r>
      <w:r>
        <w:rPr>
          <w:rFonts w:hint="eastAsia" w:ascii="宋体" w:hAnsi="宋体" w:cs="宋体"/>
          <w:color w:val="000000" w:themeColor="text1"/>
          <w:sz w:val="24"/>
          <w:szCs w:val="24"/>
          <w:highlight w:val="white"/>
        </w:rPr>
        <w:t xml:space="preserve">履约保证金：</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zh-CN"/>
        </w:rPr>
        <w:t xml:space="preserve">本项目无需提交履约保证金</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（2）潜在响应单位如另有需要的，可参考下述相关政策内容：</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具体操作方式详见：江苏政府采购网“资料下载”栏目（网址：www.ccgp-jiangsu.gov.cn/jiangsu/zlxz）下载“政府采购电子履约保函（保险）操作手册”。</w:t>
      </w:r>
      <w:r>
        <w:rPr>
          <w:color w:val="000000" w:themeColor="text1"/>
          <w:highlight w:val="white"/>
        </w:rPr>
      </w:r>
    </w:p>
    <w:p>
      <w:pPr>
        <w:ind w:left="0" w:firstLine="482"/>
        <w:spacing w:line="360" w:lineRule="auto"/>
        <w:widowControl w:val="off"/>
        <w:tabs>
          <w:tab w:val="left" w:pos="420"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七、政府采购政策</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（一）节能产品、环境标志产品</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color w:val="000000" w:themeColor="text1"/>
          <w:highlight w:val="white"/>
        </w:rPr>
      </w:r>
    </w:p>
    <w:p>
      <w:pPr>
        <w:ind w:left="0" w:firstLine="482"/>
        <w:spacing w:line="360" w:lineRule="auto"/>
        <w:widowControl w:val="off"/>
        <w:tabs>
          <w:tab w:val="left" w:pos="567"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八、信用记录</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1、采购代理机构会在接收响应文件截止时间后，登录信用中国网站（www.creditchina.gov.cn/）和中国政府采购网（www.ccgp.gov.cn/）查询供应商的信用记录，并将查询结果递交评审小组。</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white"/>
        </w:rPr>
      </w:r>
    </w:p>
    <w:p>
      <w:pPr>
        <w:ind w:left="0" w:firstLine="480"/>
        <w:spacing w:line="360" w:lineRule="auto"/>
        <w:widowControl w:val="off"/>
        <w:tabs>
          <w:tab w:val="left" w:pos="567"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4、对存在失信信息的供应商，由失信供应商进行确认。同时，采购代理机构工作人员应根据评审小组确认的失信信息，登陆到相关来源网站页面进行复核并打印，作为证据留存。</w:t>
      </w:r>
      <w:bookmarkEnd w:id="31"/>
      <w:r>
        <w:rPr>
          <w:color w:val="000000" w:themeColor="text1"/>
          <w:highlight w:val="white"/>
        </w:rPr>
      </w:r>
      <w:bookmarkStart w:id="44" w:name="_Toc14106"/>
      <w:r>
        <w:rPr>
          <w:rFonts w:hint="eastAsia" w:ascii="宋体" w:hAnsi="宋体" w:cs="宋体"/>
          <w:color w:val="000000" w:themeColor="text1"/>
          <w:sz w:val="24"/>
          <w:szCs w:val="24"/>
          <w:highlight w:val="white"/>
        </w:rPr>
        <w:br w:type="page" w:clear="all"/>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85"/>
        <w:jc w:val="center"/>
        <w:spacing w:before="0" w:after="0" w:line="360" w:lineRule="auto"/>
        <w:rPr>
          <w:rFonts w:ascii="宋体" w:hAnsi="宋体" w:cs="宋体"/>
          <w:b/>
          <w:color w:val="000000" w:themeColor="text1"/>
          <w:sz w:val="44"/>
          <w:szCs w:val="44"/>
          <w:highlight w:val="white"/>
        </w:rPr>
      </w:pPr>
      <w:r>
        <w:rPr>
          <w:color w:val="000000" w:themeColor="text1"/>
          <w:highlight w:val="white"/>
        </w:rPr>
      </w:r>
      <w:bookmarkStart w:id="45" w:name="_Toc332"/>
      <w:r>
        <w:rPr>
          <w:color w:val="000000" w:themeColor="text1"/>
          <w:highlight w:val="white"/>
        </w:rPr>
      </w:r>
      <w:bookmarkStart w:id="46" w:name="_Toc4028"/>
      <w:r>
        <w:rPr>
          <w:rFonts w:hint="eastAsia" w:ascii="宋体" w:hAnsi="宋体" w:cs="宋体"/>
          <w:b/>
          <w:color w:val="000000" w:themeColor="text1"/>
          <w:sz w:val="44"/>
          <w:szCs w:val="44"/>
          <w:highlight w:val="white"/>
        </w:rPr>
        <w:t xml:space="preserve">第三章 </w:t>
      </w:r>
      <w:bookmarkStart w:id="47" w:name="投标文件格式"/>
      <w:r>
        <w:rPr>
          <w:color w:val="000000" w:themeColor="text1"/>
          <w:highlight w:val="white"/>
        </w:rPr>
      </w:r>
      <w:bookmarkEnd w:id="47"/>
      <w:r>
        <w:rPr>
          <w:rFonts w:hint="eastAsia" w:ascii="宋体" w:hAnsi="宋体" w:cs="宋体"/>
          <w:b/>
          <w:color w:val="000000" w:themeColor="text1"/>
          <w:sz w:val="44"/>
          <w:szCs w:val="44"/>
          <w:highlight w:val="white"/>
        </w:rPr>
        <w:t xml:space="preserve">响应文件格式</w:t>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r>
        <w:rPr>
          <w:color w:val="000000" w:themeColor="text1"/>
          <w:highlight w:val="white"/>
        </w:rPr>
      </w:r>
    </w:p>
    <w:p>
      <w:pPr>
        <w:ind w:left="0"/>
        <w:jc w:val="left"/>
        <w:spacing w:line="440" w:lineRule="exact"/>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r>
      <w:r>
        <w:rPr>
          <w:color w:val="000000" w:themeColor="text1"/>
          <w:highlight w:val="white"/>
        </w:rPr>
      </w:r>
    </w:p>
    <w:p>
      <w:pPr>
        <w:ind w:left="0" w:firstLine="482"/>
        <w:jc w:val="left"/>
        <w:spacing w:line="360" w:lineRule="auto"/>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说明：</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对本章所有的格式，供应商可根据自身情况进行补充和修改，但补充和修改不得造成与本格式内容有实质性的违背。</w:t>
      </w:r>
      <w:r>
        <w:rPr>
          <w:color w:val="000000" w:themeColor="text1"/>
          <w:highlight w:val="white"/>
        </w:rPr>
      </w:r>
    </w:p>
    <w:p>
      <w:pPr>
        <w:ind w:left="0"/>
        <w:jc w:val="left"/>
        <w:spacing w:line="360" w:lineRule="auto"/>
        <w:rPr>
          <w:rFonts w:ascii="宋体" w:hAnsi="宋体" w:cs="宋体"/>
          <w:b/>
          <w:color w:val="000000" w:themeColor="text1"/>
          <w:sz w:val="24"/>
          <w:szCs w:val="24"/>
          <w:highlight w:val="white"/>
        </w:rPr>
        <w:outlineLvl w:val="1"/>
      </w:pPr>
      <w:r>
        <w:rPr>
          <w:rFonts w:hint="eastAsia" w:ascii="宋体" w:hAnsi="宋体" w:cs="宋体"/>
          <w:b/>
          <w:color w:val="000000" w:themeColor="text1"/>
          <w:sz w:val="44"/>
          <w:szCs w:val="44"/>
          <w:highlight w:val="white"/>
        </w:rPr>
        <w:br w:type="page" w:clear="all"/>
      </w:r>
      <w:bookmarkStart w:id="48" w:name="_Toc17036"/>
      <w:r>
        <w:rPr>
          <w:color w:val="000000" w:themeColor="text1"/>
          <w:highlight w:val="white"/>
        </w:rPr>
      </w:r>
      <w:bookmarkStart w:id="49" w:name="_Toc3821"/>
      <w:r>
        <w:rPr>
          <w:color w:val="000000" w:themeColor="text1"/>
          <w:highlight w:val="white"/>
        </w:rPr>
      </w:r>
      <w:bookmarkStart w:id="50" w:name="_Toc7097"/>
      <w:r>
        <w:rPr>
          <w:rFonts w:hint="eastAsia" w:ascii="宋体" w:hAnsi="宋体" w:cs="宋体"/>
          <w:b/>
          <w:color w:val="000000" w:themeColor="text1"/>
          <w:sz w:val="24"/>
          <w:szCs w:val="24"/>
          <w:highlight w:val="white"/>
        </w:rPr>
        <w:t xml:space="preserve">附件1</w:t>
      </w:r>
      <w:bookmarkEnd w:id="48"/>
      <w:r>
        <w:rPr>
          <w:color w:val="000000" w:themeColor="text1"/>
          <w:highlight w:val="white"/>
        </w:rPr>
      </w:r>
      <w:bookmarkEnd w:id="49"/>
      <w:r>
        <w:rPr>
          <w:rFonts w:hint="eastAsia" w:ascii="宋体" w:hAnsi="宋体" w:cs="宋体"/>
          <w:b/>
          <w:color w:val="000000" w:themeColor="text1"/>
          <w:sz w:val="24"/>
          <w:szCs w:val="24"/>
          <w:highlight w:val="white"/>
        </w:rPr>
        <w:t xml:space="preserve">、磋商响应函</w:t>
      </w:r>
      <w:bookmarkEnd w:id="50"/>
      <w:r>
        <w:rPr>
          <w:color w:val="000000" w:themeColor="text1"/>
          <w:highlight w:val="white"/>
        </w:rPr>
      </w:r>
      <w:r>
        <w:rPr>
          <w:color w:val="000000" w:themeColor="text1"/>
          <w:highlight w:val="white"/>
        </w:rPr>
      </w:r>
    </w:p>
    <w:p>
      <w:pPr>
        <w:ind w:left="0"/>
        <w:jc w:val="center"/>
        <w:spacing w:line="440" w:lineRule="exact"/>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磋商响应函</w:t>
      </w:r>
      <w:r>
        <w:rPr>
          <w:color w:val="000000" w:themeColor="text1"/>
          <w:highlight w:val="white"/>
        </w:rPr>
      </w:r>
    </w:p>
    <w:p>
      <w:pPr>
        <w:ind w:left="0"/>
        <w:jc w:val="lef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致：</w:t>
      </w:r>
      <w:r>
        <w:rPr>
          <w:rFonts w:hint="eastAsia" w:ascii="宋体" w:hAnsi="宋体" w:cs="宋体"/>
          <w:color w:val="000000" w:themeColor="text1"/>
          <w:sz w:val="24"/>
          <w:szCs w:val="24"/>
          <w:highlight w:val="white"/>
          <w:u w:val="single"/>
          <w:lang w:val="zh-CN"/>
        </w:rPr>
        <w:t xml:space="preserve">苏州合亿盛工程咨询有限公司</w:t>
      </w:r>
      <w:r>
        <w:rPr>
          <w:color w:val="000000" w:themeColor="text1"/>
          <w:highlight w:val="white"/>
        </w:rPr>
      </w:r>
    </w:p>
    <w:p>
      <w:pPr>
        <w:ind w:left="0" w:firstLine="48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我方收到贵公司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号磋商采购文件，经仔细阅读和研究，我方决定参加磋商。并向贵公司承诺：</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1、我们愿意按照采购文件的一切要求，提供完成该项目的全部内容，我们的报价包括完成本项目所需的全部服务内容、维护、管理、工具、设备、管理、耗材、备品备件、人工、交通、验收、保险、利润、税金、代理服务费、政策性文件规定及本项目包含的所有风险、责任等各项应有费用。</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2、如果我们的磋商响应文件被接受，我们将严格履行采购文件中规定的每一项要求，按期、按质、按量履行合同的义务。</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3、我们已详细审查全部采购文件，包括更正公告(如有)。我们完全理解并同意放弃对这方面有不明及误解的权力。</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4、我们同意按采购文件中的规定，本磋商响应文件的有效期限为响应文件提交截止之日起90天。</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5、我们愿意提供磋商采购单位在采购文件中要求的所有资料。</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6、我们愿意遵守采购文件中所列的收费标准。</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7、我们承诺该磋商响应文件在磋商开始后的全过程中保持有效，不作任何更改和变动。</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8、我们承诺我公司符合采购文件中“合格磋商供应商的一般条件和特殊条件”的要求，若与真实情况不符，本公司愿意承担由此而产生的一切后果。</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9、我们声明：我们在参加本次政府采购活动前3年内在经营活动中没有重大违法记录。</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10、如果我们成交，我们愿意按采购文件的规定支付代理服务费。</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11、综合说明：</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（1）伴随服务及配合措施；（2）要求甲方提供的配合；（3）对采购文件有不同意见的偏离说明；（4）其它说明。</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所有有关磋商响应文件的函电，请按下列地址联系：</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单位：                             联系人：</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地址：                             邮政编码：</w:t>
      </w:r>
      <w:r>
        <w:rPr>
          <w:color w:val="000000" w:themeColor="text1"/>
          <w:highlight w:val="white"/>
        </w:rPr>
      </w:r>
    </w:p>
    <w:p>
      <w:pPr>
        <w:pStyle w:val="1007"/>
        <w:ind w:left="0" w:firstLine="48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联系电话：                         传真：</w:t>
      </w:r>
      <w:r>
        <w:rPr>
          <w:color w:val="000000" w:themeColor="text1"/>
          <w:highlight w:val="white"/>
        </w:rPr>
      </w:r>
    </w:p>
    <w:p>
      <w:pPr>
        <w:ind w:left="0" w:firstLine="480"/>
        <w:widowControl w:val="off"/>
        <w:rPr>
          <w:rFonts w:ascii="宋体" w:hAnsi="宋体" w:cs="宋体"/>
          <w:color w:val="000000" w:themeColor="text1"/>
          <w:sz w:val="24"/>
          <w:szCs w:val="24"/>
          <w:highlight w:val="white"/>
          <w:u w:val="single"/>
        </w:rPr>
      </w:pPr>
      <w:r>
        <w:rPr>
          <w:rStyle w:val="1004"/>
          <w:rFonts w:hint="eastAsia" w:ascii="宋体" w:hAnsi="宋体" w:cs="宋体"/>
          <w:color w:val="000000" w:themeColor="text1"/>
          <w:sz w:val="24"/>
          <w:szCs w:val="24"/>
          <w:highlight w:val="white"/>
        </w:rPr>
        <w:t xml:space="preserve">电子邮箱：</w:t>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rPr>
          <w:rFonts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1" w:name="_Toc6183"/>
      <w:r>
        <w:rPr>
          <w:rFonts w:hint="eastAsia" w:ascii="宋体" w:hAnsi="宋体" w:cs="宋体"/>
          <w:b/>
          <w:color w:val="000000" w:themeColor="text1"/>
          <w:sz w:val="24"/>
          <w:szCs w:val="24"/>
          <w:highlight w:val="white"/>
        </w:rPr>
        <w:t xml:space="preserve">附件2、磋商报价表</w:t>
      </w:r>
      <w:bookmarkEnd w:id="51"/>
      <w:r>
        <w:rPr>
          <w:color w:val="000000" w:themeColor="text1"/>
          <w:highlight w:val="white"/>
        </w:rPr>
      </w:r>
      <w:r>
        <w:rPr>
          <w:color w:val="000000" w:themeColor="text1"/>
          <w:highlight w:val="white"/>
        </w:rPr>
      </w:r>
    </w:p>
    <w:p>
      <w:pPr>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jc w:val="center"/>
        <w:spacing w:line="360" w:lineRule="auto"/>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磋商报价表</w:t>
      </w:r>
      <w:r>
        <w:rPr>
          <w:color w:val="000000" w:themeColor="text1"/>
          <w:highlight w:val="white"/>
        </w:rPr>
      </w:r>
    </w:p>
    <w:p>
      <w:pPr>
        <w:ind w:left="0"/>
        <w:jc w:val="center"/>
        <w:spacing w:line="360" w:lineRule="auto"/>
        <w:rPr>
          <w:rStyle w:val="1004"/>
          <w:rFonts w:hAnsi="宋体"/>
          <w:color w:val="000000" w:themeColor="text1"/>
          <w:sz w:val="24"/>
          <w:szCs w:val="24"/>
          <w:highlight w:val="white"/>
        </w:rPr>
      </w:pPr>
      <w:r>
        <w:rPr>
          <w:rStyle w:val="1004"/>
          <w:rFonts w:hAnsi="宋体"/>
          <w:color w:val="000000" w:themeColor="text1"/>
          <w:sz w:val="24"/>
          <w:szCs w:val="24"/>
          <w:highlight w:val="white"/>
        </w:rPr>
        <w:t xml:space="preserve">采购编号：                                          </w:t>
      </w:r>
      <w:r>
        <w:rPr>
          <w:rStyle w:val="1004"/>
          <w:rFonts w:hint="eastAsia" w:hAnsi="宋体"/>
          <w:color w:val="000000" w:themeColor="text1"/>
          <w:sz w:val="24"/>
          <w:szCs w:val="24"/>
          <w:highlight w:val="white"/>
        </w:rPr>
        <w:t xml:space="preserve">标段号：</w:t>
      </w:r>
      <w:r>
        <w:rPr>
          <w:color w:val="000000" w:themeColor="text1"/>
          <w:highlight w:val="white"/>
        </w:rPr>
      </w:r>
    </w:p>
    <w:tbl>
      <w:tblPr>
        <w:tblStyle w:val="988"/>
        <w:tblW w:w="499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62"/>
        <w:gridCol w:w="2331"/>
        <w:gridCol w:w="3085"/>
      </w:tblGrid>
      <w:tr>
        <w:trPr>
          <w:jc w:val="center"/>
          <w:trHeight w:val="850"/>
        </w:trPr>
        <w:tc>
          <w:tcPr>
            <w:tcBorders>
              <w:top w:val="single" w:color="auto" w:sz="4" w:space="0"/>
              <w:left w:val="single" w:color="auto" w:sz="4" w:space="0"/>
              <w:bottom w:val="single" w:color="auto" w:sz="4" w:space="0"/>
              <w:right w:val="single" w:color="auto" w:sz="4" w:space="0"/>
            </w:tcBorders>
            <w:tcW w:w="2312"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项目名称</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156"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响应总报价</w:t>
            </w:r>
            <w:r>
              <w:rPr>
                <w:color w:val="000000" w:themeColor="text1"/>
                <w:highlight w:val="white"/>
              </w:rPr>
            </w:r>
          </w:p>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（元）</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530"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服务期限</w:t>
            </w:r>
            <w:r>
              <w:rPr>
                <w:color w:val="000000" w:themeColor="text1"/>
                <w:highlight w:val="white"/>
              </w:rPr>
            </w:r>
          </w:p>
        </w:tc>
      </w:tr>
      <w:tr>
        <w:trPr>
          <w:jc w:val="center"/>
          <w:trHeight w:val="850"/>
        </w:trPr>
        <w:tc>
          <w:tcPr>
            <w:tcBorders>
              <w:top w:val="single" w:color="auto" w:sz="4" w:space="0"/>
              <w:left w:val="single" w:color="auto" w:sz="4" w:space="0"/>
              <w:bottom w:val="single" w:color="auto" w:sz="4" w:space="0"/>
              <w:right w:val="single" w:color="auto" w:sz="4" w:space="0"/>
            </w:tcBorders>
            <w:tcW w:w="2312"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156"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530"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r>
    </w:tbl>
    <w:p>
      <w:pPr>
        <w:ind w:left="0"/>
        <w:jc w:val="center"/>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r>
      <w:r>
        <w:rPr>
          <w:color w:val="000000" w:themeColor="text1"/>
          <w:highlight w:val="white"/>
        </w:rPr>
      </w:r>
    </w:p>
    <w:p>
      <w:pPr>
        <w:ind w:left="0" w:firstLine="480"/>
        <w:jc w:val="left"/>
        <w:spacing w:line="360" w:lineRule="auto"/>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注：上述报价</w:t>
      </w:r>
      <w:r>
        <w:rPr>
          <w:rStyle w:val="1004"/>
          <w:rFonts w:hint="eastAsia" w:hAnsi="宋体" w:cs="宋体"/>
          <w:color w:val="000000" w:themeColor="text1"/>
          <w:sz w:val="24"/>
          <w:szCs w:val="24"/>
          <w:highlight w:val="white"/>
        </w:rPr>
        <w:t xml:space="preserve">包括完成本项目所需的全部服务内容、维护、管理、工具、设备、管理、耗材、备品备件、人工、交通、验收、保险、利润、税金、代理服务费、政策性文件规定及本项目包含的所有风险、责任等各项应有费用。</w:t>
      </w:r>
      <w:r>
        <w:rPr>
          <w:color w:val="000000" w:themeColor="text1"/>
          <w:highlight w:val="white"/>
        </w:rPr>
      </w:r>
    </w:p>
    <w:p>
      <w:pPr>
        <w:ind w:left="0" w:firstLine="480"/>
        <w:jc w:val="left"/>
        <w:spacing w:line="360" w:lineRule="auto"/>
        <w:rPr>
          <w:rFonts w:ascii="宋体" w:hAnsi="宋体" w:cs="宋体"/>
          <w:bCs/>
          <w:color w:val="000000" w:themeColor="text1"/>
          <w:sz w:val="24"/>
          <w:szCs w:val="24"/>
          <w:highlight w:val="white"/>
        </w:rPr>
      </w:pPr>
      <w:r>
        <w:rPr>
          <w:rFonts w:ascii="宋体" w:hAnsi="宋体" w:cs="宋体"/>
          <w:bCs/>
          <w:color w:val="000000" w:themeColor="text1"/>
          <w:sz w:val="24"/>
          <w:szCs w:val="24"/>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4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right="40"/>
        <w:jc w:val="left"/>
        <w:spacing w:line="360" w:lineRule="auto"/>
        <w:rPr>
          <w:rFonts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2" w:name="_Toc14239"/>
      <w:r>
        <w:rPr>
          <w:color w:val="000000" w:themeColor="text1"/>
          <w:highlight w:val="white"/>
        </w:rPr>
      </w:r>
      <w:bookmarkStart w:id="53" w:name="_Toc31009"/>
      <w:r>
        <w:rPr>
          <w:rFonts w:hint="eastAsia" w:ascii="宋体" w:hAnsi="宋体" w:cs="宋体"/>
          <w:b/>
          <w:color w:val="000000" w:themeColor="text1"/>
          <w:sz w:val="24"/>
          <w:szCs w:val="24"/>
          <w:highlight w:val="white"/>
        </w:rPr>
        <w:t xml:space="preserve">附件3、</w:t>
      </w:r>
      <w:bookmarkEnd w:id="52"/>
      <w:r>
        <w:rPr>
          <w:rFonts w:hint="eastAsia" w:ascii="宋体" w:hAnsi="宋体" w:cs="宋体"/>
          <w:b/>
          <w:color w:val="000000" w:themeColor="text1"/>
          <w:sz w:val="24"/>
          <w:szCs w:val="24"/>
          <w:highlight w:val="white"/>
        </w:rPr>
        <w:t xml:space="preserve">报价明细表</w:t>
      </w:r>
      <w:r>
        <w:rPr>
          <w:color w:val="000000" w:themeColor="text1"/>
          <w:highlight w:val="white"/>
        </w:rPr>
      </w:r>
    </w:p>
    <w:p>
      <w:pPr>
        <w:pStyle w:val="1006"/>
        <w:ind w:left="0" w:firstLine="0"/>
        <w:jc w:val="center"/>
        <w:spacing w:line="360" w:lineRule="auto"/>
        <w:widowControl w:val="off"/>
        <w:rPr>
          <w:rStyle w:val="1004"/>
          <w:rFonts w:ascii="宋体" w:hAnsi="宋体"/>
          <w:b/>
          <w:bCs/>
          <w:color w:val="000000" w:themeColor="text1"/>
          <w:szCs w:val="24"/>
          <w:highlight w:val="white"/>
        </w:rPr>
      </w:pPr>
      <w:r>
        <w:rPr>
          <w:rStyle w:val="1004"/>
          <w:rFonts w:hint="eastAsia" w:ascii="宋体" w:hAnsi="宋体"/>
          <w:b/>
          <w:bCs/>
          <w:color w:val="000000" w:themeColor="text1"/>
          <w:szCs w:val="24"/>
          <w:highlight w:val="white"/>
        </w:rPr>
        <w:t xml:space="preserve">报价明细表</w:t>
      </w:r>
      <w:r>
        <w:rPr>
          <w:color w:val="000000" w:themeColor="text1"/>
          <w:highlight w:val="white"/>
        </w:rPr>
      </w:r>
    </w:p>
    <w:p>
      <w:pPr>
        <w:pStyle w:val="1006"/>
        <w:ind w:left="0" w:firstLine="0"/>
        <w:jc w:val="right"/>
        <w:spacing w:line="360" w:lineRule="auto"/>
        <w:widowControl w:val="off"/>
        <w:rPr>
          <w:rStyle w:val="1004"/>
          <w:rFonts w:ascii="Times New Roman" w:hAnsi="宋体"/>
          <w:color w:val="000000" w:themeColor="text1"/>
          <w:szCs w:val="24"/>
          <w:highlight w:val="white"/>
        </w:rPr>
      </w:pPr>
      <w:r>
        <w:rPr>
          <w:rStyle w:val="1004"/>
          <w:rFonts w:hint="eastAsia" w:ascii="Times New Roman" w:hAnsi="宋体"/>
          <w:color w:val="000000" w:themeColor="text1"/>
          <w:szCs w:val="24"/>
          <w:highlight w:val="white"/>
        </w:rPr>
        <w:t xml:space="preserve">标段号：</w:t>
      </w:r>
      <w:r>
        <w:rPr>
          <w:color w:val="000000" w:themeColor="text1"/>
          <w:highlight w:val="white"/>
        </w:rPr>
      </w:r>
    </w:p>
    <w:tbl>
      <w:tblPr>
        <w:tblStyle w:val="98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87"/>
        <w:gridCol w:w="2495"/>
        <w:gridCol w:w="1018"/>
        <w:gridCol w:w="2046"/>
        <w:gridCol w:w="1512"/>
        <w:gridCol w:w="1518"/>
      </w:tblGrid>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序号</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项目名称</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数量</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单价</w:t>
            </w:r>
            <w:r>
              <w:rPr>
                <w:color w:val="000000" w:themeColor="text1"/>
                <w:highlight w:val="white"/>
              </w:rPr>
            </w:r>
          </w:p>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（元）</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合</w:t>
            </w:r>
            <w:r>
              <w:rPr>
                <w:rFonts w:hint="eastAsia" w:ascii="宋体" w:hAnsi="宋体"/>
                <w:color w:val="000000" w:themeColor="text1"/>
                <w:sz w:val="24"/>
                <w:szCs w:val="24"/>
                <w:highlight w:val="white"/>
              </w:rPr>
              <w:t xml:space="preserve">价</w:t>
            </w:r>
            <w:r>
              <w:rPr>
                <w:color w:val="000000" w:themeColor="text1"/>
                <w:highlight w:val="white"/>
              </w:rPr>
            </w:r>
          </w:p>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（元）</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备注</w:t>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1</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08"/>
              <w:ind w:left="0"/>
              <w:jc w:val="center"/>
              <w:rPr>
                <w:rFonts w:hint="default" w:hAnsi="宋体"/>
                <w:color w:val="000000" w:themeColor="text1"/>
                <w:sz w:val="24"/>
                <w:szCs w:val="24"/>
                <w:highlight w:val="white"/>
              </w:rPr>
            </w:pPr>
            <w:r>
              <w:rPr>
                <w:rFonts w:hAnsi="宋体"/>
                <w:color w:val="000000" w:themeColor="text1"/>
                <w:sz w:val="24"/>
                <w:szCs w:val="24"/>
                <w:highlight w:val="white"/>
              </w:rPr>
              <w:t xml:space="preserve">合计</w:t>
            </w:r>
            <w:r>
              <w:rPr>
                <w:color w:val="000000" w:themeColor="text1"/>
                <w:highlight w:val="white"/>
              </w:rPr>
            </w:r>
          </w:p>
        </w:tc>
        <w:tc>
          <w:tcPr>
            <w:gridSpan w:val="5"/>
            <w:tcBorders>
              <w:top w:val="single" w:color="auto" w:sz="4" w:space="0"/>
              <w:left w:val="none" w:color="000000" w:sz="4" w:space="0"/>
              <w:bottom w:val="single" w:color="auto" w:sz="4" w:space="0"/>
              <w:right w:val="single" w:color="auto" w:sz="4" w:space="0"/>
            </w:tcBorders>
            <w:tcW w:w="4261" w:type="pct"/>
            <w:vAlign w:val="center"/>
            <w:textDirection w:val="lrTb"/>
            <w:noWrap w:val="false"/>
          </w:tcPr>
          <w:p>
            <w:pPr>
              <w:pStyle w:val="100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bl>
    <w:p>
      <w:pPr>
        <w:ind w:left="0" w:firstLine="482"/>
        <w:spacing w:line="360" w:lineRule="auto"/>
        <w:widowControl w:val="off"/>
        <w:rPr>
          <w:rFonts w:ascii="宋体" w:hAnsi="宋体"/>
          <w:b/>
          <w:color w:val="000000" w:themeColor="text1"/>
          <w:sz w:val="24"/>
          <w:szCs w:val="24"/>
          <w:highlight w:val="white"/>
        </w:rPr>
      </w:pPr>
      <w:r>
        <w:rPr>
          <w:rStyle w:val="1004"/>
          <w:rFonts w:hint="eastAsia" w:ascii="宋体" w:hAnsi="宋体"/>
          <w:b/>
          <w:bCs/>
          <w:color w:val="000000" w:themeColor="text1"/>
          <w:sz w:val="24"/>
          <w:szCs w:val="24"/>
          <w:highlight w:val="white"/>
        </w:rPr>
        <w:t xml:space="preserve">注：</w:t>
      </w:r>
      <w:r>
        <w:rPr>
          <w:rFonts w:hint="eastAsia" w:ascii="宋体" w:hAnsi="宋体"/>
          <w:b/>
          <w:color w:val="000000" w:themeColor="text1"/>
          <w:sz w:val="24"/>
          <w:szCs w:val="24"/>
          <w:highlight w:val="white"/>
        </w:rPr>
        <w:t xml:space="preserve">本表合计金额应与《</w:t>
      </w:r>
      <w:r>
        <w:rPr>
          <w:rFonts w:ascii="宋体" w:hAnsi="宋体"/>
          <w:b/>
          <w:color w:val="000000" w:themeColor="text1"/>
          <w:sz w:val="24"/>
          <w:szCs w:val="24"/>
          <w:highlight w:val="white"/>
        </w:rPr>
        <w:t xml:space="preserve">磋商报价表</w:t>
      </w:r>
      <w:r>
        <w:rPr>
          <w:rFonts w:hint="eastAsia" w:ascii="宋体" w:hAnsi="宋体"/>
          <w:b/>
          <w:color w:val="000000" w:themeColor="text1"/>
          <w:sz w:val="24"/>
          <w:szCs w:val="24"/>
          <w:highlight w:val="white"/>
        </w:rPr>
        <w:t xml:space="preserve">》</w:t>
      </w:r>
      <w:r>
        <w:rPr>
          <w:rFonts w:ascii="宋体" w:hAnsi="宋体"/>
          <w:b/>
          <w:color w:val="000000" w:themeColor="text1"/>
          <w:sz w:val="24"/>
          <w:szCs w:val="24"/>
          <w:highlight w:val="white"/>
        </w:rPr>
        <w:t xml:space="preserve">的</w:t>
      </w:r>
      <w:r>
        <w:rPr>
          <w:rFonts w:hint="eastAsia" w:ascii="宋体" w:hAnsi="宋体"/>
          <w:b/>
          <w:color w:val="000000" w:themeColor="text1"/>
          <w:sz w:val="24"/>
          <w:szCs w:val="24"/>
          <w:highlight w:val="white"/>
        </w:rPr>
        <w:t xml:space="preserve">响应总报价一致，否则以《</w:t>
      </w:r>
      <w:r>
        <w:rPr>
          <w:rFonts w:ascii="宋体" w:hAnsi="宋体"/>
          <w:b/>
          <w:color w:val="000000" w:themeColor="text1"/>
          <w:sz w:val="24"/>
          <w:szCs w:val="24"/>
          <w:highlight w:val="white"/>
        </w:rPr>
        <w:t xml:space="preserve">磋商报价表</w:t>
      </w:r>
      <w:r>
        <w:rPr>
          <w:rFonts w:hint="eastAsia" w:ascii="宋体" w:hAnsi="宋体"/>
          <w:b/>
          <w:color w:val="000000" w:themeColor="text1"/>
          <w:sz w:val="24"/>
          <w:szCs w:val="24"/>
          <w:highlight w:val="white"/>
        </w:rPr>
        <w:t xml:space="preserve">》为准。</w:t>
      </w:r>
      <w:r>
        <w:rPr>
          <w:color w:val="000000" w:themeColor="text1"/>
          <w:highlight w:val="white"/>
        </w:rPr>
      </w:r>
    </w:p>
    <w:p>
      <w:pPr>
        <w:pStyle w:val="991"/>
        <w:rPr>
          <w:rFonts w:ascii="宋体" w:hAnsi="宋体"/>
          <w:b/>
          <w:color w:val="000000" w:themeColor="text1"/>
          <w:sz w:val="24"/>
          <w:szCs w:val="24"/>
          <w:highlight w:val="white"/>
        </w:rPr>
      </w:pPr>
      <w:r>
        <w:rPr>
          <w:rFonts w:ascii="宋体" w:hAnsi="宋体"/>
          <w:b/>
          <w:color w:val="000000" w:themeColor="text1"/>
          <w:sz w:val="24"/>
          <w:szCs w:val="24"/>
          <w:highlight w:val="white"/>
        </w:rPr>
      </w:r>
      <w:r>
        <w:rPr>
          <w:color w:val="000000" w:themeColor="text1"/>
          <w:highlight w:val="white"/>
        </w:rPr>
      </w:r>
    </w:p>
    <w:p>
      <w:pPr>
        <w:pStyle w:val="990"/>
        <w:rPr>
          <w:rFonts w:ascii="宋体" w:hAnsi="宋体"/>
          <w:b/>
          <w:color w:val="000000" w:themeColor="text1"/>
          <w:sz w:val="24"/>
          <w:szCs w:val="24"/>
          <w:highlight w:val="white"/>
        </w:rPr>
      </w:pPr>
      <w:r>
        <w:rPr>
          <w:rFonts w:ascii="宋体" w:hAnsi="宋体"/>
          <w:b/>
          <w:color w:val="000000" w:themeColor="text1"/>
          <w:sz w:val="24"/>
          <w:szCs w:val="24"/>
          <w:highlight w:val="white"/>
        </w:rPr>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代理人</w:t>
      </w:r>
      <w:r>
        <w:rPr>
          <w:rFonts w:hint="eastAsia" w:ascii="宋体" w:hAnsi="宋体" w:cs="宋体"/>
          <w:color w:val="000000" w:themeColor="text1"/>
          <w:sz w:val="24"/>
          <w:szCs w:val="24"/>
          <w:highlight w:val="white"/>
          <w:lang w:val="zh-CN"/>
        </w:rPr>
        <w:t xml:space="preserve">：（签字或盖章）</w:t>
      </w:r>
      <w:r>
        <w:rPr>
          <w:color w:val="000000" w:themeColor="text1"/>
          <w:highlight w:val="white"/>
        </w:rPr>
      </w:r>
    </w:p>
    <w:p>
      <w:pPr>
        <w:ind w:left="0" w:firstLine="480"/>
        <w:spacing w:line="360" w:lineRule="auto"/>
        <w:rPr>
          <w:color w:val="000000" w:themeColor="text1"/>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spacing w:line="360" w:lineRule="auto"/>
        <w:rPr>
          <w:rFonts w:ascii="宋体" w:hAnsi="宋体" w:cs="宋体"/>
          <w:color w:val="000000" w:themeColor="text1"/>
          <w:sz w:val="24"/>
          <w:szCs w:val="24"/>
          <w:highlight w:val="white"/>
        </w:rPr>
        <w:outlineLvl w:val="1"/>
      </w:pPr>
      <w:r>
        <w:rPr>
          <w:rFonts w:hint="eastAsia" w:ascii="宋体" w:hAnsi="宋体" w:cs="宋体"/>
          <w:b/>
          <w:color w:val="000000" w:themeColor="text1"/>
          <w:sz w:val="24"/>
          <w:szCs w:val="24"/>
          <w:highlight w:val="white"/>
        </w:rPr>
        <w:br w:type="page" w:clear="all"/>
      </w:r>
      <w:r>
        <w:rPr>
          <w:rFonts w:hint="eastAsia" w:ascii="宋体" w:hAnsi="宋体" w:cs="宋体"/>
          <w:b/>
          <w:color w:val="000000" w:themeColor="text1"/>
          <w:sz w:val="24"/>
          <w:szCs w:val="24"/>
          <w:highlight w:val="white"/>
        </w:rPr>
        <w:t xml:space="preserve">附件4、法定代表人授权委托书</w:t>
      </w:r>
      <w:bookmarkEnd w:id="53"/>
      <w:r>
        <w:rPr>
          <w:color w:val="000000" w:themeColor="text1"/>
          <w:highlight w:val="white"/>
        </w:rPr>
      </w:r>
      <w:r>
        <w:rPr>
          <w:color w:val="000000" w:themeColor="text1"/>
          <w:highlight w:val="white"/>
        </w:rPr>
      </w:r>
    </w:p>
    <w:p>
      <w:pPr>
        <w:ind w:left="0"/>
        <w:spacing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ind w:left="0"/>
        <w:jc w:val="center"/>
        <w:spacing w:line="360" w:lineRule="auto"/>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法定代表人授权委托书</w:t>
      </w:r>
      <w:r>
        <w:rPr>
          <w:color w:val="000000" w:themeColor="text1"/>
          <w:highlight w:val="white"/>
        </w:rPr>
      </w:r>
    </w:p>
    <w:p>
      <w:pPr>
        <w:pStyle w:val="991"/>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ind w:left="0" w:firstLine="480"/>
        <w:jc w:val="left"/>
        <w:spacing w:line="48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本授权委托书声明：我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（姓名）系</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供应商名称）的法定代表人，现授权委托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（姓名）为我公司授权代表（即代理人），以本公司的名义参</w:t>
      </w:r>
      <w:r>
        <w:rPr>
          <w:rFonts w:hint="eastAsia" w:ascii="宋体" w:hAnsi="宋体" w:cs="宋体"/>
          <w:color w:val="000000" w:themeColor="text1"/>
          <w:sz w:val="24"/>
          <w:szCs w:val="24"/>
          <w:highlight w:val="white"/>
          <w:u w:val="single"/>
        </w:rPr>
        <w:t xml:space="preserve">加苏州合亿盛工程咨询有限公司</w:t>
      </w:r>
      <w:r>
        <w:rPr>
          <w:rFonts w:hint="eastAsia" w:ascii="宋体" w:hAnsi="宋体" w:cs="宋体"/>
          <w:color w:val="000000" w:themeColor="text1"/>
          <w:sz w:val="24"/>
          <w:szCs w:val="24"/>
          <w:highlight w:val="white"/>
        </w:rPr>
        <w:t xml:space="preserve">组织实施的编号为</w:t>
      </w:r>
      <w:r>
        <w:rPr>
          <w:rFonts w:hint="eastAsia" w:ascii="宋体" w:hAnsi="宋体" w:cs="宋体"/>
          <w:color w:val="000000" w:themeColor="text1"/>
          <w:sz w:val="24"/>
          <w:szCs w:val="24"/>
          <w:highlight w:val="white"/>
          <w:u w:val="single"/>
        </w:rPr>
        <w:t xml:space="preserve">  （项目编号）  </w:t>
      </w:r>
      <w:r>
        <w:rPr>
          <w:rFonts w:hint="eastAsia" w:ascii="宋体" w:hAnsi="宋体" w:cs="宋体"/>
          <w:color w:val="000000" w:themeColor="text1"/>
          <w:sz w:val="24"/>
          <w:szCs w:val="24"/>
          <w:highlight w:val="white"/>
        </w:rPr>
        <w:t xml:space="preserve">号的</w:t>
      </w:r>
      <w:r>
        <w:rPr>
          <w:rFonts w:hint="eastAsia" w:ascii="宋体" w:hAnsi="宋体"/>
          <w:color w:val="000000" w:themeColor="text1"/>
          <w:sz w:val="24"/>
          <w:highlight w:val="white"/>
          <w:u w:val="single"/>
        </w:rPr>
        <w:t xml:space="preserve">（标段号）</w:t>
      </w:r>
      <w:r>
        <w:rPr>
          <w:rFonts w:hint="eastAsia" w:ascii="宋体" w:hAnsi="宋体" w:cs="宋体"/>
          <w:color w:val="000000" w:themeColor="text1"/>
          <w:sz w:val="24"/>
          <w:szCs w:val="24"/>
          <w:highlight w:val="white"/>
        </w:rPr>
        <w:t xml:space="preserve">竞争性磋商活动。代理人在磋商活动过程中所签署的一切文件和处理与这有关的一切事务，我均予以承认。</w:t>
      </w:r>
      <w:r>
        <w:rPr>
          <w:color w:val="000000" w:themeColor="text1"/>
          <w:highlight w:val="white"/>
        </w:rPr>
      </w:r>
    </w:p>
    <w:p>
      <w:pPr>
        <w:ind w:left="0" w:firstLine="480"/>
        <w:jc w:val="left"/>
        <w:spacing w:line="48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代理人在授权委托书有效期内签署的所有文件不因授权委托的撤销而失效，除非有撤销授权委托的书面通知，本授权委托书自磋商活动开始至合同履行完毕止。</w:t>
      </w:r>
      <w:r>
        <w:rPr>
          <w:color w:val="000000" w:themeColor="text1"/>
          <w:highlight w:val="white"/>
        </w:rPr>
      </w:r>
    </w:p>
    <w:p>
      <w:pPr>
        <w:ind w:left="0" w:firstLine="480"/>
        <w:jc w:val="left"/>
        <w:spacing w:line="48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代理人无转委托权。特此委托。</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法定代表人：（签字或盖章）</w:t>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代理人：（签字或盖章）</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rPr>
          <w:rFonts w:ascii="宋体" w:hAnsi="宋体" w:cs="宋体"/>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4" w:name="_Toc31308"/>
      <w:r>
        <w:rPr>
          <w:rFonts w:hint="eastAsia" w:ascii="宋体" w:hAnsi="宋体" w:cs="宋体"/>
          <w:b/>
          <w:color w:val="000000" w:themeColor="text1"/>
          <w:sz w:val="24"/>
          <w:szCs w:val="24"/>
          <w:highlight w:val="white"/>
        </w:rPr>
        <w:t xml:space="preserve">附件5、关于资格文件的声明函</w:t>
      </w:r>
      <w:bookmarkEnd w:id="54"/>
      <w:r>
        <w:rPr>
          <w:color w:val="000000" w:themeColor="text1"/>
          <w:highlight w:val="white"/>
        </w:rPr>
      </w:r>
      <w:r>
        <w:rPr>
          <w:color w:val="000000" w:themeColor="text1"/>
          <w:highlight w:val="white"/>
        </w:rPr>
      </w:r>
    </w:p>
    <w:p>
      <w:pPr>
        <w:ind w:left="0" w:firstLine="420"/>
        <w:jc w:val="center"/>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ind w:left="0" w:firstLine="420"/>
        <w:jc w:val="center"/>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关于资格文件的声明函</w:t>
      </w:r>
      <w:r>
        <w:rPr>
          <w:color w:val="000000" w:themeColor="text1"/>
          <w:highlight w:val="white"/>
        </w:rPr>
      </w:r>
    </w:p>
    <w:p>
      <w:pPr>
        <w:ind w:left="0" w:firstLine="420"/>
        <w:jc w:val="center"/>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u w:val="single"/>
        </w:rPr>
        <w:t xml:space="preserve">苏州合亿盛工程咨询有限公司</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本公司愿就由贵公司组织实施的编号为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号（项目编号）的磋商采购活动进行响应。本公司所提交的响应文件中所有关于磋商资格的文件、证明和陈述均是真实的、准确的。若与真实情况不符，本公司愿意承担由此而产生的一切后果。</w:t>
      </w:r>
      <w:r>
        <w:rPr>
          <w:color w:val="000000" w:themeColor="text1"/>
          <w:highlight w:val="white"/>
        </w:rPr>
      </w:r>
    </w:p>
    <w:p>
      <w:pPr>
        <w:ind w:left="0" w:firstLine="42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2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spacing w:line="360" w:lineRule="auto"/>
        <w:rPr>
          <w:rFonts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5" w:name="_Toc30056"/>
      <w:r>
        <w:rPr>
          <w:rFonts w:hint="eastAsia" w:ascii="宋体" w:hAnsi="宋体" w:cs="宋体"/>
          <w:b/>
          <w:color w:val="000000" w:themeColor="text1"/>
          <w:sz w:val="24"/>
          <w:szCs w:val="24"/>
          <w:highlight w:val="white"/>
        </w:rPr>
        <w:t xml:space="preserve">附件6、磋商响应单位基本情况表</w:t>
      </w:r>
      <w:bookmarkEnd w:id="55"/>
      <w:r>
        <w:rPr>
          <w:color w:val="000000" w:themeColor="text1"/>
          <w:highlight w:val="white"/>
        </w:rPr>
      </w:r>
      <w:r>
        <w:rPr>
          <w:color w:val="000000" w:themeColor="text1"/>
          <w:highlight w:val="white"/>
        </w:rPr>
      </w:r>
    </w:p>
    <w:p>
      <w:pPr>
        <w:ind w:left="0"/>
        <w:jc w:val="center"/>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4"/>
          <w:szCs w:val="24"/>
          <w:highlight w:val="white"/>
        </w:rPr>
        <w:t xml:space="preserve">磋商响应单位基本情况表</w:t>
      </w:r>
      <w:r>
        <w:rPr>
          <w:color w:val="000000" w:themeColor="text1"/>
          <w:highlight w:val="white"/>
        </w:rPr>
      </w:r>
    </w:p>
    <w:tbl>
      <w:tblPr>
        <w:tblStyle w:val="988"/>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法定代表人</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成立日期</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企业地址</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注册资本</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06"/>
              <w:ind w:left="0" w:firstLine="120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经营范围</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职工人数</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517"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其中：有中高级以上职称的人数</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006"/>
              <w:ind w:left="0" w:firstLine="0"/>
              <w:jc w:val="both"/>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资产总计</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06"/>
              <w:ind w:left="0" w:firstLine="0"/>
              <w:jc w:val="center"/>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06"/>
              <w:ind w:left="0" w:firstLine="0"/>
              <w:jc w:val="both"/>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净资产</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06"/>
              <w:ind w:left="0" w:firstLine="0"/>
              <w:jc w:val="center"/>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                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006"/>
              <w:ind w:left="0" w:firstLine="0"/>
              <w:jc w:val="both"/>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股东权益</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06"/>
              <w:ind w:left="0" w:firstLine="0"/>
              <w:jc w:val="center"/>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06"/>
              <w:ind w:left="0" w:firstLine="0"/>
              <w:jc w:val="both"/>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销售收入</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06"/>
              <w:ind w:left="0" w:firstLine="0"/>
              <w:jc w:val="center"/>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2025年          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实现利润</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2025年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营业面积（含厂房面积）</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06"/>
              <w:ind w:left="0" w:firstLine="0"/>
              <w:jc w:val="both"/>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        平方米</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其中：</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自有面积         平方米</w:t>
            </w:r>
            <w:r>
              <w:rPr>
                <w:color w:val="000000" w:themeColor="text1"/>
                <w:highlight w:val="white"/>
              </w:rPr>
            </w:r>
          </w:p>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承租面积         平方米</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单位简历及内设机构情况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单位优势及特长</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近三年来完成或正在履行的重大合同情况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最近3年内在经营过程中受到何种奖励或处分（包括情况和结果）</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最近3年内有无因售假、售劣或是其他原因被消费者投诉或起诉的情况及说明（包括解决方式和结果）</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最近3年内主要负责人有无因经济犯罪被司法机关追究的情况及说明</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获得技术认证的工程师及简介</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r>
        <w:trPr>
          <w:cantSplit/>
          <w:trHeight w:val="560"/>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其他需要说明的情况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006"/>
              <w:ind w:left="0" w:firstLine="0"/>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tc>
      </w:tr>
    </w:tbl>
    <w:p>
      <w:pPr>
        <w:ind w:left="0" w:firstLine="315"/>
        <w:jc w:val="left"/>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color w:val="000000" w:themeColor="text1"/>
          <w:highlight w:val="white"/>
        </w:rPr>
      </w:r>
      <w:bookmarkStart w:id="56" w:name="_Toc241"/>
      <w:r>
        <w:rPr>
          <w:color w:val="000000" w:themeColor="text1"/>
          <w:highlight w:val="white"/>
        </w:rPr>
      </w:r>
      <w:bookmarkStart w:id="57" w:name="_Toc7945"/>
      <w:r>
        <w:rPr>
          <w:color w:val="000000" w:themeColor="text1"/>
          <w:highlight w:val="white"/>
        </w:rPr>
      </w:r>
      <w:r>
        <w:rPr>
          <w:color w:val="000000" w:themeColor="text1"/>
          <w:highlight w:val="white"/>
        </w:rPr>
      </w:r>
    </w:p>
    <w:p>
      <w:pPr>
        <w:ind w:left="0" w:right="-20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bookmarkEnd w:id="56"/>
      <w:r>
        <w:rPr>
          <w:color w:val="000000" w:themeColor="text1"/>
          <w:highlight w:val="white"/>
        </w:rPr>
      </w:r>
      <w:bookmarkEnd w:id="57"/>
      <w:r>
        <w:rPr>
          <w:color w:val="000000" w:themeColor="text1"/>
          <w:highlight w:val="white"/>
        </w:rPr>
      </w:r>
      <w:r>
        <w:rPr>
          <w:color w:val="000000" w:themeColor="text1"/>
          <w:highlight w:val="white"/>
        </w:rPr>
      </w:r>
    </w:p>
    <w:p>
      <w:pPr>
        <w:pStyle w:val="1006"/>
        <w:ind w:left="0" w:firstLine="0"/>
        <w:jc w:val="both"/>
        <w:widowControl w:val="off"/>
        <w:rPr>
          <w:rStyle w:val="1004"/>
          <w:rFonts w:ascii="宋体" w:hAnsi="宋体" w:cs="宋体"/>
          <w:b/>
          <w:color w:val="000000" w:themeColor="text1"/>
          <w:szCs w:val="24"/>
          <w:highlight w:val="white"/>
        </w:rPr>
        <w:outlineLvl w:val="1"/>
      </w:pPr>
      <w:r>
        <w:rPr>
          <w:color w:val="000000" w:themeColor="text1"/>
          <w:highlight w:val="white"/>
        </w:rPr>
      </w:r>
      <w:bookmarkStart w:id="58" w:name="_Toc21574"/>
      <w:r>
        <w:rPr>
          <w:color w:val="000000" w:themeColor="text1"/>
          <w:highlight w:val="white"/>
        </w:rPr>
      </w:r>
      <w:bookmarkStart w:id="59" w:name="_Toc19621"/>
      <w:r>
        <w:rPr>
          <w:rFonts w:hint="eastAsia" w:ascii="宋体" w:hAnsi="宋体" w:cs="宋体"/>
          <w:b/>
          <w:color w:val="000000" w:themeColor="text1"/>
          <w:sz w:val="21"/>
          <w:szCs w:val="21"/>
          <w:highlight w:val="white"/>
        </w:rPr>
        <w:br w:type="page" w:clear="all"/>
      </w:r>
      <w:r>
        <w:rPr>
          <w:rFonts w:hint="eastAsia" w:ascii="宋体" w:hAnsi="宋体" w:cs="宋体"/>
          <w:b/>
          <w:color w:val="000000" w:themeColor="text1"/>
          <w:sz w:val="21"/>
          <w:szCs w:val="21"/>
          <w:highlight w:val="white"/>
        </w:rPr>
        <w:t xml:space="preserve">附件</w:t>
      </w:r>
      <w:r>
        <w:rPr>
          <w:rStyle w:val="1004"/>
          <w:rFonts w:hint="eastAsia" w:ascii="宋体" w:hAnsi="宋体" w:cs="宋体"/>
          <w:b/>
          <w:bCs/>
          <w:color w:val="000000" w:themeColor="text1"/>
          <w:szCs w:val="24"/>
          <w:highlight w:val="white"/>
        </w:rPr>
        <w:t xml:space="preserve">7、服务要求偏离表</w:t>
      </w:r>
      <w:r>
        <w:rPr>
          <w:color w:val="000000" w:themeColor="text1"/>
          <w:highlight w:val="white"/>
        </w:rPr>
      </w:r>
    </w:p>
    <w:p>
      <w:pPr>
        <w:ind w:left="0"/>
        <w:jc w:val="center"/>
        <w:spacing w:line="360" w:lineRule="auto"/>
        <w:widowControl w:val="off"/>
        <w:rPr>
          <w:rStyle w:val="1004"/>
          <w:rFonts w:ascii="宋体" w:hAnsi="宋体" w:cs="宋体"/>
          <w:b/>
          <w:color w:val="000000" w:themeColor="text1"/>
          <w:sz w:val="24"/>
          <w:szCs w:val="24"/>
          <w:highlight w:val="white"/>
        </w:rPr>
      </w:pPr>
      <w:r>
        <w:rPr>
          <w:rStyle w:val="1004"/>
          <w:rFonts w:hint="eastAsia" w:ascii="宋体" w:hAnsi="宋体" w:cs="宋体"/>
          <w:b/>
          <w:color w:val="000000" w:themeColor="text1"/>
          <w:sz w:val="24"/>
          <w:szCs w:val="24"/>
          <w:highlight w:val="white"/>
        </w:rPr>
        <w:t xml:space="preserve">服务要求偏离表</w:t>
      </w:r>
      <w:r>
        <w:rPr>
          <w:color w:val="000000" w:themeColor="text1"/>
          <w:highlight w:val="white"/>
        </w:rPr>
      </w:r>
    </w:p>
    <w:p>
      <w:pP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bl>
      <w:tblPr>
        <w:tblStyle w:val="988"/>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项目名称</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采购要求</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响应要求</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偏离/响应</w:t>
            </w:r>
            <w:r>
              <w:rPr>
                <w:color w:val="000000" w:themeColor="text1"/>
                <w:highlight w:val="white"/>
              </w:rP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说明</w:t>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bl>
    <w:p>
      <w:pPr>
        <w:ind w:left="0" w:firstLine="482"/>
        <w:widowControl w:val="off"/>
        <w:rPr>
          <w:rStyle w:val="1004"/>
          <w:rFonts w:ascii="宋体" w:hAnsi="宋体" w:cs="宋体"/>
          <w:b/>
          <w:color w:val="000000" w:themeColor="text1"/>
          <w:sz w:val="24"/>
          <w:szCs w:val="24"/>
          <w:highlight w:val="white"/>
        </w:rPr>
      </w:pPr>
      <w:r>
        <w:rPr>
          <w:rStyle w:val="1004"/>
          <w:rFonts w:hint="eastAsia" w:ascii="宋体" w:hAnsi="宋体" w:cs="宋体"/>
          <w:b/>
          <w:color w:val="000000" w:themeColor="text1"/>
          <w:sz w:val="24"/>
          <w:szCs w:val="24"/>
          <w:highlight w:val="white"/>
        </w:rPr>
        <w:t xml:space="preserve">注：1.响应人应对照磋商文件服务要求等要求，所投标的物与磋商文件的规定有偏离的，应在此表中申明与服务要求条文的偏差和例外。</w:t>
      </w:r>
      <w:r>
        <w:rPr>
          <w:color w:val="000000" w:themeColor="text1"/>
          <w:highlight w:val="white"/>
        </w:rPr>
      </w:r>
    </w:p>
    <w:p>
      <w:pPr>
        <w:ind w:left="0" w:firstLine="482"/>
        <w:widowControl w:val="off"/>
        <w:rPr>
          <w:rStyle w:val="1004"/>
          <w:rFonts w:ascii="宋体" w:hAnsi="宋体" w:cs="宋体"/>
          <w:color w:val="000000" w:themeColor="text1"/>
          <w:sz w:val="24"/>
          <w:szCs w:val="24"/>
          <w:highlight w:val="white"/>
        </w:rPr>
      </w:pPr>
      <w:r>
        <w:rPr>
          <w:rStyle w:val="1004"/>
          <w:rFonts w:hint="eastAsia" w:ascii="宋体" w:hAnsi="宋体" w:cs="宋体"/>
          <w:b/>
          <w:color w:val="000000" w:themeColor="text1"/>
          <w:sz w:val="24"/>
          <w:szCs w:val="24"/>
          <w:highlight w:val="whit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color w:val="000000" w:themeColor="text1"/>
          <w:highlight w:val="white"/>
        </w:rPr>
      </w:r>
    </w:p>
    <w:p>
      <w:pP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989"/>
        <w:ind w:firstLine="480"/>
        <w:rPr>
          <w:rFonts w:hAnsi="宋体" w:cs="宋体"/>
          <w:color w:val="000000" w:themeColor="text1"/>
          <w:highlight w:val="white"/>
        </w:rPr>
      </w:pPr>
      <w:r>
        <w:rPr>
          <w:rFonts w:hAnsi="宋体" w:cs="宋体"/>
          <w:color w:val="000000" w:themeColor="text1"/>
          <w:highlight w:val="white"/>
        </w:rPr>
      </w:r>
      <w:r>
        <w:rPr>
          <w:color w:val="000000" w:themeColor="text1"/>
          <w:highlight w:val="white"/>
        </w:rPr>
      </w:r>
    </w:p>
    <w:p>
      <w:pP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供应商：（盖章）</w:t>
      </w:r>
      <w:r>
        <w:rPr>
          <w:color w:val="000000" w:themeColor="text1"/>
          <w:highlight w:val="white"/>
        </w:rPr>
      </w:r>
    </w:p>
    <w:p>
      <w:pP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法定代表人或代理人：（签字或盖章）</w:t>
      </w:r>
      <w:r>
        <w:rPr>
          <w:color w:val="000000" w:themeColor="text1"/>
          <w:highlight w:val="white"/>
        </w:rPr>
      </w:r>
    </w:p>
    <w:p>
      <w:pPr>
        <w:spacing w:line="360" w:lineRule="auto"/>
        <w:widowControl w:val="off"/>
        <w:rPr>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日期：      年    月    日</w:t>
      </w:r>
      <w:r>
        <w:rPr>
          <w:color w:val="000000" w:themeColor="text1"/>
          <w:highlight w:val="white"/>
        </w:rPr>
      </w:r>
    </w:p>
    <w:p>
      <w:pPr>
        <w:pStyle w:val="1006"/>
        <w:ind w:left="0" w:firstLine="0"/>
        <w:widowControl w:val="off"/>
        <w:rPr>
          <w:rStyle w:val="1004"/>
          <w:rFonts w:ascii="宋体" w:hAnsi="宋体" w:cs="宋体"/>
          <w:b/>
          <w:color w:val="000000" w:themeColor="text1"/>
          <w:szCs w:val="24"/>
          <w:highlight w:val="white"/>
        </w:rPr>
        <w:outlineLvl w:val="1"/>
      </w:pPr>
      <w:r>
        <w:rPr>
          <w:rStyle w:val="1004"/>
          <w:rFonts w:hint="eastAsia" w:ascii="宋体" w:hAnsi="宋体" w:cs="宋体"/>
          <w:b/>
          <w:color w:val="000000" w:themeColor="text1"/>
          <w:szCs w:val="24"/>
          <w:highlight w:val="white"/>
        </w:rPr>
        <w:br w:type="page" w:clear="all"/>
      </w:r>
      <w:bookmarkStart w:id="60" w:name="_Toc6051"/>
      <w:r>
        <w:rPr>
          <w:rStyle w:val="1004"/>
          <w:rFonts w:hint="eastAsia" w:ascii="宋体" w:hAnsi="宋体" w:cs="宋体"/>
          <w:b/>
          <w:color w:val="000000" w:themeColor="text1"/>
          <w:szCs w:val="24"/>
          <w:highlight w:val="white"/>
        </w:rPr>
        <w:t xml:space="preserve">附件8、商务条款偏离表</w:t>
      </w:r>
      <w:bookmarkEnd w:id="60"/>
      <w:r>
        <w:rPr>
          <w:color w:val="000000" w:themeColor="text1"/>
          <w:highlight w:val="white"/>
        </w:rPr>
      </w:r>
      <w:r>
        <w:rPr>
          <w:color w:val="000000" w:themeColor="text1"/>
          <w:highlight w:val="white"/>
        </w:rPr>
      </w:r>
    </w:p>
    <w:p>
      <w:pPr>
        <w:pStyle w:val="1009"/>
        <w:ind w:left="0" w:firstLine="0"/>
        <w:jc w:val="center"/>
        <w:widowControl w:val="off"/>
        <w:rPr>
          <w:rStyle w:val="1004"/>
          <w:rFonts w:ascii="宋体" w:hAnsi="宋体" w:cs="宋体"/>
          <w:b/>
          <w:color w:val="000000" w:themeColor="text1"/>
          <w:highlight w:val="white"/>
        </w:rPr>
      </w:pPr>
      <w:r>
        <w:rPr>
          <w:rStyle w:val="1004"/>
          <w:rFonts w:hint="eastAsia" w:ascii="宋体" w:hAnsi="宋体" w:cs="宋体"/>
          <w:b/>
          <w:color w:val="000000" w:themeColor="text1"/>
          <w:highlight w:val="white"/>
        </w:rPr>
        <w:t xml:space="preserve">商务条款偏离表</w:t>
      </w:r>
      <w:r>
        <w:rPr>
          <w:color w:val="000000" w:themeColor="text1"/>
          <w:highlight w:val="white"/>
        </w:rPr>
      </w:r>
    </w:p>
    <w:p>
      <w:pP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bl>
      <w:tblPr>
        <w:tblStyle w:val="988"/>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磋商文件条目号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磋商文件的商务条款</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响应文件的商务条款</w:t>
            </w:r>
            <w:r>
              <w:rPr>
                <w:color w:val="000000" w:themeColor="text1"/>
                <w:highlight w:val="white"/>
              </w:rP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说明</w:t>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bl>
    <w:p>
      <w:pPr>
        <w:pStyle w:val="1009"/>
        <w:spacing w:line="240" w:lineRule="auto"/>
        <w:widowControl w:val="off"/>
        <w:rPr>
          <w:rStyle w:val="1004"/>
          <w:rFonts w:ascii="宋体" w:hAnsi="宋体" w:cs="宋体"/>
          <w:b/>
          <w:color w:val="000000" w:themeColor="text1"/>
          <w:highlight w:val="white"/>
        </w:rPr>
      </w:pPr>
      <w:r>
        <w:rPr>
          <w:rStyle w:val="1004"/>
          <w:rFonts w:hint="eastAsia" w:ascii="宋体" w:hAnsi="宋体" w:cs="宋体"/>
          <w:b/>
          <w:color w:val="000000" w:themeColor="text1"/>
          <w:highlight w:val="whit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highlight w:val="white"/>
        </w:rPr>
      </w:r>
    </w:p>
    <w:p>
      <w:pPr>
        <w:ind w:firstLine="480"/>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1009"/>
        <w:widowControl w:val="off"/>
        <w:rPr>
          <w:rStyle w:val="1004"/>
          <w:rFonts w:ascii="宋体" w:hAnsi="宋体" w:cs="宋体"/>
          <w:color w:val="000000" w:themeColor="text1"/>
          <w:highlight w:val="white"/>
        </w:rPr>
      </w:pPr>
      <w:r>
        <w:rPr>
          <w:rStyle w:val="1004"/>
          <w:rFonts w:hint="eastAsia" w:ascii="宋体" w:hAnsi="宋体" w:cs="宋体"/>
          <w:color w:val="000000" w:themeColor="text1"/>
          <w:highlight w:val="white"/>
        </w:rPr>
        <w:t xml:space="preserve">供应商：（盖章）</w:t>
      </w:r>
      <w:r>
        <w:rPr>
          <w:color w:val="000000" w:themeColor="text1"/>
          <w:highlight w:val="white"/>
        </w:rPr>
      </w:r>
    </w:p>
    <w:p>
      <w:pPr>
        <w:pStyle w:val="1009"/>
        <w:widowControl w:val="off"/>
        <w:rPr>
          <w:rStyle w:val="1004"/>
          <w:rFonts w:ascii="宋体" w:hAnsi="宋体" w:cs="宋体"/>
          <w:color w:val="000000" w:themeColor="text1"/>
          <w:highlight w:val="white"/>
        </w:rPr>
      </w:pPr>
      <w:r>
        <w:rPr>
          <w:rStyle w:val="1004"/>
          <w:rFonts w:hint="eastAsia" w:ascii="宋体" w:hAnsi="宋体" w:cs="宋体"/>
          <w:color w:val="000000" w:themeColor="text1"/>
          <w:highlight w:val="white"/>
        </w:rPr>
        <w:t xml:space="preserve">法定代表人或代理人：（签字或盖章）</w:t>
      </w:r>
      <w:r>
        <w:rPr>
          <w:color w:val="000000" w:themeColor="text1"/>
          <w:highlight w:val="white"/>
        </w:rPr>
      </w:r>
    </w:p>
    <w:p>
      <w:pPr>
        <w:pStyle w:val="1009"/>
        <w:widowControl w:val="off"/>
        <w:rPr>
          <w:rStyle w:val="1004"/>
          <w:rFonts w:ascii="宋体" w:hAnsi="宋体" w:cs="宋体"/>
          <w:color w:val="000000" w:themeColor="text1"/>
          <w:sz w:val="21"/>
          <w:szCs w:val="21"/>
          <w:highlight w:val="white"/>
        </w:rPr>
      </w:pPr>
      <w:r>
        <w:rPr>
          <w:rStyle w:val="1004"/>
          <w:rFonts w:hint="eastAsia" w:ascii="宋体" w:hAnsi="宋体" w:cs="宋体"/>
          <w:color w:val="000000" w:themeColor="text1"/>
          <w:highlight w:val="white"/>
        </w:rPr>
        <w:t xml:space="preserve">日期：      年    月    日</w:t>
      </w:r>
      <w:r>
        <w:rPr>
          <w:color w:val="000000" w:themeColor="text1"/>
          <w:highlight w:val="white"/>
        </w:rPr>
      </w:r>
    </w:p>
    <w:p>
      <w:pPr>
        <w:pStyle w:val="1006"/>
        <w:ind w:left="0" w:firstLine="0"/>
        <w:jc w:val="both"/>
        <w:spacing w:line="360" w:lineRule="auto"/>
        <w:widowControl w:val="off"/>
        <w:rPr>
          <w:rStyle w:val="1004"/>
          <w:rFonts w:ascii="宋体" w:hAnsi="宋体" w:cs="宋体"/>
          <w:b/>
          <w:color w:val="000000" w:themeColor="text1"/>
          <w:szCs w:val="24"/>
          <w:highlight w:val="white"/>
        </w:rPr>
        <w:outlineLvl w:val="1"/>
      </w:pPr>
      <w:r>
        <w:rPr>
          <w:rStyle w:val="1004"/>
          <w:rFonts w:hint="eastAsia" w:ascii="宋体" w:hAnsi="宋体" w:cs="宋体"/>
          <w:b/>
          <w:color w:val="000000" w:themeColor="text1"/>
          <w:sz w:val="21"/>
          <w:szCs w:val="21"/>
          <w:highlight w:val="white"/>
        </w:rPr>
        <w:br w:type="page" w:clear="all"/>
      </w:r>
      <w:bookmarkStart w:id="61" w:name="_Toc5258"/>
      <w:r>
        <w:rPr>
          <w:color w:val="000000" w:themeColor="text1"/>
          <w:highlight w:val="white"/>
        </w:rPr>
      </w:r>
      <w:bookmarkStart w:id="62" w:name="_Toc23227"/>
      <w:r>
        <w:rPr>
          <w:rStyle w:val="1004"/>
          <w:rFonts w:hint="eastAsia" w:ascii="宋体" w:hAnsi="宋体" w:cs="宋体"/>
          <w:b/>
          <w:color w:val="000000" w:themeColor="text1"/>
          <w:szCs w:val="24"/>
          <w:highlight w:val="white"/>
        </w:rPr>
        <w:t xml:space="preserve">附件9</w:t>
      </w:r>
      <w:r>
        <w:rPr>
          <w:rStyle w:val="1004"/>
          <w:rFonts w:hint="eastAsia" w:ascii="宋体" w:hAnsi="宋体" w:cs="宋体"/>
          <w:b/>
          <w:bCs/>
          <w:color w:val="000000" w:themeColor="text1"/>
          <w:szCs w:val="24"/>
          <w:highlight w:val="white"/>
        </w:rPr>
        <w:t xml:space="preserve">、</w:t>
      </w:r>
      <w:r>
        <w:rPr>
          <w:rStyle w:val="1004"/>
          <w:rFonts w:hint="eastAsia" w:ascii="宋体" w:hAnsi="宋体" w:cs="宋体"/>
          <w:b/>
          <w:color w:val="000000" w:themeColor="text1"/>
          <w:szCs w:val="24"/>
          <w:highlight w:val="white"/>
        </w:rPr>
        <w:t xml:space="preserve">实施方案</w:t>
      </w:r>
      <w:r>
        <w:rPr>
          <w:color w:val="000000" w:themeColor="text1"/>
          <w:highlight w:val="white"/>
        </w:rPr>
      </w:r>
    </w:p>
    <w:p>
      <w:pPr>
        <w:pStyle w:val="1006"/>
        <w:ind w:left="0" w:firstLine="0"/>
        <w:jc w:val="center"/>
        <w:spacing w:line="360" w:lineRule="auto"/>
        <w:widowControl w:val="off"/>
        <w:rPr>
          <w:rStyle w:val="1004"/>
          <w:rFonts w:ascii="宋体" w:hAnsi="宋体" w:cs="宋体"/>
          <w:b/>
          <w:color w:val="000000" w:themeColor="text1"/>
          <w:szCs w:val="24"/>
          <w:highlight w:val="white"/>
        </w:rPr>
      </w:pPr>
      <w:r>
        <w:rPr>
          <w:rStyle w:val="1004"/>
          <w:rFonts w:hint="eastAsia" w:ascii="宋体" w:hAnsi="宋体" w:cs="宋体"/>
          <w:b/>
          <w:color w:val="000000" w:themeColor="text1"/>
          <w:szCs w:val="24"/>
          <w:highlight w:val="white"/>
        </w:rPr>
        <w:t xml:space="preserve">实施方案</w:t>
      </w:r>
      <w:r>
        <w:rPr>
          <w:color w:val="000000" w:themeColor="text1"/>
          <w:highlight w:val="white"/>
        </w:rPr>
      </w:r>
    </w:p>
    <w:tbl>
      <w:tblPr>
        <w:tblStyle w:val="988"/>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Borders>
              <w:top w:val="single" w:color="000000" w:sz="12" w:space="0"/>
              <w:left w:val="single" w:color="000000" w:sz="12" w:space="0"/>
              <w:bottom w:val="single" w:color="000000" w:sz="6" w:space="0"/>
              <w:right w:val="single" w:color="000000" w:sz="12" w:space="0"/>
            </w:tcBorders>
            <w:tcW w:w="8482" w:type="dxa"/>
            <w:textDirection w:val="lrTb"/>
            <w:noWrap w:val="false"/>
          </w:tcPr>
          <w:p>
            <w:pPr>
              <w:pStyle w:val="1007"/>
              <w:ind w:left="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提示：</w:t>
            </w:r>
            <w:r>
              <w:rPr>
                <w:color w:val="000000" w:themeColor="text1"/>
                <w:highlight w:val="white"/>
              </w:rPr>
            </w:r>
          </w:p>
          <w:p>
            <w:pPr>
              <w:pStyle w:val="1007"/>
              <w:ind w:left="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1.供应商应根据本次采购项目要求，对所投服务进行详细的说明与描述。</w:t>
            </w:r>
            <w:r>
              <w:rPr>
                <w:color w:val="000000" w:themeColor="text1"/>
                <w:highlight w:val="white"/>
              </w:rPr>
            </w:r>
          </w:p>
          <w:p>
            <w:pPr>
              <w:pStyle w:val="1007"/>
              <w:ind w:left="0"/>
              <w:widowControl w:val="off"/>
              <w:rPr>
                <w:rStyle w:val="1004"/>
                <w:rFonts w:hAnsi="宋体" w:cs="宋体"/>
                <w:color w:val="000000" w:themeColor="text1"/>
                <w:sz w:val="24"/>
                <w:szCs w:val="24"/>
                <w:highlight w:val="white"/>
              </w:rPr>
            </w:pPr>
            <w:r>
              <w:rPr>
                <w:rStyle w:val="1004"/>
                <w:rFonts w:hint="eastAsia" w:hAnsi="宋体" w:cs="宋体"/>
                <w:color w:val="000000" w:themeColor="text1"/>
                <w:sz w:val="24"/>
                <w:szCs w:val="24"/>
                <w:highlight w:val="white"/>
              </w:rPr>
              <w:t xml:space="preserve">2.供应商可根据自身情况编写，本页不够可另加页附后。</w:t>
            </w:r>
            <w:r>
              <w:rPr>
                <w:color w:val="000000" w:themeColor="text1"/>
                <w:highlight w:val="white"/>
              </w:rPr>
            </w:r>
          </w:p>
        </w:tc>
      </w:tr>
      <w:tr>
        <w:trPr>
          <w:jc w:val="center"/>
          <w:trHeight w:val="8913"/>
        </w:trPr>
        <w:tc>
          <w:tcPr>
            <w:tcBorders>
              <w:top w:val="single" w:color="000000" w:sz="6" w:space="0"/>
              <w:left w:val="single" w:color="000000" w:sz="12" w:space="0"/>
              <w:bottom w:val="single" w:color="000000" w:sz="12" w:space="0"/>
              <w:right w:val="single" w:color="000000" w:sz="12" w:space="0"/>
            </w:tcBorders>
            <w:tcW w:w="8482" w:type="dxa"/>
            <w:vAlign w:val="bottom"/>
            <w:textDirection w:val="lrTb"/>
            <w:noWrap w:val="false"/>
          </w:tcPr>
          <w:p>
            <w:pPr>
              <w:ind w:left="0" w:firstLine="240"/>
              <w:widowControl w:val="off"/>
              <w:tabs>
                <w:tab w:val="left" w:pos="1320" w:leader="none"/>
              </w:tabs>
              <w:rPr>
                <w:rStyle w:val="1004"/>
                <w:rFonts w:ascii="宋体" w:hAnsi="宋体" w:cs="宋体"/>
                <w:color w:val="000000" w:themeColor="text1"/>
                <w:sz w:val="24"/>
                <w:szCs w:val="24"/>
                <w:highlight w:val="white"/>
                <w:u w:val="single"/>
              </w:rPr>
            </w:pPr>
            <w:r>
              <w:rPr>
                <w:rFonts w:ascii="宋体" w:hAnsi="宋体" w:cs="宋体"/>
                <w:color w:val="000000" w:themeColor="text1"/>
                <w:sz w:val="24"/>
                <w:szCs w:val="24"/>
                <w:highlight w:val="white"/>
                <w:u w:val="single"/>
              </w:rPr>
            </w:r>
            <w:r>
              <w:rPr>
                <w:color w:val="000000" w:themeColor="text1"/>
                <w:highlight w:val="white"/>
              </w:rPr>
            </w:r>
          </w:p>
        </w:tc>
      </w:tr>
    </w:tbl>
    <w:p>
      <w:pPr>
        <w:pStyle w:val="1006"/>
        <w:ind w:firstLine="0"/>
        <w:widowControl w:val="off"/>
        <w:rPr>
          <w:rStyle w:val="1004"/>
          <w:rFonts w:ascii="宋体" w:hAnsi="宋体" w:cs="宋体"/>
          <w:b/>
          <w:color w:val="000000" w:themeColor="text1"/>
          <w:szCs w:val="24"/>
          <w:highlight w:val="white"/>
        </w:rPr>
      </w:pPr>
      <w:r>
        <w:rPr>
          <w:rFonts w:ascii="宋体" w:hAnsi="宋体" w:cs="宋体"/>
          <w:b/>
          <w:color w:val="000000" w:themeColor="text1"/>
          <w:szCs w:val="24"/>
          <w:highlight w:val="white"/>
        </w:rPr>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供应商：（盖章）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日期：      年    月    日</w:t>
      </w:r>
      <w:r>
        <w:rPr>
          <w:color w:val="000000" w:themeColor="text1"/>
          <w:highlight w:val="white"/>
        </w:rPr>
      </w:r>
    </w:p>
    <w:p>
      <w:pPr>
        <w:pStyle w:val="1009"/>
        <w:ind w:left="0" w:firstLine="0"/>
        <w:widowControl w:val="off"/>
        <w:rPr>
          <w:rStyle w:val="1004"/>
          <w:rFonts w:ascii="宋体" w:hAnsi="宋体" w:cs="宋体"/>
          <w:color w:val="000000" w:themeColor="text1"/>
          <w:szCs w:val="24"/>
          <w:highlight w:val="white"/>
        </w:rPr>
        <w:outlineLvl w:val="1"/>
      </w:pPr>
      <w:r>
        <w:rPr>
          <w:rStyle w:val="1004"/>
          <w:rFonts w:hint="eastAsia" w:ascii="宋体" w:hAnsi="宋体" w:cs="宋体"/>
          <w:b/>
          <w:color w:val="000000" w:themeColor="text1"/>
          <w:szCs w:val="24"/>
          <w:highlight w:val="white"/>
        </w:rPr>
        <w:br w:type="page" w:clear="all"/>
      </w:r>
      <w:r>
        <w:rPr>
          <w:rStyle w:val="1004"/>
          <w:rFonts w:hint="eastAsia" w:ascii="宋体" w:hAnsi="宋体" w:cs="宋体"/>
          <w:b/>
          <w:color w:val="000000" w:themeColor="text1"/>
          <w:szCs w:val="24"/>
          <w:highlight w:val="white"/>
        </w:rPr>
        <w:t xml:space="preserve">附件10、拟投入本项目人员配备一览表</w:t>
      </w:r>
      <w:bookmarkEnd w:id="61"/>
      <w:r>
        <w:rPr>
          <w:color w:val="000000" w:themeColor="text1"/>
          <w:highlight w:val="white"/>
        </w:rPr>
      </w:r>
      <w:bookmarkEnd w:id="62"/>
      <w:r>
        <w:rPr>
          <w:color w:val="000000" w:themeColor="text1"/>
          <w:highlight w:val="white"/>
        </w:rPr>
      </w:r>
      <w:r>
        <w:rPr>
          <w:color w:val="000000" w:themeColor="text1"/>
          <w:highlight w:val="white"/>
        </w:rPr>
      </w:r>
    </w:p>
    <w:p>
      <w:pPr>
        <w:widowControl w:val="off"/>
        <w:rPr>
          <w:rStyle w:val="1004"/>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1009"/>
        <w:ind w:left="0" w:firstLine="0"/>
        <w:jc w:val="center"/>
        <w:widowControl w:val="off"/>
        <w:rPr>
          <w:rStyle w:val="1004"/>
          <w:rFonts w:ascii="宋体" w:hAnsi="宋体" w:cs="宋体"/>
          <w:b/>
          <w:color w:val="000000" w:themeColor="text1"/>
          <w:szCs w:val="24"/>
          <w:highlight w:val="white"/>
        </w:rPr>
      </w:pPr>
      <w:r>
        <w:rPr>
          <w:rStyle w:val="1004"/>
          <w:rFonts w:hint="eastAsia" w:ascii="宋体" w:hAnsi="宋体" w:cs="宋体"/>
          <w:b/>
          <w:color w:val="000000" w:themeColor="text1"/>
          <w:szCs w:val="24"/>
          <w:highlight w:val="white"/>
        </w:rPr>
        <w:t xml:space="preserve">拟投入本项目人员配备一览表</w:t>
      </w:r>
      <w:r>
        <w:rPr>
          <w:color w:val="000000" w:themeColor="text1"/>
          <w:highlight w:val="white"/>
        </w:rPr>
      </w:r>
    </w:p>
    <w:tbl>
      <w:tblPr>
        <w:tblStyle w:val="988"/>
        <w:tblW w:w="944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8"/>
        <w:gridCol w:w="1435"/>
        <w:gridCol w:w="991"/>
        <w:gridCol w:w="566"/>
        <w:gridCol w:w="567"/>
        <w:gridCol w:w="931"/>
        <w:gridCol w:w="1337"/>
        <w:gridCol w:w="1288"/>
        <w:gridCol w:w="1547"/>
      </w:tblGrid>
      <w:tr>
        <w:trPr>
          <w:jc w:val="center"/>
          <w:trHeight w:val="894"/>
        </w:trPr>
        <w:tc>
          <w:tcPr>
            <w:tcBorders>
              <w:top w:val="single" w:color="000000" w:sz="8"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项目组所任职务</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姓名</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性别</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年龄</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职称</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专业/资格</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从事本工作时间</w:t>
            </w:r>
            <w:r>
              <w:rPr>
                <w:color w:val="000000" w:themeColor="text1"/>
                <w:highlight w:val="white"/>
              </w:rPr>
            </w:r>
          </w:p>
        </w:tc>
        <w:tc>
          <w:tcPr>
            <w:tcBorders>
              <w:top w:val="single" w:color="000000" w:sz="8"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典型业务与技术专长</w:t>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4</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5</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6</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7</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8</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9</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10"/>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8" w:space="0"/>
              <w:right w:val="single" w:color="000000" w:sz="4" w:space="0"/>
            </w:tcBorders>
            <w:tcW w:w="778"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10</w:t>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435"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991"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566"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931"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337"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288"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8" w:space="0"/>
            </w:tcBorders>
            <w:tcW w:w="1547" w:type="dxa"/>
            <w:vAlign w:val="center"/>
            <w:textDirection w:val="lrTb"/>
            <w:noWrap w:val="false"/>
          </w:tcPr>
          <w:p>
            <w:pPr>
              <w:ind w:left="0"/>
              <w:jc w:val="center"/>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bl>
    <w:p>
      <w:pPr>
        <w:pStyle w:val="1009"/>
        <w:widowControl w:val="off"/>
        <w:rPr>
          <w:rStyle w:val="1004"/>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p>
    <w:p>
      <w:pPr>
        <w:ind w:firstLine="482"/>
        <w:spacing w:line="360" w:lineRule="auto"/>
        <w:widowControl w:val="off"/>
        <w:rPr>
          <w:rStyle w:val="1004"/>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供应商：（单位盖章）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日期：      年    月    日</w:t>
      </w:r>
      <w:r>
        <w:rPr>
          <w:color w:val="000000" w:themeColor="text1"/>
          <w:highlight w:val="white"/>
        </w:rPr>
      </w:r>
    </w:p>
    <w:p>
      <w:pPr>
        <w:pStyle w:val="1009"/>
        <w:ind w:left="0" w:firstLine="0"/>
        <w:widowControl w:val="off"/>
        <w:rPr>
          <w:rStyle w:val="1004"/>
          <w:rFonts w:ascii="宋体" w:hAnsi="宋体" w:cs="宋体"/>
          <w:b/>
          <w:color w:val="000000" w:themeColor="text1"/>
          <w:highlight w:val="white"/>
        </w:rPr>
        <w:outlineLvl w:val="1"/>
      </w:pPr>
      <w:r>
        <w:rPr>
          <w:rStyle w:val="1004"/>
          <w:rFonts w:hint="eastAsia" w:ascii="宋体" w:hAnsi="宋体" w:cs="宋体"/>
          <w:color w:val="000000" w:themeColor="text1"/>
          <w:sz w:val="21"/>
          <w:szCs w:val="21"/>
          <w:highlight w:val="white"/>
        </w:rPr>
        <w:br w:type="page" w:clear="all"/>
      </w:r>
      <w:bookmarkStart w:id="63" w:name="_Toc5921"/>
      <w:r>
        <w:rPr>
          <w:rStyle w:val="1004"/>
          <w:rFonts w:hint="eastAsia" w:ascii="宋体" w:hAnsi="宋体" w:cs="宋体"/>
          <w:b/>
          <w:color w:val="000000" w:themeColor="text1"/>
          <w:highlight w:val="white"/>
        </w:rPr>
        <w:t xml:space="preserve">附件11、企业类似项目一览表</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jc w:val="center"/>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企业类似项目一览表</w:t>
      </w:r>
      <w:r>
        <w:rPr>
          <w:color w:val="000000" w:themeColor="text1"/>
          <w:highlight w:val="white"/>
        </w:rPr>
      </w:r>
    </w:p>
    <w:p>
      <w:pPr>
        <w:spacing w:line="360" w:lineRule="auto"/>
        <w:widowControl w:val="off"/>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tbl>
      <w:tblPr>
        <w:tblStyle w:val="9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序号</w:t>
            </w:r>
            <w:r>
              <w:rPr>
                <w:color w:val="000000" w:themeColor="text1"/>
                <w:highlight w:val="white"/>
              </w:rPr>
            </w:r>
          </w:p>
        </w:tc>
        <w:tc>
          <w:tcPr>
            <w:tcW w:w="1649" w:type="dxa"/>
            <w:vAlign w:val="center"/>
            <w:textDirection w:val="lrTb"/>
            <w:noWrap w:val="false"/>
          </w:tcPr>
          <w:p>
            <w:pPr>
              <w:ind w:left="0"/>
              <w:jc w:val="center"/>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合同名称</w:t>
            </w:r>
            <w:r>
              <w:rPr>
                <w:color w:val="000000" w:themeColor="text1"/>
                <w:highlight w:val="white"/>
              </w:rPr>
            </w:r>
          </w:p>
        </w:tc>
        <w:tc>
          <w:tcPr>
            <w:tcW w:w="1506" w:type="dxa"/>
            <w:vAlign w:val="center"/>
            <w:textDirection w:val="lrTb"/>
            <w:noWrap w:val="false"/>
          </w:tcPr>
          <w:p>
            <w:pPr>
              <w:ind w:left="0"/>
              <w:jc w:val="center"/>
              <w:widowControl w:val="off"/>
              <w:tabs>
                <w:tab w:val="left" w:pos="6252"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业主单位</w:t>
            </w:r>
            <w:r>
              <w:rPr>
                <w:color w:val="000000" w:themeColor="text1"/>
                <w:highlight w:val="white"/>
              </w:rPr>
            </w:r>
          </w:p>
        </w:tc>
        <w:tc>
          <w:tcPr>
            <w:tcW w:w="1506" w:type="dxa"/>
            <w:vAlign w:val="center"/>
            <w:textDirection w:val="lrTb"/>
            <w:noWrap w:val="false"/>
          </w:tcPr>
          <w:p>
            <w:pPr>
              <w:ind w:left="0"/>
              <w:jc w:val="center"/>
              <w:widowControl w:val="off"/>
              <w:tabs>
                <w:tab w:val="left" w:pos="6252"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项目时间</w:t>
            </w:r>
            <w:r>
              <w:rPr>
                <w:color w:val="000000" w:themeColor="text1"/>
                <w:highlight w:val="white"/>
              </w:rPr>
            </w:r>
          </w:p>
        </w:tc>
        <w:tc>
          <w:tcPr>
            <w:tcW w:w="1757" w:type="dxa"/>
            <w:vAlign w:val="center"/>
            <w:textDirection w:val="lrTb"/>
            <w:noWrap w:val="false"/>
          </w:tcPr>
          <w:p>
            <w:pPr>
              <w:ind w:left="0"/>
              <w:jc w:val="center"/>
              <w:widowControl w:val="off"/>
              <w:tabs>
                <w:tab w:val="left" w:pos="6252"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合同金额</w:t>
            </w:r>
            <w:r>
              <w:rPr>
                <w:color w:val="000000" w:themeColor="text1"/>
                <w:highlight w:val="white"/>
              </w:rPr>
            </w:r>
          </w:p>
        </w:tc>
        <w:tc>
          <w:tcPr>
            <w:tcW w:w="1201" w:type="dxa"/>
            <w:vAlign w:val="center"/>
            <w:textDirection w:val="lrTb"/>
            <w:noWrap w:val="false"/>
          </w:tcPr>
          <w:p>
            <w:pPr>
              <w:ind w:left="0"/>
              <w:jc w:val="center"/>
              <w:widowControl w:val="off"/>
              <w:tabs>
                <w:tab w:val="left" w:pos="6252"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备注</w:t>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tc>
      </w:tr>
    </w:tbl>
    <w:p>
      <w:pPr>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1006"/>
        <w:ind w:firstLine="0"/>
        <w:jc w:val="both"/>
        <w:spacing w:line="360" w:lineRule="auto"/>
        <w:widowControl w:val="off"/>
        <w:rPr>
          <w:rStyle w:val="1004"/>
          <w:rFonts w:ascii="宋体" w:hAnsi="宋体" w:cs="宋体"/>
          <w:b/>
          <w:color w:val="000000" w:themeColor="text1"/>
          <w:szCs w:val="24"/>
          <w:highlight w:val="white"/>
        </w:rPr>
      </w:pPr>
      <w:r>
        <w:rPr>
          <w:rFonts w:ascii="宋体" w:hAnsi="宋体" w:cs="宋体"/>
          <w:b/>
          <w:color w:val="000000" w:themeColor="text1"/>
          <w:szCs w:val="24"/>
          <w:highlight w:val="white"/>
        </w:rPr>
      </w:r>
      <w:r>
        <w:rPr>
          <w:color w:val="000000" w:themeColor="text1"/>
          <w:highlight w:val="white"/>
        </w:rPr>
      </w:r>
    </w:p>
    <w:p>
      <w:pPr>
        <w:pStyle w:val="1009"/>
        <w:widowControl w:val="off"/>
        <w:rPr>
          <w:rStyle w:val="1004"/>
          <w:rFonts w:ascii="宋体" w:hAnsi="宋体" w:cs="宋体"/>
          <w:color w:val="000000" w:themeColor="text1"/>
          <w:highlight w:val="white"/>
        </w:rPr>
      </w:pPr>
      <w:r>
        <w:rPr>
          <w:rStyle w:val="1004"/>
          <w:rFonts w:hint="eastAsia" w:ascii="宋体" w:hAnsi="宋体" w:cs="宋体"/>
          <w:color w:val="000000" w:themeColor="text1"/>
          <w:highlight w:val="white"/>
        </w:rPr>
        <w:t xml:space="preserve">供应商：（单位盖章）</w:t>
      </w:r>
      <w:r>
        <w:rPr>
          <w:color w:val="000000" w:themeColor="text1"/>
          <w:highlight w:val="white"/>
        </w:rPr>
      </w:r>
    </w:p>
    <w:p>
      <w:pPr>
        <w:pStyle w:val="1009"/>
        <w:widowControl w:val="off"/>
        <w:rPr>
          <w:rStyle w:val="1004"/>
          <w:rFonts w:ascii="宋体" w:hAnsi="宋体" w:cs="宋体"/>
          <w:color w:val="000000" w:themeColor="text1"/>
          <w:highlight w:val="white"/>
        </w:rPr>
      </w:pPr>
      <w:r>
        <w:rPr>
          <w:rStyle w:val="1004"/>
          <w:rFonts w:hint="eastAsia" w:ascii="宋体" w:hAnsi="宋体" w:cs="宋体"/>
          <w:color w:val="000000" w:themeColor="text1"/>
          <w:highlight w:val="white"/>
        </w:rPr>
        <w:t xml:space="preserve">法定代表人或代理人：（签字或盖章）</w:t>
      </w:r>
      <w:r>
        <w:rPr>
          <w:color w:val="000000" w:themeColor="text1"/>
          <w:highlight w:val="white"/>
        </w:rPr>
      </w:r>
    </w:p>
    <w:p>
      <w:pPr>
        <w:pStyle w:val="1009"/>
        <w:widowControl w:val="off"/>
        <w:rPr>
          <w:rStyle w:val="1004"/>
          <w:rFonts w:ascii="宋体" w:hAnsi="宋体" w:cs="宋体"/>
          <w:color w:val="000000" w:themeColor="text1"/>
          <w:highlight w:val="white"/>
        </w:rPr>
      </w:pPr>
      <w:r>
        <w:rPr>
          <w:rStyle w:val="1004"/>
          <w:rFonts w:hint="eastAsia" w:ascii="宋体" w:hAnsi="宋体" w:cs="宋体"/>
          <w:color w:val="000000" w:themeColor="text1"/>
          <w:highlight w:val="white"/>
        </w:rPr>
        <w:t xml:space="preserve">日期：   年   月   日</w:t>
      </w:r>
      <w:r>
        <w:rPr>
          <w:color w:val="000000" w:themeColor="text1"/>
          <w:highlight w:val="white"/>
        </w:rPr>
      </w:r>
    </w:p>
    <w:p>
      <w:pPr>
        <w:pStyle w:val="1006"/>
        <w:ind w:left="0" w:firstLine="0"/>
        <w:jc w:val="both"/>
        <w:spacing w:line="360" w:lineRule="auto"/>
        <w:widowControl w:val="off"/>
        <w:rPr>
          <w:rFonts w:ascii="宋体" w:hAnsi="宋体" w:cs="宋体"/>
          <w:b/>
          <w:color w:val="000000" w:themeColor="text1"/>
          <w:sz w:val="21"/>
          <w:szCs w:val="21"/>
          <w:highlight w:val="white"/>
        </w:rPr>
        <w:outlineLvl w:val="1"/>
      </w:pPr>
      <w:r>
        <w:rPr>
          <w:rFonts w:hint="eastAsia" w:ascii="宋体" w:hAnsi="宋体" w:cs="宋体"/>
          <w:b/>
          <w:color w:val="000000" w:themeColor="text1"/>
          <w:sz w:val="21"/>
          <w:szCs w:val="21"/>
          <w:highlight w:val="white"/>
        </w:rPr>
        <w:br w:type="page" w:clear="all"/>
      </w:r>
      <w:r>
        <w:rPr>
          <w:rFonts w:hint="eastAsia" w:ascii="宋体" w:hAnsi="宋体" w:cs="宋体"/>
          <w:b/>
          <w:color w:val="000000" w:themeColor="text1"/>
          <w:szCs w:val="24"/>
          <w:highlight w:val="white"/>
        </w:rPr>
        <w:t xml:space="preserve">附件12、中小企业声明函</w:t>
      </w:r>
      <w:bookmarkEnd w:id="58"/>
      <w:r>
        <w:rPr>
          <w:color w:val="000000" w:themeColor="text1"/>
          <w:highlight w:val="white"/>
        </w:rPr>
      </w:r>
      <w:bookmarkEnd w:id="59"/>
      <w:r>
        <w:rPr>
          <w:color w:val="000000" w:themeColor="text1"/>
          <w:highlight w:val="white"/>
        </w:rPr>
      </w:r>
      <w:bookmarkEnd w:id="63"/>
      <w:r>
        <w:rPr>
          <w:color w:val="000000" w:themeColor="text1"/>
          <w:highlight w:val="white"/>
        </w:rPr>
      </w:r>
      <w:r>
        <w:rPr>
          <w:color w:val="000000" w:themeColor="text1"/>
          <w:highlight w:val="white"/>
        </w:rPr>
      </w:r>
    </w:p>
    <w:p>
      <w:pPr>
        <w:ind w:left="0"/>
        <w:jc w:val="center"/>
        <w:spacing w:line="400" w:lineRule="exact"/>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lang w:val="zh-CN"/>
        </w:rPr>
        <w:t xml:space="preserve">中小企业声明函</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Fonts w:ascii="宋体" w:hAnsi="宋体" w:cs="宋体"/>
          <w:color w:val="000000" w:themeColor="text1"/>
          <w:sz w:val="24"/>
          <w:szCs w:val="24"/>
          <w:highlight w:val="white"/>
          <w:lang w:val="zh-CN"/>
        </w:rPr>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本公司(联合体）郑重声明，根据《政府采购促进中小企业发展管理办法》(财库【2020】46号）的规定，本公司(联合体）参加</w:t>
      </w:r>
      <w:r>
        <w:rPr>
          <w:rFonts w:hint="eastAsia" w:ascii="宋体" w:hAnsi="宋体" w:cs="宋体"/>
          <w:b/>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采购活动，服务全部由符合政策要求的中小企业承接。相关企业（含联合体中的中小企业、签订分包意向协议的中小企业）的具体情况如下:</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u w:val="single"/>
        </w:rPr>
        <w:t xml:space="preserve">（标的名称)</w:t>
      </w:r>
      <w:r>
        <w:rPr>
          <w:rFonts w:hint="eastAsia" w:ascii="宋体" w:hAnsi="宋体" w:cs="宋体"/>
          <w:color w:val="000000" w:themeColor="text1"/>
          <w:sz w:val="24"/>
          <w:szCs w:val="24"/>
          <w:highlight w:val="white"/>
        </w:rPr>
        <w:t xml:space="preserve">，属于</w:t>
      </w:r>
      <w:r>
        <w:rPr>
          <w:rFonts w:hint="eastAsia" w:ascii="宋体" w:hAnsi="宋体" w:cs="宋体"/>
          <w:color w:val="000000" w:themeColor="text1"/>
          <w:sz w:val="24"/>
          <w:szCs w:val="24"/>
          <w:highlight w:val="white"/>
          <w:u w:val="single"/>
        </w:rPr>
        <w:t xml:space="preserve">（采购文件中明确的所属行业)</w:t>
      </w:r>
      <w:r>
        <w:rPr>
          <w:rFonts w:hint="eastAsia" w:ascii="宋体" w:hAnsi="宋体" w:cs="宋体"/>
          <w:color w:val="000000" w:themeColor="text1"/>
          <w:sz w:val="24"/>
          <w:szCs w:val="24"/>
          <w:highlight w:val="white"/>
        </w:rPr>
        <w:t xml:space="preserve">；承建（承接）企业为</w:t>
      </w:r>
      <w:r>
        <w:rPr>
          <w:rFonts w:hint="eastAsia" w:ascii="宋体" w:hAnsi="宋体" w:cs="宋体"/>
          <w:color w:val="000000" w:themeColor="text1"/>
          <w:sz w:val="24"/>
          <w:szCs w:val="24"/>
          <w:highlight w:val="white"/>
          <w:u w:val="single"/>
        </w:rPr>
        <w:t xml:space="preserve">（企业名称)</w:t>
      </w:r>
      <w:r>
        <w:rPr>
          <w:rFonts w:hint="eastAsia" w:ascii="宋体" w:hAnsi="宋体" w:cs="宋体"/>
          <w:color w:val="000000" w:themeColor="text1"/>
          <w:sz w:val="24"/>
          <w:szCs w:val="24"/>
          <w:highlight w:val="white"/>
        </w:rPr>
        <w:t xml:space="preserve">，从业人员__人，营业收入为__万元，资产总额为__万元，属于（中型企业、小型企业、微型企业)；</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u w:val="single"/>
        </w:rPr>
        <w:t xml:space="preserve">(标的名称)</w:t>
      </w:r>
      <w:r>
        <w:rPr>
          <w:rFonts w:hint="eastAsia" w:ascii="宋体" w:hAnsi="宋体" w:cs="宋体"/>
          <w:color w:val="000000" w:themeColor="text1"/>
          <w:sz w:val="24"/>
          <w:szCs w:val="24"/>
          <w:highlight w:val="white"/>
        </w:rPr>
        <w:t xml:space="preserve">，属于</w:t>
      </w:r>
      <w:r>
        <w:rPr>
          <w:rFonts w:hint="eastAsia" w:ascii="宋体" w:hAnsi="宋体" w:cs="宋体"/>
          <w:color w:val="000000" w:themeColor="text1"/>
          <w:sz w:val="24"/>
          <w:szCs w:val="24"/>
          <w:highlight w:val="white"/>
          <w:u w:val="single"/>
        </w:rPr>
        <w:t xml:space="preserve">(采购文件中明确的所属行业)</w:t>
      </w:r>
      <w:r>
        <w:rPr>
          <w:rFonts w:hint="eastAsia" w:ascii="宋体" w:hAnsi="宋体" w:cs="宋体"/>
          <w:color w:val="000000" w:themeColor="text1"/>
          <w:sz w:val="24"/>
          <w:szCs w:val="24"/>
          <w:highlight w:val="white"/>
        </w:rPr>
        <w:t xml:space="preserve">；承建（承接）企业为</w:t>
      </w:r>
      <w:r>
        <w:rPr>
          <w:rFonts w:hint="eastAsia" w:ascii="宋体" w:hAnsi="宋体" w:cs="宋体"/>
          <w:color w:val="000000" w:themeColor="text1"/>
          <w:sz w:val="24"/>
          <w:szCs w:val="24"/>
          <w:highlight w:val="white"/>
          <w:u w:val="single"/>
        </w:rPr>
        <w:t xml:space="preserve">(企业名称)</w:t>
      </w:r>
      <w:r>
        <w:rPr>
          <w:rFonts w:hint="eastAsia" w:ascii="宋体" w:hAnsi="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人，营业收入为___万元，资产总额为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万元，属于</w:t>
      </w:r>
      <w:r>
        <w:rPr>
          <w:rFonts w:hint="eastAsia" w:ascii="宋体" w:hAnsi="宋体" w:cs="宋体"/>
          <w:color w:val="000000" w:themeColor="text1"/>
          <w:sz w:val="24"/>
          <w:szCs w:val="24"/>
          <w:highlight w:val="white"/>
          <w:u w:val="single"/>
        </w:rPr>
        <w:t xml:space="preserve">（中型企业、小型企业、微型企业)</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pStyle w:val="989"/>
        <w:ind w:firstLine="480"/>
        <w:rPr>
          <w:rFonts w:hAnsi="宋体" w:cs="宋体"/>
          <w:color w:val="000000" w:themeColor="text1"/>
          <w:sz w:val="21"/>
          <w:szCs w:val="21"/>
          <w:highlight w:val="white"/>
        </w:rPr>
      </w:pPr>
      <w:r>
        <w:rPr>
          <w:rFonts w:hint="eastAsia" w:hAnsi="宋体" w:cs="宋体"/>
          <w:color w:val="000000" w:themeColor="text1"/>
          <w:szCs w:val="24"/>
          <w:highlight w:val="white"/>
        </w:rPr>
        <w:t xml:space="preserve">本企业对上述声明内容的真实性负责。如有虚假，将依法承担相应责任。</w:t>
      </w:r>
      <w:r>
        <w:rPr>
          <w:color w:val="000000" w:themeColor="text1"/>
          <w:highlight w:val="white"/>
        </w:rPr>
      </w:r>
    </w:p>
    <w:p>
      <w:pPr>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注：从业人员、营业收入、资产总额填报上一年度数据，无上一年度数据的新成立企业可不填报。</w:t>
      </w:r>
      <w:r>
        <w:rPr>
          <w:color w:val="000000" w:themeColor="text1"/>
          <w:highlight w:val="white"/>
        </w:rPr>
      </w:r>
    </w:p>
    <w:p>
      <w:pPr>
        <w:pStyle w:val="990"/>
        <w:ind w:firstLine="480"/>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990"/>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企业名称（盖章）：</w:t>
      </w:r>
      <w:r>
        <w:rPr>
          <w:color w:val="000000" w:themeColor="text1"/>
          <w:highlight w:val="white"/>
        </w:rPr>
      </w:r>
    </w:p>
    <w:p>
      <w:pPr>
        <w:pStyle w:val="990"/>
        <w:ind w:left="0" w:firstLine="48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pStyle w:val="990"/>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日  期：</w:t>
      </w:r>
      <w:r>
        <w:rPr>
          <w:color w:val="000000" w:themeColor="text1"/>
          <w:highlight w:val="white"/>
        </w:rPr>
      </w:r>
    </w:p>
    <w:p>
      <w:pPr>
        <w:pStyle w:val="990"/>
        <w:ind w:left="0" w:firstLine="0"/>
        <w:jc w:val="left"/>
        <w:spacing w:line="360" w:lineRule="auto"/>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1"/>
          <w:szCs w:val="21"/>
          <w:highlight w:val="white"/>
        </w:rPr>
        <w:br w:type="page" w:clear="all"/>
      </w:r>
      <w:bookmarkStart w:id="64" w:name="_Toc14042"/>
      <w:r>
        <w:rPr>
          <w:rFonts w:hint="eastAsia" w:ascii="宋体" w:hAnsi="宋体" w:cs="宋体"/>
          <w:b/>
          <w:bCs/>
          <w:color w:val="000000" w:themeColor="text1"/>
          <w:sz w:val="24"/>
          <w:szCs w:val="24"/>
          <w:highlight w:val="white"/>
        </w:rPr>
        <w:t xml:space="preserve">附：中小企业划型标准规定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p>
    <w:p>
      <w:pPr>
        <w:pStyle w:val="990"/>
        <w:ind w:left="0" w:firstLine="0"/>
        <w:jc w:val="left"/>
        <w:spacing w:line="360" w:lineRule="auto"/>
        <w:rPr>
          <w:rFonts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white"/>
        </w:rPr>
      </w:r>
    </w:p>
    <w:p>
      <w:pPr>
        <w:pStyle w:val="990"/>
        <w:ind w:left="0" w:firstLine="0"/>
        <w:jc w:val="left"/>
        <w:spacing w:line="360" w:lineRule="auto"/>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br w:type="page" w:clear="all"/>
      </w:r>
      <w:r>
        <w:rPr>
          <w:rFonts w:hint="eastAsia" w:ascii="宋体" w:hAnsi="宋体" w:cs="宋体"/>
          <w:b/>
          <w:bCs/>
          <w:color w:val="000000" w:themeColor="text1"/>
          <w:sz w:val="24"/>
          <w:szCs w:val="24"/>
          <w:highlight w:val="white"/>
        </w:rPr>
        <w:t xml:space="preserve">附件13、</w:t>
      </w:r>
      <w:r>
        <w:rPr>
          <w:rFonts w:hint="eastAsia" w:ascii="宋体" w:hAnsi="宋体" w:cs="宋体"/>
          <w:b/>
          <w:bCs/>
          <w:color w:val="000000" w:themeColor="text1"/>
          <w:sz w:val="24"/>
          <w:szCs w:val="24"/>
          <w:highlight w:val="white"/>
          <w:lang w:val="zh-CN"/>
        </w:rPr>
        <w:t xml:space="preserve">残疾人福利性单位声明函</w:t>
      </w:r>
      <w:bookmarkEnd w:id="64"/>
      <w:r>
        <w:rPr>
          <w:color w:val="000000" w:themeColor="text1"/>
          <w:highlight w:val="white"/>
        </w:rPr>
      </w:r>
      <w:r>
        <w:rPr>
          <w:color w:val="000000" w:themeColor="text1"/>
          <w:highlight w:val="white"/>
        </w:rPr>
      </w:r>
    </w:p>
    <w:p>
      <w:pPr>
        <w:pStyle w:val="1005"/>
        <w:ind w:left="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82"/>
        <w:jc w:val="center"/>
        <w:spacing w:line="36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p>
      <w:pPr>
        <w:ind w:left="0"/>
        <w:jc w:val="center"/>
        <w:spacing w:line="360" w:lineRule="auto"/>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残疾人福利性单位声明函</w:t>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lang w:val="zh-CN"/>
        </w:rPr>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white"/>
          <w:lang w:val="zh-CN"/>
        </w:rPr>
        <w:t xml:space="preserve">贵中心组织实施的编号为</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号的采购活动</w:t>
      </w:r>
      <w:r>
        <w:rPr>
          <w:rFonts w:hint="eastAsia" w:ascii="宋体" w:hAnsi="宋体" w:cs="宋体"/>
          <w:color w:val="000000" w:themeColor="text1"/>
          <w:sz w:val="24"/>
          <w:szCs w:val="24"/>
          <w:highlight w:val="white"/>
        </w:rPr>
        <w:t xml:space="preserve">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本单位对上述声明的真实性负责。如有虚假，将依法承担相应责任。</w:t>
      </w:r>
      <w:r>
        <w:rPr>
          <w:color w:val="000000" w:themeColor="text1"/>
          <w:highlight w:val="white"/>
        </w:rPr>
      </w:r>
    </w:p>
    <w:p>
      <w:pPr>
        <w:pStyle w:val="1011"/>
        <w:ind w:left="0" w:firstLine="480"/>
        <w:spacing w:line="360" w:lineRule="auto"/>
        <w:rPr>
          <w:rFonts w:hAnsi="宋体" w:cs="宋体"/>
          <w:color w:val="000000" w:themeColor="text1"/>
          <w:sz w:val="24"/>
          <w:szCs w:val="24"/>
          <w:highlight w:val="white"/>
        </w:rPr>
      </w:pPr>
      <w:r>
        <w:rPr>
          <w:rFonts w:hAnsi="宋体" w:cs="宋体"/>
          <w:color w:val="000000" w:themeColor="text1"/>
          <w:sz w:val="24"/>
          <w:szCs w:val="24"/>
          <w:highlight w:val="white"/>
        </w:rPr>
      </w:r>
      <w:r>
        <w:rPr>
          <w:color w:val="000000" w:themeColor="text1"/>
          <w:highlight w:val="white"/>
        </w:rPr>
      </w:r>
    </w:p>
    <w:p>
      <w:pPr>
        <w:ind w:left="0" w:firstLine="482"/>
        <w:spacing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ind w:left="0" w:firstLine="482"/>
        <w:spacing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ind w:left="0" w:firstLine="482"/>
        <w:spacing w:line="360" w:lineRule="auto"/>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供应商名称：（盖章）</w:t>
      </w:r>
      <w:r>
        <w:rPr>
          <w:color w:val="000000" w:themeColor="text1"/>
          <w:highlight w:val="white"/>
        </w:rPr>
      </w:r>
    </w:p>
    <w:p>
      <w:pPr>
        <w:ind w:left="0" w:firstLine="480"/>
        <w:jc w:val="left"/>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80"/>
        <w:jc w:val="left"/>
        <w:spacing w:line="360" w:lineRule="auto"/>
        <w:rPr>
          <w:rFonts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日期:       年      月     日</w:t>
      </w:r>
      <w:r>
        <w:rPr>
          <w:color w:val="000000" w:themeColor="text1"/>
          <w:highlight w:val="white"/>
        </w:rPr>
      </w:r>
    </w:p>
    <w:p>
      <w:pPr>
        <w:ind w:left="0"/>
        <w:spacing w:line="400" w:lineRule="exact"/>
        <w:rPr>
          <w:rFonts w:ascii="宋体" w:hAnsi="宋体" w:cs="宋体"/>
          <w:b/>
          <w:color w:val="000000" w:themeColor="text1"/>
          <w:sz w:val="24"/>
          <w:szCs w:val="24"/>
          <w:highlight w:val="white"/>
        </w:rPr>
        <w:outlineLvl w:val="1"/>
      </w:pPr>
      <w:r>
        <w:rPr>
          <w:rFonts w:hint="eastAsia" w:ascii="宋体" w:hAnsi="宋体" w:cs="宋体"/>
          <w:color w:val="000000" w:themeColor="text1"/>
          <w:sz w:val="21"/>
          <w:szCs w:val="21"/>
          <w:highlight w:val="white"/>
        </w:rPr>
        <w:br w:type="page" w:clear="all"/>
      </w:r>
      <w:bookmarkStart w:id="65" w:name="_Toc7573"/>
      <w:r>
        <w:rPr>
          <w:rFonts w:hint="eastAsia" w:ascii="宋体" w:hAnsi="宋体" w:cs="宋体"/>
          <w:b/>
          <w:color w:val="000000" w:themeColor="text1"/>
          <w:sz w:val="24"/>
          <w:szCs w:val="24"/>
          <w:highlight w:val="white"/>
        </w:rPr>
        <w:t xml:space="preserve">附件14、响应保证承诺书</w:t>
      </w:r>
      <w:bookmarkEnd w:id="65"/>
      <w:r>
        <w:rPr>
          <w:color w:val="000000" w:themeColor="text1"/>
          <w:highlight w:val="white"/>
        </w:rPr>
      </w:r>
      <w:r>
        <w:rPr>
          <w:color w:val="000000" w:themeColor="text1"/>
          <w:highlight w:val="white"/>
        </w:rPr>
      </w:r>
    </w:p>
    <w:p>
      <w:pPr>
        <w:ind w:left="0"/>
        <w:jc w:val="center"/>
        <w:widowControl w:val="off"/>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p>
      <w:pPr>
        <w:ind w:left="0"/>
        <w:jc w:val="center"/>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响应保证承诺书</w:t>
      </w:r>
      <w:r>
        <w:rPr>
          <w:color w:val="000000" w:themeColor="text1"/>
          <w:highlight w:val="white"/>
        </w:rPr>
      </w:r>
    </w:p>
    <w:p>
      <w:pPr>
        <w:ind w:left="0"/>
        <w:widowControl w:val="off"/>
        <w:rPr>
          <w:rFonts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rPr>
        <w:t xml:space="preserve">致</w:t>
      </w:r>
      <w:r>
        <w:rPr>
          <w:rFonts w:hint="eastAsia" w:ascii="宋体" w:hAnsi="宋体" w:cs="宋体"/>
          <w:color w:val="000000" w:themeColor="text1"/>
          <w:sz w:val="24"/>
          <w:szCs w:val="24"/>
          <w:highlight w:val="white"/>
          <w:u w:val="single"/>
        </w:rPr>
        <w:t xml:space="preserve">：（采购代理机构名称）</w:t>
      </w:r>
      <w:r>
        <w:rPr>
          <w:color w:val="000000" w:themeColor="text1"/>
          <w:highlight w:val="white"/>
        </w:rPr>
      </w:r>
    </w:p>
    <w:p>
      <w:pPr>
        <w:ind w:left="0" w:firstLine="48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我（单位/本人，以下统称我单位）自愿参加</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（项目名称和采购编号）的响应,并做出如下承诺：</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一、除不可抗力外，我单位如果发生以下行为，将在行为发生的10个工作日内，向贵方</w:t>
      </w:r>
      <w:r>
        <w:rPr>
          <w:rFonts w:hint="eastAsia" w:ascii="宋体" w:hAnsi="宋体" w:cs="宋体"/>
          <w:color w:val="000000" w:themeColor="text1"/>
          <w:sz w:val="24"/>
          <w:szCs w:val="24"/>
          <w:highlight w:val="white"/>
          <w:u w:val="single"/>
        </w:rPr>
        <w:t xml:space="preserve">（或采购人）</w:t>
      </w:r>
      <w:r>
        <w:rPr>
          <w:rFonts w:hint="eastAsia" w:ascii="宋体" w:hAnsi="宋体" w:cs="宋体"/>
          <w:color w:val="000000" w:themeColor="text1"/>
          <w:sz w:val="24"/>
          <w:szCs w:val="24"/>
          <w:highlight w:val="white"/>
        </w:rPr>
        <w:t xml:space="preserve">支付本采购文件公布的预算金额（或最高限价）的2%作为违约赔偿金（数量不确定的单价采购须约定具体金额）。</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1.自响应截止时间至本项目发布成交公告为止，撤销响应；</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2.成交后不依法与采购人签订合同；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3.成交后不按本采购文件规定向采购人提交履约保证金；</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4.成交后不按本采购文件规定向贵方缴纳采购代理费。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二、我单位知晓上述行为的法律后果，承认本承诺书作为贵方（或采购人）要求我单位履行违约赔偿义务的依据作用。</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投标（响应）人：        （盖公章）</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地址：                                                                </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电话：                     传真：                      </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电子邮件：                 邮编：                      </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法定代表人或委托代理人(签字或签章)：                                 </w:t>
      </w:r>
      <w:r>
        <w:rPr>
          <w:color w:val="000000" w:themeColor="text1"/>
          <w:highlight w:val="white"/>
        </w:rPr>
      </w:r>
    </w:p>
    <w:p>
      <w:pPr>
        <w:ind w:left="0"/>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日期： </w:t>
      </w:r>
      <w:r>
        <w:rPr>
          <w:color w:val="000000" w:themeColor="text1"/>
          <w:highlight w:val="white"/>
        </w:rPr>
      </w:r>
    </w:p>
    <w:p>
      <w:pPr>
        <w:ind w:left="0"/>
        <w:widowControl w:val="off"/>
        <w:rPr>
          <w:rFonts w:ascii="宋体" w:hAnsi="宋体" w:cs="宋体"/>
          <w:b/>
          <w:color w:val="000000" w:themeColor="text1"/>
          <w:sz w:val="24"/>
          <w:szCs w:val="24"/>
          <w:highlight w:val="white"/>
        </w:rPr>
        <w:outlineLvl w:val="1"/>
      </w:pPr>
      <w:r>
        <w:rPr>
          <w:rFonts w:hint="eastAsia" w:ascii="宋体" w:hAnsi="宋体" w:cs="宋体"/>
          <w:color w:val="000000" w:themeColor="text1"/>
          <w:sz w:val="21"/>
          <w:szCs w:val="21"/>
          <w:highlight w:val="white"/>
        </w:rPr>
        <w:br w:type="page" w:clear="all"/>
      </w:r>
      <w:bookmarkStart w:id="66" w:name="_Toc9516"/>
      <w:r>
        <w:rPr>
          <w:rFonts w:hint="eastAsia" w:ascii="宋体" w:hAnsi="宋体" w:cs="宋体"/>
          <w:b/>
          <w:color w:val="000000" w:themeColor="text1"/>
          <w:sz w:val="24"/>
          <w:szCs w:val="24"/>
          <w:highlight w:val="white"/>
        </w:rPr>
        <w:t xml:space="preserve">附件15、响应单位与其他单位存在控股、管理关系情况表</w:t>
      </w:r>
      <w:bookmarkEnd w:id="66"/>
      <w:r>
        <w:rPr>
          <w:color w:val="000000" w:themeColor="text1"/>
          <w:highlight w:val="white"/>
        </w:rPr>
      </w:r>
      <w:r>
        <w:rPr>
          <w:color w:val="000000" w:themeColor="text1"/>
          <w:highlight w:val="white"/>
        </w:rPr>
      </w:r>
    </w:p>
    <w:p>
      <w:pPr>
        <w:pStyle w:val="991"/>
        <w:ind w:firstLine="0"/>
        <w:jc w:val="left"/>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jc w:val="center"/>
        <w:spacing w:line="300" w:lineRule="auto"/>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响应单位与其他单位存在控股、管理关系情况表</w:t>
      </w:r>
      <w:r>
        <w:rPr>
          <w:color w:val="000000" w:themeColor="text1"/>
          <w:highlight w:val="white"/>
        </w:rPr>
      </w:r>
    </w:p>
    <w:p>
      <w:pPr>
        <w:pStyle w:val="991"/>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tbl>
      <w:tblPr>
        <w:tblStyle w:val="988"/>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与响应供应商存在控股、管理关系的单位名称</w:t>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控股、管理关系情况说明</w:t>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tc>
      </w:tr>
    </w:tbl>
    <w:p>
      <w:pPr>
        <w:ind w:left="0" w:firstLine="482"/>
        <w:jc w:val="left"/>
        <w:spacing w:line="300" w:lineRule="auto"/>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注：响应单位应当按实填写所有与之有控股、管理关系的情况。</w:t>
      </w:r>
      <w:r>
        <w:rPr>
          <w:color w:val="000000" w:themeColor="text1"/>
          <w:highlight w:val="white"/>
        </w:rPr>
      </w:r>
    </w:p>
    <w:p>
      <w:pPr>
        <w:jc w:val="left"/>
        <w:spacing w:line="30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供应商：（单位盖章）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09"/>
        <w:ind w:left="0"/>
        <w:widowControl w:val="off"/>
        <w:rPr>
          <w:rStyle w:val="1004"/>
          <w:rFonts w:ascii="宋体" w:hAnsi="宋体" w:cs="宋体"/>
          <w:color w:val="000000" w:themeColor="text1"/>
          <w:szCs w:val="24"/>
          <w:highlight w:val="white"/>
        </w:rPr>
      </w:pPr>
      <w:r>
        <w:rPr>
          <w:rStyle w:val="1004"/>
          <w:rFonts w:hint="eastAsia" w:ascii="宋体" w:hAnsi="宋体" w:cs="宋体"/>
          <w:color w:val="000000" w:themeColor="text1"/>
          <w:szCs w:val="24"/>
          <w:highlight w:val="white"/>
        </w:rPr>
        <w:t xml:space="preserve">日期：   年   月   日</w:t>
      </w:r>
      <w:r>
        <w:rPr>
          <w:color w:val="000000" w:themeColor="text1"/>
          <w:highlight w:val="white"/>
        </w:rPr>
      </w:r>
    </w:p>
    <w:p>
      <w:pPr>
        <w:rPr>
          <w:rFonts w:ascii="宋体" w:hAnsi="宋体" w:cs="宋体"/>
          <w:color w:val="000000" w:themeColor="text1"/>
          <w:highlight w:val="white"/>
        </w:rPr>
      </w:pPr>
      <w:r>
        <w:rPr>
          <w:rFonts w:hint="eastAsia" w:ascii="宋体" w:hAnsi="宋体" w:cs="宋体"/>
          <w:color w:val="000000" w:themeColor="text1"/>
          <w:highlight w:val="white"/>
        </w:rPr>
        <w:br w:type="page" w:clear="all"/>
      </w:r>
      <w:r>
        <w:rPr>
          <w:color w:val="000000" w:themeColor="text1"/>
          <w:highlight w:val="white"/>
        </w:rPr>
      </w:r>
    </w:p>
    <w:p>
      <w:pPr>
        <w:pStyle w:val="1009"/>
        <w:ind w:left="0" w:firstLine="0"/>
        <w:widowControl w:val="off"/>
        <w:rPr>
          <w:rStyle w:val="1012"/>
          <w:rFonts w:ascii="宋体" w:hAnsi="宋体" w:cs="宋体"/>
          <w:color w:val="000000" w:themeColor="text1"/>
          <w:szCs w:val="24"/>
          <w:highlight w:val="white"/>
        </w:rPr>
      </w:pPr>
      <w:r>
        <w:rPr>
          <w:rFonts w:hint="eastAsia" w:ascii="宋体" w:hAnsi="宋体" w:cs="宋体"/>
          <w:b/>
          <w:color w:val="000000" w:themeColor="text1"/>
          <w:szCs w:val="24"/>
          <w:highlight w:val="white"/>
        </w:rPr>
        <w:t xml:space="preserve">附件16、关于响应报价合理性的澄清说明</w:t>
      </w:r>
      <w:r>
        <w:rPr>
          <w:color w:val="000000" w:themeColor="text1"/>
          <w:highlight w:val="white"/>
        </w:rPr>
      </w:r>
    </w:p>
    <w:p>
      <w:pPr>
        <w:pStyle w:val="1016"/>
        <w:ind w:firstLine="0"/>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p>
      <w:pPr>
        <w:pStyle w:val="1016"/>
        <w:ind w:firstLine="0"/>
        <w:jc w:val="center"/>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关于响应报价合理性的澄清说明</w:t>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jc w:val="left"/>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u w:val="single"/>
        </w:rPr>
        <w:t xml:space="preserve">苏州合亿盛工程咨询有限公司</w:t>
      </w:r>
      <w:r>
        <w:rPr>
          <w:rFonts w:ascii="宋体" w:hAnsi="宋体"/>
          <w:color w:val="000000" w:themeColor="text1"/>
          <w:sz w:val="24"/>
          <w:szCs w:val="24"/>
          <w:highlight w:val="white"/>
        </w:rPr>
        <w:t xml:space="preserve">：</w:t>
      </w:r>
      <w:r>
        <w:rPr>
          <w:color w:val="000000" w:themeColor="text1"/>
          <w:highlight w:val="white"/>
        </w:rPr>
      </w:r>
    </w:p>
    <w:p>
      <w:pPr>
        <w:ind w:left="0" w:firstLine="420"/>
        <w:jc w:val="left"/>
        <w:spacing w:line="360" w:lineRule="auto"/>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本公司愿就由贵</w:t>
      </w:r>
      <w:r>
        <w:rPr>
          <w:rFonts w:hint="eastAsia" w:ascii="宋体" w:hAnsi="宋体"/>
          <w:color w:val="000000" w:themeColor="text1"/>
          <w:sz w:val="24"/>
          <w:szCs w:val="24"/>
          <w:highlight w:val="white"/>
        </w:rPr>
        <w:t xml:space="preserve">公司</w:t>
      </w:r>
      <w:r>
        <w:rPr>
          <w:rFonts w:ascii="宋体" w:hAnsi="宋体"/>
          <w:color w:val="000000" w:themeColor="text1"/>
          <w:sz w:val="24"/>
          <w:szCs w:val="24"/>
          <w:highlight w:val="white"/>
        </w:rPr>
        <w:t xml:space="preserve">组织实施的编号为</w:t>
      </w:r>
      <w:r>
        <w:rPr>
          <w:rFonts w:ascii="宋体" w:hAnsi="宋体"/>
          <w:color w:val="000000" w:themeColor="text1"/>
          <w:sz w:val="24"/>
          <w:szCs w:val="24"/>
          <w:highlight w:val="white"/>
          <w:u w:val="single"/>
        </w:rPr>
        <w:t xml:space="preserve"> </w:t>
      </w:r>
      <w:r>
        <w:rPr>
          <w:rFonts w:hint="eastAsia" w:ascii="宋体" w:hAnsi="宋体"/>
          <w:color w:val="000000" w:themeColor="text1"/>
          <w:sz w:val="24"/>
          <w:szCs w:val="24"/>
          <w:highlight w:val="white"/>
          <w:u w:val="single"/>
        </w:rPr>
        <w:t xml:space="preserve">              </w:t>
      </w:r>
      <w:r>
        <w:rPr>
          <w:rFonts w:ascii="宋体" w:hAnsi="宋体"/>
          <w:color w:val="000000" w:themeColor="text1"/>
          <w:sz w:val="24"/>
          <w:szCs w:val="24"/>
          <w:highlight w:val="white"/>
          <w:u w:val="single"/>
        </w:rPr>
        <w:t xml:space="preserve"> </w:t>
      </w:r>
      <w:r>
        <w:rPr>
          <w:rFonts w:ascii="宋体" w:hAnsi="宋体"/>
          <w:color w:val="000000" w:themeColor="text1"/>
          <w:sz w:val="24"/>
          <w:szCs w:val="24"/>
          <w:highlight w:val="white"/>
        </w:rPr>
        <w:t xml:space="preserve">号（</w:t>
      </w:r>
      <w:r>
        <w:rPr>
          <w:rFonts w:hint="eastAsia" w:ascii="宋体" w:hAnsi="宋体"/>
          <w:color w:val="000000" w:themeColor="text1"/>
          <w:sz w:val="24"/>
          <w:szCs w:val="24"/>
          <w:highlight w:val="white"/>
        </w:rPr>
        <w:t xml:space="preserve">项目</w:t>
      </w:r>
      <w:r>
        <w:rPr>
          <w:rFonts w:ascii="宋体" w:hAnsi="宋体"/>
          <w:color w:val="000000" w:themeColor="text1"/>
          <w:sz w:val="24"/>
          <w:szCs w:val="24"/>
          <w:highlight w:val="white"/>
        </w:rPr>
        <w:t xml:space="preserve">编号）的</w:t>
      </w:r>
      <w:r>
        <w:rPr>
          <w:rFonts w:hint="eastAsia" w:ascii="宋体" w:hAnsi="宋体"/>
          <w:color w:val="000000" w:themeColor="text1"/>
          <w:sz w:val="24"/>
          <w:szCs w:val="24"/>
          <w:highlight w:val="white"/>
        </w:rPr>
        <w:t xml:space="preserve">采购</w:t>
      </w:r>
      <w:r>
        <w:rPr>
          <w:rFonts w:ascii="宋体" w:hAnsi="宋体"/>
          <w:color w:val="000000" w:themeColor="text1"/>
          <w:sz w:val="24"/>
          <w:szCs w:val="24"/>
          <w:highlight w:val="white"/>
        </w:rPr>
        <w:t xml:space="preserve">活动进行</w:t>
      </w:r>
      <w:r>
        <w:rPr>
          <w:rFonts w:hint="eastAsia" w:ascii="宋体" w:hAnsi="宋体"/>
          <w:color w:val="000000" w:themeColor="text1"/>
          <w:sz w:val="24"/>
          <w:szCs w:val="24"/>
          <w:highlight w:val="white"/>
        </w:rPr>
        <w:t xml:space="preserve">响应，对于本公司的响应报价合理性作出说明如下：</w:t>
      </w:r>
      <w:r>
        <w:rPr>
          <w:color w:val="000000" w:themeColor="text1"/>
          <w:highlight w:val="white"/>
        </w:rPr>
      </w:r>
    </w:p>
    <w:tbl>
      <w:tblPr>
        <w:tblStyle w:val="9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ascii="宋体" w:hAnsi="宋体"/>
                <w:b/>
                <w:color w:val="000000" w:themeColor="text1"/>
                <w:sz w:val="24"/>
                <w:szCs w:val="24"/>
                <w:highlight w:val="white"/>
                <w:shd w:val="pct10" w:color="auto" w:fill="ffffff"/>
              </w:rPr>
            </w:pPr>
            <w:r>
              <w:rPr>
                <w:rFonts w:hint="eastAsia" w:ascii="宋体" w:hAnsi="宋体"/>
                <w:b/>
                <w:color w:val="000000" w:themeColor="text1"/>
                <w:sz w:val="21"/>
                <w:szCs w:val="21"/>
                <w:highlight w:val="white"/>
              </w:rPr>
              <w:t xml:space="preserve">供应商应当根据实际情况自拟答复并根据磋商小组关于澄清的要求提供相关证明材料作为附件。</w:t>
            </w:r>
            <w:r>
              <w:rPr>
                <w:color w:val="000000" w:themeColor="text1"/>
                <w:highlight w:val="white"/>
              </w:rPr>
            </w:r>
          </w:p>
        </w:tc>
      </w:tr>
    </w:tbl>
    <w:p>
      <w:pPr>
        <w:ind w:left="0" w:firstLine="422"/>
        <w:spacing w:line="288"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备注：根据采购文件第二章“磋商须知”要求，磋商小组认为供应商的报价符合异常低价投标（</w:t>
      </w:r>
      <w:r>
        <w:rPr>
          <w:rFonts w:hint="eastAsia" w:ascii="宋体" w:hAnsi="宋体" w:cs="宋体"/>
          <w:b/>
          <w:bCs/>
          <w:color w:val="000000" w:themeColor="text1"/>
          <w:sz w:val="21"/>
          <w:szCs w:val="21"/>
          <w:highlight w:val="white"/>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white"/>
        </w:rPr>
      </w:r>
    </w:p>
    <w:p>
      <w:pPr>
        <w:pStyle w:val="1002"/>
        <w:rPr>
          <w:color w:val="000000" w:themeColor="text1"/>
          <w:highlight w:val="white"/>
        </w:rPr>
      </w:pPr>
      <w:r>
        <w:rPr>
          <w:color w:val="000000" w:themeColor="text1"/>
          <w:highlight w:val="white"/>
        </w:rPr>
      </w:r>
      <w:r>
        <w:rPr>
          <w:color w:val="000000" w:themeColor="text1"/>
          <w:highlight w:val="white"/>
        </w:rPr>
      </w:r>
    </w:p>
    <w:p>
      <w:pPr>
        <w:pStyle w:val="1002"/>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供应商名称：（公章）</w:t>
      </w:r>
      <w:r>
        <w:rPr>
          <w:color w:val="000000" w:themeColor="text1"/>
          <w:highlight w:val="white"/>
        </w:rPr>
      </w:r>
    </w:p>
    <w:p>
      <w:pPr>
        <w:ind w:left="0" w:firstLine="480"/>
        <w:jc w:val="left"/>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代理人</w:t>
      </w:r>
      <w:r>
        <w:rPr>
          <w:rFonts w:hint="eastAsia" w:ascii="宋体" w:hAnsi="宋体" w:cs="宋体"/>
          <w:color w:val="000000" w:themeColor="text1"/>
          <w:sz w:val="24"/>
          <w:szCs w:val="24"/>
          <w:highlight w:val="white"/>
          <w:lang w:val="zh-CN"/>
        </w:rPr>
        <w:t xml:space="preserve">：（签字或盖章）</w:t>
      </w:r>
      <w:r>
        <w:rPr>
          <w:color w:val="000000" w:themeColor="text1"/>
          <w:highlight w:val="white"/>
        </w:rPr>
      </w:r>
    </w:p>
    <w:p>
      <w:pPr>
        <w:ind w:left="0" w:firstLine="480"/>
        <w:jc w:val="left"/>
        <w:spacing w:line="360" w:lineRule="auto"/>
        <w:widowControl w:val="off"/>
        <w:rPr>
          <w:rFonts w:ascii="宋体" w:hAnsi="宋体" w:cs="宋体"/>
          <w:b/>
          <w:color w:val="000000" w:themeColor="text1"/>
          <w:sz w:val="44"/>
          <w:szCs w:val="4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bookmarkStart w:id="67" w:name="_Toc23660"/>
      <w:r>
        <w:rPr>
          <w:color w:val="000000" w:themeColor="text1"/>
          <w:highlight w:val="white"/>
        </w:rPr>
      </w:r>
      <w:bookmarkStart w:id="68" w:name="_Toc57376408"/>
      <w:r>
        <w:rPr>
          <w:color w:val="000000" w:themeColor="text1"/>
          <w:highlight w:val="white"/>
        </w:rPr>
      </w:r>
      <w:bookmarkStart w:id="69" w:name="_Toc4098"/>
      <w:r>
        <w:rPr>
          <w:color w:val="000000" w:themeColor="text1"/>
          <w:highlight w:val="white"/>
        </w:rPr>
      </w:r>
      <w:bookmarkStart w:id="70" w:name="_Toc58248882"/>
      <w:r>
        <w:rPr>
          <w:color w:val="000000" w:themeColor="text1"/>
          <w:highlight w:val="white"/>
        </w:rPr>
      </w:r>
      <w:bookmarkStart w:id="71" w:name="_Toc6898"/>
      <w:r>
        <w:rPr>
          <w:rFonts w:hint="eastAsia" w:ascii="宋体" w:hAnsi="宋体" w:cs="宋体"/>
          <w:b/>
          <w:color w:val="000000" w:themeColor="text1"/>
          <w:sz w:val="44"/>
          <w:szCs w:val="44"/>
          <w:highlight w:val="white"/>
        </w:rPr>
        <w:br w:type="page" w:clear="all"/>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r>
        <w:rPr>
          <w:color w:val="000000" w:themeColor="text1"/>
          <w:highlight w:val="white"/>
        </w:rPr>
      </w:r>
    </w:p>
    <w:p>
      <w:pPr>
        <w:numPr>
          <w:ilvl w:val="0"/>
          <w:numId w:val="1"/>
        </w:numPr>
        <w:jc w:val="left"/>
        <w:spacing w:line="360" w:lineRule="auto"/>
        <w:rPr>
          <w:rFonts w:ascii="宋体" w:hAnsi="宋体" w:cs="宋体"/>
          <w:b/>
          <w:color w:val="000000" w:themeColor="text1"/>
          <w:sz w:val="44"/>
          <w:szCs w:val="44"/>
          <w:highlight w:val="white"/>
        </w:rPr>
        <w:outlineLvl w:val="0"/>
      </w:pPr>
      <w:r>
        <w:rPr>
          <w:color w:val="000000" w:themeColor="text1"/>
          <w:highlight w:val="white"/>
        </w:rPr>
      </w:r>
      <w:bookmarkStart w:id="72" w:name="招标书"/>
      <w:r>
        <w:rPr>
          <w:color w:val="000000" w:themeColor="text1"/>
          <w:highlight w:val="white"/>
        </w:rPr>
      </w:r>
      <w:bookmarkEnd w:id="72"/>
      <w:r>
        <w:rPr>
          <w:color w:val="000000" w:themeColor="text1"/>
          <w:highlight w:val="white"/>
        </w:rPr>
      </w:r>
      <w:bookmarkStart w:id="73" w:name="_Toc23981"/>
      <w:r>
        <w:rPr>
          <w:color w:val="000000" w:themeColor="text1"/>
          <w:highlight w:val="white"/>
        </w:rPr>
      </w:r>
      <w:bookmarkStart w:id="74" w:name="_Toc19236"/>
      <w:r>
        <w:rPr>
          <w:rFonts w:hint="eastAsia" w:ascii="宋体" w:hAnsi="宋体" w:cs="宋体"/>
          <w:b/>
          <w:color w:val="000000" w:themeColor="text1"/>
          <w:sz w:val="44"/>
          <w:szCs w:val="44"/>
          <w:highlight w:val="white"/>
        </w:rPr>
        <w:t xml:space="preserve">采购内容</w:t>
      </w:r>
      <w:bookmarkEnd w:id="71"/>
      <w:r>
        <w:rPr>
          <w:color w:val="000000" w:themeColor="text1"/>
          <w:highlight w:val="white"/>
        </w:rPr>
      </w:r>
      <w:bookmarkEnd w:id="73"/>
      <w:r>
        <w:rPr>
          <w:color w:val="000000" w:themeColor="text1"/>
          <w:highlight w:val="white"/>
        </w:rPr>
      </w:r>
      <w:bookmarkEnd w:id="74"/>
      <w:r>
        <w:rPr>
          <w:color w:val="000000" w:themeColor="text1"/>
          <w:highlight w:val="white"/>
        </w:rPr>
      </w:r>
      <w:r>
        <w:rPr>
          <w:color w:val="000000" w:themeColor="text1"/>
          <w:highlight w:val="white"/>
        </w:rPr>
      </w:r>
    </w:p>
    <w:p>
      <w:pPr>
        <w:rPr>
          <w:rStyle w:val="1004"/>
          <w:rFonts w:ascii="宋体" w:hAnsi="宋体" w:cs="宋体"/>
          <w:b/>
          <w:color w:val="000000" w:themeColor="text1"/>
          <w:sz w:val="28"/>
          <w:szCs w:val="28"/>
          <w:highlight w:val="white"/>
        </w:rPr>
      </w:pPr>
      <w:r>
        <w:rPr>
          <w:rStyle w:val="1004"/>
          <w:rFonts w:hint="eastAsia" w:ascii="宋体" w:hAnsi="宋体" w:cs="宋体"/>
          <w:b/>
          <w:color w:val="000000" w:themeColor="text1"/>
          <w:sz w:val="28"/>
          <w:szCs w:val="28"/>
          <w:highlight w:val="white"/>
        </w:rPr>
        <w:br w:type="page" w:clear="all"/>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Style w:val="1004"/>
          <w:rFonts w:hint="eastAsia" w:ascii="宋体" w:hAnsi="宋体" w:cs="宋体"/>
          <w:b/>
          <w:color w:val="000000" w:themeColor="text1"/>
          <w:sz w:val="28"/>
          <w:szCs w:val="28"/>
          <w:highlight w:val="white"/>
        </w:rPr>
        <w:t xml:space="preserve">采购内容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苏州合亿盛工程咨询有限公司受</w:t>
      </w:r>
      <w:r>
        <w:rPr>
          <w:rFonts w:hint="eastAsia" w:ascii="宋体" w:hAnsi="宋体" w:cs="宋体"/>
          <w:color w:val="000000" w:themeColor="text1"/>
          <w:sz w:val="24"/>
          <w:szCs w:val="24"/>
          <w:highlight w:val="white"/>
          <w:u w:val="single"/>
        </w:rPr>
        <w:t xml:space="preserve">苏州市相城区教育局</w:t>
      </w:r>
      <w:r>
        <w:rPr>
          <w:rFonts w:hint="eastAsia" w:ascii="宋体" w:hAnsi="宋体" w:cs="宋体"/>
          <w:color w:val="000000" w:themeColor="text1"/>
          <w:sz w:val="24"/>
          <w:szCs w:val="24"/>
          <w:highlight w:val="white"/>
        </w:rPr>
        <w:t xml:space="preserve">的委托，就其拟采购的</w:t>
      </w:r>
      <w:r>
        <w:rPr>
          <w:rFonts w:hint="eastAsia" w:ascii="宋体" w:hAnsi="宋体" w:cs="宋体"/>
          <w:color w:val="000000" w:themeColor="text1"/>
          <w:sz w:val="24"/>
          <w:szCs w:val="24"/>
          <w:highlight w:val="white"/>
          <w:u w:val="single"/>
        </w:rPr>
        <w:t xml:space="preserve">直属学校安防、消防系统维保</w:t>
      </w:r>
      <w:r>
        <w:rPr>
          <w:rFonts w:hint="eastAsia" w:ascii="宋体" w:hAnsi="宋体" w:cs="宋体"/>
          <w:color w:val="000000" w:themeColor="text1"/>
          <w:sz w:val="24"/>
          <w:szCs w:val="24"/>
          <w:highlight w:val="white"/>
        </w:rPr>
        <w:t xml:space="preserve">采用竞争性磋商方式进行采购。欢迎符合资格条件的供应商前来报名参加磋商。</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color w:val="000000" w:themeColor="text1"/>
          <w:highlight w:val="white"/>
        </w:rPr>
      </w:r>
      <w:bookmarkStart w:id="75" w:name="_Toc14261"/>
      <w:r>
        <w:rPr>
          <w:color w:val="000000" w:themeColor="text1"/>
          <w:highlight w:val="white"/>
        </w:rPr>
      </w:r>
      <w:bookmarkStart w:id="76" w:name="_Toc30080"/>
      <w:r>
        <w:rPr>
          <w:color w:val="000000" w:themeColor="text1"/>
          <w:highlight w:val="white"/>
        </w:rPr>
      </w:r>
      <w:bookmarkStart w:id="77" w:name="_Toc63066515"/>
      <w:r>
        <w:rPr>
          <w:color w:val="000000" w:themeColor="text1"/>
          <w:highlight w:val="white"/>
        </w:rPr>
      </w:r>
      <w:bookmarkStart w:id="78" w:name="_Toc57376410"/>
      <w:r>
        <w:rPr>
          <w:color w:val="000000" w:themeColor="text1"/>
          <w:highlight w:val="white"/>
        </w:rPr>
      </w:r>
      <w:bookmarkStart w:id="79" w:name="_Toc27667"/>
      <w:r>
        <w:rPr>
          <w:color w:val="000000" w:themeColor="text1"/>
          <w:highlight w:val="white"/>
        </w:rPr>
      </w:r>
      <w:bookmarkStart w:id="80" w:name="_Toc8564"/>
      <w:r>
        <w:rPr>
          <w:color w:val="000000" w:themeColor="text1"/>
          <w:highlight w:val="white"/>
        </w:rPr>
      </w:r>
      <w:bookmarkStart w:id="81" w:name="_Toc58248884"/>
      <w:r>
        <w:rPr>
          <w:rFonts w:hint="eastAsia" w:ascii="宋体" w:hAnsi="宋体" w:cs="宋体"/>
          <w:b/>
          <w:bCs/>
          <w:color w:val="000000" w:themeColor="text1"/>
          <w:sz w:val="24"/>
          <w:szCs w:val="24"/>
          <w:highlight w:val="white"/>
        </w:rPr>
        <w:t xml:space="preserve">一、磋商编号：</w:t>
      </w:r>
      <w:r>
        <w:rPr>
          <w:rFonts w:hint="eastAsia" w:ascii="宋体" w:hAnsi="宋体" w:cs="宋体"/>
          <w:b/>
          <w:bCs/>
          <w:color w:val="000000" w:themeColor="text1"/>
          <w:sz w:val="24"/>
          <w:szCs w:val="24"/>
          <w:highlight w:val="white"/>
          <w:lang w:eastAsia="zh-CN"/>
        </w:rPr>
        <w:t xml:space="preserve">JSZC-320507-SHYS-C2026-0009</w:t>
      </w:r>
      <w:r>
        <w:rPr>
          <w:rFonts w:hint="eastAsia" w:ascii="宋体" w:hAnsi="宋体" w:cs="宋体"/>
          <w:b/>
          <w:bCs/>
          <w:color w:val="000000" w:themeColor="text1"/>
          <w:sz w:val="24"/>
          <w:szCs w:val="24"/>
          <w:highlight w:val="white"/>
        </w:rPr>
        <w:t xml:space="preserve">号</w:t>
      </w:r>
      <w:bookmarkEnd w:id="75"/>
      <w:r>
        <w:rPr>
          <w:color w:val="000000" w:themeColor="text1"/>
          <w:highlight w:val="white"/>
        </w:rPr>
      </w:r>
      <w:bookmarkEnd w:id="76"/>
      <w:r>
        <w:rPr>
          <w:color w:val="000000" w:themeColor="text1"/>
          <w:highlight w:val="white"/>
        </w:rPr>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color w:val="000000" w:themeColor="text1"/>
          <w:highlight w:val="white"/>
        </w:rPr>
      </w:r>
      <w:bookmarkStart w:id="82" w:name="_Toc22665"/>
      <w:r>
        <w:rPr>
          <w:color w:val="000000" w:themeColor="text1"/>
          <w:highlight w:val="white"/>
        </w:rPr>
      </w:r>
      <w:bookmarkStart w:id="83" w:name="_Toc8029"/>
      <w:r>
        <w:rPr>
          <w:rFonts w:hint="eastAsia" w:ascii="宋体" w:hAnsi="宋体" w:cs="宋体"/>
          <w:b/>
          <w:bCs/>
          <w:color w:val="000000" w:themeColor="text1"/>
          <w:sz w:val="24"/>
          <w:szCs w:val="24"/>
          <w:highlight w:val="white"/>
        </w:rPr>
        <w:t xml:space="preserve">二、项目名称</w:t>
      </w:r>
      <w:bookmarkEnd w:id="82"/>
      <w:r>
        <w:rPr>
          <w:color w:val="000000" w:themeColor="text1"/>
          <w:highlight w:val="white"/>
        </w:rPr>
      </w:r>
      <w:bookmarkEnd w:id="83"/>
      <w:r>
        <w:rPr>
          <w:rFonts w:hint="eastAsia" w:ascii="宋体" w:hAnsi="宋体" w:cs="宋体"/>
          <w:b/>
          <w:bCs/>
          <w:color w:val="000000" w:themeColor="text1"/>
          <w:sz w:val="24"/>
          <w:szCs w:val="24"/>
          <w:highlight w:val="white"/>
        </w:rPr>
        <w:t xml:space="preserve">：直属学校安防、消防系统维保</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color w:val="000000" w:themeColor="text1"/>
          <w:highlight w:val="white"/>
        </w:rPr>
      </w:r>
      <w:bookmarkStart w:id="84" w:name="_Toc31907"/>
      <w:r>
        <w:rPr>
          <w:rFonts w:hint="eastAsia" w:ascii="宋体" w:hAnsi="宋体" w:cs="宋体"/>
          <w:b/>
          <w:bCs/>
          <w:color w:val="000000" w:themeColor="text1"/>
          <w:sz w:val="24"/>
          <w:szCs w:val="24"/>
          <w:highlight w:val="white"/>
        </w:rPr>
        <w:t xml:space="preserve">三、采购需求：</w:t>
      </w:r>
      <w:bookmarkEnd w:id="84"/>
      <w:r>
        <w:rPr>
          <w:color w:val="000000" w:themeColor="text1"/>
          <w:highlight w:val="white"/>
        </w:rPr>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第一标段：消防维保</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color w:val="000000" w:themeColor="text1"/>
          <w:highlight w:val="white"/>
        </w:rPr>
      </w:r>
      <w:bookmarkStart w:id="85" w:name="_Toc468284403"/>
      <w:r>
        <w:rPr>
          <w:rFonts w:hint="eastAsia" w:ascii="宋体" w:hAnsi="宋体" w:cs="宋体"/>
          <w:color w:val="000000" w:themeColor="text1"/>
          <w:sz w:val="24"/>
          <w:szCs w:val="24"/>
          <w:highlight w:val="white"/>
        </w:rPr>
        <w:t xml:space="preserve">为保障各学校的消防安全，苏州市相城区教育局采购消防维保单位，从而协助各学校消防维保管理，保障各学校的消防系统正常运行，并协助学校落实好安全生产“六化”要求，协助学校开展消防知识教育培训，协助学校开展全员消防安全教育、消防演练，协助完善并培训学校消防志愿骨干队伍。维保期间内须为苏州市相城区教育局提供可远程实时查询维保信息记录等情况。维保期间内配合各学校针对微型消防站等建设制定方案，协助学校推进消防主机联网、联控等工作，同时加强学校消防维保及人员培训。</w:t>
      </w:r>
      <w:r>
        <w:rPr>
          <w:color w:val="000000" w:themeColor="text1"/>
          <w:highlight w:val="white"/>
        </w:rPr>
      </w:r>
    </w:p>
    <w:p>
      <w:pPr>
        <w:ind w:left="0" w:firstLine="482"/>
        <w:jc w:val="left"/>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（一）消防系统维护保养</w:t>
      </w:r>
      <w:bookmarkEnd w:id="85"/>
      <w:r>
        <w:rPr>
          <w:rFonts w:hint="eastAsia" w:ascii="宋体" w:hAnsi="宋体" w:cs="宋体"/>
          <w:b/>
          <w:color w:val="000000" w:themeColor="text1"/>
          <w:sz w:val="24"/>
          <w:szCs w:val="24"/>
          <w:highlight w:val="white"/>
        </w:rPr>
        <w:t xml:space="preserve">要求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维护保养技术要求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定期检测-----对相关消防设施的重点功能性内容按照消防主管部门要求进行专业测试及检查，合同期内的每个月将提供消防设施常规性检查服务以达到及早发现隐患并及时处理，减少故障、延长设备使用年限的目的，同时将对消防设施做专业保养，提交当月消防维护保养报告；</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2、日常巡检-----每个月对消防设施进行巡检（每月不少于1次，重点部分每月不少于2次），对巡检设备的运行情况及时记录，并由使用单位确认；</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3、消防年检-----由维护方进行每年一次的消防年检。并提供年检应使用的各类维修维护、检查测试的相关记录、报告及其他文件，提交年度消防设施检测报告；</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日常维修-----在消防系统出现故障的情况下，在得到使用单位的通知后，维护方应及时到达现场，对故障进行检查，有义务向采购人说明故障情况并报价，征得采购人同意后进行维修服务，维修涉及的小额配件更换需提供相关部门检测合格并带有合格证的配件，并由采购人同意再进行更换；</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安全管理-----提供消防法规的咨询服务，协助学校落实消防安全“六化”要求，协助学校建立校园消防安全网格化工作制度，健全相关规章制度和修定消防应急预案；配合学校进行消防演练。同时配合学校做好消防安全检查迎检工作，对消防安全的有关项目进行评估，出具相关报告。</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教育培训-----提供消防专业培训，包括生命安全和初期火灾的扑救和逃生，对学校师生进行一定消防知识的教育；协助完成学校各岗位消防安全职责手册，消防专业人员的系统管理；协助学校建立消防志愿者队伍及训练，培训及训练期间相关的耗材由成交供应商承担，协助开展消防演练。</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安全评估-----提供消防系统设施运行评估和生命安全评估，监督物业公司安保人员对消防要求的工作情况，协助评估学校消防工作针对学生的消防安全教育的落实情况，协助评估学校开展消防演练的成效，提供有效的评价体系，适合学校定期对消防系统检查，每学期对学校的消防安全进行一次综合性检查评估，提交消防安全检查相关过程性材料和结果。</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8、安全事故-----保证在维保期间，因维保公司业务失误导致的安全事故为0。</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9、每月定时将维保报告交由学校消防责任人确认。</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10、对消防设施维护时，除了招标项目要求进行维护保养的设备，产生的新增内容以商务谈判的方式。</w:t>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（二）消防系统设备维修保养的内容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1、火灾自动报警及联运控制系统：</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（1）探测器：每月对探测器进行模拟火灾响应试验和故障报警试验。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（2）每年完成一次全样检测。核对探测器安装位置和联动关系的准确性。</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（3）对日常发生误报或故障的探测器，应及时提供免费维修服务。</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（4）手动报警按钮：每月对手动报警按钮进行模拟火灾响应试验和故障报警试验。每季度按总量的50%完成抽检，每年完成一次全样检测。</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（5）火灾报警控制主机：进行故障、报警、消音、复位、火灾记忆、备用电池等功能测试，每月进行一次检测。</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（6）线路维护：每半年对管线、接线箱（盒）等进行一次测试和检查维护，以保线路正常，运行畅通。</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（7）消防系统联动测试：每月对联动设备进行抽样测试，确定设备的动作信号和回答信号正常。</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2、消火栓给水系统：</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（1）室内消火栓：进行常规检查，测试最不利点水压，检查管网压力和水质，并进行放水试验。每月按总量的25%抽测，一个季度测试一遍。</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（2）室外消火栓：每月测试室外消火栓，检查水质、水量，控制阀门是否开启。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（3）联动控制：通过消防控制室启、停水泵，检查反馈信号是否正确。每月一次。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（4）管网维护：每月检查系统管网情况，及时排除锈蚀，滴漏等现象。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（5）阀门：每月检查阀门的开关状态；每月检查开关性能，及时排除泄漏等情况。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（6）系统水池：每周检查系统水池的水位情况，每半年检查系统水池的完好情况。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（7）水泵结合器：每月检查水泵结合器的外观情况，及时排除锈蚀、滴漏等现象。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（8）水泵吸入过滤器：每月检查其阻塞情况，必要的话需清理。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3、自动喷水灭火系统：</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（1）水流指示器：用末端放水装置进行放水试验，检查水流指示器是否正常，每月按总量的30%测试一次,一个季度全测一遍。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（2）湿式报警阀：打开试警铃阀，检测压力开关动作是否正常，其电气信号是否正确，打开排水阀检查主阀是否正常。每月按总量的100%测试一遍。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（3）水泵：启动泵，观察泵运行是否正常，系统失压时水泵能否正常启动。每月测试一次。</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（4）联动控制：通过消防控制柜启、停水泵，检查反馈信号是否正确。每周测试一次。每月启动电动泵，同时试验主备泵的切换功能。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（5）管网维护：每月检查系统配置情况，及时排除锈蚀、滴漏等现象。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（6）阀门：每月检查阀门的开关状态；每月检查开关性能，及时排除泄漏等情况。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（7）水泵结合器：每月检查水泵结合器的外观情况，及时排除锈蚀、滴漏等现象。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（8）水泵吸入过滤器：每月检查其阻塞情况，必要的话清理。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4、火灾应急照明及疏散指示标志：每月检查一次，是否正常使用。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5、火灾应急广播及消防通讯系统：</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（1）共用扬声器运行切换试验。每月测试一次。</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（2）消防控制室进行消防紧急电话通话试验，每月测试一次。</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（3）线路维护：每半年对消防广播线路进行测试，每年6月和12月对消防电话进行测试，检查线路敷设情况，确保系统正常运行。 </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6、消防水箱、消防微型站及相关基础的设施：每月检查一下，是否出现损坏。</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7、其它</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（1）现场维护保养人员数量，每个单位每次不少于2人，总服务人数不少于8人。</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（2）维护保养人员应取得中级或以上建（构）筑物消防员证书。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成交供应商须配合学校进行消防等演练，每年不少于2次的消防演练，同时对学校进行消防志愿者队伍培训，在原有的基础上培训更多的学校工作人员，更加熟练消防相关器械使用及加强消防安全防范的意识，每个学校每学期培训时间不少8小时，完善消防防志愿者骨干队伍，培训时间不少于24小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本次消防维保涉及所有学校的灭火器充装及更换，水带更换、应急疏散灯等，维修、更换相关的简易设备不超过总预算的10%都由成交供应商承担，总预算10%以内采购人不再支付任何费用，成交供应商不得向采购人增加任何费用，各供应商应在报价时考虑进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（5）维保期间内配合各学校针对微型消防站等建设制定方案，协助学校推进消防主机联网、联控等工作。</w:t>
      </w:r>
      <w:r>
        <w:rPr>
          <w:color w:val="000000" w:themeColor="text1"/>
          <w:highlight w:val="white"/>
        </w:rPr>
      </w:r>
    </w:p>
    <w:p>
      <w:pPr>
        <w:pStyle w:val="989"/>
        <w:ind w:firstLine="480"/>
        <w:rPr>
          <w:color w:val="000000" w:themeColor="text1"/>
          <w:highlight w:val="white"/>
        </w:rPr>
      </w:pPr>
      <w:r>
        <w:rPr>
          <w:rFonts w:hint="eastAsia"/>
          <w:color w:val="000000" w:themeColor="text1"/>
          <w:highlight w:val="white"/>
        </w:rPr>
        <w:t xml:space="preserve">（6）</w:t>
      </w:r>
      <w:r>
        <w:rPr>
          <w:rFonts w:hint="eastAsia" w:hAnsi="宋体" w:cs="宋体"/>
          <w:color w:val="000000" w:themeColor="text1"/>
          <w:szCs w:val="24"/>
          <w:highlight w:val="white"/>
        </w:rPr>
        <w:t xml:space="preserve">维保期间内如发现消防问题，须在10天内，向采购单位递交书面的整改意见及分析，配合采购单位进行解决问题的价格分析。</w:t>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（三）维护保养要求</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消防维护保养内容，供应商应按照国家有关规范，如：GB 50261《自动喷水灭火系统施工及验收规范》、GB 50263《气体灭火系统施工及验收规范》、GB 50166《火灾自动报警系统施工及验收规范》、《江苏省建筑消防设施日常检查维修保养要求》等规定进行维护与试验，若国家或省有关消防机构有新规定则按新规定执行。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供应商对外包范围内的设备进行维护保养，并保持系统正常，进行日常、周、月、季、年检查，按规定进行系统试验，并根据采购人的要求做好台账记录。</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供应商编制、填写维护保养台账、有计划提出备品备件及消耗品清单。配合采购人做好备品备件到货后的验收，验收合格后更换的配件在保质期内非人为原因损坏，责任由供应商承担。</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供应商定期做好维护设备的卫生清洁工作，若有关消防机构对采购人有新的取证要求，则供应商协助采购人进行有关取证工作。</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按照国家和行业等标准做好采购人的消防设备的试验和检测工作。试验费用和检测费用（重复检测费用除外）由采购人负责。全部接受采购人内部的各类规章制度、检查及考核，所有考核款项在合同价款中扣除。安全文明考核款项从安全保证金中扣除。</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所有消防设备的检查、使用、保养及试验的要求，详见采购人《消防设施管理标准》。标准按照国家和行业等标准执行。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负责采购人需要消防设备的操作指导，根据采购人要求不定期对相关人员进行技术培训，协助采购人人员取得消防人员上岗证。</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按照要求编制、完善采购人的消防设备的技术台账、检查、维护、保养、试验及检修记录，每年组织不少于2次消防相关应急演练。负责消防设施的检测联系和协调工作，对维护、抢修时更换下的设备或部件进行修复。</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一切工作要做到工完、料尽、场地清。不得污染设备及地面、墙面、楼梯平台、电梯、路面等。垃圾倒入采购人指定地方。供应商在安全文明、质量监督、工期计划及工作安排上接收学校设备部和安监保卫部的检查、指导、监督和考核。在费用、物资管理上接收学校计划营销部和物料部的检查、指导、监督和考核。</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供应商根据采购人要求做好日常、特殊时期消防设备的维护工作。采购人不提供食宿，供应商在投标费中应包含所有的费用。</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w:t>
      </w:r>
      <w:r>
        <w:rPr>
          <w:rFonts w:hint="eastAsia" w:ascii="宋体" w:hAnsi="宋体" w:cs="宋体"/>
          <w:b/>
          <w:color w:val="000000" w:themeColor="text1"/>
          <w:sz w:val="24"/>
          <w:szCs w:val="24"/>
          <w:highlight w:val="white"/>
        </w:rPr>
        <w:t xml:space="preserve">消防维保设施设备</w:t>
      </w:r>
      <w:r>
        <w:rPr>
          <w:color w:val="000000" w:themeColor="text1"/>
          <w:highlight w:val="white"/>
        </w:rPr>
      </w:r>
    </w:p>
    <w:tbl>
      <w:tblPr>
        <w:tblStyle w:val="9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5"/>
        <w:gridCol w:w="681"/>
        <w:gridCol w:w="897"/>
        <w:gridCol w:w="529"/>
        <w:gridCol w:w="529"/>
        <w:gridCol w:w="491"/>
        <w:gridCol w:w="448"/>
        <w:gridCol w:w="438"/>
        <w:gridCol w:w="755"/>
        <w:gridCol w:w="535"/>
        <w:gridCol w:w="535"/>
        <w:gridCol w:w="535"/>
        <w:gridCol w:w="535"/>
        <w:gridCol w:w="1773"/>
        <w:gridCol w:w="820"/>
      </w:tblGrid>
      <w:tr>
        <w:trPr>
          <w:trHeight w:val="810"/>
        </w:trPr>
        <w:tc>
          <w:tcPr>
            <w:shd w:val="clear" w:color="auto" w:fill="auto"/>
            <w:tcMar>
              <w:left w:w="11" w:type="dxa"/>
              <w:right w:w="11" w:type="dxa"/>
            </w:tcMar>
            <w:tcW w:w="38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p>
        </w:tc>
        <w:tc>
          <w:tcPr>
            <w:shd w:val="clear" w:color="auto" w:fill="auto"/>
            <w:tcMar>
              <w:left w:w="11" w:type="dxa"/>
              <w:right w:w="11"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学校名称</w:t>
            </w:r>
            <w:r>
              <w:rPr>
                <w:color w:val="000000" w:themeColor="text1"/>
                <w:highlight w:val="white"/>
              </w:rPr>
            </w:r>
          </w:p>
        </w:tc>
        <w:tc>
          <w:tcPr>
            <w:shd w:val="clear" w:color="auto" w:fill="auto"/>
            <w:tcMar>
              <w:left w:w="11" w:type="dxa"/>
              <w:right w:w="11" w:type="dxa"/>
            </w:tcMar>
            <w:tcW w:w="888"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灭火器</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消防水带</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安全出口</w:t>
            </w:r>
            <w:r>
              <w:rPr>
                <w:color w:val="000000" w:themeColor="text1"/>
                <w:highlight w:val="white"/>
              </w:rPr>
            </w:r>
          </w:p>
        </w:tc>
        <w:tc>
          <w:tcPr>
            <w:shd w:val="clear" w:color="auto" w:fill="auto"/>
            <w:tcMar>
              <w:left w:w="11" w:type="dxa"/>
              <w:right w:w="11" w:type="dxa"/>
            </w:tcMar>
            <w:tcW w:w="48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疏散标志</w:t>
            </w:r>
            <w:r>
              <w:rPr>
                <w:color w:val="000000" w:themeColor="text1"/>
                <w:highlight w:val="white"/>
              </w:rPr>
            </w:r>
          </w:p>
        </w:tc>
        <w:tc>
          <w:tcPr>
            <w:shd w:val="clear" w:color="auto" w:fill="auto"/>
            <w:tcMar>
              <w:left w:w="11" w:type="dxa"/>
              <w:right w:w="11" w:type="dxa"/>
            </w:tcMar>
            <w:tcW w:w="44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应急照明</w:t>
            </w:r>
            <w:r>
              <w:rPr>
                <w:color w:val="000000" w:themeColor="text1"/>
                <w:highlight w:val="white"/>
              </w:rPr>
            </w:r>
          </w:p>
        </w:tc>
        <w:tc>
          <w:tcPr>
            <w:shd w:val="clear" w:color="auto" w:fill="auto"/>
            <w:tcMar>
              <w:left w:w="11" w:type="dxa"/>
              <w:right w:w="11" w:type="dxa"/>
            </w:tcMar>
            <w:tcW w:w="43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消防箱</w:t>
            </w:r>
            <w:r>
              <w:rPr>
                <w:color w:val="000000" w:themeColor="text1"/>
                <w:highlight w:val="white"/>
              </w:rPr>
            </w:r>
          </w:p>
        </w:tc>
        <w:tc>
          <w:tcPr>
            <w:shd w:val="clear" w:color="auto" w:fill="auto"/>
            <w:tcMar>
              <w:left w:w="11" w:type="dxa"/>
              <w:right w:w="11" w:type="dxa"/>
            </w:tcMar>
            <w:tcW w:w="746"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感烟探测器</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喷淋头</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消控室</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消防泵房</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防火卷帘</w:t>
            </w:r>
            <w:r>
              <w:rPr>
                <w:color w:val="000000" w:themeColor="text1"/>
                <w:highlight w:val="white"/>
              </w:rPr>
            </w:r>
          </w:p>
        </w:tc>
        <w:tc>
          <w:tcPr>
            <w:shd w:val="clear" w:color="auto" w:fill="auto"/>
            <w:tcMar>
              <w:left w:w="11" w:type="dxa"/>
              <w:right w:w="11" w:type="dxa"/>
            </w:tcMar>
            <w:tcW w:w="175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消防主机品牌</w:t>
            </w:r>
            <w:r>
              <w:rPr>
                <w:color w:val="000000" w:themeColor="text1"/>
                <w:highlight w:val="white"/>
              </w:rPr>
            </w:r>
          </w:p>
        </w:tc>
        <w:tc>
          <w:tcPr>
            <w:shd w:val="clear" w:color="auto" w:fill="auto"/>
            <w:tcMar>
              <w:left w:w="11" w:type="dxa"/>
              <w:right w:w="11" w:type="dxa"/>
            </w:tcMar>
            <w:tcW w:w="811"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备注</w:t>
            </w:r>
            <w:r>
              <w:rPr>
                <w:color w:val="000000" w:themeColor="text1"/>
                <w:highlight w:val="white"/>
              </w:rPr>
            </w:r>
          </w:p>
        </w:tc>
      </w:tr>
      <w:tr>
        <w:trPr>
          <w:trHeight w:val="1350"/>
        </w:trPr>
        <w:tc>
          <w:tcPr>
            <w:shd w:val="clear" w:color="auto" w:fill="auto"/>
            <w:tcMar>
              <w:left w:w="11" w:type="dxa"/>
              <w:right w:w="11" w:type="dxa"/>
            </w:tcMar>
            <w:tcW w:w="38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苏州市相城实验中学</w:t>
            </w:r>
            <w:r>
              <w:rPr>
                <w:color w:val="000000" w:themeColor="text1"/>
                <w:highlight w:val="white"/>
              </w:rPr>
            </w:r>
          </w:p>
        </w:tc>
        <w:tc>
          <w:tcPr>
            <w:shd w:val="clear" w:color="auto" w:fill="auto"/>
            <w:tcMar>
              <w:left w:w="11" w:type="dxa"/>
              <w:right w:w="11" w:type="dxa"/>
            </w:tcMar>
            <w:tcW w:w="888"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694（3干粉灭火器）</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283</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114</w:t>
            </w:r>
            <w:r>
              <w:rPr>
                <w:color w:val="000000" w:themeColor="text1"/>
                <w:highlight w:val="white"/>
              </w:rPr>
            </w:r>
          </w:p>
        </w:tc>
        <w:tc>
          <w:tcPr>
            <w:shd w:val="clear" w:color="auto" w:fill="auto"/>
            <w:tcMar>
              <w:left w:w="11" w:type="dxa"/>
              <w:right w:w="11" w:type="dxa"/>
            </w:tcMar>
            <w:tcW w:w="48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306</w:t>
            </w:r>
            <w:r>
              <w:rPr>
                <w:color w:val="000000" w:themeColor="text1"/>
                <w:highlight w:val="white"/>
              </w:rPr>
            </w:r>
          </w:p>
        </w:tc>
        <w:tc>
          <w:tcPr>
            <w:shd w:val="clear" w:color="auto" w:fill="auto"/>
            <w:tcMar>
              <w:left w:w="11" w:type="dxa"/>
              <w:right w:w="11" w:type="dxa"/>
            </w:tcMar>
            <w:tcW w:w="44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220</w:t>
            </w:r>
            <w:r>
              <w:rPr>
                <w:color w:val="000000" w:themeColor="text1"/>
                <w:highlight w:val="white"/>
              </w:rPr>
            </w:r>
          </w:p>
        </w:tc>
        <w:tc>
          <w:tcPr>
            <w:shd w:val="clear" w:color="auto" w:fill="auto"/>
            <w:tcMar>
              <w:left w:w="11" w:type="dxa"/>
              <w:right w:w="11" w:type="dxa"/>
            </w:tcMar>
            <w:tcW w:w="43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283</w:t>
            </w:r>
            <w:r>
              <w:rPr>
                <w:color w:val="000000" w:themeColor="text1"/>
                <w:highlight w:val="white"/>
              </w:rPr>
            </w:r>
          </w:p>
        </w:tc>
        <w:tc>
          <w:tcPr>
            <w:shd w:val="clear" w:color="auto" w:fill="auto"/>
            <w:tcMar>
              <w:left w:w="11" w:type="dxa"/>
              <w:right w:w="11" w:type="dxa"/>
            </w:tcMar>
            <w:tcW w:w="746"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48</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263</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w:t>
            </w:r>
            <w:r>
              <w:rPr>
                <w:color w:val="000000" w:themeColor="text1"/>
                <w:highlight w:val="white"/>
              </w:rPr>
            </w:r>
          </w:p>
        </w:tc>
        <w:tc>
          <w:tcPr>
            <w:shd w:val="clear" w:color="auto" w:fill="auto"/>
            <w:tcMar>
              <w:left w:w="11" w:type="dxa"/>
              <w:right w:w="11" w:type="dxa"/>
            </w:tcMar>
            <w:tcW w:w="175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北京青岛，型号：JB-TG-JB-11SF</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75"/>
        </w:trPr>
        <w:tc>
          <w:tcPr>
            <w:shd w:val="clear" w:color="auto" w:fill="auto"/>
            <w:tcMar>
              <w:left w:w="11" w:type="dxa"/>
              <w:right w:w="11" w:type="dxa"/>
            </w:tcMar>
            <w:tcW w:w="38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江苏省黄埭中学</w:t>
            </w:r>
            <w:r>
              <w:rPr>
                <w:color w:val="000000" w:themeColor="text1"/>
                <w:highlight w:val="white"/>
              </w:rPr>
            </w:r>
          </w:p>
        </w:tc>
        <w:tc>
          <w:tcPr>
            <w:shd w:val="clear" w:color="auto" w:fill="auto"/>
            <w:tcMar>
              <w:left w:w="11" w:type="dxa"/>
              <w:right w:w="11" w:type="dxa"/>
            </w:tcMar>
            <w:tcW w:w="888"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686（3干粉灭火器）、15个悬挂式灭火器</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240</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128</w:t>
            </w:r>
            <w:r>
              <w:rPr>
                <w:color w:val="000000" w:themeColor="text1"/>
                <w:highlight w:val="white"/>
              </w:rPr>
            </w:r>
          </w:p>
        </w:tc>
        <w:tc>
          <w:tcPr>
            <w:shd w:val="clear" w:color="auto" w:fill="auto"/>
            <w:tcMar>
              <w:left w:w="11" w:type="dxa"/>
              <w:right w:w="11" w:type="dxa"/>
            </w:tcMar>
            <w:tcW w:w="48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436</w:t>
            </w:r>
            <w:r>
              <w:rPr>
                <w:color w:val="000000" w:themeColor="text1"/>
                <w:highlight w:val="white"/>
              </w:rPr>
            </w:r>
          </w:p>
        </w:tc>
        <w:tc>
          <w:tcPr>
            <w:shd w:val="clear" w:color="auto" w:fill="auto"/>
            <w:tcMar>
              <w:left w:w="11" w:type="dxa"/>
              <w:right w:w="11" w:type="dxa"/>
            </w:tcMar>
            <w:tcW w:w="44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387</w:t>
            </w:r>
            <w:r>
              <w:rPr>
                <w:color w:val="000000" w:themeColor="text1"/>
                <w:highlight w:val="white"/>
              </w:rPr>
            </w:r>
          </w:p>
        </w:tc>
        <w:tc>
          <w:tcPr>
            <w:shd w:val="clear" w:color="auto" w:fill="auto"/>
            <w:tcMar>
              <w:left w:w="11" w:type="dxa"/>
              <w:right w:w="11" w:type="dxa"/>
            </w:tcMar>
            <w:tcW w:w="43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240</w:t>
            </w:r>
            <w:r>
              <w:rPr>
                <w:color w:val="000000" w:themeColor="text1"/>
                <w:highlight w:val="white"/>
              </w:rPr>
            </w:r>
          </w:p>
        </w:tc>
        <w:tc>
          <w:tcPr>
            <w:shd w:val="clear" w:color="auto" w:fill="auto"/>
            <w:tcMar>
              <w:left w:w="11" w:type="dxa"/>
              <w:right w:w="11" w:type="dxa"/>
            </w:tcMar>
            <w:tcW w:w="746"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198</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220</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shd w:val="clear" w:color="auto" w:fill="auto"/>
            <w:tcMar>
              <w:left w:w="11" w:type="dxa"/>
              <w:right w:w="11" w:type="dxa"/>
            </w:tcMar>
            <w:tcW w:w="175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北京青岛，型号：JB-TG-JB-11SF</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555"/>
        </w:trPr>
        <w:tc>
          <w:tcPr>
            <w:shd w:val="clear" w:color="auto" w:fill="auto"/>
            <w:tcMar>
              <w:left w:w="11" w:type="dxa"/>
              <w:right w:w="11" w:type="dxa"/>
            </w:tcMar>
            <w:tcW w:w="38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苏州市相城区教育发展中心</w:t>
            </w:r>
            <w:r>
              <w:rPr>
                <w:color w:val="000000" w:themeColor="text1"/>
                <w:highlight w:val="white"/>
              </w:rPr>
            </w:r>
          </w:p>
        </w:tc>
        <w:tc>
          <w:tcPr>
            <w:shd w:val="clear" w:color="auto" w:fill="auto"/>
            <w:tcMar>
              <w:left w:w="11" w:type="dxa"/>
              <w:right w:w="11" w:type="dxa"/>
            </w:tcMar>
            <w:tcW w:w="888"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42（4干粉灭火器）</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w:t>
            </w:r>
            <w:r>
              <w:rPr>
                <w:color w:val="000000" w:themeColor="text1"/>
                <w:highlight w:val="white"/>
              </w:rPr>
            </w:r>
          </w:p>
        </w:tc>
        <w:tc>
          <w:tcPr>
            <w:shd w:val="clear" w:color="auto" w:fill="auto"/>
            <w:tcMar>
              <w:left w:w="11" w:type="dxa"/>
              <w:right w:w="11" w:type="dxa"/>
            </w:tcMar>
            <w:tcW w:w="48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w:t>
            </w:r>
            <w:r>
              <w:rPr>
                <w:color w:val="000000" w:themeColor="text1"/>
                <w:highlight w:val="white"/>
              </w:rPr>
            </w:r>
          </w:p>
        </w:tc>
        <w:tc>
          <w:tcPr>
            <w:shd w:val="clear" w:color="auto" w:fill="auto"/>
            <w:tcMar>
              <w:left w:w="11" w:type="dxa"/>
              <w:right w:w="11" w:type="dxa"/>
            </w:tcMar>
            <w:tcW w:w="44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w:t>
            </w:r>
            <w:r>
              <w:rPr>
                <w:color w:val="000000" w:themeColor="text1"/>
                <w:highlight w:val="white"/>
              </w:rPr>
            </w:r>
          </w:p>
        </w:tc>
        <w:tc>
          <w:tcPr>
            <w:shd w:val="clear" w:color="auto" w:fill="auto"/>
            <w:tcMar>
              <w:left w:w="11" w:type="dxa"/>
              <w:right w:w="11" w:type="dxa"/>
            </w:tcMar>
            <w:tcW w:w="43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w:t>
            </w:r>
            <w:r>
              <w:rPr>
                <w:color w:val="000000" w:themeColor="text1"/>
                <w:highlight w:val="white"/>
              </w:rPr>
            </w:r>
          </w:p>
        </w:tc>
        <w:tc>
          <w:tcPr>
            <w:shd w:val="clear" w:color="auto" w:fill="auto"/>
            <w:tcMar>
              <w:left w:w="11" w:type="dxa"/>
              <w:right w:w="11" w:type="dxa"/>
            </w:tcMar>
            <w:tcW w:w="746"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224</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0</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在苏州市相城区陆慕高级中学内</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无</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w:t>
            </w:r>
            <w:r>
              <w:rPr>
                <w:color w:val="000000" w:themeColor="text1"/>
                <w:highlight w:val="white"/>
              </w:rPr>
            </w:r>
          </w:p>
        </w:tc>
        <w:tc>
          <w:tcPr>
            <w:shd w:val="clear" w:color="auto" w:fill="auto"/>
            <w:tcMar>
              <w:left w:w="11" w:type="dxa"/>
              <w:right w:w="11" w:type="dxa"/>
            </w:tcMar>
            <w:tcW w:w="175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南京盛华JF-XB-SH2152</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1380"/>
        </w:trPr>
        <w:tc>
          <w:tcPr>
            <w:shd w:val="clear" w:color="auto" w:fill="auto"/>
            <w:tcMar>
              <w:left w:w="11" w:type="dxa"/>
              <w:right w:w="11" w:type="dxa"/>
            </w:tcMar>
            <w:tcW w:w="38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p>
        </w:tc>
        <w:tc>
          <w:tcPr>
            <w:shd w:val="clear" w:color="auto" w:fill="auto"/>
            <w:tcMar>
              <w:left w:w="11" w:type="dxa"/>
              <w:right w:w="11"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苏州市相城第三实验中学</w:t>
            </w:r>
            <w:r>
              <w:rPr>
                <w:color w:val="000000" w:themeColor="text1"/>
                <w:highlight w:val="white"/>
              </w:rPr>
            </w:r>
          </w:p>
        </w:tc>
        <w:tc>
          <w:tcPr>
            <w:shd w:val="clear" w:color="auto" w:fill="auto"/>
            <w:tcMar>
              <w:left w:w="11" w:type="dxa"/>
              <w:right w:w="11" w:type="dxa"/>
            </w:tcMar>
            <w:tcW w:w="888"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694（3干粉）</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264</w:t>
            </w:r>
            <w:r>
              <w:rPr>
                <w:color w:val="000000" w:themeColor="text1"/>
                <w:highlight w:val="white"/>
              </w:rPr>
            </w:r>
          </w:p>
        </w:tc>
        <w:tc>
          <w:tcPr>
            <w:shd w:val="clear" w:color="auto" w:fill="auto"/>
            <w:tcMar>
              <w:left w:w="11" w:type="dxa"/>
              <w:right w:w="11" w:type="dxa"/>
            </w:tcMar>
            <w:tcW w:w="52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165</w:t>
            </w:r>
            <w:r>
              <w:rPr>
                <w:color w:val="000000" w:themeColor="text1"/>
                <w:highlight w:val="white"/>
              </w:rPr>
            </w:r>
          </w:p>
        </w:tc>
        <w:tc>
          <w:tcPr>
            <w:shd w:val="clear" w:color="auto" w:fill="auto"/>
            <w:tcMar>
              <w:left w:w="11" w:type="dxa"/>
              <w:right w:w="11" w:type="dxa"/>
            </w:tcMar>
            <w:tcW w:w="48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598</w:t>
            </w:r>
            <w:r>
              <w:rPr>
                <w:color w:val="000000" w:themeColor="text1"/>
                <w:highlight w:val="white"/>
              </w:rPr>
            </w:r>
          </w:p>
        </w:tc>
        <w:tc>
          <w:tcPr>
            <w:shd w:val="clear" w:color="auto" w:fill="auto"/>
            <w:tcMar>
              <w:left w:w="11" w:type="dxa"/>
              <w:right w:w="11" w:type="dxa"/>
            </w:tcMar>
            <w:tcW w:w="443"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689</w:t>
            </w:r>
            <w:r>
              <w:rPr>
                <w:color w:val="000000" w:themeColor="text1"/>
                <w:highlight w:val="white"/>
              </w:rPr>
            </w:r>
          </w:p>
        </w:tc>
        <w:tc>
          <w:tcPr>
            <w:shd w:val="clear" w:color="auto" w:fill="auto"/>
            <w:tcMar>
              <w:left w:w="11" w:type="dxa"/>
              <w:right w:w="11" w:type="dxa"/>
            </w:tcMar>
            <w:tcW w:w="43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264</w:t>
            </w:r>
            <w:r>
              <w:rPr>
                <w:color w:val="000000" w:themeColor="text1"/>
                <w:highlight w:val="white"/>
              </w:rPr>
            </w:r>
          </w:p>
        </w:tc>
        <w:tc>
          <w:tcPr>
            <w:shd w:val="clear" w:color="auto" w:fill="auto"/>
            <w:tcMar>
              <w:left w:w="11" w:type="dxa"/>
              <w:right w:w="11" w:type="dxa"/>
            </w:tcMar>
            <w:tcW w:w="746"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烟感936温感32防爆温感1复合探头12个</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3150</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527"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17</w:t>
            </w:r>
            <w:r>
              <w:rPr>
                <w:color w:val="000000" w:themeColor="text1"/>
                <w:highlight w:val="white"/>
              </w:rPr>
            </w:r>
          </w:p>
        </w:tc>
        <w:tc>
          <w:tcPr>
            <w:shd w:val="clear" w:color="auto" w:fill="auto"/>
            <w:tcMar>
              <w:left w:w="11" w:type="dxa"/>
              <w:right w:w="11" w:type="dxa"/>
            </w:tcMar>
            <w:tcW w:w="1752"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北大青鸟，型号：JB-TG-JBF-11SF</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540"/>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相城中学（初中部）</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374（3干粉灭火器）</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187</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123</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342</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242</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187</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980</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326</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北京青岛，型号：JB-TG-JB-11SF</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555"/>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苏州市相城区特殊教育学校</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112（3干粉）</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55</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37</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108</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88</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228</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0</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北大青鸟Jbf-11s</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540"/>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苏州市相城第一实验小学</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274（4灭火器）6二氧化碳</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140</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125</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139</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386</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141</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72</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712</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盛华SH2112A（火警报警联动设备）、传输设备北大青鸟JBF-TD802</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525"/>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江苏省相城中等专业学校</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634（3干粉）110（5）</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297</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185</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535</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327</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285</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1215</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1350</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　</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北大青鸟JB-TG-JBF-11SF</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495"/>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苏州市相城第一实验幼儿园</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110（3干粉）　</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140</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150　</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325　</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215　</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176　</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261　</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0　</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　</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0　</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　</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盛华SH2112A（火警报警联动设备）、传输设备北大青鸟JBF-TD802　</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p>
        </w:tc>
      </w:tr>
      <w:tr>
        <w:trPr>
          <w:trHeight w:val="525"/>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苏州市相城区陆慕高级中学</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996（3干粉）</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323</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165</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322</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323</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323</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125</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455</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赋安FS5116LG1800</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p>
        </w:tc>
      </w:tr>
      <w:tr>
        <w:trPr>
          <w:trHeight w:val="525"/>
        </w:trPr>
        <w:tc>
          <w:tcPr>
            <w:shd w:val="clear" w:color="auto" w:fill="auto"/>
            <w:tcMar>
              <w:left w:w="11" w:type="dxa"/>
              <w:right w:w="11" w:type="dxa"/>
            </w:tcMar>
            <w:tcW w:w="1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w:t>
            </w:r>
            <w:r>
              <w:rPr>
                <w:color w:val="000000" w:themeColor="text1"/>
                <w:highlight w:val="white"/>
              </w:rPr>
            </w:r>
          </w:p>
        </w:tc>
        <w:tc>
          <w:tcPr>
            <w:shd w:val="clear" w:color="auto" w:fill="auto"/>
            <w:tcMar>
              <w:left w:w="11" w:type="dxa"/>
              <w:right w:w="11" w:type="dxa"/>
            </w:tcMar>
            <w:tcW w:w="344"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相城中学（高中部）</w:t>
            </w:r>
            <w:r>
              <w:rPr>
                <w:color w:val="000000" w:themeColor="text1"/>
                <w:highlight w:val="white"/>
              </w:rPr>
            </w:r>
          </w:p>
        </w:tc>
        <w:tc>
          <w:tcPr>
            <w:shd w:val="clear" w:color="auto" w:fill="auto"/>
            <w:tcMar>
              <w:left w:w="11" w:type="dxa"/>
              <w:right w:w="11" w:type="dxa"/>
            </w:tcMar>
            <w:tcW w:w="45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710</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355</w:t>
            </w:r>
            <w:r>
              <w:rPr>
                <w:color w:val="000000" w:themeColor="text1"/>
                <w:highlight w:val="white"/>
              </w:rPr>
            </w:r>
          </w:p>
        </w:tc>
        <w:tc>
          <w:tcPr>
            <w:shd w:val="clear" w:color="auto" w:fill="auto"/>
            <w:tcMar>
              <w:left w:w="11" w:type="dxa"/>
              <w:right w:w="11" w:type="dxa"/>
            </w:tcMar>
            <w:tcW w:w="267"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w:t>
            </w:r>
            <w:r>
              <w:rPr>
                <w:color w:val="000000" w:themeColor="text1"/>
                <w:highlight w:val="white"/>
              </w:rPr>
            </w:r>
          </w:p>
        </w:tc>
        <w:tc>
          <w:tcPr>
            <w:shd w:val="clear" w:color="auto" w:fill="auto"/>
            <w:tcMar>
              <w:left w:w="11" w:type="dxa"/>
              <w:right w:w="11" w:type="dxa"/>
            </w:tcMar>
            <w:tcW w:w="2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1622</w:t>
            </w:r>
            <w:r>
              <w:rPr>
                <w:color w:val="000000" w:themeColor="text1"/>
                <w:highlight w:val="white"/>
              </w:rPr>
            </w:r>
          </w:p>
        </w:tc>
        <w:tc>
          <w:tcPr>
            <w:shd w:val="clear" w:color="auto" w:fill="auto"/>
            <w:tcMar>
              <w:left w:w="11" w:type="dxa"/>
              <w:right w:w="11" w:type="dxa"/>
            </w:tcMar>
            <w:tcW w:w="2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2046</w:t>
            </w:r>
            <w:r>
              <w:rPr>
                <w:color w:val="000000" w:themeColor="text1"/>
                <w:highlight w:val="white"/>
              </w:rPr>
            </w:r>
          </w:p>
        </w:tc>
        <w:tc>
          <w:tcPr>
            <w:shd w:val="clear" w:color="auto" w:fill="auto"/>
            <w:tcMar>
              <w:left w:w="11" w:type="dxa"/>
              <w:right w:w="11" w:type="dxa"/>
            </w:tcMar>
            <w:tcW w:w="22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355</w:t>
            </w:r>
            <w:r>
              <w:rPr>
                <w:color w:val="000000" w:themeColor="text1"/>
                <w:highlight w:val="white"/>
              </w:rPr>
            </w:r>
          </w:p>
        </w:tc>
        <w:tc>
          <w:tcPr>
            <w:shd w:val="clear" w:color="auto" w:fill="auto"/>
            <w:tcMar>
              <w:left w:w="11" w:type="dxa"/>
              <w:right w:w="11" w:type="dxa"/>
            </w:tcMar>
            <w:tcW w:w="381"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1194</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4467</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270"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18</w:t>
            </w:r>
            <w:r>
              <w:rPr>
                <w:color w:val="000000" w:themeColor="text1"/>
                <w:highlight w:val="white"/>
              </w:rPr>
            </w:r>
          </w:p>
        </w:tc>
        <w:tc>
          <w:tcPr>
            <w:shd w:val="clear" w:color="auto" w:fill="auto"/>
            <w:tcMar>
              <w:left w:w="11" w:type="dxa"/>
              <w:right w:w="11" w:type="dxa"/>
            </w:tcMar>
            <w:tcW w:w="895"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北大青鸟</w:t>
            </w:r>
            <w:r>
              <w:rPr>
                <w:color w:val="000000" w:themeColor="text1"/>
                <w:highlight w:val="white"/>
              </w:rPr>
            </w:r>
          </w:p>
        </w:tc>
        <w:tc>
          <w:tcPr>
            <w:shd w:val="clear" w:color="auto" w:fill="auto"/>
            <w:tcMar>
              <w:left w:w="11" w:type="dxa"/>
              <w:right w:w="11" w:type="dxa"/>
            </w:tcMar>
            <w:tcW w:w="414"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bl>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注：上述说明仅供参考，以上学校未尽消防</w:t>
      </w:r>
      <w:r>
        <w:rPr>
          <w:rFonts w:hint="eastAsia" w:ascii="宋体" w:hAnsi="宋体"/>
          <w:b/>
          <w:color w:val="000000" w:themeColor="text1"/>
          <w:sz w:val="24"/>
          <w:szCs w:val="24"/>
          <w:highlight w:val="white"/>
        </w:rPr>
        <w:t xml:space="preserve">维保设施设备</w:t>
      </w:r>
      <w:r>
        <w:rPr>
          <w:rFonts w:hint="eastAsia" w:ascii="宋体" w:hAnsi="宋体" w:cs="宋体"/>
          <w:b/>
          <w:bCs/>
          <w:color w:val="000000" w:themeColor="text1"/>
          <w:sz w:val="24"/>
          <w:szCs w:val="24"/>
          <w:highlight w:val="white"/>
        </w:rPr>
        <w:t xml:space="preserve">事宜，以各学校现场实际为准，</w:t>
      </w:r>
      <w:r>
        <w:rPr>
          <w:rFonts w:hint="eastAsia" w:ascii="宋体" w:hAnsi="宋体" w:cs="宋体"/>
          <w:b/>
          <w:bCs/>
          <w:color w:val="000000" w:themeColor="text1"/>
          <w:sz w:val="24"/>
          <w:szCs w:val="24"/>
          <w:highlight w:val="white"/>
        </w:rPr>
        <w:t xml:space="preserve">如直属学校在服务期限内有新增学校或校区时，同时包含本次服务内，不得追加任何费用，响应单位报价时应考虑其中。</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outlineLvl w:val="1"/>
      </w:pPr>
      <w:r>
        <w:rPr>
          <w:rFonts w:ascii="宋体" w:hAnsi="宋体" w:cs="宋体"/>
          <w:b/>
          <w:bCs/>
          <w:color w:val="000000" w:themeColor="text1"/>
          <w:sz w:val="24"/>
          <w:szCs w:val="24"/>
          <w:highlight w:val="white"/>
        </w:rPr>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第二标段：安防维保</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为保障各学校的安防安全，苏州市相城区教育局采购安防维保单位，从而协助各学校安防维保管理，保障各学校的安防系统正常运行，并协助学校落实安全生产“六化”要求，协助学校开展安防培训和演练，协助完善并培训学校安防志愿骨干队伍。维保期间内须为苏州市相城区教育局提供可远程实时查询维保信息记录等情况。维保期间内配合各学校针对校园安全人工智能等建设制定方案，同时加强学校安防维保及人员培训。</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（一）范围</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各校区内所有超过免费质保期的视频监控系统、大屏显示系统、防盗报警系统、电子围墙系统、电子巡更系统、中心机房设备、防冲撞设备、各大楼分中心机房设备及前端设备等，包含确保系统正常运行的维护保养方案、备品备件设备供应、系统的维修维护、日常保养、售后服务、人员培训等。</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w:t>
      </w:r>
      <w:r>
        <w:rPr>
          <w:rFonts w:ascii="宋体" w:hAnsi="宋体" w:cs="宋体"/>
          <w:bCs/>
          <w:color w:val="000000" w:themeColor="text1"/>
          <w:sz w:val="24"/>
          <w:szCs w:val="24"/>
          <w:highlight w:val="white"/>
        </w:rPr>
        <w:t xml:space="preserve">、各校区的各重点要害部位、各教学楼、各办公室、多媒体教室、实验室、财务室、机要室等处设置的红外报警探测系统。</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w:t>
      </w:r>
      <w:r>
        <w:rPr>
          <w:rFonts w:ascii="宋体" w:hAnsi="宋体" w:cs="宋体"/>
          <w:bCs/>
          <w:color w:val="000000" w:themeColor="text1"/>
          <w:sz w:val="24"/>
          <w:szCs w:val="24"/>
          <w:highlight w:val="white"/>
        </w:rPr>
        <w:t xml:space="preserve">、在校园周界建有电子监控报警防护系统、电子围栏，在校园内的主要道路、校园出入口（数字化系统）、教学区、宿舍区、体育场等的公共区域等部位配置有校园安防监控系统，含监控中心所有设备；</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（二）供应商维保要求</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ascii="宋体" w:hAnsi="宋体" w:cs="宋体"/>
          <w:bCs/>
          <w:color w:val="000000" w:themeColor="text1"/>
          <w:sz w:val="24"/>
          <w:szCs w:val="24"/>
          <w:highlight w:val="white"/>
        </w:rPr>
        <w:t xml:space="preserve">1、电子围栏系统、监控系统及外围设备维保</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电子围栏每周安排工作人进行检查，发现存在问题第一时间汇报相应学校进行维修，配合学校及厂家进行维修。</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ascii="宋体" w:hAnsi="宋体" w:cs="宋体"/>
          <w:bCs/>
          <w:color w:val="000000" w:themeColor="text1"/>
          <w:sz w:val="24"/>
          <w:szCs w:val="24"/>
          <w:highlight w:val="white"/>
        </w:rPr>
        <w:t xml:space="preserve">2、监控系统及外围设备维保内容</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机房设备：硬盘录像机、上传服务器、接入服务器、存储服务器、网络交换机、显示设备、电脑等，确保机房设备每天</w:t>
      </w:r>
      <w:r>
        <w:rPr>
          <w:rFonts w:ascii="宋体" w:hAnsi="宋体" w:cs="宋体"/>
          <w:bCs/>
          <w:color w:val="000000" w:themeColor="text1"/>
          <w:sz w:val="24"/>
          <w:szCs w:val="24"/>
          <w:highlight w:val="white"/>
        </w:rPr>
        <w:t xml:space="preserve">24小时正常工作状态，尤其是监控录像无漏缺完整可查。</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前端摄像机：在线率不低于</w:t>
      </w:r>
      <w:r>
        <w:rPr>
          <w:rFonts w:ascii="宋体" w:hAnsi="宋体" w:cs="宋体"/>
          <w:bCs/>
          <w:color w:val="000000" w:themeColor="text1"/>
          <w:sz w:val="24"/>
          <w:szCs w:val="24"/>
          <w:highlight w:val="white"/>
        </w:rPr>
        <w:t xml:space="preserve">98%。其中包含：监控图像清晰可见、操作控制自如。保证前端点位的电源供应正常。</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每月至少对所有设备的运行状态进行一次全面巡检，每年进行四次的机房设备清理、除尘维护工作，设备除尘时需打开机箱采用专业设备对设备内部进行清理。</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每年对所有前端监控摄像头进行至少两次的除尘、清理、扫净防护罩外壳显露的尘土，对摄像机、防护罩等部件要卸下彻底吹风除尘，之后用无水酒精棉将各个镜头擦干净，调整清晰度，防止由于机器运转、静电等因素将尘土吸入监控设备机体内，确保监控摄像机机正常运行，同时检查监控机房通风、散热、净尘、供电等设施，如遇有大风、暴雨等恶劣天气时，事后维保单位应组织人员即对上述设备运行状态检查。</w:t>
      </w:r>
      <w:r>
        <w:rPr>
          <w:color w:val="000000" w:themeColor="text1"/>
          <w:highlight w:val="white"/>
        </w:rPr>
      </w:r>
    </w:p>
    <w:p>
      <w:pPr>
        <w:pStyle w:val="989"/>
        <w:ind w:firstLine="480"/>
        <w:rPr>
          <w:color w:val="000000" w:themeColor="text1"/>
          <w:highlight w:val="white"/>
        </w:rPr>
      </w:pPr>
      <w:r>
        <w:rPr>
          <w:rFonts w:hint="eastAsia"/>
          <w:color w:val="000000" w:themeColor="text1"/>
          <w:highlight w:val="white"/>
        </w:rPr>
        <w:t xml:space="preserve">3.</w:t>
      </w:r>
      <w:r>
        <w:rPr>
          <w:rFonts w:hint="eastAsia" w:hAnsi="宋体" w:cs="宋体"/>
          <w:color w:val="000000" w:themeColor="text1"/>
          <w:szCs w:val="24"/>
          <w:highlight w:val="white"/>
        </w:rPr>
        <w:t xml:space="preserve">维保期间内如发现安防问题，须在10天内，向采购单位递交书面的整改意见及分析，配合采购单位进行解决问题的价格分析。</w:t>
      </w:r>
      <w:r>
        <w:rPr>
          <w:color w:val="000000" w:themeColor="text1"/>
          <w:highlight w:val="white"/>
        </w:rPr>
      </w:r>
    </w:p>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（三）安防系统设施设备</w:t>
      </w:r>
      <w:r>
        <w:rPr>
          <w:color w:val="000000" w:themeColor="text1"/>
          <w:highlight w:val="white"/>
        </w:rPr>
      </w:r>
    </w:p>
    <w:tbl>
      <w:tblPr>
        <w:tblStyle w:val="9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430"/>
        <w:gridCol w:w="1084"/>
        <w:gridCol w:w="775"/>
        <w:gridCol w:w="775"/>
        <w:gridCol w:w="1857"/>
        <w:gridCol w:w="927"/>
        <w:gridCol w:w="1238"/>
        <w:gridCol w:w="1052"/>
      </w:tblGrid>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学校名称</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监控存储设备</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网络摄像机</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巡更点</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电子围栏</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红外报警系统</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防冲撞设备</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备注</w:t>
            </w:r>
            <w:r>
              <w:rPr>
                <w:color w:val="000000" w:themeColor="text1"/>
                <w:highlight w:val="white"/>
              </w:rPr>
            </w:r>
          </w:p>
        </w:tc>
      </w:tr>
      <w:tr>
        <w:trPr>
          <w:trHeight w:val="81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苏州市相城实验中学</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674</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控制器18台，围栏1500米，</w:t>
            </w:r>
            <w:r>
              <w:rPr>
                <w:rFonts w:ascii="宋体" w:hAnsi="宋体" w:cs="宋体"/>
                <w:color w:val="000000" w:themeColor="text1"/>
                <w:sz w:val="21"/>
                <w:szCs w:val="21"/>
                <w:highlight w:val="white"/>
              </w:rPr>
              <w:t xml:space="preserve"> </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电动12个</w:t>
            </w:r>
            <w:r>
              <w:rPr>
                <w:color w:val="000000" w:themeColor="text1"/>
                <w:highlight w:val="white"/>
              </w:rPr>
            </w:r>
          </w:p>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固定11个</w:t>
            </w:r>
            <w:r>
              <w:rPr>
                <w:rFonts w:ascii="宋体" w:hAnsi="宋体" w:cs="宋体"/>
                <w:color w:val="000000" w:themeColor="text1"/>
                <w:sz w:val="21"/>
                <w:szCs w:val="21"/>
                <w:highlight w:val="white"/>
              </w:rPr>
              <w:t xml:space="preserve"> </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江苏省黄埭中学</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329</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21</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控制器8台围栏1300米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16个</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1125"/>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苏州市相城第三实验中学</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25</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522</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80</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控制器270台围栏1007米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75</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电动15个、固定12个；</w:t>
            </w:r>
            <w:r>
              <w:rPr>
                <w:rFonts w:ascii="宋体" w:hAnsi="宋体" w:cs="宋体"/>
                <w:color w:val="000000" w:themeColor="text1"/>
                <w:sz w:val="21"/>
                <w:szCs w:val="21"/>
                <w:highlight w:val="white"/>
              </w:rPr>
              <w:t xml:space="preserve"> </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苏州市相城区教育发展中心</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　</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65　</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25　</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控制器6台围栏800米　</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18　</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无　</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江苏省相城中等专业学校</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446</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控制器4台围栏800米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电动6个、固定6、</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1065"/>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相城中学（初中部）</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17</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518</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控制器29台围栏1500米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电动6个、固定6个</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苏州市相城区特殊教育学校</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115</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55</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围栏600米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电动8个、固定6</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苏州市相城区陆慕高级中学</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345</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52</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控制器8台围栏1000米</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　</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电动6个、固定4个</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苏州市相城第一实验幼儿园</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26</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83</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45　</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控制器8台围栏1000米　</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　</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电动4个、固定6个</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苏州市相城第一实验小学</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　</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125　</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52</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控制器8台围栏1000米　</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　</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电动4个、固定4个　</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p>
        </w:tc>
      </w:tr>
      <w:tr>
        <w:trPr>
          <w:trHeight w:val="630"/>
        </w:trPr>
        <w:tc>
          <w:tcPr>
            <w:shd w:val="clear" w:color="auto" w:fill="auto"/>
            <w:tcMar>
              <w:left w:w="11" w:type="dxa"/>
              <w:right w:w="11" w:type="dxa"/>
            </w:tcMar>
            <w:tcW w:w="37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w:t>
            </w:r>
            <w:r>
              <w:rPr>
                <w:color w:val="000000" w:themeColor="text1"/>
                <w:highlight w:val="white"/>
              </w:rPr>
            </w:r>
          </w:p>
        </w:tc>
        <w:tc>
          <w:tcPr>
            <w:shd w:val="clear" w:color="auto" w:fill="auto"/>
            <w:tcMar>
              <w:left w:w="11" w:type="dxa"/>
              <w:right w:w="11" w:type="dxa"/>
            </w:tcMar>
            <w:tcW w:w="723"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相城中学（高中部）</w:t>
            </w:r>
            <w:r>
              <w:rPr>
                <w:color w:val="000000" w:themeColor="text1"/>
                <w:highlight w:val="white"/>
              </w:rPr>
            </w:r>
          </w:p>
        </w:tc>
        <w:tc>
          <w:tcPr>
            <w:shd w:val="clear" w:color="auto" w:fill="auto"/>
            <w:tcMar>
              <w:left w:w="11" w:type="dxa"/>
              <w:right w:w="11" w:type="dxa"/>
            </w:tcMar>
            <w:tcW w:w="548"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1060</w:t>
            </w:r>
            <w:r>
              <w:rPr>
                <w:color w:val="000000" w:themeColor="text1"/>
                <w:highlight w:val="white"/>
              </w:rPr>
            </w:r>
          </w:p>
        </w:tc>
        <w:tc>
          <w:tcPr>
            <w:shd w:val="clear" w:color="auto" w:fill="auto"/>
            <w:tcMar>
              <w:left w:w="11" w:type="dxa"/>
              <w:right w:w="11" w:type="dxa"/>
            </w:tcMar>
            <w:tcW w:w="392"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w:t>
            </w:r>
            <w:r>
              <w:rPr>
                <w:color w:val="000000" w:themeColor="text1"/>
                <w:highlight w:val="white"/>
              </w:rPr>
            </w:r>
          </w:p>
        </w:tc>
        <w:tc>
          <w:tcPr>
            <w:shd w:val="clear" w:color="auto" w:fill="auto"/>
            <w:tcMar>
              <w:left w:w="11" w:type="dxa"/>
              <w:right w:w="11" w:type="dxa"/>
            </w:tcMar>
            <w:tcW w:w="93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37</w:t>
            </w:r>
            <w:r>
              <w:rPr>
                <w:color w:val="000000" w:themeColor="text1"/>
                <w:highlight w:val="white"/>
              </w:rPr>
            </w:r>
          </w:p>
        </w:tc>
        <w:tc>
          <w:tcPr>
            <w:shd w:val="clear" w:color="auto" w:fill="auto"/>
            <w:tcMar>
              <w:left w:w="11" w:type="dxa"/>
              <w:right w:w="11" w:type="dxa"/>
            </w:tcMar>
            <w:tcW w:w="469"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shd w:val="clear" w:color="auto" w:fill="auto"/>
            <w:tcMar>
              <w:left w:w="11" w:type="dxa"/>
              <w:right w:w="11" w:type="dxa"/>
            </w:tcMar>
            <w:tcW w:w="626" w:type="pct"/>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w:t>
            </w:r>
            <w:r>
              <w:rPr>
                <w:color w:val="000000" w:themeColor="text1"/>
                <w:highlight w:val="white"/>
              </w:rPr>
            </w:r>
          </w:p>
        </w:tc>
        <w:tc>
          <w:tcPr>
            <w:shd w:val="clear" w:color="auto" w:fill="auto"/>
            <w:tcMar>
              <w:left w:w="11" w:type="dxa"/>
              <w:right w:w="11" w:type="dxa"/>
            </w:tcMar>
            <w:tcW w:w="532" w:type="pct"/>
            <w:vAlign w:val="center"/>
            <w:textDirection w:val="lrTb"/>
            <w:noWrap w:val="false"/>
          </w:tcPr>
          <w:p>
            <w:pPr>
              <w:ind w:left="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p>
        </w:tc>
      </w:tr>
    </w:tbl>
    <w:p>
      <w:pPr>
        <w:ind w:left="0" w:firstLine="482"/>
        <w:jc w:val="left"/>
        <w:spacing w:line="360" w:lineRule="auto"/>
        <w:widowControl w:val="off"/>
        <w:tabs>
          <w:tab w:val="left" w:pos="3600" w:leader="none"/>
        </w:tabs>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注：上述说明仅供参考，以上学校未尽安防系统设施设备事宜，以各学校现场实际为准，</w:t>
      </w:r>
      <w:r>
        <w:rPr>
          <w:rFonts w:hint="eastAsia" w:ascii="宋体" w:hAnsi="宋体" w:cs="宋体"/>
          <w:b/>
          <w:bCs/>
          <w:color w:val="000000" w:themeColor="text1"/>
          <w:sz w:val="24"/>
          <w:szCs w:val="24"/>
          <w:highlight w:val="white"/>
        </w:rPr>
        <w:t xml:space="preserve">如直属学校在服务期限内有新增学校或校区时，同时包含本次服务内，不得追加任何费用，响应单位报价时应考虑其中。</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（四）其它</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（1）现场维护保养人员数量，每个单位每次不少于2人，总服务人数不少于8人。</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次采购项目中涉及的安防维保中的监控摄像的维修及更换，包含一些安防有关的易损耗材，同时包括各学校涉及到安防有关的线路的相关问题，由成交供应商承担，不得向采购人增加任何费用。各供应商应在报价中考虑进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成交供应商须配合学校进行安防等演练，每年不少于2次的安防应急演练，协助学校对安防志愿者队伍培训，在原有的基础上培训更多的学校工作人员，熟练安防设备设施的使用及加强安防的安全防范意识，每个学校每学期培训时间不少8小时，完善安防志愿者骨干队伍，完成不少于24小时培训；同时检查各学校安防制度和人员落实情况及其他安防的检查以及对第三方安防人员配套制度的检查。如出现任何问题，及时向采购人汇报。</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本次安防维保涉及所有学校的硬盘录像机、网络交换机、前端摄像机等，维修、更换相关的简易设备不超过总预算的10%都由成交供应商承担，总预算10%以内采购人不再支付任何费用，成交供应商不得向采购人增加任何费用，各供应商应在报价时考虑进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（5）维保期间内配合各学校针对校园安全人工智能等建设制定方案，将重点人工智能安防项目进行展示、演示。</w:t>
      </w:r>
      <w:r>
        <w:rPr>
          <w:color w:val="000000" w:themeColor="text1"/>
          <w:highlight w:val="white"/>
        </w:rPr>
      </w:r>
    </w:p>
    <w:p>
      <w:pPr>
        <w:contextualSpacing/>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w:t>
      </w:r>
      <w:r>
        <w:rPr>
          <w:rFonts w:hint="eastAsia" w:ascii="宋体" w:hAnsi="宋体" w:cs="宋体"/>
          <w:b/>
          <w:bCs/>
          <w:color w:val="000000" w:themeColor="text1"/>
          <w:sz w:val="24"/>
          <w:szCs w:val="24"/>
          <w:highlight w:val="white"/>
          <w:lang w:val="zh-CN"/>
        </w:rPr>
        <w:t xml:space="preserve">服务要求说明</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1、因系统规模庞大，维修维护量大，供应商需具备完善的服务体系及快速维修队伍，以便随时解决系统中出现的各种故障现象，确保系统正常运行。</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供应商在每次接到采购人维修通知后，必须在2小时内派技术人员到达现场维修。一般性故障须在24小时内修复；疑难故障或由于特殊器件影响不能及时处理的，最迟应在3日内修复，修复标准为系统各项功能正常，可以正常使用。设备故障维修发生费用的必需经过使用部门及主管部门检测认可签字后方可维修，并提供厂方维修发票方可结算，若设备不能维修需更换的也需经过主管部门签字认可后方可更换。同时在特特殊时期，根据各学校要求，消防及安防维保的成交供应商须无条件配合各学校相关要求。</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供应商在每次故障处理后将设备发生故障情况及解决办法通知采购人,并填写一式二份维修报告,双方签字。供应商将为采购人提供技术热线服务，随时解决采购人遇到的技术问题，帮助采购人及时排除故障。供应商提供免费的技术培训，必要的技术资料及测试软件。每半年提供一次设备故障情况及系统汇总报告。</w:t>
      </w:r>
      <w:r>
        <w:rPr>
          <w:color w:val="000000" w:themeColor="text1"/>
          <w:highlight w:val="white"/>
        </w:rPr>
      </w:r>
    </w:p>
    <w:p>
      <w:pPr>
        <w:ind w:left="0" w:firstLine="480"/>
        <w:jc w:val="left"/>
        <w:spacing w:line="360" w:lineRule="auto"/>
        <w:widowControl w:val="off"/>
        <w:tabs>
          <w:tab w:val="left" w:pos="3600" w:leader="none"/>
        </w:tabs>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供应商应严格认真履行标书内容，每月定期维保，电话报修响应时间为2小时，故障排除时间为24小时。如供应商未按规定时间履行其维修义务的，就其每一次违约行为，采购人有权每次从其维保总费用中扣除5000元，采购人有权要求其他能够提供相应维修保养服务的公司提供该服务，相应的费用及违约金采购人有权在应付费用中扣除。</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outlineLvl w:val="1"/>
      </w:pPr>
      <w:r>
        <w:rPr>
          <w:rFonts w:hint="eastAsia" w:ascii="宋体" w:hAnsi="宋体" w:cs="宋体"/>
          <w:bCs/>
          <w:color w:val="000000" w:themeColor="text1"/>
          <w:sz w:val="24"/>
          <w:szCs w:val="24"/>
          <w:highlight w:val="white"/>
        </w:rPr>
        <w:t xml:space="preserve">5、若供应商严重违约行为达3次以上的（含3次），采购人有权解除维保协议，并追偿违约责任。</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t xml:space="preserve">五、综合说明：</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Style w:val="1004"/>
          <w:rFonts w:hint="eastAsia" w:ascii="宋体" w:hAnsi="宋体" w:cs="宋体"/>
          <w:color w:val="000000" w:themeColor="text1"/>
          <w:sz w:val="24"/>
          <w:szCs w:val="24"/>
          <w:highlight w:val="white"/>
        </w:rPr>
        <w:t xml:space="preserve">磋商供应商需在响应文件中明确服务内容和服务方案。</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2、磋商供应商必须承诺文件中提出的全部要求，如果其中某些条款不响应时，应在文件中逐条列出，未列出的视同响应。</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3、磋商供应商应对所投项目的全部内容进行报价，只投其中部分内容者或出现选择性报价的，其响应文件将被拒绝。</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4、其他要求：</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4.1供应商在项目进行过程中产生的任何安全、损坏等责任事故一律由供应商自行承担。如遇突发情况，供应商需协助采购人完成需要配合的服务。</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4.2供应商需严格按采购文件中规定的时间完成项目全部工作内容，如在实施的过程中出现错误、误差的，供应商需及时更正至采购人确认并经主管部门验收合格。</w:t>
      </w:r>
      <w:r>
        <w:rPr>
          <w:color w:val="000000" w:themeColor="text1"/>
          <w:highlight w:val="white"/>
        </w:rPr>
      </w:r>
    </w:p>
    <w:p>
      <w:pPr>
        <w:pStyle w:val="990"/>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4.3本项目不允许转包、分包，发现查实者一律取消合同。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5、本项目报价</w:t>
      </w:r>
      <w:r>
        <w:rPr>
          <w:rStyle w:val="1004"/>
          <w:rFonts w:hint="eastAsia" w:ascii="宋体" w:hAnsi="宋体" w:cs="宋体"/>
          <w:color w:val="000000" w:themeColor="text1"/>
          <w:sz w:val="24"/>
          <w:szCs w:val="24"/>
          <w:highlight w:val="white"/>
        </w:rPr>
        <w:t xml:space="preserve">包括完成本项目所需的全部服务内容、维护、管理、工具、设备、管理、耗材、备品备件、人工、交通、验收、保险、利润、税金、代理服务费、政策性文件规定及本项目包含的所有风险、责任等各项应有费用。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w:t>
      </w:r>
      <w:r>
        <w:rPr>
          <w:rFonts w:hint="eastAsia" w:ascii="宋体" w:hAnsi="宋体" w:cs="宋体"/>
          <w:bCs/>
          <w:color w:val="000000" w:themeColor="text1"/>
          <w:sz w:val="24"/>
          <w:szCs w:val="24"/>
          <w:highlight w:val="white"/>
        </w:rPr>
        <w:t xml:space="preserve">成交供应商在维保期限内，如上述单位中涉及到的消防维保，安防维保确实在规定的质保期内的由质保期内的服务单位负责，在维保期期限中质保期到期则由各维保单位承接并负责。确保上述单位的消防及安防的安全性。</w:t>
      </w:r>
      <w:r>
        <w:rPr>
          <w:color w:val="000000" w:themeColor="text1"/>
          <w:highlight w:val="white"/>
        </w:rPr>
      </w:r>
    </w:p>
    <w:p>
      <w:pPr>
        <w:pStyle w:val="989"/>
        <w:ind w:firstLine="480"/>
        <w:widowControl w:val="off"/>
        <w:rPr>
          <w:rFonts w:hAnsi="宋体" w:cs="宋体"/>
          <w:color w:val="000000" w:themeColor="text1"/>
          <w:szCs w:val="24"/>
          <w:highlight w:val="white"/>
        </w:rPr>
      </w:pPr>
      <w:r>
        <w:rPr>
          <w:rFonts w:hint="eastAsia" w:hAnsi="宋体" w:cs="宋体"/>
          <w:color w:val="000000" w:themeColor="text1"/>
          <w:szCs w:val="24"/>
          <w:highlight w:val="white"/>
        </w:rPr>
        <w:t xml:space="preserve">7、供应商严格遵守各项安全制度和操作规程，加强对员工的安全教育，凡发生设备损坏和人员损伤等事故，以及员工生病、事故、伤残、死亡和劳务（劳资问题、工资拖欠问题）纠纷等，均由成交供应商负责和赔偿。成交</w:t>
      </w:r>
      <w:r>
        <w:rPr>
          <w:rFonts w:hint="eastAsia" w:hAnsi="宋体" w:cs="宋体"/>
          <w:bCs/>
          <w:color w:val="000000" w:themeColor="text1"/>
          <w:szCs w:val="24"/>
          <w:highlight w:val="white"/>
        </w:rPr>
        <w:t xml:space="preserve">供应商工作人员在活动过程中涉及的所有费用均包含在项目费用之内，采购人不再另行支付。如遇特殊时期，成交供应商须配合各学校进行消防维保、安防维保配备相应人员。</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8、服务时间：一年，具体时间以合同签订为准。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9、服务地点：采购人指定地点。</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10、验收：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（1）验收标准：按国家相关法律法规、行业相关标准及采购文件要求和成交单位的承诺进行验收。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11、付款方式：合同生效后，在服务期内按进度分期支付，服务满6个月后，甲方在次月支付合同金额的50.00%，服务期满后一个月内，甲方支付剩余尾款。</w:t>
      </w:r>
      <w:r>
        <w:rPr>
          <w:color w:val="000000" w:themeColor="text1"/>
          <w:highlight w:val="white"/>
        </w:rPr>
      </w:r>
    </w:p>
    <w:p>
      <w:pPr>
        <w:ind w:left="0" w:firstLine="480"/>
        <w:spacing w:line="360" w:lineRule="auto"/>
        <w:widowControl w:val="off"/>
        <w:rPr>
          <w:rStyle w:val="1004"/>
          <w:rFonts w:ascii="宋体" w:hAnsi="宋体" w:cs="宋体"/>
          <w:color w:val="000000" w:themeColor="text1"/>
          <w:sz w:val="24"/>
          <w:szCs w:val="24"/>
          <w:highlight w:val="white"/>
        </w:rPr>
      </w:pPr>
      <w:r>
        <w:rPr>
          <w:rStyle w:val="1004"/>
          <w:rFonts w:hint="eastAsia" w:ascii="宋体" w:hAnsi="宋体" w:cs="宋体"/>
          <w:color w:val="000000" w:themeColor="text1"/>
          <w:sz w:val="24"/>
          <w:szCs w:val="24"/>
          <w:highlight w:val="white"/>
        </w:rPr>
        <w:t xml:space="preserve">付款前，乙方需先向甲方提供：</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（1）合格的发票；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（2）由甲乙双方签章的《政府采购履约验收书》。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12、凡涉及采购文件的补充说明和修改，均以最后在苏州市政府采购网发布的内容为准。</w:t>
      </w:r>
      <w:r>
        <w:rPr>
          <w:color w:val="000000" w:themeColor="text1"/>
          <w:highlight w:val="white"/>
        </w:rPr>
      </w:r>
    </w:p>
    <w:p>
      <w:pPr>
        <w:ind w:left="0"/>
        <w:jc w:val="left"/>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br w:type="page" w:clear="all"/>
      </w:r>
      <w:r>
        <w:rPr>
          <w:color w:val="000000" w:themeColor="text1"/>
          <w:highlight w:val="white"/>
        </w:rPr>
      </w:r>
    </w:p>
    <w:p>
      <w:pPr>
        <w:ind w:left="0"/>
        <w:spacing w:line="360" w:lineRule="auto"/>
        <w:widowControl w:val="off"/>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jc w:val="center"/>
        <w:spacing w:before="340" w:after="330" w:line="578"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jc w:val="left"/>
        <w:spacing w:before="340" w:after="330" w:line="578" w:lineRule="auto"/>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numPr>
          <w:ilvl w:val="0"/>
          <w:numId w:val="1"/>
        </w:numPr>
        <w:jc w:val="left"/>
        <w:spacing w:before="340" w:after="330" w:line="579" w:lineRule="auto"/>
        <w:rPr>
          <w:rFonts w:ascii="宋体" w:hAnsi="宋体" w:cs="宋体"/>
          <w:b/>
          <w:color w:val="000000" w:themeColor="text1"/>
          <w:sz w:val="44"/>
          <w:szCs w:val="44"/>
          <w:highlight w:val="white"/>
        </w:rPr>
        <w:outlineLvl w:val="0"/>
      </w:pPr>
      <w:r>
        <w:rPr>
          <w:color w:val="000000" w:themeColor="text1"/>
          <w:highlight w:val="white"/>
        </w:rPr>
      </w:r>
      <w:bookmarkStart w:id="86" w:name="合同的特殊条款"/>
      <w:r>
        <w:rPr>
          <w:color w:val="000000" w:themeColor="text1"/>
          <w:highlight w:val="white"/>
        </w:rPr>
      </w:r>
      <w:bookmarkEnd w:id="86"/>
      <w:r>
        <w:rPr>
          <w:color w:val="000000" w:themeColor="text1"/>
          <w:highlight w:val="white"/>
        </w:rPr>
      </w:r>
      <w:bookmarkStart w:id="87" w:name="_Toc26481"/>
      <w:r>
        <w:rPr>
          <w:color w:val="000000" w:themeColor="text1"/>
          <w:highlight w:val="white"/>
        </w:rPr>
      </w:r>
      <w:bookmarkStart w:id="88" w:name="_Toc3589"/>
      <w:r>
        <w:rPr>
          <w:rFonts w:hint="eastAsia" w:ascii="宋体" w:hAnsi="宋体" w:cs="宋体"/>
          <w:b/>
          <w:color w:val="000000" w:themeColor="text1"/>
          <w:sz w:val="44"/>
          <w:szCs w:val="44"/>
          <w:highlight w:val="white"/>
        </w:rPr>
        <w:t xml:space="preserve">合同及主要条款</w:t>
      </w:r>
      <w:bookmarkEnd w:id="77"/>
      <w:r>
        <w:rPr>
          <w:color w:val="000000" w:themeColor="text1"/>
          <w:highlight w:val="white"/>
        </w:rPr>
      </w:r>
      <w:bookmarkEnd w:id="87"/>
      <w:r>
        <w:rPr>
          <w:color w:val="000000" w:themeColor="text1"/>
          <w:highlight w:val="white"/>
        </w:rPr>
      </w:r>
      <w:bookmarkEnd w:id="88"/>
      <w:r>
        <w:rPr>
          <w:color w:val="000000" w:themeColor="text1"/>
          <w:highlight w:val="white"/>
        </w:rPr>
      </w:r>
      <w:r>
        <w:rPr>
          <w:color w:val="000000" w:themeColor="text1"/>
          <w:highlight w:val="white"/>
        </w:rPr>
      </w:r>
    </w:p>
    <w:p>
      <w:pPr>
        <w:pStyle w:val="991"/>
        <w:ind w:firstLine="0"/>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ind w:left="0"/>
        <w:jc w:val="center"/>
        <w:spacing w:line="360" w:lineRule="auto"/>
        <w:rPr>
          <w:rFonts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89" w:name="_Toc32730"/>
      <w:r>
        <w:rPr>
          <w:rFonts w:hint="eastAsia" w:ascii="宋体" w:hAnsi="宋体" w:cs="宋体"/>
          <w:b/>
          <w:color w:val="000000" w:themeColor="text1"/>
          <w:sz w:val="32"/>
          <w:szCs w:val="32"/>
          <w:highlight w:val="white"/>
        </w:rPr>
        <w:t xml:space="preserve">合同主要条款</w:t>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依据甲方委托</w:t>
      </w:r>
      <w:r>
        <w:rPr>
          <w:rFonts w:hint="eastAsia" w:ascii="宋体" w:hAnsi="宋体" w:cs="宋体"/>
          <w:color w:val="000000" w:themeColor="text1"/>
          <w:sz w:val="24"/>
          <w:szCs w:val="24"/>
          <w:highlight w:val="white"/>
        </w:rPr>
        <w:t xml:space="preserve">苏州合亿盛工程咨询</w:t>
      </w:r>
      <w:r>
        <w:rPr>
          <w:rFonts w:hint="eastAsia" w:ascii="宋体" w:hAnsi="宋体" w:cs="宋体"/>
          <w:color w:val="000000" w:themeColor="text1"/>
          <w:sz w:val="24"/>
          <w:szCs w:val="24"/>
          <w:highlight w:val="white"/>
          <w:lang w:val="zh-CN"/>
        </w:rPr>
        <w:t xml:space="preserve">有限公司进行本项目政府采购（采购编号：</w:t>
      </w:r>
      <w:r>
        <w:rPr>
          <w:rFonts w:hint="eastAsia" w:ascii="宋体" w:hAnsi="宋体" w:cs="宋体"/>
          <w:color w:val="000000" w:themeColor="text1"/>
          <w:sz w:val="24"/>
          <w:szCs w:val="24"/>
          <w:highlight w:val="white"/>
          <w:u w:val="single"/>
          <w:lang w:val="zh-CN"/>
        </w:rPr>
        <w:t xml:space="preserve">JSZC-320507-SHYS-C2026-0009</w:t>
      </w:r>
      <w:r>
        <w:rPr>
          <w:rFonts w:hint="eastAsia" w:ascii="宋体" w:hAnsi="宋体" w:cs="宋体"/>
          <w:color w:val="000000" w:themeColor="text1"/>
          <w:sz w:val="24"/>
          <w:szCs w:val="24"/>
          <w:highlight w:val="white"/>
          <w:lang w:val="zh-CN"/>
        </w:rPr>
        <w:t xml:space="preserve">）的采购结果，确定乙方为本次成交供应商，现依照采购文件、乙方的响应文件及相关文件的内容，签订本合同书。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一、合同标的物和合同价格组成</w:t>
      </w:r>
      <w:r>
        <w:rPr>
          <w:color w:val="000000" w:themeColor="text1"/>
          <w:highlight w:val="white"/>
        </w:rPr>
      </w:r>
    </w:p>
    <w:p>
      <w:pPr>
        <w:pStyle w:val="990"/>
        <w:ind w:left="0" w:firstLine="480"/>
        <w:spacing w:line="360" w:lineRule="auto"/>
        <w:tabs>
          <w:tab w:val="left" w:pos="7560" w:leader="none"/>
        </w:tabs>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1.1采购的服务内容概述；</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1.2服务具体范围，</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1.3服务期限，</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1.4合同价款的组成：合同价款包含甲方应付乙方的全部款项，</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在合同履行过程中，采购人需追加与合同标的物相同的服务的，在不改变合同其他条款的前提下，可以与成交供应商签订补充合同，但所有补充合同的采购金额不得超过原合同采购金额的百分之十。</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二、下列文件为本合同不可分割部分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2.1成交通知书；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2.2乙方成交的响应文件；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2.3采购文件；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2.4乙方在磋商过程中所作的其它承诺、声明、书面澄清等。</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三、合同价格支付</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3.1支付步骤和比例，</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ascii="宋体" w:hAnsi="宋体" w:cs="宋体"/>
          <w:i/>
          <w:iCs/>
          <w:color w:val="000000" w:themeColor="text1"/>
          <w:sz w:val="24"/>
          <w:szCs w:val="24"/>
          <w:highlight w:val="white"/>
        </w:rPr>
      </w:pPr>
      <w:r>
        <w:rPr>
          <w:rFonts w:hint="eastAsia" w:ascii="宋体" w:hAnsi="宋体" w:cs="宋体"/>
          <w:color w:val="000000" w:themeColor="text1"/>
          <w:sz w:val="24"/>
          <w:szCs w:val="24"/>
          <w:highlight w:val="white"/>
        </w:rPr>
        <w:t xml:space="preserve">3.2根据现行税法对甲方征收的与本合同有关的一切税费均由甲方承担；根据现行税法对乙方征收的与本合同有关的一切税费均由乙方承担。</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3.3乙方要求付款应提供以下资料：</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（1）合格的发票；</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（2）由甲乙双方签章的《政府采购履约验收书》。</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3.4支付方式：银行转账、银行汇票或转账支票，具体支付方式甲方有权根据财务安排自主选择。</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四、服务工作管理</w:t>
      </w:r>
      <w:r>
        <w:rPr>
          <w:color w:val="000000" w:themeColor="text1"/>
          <w:highlight w:val="white"/>
        </w:rPr>
      </w:r>
    </w:p>
    <w:p>
      <w:pPr>
        <w:ind w:left="0" w:firstLine="482"/>
        <w:spacing w:line="360" w:lineRule="auto"/>
        <w:widowControl w:val="off"/>
        <w:rPr>
          <w:rFonts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五、验收：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5.1验收标准：按国家相关法律法规、行业相关标准及采购文件要求和成交单位的承诺进行验收。</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5.2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六、不可抗力</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6.1因不可抗力不能履行合同的，根据不可抗力的影响，部分或者全部免除责任。但合同一方延迟履行后发生不可抗力的，不能免除责任。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6.2合同一方因不可抗力不能履行合同的，应当及时通知对方，以减轻可能给对方造成的损失，并应当在合理期限内提供证明。</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七、合同的解除和转让</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7.1甲方和乙方协商一致，可以解除合同。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7.2有下列情形之一，合同一方可以解除合同：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7.2.1因不可抗力致使不能实现合同目的，未受不可抗力影响的一方有权解除合同；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7.2.2因合同一方违约导致合同不能履行，另一方有权解除合同；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7.2.3因乙方在履行合同过程中造成社会不良影响的，甲方有权解除合同。</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7.3有权解除合同的一方，应当在违约事实或不可抗力发生之后三十天内书面通知对方以主张解除合同，合同在书面通知到达对方时解除。</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7.4合同的部分和全部都不得转让。</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八、违约责任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8.1合同一方不履行合同义务或者履行合同义务不符合约定的，应当承担继续履行、采取补救措施或赔偿损失等违约责任。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8.2甲方违约责任。甲方未按照约定时间支付合同价款的，应当承担逾期付款违约责任。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8.3乙方违约责任。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8.3.1甲方有权按照规定对乙方进行考核，并按照考核办法的规定要求乙方承担相应责任。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8.3.2乙方承担的违约金不足以赔偿甲方实际损失的，甲方有权要求乙方继续赔偿。</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8.3.3乙方履行合同不符合合同要求的，甲方有权责令乙方立即改正，乙方拒不改正或已经造成不良社会影响的，甲方有权要求乙方承担责任。</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九、争议解决办法</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因本合同或与本合同有关的一切事项发生争议，由双方友好协商解决。协商不成的，任何一方均可以向甲方所在地人民法院起诉。</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十、合同生效</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本合同在双方签字盖章后生效，并需经政府采购管理部门备案。</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十</w:t>
      </w:r>
      <w:r>
        <w:rPr>
          <w:rFonts w:hint="eastAsia" w:ascii="宋体" w:hAnsi="宋体" w:cs="宋体"/>
          <w:bCs/>
          <w:color w:val="000000" w:themeColor="text1"/>
          <w:sz w:val="24"/>
          <w:szCs w:val="24"/>
          <w:highlight w:val="white"/>
        </w:rPr>
        <w:t xml:space="preserve">一</w:t>
      </w:r>
      <w:r>
        <w:rPr>
          <w:rFonts w:hint="eastAsia" w:ascii="宋体" w:hAnsi="宋体" w:cs="宋体"/>
          <w:color w:val="000000" w:themeColor="text1"/>
          <w:sz w:val="24"/>
          <w:szCs w:val="24"/>
          <w:highlight w:val="white"/>
        </w:rPr>
        <w:t xml:space="preserve">、其他</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white"/>
        </w:rPr>
      </w:r>
    </w:p>
    <w:p>
      <w:pPr>
        <w:ind w:left="0" w:firstLine="480"/>
        <w:spacing w:line="360" w:lineRule="auto"/>
        <w:widowControl w:val="off"/>
        <w:rPr>
          <w:rFonts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十二、附则</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12.1本合同一式四份，甲方、乙方各执一份，政府采购监督管理部门备案一份，采购代理机构一份。</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12.2本合同文件使用中文书写、解释和说明。</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12.3本合同履行过程中产生的纪要、协议以及成交通知书、响应文件和采购文件为本合同的附件，与合同具有同等效力。</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12.4未尽事宜</w:t>
      </w:r>
      <w:r>
        <w:rPr>
          <w:color w:val="000000" w:themeColor="text1"/>
          <w:highlight w:val="white"/>
        </w:rPr>
      </w:r>
    </w:p>
    <w:p>
      <w:pPr>
        <w:ind w:left="0" w:firstLine="480"/>
        <w:spacing w:line="360" w:lineRule="auto"/>
        <w:widowControl w:val="off"/>
        <w:rPr>
          <w:rFonts w:ascii="宋体" w:hAnsi="宋体" w:cs="宋体"/>
          <w:color w:val="000000" w:themeColor="text1"/>
          <w:sz w:val="21"/>
          <w:szCs w:val="21"/>
          <w:highlight w:val="white"/>
        </w:rPr>
      </w:pPr>
      <w:r>
        <w:rPr>
          <w:rFonts w:hint="eastAsia" w:ascii="宋体" w:hAnsi="宋体" w:cs="宋体"/>
          <w:color w:val="000000" w:themeColor="text1"/>
          <w:sz w:val="24"/>
          <w:szCs w:val="24"/>
          <w:highlight w:val="white"/>
        </w:rPr>
        <w:t xml:space="preserve">按《中华人民共和国政府采购法》及其他有关的法律法规的规定执行。</w:t>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90" w:name="评分要点"/>
      <w:r>
        <w:rPr>
          <w:color w:val="000000" w:themeColor="text1"/>
          <w:highlight w:val="white"/>
        </w:rPr>
      </w:r>
      <w:bookmarkEnd w:id="90"/>
      <w:r>
        <w:rPr>
          <w:color w:val="000000" w:themeColor="text1"/>
          <w:highlight w:val="white"/>
        </w:rPr>
      </w:r>
      <w:r>
        <w:rPr>
          <w:color w:val="000000" w:themeColor="text1"/>
          <w:highlight w:val="white"/>
        </w:rPr>
      </w:r>
    </w:p>
    <w:p>
      <w:pPr>
        <w:pStyle w:val="985"/>
        <w:ind w:left="0" w:firstLine="0"/>
        <w:jc w:val="cente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ind w:left="0" w:firstLine="0"/>
        <w:rPr>
          <w:rFonts w:ascii="宋体" w:hAnsi="宋体" w:cs="宋体"/>
          <w:b/>
          <w:color w:val="000000" w:themeColor="text1"/>
          <w:sz w:val="44"/>
          <w:szCs w:val="44"/>
          <w:highlight w:val="white"/>
        </w:rPr>
      </w:pPr>
      <w:r>
        <w:rPr>
          <w:rFonts w:ascii="宋体" w:hAnsi="宋体" w:cs="宋体"/>
          <w:b/>
          <w:color w:val="000000" w:themeColor="text1"/>
          <w:sz w:val="44"/>
          <w:szCs w:val="44"/>
          <w:highlight w:val="white"/>
        </w:rPr>
      </w:r>
      <w:r>
        <w:rPr>
          <w:color w:val="000000" w:themeColor="text1"/>
          <w:highlight w:val="white"/>
        </w:rPr>
      </w:r>
    </w:p>
    <w:p>
      <w:pPr>
        <w:pStyle w:val="985"/>
        <w:numPr>
          <w:ilvl w:val="0"/>
          <w:numId w:val="1"/>
        </w:numPr>
        <w:ind w:firstLine="0"/>
        <w:jc w:val="left"/>
        <w:spacing w:line="579" w:lineRule="auto"/>
        <w:rPr>
          <w:rFonts w:ascii="宋体" w:hAnsi="宋体" w:cs="宋体"/>
          <w:b/>
          <w:color w:val="000000" w:themeColor="text1"/>
          <w:sz w:val="44"/>
          <w:szCs w:val="44"/>
          <w:highlight w:val="white"/>
        </w:rPr>
      </w:pPr>
      <w:r>
        <w:rPr>
          <w:color w:val="000000" w:themeColor="text1"/>
          <w:highlight w:val="white"/>
        </w:rPr>
      </w:r>
      <w:bookmarkStart w:id="91" w:name="_Toc27775"/>
      <w:r>
        <w:rPr>
          <w:color w:val="000000" w:themeColor="text1"/>
          <w:highlight w:val="white"/>
        </w:rPr>
      </w:r>
      <w:bookmarkStart w:id="92" w:name="_Toc16154"/>
      <w:r>
        <w:rPr>
          <w:rFonts w:hint="eastAsia" w:ascii="宋体" w:hAnsi="宋体" w:cs="宋体"/>
          <w:b/>
          <w:color w:val="000000" w:themeColor="text1"/>
          <w:sz w:val="44"/>
          <w:szCs w:val="44"/>
          <w:highlight w:val="white"/>
        </w:rPr>
        <w:t xml:space="preserve">评审办法</w:t>
      </w:r>
      <w:bookmarkEnd w:id="78"/>
      <w:r>
        <w:rPr>
          <w:color w:val="000000" w:themeColor="text1"/>
          <w:highlight w:val="white"/>
        </w:rPr>
      </w:r>
      <w:bookmarkEnd w:id="79"/>
      <w:r>
        <w:rPr>
          <w:color w:val="000000" w:themeColor="text1"/>
          <w:highlight w:val="white"/>
        </w:rPr>
      </w:r>
      <w:bookmarkEnd w:id="80"/>
      <w:r>
        <w:rPr>
          <w:color w:val="000000" w:themeColor="text1"/>
          <w:highlight w:val="white"/>
        </w:rPr>
      </w:r>
      <w:bookmarkEnd w:id="81"/>
      <w:r>
        <w:rPr>
          <w:color w:val="000000" w:themeColor="text1"/>
          <w:highlight w:val="white"/>
        </w:rPr>
      </w:r>
      <w:bookmarkEnd w:id="89"/>
      <w:r>
        <w:rPr>
          <w:color w:val="000000" w:themeColor="text1"/>
          <w:highlight w:val="white"/>
        </w:rPr>
      </w:r>
      <w:bookmarkEnd w:id="91"/>
      <w:r>
        <w:rPr>
          <w:color w:val="000000" w:themeColor="text1"/>
          <w:highlight w:val="white"/>
        </w:rPr>
      </w:r>
      <w:bookmarkEnd w:id="92"/>
      <w:r>
        <w:rPr>
          <w:color w:val="000000" w:themeColor="text1"/>
          <w:highlight w:val="white"/>
        </w:rPr>
      </w:r>
      <w:r>
        <w:rPr>
          <w:color w:val="000000" w:themeColor="text1"/>
          <w:highlight w:val="white"/>
        </w:rPr>
      </w:r>
    </w:p>
    <w:p>
      <w:pPr>
        <w:rPr>
          <w:rFonts w:ascii="宋体" w:hAnsi="宋体" w:cs="宋体"/>
          <w:b/>
          <w:color w:val="000000" w:themeColor="text1"/>
          <w:sz w:val="24"/>
          <w:szCs w:val="24"/>
          <w:highlight w:val="white"/>
        </w:rPr>
      </w:pPr>
      <w:r>
        <w:rPr>
          <w:rFonts w:ascii="宋体" w:hAnsi="宋体" w:cs="宋体"/>
          <w:b/>
          <w:color w:val="000000" w:themeColor="text1"/>
          <w:sz w:val="24"/>
          <w:szCs w:val="24"/>
          <w:highlight w:val="white"/>
        </w:rPr>
      </w:r>
      <w:r>
        <w:rPr>
          <w:color w:val="000000" w:themeColor="text1"/>
          <w:highlight w:val="white"/>
        </w:rPr>
      </w:r>
    </w:p>
    <w:p>
      <w:pPr>
        <w:pStyle w:val="991"/>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ind w:left="0" w:firstLine="480"/>
        <w:spacing w:line="360" w:lineRule="auto"/>
        <w:widowControl w:val="off"/>
        <w:rPr>
          <w:rStyle w:val="1004"/>
          <w:rFonts w:ascii="宋体" w:hAnsi="宋体" w:cs="宋体"/>
          <w:b/>
          <w:bCs/>
          <w:color w:val="000000" w:themeColor="text1"/>
          <w:sz w:val="24"/>
          <w:szCs w:val="24"/>
          <w:highlight w:val="white"/>
        </w:rPr>
      </w:pPr>
      <w:r>
        <w:rPr>
          <w:rFonts w:hint="eastAsia" w:ascii="宋体" w:hAnsi="宋体" w:cs="宋体"/>
          <w:color w:val="000000" w:themeColor="text1"/>
          <w:sz w:val="24"/>
          <w:szCs w:val="24"/>
          <w:highlight w:val="white"/>
        </w:rPr>
        <w:br w:type="page" w:clear="all"/>
      </w:r>
      <w:r>
        <w:rPr>
          <w:rStyle w:val="1004"/>
          <w:rFonts w:hint="eastAsia" w:ascii="宋体" w:hAnsi="宋体" w:cs="宋体"/>
          <w:b/>
          <w:bCs/>
          <w:color w:val="000000" w:themeColor="text1"/>
          <w:sz w:val="24"/>
          <w:szCs w:val="24"/>
          <w:highlight w:val="white"/>
        </w:rPr>
        <w:t xml:space="preserve">一、评审方法</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2、评审小组各成员独立对每个进入打分程序的有效磋商供应商的响应文件技术和资质部分以打分的形式进行评审和评价。</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3、对评委的评分（除价格分外）进行统计汇总，直接算术平均计算出每个磋商供应商的得分，加上价格得分即为每个磋商供应商的综合得分。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4、如出现评审总得分最高的磋商供应商有两个或两个以上的，以磋商报价较低者优先作为成交候选人，如果磋商报价也相同的，则由采购人组织以抽签方式确定成交候选人。</w:t>
      </w:r>
      <w:r>
        <w:rPr>
          <w:color w:val="000000" w:themeColor="text1"/>
          <w:highlight w:val="white"/>
        </w:rPr>
      </w:r>
    </w:p>
    <w:p>
      <w:pPr>
        <w:ind w:left="0" w:firstLine="482"/>
        <w:spacing w:line="360" w:lineRule="auto"/>
        <w:widowControl w:val="off"/>
        <w:rPr>
          <w:rStyle w:val="1004"/>
          <w:rFonts w:ascii="宋体" w:hAnsi="宋体" w:cs="宋体"/>
          <w:b/>
          <w:bCs/>
          <w:color w:val="000000" w:themeColor="text1"/>
          <w:sz w:val="24"/>
          <w:szCs w:val="24"/>
          <w:highlight w:val="white"/>
        </w:rPr>
      </w:pPr>
      <w:r>
        <w:rPr>
          <w:rStyle w:val="1004"/>
          <w:rFonts w:hint="eastAsia" w:ascii="宋体" w:hAnsi="宋体" w:cs="宋体"/>
          <w:b/>
          <w:bCs/>
          <w:color w:val="000000" w:themeColor="text1"/>
          <w:sz w:val="24"/>
          <w:szCs w:val="24"/>
          <w:highlight w:val="white"/>
        </w:rPr>
        <w:t xml:space="preserve">二、评分标准</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（一）价格基准分（10分）</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第一步：磋商报价低于或等于财政预算价格的，为有效磋商报价。超财政预算的磋商报价文件为未实质性响应文件，不参与评审。</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第二步：在所有有效磋商报价中满足采购文件要求，且磋商价格最低的磋商报价为评标基准价，其价格分为10分，其他磋商供应商的价格分按照下列公式计算（计算结果四舍五入保留两位小数）。</w:t>
      </w:r>
      <w:r>
        <w:rPr>
          <w:color w:val="000000" w:themeColor="text1"/>
          <w:highlight w:val="white"/>
        </w:rPr>
      </w:r>
    </w:p>
    <w:p>
      <w:pPr>
        <w:ind w:left="0" w:firstLine="48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磋商报价得分＝（评标基准价/磋商报价）×10%×100。</w:t>
      </w:r>
      <w:r>
        <w:rPr>
          <w:color w:val="000000" w:themeColor="text1"/>
          <w:highlight w:val="white"/>
        </w:rPr>
      </w:r>
    </w:p>
    <w:p>
      <w:pPr>
        <w:ind w:left="0" w:firstLine="482"/>
        <w:jc w:val="center"/>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适用于第一标段：</w:t>
      </w:r>
      <w:r>
        <w:rPr>
          <w:color w:val="000000" w:themeColor="text1"/>
          <w:highlight w:val="white"/>
        </w:rPr>
      </w:r>
    </w:p>
    <w:p>
      <w:pPr>
        <w:ind w:left="0" w:firstLine="482"/>
        <w:jc w:val="left"/>
        <w:spacing w:line="348" w:lineRule="auto"/>
        <w:rPr>
          <w:rFonts w:ascii="宋体" w:hAnsi="宋体" w:cs="宋体"/>
          <w:b/>
          <w:color w:val="000000" w:themeColor="text1"/>
          <w:sz w:val="24"/>
          <w:szCs w:val="22"/>
          <w:highlight w:val="white"/>
        </w:rPr>
      </w:pPr>
      <w:r>
        <w:rPr>
          <w:rFonts w:hint="eastAsia" w:ascii="宋体" w:hAnsi="宋体" w:cs="宋体"/>
          <w:b/>
          <w:color w:val="000000" w:themeColor="text1"/>
          <w:sz w:val="24"/>
          <w:szCs w:val="22"/>
          <w:highlight w:val="white"/>
        </w:rPr>
        <w:t xml:space="preserve">（二）技术、商务部分（90分）</w:t>
      </w:r>
      <w:r>
        <w:rPr>
          <w:color w:val="000000" w:themeColor="text1"/>
          <w:highlight w:val="white"/>
        </w:rPr>
      </w:r>
    </w:p>
    <w:p>
      <w:pPr>
        <w:ind w:left="0" w:firstLine="482"/>
        <w:spacing w:line="360" w:lineRule="auto"/>
        <w:widowControl w:val="off"/>
        <w:rPr>
          <w:rFonts w:ascii="宋体" w:hAnsi="宋体" w:cs="宋体"/>
          <w:b/>
          <w:bCs/>
          <w:color w:val="000000" w:themeColor="text1"/>
          <w:sz w:val="24"/>
          <w:szCs w:val="24"/>
          <w:highlight w:val="white"/>
        </w:rPr>
      </w:pPr>
      <w:r>
        <w:rPr>
          <w:rFonts w:hint="eastAsia" w:ascii="宋体" w:hAnsi="宋体"/>
          <w:b/>
          <w:bCs/>
          <w:color w:val="000000" w:themeColor="text1"/>
          <w:sz w:val="24"/>
          <w:szCs w:val="24"/>
          <w:highlight w:val="white"/>
        </w:rPr>
        <w:t xml:space="preserve">1、</w:t>
      </w:r>
      <w:r>
        <w:rPr>
          <w:rFonts w:hint="eastAsia" w:ascii="宋体" w:hAnsi="宋体" w:cs="宋体"/>
          <w:b/>
          <w:bCs/>
          <w:color w:val="000000" w:themeColor="text1"/>
          <w:sz w:val="24"/>
          <w:szCs w:val="22"/>
          <w:highlight w:val="white"/>
        </w:rPr>
        <w:t xml:space="preserve">响应方案（66分）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1.1针对本项目整体服务方案比较（10分）：</w:t>
      </w:r>
      <w:bookmarkStart w:id="93" w:name="_Hlk45659670"/>
      <w:r>
        <w:rPr>
          <w:color w:val="000000" w:themeColor="text1"/>
          <w:highlight w:val="white"/>
        </w:rPr>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内容描述详细全面、切合实际、可操作性强的得1</w:t>
      </w:r>
      <w:r>
        <w:rPr>
          <w:rFonts w:ascii="宋体" w:hAnsi="宋体"/>
          <w:color w:val="000000" w:themeColor="text1"/>
          <w:sz w:val="24"/>
          <w:szCs w:val="24"/>
          <w:highlight w:val="white"/>
        </w:rPr>
        <w:t xml:space="preserve">0</w:t>
      </w:r>
      <w:r>
        <w:rPr>
          <w:rFonts w:hint="eastAsia" w:ascii="宋体" w:hAnsi="宋体"/>
          <w:color w:val="000000" w:themeColor="text1"/>
          <w:sz w:val="24"/>
          <w:szCs w:val="24"/>
          <w:highlight w:val="white"/>
        </w:rPr>
        <w:t xml:space="preserve">分；内容描述较详细、符合实际、可操作性较强的得</w:t>
      </w:r>
      <w:r>
        <w:rPr>
          <w:rFonts w:ascii="宋体" w:hAnsi="宋体"/>
          <w:color w:val="000000" w:themeColor="text1"/>
          <w:sz w:val="24"/>
          <w:szCs w:val="24"/>
          <w:highlight w:val="white"/>
        </w:rPr>
        <w:t xml:space="preserve">7</w:t>
      </w:r>
      <w:r>
        <w:rPr>
          <w:rFonts w:hint="eastAsia" w:ascii="宋体" w:hAnsi="宋体"/>
          <w:color w:val="000000" w:themeColor="text1"/>
          <w:sz w:val="24"/>
          <w:szCs w:val="24"/>
          <w:highlight w:val="white"/>
        </w:rPr>
        <w:t xml:space="preserve">分；内容描述较简单、可操作性一般的得</w:t>
      </w:r>
      <w:r>
        <w:rPr>
          <w:rFonts w:ascii="宋体" w:hAnsi="宋体"/>
          <w:color w:val="000000" w:themeColor="text1"/>
          <w:sz w:val="24"/>
          <w:szCs w:val="24"/>
          <w:highlight w:val="white"/>
        </w:rPr>
        <w:t xml:space="preserve">4</w:t>
      </w:r>
      <w:r>
        <w:rPr>
          <w:rFonts w:hint="eastAsia" w:ascii="宋体" w:hAnsi="宋体"/>
          <w:color w:val="000000" w:themeColor="text1"/>
          <w:sz w:val="24"/>
          <w:szCs w:val="24"/>
          <w:highlight w:val="white"/>
        </w:rPr>
        <w:t xml:space="preserve">分；内容描述简略、可操作性差的得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分；内容粗糙不可行的不得分。</w:t>
      </w:r>
      <w:bookmarkEnd w:id="93"/>
      <w:r>
        <w:rPr>
          <w:color w:val="000000" w:themeColor="text1"/>
          <w:highlight w:val="white"/>
        </w:rPr>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1.2针对本项目维保内容的</w:t>
      </w:r>
      <w:r>
        <w:rPr>
          <w:rFonts w:hint="eastAsia" w:ascii="Times New Roman" w:hAnsi="宋体" w:cs="宋体"/>
          <w:b/>
          <w:bCs/>
          <w:color w:val="000000" w:themeColor="text1"/>
          <w:sz w:val="24"/>
          <w:szCs w:val="24"/>
          <w:highlight w:val="white"/>
          <w:lang w:val="zh-CN"/>
        </w:rPr>
        <w:t xml:space="preserve">难点问题分析及解决方法</w:t>
      </w:r>
      <w:r>
        <w:rPr>
          <w:rFonts w:hint="eastAsia" w:ascii="宋体" w:hAnsi="宋体"/>
          <w:b/>
          <w:bCs/>
          <w:color w:val="000000" w:themeColor="text1"/>
          <w:sz w:val="24"/>
          <w:szCs w:val="24"/>
          <w:highlight w:val="white"/>
        </w:rPr>
        <w:t xml:space="preserve">比较（10分）：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10分；内容描述较详细、符合实际、针对性及可操作性较强的得7分；内容描述较简单、针对性及可操作性一般的得4分；内容描述简略、针对性及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w:t>
      </w:r>
      <w:r>
        <w:rPr>
          <w:rFonts w:ascii="宋体" w:hAnsi="宋体"/>
          <w:b/>
          <w:bCs/>
          <w:color w:val="000000" w:themeColor="text1"/>
          <w:sz w:val="24"/>
          <w:szCs w:val="24"/>
          <w:highlight w:val="white"/>
        </w:rPr>
        <w:t xml:space="preserve">3</w:t>
      </w:r>
      <w:r>
        <w:rPr>
          <w:rFonts w:hint="eastAsia" w:ascii="宋体" w:hAnsi="宋体"/>
          <w:b/>
          <w:bCs/>
          <w:color w:val="000000" w:themeColor="text1"/>
          <w:sz w:val="24"/>
          <w:szCs w:val="24"/>
          <w:highlight w:val="white"/>
        </w:rPr>
        <w:t xml:space="preserve">针对本项目</w:t>
      </w:r>
      <w:r>
        <w:rPr>
          <w:rFonts w:hint="eastAsia" w:ascii="Times New Roman" w:hAnsi="宋体"/>
          <w:b/>
          <w:bCs/>
          <w:color w:val="000000" w:themeColor="text1"/>
          <w:sz w:val="24"/>
          <w:szCs w:val="24"/>
          <w:highlight w:val="white"/>
        </w:rPr>
        <w:t xml:space="preserve">安全管理、安全保护方案</w:t>
      </w:r>
      <w:r>
        <w:rPr>
          <w:rFonts w:hint="eastAsia" w:ascii="宋体" w:hAnsi="宋体"/>
          <w:b/>
          <w:bCs/>
          <w:color w:val="000000" w:themeColor="text1"/>
          <w:sz w:val="24"/>
          <w:szCs w:val="24"/>
          <w:highlight w:val="white"/>
        </w:rPr>
        <w:t xml:space="preserve">比较（8分）：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内容描述详细全面、切合实际、针对性及可操作性强的得8分；内容描述较详细、符合实际、针对性及可操作性较强的得6分；内容描述较简单、针对性及可操作性一般的得</w:t>
      </w:r>
      <w:r>
        <w:rPr>
          <w:rFonts w:ascii="宋体" w:hAnsi="宋体"/>
          <w:color w:val="000000" w:themeColor="text1"/>
          <w:sz w:val="24"/>
          <w:szCs w:val="24"/>
          <w:highlight w:val="white"/>
        </w:rPr>
        <w:t xml:space="preserve">4</w:t>
      </w:r>
      <w:r>
        <w:rPr>
          <w:rFonts w:hint="eastAsia" w:ascii="宋体" w:hAnsi="宋体"/>
          <w:color w:val="000000" w:themeColor="text1"/>
          <w:sz w:val="24"/>
          <w:szCs w:val="24"/>
          <w:highlight w:val="white"/>
        </w:rPr>
        <w:t xml:space="preserve">分；内容描述简略、针对性及可操作性差的得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1.4针对本项目的</w:t>
      </w:r>
      <w:r>
        <w:rPr>
          <w:rFonts w:hint="eastAsia" w:ascii="宋体" w:hAnsi="宋体" w:cs="宋体"/>
          <w:b/>
          <w:bCs/>
          <w:color w:val="000000" w:themeColor="text1"/>
          <w:sz w:val="24"/>
          <w:szCs w:val="24"/>
          <w:highlight w:val="white"/>
          <w:lang w:val="zh-CN"/>
        </w:rPr>
        <w:t xml:space="preserve">具体的检查项目及维保要求</w:t>
      </w:r>
      <w:r>
        <w:rPr>
          <w:rFonts w:hint="eastAsia" w:ascii="宋体" w:hAnsi="宋体"/>
          <w:b/>
          <w:bCs/>
          <w:color w:val="000000" w:themeColor="text1"/>
          <w:sz w:val="24"/>
          <w:szCs w:val="24"/>
          <w:highlight w:val="white"/>
        </w:rPr>
        <w:t xml:space="preserve">比较（8分）：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8分；内容描述较详细、符合实际、针对性及可操作性较强的得6分；内容描述较简单、针对性及可操作性一般的得4分；内容描述简略、针对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1.5拟投入本项目的维保设备及工具比较（8分）：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设备及工具描述详细、科学先进、实用性强的得8分；设备及工具描述较详细、较科学先进、实用性较强的得6分；设备及工具描述较简单、较为普通、实用性一般的得4分；设备及工具描述简略、实用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1.6针对本项目</w:t>
      </w:r>
      <w:r>
        <w:rPr>
          <w:rFonts w:hint="eastAsia" w:ascii="宋体" w:hAnsi="宋体" w:cs="宋体"/>
          <w:b/>
          <w:bCs/>
          <w:color w:val="000000" w:themeColor="text1"/>
          <w:sz w:val="24"/>
          <w:szCs w:val="24"/>
          <w:highlight w:val="white"/>
          <w:lang w:val="zh-CN"/>
        </w:rPr>
        <w:t xml:space="preserve">质量保证</w:t>
      </w:r>
      <w:r>
        <w:rPr>
          <w:rFonts w:hint="eastAsia" w:ascii="宋体" w:hAnsi="宋体"/>
          <w:b/>
          <w:bCs/>
          <w:color w:val="000000" w:themeColor="text1"/>
          <w:sz w:val="24"/>
          <w:szCs w:val="24"/>
          <w:highlight w:val="white"/>
        </w:rPr>
        <w:t xml:space="preserve">比较（8分）：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针对性及可操作性强的得8分；内容描述较详细、针对性及可操作性较强的得6分；内容描述较简单、针对性及可操作性一般的得4分；内容描述简略、针对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1.7针对本项目</w:t>
      </w:r>
      <w:r>
        <w:rPr>
          <w:rFonts w:hint="eastAsia" w:ascii="宋体" w:hAnsi="宋体" w:cs="宋体"/>
          <w:b/>
          <w:bCs/>
          <w:color w:val="000000" w:themeColor="text1"/>
          <w:sz w:val="24"/>
          <w:szCs w:val="24"/>
          <w:highlight w:val="white"/>
          <w:lang w:val="zh-CN"/>
        </w:rPr>
        <w:t xml:space="preserve">维保档案管理</w:t>
      </w:r>
      <w:r>
        <w:rPr>
          <w:rFonts w:hint="eastAsia" w:ascii="宋体" w:hAnsi="宋体"/>
          <w:b/>
          <w:bCs/>
          <w:color w:val="000000" w:themeColor="text1"/>
          <w:sz w:val="24"/>
          <w:szCs w:val="24"/>
          <w:highlight w:val="white"/>
        </w:rPr>
        <w:t xml:space="preserve">比较（8分）：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高效规范、可操作性强的得8分；内容描述较详细、较为规范、可操作性较强的得6分；内容描述较简单、规范性及可操作性一般的得4分；内容描述简略、规范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1.8针对本项目协调配合方案比较（6分）：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内容描述详细全面、切合实际、可操作性强的得6分；内容描述较详细、符合实际、可操作性较强的得4分；内容描述较简单、可操作性一般的得2分；内容描述简略、可操作性差的得1分；未提供不得分。</w:t>
      </w:r>
      <w:r>
        <w:rPr>
          <w:color w:val="000000" w:themeColor="text1"/>
          <w:highlight w:val="white"/>
        </w:rPr>
      </w:r>
    </w:p>
    <w:p>
      <w:pPr>
        <w:ind w:left="0" w:firstLine="482"/>
        <w:spacing w:line="360" w:lineRule="auto"/>
        <w:widowControl w:val="off"/>
        <w:rPr>
          <w:rFonts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2、综合实力比较（</w:t>
      </w:r>
      <w:r>
        <w:rPr>
          <w:rFonts w:ascii="宋体" w:hAnsi="宋体"/>
          <w:b/>
          <w:color w:val="000000" w:themeColor="text1"/>
          <w:sz w:val="24"/>
          <w:szCs w:val="24"/>
          <w:highlight w:val="white"/>
        </w:rPr>
        <w:t xml:space="preserve">2</w:t>
      </w:r>
      <w:r>
        <w:rPr>
          <w:rFonts w:hint="eastAsia" w:ascii="宋体" w:hAnsi="宋体"/>
          <w:b/>
          <w:color w:val="000000" w:themeColor="text1"/>
          <w:sz w:val="24"/>
          <w:szCs w:val="24"/>
          <w:highlight w:val="white"/>
        </w:rPr>
        <w:t xml:space="preserve">4分）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2.1</w:t>
      </w:r>
      <w:r>
        <w:rPr>
          <w:rFonts w:hint="eastAsia" w:ascii="宋体" w:hAnsi="宋体" w:cs="宋体"/>
          <w:b/>
          <w:bCs/>
          <w:color w:val="000000" w:themeColor="text1"/>
          <w:sz w:val="24"/>
          <w:szCs w:val="24"/>
          <w:highlight w:val="white"/>
          <w:lang w:val="zh-CN"/>
        </w:rPr>
        <w:t xml:space="preserve">类似项目业绩</w:t>
      </w:r>
      <w:r>
        <w:rPr>
          <w:rFonts w:hint="eastAsia" w:ascii="宋体" w:hAnsi="宋体"/>
          <w:b/>
          <w:bCs/>
          <w:color w:val="000000" w:themeColor="text1"/>
          <w:sz w:val="24"/>
          <w:szCs w:val="24"/>
          <w:highlight w:val="white"/>
        </w:rPr>
        <w:t xml:space="preserve">（10分）：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供应商</w:t>
      </w:r>
      <w:r>
        <w:rPr>
          <w:rFonts w:hint="eastAsia" w:ascii="宋体" w:hAnsi="宋体" w:cs="宋体"/>
          <w:color w:val="000000" w:themeColor="text1"/>
          <w:sz w:val="24"/>
          <w:szCs w:val="24"/>
          <w:highlight w:val="white"/>
          <w:lang w:val="zh-CN"/>
        </w:rPr>
        <w:t xml:space="preserve">20</w:t>
      </w:r>
      <w:r>
        <w:rPr>
          <w:rFonts w:hint="eastAsia" w:ascii="宋体" w:hAnsi="宋体" w:cs="宋体"/>
          <w:color w:val="000000" w:themeColor="text1"/>
          <w:sz w:val="24"/>
          <w:szCs w:val="24"/>
          <w:highlight w:val="white"/>
        </w:rPr>
        <w:t xml:space="preserve">23年</w:t>
      </w:r>
      <w:r>
        <w:rPr>
          <w:rFonts w:hint="eastAsia" w:ascii="宋体" w:hAnsi="宋体" w:cs="宋体"/>
          <w:color w:val="000000" w:themeColor="text1"/>
          <w:sz w:val="24"/>
          <w:szCs w:val="24"/>
          <w:highlight w:val="white"/>
          <w:lang w:val="zh-CN"/>
        </w:rPr>
        <w:t xml:space="preserve">以来的类似项目业绩，有一份得2分，最高10分。</w:t>
      </w:r>
      <w:r>
        <w:rPr>
          <w:rFonts w:hint="eastAsia" w:ascii="宋体" w:hAnsi="宋体"/>
          <w:color w:val="000000" w:themeColor="text1"/>
          <w:sz w:val="24"/>
          <w:szCs w:val="24"/>
          <w:highlight w:val="white"/>
        </w:rPr>
        <w:t xml:space="preserve">（响应文件中提供合同扫描件，否则不得分。）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2.2</w:t>
      </w:r>
      <w:r>
        <w:rPr>
          <w:rFonts w:hint="eastAsia" w:ascii="宋体" w:hAnsi="宋体" w:cs="宋体"/>
          <w:b/>
          <w:bCs/>
          <w:color w:val="000000" w:themeColor="text1"/>
          <w:sz w:val="24"/>
          <w:szCs w:val="24"/>
          <w:highlight w:val="white"/>
          <w:lang w:val="zh-CN"/>
        </w:rPr>
        <w:t xml:space="preserve">证书</w:t>
      </w:r>
      <w:r>
        <w:rPr>
          <w:rFonts w:hint="eastAsia" w:ascii="宋体" w:hAnsi="宋体"/>
          <w:b/>
          <w:bCs/>
          <w:color w:val="000000" w:themeColor="text1"/>
          <w:sz w:val="24"/>
          <w:szCs w:val="24"/>
          <w:highlight w:val="white"/>
        </w:rPr>
        <w:t xml:space="preserve">（4分）：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供应商</w:t>
      </w:r>
      <w:r>
        <w:rPr>
          <w:rFonts w:hint="eastAsia" w:ascii="宋体" w:hAnsi="宋体" w:cs="宋体"/>
          <w:color w:val="000000" w:themeColor="text1"/>
          <w:sz w:val="24"/>
          <w:szCs w:val="24"/>
          <w:highlight w:val="white"/>
          <w:lang w:val="zh-CN"/>
        </w:rPr>
        <w:t xml:space="preserve">具有有效期内消防设施工程专业承包二级或以上证书的得4分。</w:t>
      </w:r>
      <w:r>
        <w:rPr>
          <w:rFonts w:hint="eastAsia" w:ascii="宋体" w:hAnsi="宋体"/>
          <w:color w:val="000000" w:themeColor="text1"/>
          <w:sz w:val="24"/>
          <w:szCs w:val="24"/>
          <w:highlight w:val="white"/>
        </w:rPr>
        <w:t xml:space="preserve">（响应文件中必须提供证书扫描件，提供证书网上查询链接及完整的截图（链接及截图须清晰可辨，如因模糊不清或不完整导致的一切后果由供应商自行承担），否则不得分。）</w:t>
      </w:r>
      <w:r>
        <w:rPr>
          <w:color w:val="000000" w:themeColor="text1"/>
          <w:highlight w:val="white"/>
        </w:rPr>
      </w:r>
    </w:p>
    <w:p>
      <w:pPr>
        <w:ind w:left="0" w:firstLine="480"/>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2.3</w:t>
      </w:r>
      <w:r>
        <w:rPr>
          <w:rFonts w:hint="eastAsia" w:ascii="宋体" w:hAnsi="宋体"/>
          <w:b/>
          <w:bCs/>
          <w:color w:val="000000" w:themeColor="text1"/>
          <w:sz w:val="24"/>
          <w:szCs w:val="24"/>
          <w:highlight w:val="white"/>
        </w:rPr>
        <w:t xml:space="preserve">供应商</w:t>
      </w:r>
      <w:r>
        <w:rPr>
          <w:rFonts w:hint="eastAsia" w:ascii="宋体" w:hAnsi="宋体" w:cs="宋体"/>
          <w:b/>
          <w:bCs/>
          <w:color w:val="000000" w:themeColor="text1"/>
          <w:sz w:val="24"/>
          <w:szCs w:val="24"/>
          <w:highlight w:val="white"/>
          <w:lang w:val="zh-CN"/>
        </w:rPr>
        <w:t xml:space="preserve">拟投入本项目的服务人员比较</w:t>
      </w:r>
      <w:r>
        <w:rPr>
          <w:rFonts w:hint="eastAsia" w:ascii="宋体" w:hAnsi="宋体"/>
          <w:b/>
          <w:bCs/>
          <w:color w:val="000000" w:themeColor="text1"/>
          <w:sz w:val="24"/>
          <w:szCs w:val="24"/>
          <w:highlight w:val="white"/>
        </w:rPr>
        <w:t xml:space="preserve">（10分）</w:t>
      </w:r>
      <w:r>
        <w:rPr>
          <w:rFonts w:hint="eastAsia" w:ascii="宋体" w:hAnsi="宋体" w:cs="宋体"/>
          <w:b/>
          <w:bCs/>
          <w:color w:val="000000" w:themeColor="text1"/>
          <w:sz w:val="24"/>
          <w:szCs w:val="24"/>
          <w:highlight w:val="white"/>
          <w:lang w:val="zh-CN"/>
        </w:rPr>
        <w:t xml:space="preserve">：</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人员配备描述详细、安排合理、责任明确、针对性强的得10分；人员配备描述较详细、安排较合理、责任较明确、针对性较强的得7分；人员配备描述简单、安排基本合理、责任基本明确、针对性一般的得4分；人员配备描述简略、安排不合理、责任模糊、针对性差的得2分；</w:t>
      </w:r>
      <w:r>
        <w:rPr>
          <w:rFonts w:hint="eastAsia" w:ascii="宋体" w:hAnsi="宋体"/>
          <w:color w:val="000000" w:themeColor="text1"/>
          <w:sz w:val="24"/>
          <w:szCs w:val="24"/>
          <w:highlight w:val="white"/>
        </w:rPr>
        <w:t xml:space="preserve">未提供不得分。</w:t>
      </w:r>
      <w:r>
        <w:rPr>
          <w:color w:val="000000" w:themeColor="text1"/>
          <w:highlight w:val="white"/>
        </w:rPr>
      </w:r>
    </w:p>
    <w:p>
      <w:pPr>
        <w:rPr>
          <w:rFonts w:ascii="宋体" w:hAnsi="宋体"/>
          <w:color w:val="000000" w:themeColor="text1"/>
          <w:sz w:val="24"/>
          <w:szCs w:val="24"/>
          <w:highlight w:val="white"/>
        </w:rPr>
      </w:pPr>
      <w:r>
        <w:rPr>
          <w:rFonts w:hint="eastAsia" w:ascii="宋体" w:hAnsi="宋体"/>
          <w:color w:val="000000" w:themeColor="text1"/>
          <w:sz w:val="24"/>
          <w:szCs w:val="24"/>
          <w:highlight w:val="white"/>
        </w:rPr>
        <w:br w:type="page" w:clear="all"/>
      </w:r>
      <w:r>
        <w:rPr>
          <w:color w:val="000000" w:themeColor="text1"/>
          <w:highlight w:val="white"/>
        </w:rPr>
      </w:r>
    </w:p>
    <w:p>
      <w:pPr>
        <w:ind w:left="0" w:firstLine="482"/>
        <w:jc w:val="center"/>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适用于第二标段：</w:t>
      </w:r>
      <w:r>
        <w:rPr>
          <w:color w:val="000000" w:themeColor="text1"/>
          <w:highlight w:val="white"/>
        </w:rPr>
      </w:r>
    </w:p>
    <w:p>
      <w:pPr>
        <w:ind w:left="0" w:firstLine="482"/>
        <w:spacing w:line="360" w:lineRule="auto"/>
        <w:widowControl w:val="off"/>
        <w:rPr>
          <w:rFonts w:ascii="宋体" w:hAnsi="宋体" w:cs="宋体"/>
          <w:b/>
          <w:color w:val="000000" w:themeColor="text1"/>
          <w:sz w:val="24"/>
          <w:szCs w:val="22"/>
          <w:highlight w:val="white"/>
        </w:rPr>
      </w:pPr>
      <w:r>
        <w:rPr>
          <w:rFonts w:hint="eastAsia" w:ascii="宋体" w:hAnsi="宋体"/>
          <w:b/>
          <w:color w:val="000000" w:themeColor="text1"/>
          <w:sz w:val="24"/>
          <w:szCs w:val="24"/>
          <w:highlight w:val="white"/>
        </w:rPr>
        <w:t xml:space="preserve">（二）</w:t>
      </w:r>
      <w:r>
        <w:rPr>
          <w:rFonts w:hint="eastAsia" w:ascii="宋体" w:hAnsi="宋体" w:cs="宋体"/>
          <w:b/>
          <w:color w:val="000000" w:themeColor="text1"/>
          <w:sz w:val="24"/>
          <w:szCs w:val="22"/>
          <w:highlight w:val="white"/>
        </w:rPr>
        <w:t xml:space="preserve">技术、商务部分（90分）</w:t>
      </w:r>
      <w:r>
        <w:rPr>
          <w:color w:val="000000" w:themeColor="text1"/>
          <w:highlight w:val="white"/>
        </w:rPr>
      </w:r>
    </w:p>
    <w:p>
      <w:pPr>
        <w:ind w:left="0" w:firstLine="482"/>
        <w:spacing w:line="360" w:lineRule="auto"/>
        <w:widowControl w:val="off"/>
        <w:rPr>
          <w:rFonts w:ascii="宋体" w:hAnsi="宋体"/>
          <w:b/>
          <w:color w:val="000000" w:themeColor="text1"/>
          <w:sz w:val="24"/>
          <w:szCs w:val="24"/>
          <w:highlight w:val="white"/>
        </w:rPr>
      </w:pPr>
      <w:r>
        <w:rPr>
          <w:rFonts w:hint="eastAsia" w:ascii="宋体" w:hAnsi="宋体" w:cs="宋体"/>
          <w:b/>
          <w:color w:val="000000" w:themeColor="text1"/>
          <w:sz w:val="24"/>
          <w:szCs w:val="22"/>
          <w:highlight w:val="white"/>
        </w:rPr>
        <w:t xml:space="preserve">1、</w:t>
      </w:r>
      <w:r>
        <w:rPr>
          <w:rFonts w:hint="eastAsia" w:ascii="宋体" w:hAnsi="宋体"/>
          <w:b/>
          <w:color w:val="000000" w:themeColor="text1"/>
          <w:sz w:val="24"/>
          <w:szCs w:val="24"/>
          <w:highlight w:val="white"/>
        </w:rPr>
        <w:t xml:space="preserve">响应方案（</w:t>
      </w:r>
      <w:r>
        <w:rPr>
          <w:rFonts w:ascii="宋体" w:hAnsi="宋体"/>
          <w:b/>
          <w:color w:val="000000" w:themeColor="text1"/>
          <w:sz w:val="24"/>
          <w:szCs w:val="24"/>
          <w:highlight w:val="white"/>
        </w:rPr>
        <w:t xml:space="preserve">6</w:t>
      </w:r>
      <w:r>
        <w:rPr>
          <w:rFonts w:hint="eastAsia" w:ascii="宋体" w:hAnsi="宋体"/>
          <w:b/>
          <w:color w:val="000000" w:themeColor="text1"/>
          <w:sz w:val="24"/>
          <w:szCs w:val="24"/>
          <w:highlight w:val="white"/>
        </w:rPr>
        <w:t xml:space="preserve">7</w:t>
      </w:r>
      <w:r>
        <w:rPr>
          <w:rFonts w:ascii="宋体" w:hAnsi="宋体"/>
          <w:b/>
          <w:color w:val="000000" w:themeColor="text1"/>
          <w:sz w:val="24"/>
          <w:szCs w:val="24"/>
          <w:highlight w:val="white"/>
        </w:rPr>
        <w:t xml:space="preserve">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1.1针对本项目整体服务方案比较，不限于直属学校的现状及信息化基本情况（1</w:t>
      </w:r>
      <w:r>
        <w:rPr>
          <w:rFonts w:ascii="宋体" w:hAnsi="宋体"/>
          <w:b/>
          <w:bCs/>
          <w:color w:val="000000" w:themeColor="text1"/>
          <w:sz w:val="24"/>
          <w:szCs w:val="24"/>
          <w:highlight w:val="white"/>
        </w:rPr>
        <w:t xml:space="preserve">0</w:t>
      </w:r>
      <w:r>
        <w:rPr>
          <w:rFonts w:hint="eastAsia" w:ascii="宋体" w:hAnsi="宋体"/>
          <w:b/>
          <w:bCs/>
          <w:color w:val="000000" w:themeColor="text1"/>
          <w:sz w:val="24"/>
          <w:szCs w:val="24"/>
          <w:highlight w:val="white"/>
        </w:rPr>
        <w:t xml:space="preserve">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内容描述详细全面、切合实际、可操作性强的得1</w:t>
      </w:r>
      <w:r>
        <w:rPr>
          <w:rFonts w:ascii="宋体" w:hAnsi="宋体"/>
          <w:color w:val="000000" w:themeColor="text1"/>
          <w:sz w:val="24"/>
          <w:szCs w:val="24"/>
          <w:highlight w:val="white"/>
        </w:rPr>
        <w:t xml:space="preserve">0</w:t>
      </w:r>
      <w:r>
        <w:rPr>
          <w:rFonts w:hint="eastAsia" w:ascii="宋体" w:hAnsi="宋体"/>
          <w:color w:val="000000" w:themeColor="text1"/>
          <w:sz w:val="24"/>
          <w:szCs w:val="24"/>
          <w:highlight w:val="white"/>
        </w:rPr>
        <w:t xml:space="preserve">分；内容描述较详细、符合实际、可操作性较强的得</w:t>
      </w:r>
      <w:r>
        <w:rPr>
          <w:rFonts w:ascii="宋体" w:hAnsi="宋体"/>
          <w:color w:val="000000" w:themeColor="text1"/>
          <w:sz w:val="24"/>
          <w:szCs w:val="24"/>
          <w:highlight w:val="white"/>
        </w:rPr>
        <w:t xml:space="preserve">7</w:t>
      </w:r>
      <w:r>
        <w:rPr>
          <w:rFonts w:hint="eastAsia" w:ascii="宋体" w:hAnsi="宋体"/>
          <w:color w:val="000000" w:themeColor="text1"/>
          <w:sz w:val="24"/>
          <w:szCs w:val="24"/>
          <w:highlight w:val="white"/>
        </w:rPr>
        <w:t xml:space="preserve">分；内容描述较简单、可操作性一般的得</w:t>
      </w:r>
      <w:r>
        <w:rPr>
          <w:rFonts w:ascii="宋体" w:hAnsi="宋体"/>
          <w:color w:val="000000" w:themeColor="text1"/>
          <w:sz w:val="24"/>
          <w:szCs w:val="24"/>
          <w:highlight w:val="white"/>
        </w:rPr>
        <w:t xml:space="preserve">4</w:t>
      </w:r>
      <w:r>
        <w:rPr>
          <w:rFonts w:hint="eastAsia" w:ascii="宋体" w:hAnsi="宋体"/>
          <w:color w:val="000000" w:themeColor="text1"/>
          <w:sz w:val="24"/>
          <w:szCs w:val="24"/>
          <w:highlight w:val="white"/>
        </w:rPr>
        <w:t xml:space="preserve">分；内容描述简略、可操作性差的得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分；内容粗糙不可行的不得分。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1.2针对本项目维保内容的</w:t>
      </w:r>
      <w:r>
        <w:rPr>
          <w:rFonts w:hint="eastAsia" w:ascii="宋体" w:hAnsi="宋体"/>
          <w:b/>
          <w:bCs/>
          <w:color w:val="000000" w:themeColor="text1"/>
          <w:sz w:val="24"/>
          <w:szCs w:val="24"/>
          <w:highlight w:val="white"/>
          <w:lang w:val="zh-CN"/>
        </w:rPr>
        <w:t xml:space="preserve">难点问题分析及解决方法</w:t>
      </w:r>
      <w:r>
        <w:rPr>
          <w:rFonts w:hint="eastAsia" w:ascii="宋体" w:hAnsi="宋体"/>
          <w:b/>
          <w:bCs/>
          <w:color w:val="000000" w:themeColor="text1"/>
          <w:sz w:val="24"/>
          <w:szCs w:val="24"/>
          <w:highlight w:val="white"/>
        </w:rPr>
        <w:t xml:space="preserve">比较，不限于维保易发故障点及系统情况（10分）：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10分；内容描述较详细、符合实际、针对性及可操作性较强的得7分；内容描述较简单、针对性及可操作性一般的得4分；内容描述简略、针对性及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1.3针对本项目安全管理、安全保护方案比较，不限于安全措施的整改及恢复方案（8分）：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内容描述详细全面、切合实际、针对性及可操作性强的得8分；内容描述较详细、符合实际、针对性及可操作性较强的得6分；内容描述较简单、针对性及可操作性一般的得</w:t>
      </w:r>
      <w:r>
        <w:rPr>
          <w:rFonts w:ascii="宋体" w:hAnsi="宋体"/>
          <w:color w:val="000000" w:themeColor="text1"/>
          <w:sz w:val="24"/>
          <w:szCs w:val="24"/>
          <w:highlight w:val="white"/>
        </w:rPr>
        <w:t xml:space="preserve">4</w:t>
      </w:r>
      <w:r>
        <w:rPr>
          <w:rFonts w:hint="eastAsia" w:ascii="宋体" w:hAnsi="宋体"/>
          <w:color w:val="000000" w:themeColor="text1"/>
          <w:sz w:val="24"/>
          <w:szCs w:val="24"/>
          <w:highlight w:val="white"/>
        </w:rPr>
        <w:t xml:space="preserve">分；内容描述简略、针对性及可操作性差的得</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1.4针对本项目</w:t>
      </w:r>
      <w:r>
        <w:rPr>
          <w:rFonts w:hint="eastAsia" w:ascii="宋体" w:hAnsi="宋体"/>
          <w:b/>
          <w:bCs/>
          <w:color w:val="000000" w:themeColor="text1"/>
          <w:sz w:val="24"/>
          <w:szCs w:val="24"/>
          <w:highlight w:val="white"/>
          <w:lang w:val="zh-CN"/>
        </w:rPr>
        <w:t xml:space="preserve">具体的检查项目及维保要求</w:t>
      </w:r>
      <w:r>
        <w:rPr>
          <w:rFonts w:hint="eastAsia" w:ascii="宋体" w:hAnsi="宋体"/>
          <w:b/>
          <w:bCs/>
          <w:color w:val="000000" w:themeColor="text1"/>
          <w:sz w:val="24"/>
          <w:szCs w:val="24"/>
          <w:highlight w:val="white"/>
        </w:rPr>
        <w:t xml:space="preserve">比较，不限于维保系统及点位分布情况（8分）：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针对性及可操作性强的得8分；内容描述较详细、符合实际、针对性及可操作性较强的得6分；内容描述较简单、针对性及可操作性一般的得4分；内容描述简略、针对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1.5拟投入本项目的维保设备及工具比较，不限于维保小程序闭环管理流程（8分）：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设备及工具描述详细、科学先进、实用性强的得8分；设备及工具描述较详细、较科学先进、实用性较强的得6分；设备及工具描述较简单、较为普通、实用性一般的得4分；设备及工具描述简略、实用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1.6针对本项目维保</w:t>
      </w:r>
      <w:r>
        <w:rPr>
          <w:rFonts w:hint="eastAsia" w:ascii="宋体" w:hAnsi="宋体"/>
          <w:b/>
          <w:bCs/>
          <w:color w:val="000000" w:themeColor="text1"/>
          <w:sz w:val="24"/>
          <w:szCs w:val="24"/>
          <w:highlight w:val="white"/>
          <w:lang w:val="zh-CN"/>
        </w:rPr>
        <w:t xml:space="preserve">质量保证</w:t>
      </w:r>
      <w:r>
        <w:rPr>
          <w:rFonts w:hint="eastAsia" w:ascii="宋体" w:hAnsi="宋体"/>
          <w:b/>
          <w:bCs/>
          <w:color w:val="000000" w:themeColor="text1"/>
          <w:sz w:val="24"/>
          <w:szCs w:val="24"/>
          <w:highlight w:val="white"/>
        </w:rPr>
        <w:t xml:space="preserve">比较，不限于系统在线率及周期性维保频次（8分）：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针对性及可操作性强的得8分；内容描述较详细、针对性及可操作性较强的得6分；内容描述较简单、针对性及可操作性一般的得4分；内容描述简略、针对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1.7针对本项目</w:t>
      </w:r>
      <w:r>
        <w:rPr>
          <w:rFonts w:hint="eastAsia" w:ascii="宋体" w:hAnsi="宋体"/>
          <w:b/>
          <w:bCs/>
          <w:color w:val="000000" w:themeColor="text1"/>
          <w:sz w:val="24"/>
          <w:szCs w:val="24"/>
          <w:highlight w:val="white"/>
          <w:lang w:val="zh-CN"/>
        </w:rPr>
        <w:t xml:space="preserve">维保档案管理</w:t>
      </w:r>
      <w:r>
        <w:rPr>
          <w:rFonts w:hint="eastAsia" w:ascii="宋体" w:hAnsi="宋体"/>
          <w:b/>
          <w:bCs/>
          <w:color w:val="000000" w:themeColor="text1"/>
          <w:sz w:val="24"/>
          <w:szCs w:val="24"/>
          <w:highlight w:val="white"/>
        </w:rPr>
        <w:t xml:space="preserve">比较，不限于维保记录、台帐的管理（8分）：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高效规范、可操作性强的得8分；内容描述较详细、较为规范、可操作性较强的得6分；内容描述较简单、规范性及可操作性一般的得4分；内容描述简略、规范性及可操作性差的得2分；未提供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1.8针对本项目协调配合方案比较，不限于与其他维保系统及维保单位的配合（7分）：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内容描述详细全面、切合实际、可操作性强的得7分；内容描述较详细、符合实际、可操作性较强的得5分；内容描述较简单、可操作性一般的得3分；内容描述简略、可操作性差的得1分；未提供不得分。</w:t>
      </w:r>
      <w:r>
        <w:rPr>
          <w:color w:val="000000" w:themeColor="text1"/>
          <w:highlight w:val="white"/>
        </w:rPr>
      </w:r>
    </w:p>
    <w:p>
      <w:pPr>
        <w:ind w:left="0" w:firstLine="482"/>
        <w:spacing w:line="360" w:lineRule="auto"/>
        <w:widowControl w:val="off"/>
        <w:rPr>
          <w:rFonts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2、综合实力比较（</w:t>
      </w:r>
      <w:r>
        <w:rPr>
          <w:rFonts w:ascii="宋体" w:hAnsi="宋体"/>
          <w:b/>
          <w:color w:val="000000" w:themeColor="text1"/>
          <w:sz w:val="24"/>
          <w:szCs w:val="24"/>
          <w:highlight w:val="white"/>
        </w:rPr>
        <w:t xml:space="preserve">2</w:t>
      </w:r>
      <w:r>
        <w:rPr>
          <w:rFonts w:hint="eastAsia" w:ascii="宋体" w:hAnsi="宋体"/>
          <w:b/>
          <w:color w:val="000000" w:themeColor="text1"/>
          <w:sz w:val="24"/>
          <w:szCs w:val="24"/>
          <w:highlight w:val="white"/>
        </w:rPr>
        <w:t xml:space="preserve">3分）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2.1</w:t>
      </w:r>
      <w:r>
        <w:rPr>
          <w:rFonts w:hint="eastAsia" w:ascii="宋体" w:hAnsi="宋体" w:cs="宋体"/>
          <w:b/>
          <w:bCs/>
          <w:color w:val="000000" w:themeColor="text1"/>
          <w:sz w:val="24"/>
          <w:szCs w:val="24"/>
          <w:highlight w:val="white"/>
          <w:lang w:val="zh-CN"/>
        </w:rPr>
        <w:t xml:space="preserve">类似项目业绩</w:t>
      </w:r>
      <w:r>
        <w:rPr>
          <w:rFonts w:hint="eastAsia" w:ascii="宋体" w:hAnsi="宋体"/>
          <w:b/>
          <w:bCs/>
          <w:color w:val="000000" w:themeColor="text1"/>
          <w:sz w:val="24"/>
          <w:szCs w:val="24"/>
          <w:highlight w:val="white"/>
        </w:rPr>
        <w:t xml:space="preserve">（10分）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供应商</w:t>
      </w:r>
      <w:r>
        <w:rPr>
          <w:rFonts w:hint="eastAsia" w:ascii="宋体" w:hAnsi="宋体" w:cs="宋体"/>
          <w:color w:val="000000" w:themeColor="text1"/>
          <w:sz w:val="24"/>
          <w:szCs w:val="24"/>
          <w:highlight w:val="white"/>
          <w:lang w:val="zh-CN"/>
        </w:rPr>
        <w:t xml:space="preserve">20</w:t>
      </w:r>
      <w:r>
        <w:rPr>
          <w:rFonts w:hint="eastAsia" w:ascii="宋体" w:hAnsi="宋体" w:cs="宋体"/>
          <w:color w:val="000000" w:themeColor="text1"/>
          <w:sz w:val="24"/>
          <w:szCs w:val="24"/>
          <w:highlight w:val="white"/>
        </w:rPr>
        <w:t xml:space="preserve">23年</w:t>
      </w:r>
      <w:r>
        <w:rPr>
          <w:rFonts w:hint="eastAsia" w:ascii="宋体" w:hAnsi="宋体" w:cs="宋体"/>
          <w:color w:val="000000" w:themeColor="text1"/>
          <w:sz w:val="24"/>
          <w:szCs w:val="24"/>
          <w:highlight w:val="white"/>
          <w:lang w:val="zh-CN"/>
        </w:rPr>
        <w:t xml:space="preserve">以来的类似项目业绩，有一份得2分，最高10分。</w:t>
      </w:r>
      <w:r>
        <w:rPr>
          <w:rFonts w:hint="eastAsia" w:ascii="宋体" w:hAnsi="宋体"/>
          <w:color w:val="000000" w:themeColor="text1"/>
          <w:sz w:val="24"/>
          <w:szCs w:val="24"/>
          <w:highlight w:val="white"/>
        </w:rPr>
        <w:t xml:space="preserve">（响应文件中提供合同扫描件，否则不得分。）</w:t>
      </w:r>
      <w:r>
        <w:rPr>
          <w:color w:val="000000" w:themeColor="text1"/>
          <w:highlight w:val="white"/>
        </w:rPr>
      </w:r>
    </w:p>
    <w:p>
      <w:pPr>
        <w:ind w:left="0" w:firstLine="480"/>
        <w:spacing w:line="360" w:lineRule="auto"/>
        <w:widowControl w:val="off"/>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2.2体系认证证书（6</w:t>
      </w:r>
      <w:r>
        <w:rPr>
          <w:rFonts w:ascii="宋体" w:hAnsi="宋体"/>
          <w:b/>
          <w:bCs/>
          <w:color w:val="000000" w:themeColor="text1"/>
          <w:sz w:val="24"/>
          <w:szCs w:val="24"/>
          <w:highlight w:val="white"/>
        </w:rPr>
        <w:t xml:space="preserve">分）</w:t>
      </w:r>
      <w:r>
        <w:rPr>
          <w:color w:val="000000" w:themeColor="text1"/>
          <w:highlight w:val="white"/>
        </w:rPr>
      </w:r>
    </w:p>
    <w:p>
      <w:pPr>
        <w:ind w:left="0" w:firstLine="480"/>
        <w:spacing w:line="360" w:lineRule="auto"/>
        <w:rPr>
          <w:rFonts w:ascii="宋体" w:hAnsi="宋体" w:cs="宋体"/>
          <w:b/>
          <w:bCs/>
          <w:color w:val="000000" w:themeColor="text1"/>
          <w:sz w:val="24"/>
          <w:szCs w:val="24"/>
          <w:highlight w:val="white"/>
        </w:rPr>
      </w:pPr>
      <w:r>
        <w:rPr>
          <w:rFonts w:hint="eastAsia" w:ascii="宋体" w:hAnsi="宋体"/>
          <w:color w:val="000000" w:themeColor="text1"/>
          <w:sz w:val="24"/>
          <w:szCs w:val="24"/>
          <w:highlight w:val="white"/>
        </w:rPr>
        <w:t xml:space="preserve">供应商</w:t>
      </w:r>
      <w:r>
        <w:rPr>
          <w:rFonts w:hint="eastAsia" w:ascii="宋体" w:hAnsi="宋体" w:cs="宋体"/>
          <w:color w:val="000000" w:themeColor="text1"/>
          <w:sz w:val="24"/>
          <w:szCs w:val="24"/>
          <w:highlight w:val="white"/>
        </w:rPr>
        <w:t xml:space="preserve">具备有效期内的质量管理体系认证证书、环境管理体系认证证书、职业健康安全管理体系认证证书，每提供一项得2分，最高得6分。</w:t>
      </w:r>
      <w:r>
        <w:rPr>
          <w:rFonts w:hint="eastAsia" w:ascii="宋体" w:hAnsi="宋体" w:cs="宋体"/>
          <w:b/>
          <w:bCs/>
          <w:color w:val="000000" w:themeColor="text1"/>
          <w:sz w:val="24"/>
          <w:szCs w:val="24"/>
          <w:highlight w:val="white"/>
        </w:rPr>
        <w:t xml:space="preserve">（响应文件中提供以上证书扫描件及在中国国家认证认可监督管理委员会官方网站的查询截图，未提供不得分。）</w:t>
      </w:r>
      <w:r>
        <w:rPr>
          <w:color w:val="000000" w:themeColor="text1"/>
          <w:highlight w:val="white"/>
        </w:rPr>
      </w:r>
    </w:p>
    <w:p>
      <w:pPr>
        <w:ind w:left="0" w:firstLine="480"/>
        <w:spacing w:line="360" w:lineRule="auto"/>
        <w:widowControl w:val="off"/>
        <w:rPr>
          <w:rFonts w:ascii="宋体" w:hAnsi="宋体" w:cs="宋体"/>
          <w:b/>
          <w:bCs/>
          <w:color w:val="000000" w:themeColor="text1"/>
          <w:sz w:val="24"/>
          <w:szCs w:val="24"/>
          <w:highlight w:val="white"/>
        </w:rPr>
      </w:pPr>
      <w:r>
        <w:rPr>
          <w:rFonts w:hint="eastAsia" w:ascii="宋体" w:hAnsi="宋体"/>
          <w:b/>
          <w:bCs/>
          <w:color w:val="000000" w:themeColor="text1"/>
          <w:sz w:val="24"/>
          <w:szCs w:val="24"/>
          <w:highlight w:val="white"/>
        </w:rPr>
        <w:t xml:space="preserve">2.</w:t>
      </w:r>
      <w:r>
        <w:rPr>
          <w:rFonts w:hint="eastAsia" w:ascii="宋体" w:hAnsi="宋体" w:cs="宋体"/>
          <w:b/>
          <w:bCs/>
          <w:color w:val="000000" w:themeColor="text1"/>
          <w:sz w:val="24"/>
          <w:szCs w:val="24"/>
          <w:highlight w:val="white"/>
        </w:rPr>
        <w:t xml:space="preserve">3供应商</w:t>
      </w:r>
      <w:r>
        <w:rPr>
          <w:rFonts w:hint="eastAsia" w:ascii="宋体" w:hAnsi="宋体" w:cs="宋体"/>
          <w:b/>
          <w:bCs/>
          <w:color w:val="000000" w:themeColor="text1"/>
          <w:sz w:val="24"/>
          <w:szCs w:val="24"/>
          <w:highlight w:val="white"/>
          <w:lang w:val="zh-CN"/>
        </w:rPr>
        <w:t xml:space="preserve">拟投入本项目的服务人员比较（7分）：</w:t>
      </w:r>
      <w:r>
        <w:rPr>
          <w:color w:val="000000" w:themeColor="text1"/>
          <w:highlight w:val="white"/>
        </w:rPr>
      </w:r>
    </w:p>
    <w:p>
      <w:pPr>
        <w:ind w:left="0" w:firstLine="480"/>
        <w:spacing w:line="360" w:lineRule="auto"/>
        <w:widowControl w:val="off"/>
        <w:rPr>
          <w:rFonts w:ascii="宋体" w:hAnsi="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人员配备描述详细、安排合理、责任明确、针对性强的得7分；人员配备描述较详细、安排较合理、责任较明确、针对性较强的得5分；人员配备描述简单、安排基本合理、责任基本明确、针对性一般的得3分；人员配备描述简略、安排不合理、责任模糊、针对性差的得1分；</w:t>
      </w:r>
      <w:r>
        <w:rPr>
          <w:rFonts w:hint="eastAsia" w:ascii="宋体" w:hAnsi="宋体"/>
          <w:color w:val="000000" w:themeColor="text1"/>
          <w:sz w:val="24"/>
          <w:szCs w:val="24"/>
          <w:highlight w:val="white"/>
        </w:rPr>
        <w:t xml:space="preserve">未提供不得分。</w:t>
      </w:r>
      <w:r>
        <w:rPr>
          <w:color w:val="000000" w:themeColor="text1"/>
          <w:highlight w:val="white"/>
        </w:rPr>
      </w:r>
    </w:p>
    <w:p>
      <w:pPr>
        <w:ind w:left="0" w:firstLine="482"/>
        <w:spacing w:line="360" w:lineRule="auto"/>
        <w:widowControl w:val="off"/>
        <w:rPr>
          <w:rStyle w:val="1004"/>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r>
      <w:r>
        <w:rPr>
          <w:color w:val="000000" w:themeColor="text1"/>
          <w:highlight w:val="white"/>
        </w:rPr>
      </w:r>
    </w:p>
    <w:p>
      <w:pPr>
        <w:ind w:left="0" w:firstLine="482"/>
        <w:spacing w:line="360" w:lineRule="auto"/>
        <w:widowControl w:val="off"/>
        <w:rPr>
          <w:rStyle w:val="1004"/>
          <w:rFonts w:ascii="宋体" w:hAnsi="宋体" w:cs="宋体"/>
          <w:b/>
          <w:bCs/>
          <w:color w:val="000000" w:themeColor="text1"/>
          <w:sz w:val="24"/>
          <w:szCs w:val="24"/>
          <w:highlight w:val="white"/>
        </w:rPr>
      </w:pPr>
      <w:r>
        <w:rPr>
          <w:rStyle w:val="1004"/>
          <w:rFonts w:hint="eastAsia" w:ascii="宋体" w:hAnsi="宋体" w:cs="宋体"/>
          <w:b/>
          <w:bCs/>
          <w:color w:val="000000" w:themeColor="text1"/>
          <w:sz w:val="24"/>
          <w:szCs w:val="24"/>
          <w:highlight w:val="white"/>
        </w:rPr>
        <w:t xml:space="preserve">注：针对评分标准中评分的每一条，响应单位在响应文件中均应提供清晰明了的相关资料并做出相应说明供评委评判，不提供相关资料的视为不具备该项得分的条件。</w:t>
      </w:r>
      <w:r>
        <w:rPr>
          <w:color w:val="000000" w:themeColor="text1"/>
          <w:highlight w:val="white"/>
        </w:rPr>
      </w:r>
    </w:p>
    <w:p>
      <w:pPr>
        <w:ind w:left="0" w:firstLine="482"/>
        <w:jc w:val="right"/>
        <w:spacing w:line="360" w:lineRule="auto"/>
        <w:widowControl w:val="off"/>
        <w:rPr>
          <w:rFonts w:ascii="宋体" w:hAnsi="宋体" w:cs="宋体"/>
          <w:color w:val="000000" w:themeColor="text1"/>
          <w:sz w:val="24"/>
          <w:szCs w:val="24"/>
          <w:highlight w:val="white"/>
        </w:rPr>
      </w:pPr>
      <w:r>
        <w:rPr>
          <w:rStyle w:val="1004"/>
          <w:rFonts w:hint="eastAsia" w:ascii="宋体" w:hAnsi="宋体" w:cs="宋体"/>
          <w:b/>
          <w:bCs/>
          <w:color w:val="000000" w:themeColor="text1"/>
          <w:sz w:val="24"/>
          <w:szCs w:val="24"/>
          <w:highlight w:val="white"/>
        </w:rPr>
        <w:t xml:space="preserve">（全文完）</w:t>
      </w:r>
      <w:r>
        <w:rPr>
          <w:color w:val="000000" w:themeColor="text1"/>
          <w:highlight w:val="white"/>
        </w:rPr>
      </w:r>
    </w:p>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00"/>
      </w:rPr>
      <w:framePr w:wrap="around" w:vAnchor="text" w:hAnchor="margin" w:xAlign="center" w:y="1"/>
    </w:pPr>
    <w:r>
      <w:rPr>
        <w:rStyle w:val="1000"/>
      </w:rPr>
      <w:fldChar w:fldCharType="begin"/>
    </w:r>
    <w:r>
      <w:rPr>
        <w:rStyle w:val="1000"/>
      </w:rPr>
      <w:instrText xml:space="preserve"> PAGE </w:instrText>
    </w:r>
    <w:r>
      <w:rPr>
        <w:rStyle w:val="1000"/>
      </w:rP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firstLine="0"/>
      <w:jc w:val="center"/>
      <w:rPr>
        <w:rFonts w:ascii="Times New Roman" w:hAnsi="Times New Roman"/>
        <w:sz w:val="18"/>
      </w:rPr>
    </w:pPr>
    <w:r>
      <mc:AlternateContent>
        <mc:Choice Requires="wpg">
          <w:drawing>
            <wp:inline xmlns:wp="http://schemas.openxmlformats.org/drawingml/2006/wordprocessingDrawing" distT="0" distB="0" distL="0" distR="0">
              <wp:extent cx="1494155" cy="218440"/>
              <wp:effectExtent l="0" t="0" r="0" b="0"/>
              <wp:docPr id="1" name=""/>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a:noFill/>
                        <a:miter/>
                      </a:ln>
                    </wps:spPr>
                    <wps:txbx>
                      <w:txbxContent>
                        <w:p>
                          <w:pPr>
                            <w:pStyle w:val="995"/>
                            <w:ind w:firstLine="0"/>
                            <w:jc w:val="center"/>
                          </w:pPr>
                          <w:r>
                            <w:t xml:space="preserve">第 </w:t>
                          </w:r>
                          <w:r>
                            <w:fldChar w:fldCharType="begin"/>
                          </w:r>
                          <w:r>
                            <w:instrText xml:space="preserve"> PAGE  \* MERGEFORMAT </w:instrText>
                          </w:r>
                          <w:r>
                            <w:fldChar w:fldCharType="separate"/>
                          </w:r>
                          <w:r>
                            <w:t xml:space="preserve">43</w:t>
                          </w:r>
                          <w:r>
                            <w:fldChar w:fldCharType="end"/>
                          </w:r>
                          <w:r>
                            <w:t xml:space="preserve"> 页 共 </w:t>
                          </w:r>
                          <w:r>
                            <w:rPr>
                              <w:rFonts w:hint="eastAsia"/>
                            </w:rPr>
                            <w:t xml:space="preserve">5</w:t>
                          </w:r>
                          <w:r>
                            <w:rPr>
                              <w:rFonts w:hint="eastAsia"/>
                              <w:lang w:val="en-US" w:eastAsia="zh-CN"/>
                            </w:rPr>
                            <w:t xml:space="preserve">8</w:t>
                          </w:r>
                          <w:r>
                            <w:t xml:space="preserve"> 页</w:t>
                          </w:r>
                          <w:r/>
                        </w:p>
                      </w:txbxContent>
                    </wps:txbx>
                    <wps:bodyPr wrap="square" lIns="0" tIns="0" rIns="0" bIns="0" upright="1"/>
                  </wps:wsp>
                </a:graphicData>
              </a:graphic>
            </wp:inline>
          </w:drawing>
        </mc:Choice>
        <mc:Fallback>
          <w:pict>
            <v:shape id="shape 0" o:spid="_x0000_s0" o:spt="202" type="#_x0000_t202" style="width:117.6pt;height:17.2pt;mso-wrap-distance-left:0.0pt;mso-wrap-distance-top:0.0pt;mso-wrap-distance-right:0.0pt;mso-wrap-distance-bottom:0.0pt;visibility:visible;" filled="f" stroked="f">
              <v:textbox inset="0,0,0,0">
                <w:txbxContent>
                  <w:p>
                    <w:pPr>
                      <w:pStyle w:val="995"/>
                      <w:ind w:firstLine="0"/>
                      <w:jc w:val="center"/>
                    </w:pPr>
                    <w:r>
                      <w:t xml:space="preserve">第 </w:t>
                    </w:r>
                    <w:r>
                      <w:fldChar w:fldCharType="begin"/>
                    </w:r>
                    <w:r>
                      <w:instrText xml:space="preserve"> PAGE  \* MERGEFORMAT </w:instrText>
                    </w:r>
                    <w:r>
                      <w:fldChar w:fldCharType="separate"/>
                    </w:r>
                    <w:r>
                      <w:t xml:space="preserve">43</w:t>
                    </w:r>
                    <w:r>
                      <w:fldChar w:fldCharType="end"/>
                    </w:r>
                    <w:r>
                      <w:t xml:space="preserve"> 页 共 </w:t>
                    </w:r>
                    <w:r>
                      <w:rPr>
                        <w:rFonts w:hint="eastAsia"/>
                      </w:rPr>
                      <w:t xml:space="preserve">5</w:t>
                    </w:r>
                    <w:r>
                      <w:rPr>
                        <w:rFonts w:hint="eastAsia"/>
                        <w:lang w:val="en-US" w:eastAsia="zh-CN"/>
                      </w:rPr>
                      <w:t xml:space="preserve">8</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JSZC-320507-SHYS-C2026-0009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0"/>
      <w:jc w:val="left"/>
      <w:pBdr>
        <w:bottom w:val="single" w:color="auto" w:sz="4"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JSZC-320507-SHYS-C2026-0009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left="1260" w:hanging="1260"/>
      <w:jc w:val="both"/>
      <w:rPr>
        <w:rFonts w:hint="eastAsia" w:eastAsia="宋体"/>
        <w:lang w:eastAsia="zh-CN"/>
      </w:rPr>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36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987"/>
    <w:link w:val="985"/>
    <w:uiPriority w:val="9"/>
    <w:rPr>
      <w:rFonts w:ascii="Arial" w:hAnsi="Arial" w:eastAsia="Arial" w:cs="Arial"/>
      <w:sz w:val="40"/>
      <w:szCs w:val="40"/>
    </w:rPr>
  </w:style>
  <w:style w:type="character" w:styleId="813">
    <w:name w:val="Heading 2 Char"/>
    <w:basedOn w:val="987"/>
    <w:link w:val="986"/>
    <w:uiPriority w:val="9"/>
    <w:rPr>
      <w:rFonts w:ascii="Arial" w:hAnsi="Arial" w:eastAsia="Arial" w:cs="Arial"/>
      <w:sz w:val="34"/>
    </w:rPr>
  </w:style>
  <w:style w:type="paragraph" w:styleId="814">
    <w:name w:val="Heading 3"/>
    <w:basedOn w:val="984"/>
    <w:next w:val="984"/>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basedOn w:val="987"/>
    <w:link w:val="814"/>
    <w:uiPriority w:val="9"/>
    <w:rPr>
      <w:rFonts w:ascii="Arial" w:hAnsi="Arial" w:eastAsia="Arial" w:cs="Arial"/>
      <w:sz w:val="30"/>
      <w:szCs w:val="30"/>
    </w:rPr>
  </w:style>
  <w:style w:type="paragraph" w:styleId="816">
    <w:name w:val="Heading 4"/>
    <w:basedOn w:val="984"/>
    <w:next w:val="984"/>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basedOn w:val="987"/>
    <w:link w:val="816"/>
    <w:uiPriority w:val="9"/>
    <w:rPr>
      <w:rFonts w:ascii="Arial" w:hAnsi="Arial" w:eastAsia="Arial" w:cs="Arial"/>
      <w:b/>
      <w:bCs/>
      <w:sz w:val="26"/>
      <w:szCs w:val="26"/>
    </w:rPr>
  </w:style>
  <w:style w:type="paragraph" w:styleId="818">
    <w:name w:val="Heading 5"/>
    <w:basedOn w:val="984"/>
    <w:next w:val="984"/>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basedOn w:val="987"/>
    <w:link w:val="818"/>
    <w:uiPriority w:val="9"/>
    <w:rPr>
      <w:rFonts w:ascii="Arial" w:hAnsi="Arial" w:eastAsia="Arial" w:cs="Arial"/>
      <w:b/>
      <w:bCs/>
      <w:sz w:val="24"/>
      <w:szCs w:val="24"/>
    </w:rPr>
  </w:style>
  <w:style w:type="paragraph" w:styleId="820">
    <w:name w:val="Heading 6"/>
    <w:basedOn w:val="984"/>
    <w:next w:val="984"/>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7"/>
    <w:link w:val="820"/>
    <w:uiPriority w:val="9"/>
    <w:rPr>
      <w:rFonts w:ascii="Arial" w:hAnsi="Arial" w:eastAsia="Arial" w:cs="Arial"/>
      <w:b/>
      <w:bCs/>
      <w:sz w:val="22"/>
      <w:szCs w:val="22"/>
    </w:rPr>
  </w:style>
  <w:style w:type="paragraph" w:styleId="822">
    <w:name w:val="Heading 7"/>
    <w:basedOn w:val="984"/>
    <w:next w:val="984"/>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7"/>
    <w:link w:val="822"/>
    <w:uiPriority w:val="9"/>
    <w:rPr>
      <w:rFonts w:ascii="Arial" w:hAnsi="Arial" w:eastAsia="Arial" w:cs="Arial"/>
      <w:b/>
      <w:bCs/>
      <w:i/>
      <w:iCs/>
      <w:sz w:val="22"/>
      <w:szCs w:val="22"/>
    </w:rPr>
  </w:style>
  <w:style w:type="paragraph" w:styleId="824">
    <w:name w:val="Heading 8"/>
    <w:basedOn w:val="984"/>
    <w:next w:val="984"/>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7"/>
    <w:link w:val="824"/>
    <w:uiPriority w:val="9"/>
    <w:rPr>
      <w:rFonts w:ascii="Arial" w:hAnsi="Arial" w:eastAsia="Arial" w:cs="Arial"/>
      <w:i/>
      <w:iCs/>
      <w:sz w:val="22"/>
      <w:szCs w:val="22"/>
    </w:rPr>
  </w:style>
  <w:style w:type="paragraph" w:styleId="826">
    <w:name w:val="Heading 9"/>
    <w:basedOn w:val="984"/>
    <w:next w:val="984"/>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7"/>
    <w:link w:val="826"/>
    <w:uiPriority w:val="9"/>
    <w:rPr>
      <w:rFonts w:ascii="Arial" w:hAnsi="Arial" w:eastAsia="Arial" w:cs="Arial"/>
      <w:i/>
      <w:iCs/>
      <w:sz w:val="21"/>
      <w:szCs w:val="21"/>
    </w:rPr>
  </w:style>
  <w:style w:type="paragraph" w:styleId="828">
    <w:name w:val="List Paragraph"/>
    <w:basedOn w:val="984"/>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4"/>
    <w:next w:val="984"/>
    <w:link w:val="831"/>
    <w:uiPriority w:val="10"/>
    <w:qFormat/>
    <w:pPr>
      <w:contextualSpacing/>
      <w:spacing w:before="300" w:after="200"/>
    </w:pPr>
    <w:rPr>
      <w:sz w:val="48"/>
      <w:szCs w:val="48"/>
    </w:rPr>
  </w:style>
  <w:style w:type="character" w:styleId="831">
    <w:name w:val="Title Char"/>
    <w:basedOn w:val="987"/>
    <w:link w:val="830"/>
    <w:uiPriority w:val="10"/>
    <w:rPr>
      <w:sz w:val="48"/>
      <w:szCs w:val="48"/>
    </w:rPr>
  </w:style>
  <w:style w:type="paragraph" w:styleId="832">
    <w:name w:val="Subtitle"/>
    <w:basedOn w:val="984"/>
    <w:next w:val="984"/>
    <w:link w:val="833"/>
    <w:uiPriority w:val="11"/>
    <w:qFormat/>
    <w:pPr>
      <w:spacing w:before="200" w:after="200"/>
    </w:pPr>
    <w:rPr>
      <w:sz w:val="24"/>
      <w:szCs w:val="24"/>
    </w:rPr>
  </w:style>
  <w:style w:type="character" w:styleId="833">
    <w:name w:val="Subtitle Char"/>
    <w:basedOn w:val="987"/>
    <w:link w:val="832"/>
    <w:uiPriority w:val="11"/>
    <w:rPr>
      <w:sz w:val="24"/>
      <w:szCs w:val="24"/>
    </w:rPr>
  </w:style>
  <w:style w:type="paragraph" w:styleId="834">
    <w:name w:val="Quote"/>
    <w:basedOn w:val="984"/>
    <w:next w:val="984"/>
    <w:link w:val="835"/>
    <w:uiPriority w:val="29"/>
    <w:qFormat/>
    <w:pPr>
      <w:ind w:left="720" w:right="720"/>
    </w:pPr>
    <w:rPr>
      <w:i/>
    </w:rPr>
  </w:style>
  <w:style w:type="character" w:styleId="835">
    <w:name w:val="Quote Char"/>
    <w:link w:val="834"/>
    <w:uiPriority w:val="29"/>
    <w:rPr>
      <w:i/>
    </w:rPr>
  </w:style>
  <w:style w:type="paragraph" w:styleId="836">
    <w:name w:val="Intense Quote"/>
    <w:basedOn w:val="984"/>
    <w:next w:val="984"/>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character" w:styleId="838">
    <w:name w:val="Header Char"/>
    <w:basedOn w:val="987"/>
    <w:link w:val="998"/>
    <w:uiPriority w:val="99"/>
  </w:style>
  <w:style w:type="character" w:styleId="839">
    <w:name w:val="Footer Char"/>
    <w:basedOn w:val="987"/>
    <w:link w:val="995"/>
    <w:uiPriority w:val="99"/>
  </w:style>
  <w:style w:type="paragraph" w:styleId="840">
    <w:name w:val="Caption"/>
    <w:basedOn w:val="984"/>
    <w:next w:val="984"/>
    <w:uiPriority w:val="35"/>
    <w:semiHidden/>
    <w:unhideWhenUsed/>
    <w:qFormat/>
    <w:pPr>
      <w:spacing w:line="276" w:lineRule="auto"/>
    </w:pPr>
    <w:rPr>
      <w:b/>
      <w:bCs/>
      <w:color w:val="4f81bd" w:themeColor="accent1"/>
      <w:sz w:val="18"/>
      <w:szCs w:val="18"/>
    </w:rPr>
  </w:style>
  <w:style w:type="character" w:styleId="841">
    <w:name w:val="Caption Char"/>
    <w:basedOn w:val="840"/>
    <w:link w:val="995"/>
    <w:uiPriority w:val="99"/>
  </w:style>
  <w:style w:type="table" w:styleId="842">
    <w:name w:val="Table Grid"/>
    <w:basedOn w:val="9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9">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0">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1">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2">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3">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4">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4">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5">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6">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7">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8">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9">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2">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3">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4">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5">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6">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5">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6">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7">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8">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9">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0">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2">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3">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4">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5">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6">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7">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9">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0">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1">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2">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3">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4">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8">
    <w:name w:val="footnote text"/>
    <w:basedOn w:val="984"/>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basedOn w:val="987"/>
    <w:uiPriority w:val="99"/>
    <w:unhideWhenUsed/>
    <w:rPr>
      <w:vertAlign w:val="superscript"/>
    </w:rPr>
  </w:style>
  <w:style w:type="paragraph" w:styleId="971">
    <w:name w:val="endnote text"/>
    <w:basedOn w:val="984"/>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basedOn w:val="987"/>
    <w:uiPriority w:val="99"/>
    <w:semiHidden/>
    <w:unhideWhenUsed/>
    <w:rPr>
      <w:vertAlign w:val="superscript"/>
    </w:rPr>
  </w:style>
  <w:style w:type="paragraph" w:styleId="974">
    <w:name w:val="toc 2"/>
    <w:basedOn w:val="984"/>
    <w:next w:val="984"/>
    <w:uiPriority w:val="39"/>
    <w:unhideWhenUsed/>
    <w:pPr>
      <w:ind w:left="283" w:right="0" w:firstLine="0"/>
      <w:spacing w:after="57"/>
    </w:pPr>
  </w:style>
  <w:style w:type="paragraph" w:styleId="975">
    <w:name w:val="toc 3"/>
    <w:basedOn w:val="984"/>
    <w:next w:val="984"/>
    <w:uiPriority w:val="39"/>
    <w:unhideWhenUsed/>
    <w:pPr>
      <w:ind w:left="567" w:right="0" w:firstLine="0"/>
      <w:spacing w:after="57"/>
    </w:pPr>
  </w:style>
  <w:style w:type="paragraph" w:styleId="976">
    <w:name w:val="toc 4"/>
    <w:basedOn w:val="984"/>
    <w:next w:val="984"/>
    <w:uiPriority w:val="39"/>
    <w:unhideWhenUsed/>
    <w:pPr>
      <w:ind w:left="850" w:right="0" w:firstLine="0"/>
      <w:spacing w:after="57"/>
    </w:pPr>
  </w:style>
  <w:style w:type="paragraph" w:styleId="977">
    <w:name w:val="toc 5"/>
    <w:basedOn w:val="984"/>
    <w:next w:val="984"/>
    <w:uiPriority w:val="39"/>
    <w:unhideWhenUsed/>
    <w:pPr>
      <w:ind w:left="1134" w:right="0" w:firstLine="0"/>
      <w:spacing w:after="57"/>
    </w:pPr>
  </w:style>
  <w:style w:type="paragraph" w:styleId="978">
    <w:name w:val="toc 6"/>
    <w:basedOn w:val="984"/>
    <w:next w:val="984"/>
    <w:uiPriority w:val="39"/>
    <w:unhideWhenUsed/>
    <w:pPr>
      <w:ind w:left="1417" w:right="0" w:firstLine="0"/>
      <w:spacing w:after="57"/>
    </w:pPr>
  </w:style>
  <w:style w:type="paragraph" w:styleId="979">
    <w:name w:val="toc 7"/>
    <w:basedOn w:val="984"/>
    <w:next w:val="984"/>
    <w:uiPriority w:val="39"/>
    <w:unhideWhenUsed/>
    <w:pPr>
      <w:ind w:left="1701" w:right="0" w:firstLine="0"/>
      <w:spacing w:after="57"/>
    </w:pPr>
  </w:style>
  <w:style w:type="paragraph" w:styleId="980">
    <w:name w:val="toc 8"/>
    <w:basedOn w:val="984"/>
    <w:next w:val="984"/>
    <w:uiPriority w:val="39"/>
    <w:unhideWhenUsed/>
    <w:pPr>
      <w:ind w:left="1984" w:right="0" w:firstLine="0"/>
      <w:spacing w:after="57"/>
    </w:pPr>
  </w:style>
  <w:style w:type="paragraph" w:styleId="981">
    <w:name w:val="toc 9"/>
    <w:basedOn w:val="984"/>
    <w:next w:val="984"/>
    <w:uiPriority w:val="39"/>
    <w:unhideWhenUsed/>
    <w:pPr>
      <w:ind w:left="2268" w:right="0" w:firstLine="0"/>
      <w:spacing w:after="57"/>
    </w:p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89"/>
    <w:uiPriority w:val="0"/>
    <w:qFormat/>
    <w:pPr>
      <w:ind w:left="1024"/>
      <w:jc w:val="both"/>
    </w:pPr>
    <w:rPr>
      <w:rFonts w:ascii="Calibri" w:hAnsi="Calibri" w:eastAsia="宋体" w:cs="Times New Roman"/>
      <w:lang w:val="en-US" w:eastAsia="zh-CN" w:bidi="ar-SA"/>
    </w:rPr>
  </w:style>
  <w:style w:type="paragraph" w:styleId="985">
    <w:name w:val="Heading 1"/>
    <w:basedOn w:val="984"/>
    <w:next w:val="984"/>
    <w:uiPriority w:val="0"/>
    <w:qFormat/>
    <w:pPr>
      <w:ind w:left="432" w:firstLine="18"/>
      <w:spacing w:before="340" w:after="330" w:line="578" w:lineRule="auto"/>
      <w:outlineLvl w:val="0"/>
    </w:pPr>
  </w:style>
  <w:style w:type="paragraph" w:styleId="986">
    <w:name w:val="Heading 2"/>
    <w:basedOn w:val="984"/>
    <w:next w:val="984"/>
    <w:uiPriority w:val="0"/>
    <w:qFormat/>
    <w:pPr>
      <w:keepNext/>
      <w:spacing w:before="240" w:after="60"/>
      <w:outlineLvl w:val="1"/>
    </w:pPr>
    <w:rPr>
      <w:rFonts w:ascii="Arial" w:hAnsi="Arial"/>
      <w:b/>
      <w:bCs/>
      <w:i/>
      <w:iCs/>
      <w:sz w:val="28"/>
      <w:szCs w:val="28"/>
    </w:rPr>
  </w:style>
  <w:style w:type="character" w:styleId="987" w:default="1">
    <w:name w:val="Default Paragraph Font"/>
    <w:uiPriority w:val="1"/>
    <w:semiHidden/>
    <w:unhideWhenUsed/>
    <w:qFormat/>
  </w:style>
  <w:style w:type="table" w:styleId="988" w:default="1">
    <w:name w:val="Normal Table"/>
    <w:uiPriority w:val="99"/>
    <w:semiHidden/>
    <w:unhideWhenUsed/>
    <w:qFormat/>
    <w:tblPr>
      <w:tblCellMar>
        <w:left w:w="108" w:type="dxa"/>
        <w:top w:w="0" w:type="dxa"/>
        <w:right w:w="108" w:type="dxa"/>
        <w:bottom w:w="0" w:type="dxa"/>
      </w:tblCellMar>
    </w:tblPr>
  </w:style>
  <w:style w:type="paragraph" w:styleId="989" w:customStyle="1">
    <w:name w:val="段"/>
    <w:next w:val="98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90">
    <w:name w:val="Normal Indent"/>
    <w:basedOn w:val="984"/>
    <w:next w:val="984"/>
    <w:uiPriority w:val="0"/>
    <w:qFormat/>
    <w:pPr>
      <w:ind w:left="420" w:firstLine="4772"/>
    </w:pPr>
  </w:style>
  <w:style w:type="paragraph" w:styleId="991">
    <w:name w:val="Body Text"/>
    <w:basedOn w:val="984"/>
    <w:next w:val="984"/>
    <w:uiPriority w:val="0"/>
    <w:qFormat/>
    <w:pPr>
      <w:ind w:left="0" w:firstLine="2560"/>
    </w:pPr>
  </w:style>
  <w:style w:type="paragraph" w:styleId="992">
    <w:name w:val="Body Text Indent"/>
    <w:basedOn w:val="984"/>
    <w:next w:val="984"/>
    <w:uiPriority w:val="0"/>
    <w:qFormat/>
    <w:pPr>
      <w:ind w:left="420" w:firstLine="1188"/>
      <w:spacing w:line="360" w:lineRule="exact"/>
    </w:pPr>
  </w:style>
  <w:style w:type="paragraph" w:styleId="993">
    <w:name w:val="Date"/>
    <w:basedOn w:val="985"/>
    <w:next w:val="984"/>
    <w:uiPriority w:val="0"/>
    <w:qFormat/>
    <w:pPr>
      <w:ind w:left="0" w:firstLine="2560"/>
      <w:spacing w:before="0" w:after="0" w:line="240" w:lineRule="auto"/>
    </w:pPr>
  </w:style>
  <w:style w:type="paragraph" w:styleId="994">
    <w:name w:val="Balloon Text"/>
    <w:basedOn w:val="984"/>
    <w:uiPriority w:val="0"/>
    <w:unhideWhenUsed/>
    <w:qFormat/>
    <w:rPr>
      <w:sz w:val="18"/>
      <w:szCs w:val="18"/>
    </w:rPr>
  </w:style>
  <w:style w:type="paragraph" w:styleId="995">
    <w:name w:val="Footer"/>
    <w:basedOn w:val="985"/>
    <w:next w:val="996"/>
    <w:uiPriority w:val="99"/>
    <w:qFormat/>
    <w:pPr>
      <w:ind w:left="0" w:firstLine="3584"/>
      <w:spacing w:before="0" w:after="0" w:line="240" w:lineRule="auto"/>
    </w:pPr>
  </w:style>
  <w:style w:type="paragraph" w:styleId="996" w:customStyle="1">
    <w:name w:val="Char Char Char Char Char Char Char Char Char Char Char Char Char"/>
    <w:basedOn w:val="985"/>
    <w:next w:val="984"/>
    <w:uiPriority w:val="0"/>
    <w:qFormat/>
    <w:pPr>
      <w:ind w:left="0" w:firstLine="3584"/>
      <w:spacing w:before="0" w:after="160" w:line="240" w:lineRule="exact"/>
    </w:pPr>
  </w:style>
  <w:style w:type="paragraph" w:styleId="997">
    <w:name w:val="envelope return"/>
    <w:basedOn w:val="984"/>
    <w:uiPriority w:val="99"/>
    <w:unhideWhenUsed/>
    <w:qFormat/>
    <w:rPr>
      <w:rFonts w:ascii="Arial" w:hAnsi="Arial"/>
    </w:rPr>
  </w:style>
  <w:style w:type="paragraph" w:styleId="998">
    <w:name w:val="Header"/>
    <w:basedOn w:val="985"/>
    <w:next w:val="993"/>
    <w:uiPriority w:val="99"/>
    <w:qFormat/>
    <w:pPr>
      <w:ind w:left="0" w:firstLine="3584"/>
      <w:jc w:val="center"/>
      <w:spacing w:before="0" w:after="0" w:line="240" w:lineRule="auto"/>
    </w:pPr>
  </w:style>
  <w:style w:type="paragraph" w:styleId="999">
    <w:name w:val="toc 1"/>
    <w:basedOn w:val="985"/>
    <w:next w:val="984"/>
    <w:uiPriority w:val="39"/>
    <w:qFormat/>
    <w:pPr>
      <w:ind w:left="0" w:firstLine="4608"/>
      <w:spacing w:before="0" w:after="0" w:line="240" w:lineRule="auto"/>
    </w:pPr>
  </w:style>
  <w:style w:type="character" w:styleId="1000">
    <w:name w:val="page number"/>
    <w:uiPriority w:val="0"/>
    <w:qFormat/>
    <w:rPr>
      <w:sz w:val="20"/>
    </w:rPr>
  </w:style>
  <w:style w:type="character" w:styleId="1001">
    <w:name w:val="Hyperlink"/>
    <w:uiPriority w:val="99"/>
    <w:qFormat/>
    <w:rPr>
      <w:color w:val="333333"/>
      <w:sz w:val="20"/>
      <w:u w:val="none"/>
    </w:rPr>
  </w:style>
  <w:style w:type="paragraph" w:styleId="1002" w:customStyle="1">
    <w:name w:val="正文文本缩进1"/>
    <w:basedOn w:val="984"/>
    <w:next w:val="984"/>
    <w:uiPriority w:val="0"/>
    <w:qFormat/>
    <w:pPr>
      <w:ind w:firstLine="435"/>
      <w:spacing w:line="480" w:lineRule="exact"/>
    </w:pPr>
    <w:rPr>
      <w:szCs w:val="32"/>
    </w:rPr>
  </w:style>
  <w:style w:type="paragraph" w:styleId="1003" w:customStyle="1">
    <w:name w:val="正文文本1"/>
    <w:basedOn w:val="984"/>
    <w:uiPriority w:val="0"/>
    <w:qFormat/>
    <w:rPr>
      <w:rFonts w:ascii="Times New Roman" w:hAnsi="Times New Roman"/>
    </w:rPr>
  </w:style>
  <w:style w:type="character" w:styleId="1004" w:customStyle="1">
    <w:name w:val="NormalCharacter"/>
    <w:uiPriority w:val="0"/>
    <w:semiHidden/>
    <w:qFormat/>
  </w:style>
  <w:style w:type="paragraph" w:styleId="1005" w:customStyle="1">
    <w:name w:val="首行缩进"/>
    <w:basedOn w:val="984"/>
    <w:uiPriority w:val="0"/>
    <w:qFormat/>
    <w:pPr>
      <w:ind w:firstLine="480"/>
    </w:pPr>
    <w:rPr>
      <w:lang w:val="zh-CN"/>
    </w:rPr>
  </w:style>
  <w:style w:type="paragraph" w:styleId="1006" w:customStyle="1">
    <w:name w:val="NormalIndent"/>
    <w:basedOn w:val="984"/>
    <w:uiPriority w:val="0"/>
    <w:qFormat/>
    <w:pPr>
      <w:ind w:firstLine="420"/>
      <w:jc w:val="left"/>
    </w:pPr>
    <w:rPr>
      <w:sz w:val="24"/>
    </w:rPr>
  </w:style>
  <w:style w:type="paragraph" w:styleId="1007" w:customStyle="1">
    <w:name w:val="UserStyle_62"/>
    <w:basedOn w:val="984"/>
    <w:uiPriority w:val="0"/>
    <w:qFormat/>
    <w:rPr>
      <w:rFonts w:ascii="宋体" w:hAnsi="Courier New"/>
    </w:rPr>
  </w:style>
  <w:style w:type="paragraph" w:styleId="1008" w:customStyle="1">
    <w:name w:val="Plain Text1"/>
    <w:basedOn w:val="984"/>
    <w:uiPriority w:val="0"/>
    <w:qFormat/>
    <w:pPr>
      <w:widowControl w:val="off"/>
    </w:pPr>
    <w:rPr>
      <w:rFonts w:hint="eastAsia" w:ascii="宋体" w:hAnsi="Courier New"/>
      <w:sz w:val="28"/>
    </w:rPr>
  </w:style>
  <w:style w:type="paragraph" w:styleId="1009" w:customStyle="1">
    <w:name w:val="UserStyle_28"/>
    <w:basedOn w:val="984"/>
    <w:uiPriority w:val="0"/>
    <w:qFormat/>
    <w:pPr>
      <w:ind w:firstLine="480"/>
      <w:spacing w:line="360" w:lineRule="auto"/>
    </w:pPr>
    <w:rPr>
      <w:sz w:val="24"/>
    </w:rPr>
  </w:style>
  <w:style w:type="paragraph" w:styleId="1010" w:customStyle="1">
    <w:name w:val="Acetate"/>
    <w:basedOn w:val="984"/>
    <w:uiPriority w:val="0"/>
    <w:semiHidden/>
    <w:qFormat/>
    <w:rPr>
      <w:sz w:val="18"/>
      <w:szCs w:val="18"/>
    </w:rPr>
  </w:style>
  <w:style w:type="paragraph" w:styleId="1011" w:customStyle="1">
    <w:name w:val="纯文本3"/>
    <w:basedOn w:val="984"/>
    <w:uiPriority w:val="0"/>
    <w:qFormat/>
    <w:rPr>
      <w:rFonts w:ascii="宋体" w:hAnsi="Courier New"/>
    </w:rPr>
  </w:style>
  <w:style w:type="character" w:styleId="1012" w:customStyle="1">
    <w:name w:val="NormalCharacter1"/>
    <w:basedOn w:val="1013"/>
    <w:link w:val="1014"/>
    <w:uiPriority w:val="0"/>
    <w:semiHidden/>
    <w:qFormat/>
    <w:rPr>
      <w:rFonts w:ascii="Calibri" w:hAnsi="Calibri" w:eastAsia="宋体" w:cs="Times New Roman"/>
    </w:rPr>
  </w:style>
  <w:style w:type="character" w:styleId="1013" w:customStyle="1">
    <w:name w:val="默认段落字体1"/>
    <w:uiPriority w:val="0"/>
    <w:semiHidden/>
    <w:qFormat/>
    <w:rPr>
      <w:rFonts w:ascii="Calibri" w:hAnsi="Calibri" w:eastAsia="宋体" w:cs="Times New Roman"/>
      <w:lang w:val="en-US" w:eastAsia="zh-CN" w:bidi="ar-SA"/>
    </w:rPr>
  </w:style>
  <w:style w:type="paragraph" w:styleId="1014" w:customStyle="1">
    <w:name w:val="UserStyle_3"/>
    <w:basedOn w:val="984"/>
    <w:link w:val="1012"/>
    <w:uiPriority w:val="0"/>
    <w:qFormat/>
    <w:pPr>
      <w:ind w:left="0"/>
      <w:jc w:val="left"/>
      <w:spacing w:line="360" w:lineRule="auto"/>
      <w:shd w:val="clear" w:color="auto" w:fill="000080"/>
    </w:pPr>
  </w:style>
  <w:style w:type="paragraph" w:styleId="1015" w:customStyle="1">
    <w:name w:val="正文缩进1"/>
    <w:basedOn w:val="984"/>
    <w:next w:val="984"/>
    <w:uiPriority w:val="99"/>
    <w:qFormat/>
    <w:pPr>
      <w:ind w:firstLine="420"/>
      <w:jc w:val="left"/>
    </w:pPr>
    <w:rPr>
      <w:rFonts w:ascii="Times New Roman" w:hAnsi="Times New Roman" w:eastAsia="楷体_GB2312"/>
    </w:rPr>
  </w:style>
  <w:style w:type="paragraph" w:styleId="1016" w:customStyle="1">
    <w:name w:val="正文文本2"/>
    <w:basedOn w:val="984"/>
    <w:uiPriority w:val="0"/>
    <w:qFormat/>
    <w:pPr>
      <w:ind w:left="0" w:firstLine="2560"/>
    </w:pPr>
  </w:style>
  <w:style w:type="paragraph" w:styleId="1017" w:customStyle="1">
    <w:name w:val="正文文本缩进 31"/>
    <w:basedOn w:val="984"/>
    <w:uiPriority w:val="99"/>
    <w:qFormat/>
    <w:pPr>
      <w:ind w:firstLine="480"/>
      <w:spacing w:line="400" w:lineRule="exact"/>
    </w:pPr>
    <w:rPr>
      <w:rFonts w:ascii="Times New Roman" w:hAnsi="Times New Roman"/>
    </w:rPr>
  </w:style>
  <w:style w:type="character" w:styleId="1018" w:customStyle="1">
    <w:name w:val="font81"/>
    <w:basedOn w:val="987"/>
    <w:uiPriority w:val="0"/>
    <w:qFormat/>
    <w:rPr>
      <w:rFonts w:hint="default" w:ascii="仿宋_GB2312" w:eastAsia="仿宋_GB2312" w:cs="仿宋_GB2312"/>
      <w:color w:val="000000"/>
      <w:sz w:val="24"/>
      <w:szCs w:val="24"/>
      <w:u w:val="none"/>
    </w:rPr>
  </w:style>
  <w:style w:type="character" w:styleId="1019" w:customStyle="1">
    <w:name w:val="font41"/>
    <w:basedOn w:val="987"/>
    <w:uiPriority w:val="0"/>
    <w:qFormat/>
    <w:rPr>
      <w:rFonts w:hint="default" w:ascii="仿宋_GB2312" w:eastAsia="仿宋_GB2312" w:cs="仿宋_GB2312"/>
      <w:color w:val="000000"/>
      <w:sz w:val="24"/>
      <w:szCs w:val="24"/>
      <w:u w:val="none"/>
    </w:rPr>
  </w:style>
  <w:style w:type="character" w:styleId="1020" w:customStyle="1">
    <w:name w:val="font11"/>
    <w:basedOn w:val="987"/>
    <w:uiPriority w:val="0"/>
    <w:qFormat/>
    <w:rPr>
      <w:rFonts w:hint="default" w:ascii="Times New Roman" w:hAnsi="Times New Roman" w:cs="Times New Roman"/>
      <w:color w:val="000000"/>
      <w:sz w:val="24"/>
      <w:szCs w:val="24"/>
      <w:u w:val="none"/>
    </w:rPr>
  </w:style>
  <w:style w:type="character" w:styleId="1021" w:customStyle="1">
    <w:name w:val="font101"/>
    <w:basedOn w:val="987"/>
    <w:uiPriority w:val="0"/>
    <w:qFormat/>
    <w:rPr>
      <w:rFonts w:hint="eastAsia" w:ascii="宋体" w:hAnsi="宋体" w:eastAsia="宋体" w:cs="宋体"/>
      <w:color w:val="ff0000"/>
      <w:sz w:val="24"/>
      <w:szCs w:val="24"/>
      <w:u w:val="none"/>
    </w:rPr>
  </w:style>
  <w:style w:type="character" w:styleId="1022" w:customStyle="1">
    <w:name w:val="font91"/>
    <w:basedOn w:val="987"/>
    <w:uiPriority w:val="0"/>
    <w:qFormat/>
    <w:rPr>
      <w:rFonts w:hint="eastAsia" w:ascii="宋体" w:hAnsi="宋体" w:eastAsia="宋体" w:cs="宋体"/>
      <w:color w:val="000000"/>
      <w:sz w:val="24"/>
      <w:szCs w:val="24"/>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企业用户_218086940</dc:creator>
  <cp:lastModifiedBy>徐晓逸</cp:lastModifiedBy>
  <cp:revision>5</cp:revision>
  <dcterms:created xsi:type="dcterms:W3CDTF">2026-04-23T01:07:00Z</dcterms:created>
  <dcterms:modified xsi:type="dcterms:W3CDTF">2026-04-24T02:40:11Z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2FE3992037F9415FA9003C9354081A15_11</vt:lpwstr>
  </property>
  <property fmtid="{D5CDD505-2E9C-101B-9397-08002B2CF9AE}" pid="4" name="KSOTemplateDocerSaveRecord">
    <vt:lpwstr>eyJoZGlkIjoiNThlNTFkZmFiZGI5Yzg1MGYyMWY0YjY4ZjI4ODVkZjAiLCJ1c2VySWQiOiIyMTgwODY5NDAifQ==</vt:lpwstr>
  </property>
</Properties>
</file>