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sz w:val="20"/>
          <w:szCs w:val="20"/>
          <w:highlight w:val="none"/>
        </w:rPr>
      </w:pPr>
      <w:r/>
      <w:bookmarkStart w:id="0" w:name="EBecaa0fa8a3034511a17880192c07d5d6"/>
      <w:r/>
      <w:bookmarkEnd w:id="0"/>
      <w:r/>
      <w:bookmarkStart w:id="1" w:name="EB9794f1daad274a9b85f307e8b60057cd"/>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bookmarkEnd w:id="1"/>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rPr>
        <w:t xml:space="preserve">磋   商  文   件</w:t>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项目编号：</w:t>
      </w:r>
      <w:bookmarkStart w:id="281" w:name="_GoBack"/>
      <w:r/>
      <w:bookmarkEnd w:id="281"/>
      <w:r>
        <w:rPr>
          <w:rFonts w:hint="eastAsia" w:ascii="仿宋" w:hAnsi="仿宋" w:eastAsia="仿宋" w:cs="仿宋"/>
          <w:b/>
          <w:color w:val="auto"/>
          <w:sz w:val="36"/>
          <w:highlight w:val="none"/>
          <w:lang w:eastAsia="zh-CN"/>
        </w:rPr>
        <w:t xml:space="preserve">JSZC-321192-CSDL-C2026-0007</w:t>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2026年大路镇河道长效管护项目</w:t>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江苏初始建设项目管理有限公司</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szCs w:val="36"/>
          <w:highlight w:val="none"/>
        </w:rPr>
      </w:pPr>
      <w:r/>
      <w:bookmarkStart w:id="2" w:name="EBe098a072a19f453e8556e008bace2ce7"/>
      <w:r>
        <w:rPr>
          <w:rFonts w:hint="eastAsia" w:ascii="仿宋" w:hAnsi="仿宋" w:eastAsia="仿宋" w:cs="仿宋"/>
          <w:b/>
          <w:color w:val="auto"/>
          <w:sz w:val="36"/>
          <w:szCs w:val="36"/>
          <w:highlight w:val="none"/>
        </w:rPr>
        <w:t xml:space="preserve">202</w:t>
      </w:r>
      <w:bookmarkEnd w:id="2"/>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5</w:t>
      </w:r>
      <w:r>
        <w:rPr>
          <w:rFonts w:hint="eastAsia" w:ascii="仿宋" w:hAnsi="仿宋" w:eastAsia="仿宋" w:cs="仿宋"/>
          <w:b/>
          <w:color w:val="auto"/>
          <w:sz w:val="36"/>
          <w:szCs w:val="36"/>
          <w:highlight w:val="none"/>
        </w:rPr>
        <w:t xml:space="preserve">月</w:t>
      </w:r>
      <w:bookmarkStart w:id="3" w:name="EB3b9a7b39d96b4fa5a1ca6e66d21db5c3"/>
      <w:r/>
      <w:bookmarkEnd w:id="3"/>
      <w:r>
        <w:rPr>
          <w:rFonts w:hint="eastAsia" w:ascii="仿宋" w:hAnsi="仿宋" w:eastAsia="仿宋" w:cs="仿宋"/>
          <w:b/>
          <w:color w:val="auto"/>
          <w:sz w:val="36"/>
          <w:szCs w:val="36"/>
          <w:highlight w:val="none"/>
          <w:lang w:val="en-US" w:eastAsia="zh-CN"/>
        </w:rPr>
        <w:t xml:space="preserve">11</w:t>
      </w:r>
      <w:r>
        <w:rPr>
          <w:rFonts w:hint="eastAsia" w:ascii="仿宋" w:hAnsi="仿宋" w:eastAsia="仿宋" w:cs="仿宋"/>
          <w:b/>
          <w:color w:val="auto"/>
          <w:sz w:val="36"/>
          <w:szCs w:val="36"/>
          <w:highlight w:val="none"/>
        </w:rPr>
        <w:t xml:space="preserve">日</w:t>
      </w:r>
      <w:r/>
    </w:p>
    <w:p>
      <w:pPr>
        <w:jc w:val="center"/>
        <w:pageBreakBefore/>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磋商文件目录</w:t>
      </w:r>
      <w:r/>
    </w:p>
    <w:p>
      <w:pPr>
        <w:pStyle w:val="666"/>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b w:val="0"/>
          <w:bCs w:val="0"/>
          <w:caps w:val="0"/>
          <w:color w:val="auto"/>
          <w:highlight w:val="none"/>
        </w:rPr>
        <w:fldChar w:fldCharType="begin"/>
      </w:r>
      <w:r>
        <w:rPr>
          <w:rFonts w:hint="eastAsia" w:ascii="仿宋" w:hAnsi="仿宋" w:eastAsia="仿宋" w:cs="仿宋"/>
          <w:b w:val="0"/>
          <w:bCs w:val="0"/>
          <w:caps w:val="0"/>
          <w:color w:val="auto"/>
          <w:highlight w:val="none"/>
        </w:rPr>
        <w:instrText xml:space="preserve"> TOC \o "1-3" \h \z \u </w:instrText>
      </w:r>
      <w:r>
        <w:rPr>
          <w:rFonts w:hint="eastAsia" w:ascii="仿宋" w:hAnsi="仿宋" w:eastAsia="仿宋" w:cs="仿宋"/>
          <w:b w:val="0"/>
          <w:bCs w:val="0"/>
          <w:caps w:val="0"/>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"_Toc142925610" \o "#_Toc142925610"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第一部分磋商邀请</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"_Toc142925611" \o "#_Toc142925611"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一、项目基本情况</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"_Toc142925612" \o "#_Toc142925612"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二、申请人的资格要求：</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"_Toc142925613" \o "#_Toc142925613"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三、获取磋商文件</w:t>
      </w:r>
      <w:r>
        <w:rPr>
          <w:rFonts w:hint="eastAsia" w:ascii="仿宋" w:hAnsi="仿宋" w:eastAsia="仿宋" w:cs="仿宋"/>
          <w:color w:val="auto"/>
          <w:highlight w:val="none"/>
        </w:rPr>
        <w:tab/>
      </w:r>
      <w:r>
        <w:rPr>
          <w:rFonts w:hint="eastAsia" w:ascii="仿宋" w:hAnsi="仿宋" w:eastAsia="仿宋" w:cs="仿宋"/>
          <w:color w:val="auto"/>
          <w:highlight w:val="none"/>
        </w:rPr>
        <w:t xml:space="preserve">5</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"_Toc142925614" \o "#_Toc142925614"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四、首次响应文件提交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_Toc142925614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"_Toc142925615" \o "#_Toc142925615"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五、开启</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_Toc142925615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"_Toc142925616" \o "#_Toc142925616"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六、公告期限</w:t>
      </w:r>
      <w:r>
        <w:rPr>
          <w:rFonts w:hint="eastAsia" w:ascii="仿宋" w:hAnsi="仿宋" w:eastAsia="仿宋" w:cs="仿宋"/>
          <w:color w:val="auto"/>
          <w:highlight w:val="none"/>
        </w:rPr>
        <w:tab/>
      </w:r>
      <w:r>
        <w:rPr>
          <w:rFonts w:hint="eastAsia" w:ascii="仿宋" w:hAnsi="仿宋" w:eastAsia="仿宋" w:cs="仿宋"/>
          <w:color w:val="auto"/>
          <w:highlight w:val="none"/>
        </w:rPr>
        <w:t xml:space="preserve">7</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"_Toc142925617" \o "#_Toc142925617"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七、其他补充事宜</w:t>
      </w:r>
      <w:r>
        <w:rPr>
          <w:rFonts w:hint="eastAsia" w:ascii="仿宋" w:hAnsi="仿宋" w:eastAsia="仿宋" w:cs="仿宋"/>
          <w:color w:val="auto"/>
          <w:highlight w:val="none"/>
        </w:rPr>
        <w:tab/>
      </w:r>
      <w:r>
        <w:rPr>
          <w:rFonts w:hint="eastAsia" w:ascii="仿宋" w:hAnsi="仿宋" w:eastAsia="仿宋" w:cs="仿宋"/>
          <w:color w:val="auto"/>
          <w:highlight w:val="none"/>
        </w:rPr>
        <w:t xml:space="preserve">7</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"_Toc142925618" \o "#_Toc142925618"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八、对本次磋商提出询问，请按以下方式联系。</w:t>
      </w:r>
      <w:r>
        <w:rPr>
          <w:rFonts w:hint="eastAsia" w:ascii="仿宋" w:hAnsi="仿宋" w:eastAsia="仿宋" w:cs="仿宋"/>
          <w:color w:val="auto"/>
          <w:highlight w:val="none"/>
        </w:rPr>
        <w:tab/>
      </w:r>
      <w:r>
        <w:rPr>
          <w:rFonts w:hint="eastAsia" w:ascii="仿宋" w:hAnsi="仿宋" w:eastAsia="仿宋" w:cs="仿宋"/>
          <w:color w:val="auto"/>
          <w:highlight w:val="none"/>
        </w:rPr>
        <w:t xml:space="preserve">8</w:t>
      </w:r>
      <w:r>
        <w:rPr>
          <w:rFonts w:hint="eastAsia" w:ascii="仿宋" w:hAnsi="仿宋" w:eastAsia="仿宋" w:cs="仿宋"/>
          <w:color w:val="auto"/>
          <w:highlight w:val="none"/>
        </w:rPr>
        <w:fldChar w:fldCharType="end"/>
      </w:r>
      <w:r/>
    </w:p>
    <w:p>
      <w:pPr>
        <w:pStyle w:val="666"/>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"_Toc142925619" \o "#_Toc142925619"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第二部分供应商须知</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"_Toc142925620" \o "#_Toc142925620"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一、总则</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"_Toc142925621" \o "#_Toc142925621"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1．适用范围</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"_Toc142925622" \o "#_Toc142925622"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2．定义</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"_Toc142925623" \o "#_Toc142925623"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3．本次采购方式</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"_Toc142925624" \o "#_Toc142925624"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4．磋商费用</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"_Toc142925625" \o "#_Toc142925625"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5．政策功能</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10</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"_Toc142925626" \o "#_Toc142925626"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二、磋商文件</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"_Toc142925627" \o "#_Toc142925627"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6．磋商文件组成</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"_Toc142925628" \o "#_Toc142925628"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7．磋商文件的澄清和修改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"_Toc142925629" \o "#_Toc142925629"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三、磋商响应文件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_Toc142925629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"_Toc142925630" \o "#_Toc142925630"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8．编制响应文件的工具</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"_Toc142925631" \o "#_Toc142925631"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9．响应文件语言及度量衡单位</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"_Toc142925632" \o "#_Toc142925632"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10．响应文件的构成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2</w:t>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"_Toc142925633" \o "#_Toc142925633"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11．响应文件的编写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"_Toc142925634" \o "#_Toc142925634"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12．响应报价</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"_Toc142925635" \o "#_Toc142925635"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13．磋商保证金</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"_Toc142925636" \o "#_Toc142925636"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14．磋商响应有效期</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"_Toc142925637" \o "#_Toc142925637"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15. 响应文件的式样和签署</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"_Toc142925638" \o "#_Toc142925638"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16．响应文件的提交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"_Toc142925639" \o "#_Toc142925639"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17．响应文件的补充、修改或者撤回</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"_Toc142925640" \o "#_Toc142925640"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四、磋商与评审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"_Toc142925641" \o "#_Toc142925641"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18．磋商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"_Toc142925642" \o "#_Toc142925642"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19．磋商小组组成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"_Toc142925643" \o "#_Toc142925643"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20．无效磋商的情形</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"_Toc142925644" \o "#_Toc142925644"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21．串通磋商的情形</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"_Toc142925645" \o "#_Toc142925645"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22．响应文件的澄清</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"_Toc142925646" \o "#_Toc142925646"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23．磋商内容</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"_Toc142925647" \o "#_Toc142925647"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24．最后报价的提交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"_Toc142925648" \o "#_Toc142925648"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25．竞争性磋商特殊情况处理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"_Toc142925649" \o "#_Toc142925649"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五、确定成交结果</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"_Toc142925650" \o "#_Toc142925650"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26．确定成交供应商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"_Toc142925651" \o "#_Toc142925651"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六、授予合同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"_Toc142925652" \o "#_Toc142925652"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27．磋商组织方接受和拒绝任何或所有响应的权利</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"_Toc142925653" \o "#_Toc142925653"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28．成交通知书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"_Toc142925654" \o "#_Toc142925654"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29．签订合同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"_Toc142925655" \o "#_Toc142925655"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30．履约保证金</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"_Toc142925656" \o "#_Toc142925656"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七、询问、质疑、投诉</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"_Toc142925657" \o "#_Toc142925657"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31．询问</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"_Toc142925658" \o "#_Toc142925658"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32．质疑</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"_Toc142925659" \o "#_Toc142925659"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33．投诉</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"_Toc142925660" \o "#_Toc142925660"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八、诚实信用和解释权</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"_Toc142925661" \o "#_Toc142925661"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34．诚实信用</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"_Toc142925662" \o "#_Toc142925662"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35．解释权</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658"/>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"_Toc142925663" \o "#_Toc142925663"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36．适用法律及约束力</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"_Toc142925664" \o "#_Toc142925664"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九、苏采云操作其他补充事项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"_Toc142925665" \o "#_Toc142925665" </w:instrText>
      </w:r>
      <w:r>
        <w:rPr>
          <w:rFonts w:hint="eastAsia" w:ascii="仿宋" w:hAnsi="仿宋" w:eastAsia="仿宋" w:cs="仿宋"/>
          <w:color w:val="auto"/>
          <w:highlight w:val="none"/>
        </w:rPr>
        <w:fldChar w:fldCharType="separate"/>
      </w:r>
      <w:r>
        <w:rPr>
          <w:rStyle w:val="683"/>
          <w:rFonts w:hint="eastAsia" w:ascii="仿宋" w:hAnsi="仿宋" w:eastAsia="仿宋" w:cs="仿宋"/>
          <w:b/>
          <w:bCs/>
          <w:color w:val="auto"/>
          <w:highlight w:val="none"/>
        </w:rPr>
        <w:t xml:space="preserve">37.苏采云系统要求</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666"/>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"_Toc142925666" \o "#_Toc142925666"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第三部分合同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23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66"/>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"_Toc142925667" \o "#_Toc142925667"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第四部分采购需求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66"/>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"_Toc142925668" \o "#_Toc142925668"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第五部分磋商及评审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"_Toc142925669" \o "#_Toc142925669"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1．磋商小组职责</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"_Toc142925670" \o "#_Toc142925670"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2．磋商及评审程序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"_Toc142925671" \o "#_Toc142925671"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3．供应商资格审查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"_Toc142925672" \o "#_Toc142925672"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4．磋商响应文件的有效性、完整性和响应程度审查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"_Toc142925673" \o "#_Toc142925673"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5．磋商记录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"_Toc142925674" \o "#_Toc142925674"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6．综合评分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673"/>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"_Toc142925675" \o "#_Toc142925675"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7．推荐成交供应商</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41</w:t>
      </w:r>
      <w:r>
        <w:rPr>
          <w:rFonts w:hint="eastAsia" w:ascii="仿宋" w:hAnsi="仿宋" w:eastAsia="仿宋" w:cs="仿宋"/>
          <w:color w:val="auto"/>
          <w:highlight w:val="none"/>
        </w:rPr>
        <w:fldChar w:fldCharType="end"/>
      </w:r>
      <w:r/>
    </w:p>
    <w:p>
      <w:pPr>
        <w:pStyle w:val="666"/>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"_Toc142925676" \o "#_Toc142925676" </w:instrText>
      </w:r>
      <w:r>
        <w:rPr>
          <w:rFonts w:hint="eastAsia" w:ascii="仿宋" w:hAnsi="仿宋" w:eastAsia="仿宋" w:cs="仿宋"/>
          <w:color w:val="auto"/>
          <w:highlight w:val="none"/>
        </w:rPr>
        <w:fldChar w:fldCharType="separate"/>
      </w:r>
      <w:r>
        <w:rPr>
          <w:rStyle w:val="683"/>
          <w:rFonts w:hint="eastAsia" w:ascii="仿宋" w:hAnsi="仿宋" w:eastAsia="仿宋" w:cs="仿宋"/>
          <w:color w:val="auto"/>
          <w:highlight w:val="none"/>
        </w:rPr>
        <w:t xml:space="preserve">第六部分磋商响应文件（格式）</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43</w:t>
      </w:r>
      <w:r>
        <w:rPr>
          <w:rFonts w:hint="eastAsia" w:ascii="仿宋" w:hAnsi="仿宋" w:eastAsia="仿宋" w:cs="仿宋"/>
          <w:color w:val="auto"/>
          <w:highlight w:val="none"/>
        </w:rPr>
        <w:fldChar w:fldCharType="end"/>
      </w:r>
      <w:r/>
    </w:p>
    <w:p>
      <w:pPr>
        <w:rPr>
          <w:rFonts w:hint="eastAsia" w:ascii="仿宋" w:hAnsi="仿宋" w:eastAsia="仿宋" w:cs="仿宋"/>
          <w:color w:val="auto"/>
          <w:highlight w:val="none"/>
        </w:rPr>
      </w:pPr>
      <w:r>
        <w:rPr>
          <w:rFonts w:hint="eastAsia" w:ascii="仿宋" w:hAnsi="仿宋" w:eastAsia="仿宋" w:cs="仿宋"/>
          <w:b/>
          <w:bCs/>
          <w:caps/>
          <w:color w:val="auto"/>
          <w:sz w:val="44"/>
          <w:szCs w:val="44"/>
          <w:highlight w:val="none"/>
        </w:rPr>
        <w:fldChar w:fldCharType="end"/>
      </w:r>
      <w:r>
        <w:rPr>
          <w:rFonts w:hint="eastAsia" w:ascii="仿宋" w:hAnsi="仿宋" w:eastAsia="仿宋" w:cs="仿宋"/>
          <w:color w:val="auto"/>
          <w:highlight w:val="none"/>
        </w:rPr>
        <w:br w:type="page" w:clear="all"/>
      </w:r>
      <w:r/>
    </w:p>
    <w:p>
      <w:pPr>
        <w:pStyle w:val="717"/>
        <w:jc w:val="center"/>
        <w:spacing w:before="0" w:after="0" w:line="360" w:lineRule="auto"/>
        <w:rPr>
          <w:rFonts w:hint="eastAsia" w:ascii="仿宋" w:hAnsi="仿宋" w:eastAsia="仿宋" w:cs="仿宋"/>
          <w:color w:val="auto"/>
          <w:sz w:val="36"/>
          <w:highlight w:val="none"/>
        </w:rPr>
      </w:pPr>
      <w:r/>
      <w:bookmarkStart w:id="4" w:name="_Toc73364843"/>
      <w:r/>
      <w:bookmarkStart w:id="5" w:name="_Toc73365456"/>
      <w:r/>
      <w:bookmarkStart w:id="6" w:name="_Toc142925610"/>
      <w:r>
        <w:rPr>
          <w:rFonts w:hint="eastAsia" w:ascii="仿宋" w:hAnsi="仿宋" w:eastAsia="仿宋" w:cs="仿宋"/>
          <w:color w:val="auto"/>
          <w:sz w:val="36"/>
          <w:highlight w:val="none"/>
        </w:rPr>
        <w:t xml:space="preserve">第一部分  磋商邀请</w:t>
      </w:r>
      <w:bookmarkEnd w:id="4"/>
      <w:r/>
      <w:bookmarkEnd w:id="5"/>
      <w:r/>
      <w:bookmarkEnd w:id="6"/>
      <w:r/>
      <w:bookmarkStart w:id="7" w:name="EB90a90c36211a4db3a2108a4f75c8af65"/>
      <w:r/>
      <w:bookmarkEnd w:id="7"/>
      <w:r/>
      <w:bookmarkStart w:id="8" w:name="EBb19c9a8f63314b7a8160b48722b227e9"/>
      <w:r/>
      <w:bookmarkEnd w:id="8"/>
      <w:r/>
      <w:r/>
    </w:p>
    <w:p>
      <w:pPr>
        <w:ind w:firstLine="480"/>
        <w:spacing w:line="360" w:lineRule="auto"/>
        <w:rPr>
          <w:rFonts w:hint="eastAsia" w:ascii="仿宋" w:hAnsi="仿宋" w:eastAsia="仿宋" w:cs="仿宋"/>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highlight w:val="none"/>
        </w:rPr>
        <w:t xml:space="preserve">项目概况</w:t>
      </w:r>
      <w:r/>
    </w:p>
    <w:p>
      <w:pPr>
        <w:ind w:firstLine="480"/>
        <w:spacing w:line="360" w:lineRule="auto"/>
        <w:rPr>
          <w:rFonts w:hint="eastAsia" w:ascii="仿宋" w:hAnsi="仿宋" w:eastAsia="仿宋" w:cs="仿宋"/>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highlight w:val="none"/>
          <w:u w:val="single"/>
          <w:lang w:eastAsia="zh-CN"/>
        </w:rPr>
        <w:t xml:space="preserve">2026年大路镇河道长效管护项目</w:t>
      </w:r>
      <w:r>
        <w:rPr>
          <w:rFonts w:hint="eastAsia" w:ascii="仿宋" w:hAnsi="仿宋" w:eastAsia="仿宋" w:cs="仿宋"/>
          <w:color w:val="auto"/>
          <w:sz w:val="24"/>
          <w:szCs w:val="28"/>
          <w:highlight w:val="none"/>
        </w:rPr>
        <w:t xml:space="preserve">的潜在供应商应在</w:t>
      </w:r>
      <w:r>
        <w:rPr>
          <w:rFonts w:hint="eastAsia" w:ascii="仿宋" w:hAnsi="仿宋" w:eastAsia="仿宋" w:cs="仿宋"/>
          <w:color w:val="auto"/>
          <w:sz w:val="24"/>
          <w:szCs w:val="28"/>
          <w:highlight w:val="none"/>
          <w:u w:val="single"/>
        </w:rPr>
        <w:t xml:space="preserve">苏采云平台http://jszfcg.jscz.gov.cn/jszc/login</w:t>
      </w:r>
      <w:r>
        <w:rPr>
          <w:rFonts w:hint="eastAsia" w:ascii="仿宋" w:hAnsi="仿宋" w:eastAsia="仿宋" w:cs="仿宋"/>
          <w:color w:val="auto"/>
          <w:sz w:val="24"/>
          <w:szCs w:val="28"/>
          <w:highlight w:val="none"/>
        </w:rPr>
        <w:t xml:space="preserve">获取磋商文件，并于</w:t>
      </w:r>
      <w:bookmarkStart w:id="9" w:name="EBa2e9efed1bd249f6967eff74ca5f9fe3"/>
      <w:r>
        <w:rPr>
          <w:rFonts w:hint="eastAsia" w:ascii="仿宋" w:hAnsi="仿宋" w:eastAsia="仿宋" w:cs="仿宋"/>
          <w:color w:val="auto"/>
          <w:sz w:val="24"/>
          <w:szCs w:val="28"/>
          <w:highlight w:val="none"/>
          <w:lang w:eastAsia="zh-CN"/>
        </w:rPr>
        <w:t xml:space="preserve">2026-</w:t>
      </w:r>
      <w:r>
        <w:rPr>
          <w:rFonts w:hint="eastAsia" w:ascii="仿宋" w:hAnsi="仿宋" w:eastAsia="仿宋" w:cs="仿宋"/>
          <w:color w:val="auto"/>
          <w:sz w:val="24"/>
          <w:szCs w:val="28"/>
          <w:highlight w:val="none"/>
          <w:lang w:val="en-US" w:eastAsia="zh-CN"/>
        </w:rPr>
        <w:t xml:space="preserve">5</w:t>
      </w:r>
      <w:r>
        <w:rPr>
          <w:rFonts w:hint="eastAsia" w:ascii="仿宋" w:hAnsi="仿宋" w:eastAsia="仿宋" w:cs="仿宋"/>
          <w:color w:val="auto"/>
          <w:sz w:val="24"/>
          <w:szCs w:val="28"/>
          <w:highlight w:val="none"/>
          <w:lang w:eastAsia="zh-CN"/>
        </w:rPr>
        <w:t xml:space="preserve">-</w:t>
      </w:r>
      <w:r>
        <w:rPr>
          <w:rFonts w:hint="eastAsia" w:ascii="仿宋" w:hAnsi="仿宋" w:eastAsia="仿宋" w:cs="仿宋"/>
          <w:color w:val="auto"/>
          <w:sz w:val="24"/>
          <w:szCs w:val="28"/>
          <w:highlight w:val="none"/>
          <w:lang w:val="en-US" w:eastAsia="zh-CN"/>
        </w:rPr>
        <w:t xml:space="preserve">22</w:t>
      </w:r>
      <w:r>
        <w:rPr>
          <w:rFonts w:hint="eastAsia" w:ascii="仿宋" w:hAnsi="仿宋" w:eastAsia="仿宋" w:cs="仿宋"/>
          <w:color w:val="auto"/>
          <w:sz w:val="24"/>
          <w:szCs w:val="28"/>
          <w:highlight w:val="none"/>
        </w:rPr>
        <w:t xml:space="preserve"> </w:t>
      </w:r>
      <w:r>
        <w:rPr>
          <w:rFonts w:hint="eastAsia" w:ascii="仿宋" w:hAnsi="仿宋" w:eastAsia="仿宋" w:cs="仿宋"/>
          <w:color w:val="auto"/>
          <w:sz w:val="24"/>
          <w:szCs w:val="28"/>
          <w:highlight w:val="none"/>
          <w:lang w:val="en-US" w:eastAsia="zh-CN"/>
        </w:rPr>
        <w:t xml:space="preserve">9</w:t>
      </w:r>
      <w:r>
        <w:rPr>
          <w:rFonts w:hint="eastAsia" w:ascii="仿宋" w:hAnsi="仿宋" w:eastAsia="仿宋" w:cs="仿宋"/>
          <w:color w:val="auto"/>
          <w:sz w:val="24"/>
          <w:szCs w:val="28"/>
          <w:highlight w:val="none"/>
        </w:rPr>
        <w:t xml:space="preserve">:</w:t>
      </w:r>
      <w:bookmarkEnd w:id="9"/>
      <w:r>
        <w:rPr>
          <w:rFonts w:hint="eastAsia" w:ascii="仿宋" w:hAnsi="仿宋" w:eastAsia="仿宋" w:cs="仿宋"/>
          <w:color w:val="auto"/>
          <w:sz w:val="24"/>
          <w:szCs w:val="28"/>
          <w:highlight w:val="none"/>
          <w:lang w:val="en-US" w:eastAsia="zh-CN"/>
        </w:rPr>
        <w:t xml:space="preserve">00</w:t>
      </w:r>
      <w:r>
        <w:rPr>
          <w:rFonts w:hint="eastAsia" w:ascii="仿宋" w:hAnsi="仿宋" w:eastAsia="仿宋" w:cs="仿宋"/>
          <w:color w:val="auto"/>
          <w:sz w:val="24"/>
          <w:szCs w:val="28"/>
          <w:highlight w:val="none"/>
        </w:rPr>
        <w:t xml:space="preserve">（</w:t>
      </w:r>
      <w:r>
        <w:rPr>
          <w:rFonts w:hint="eastAsia" w:ascii="仿宋" w:hAnsi="仿宋" w:eastAsia="仿宋" w:cs="仿宋"/>
          <w:bCs/>
          <w:color w:val="auto"/>
          <w:sz w:val="24"/>
          <w:szCs w:val="28"/>
          <w:highlight w:val="none"/>
        </w:rPr>
        <w:t xml:space="preserve">北京时间）前递交响应文件</w:t>
      </w:r>
      <w:r>
        <w:rPr>
          <w:rFonts w:hint="eastAsia" w:ascii="仿宋" w:hAnsi="仿宋" w:eastAsia="仿宋" w:cs="仿宋"/>
          <w:color w:val="auto"/>
          <w:sz w:val="24"/>
          <w:szCs w:val="28"/>
          <w:highlight w:val="none"/>
        </w:rPr>
        <w:t xml:space="preserve">。</w:t>
      </w:r>
      <w:r/>
    </w:p>
    <w:p>
      <w:pPr>
        <w:pStyle w:val="718"/>
        <w:jc w:val="left"/>
        <w:spacing w:before="0" w:after="0" w:line="360" w:lineRule="auto"/>
        <w:rPr>
          <w:rFonts w:hint="eastAsia" w:ascii="仿宋" w:hAnsi="仿宋" w:eastAsia="仿宋" w:cs="仿宋"/>
          <w:b w:val="0"/>
          <w:color w:val="auto"/>
          <w:highlight w:val="none"/>
        </w:rPr>
      </w:pPr>
      <w:r/>
      <w:bookmarkStart w:id="10" w:name="_Toc73364844"/>
      <w:r/>
      <w:bookmarkStart w:id="11" w:name="_Toc73365457"/>
      <w:r/>
      <w:bookmarkStart w:id="12" w:name="_Toc142925611"/>
      <w:r>
        <w:rPr>
          <w:rFonts w:hint="eastAsia" w:ascii="仿宋" w:hAnsi="仿宋" w:eastAsia="仿宋" w:cs="仿宋"/>
          <w:b w:val="0"/>
          <w:color w:val="auto"/>
          <w:highlight w:val="none"/>
        </w:rPr>
        <w:t xml:space="preserve">一、项目基本情况</w:t>
      </w:r>
      <w:bookmarkEnd w:id="10"/>
      <w:r/>
      <w:bookmarkEnd w:id="11"/>
      <w:r/>
      <w:bookmarkEnd w:id="12"/>
      <w:r/>
      <w:r/>
    </w:p>
    <w:p>
      <w:pPr>
        <w:ind w:firstLine="48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项目编号：</w:t>
      </w:r>
      <w:r>
        <w:rPr>
          <w:rFonts w:hint="eastAsia" w:ascii="仿宋" w:hAnsi="仿宋" w:eastAsia="仿宋" w:cs="仿宋"/>
          <w:color w:val="auto"/>
          <w:sz w:val="24"/>
          <w:szCs w:val="28"/>
          <w:highlight w:val="none"/>
          <w:lang w:eastAsia="zh-CN"/>
        </w:rPr>
        <w:t xml:space="preserve">JSZC-321192-CSDL-C2026-0007</w:t>
      </w:r>
      <w:r/>
    </w:p>
    <w:p>
      <w:pPr>
        <w:ind w:firstLine="48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项目名称：</w:t>
      </w:r>
      <w:r>
        <w:rPr>
          <w:rFonts w:hint="eastAsia" w:ascii="仿宋" w:hAnsi="仿宋" w:eastAsia="仿宋" w:cs="仿宋"/>
          <w:color w:val="auto"/>
          <w:sz w:val="24"/>
          <w:szCs w:val="28"/>
          <w:highlight w:val="none"/>
          <w:lang w:eastAsia="zh-CN"/>
        </w:rPr>
        <w:t xml:space="preserve">2026年大路镇河道长效管护项目</w:t>
      </w:r>
      <w:r/>
    </w:p>
    <w:p>
      <w:pPr>
        <w:ind w:firstLine="480"/>
        <w:spacing w:line="360" w:lineRule="auto"/>
        <w:rPr>
          <w:rFonts w:hint="eastAsia" w:ascii="仿宋" w:hAnsi="仿宋" w:eastAsia="仿宋" w:cs="仿宋"/>
          <w:color w:val="auto"/>
          <w:sz w:val="24"/>
          <w:szCs w:val="28"/>
          <w:highlight w:val="none"/>
        </w:rPr>
      </w:pPr>
      <w:r/>
      <w:bookmarkStart w:id="13" w:name="_Toc73365458"/>
      <w:r/>
      <w:bookmarkStart w:id="14" w:name="_Toc73364845"/>
      <w:r>
        <w:rPr>
          <w:rFonts w:hint="eastAsia" w:ascii="仿宋" w:hAnsi="仿宋" w:eastAsia="仿宋" w:cs="仿宋"/>
          <w:color w:val="auto"/>
          <w:sz w:val="24"/>
          <w:szCs w:val="28"/>
          <w:highlight w:val="none"/>
        </w:rPr>
        <w:t xml:space="preserve">预算金额：</w:t>
      </w:r>
      <w:r>
        <w:rPr>
          <w:rFonts w:hint="eastAsia" w:ascii="仿宋" w:hAnsi="仿宋" w:eastAsia="仿宋" w:cs="仿宋"/>
          <w:color w:val="auto"/>
          <w:sz w:val="24"/>
          <w:szCs w:val="28"/>
          <w:highlight w:val="none"/>
          <w:lang w:val="en-US" w:eastAsia="zh-CN"/>
        </w:rPr>
        <w:t xml:space="preserve">1496892.5元</w:t>
      </w:r>
      <w:r>
        <w:rPr>
          <w:rFonts w:hint="eastAsia" w:ascii="仿宋" w:hAnsi="仿宋" w:eastAsia="仿宋" w:cs="仿宋"/>
          <w:color w:val="auto"/>
          <w:sz w:val="24"/>
          <w:szCs w:val="28"/>
          <w:highlight w:val="none"/>
        </w:rPr>
        <w:t xml:space="preserve">，磋商报价超过预算金额（最高限价）的为无效报价，按照无效响应处理。</w:t>
      </w:r>
      <w:r/>
    </w:p>
    <w:p>
      <w:pPr>
        <w:ind w:firstLine="480"/>
        <w:spacing w:line="360" w:lineRule="auto"/>
        <w:rPr>
          <w:rFonts w:hint="eastAsia" w:ascii="仿宋" w:hAnsi="仿宋" w:eastAsia="仿宋" w:cs="仿宋"/>
          <w:color w:val="auto"/>
          <w:highlight w:val="none"/>
        </w:rPr>
      </w:pPr>
      <w:r/>
      <w:bookmarkStart w:id="15" w:name="EB561a2394c1544fb48623feaf98445ca1"/>
      <w:r/>
      <w:bookmarkEnd w:id="15"/>
      <w:r>
        <w:rPr>
          <w:rFonts w:hint="eastAsia" w:ascii="仿宋" w:hAnsi="仿宋" w:eastAsia="仿宋" w:cs="仿宋"/>
          <w:color w:val="auto"/>
          <w:sz w:val="24"/>
          <w:szCs w:val="28"/>
          <w:highlight w:val="none"/>
        </w:rPr>
        <w:t xml:space="preserve">最高限价</w:t>
      </w:r>
      <w:bookmarkStart w:id="16" w:name="EB98c60433be4041ceb537b4bc2e24026f"/>
      <w:r>
        <w:rPr>
          <w:rFonts w:hint="eastAsia" w:ascii="仿宋" w:hAnsi="仿宋" w:eastAsia="仿宋" w:cs="仿宋"/>
          <w:color w:val="auto"/>
          <w:sz w:val="24"/>
          <w:szCs w:val="28"/>
          <w:highlight w:val="none"/>
        </w:rPr>
        <w:t xml:space="preserve">：</w:t>
      </w:r>
      <w:bookmarkStart w:id="17" w:name="_Hlk142306859"/>
      <w:r>
        <w:rPr>
          <w:rFonts w:hint="eastAsia" w:ascii="仿宋" w:hAnsi="仿宋" w:eastAsia="仿宋" w:cs="仿宋"/>
          <w:color w:val="auto"/>
          <w:sz w:val="24"/>
          <w:szCs w:val="28"/>
          <w:highlight w:val="none"/>
          <w:lang w:val="en-US" w:eastAsia="zh-CN"/>
        </w:rPr>
        <w:t xml:space="preserve">1496892.5元。</w:t>
      </w:r>
      <w:bookmarkEnd w:id="16"/>
      <w:r/>
      <w:bookmarkEnd w:id="17"/>
      <w:r/>
      <w:r/>
    </w:p>
    <w:p>
      <w:pPr>
        <w:ind w:firstLine="480"/>
        <w:spacing w:line="360" w:lineRule="auto"/>
        <w:rPr>
          <w:rFonts w:hint="eastAsia" w:ascii="仿宋" w:hAnsi="仿宋" w:eastAsia="仿宋" w:cs="仿宋"/>
          <w:color w:val="auto"/>
          <w:sz w:val="24"/>
          <w:szCs w:val="28"/>
          <w:highlight w:val="none"/>
        </w:rPr>
      </w:pPr>
      <w:r/>
      <w:bookmarkStart w:id="18" w:name="EB62c16b27558942fdb00f56494481e86d"/>
      <w:r/>
      <w:bookmarkEnd w:id="18"/>
      <w:r>
        <w:rPr>
          <w:rFonts w:hint="eastAsia" w:ascii="仿宋" w:hAnsi="仿宋" w:eastAsia="仿宋" w:cs="仿宋"/>
          <w:color w:val="auto"/>
          <w:sz w:val="24"/>
          <w:szCs w:val="28"/>
          <w:highlight w:val="none"/>
        </w:rPr>
        <w:t xml:space="preserve">采购需求：</w:t>
      </w:r>
      <w:bookmarkStart w:id="19" w:name="EB5d98601673ee4dabb6909c42181f9c92"/>
      <w:r>
        <w:rPr>
          <w:rFonts w:hint="eastAsia" w:ascii="仿宋" w:hAnsi="仿宋" w:eastAsia="仿宋" w:cs="仿宋"/>
          <w:color w:val="auto"/>
          <w:sz w:val="24"/>
          <w:szCs w:val="28"/>
          <w:highlight w:val="none"/>
        </w:rPr>
        <w:t xml:space="preserve">详细内容及要求见附件采购文件采购需求。</w:t>
      </w:r>
      <w:bookmarkEnd w:id="19"/>
      <w:r/>
      <w:bookmarkStart w:id="20" w:name="EBe46f2acd23264f31909e1f2cbfc9f572"/>
      <w:r/>
      <w:bookmarkEnd w:id="20"/>
      <w:r/>
      <w:bookmarkStart w:id="21" w:name="EBd7b548ce0011456a9f402dd37794dbc3"/>
      <w:r/>
      <w:bookmarkEnd w:id="21"/>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合同履行期限：</w:t>
      </w:r>
      <w:r>
        <w:rPr>
          <w:rFonts w:hint="eastAsia" w:ascii="仿宋" w:hAnsi="仿宋" w:eastAsia="仿宋" w:cs="仿宋"/>
          <w:color w:val="auto"/>
          <w:sz w:val="24"/>
          <w:szCs w:val="28"/>
          <w:highlight w:val="none"/>
          <w:lang w:val="en-US" w:eastAsia="zh-CN"/>
        </w:rPr>
        <w:t xml:space="preserve">自合同签订之日起1年</w:t>
      </w:r>
      <w:r>
        <w:rPr>
          <w:rFonts w:hint="eastAsia" w:ascii="仿宋" w:hAnsi="仿宋" w:eastAsia="仿宋" w:cs="仿宋"/>
          <w:color w:val="auto"/>
          <w:sz w:val="24"/>
          <w:szCs w:val="28"/>
          <w:highlight w:val="none"/>
        </w:rPr>
        <w:t xml:space="preserve">，详细内容及要求见附件采购需求。</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本项目是否接受联合体：</w:t>
      </w:r>
      <w:r>
        <w:rPr>
          <w:rFonts w:hint="eastAsia" w:ascii="仿宋" w:hAnsi="仿宋" w:eastAsia="仿宋" w:cs="仿宋"/>
          <w:color w:val="auto"/>
          <w:sz w:val="24"/>
          <w:szCs w:val="28"/>
          <w:highlight w:val="none"/>
        </w:rPr>
        <w:t xml:space="preserve">不接受。</w:t>
      </w:r>
      <w:r/>
    </w:p>
    <w:p>
      <w:pPr>
        <w:pStyle w:val="718"/>
        <w:jc w:val="left"/>
        <w:spacing w:before="0" w:after="0" w:line="360" w:lineRule="auto"/>
        <w:rPr>
          <w:rFonts w:hint="eastAsia" w:ascii="仿宋" w:hAnsi="仿宋" w:eastAsia="仿宋" w:cs="仿宋"/>
          <w:b w:val="0"/>
          <w:color w:val="auto"/>
          <w:highlight w:val="none"/>
        </w:rPr>
      </w:pPr>
      <w:r/>
      <w:bookmarkStart w:id="22" w:name="_Toc142925612"/>
      <w:r>
        <w:rPr>
          <w:rFonts w:hint="eastAsia" w:ascii="仿宋" w:hAnsi="仿宋" w:eastAsia="仿宋" w:cs="仿宋"/>
          <w:b w:val="0"/>
          <w:color w:val="auto"/>
          <w:highlight w:val="none"/>
        </w:rPr>
        <w:t xml:space="preserve">二、申请人的资格要求：</w:t>
      </w:r>
      <w:bookmarkEnd w:id="13"/>
      <w:r/>
      <w:bookmarkEnd w:id="14"/>
      <w:r/>
      <w:bookmarkEnd w:id="22"/>
      <w:r/>
      <w:r/>
    </w:p>
    <w:p>
      <w:pPr>
        <w:ind w:firstLine="480"/>
        <w:spacing w:line="360" w:lineRule="auto"/>
        <w:rPr>
          <w:rFonts w:hint="eastAsia" w:ascii="仿宋" w:hAnsi="仿宋" w:eastAsia="仿宋" w:cs="仿宋"/>
          <w:color w:val="auto"/>
          <w:sz w:val="24"/>
          <w:szCs w:val="28"/>
          <w:highlight w:val="none"/>
        </w:rPr>
      </w:pPr>
      <w:r/>
      <w:bookmarkStart w:id="23" w:name="EBc1bc06189b4a41ccac26e04e92f3d69f"/>
      <w:r>
        <w:rPr>
          <w:rFonts w:hint="eastAsia" w:ascii="仿宋" w:hAnsi="仿宋" w:eastAsia="仿宋" w:cs="仿宋"/>
          <w:color w:val="auto"/>
          <w:sz w:val="24"/>
          <w:szCs w:val="28"/>
          <w:highlight w:val="none"/>
        </w:rPr>
        <w:t xml:space="preserve">1.</w:t>
      </w:r>
      <w:r>
        <w:rPr>
          <w:rFonts w:hint="eastAsia" w:ascii="仿宋" w:hAnsi="仿宋" w:eastAsia="仿宋" w:cs="仿宋"/>
          <w:color w:val="auto"/>
          <w:sz w:val="24"/>
          <w:szCs w:val="28"/>
          <w:highlight w:val="none"/>
        </w:rPr>
        <w:tab/>
      </w:r>
      <w:r>
        <w:rPr>
          <w:rFonts w:hint="eastAsia" w:ascii="仿宋" w:hAnsi="仿宋" w:eastAsia="仿宋" w:cs="仿宋"/>
          <w:color w:val="auto"/>
          <w:sz w:val="24"/>
          <w:szCs w:val="28"/>
          <w:highlight w:val="none"/>
        </w:rPr>
        <w:t xml:space="preserve">满足《中华人民共和国政府采购法》第二十二条规定；</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（1）具有独立承担民事责任的能力（提供法人或者其他组织的营业执照等证明文件扫描件；</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为自然人的，提供其身份证扫描件）；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（2）具有良好的商业信誉和健全的财务会计制度（提供</w:t>
      </w:r>
      <w:r>
        <w:rPr>
          <w:rFonts w:hint="eastAsia" w:ascii="仿宋" w:hAnsi="仿宋" w:eastAsia="仿宋" w:cs="仿宋"/>
          <w:color w:val="auto"/>
          <w:sz w:val="24"/>
          <w:szCs w:val="28"/>
          <w:highlight w:val="none"/>
          <w:lang w:eastAsia="zh-CN"/>
        </w:rPr>
        <w:t xml:space="preserve">2025年度财务报告</w:t>
      </w:r>
      <w:r>
        <w:rPr>
          <w:rFonts w:hint="eastAsia" w:ascii="仿宋" w:hAnsi="仿宋" w:eastAsia="仿宋" w:cs="仿宋"/>
          <w:color w:val="auto"/>
          <w:sz w:val="24"/>
          <w:szCs w:val="28"/>
          <w:highlight w:val="none"/>
        </w:rPr>
        <w:t xml:space="preserve">，成立不满一年的提供</w:t>
      </w:r>
      <w:r>
        <w:rPr>
          <w:rFonts w:hint="eastAsia" w:ascii="仿宋" w:hAnsi="仿宋" w:eastAsia="仿宋" w:cs="仿宋"/>
          <w:color w:val="auto"/>
          <w:sz w:val="24"/>
          <w:szCs w:val="28"/>
          <w:highlight w:val="none"/>
          <w:lang w:eastAsia="zh-CN"/>
        </w:rPr>
        <w:t xml:space="preserve">任意一个月</w:t>
      </w:r>
      <w:r>
        <w:rPr>
          <w:rFonts w:hint="eastAsia" w:ascii="仿宋" w:hAnsi="仿宋" w:eastAsia="仿宋" w:cs="仿宋"/>
          <w:color w:val="auto"/>
          <w:sz w:val="24"/>
          <w:szCs w:val="28"/>
          <w:highlight w:val="none"/>
        </w:rPr>
        <w:t xml:space="preserve">财务报告，或银行出具的资信证明，或财政部门认可的政府采购专业担保机构出具的投标担保函等或提供资格承诺函）；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（3）具有履行合同所必需的设备和专业技术能力（见</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相关信息一览表或提供资格承诺函）；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（4）有依法缴纳税收和社会保障资金的良好记录（提供参加本次政府采购活动前半年内</w:t>
      </w:r>
      <w:r>
        <w:rPr>
          <w:rFonts w:hint="eastAsia" w:ascii="仿宋" w:hAnsi="仿宋" w:eastAsia="仿宋" w:cs="仿宋"/>
          <w:color w:val="auto"/>
          <w:sz w:val="24"/>
          <w:szCs w:val="28"/>
          <w:highlight w:val="none"/>
          <w:lang w:eastAsia="zh-CN"/>
        </w:rPr>
        <w:t xml:space="preserve">任意一个月</w:t>
      </w:r>
      <w:r>
        <w:rPr>
          <w:rFonts w:hint="eastAsia" w:ascii="仿宋" w:hAnsi="仿宋" w:eastAsia="仿宋" w:cs="仿宋"/>
          <w:color w:val="auto"/>
          <w:sz w:val="24"/>
          <w:szCs w:val="28"/>
          <w:highlight w:val="none"/>
        </w:rPr>
        <w:t xml:space="preserve">依法缴纳税收和社会保险的凭据或提供资格承诺函）；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（5）参加政府采购活动前三年内，在经营活动中没有重大违法记录（见</w:t>
      </w:r>
      <w:r>
        <w:rPr>
          <w:rFonts w:hint="eastAsia" w:ascii="仿宋" w:hAnsi="仿宋" w:eastAsia="仿宋" w:cs="仿宋"/>
          <w:color w:val="auto"/>
          <w:sz w:val="24"/>
          <w:szCs w:val="28"/>
          <w:highlight w:val="none"/>
          <w:lang w:eastAsia="zh-CN"/>
        </w:rPr>
        <w:t xml:space="preserve">磋商承诺函</w:t>
      </w:r>
      <w:r>
        <w:rPr>
          <w:rFonts w:hint="eastAsia" w:ascii="仿宋" w:hAnsi="仿宋" w:eastAsia="仿宋" w:cs="仿宋"/>
          <w:color w:val="auto"/>
          <w:sz w:val="24"/>
          <w:szCs w:val="28"/>
          <w:highlight w:val="none"/>
        </w:rPr>
        <w:t xml:space="preserve">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（6）法律、行政法规规定的其他条件；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2.落实政府采购政策需满足的资格要求：</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w:t>
      </w:r>
      <w:r>
        <w:rPr>
          <w:rFonts w:hint="eastAsia" w:ascii="仿宋" w:hAnsi="仿宋" w:eastAsia="仿宋" w:cs="仿宋"/>
          <w:color w:val="auto"/>
          <w:sz w:val="24"/>
          <w:szCs w:val="28"/>
          <w:highlight w:val="none"/>
          <w:lang w:val="en-US" w:eastAsia="zh-CN"/>
        </w:rPr>
        <w:t xml:space="preserve">根据财政部、工业和信息化部关于印发《政府采购促进中小企业发展管理办法》的通知及苏财购【2021】34号的相关规定，本项目专门面向中小微企业采购，只接受中小微企业磋商。中小企业划分标准见《工业和信息化部、国家统计局、国家发展和改革委员会、财政部关于印发中小企业划型标准规定的通知》(工信部联企业[2011]300号)(所属行业：租赁和商务服务业)</w:t>
      </w:r>
      <w:r>
        <w:rPr>
          <w:rFonts w:hint="eastAsia" w:ascii="仿宋" w:hAnsi="仿宋" w:eastAsia="仿宋" w:cs="仿宋"/>
          <w:color w:val="auto"/>
          <w:sz w:val="24"/>
          <w:szCs w:val="28"/>
          <w:highlight w:val="none"/>
        </w:rPr>
        <w:t xml:space="preserve">。</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3.本项目的特定资格要求：</w:t>
      </w:r>
      <w:r>
        <w:rPr>
          <w:rFonts w:hint="eastAsia" w:ascii="仿宋" w:hAnsi="仿宋" w:eastAsia="仿宋" w:cs="仿宋"/>
          <w:color w:val="auto"/>
          <w:sz w:val="24"/>
          <w:szCs w:val="28"/>
          <w:highlight w:val="none"/>
          <w:lang w:val="en-US" w:eastAsia="zh-CN"/>
        </w:rPr>
        <w:t xml:space="preserve">无</w:t>
      </w:r>
      <w:r>
        <w:rPr>
          <w:rFonts w:hint="eastAsia" w:ascii="仿宋" w:hAnsi="仿宋" w:eastAsia="仿宋" w:cs="仿宋"/>
          <w:color w:val="auto"/>
          <w:sz w:val="24"/>
          <w:szCs w:val="28"/>
          <w:highlight w:val="none"/>
        </w:rPr>
        <w:t xml:space="preserve">。</w:t>
      </w:r>
      <w:bookmarkEnd w:id="23"/>
      <w:r/>
    </w:p>
    <w:p>
      <w:pPr>
        <w:pStyle w:val="718"/>
        <w:jc w:val="left"/>
        <w:spacing w:before="0" w:after="0" w:line="360" w:lineRule="auto"/>
        <w:rPr>
          <w:rFonts w:hint="eastAsia" w:ascii="仿宋" w:hAnsi="仿宋" w:eastAsia="仿宋" w:cs="仿宋"/>
          <w:b w:val="0"/>
          <w:color w:val="auto"/>
          <w:highlight w:val="none"/>
        </w:rPr>
      </w:pPr>
      <w:r/>
      <w:bookmarkStart w:id="24" w:name="_Toc73364846"/>
      <w:r/>
      <w:bookmarkStart w:id="25" w:name="_Toc73365459"/>
      <w:r/>
      <w:bookmarkStart w:id="26" w:name="_Toc142925613"/>
      <w:r>
        <w:rPr>
          <w:rFonts w:hint="eastAsia" w:ascii="仿宋" w:hAnsi="仿宋" w:eastAsia="仿宋" w:cs="仿宋"/>
          <w:b w:val="0"/>
          <w:color w:val="auto"/>
          <w:highlight w:val="none"/>
        </w:rPr>
        <w:t xml:space="preserve">三、获取磋商文件</w:t>
      </w:r>
      <w:bookmarkEnd w:id="24"/>
      <w:r/>
      <w:bookmarkEnd w:id="25"/>
      <w:r/>
      <w:bookmarkEnd w:id="26"/>
      <w:r>
        <w:rPr>
          <w:rFonts w:hint="eastAsia" w:ascii="仿宋" w:hAnsi="仿宋" w:eastAsia="仿宋" w:cs="仿宋"/>
          <w:b w:val="0"/>
          <w:color w:val="auto"/>
          <w:highlight w:val="none"/>
        </w:rPr>
        <w:t xml:space="preserve">：本项目采用网上注册登记方式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访问电子招标投标交易平台的网络地址和方法：</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（2）获取采购文件的方式：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“苏采云”系统用户注册--获取“CA数字证书”--CA绑定与登录--下载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(后缀名为.kedt”)。</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（3）时间：公告发布之日起至</w:t>
      </w:r>
      <w:r>
        <w:rPr>
          <w:rFonts w:hint="eastAsia" w:ascii="仿宋" w:hAnsi="仿宋" w:eastAsia="仿宋" w:cs="仿宋"/>
          <w:color w:val="auto"/>
          <w:sz w:val="24"/>
          <w:szCs w:val="28"/>
          <w:highlight w:val="none"/>
          <w:lang w:eastAsia="zh-CN"/>
        </w:rPr>
        <w:t xml:space="preserve">202</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lang w:eastAsia="zh-CN"/>
        </w:rPr>
        <w:t xml:space="preserve">年</w:t>
      </w:r>
      <w:r>
        <w:rPr>
          <w:rFonts w:hint="eastAsia" w:ascii="仿宋" w:hAnsi="仿宋" w:eastAsia="仿宋" w:cs="仿宋"/>
          <w:color w:val="auto"/>
          <w:sz w:val="24"/>
          <w:szCs w:val="28"/>
          <w:highlight w:val="none"/>
          <w:lang w:val="en-US" w:eastAsia="zh-CN"/>
        </w:rPr>
        <w:t xml:space="preserve">5</w:t>
      </w:r>
      <w:r>
        <w:rPr>
          <w:rFonts w:hint="eastAsia" w:ascii="仿宋" w:hAnsi="仿宋" w:eastAsia="仿宋" w:cs="仿宋"/>
          <w:color w:val="auto"/>
          <w:sz w:val="24"/>
          <w:szCs w:val="28"/>
          <w:highlight w:val="none"/>
          <w:lang w:eastAsia="zh-CN"/>
        </w:rPr>
        <w:t xml:space="preserve">月</w:t>
      </w:r>
      <w:r>
        <w:rPr>
          <w:rFonts w:hint="eastAsia" w:ascii="仿宋" w:hAnsi="仿宋" w:eastAsia="仿宋" w:cs="仿宋"/>
          <w:color w:val="auto"/>
          <w:sz w:val="24"/>
          <w:szCs w:val="28"/>
          <w:highlight w:val="none"/>
          <w:lang w:val="en-US" w:eastAsia="zh-CN"/>
        </w:rPr>
        <w:t xml:space="preserve">18</w:t>
      </w:r>
      <w:r>
        <w:rPr>
          <w:rFonts w:hint="eastAsia" w:ascii="仿宋" w:hAnsi="仿宋" w:eastAsia="仿宋" w:cs="仿宋"/>
          <w:color w:val="auto"/>
          <w:sz w:val="24"/>
          <w:szCs w:val="28"/>
          <w:highlight w:val="none"/>
          <w:lang w:eastAsia="zh-CN"/>
        </w:rPr>
        <w:t xml:space="preserve">日</w:t>
      </w:r>
      <w:r>
        <w:rPr>
          <w:rFonts w:hint="eastAsia" w:ascii="仿宋" w:hAnsi="仿宋" w:eastAsia="仿宋" w:cs="仿宋"/>
          <w:color w:val="auto"/>
          <w:sz w:val="24"/>
          <w:szCs w:val="28"/>
          <w:highlight w:val="none"/>
          <w:lang w:val="en-US" w:eastAsia="zh-CN"/>
        </w:rPr>
        <w:t xml:space="preserve">24</w:t>
      </w:r>
      <w:r>
        <w:rPr>
          <w:rFonts w:hint="eastAsia" w:ascii="仿宋" w:hAnsi="仿宋" w:eastAsia="仿宋" w:cs="仿宋"/>
          <w:color w:val="auto"/>
          <w:sz w:val="24"/>
          <w:szCs w:val="28"/>
          <w:highlight w:val="none"/>
        </w:rPr>
        <w:t xml:space="preserve">:00（北京时间）。</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2.采购代理机构将数据电文形式的</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加载至电子招标投标交易平台，供潜在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下载或者查阅，各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应在规定的时间内完成</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的下载，逾期可能会造成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文件无法下载以及</w:t>
      </w:r>
      <w:r>
        <w:rPr>
          <w:rFonts w:hint="eastAsia" w:ascii="仿宋" w:hAnsi="仿宋" w:eastAsia="仿宋" w:cs="仿宋"/>
          <w:color w:val="auto"/>
          <w:sz w:val="24"/>
          <w:szCs w:val="28"/>
          <w:highlight w:val="none"/>
          <w:lang w:eastAsia="zh-CN"/>
        </w:rPr>
        <w:t xml:space="preserve">响应文件</w:t>
      </w:r>
      <w:r>
        <w:rPr>
          <w:rFonts w:hint="eastAsia" w:ascii="仿宋" w:hAnsi="仿宋" w:eastAsia="仿宋" w:cs="仿宋"/>
          <w:color w:val="auto"/>
          <w:sz w:val="24"/>
          <w:szCs w:val="28"/>
          <w:highlight w:val="none"/>
        </w:rPr>
        <w:t xml:space="preserve">无法上传的情形，由此导致的后果由各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自行承担。</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3.采购文件获取费用:免费</w:t>
      </w:r>
      <w:r/>
    </w:p>
    <w:p>
      <w:pPr>
        <w:pStyle w:val="718"/>
        <w:jc w:val="left"/>
        <w:spacing w:before="0" w:after="0" w:line="360" w:lineRule="auto"/>
        <w:rPr>
          <w:rFonts w:hint="eastAsia" w:ascii="仿宋" w:hAnsi="仿宋" w:eastAsia="仿宋" w:cs="仿宋"/>
          <w:b w:val="0"/>
          <w:color w:val="auto"/>
          <w:highlight w:val="none"/>
        </w:rPr>
      </w:pPr>
      <w:r/>
      <w:bookmarkStart w:id="27" w:name="_Toc73365460"/>
      <w:r/>
      <w:bookmarkStart w:id="28" w:name="_Toc142925614"/>
      <w:r/>
      <w:bookmarkStart w:id="29" w:name="_Toc73364847"/>
      <w:r>
        <w:rPr>
          <w:rFonts w:hint="eastAsia" w:ascii="仿宋" w:hAnsi="仿宋" w:eastAsia="仿宋" w:cs="仿宋"/>
          <w:b w:val="0"/>
          <w:color w:val="auto"/>
          <w:highlight w:val="none"/>
        </w:rPr>
        <w:t xml:space="preserve">四、首次</w:t>
      </w:r>
      <w:r>
        <w:rPr>
          <w:rFonts w:hint="eastAsia" w:ascii="仿宋" w:hAnsi="仿宋" w:eastAsia="仿宋" w:cs="仿宋"/>
          <w:b w:val="0"/>
          <w:color w:val="auto"/>
          <w:highlight w:val="none"/>
          <w:lang w:eastAsia="zh-CN"/>
        </w:rPr>
        <w:t xml:space="preserve">响应文件</w:t>
      </w:r>
      <w:r>
        <w:rPr>
          <w:rFonts w:hint="eastAsia" w:ascii="仿宋" w:hAnsi="仿宋" w:eastAsia="仿宋" w:cs="仿宋"/>
          <w:b w:val="0"/>
          <w:color w:val="auto"/>
          <w:highlight w:val="none"/>
        </w:rPr>
        <w:t xml:space="preserve">提交</w:t>
      </w:r>
      <w:bookmarkEnd w:id="27"/>
      <w:r/>
      <w:bookmarkEnd w:id="28"/>
      <w:r/>
      <w:bookmarkEnd w:id="29"/>
      <w:r/>
      <w:r/>
    </w:p>
    <w:p>
      <w:pPr>
        <w:ind w:firstLine="480"/>
        <w:spacing w:line="360" w:lineRule="auto"/>
        <w:rPr>
          <w:rFonts w:hint="eastAsia" w:ascii="仿宋" w:hAnsi="仿宋" w:eastAsia="仿宋" w:cs="仿宋"/>
          <w:color w:val="auto"/>
          <w:sz w:val="24"/>
          <w:szCs w:val="20"/>
          <w:highlight w:val="none"/>
        </w:rPr>
      </w:pPr>
      <w:r>
        <w:rPr>
          <w:rFonts w:hint="eastAsia" w:ascii="仿宋" w:hAnsi="仿宋" w:eastAsia="仿宋" w:cs="仿宋"/>
          <w:color w:val="auto"/>
          <w:sz w:val="24"/>
          <w:highlight w:val="none"/>
        </w:rPr>
        <w:t xml:space="preserve">1.提交</w:t>
      </w:r>
      <w:r>
        <w:rPr>
          <w:rFonts w:hint="eastAsia" w:ascii="仿宋" w:hAnsi="仿宋" w:eastAsia="仿宋" w:cs="仿宋"/>
          <w:color w:val="auto"/>
          <w:sz w:val="24"/>
          <w:szCs w:val="20"/>
          <w:highlight w:val="none"/>
        </w:rPr>
        <w:t xml:space="preserve">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线上递交</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w:t>
      </w:r>
      <w:r>
        <w:rPr>
          <w:rFonts w:hint="eastAsia" w:ascii="仿宋" w:hAnsi="仿宋" w:eastAsia="仿宋" w:cs="仿宋"/>
          <w:color w:val="auto"/>
          <w:sz w:val="24"/>
          <w:highlight w:val="none"/>
        </w:rPr>
        <w:t xml:space="preserve">间：</w:t>
      </w:r>
      <w:r>
        <w:rPr>
          <w:rFonts w:hint="eastAsia" w:ascii="仿宋" w:hAnsi="仿宋" w:eastAsia="仿宋" w:cs="仿宋"/>
          <w:color w:val="auto"/>
          <w:sz w:val="24"/>
          <w:highlight w:val="none"/>
          <w:lang w:eastAsia="zh-CN"/>
        </w:rPr>
        <w:t xml:space="preserve">2026年</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2.提交首次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线上地点：将后缀名为“.kedt”的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导入政府采购客户端工具--制作</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--导出加密的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(后缀名为zip) --通过“苏采云”系统上传</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。具体详见《苏采云系统供应商操作手册》。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szCs w:val="20"/>
          <w:highlight w:val="none"/>
        </w:rPr>
        <w:t xml:space="preserve"> </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提交的截止时间：</w:t>
      </w:r>
      <w:r>
        <w:rPr>
          <w:rFonts w:hint="eastAsia" w:ascii="仿宋" w:hAnsi="仿宋" w:eastAsia="仿宋" w:cs="仿宋"/>
          <w:color w:val="auto"/>
          <w:sz w:val="24"/>
          <w:highlight w:val="none"/>
          <w:lang w:eastAsia="zh-CN"/>
        </w:rPr>
        <w:t xml:space="preserve">2026年</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，在截止时间后送达及上传至“苏采云”系统的响应文件为无效文件，将被拒收。</w:t>
      </w:r>
      <w:r/>
    </w:p>
    <w:p>
      <w:pPr>
        <w:pStyle w:val="718"/>
        <w:jc w:val="left"/>
        <w:spacing w:before="0" w:after="0" w:line="360" w:lineRule="auto"/>
        <w:rPr>
          <w:rFonts w:hint="eastAsia" w:ascii="仿宋" w:hAnsi="仿宋" w:eastAsia="仿宋" w:cs="仿宋"/>
          <w:b w:val="0"/>
          <w:color w:val="auto"/>
          <w:highlight w:val="none"/>
        </w:rPr>
      </w:pPr>
      <w:r/>
      <w:bookmarkStart w:id="30" w:name="_Toc142925615"/>
      <w:r/>
      <w:bookmarkStart w:id="31" w:name="_Toc73364848"/>
      <w:r/>
      <w:bookmarkStart w:id="32" w:name="_Toc73365461"/>
      <w:r>
        <w:rPr>
          <w:rFonts w:hint="eastAsia" w:ascii="仿宋" w:hAnsi="仿宋" w:eastAsia="仿宋" w:cs="仿宋"/>
          <w:b w:val="0"/>
          <w:color w:val="auto"/>
          <w:highlight w:val="none"/>
        </w:rPr>
        <w:t xml:space="preserve">五、开启</w:t>
      </w:r>
      <w:bookmarkEnd w:id="30"/>
      <w:r/>
      <w:bookmarkEnd w:id="31"/>
      <w:r/>
      <w:bookmarkEnd w:id="32"/>
      <w:r/>
      <w:r/>
    </w:p>
    <w:p>
      <w:pPr>
        <w:ind w:firstLine="480"/>
        <w:spacing w:line="360" w:lineRule="auto"/>
        <w:rPr>
          <w:rFonts w:hint="eastAsia" w:ascii="仿宋" w:hAnsi="仿宋" w:eastAsia="仿宋" w:cs="仿宋"/>
          <w:bCs/>
          <w:color w:val="auto"/>
          <w:sz w:val="24"/>
          <w:szCs w:val="28"/>
          <w:highlight w:val="none"/>
        </w:rPr>
      </w:pPr>
      <w:r/>
      <w:bookmarkStart w:id="33" w:name="EB8a200117cd0b4a25898d702d9f200195"/>
      <w:r/>
      <w:bookmarkEnd w:id="33"/>
      <w:r>
        <w:rPr>
          <w:rFonts w:hint="eastAsia" w:ascii="仿宋" w:hAnsi="仿宋" w:eastAsia="仿宋" w:cs="仿宋"/>
          <w:bCs/>
          <w:color w:val="auto"/>
          <w:sz w:val="24"/>
          <w:szCs w:val="28"/>
          <w:highlight w:val="none"/>
        </w:rPr>
        <w:t xml:space="preserve">1.</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文件开启时间：</w:t>
      </w:r>
      <w:r>
        <w:rPr>
          <w:rFonts w:hint="eastAsia" w:ascii="仿宋" w:hAnsi="仿宋" w:eastAsia="仿宋" w:cs="仿宋"/>
          <w:color w:val="auto"/>
          <w:sz w:val="24"/>
          <w:highlight w:val="none"/>
          <w:lang w:eastAsia="zh-CN"/>
        </w:rPr>
        <w:t xml:space="preserve">2026年5</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bCs/>
          <w:color w:val="auto"/>
          <w:sz w:val="24"/>
          <w:szCs w:val="28"/>
          <w:highlight w:val="none"/>
        </w:rPr>
        <w:t xml:space="preserve">（北京时间）。</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文件开启地点：“苏采云”系统（网址：http://jszfcg.jsczt.cn/）“开标大厅”进入系统“开标大厅”。</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4.不见面交易相关要求和说明如下：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（2）开标当日，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（3）未按时加入开标会议区并完成登录操作的或未能在开标会议区内全程参与交互的，视为放弃交互和放弃对开评标全过程提疑的权利，</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将无法看到解密指令、异议回复、唱标等实时情况，并承担由此导致的一切后果；</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递交截止时间后，采购人或采购代理机构将在系统内公布</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名单然后通过开标会议区发出</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解密的指令，</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在各自地点按规定时间自行实施远程解密，</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解密限定在投标截止时间后30分钟之间完成。因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在规定时间内未能解密、解密失败或解密超时，视为</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撤销其</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；因网上平台发生故障，导致无法按时完成</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解密或开、评标工作无法进行的，可根据实际情况相应延迟解密时间或调整开、评标时间（友情提示：若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已领取副锁（含多把副锁）请注意正副锁的使用差别）。本项目在限定的解密时间内，只要有一家</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解密成功，即视为网上招投标平台运行无故障。</w:t>
      </w:r>
      <w:r/>
    </w:p>
    <w:p>
      <w:pPr>
        <w:ind w:firstLine="480"/>
        <w:spacing w:line="360" w:lineRule="auto"/>
        <w:rPr>
          <w:rFonts w:hint="eastAsia" w:ascii="仿宋" w:hAnsi="仿宋" w:eastAsia="仿宋" w:cs="仿宋"/>
          <w:color w:val="auto"/>
          <w:highlight w:val="none"/>
        </w:rPr>
      </w:pPr>
      <w:r>
        <w:rPr>
          <w:rFonts w:hint="eastAsia" w:ascii="仿宋" w:hAnsi="仿宋" w:eastAsia="仿宋" w:cs="仿宋"/>
          <w:bCs/>
          <w:color w:val="auto"/>
          <w:sz w:val="24"/>
          <w:szCs w:val="28"/>
          <w:highlight w:val="none"/>
        </w:rPr>
        <w:t xml:space="preserve">（5）因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自身软硬件配备不齐全或发生故障等问题而导致在交互过程中出现不稳定或中断等情况的，由</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自身承担一切后果。</w:t>
      </w:r>
      <w:r/>
    </w:p>
    <w:p>
      <w:pPr>
        <w:pStyle w:val="718"/>
        <w:jc w:val="left"/>
        <w:spacing w:before="0" w:after="0" w:line="360" w:lineRule="auto"/>
        <w:rPr>
          <w:rFonts w:hint="eastAsia" w:ascii="仿宋" w:hAnsi="仿宋" w:eastAsia="仿宋" w:cs="仿宋"/>
          <w:b w:val="0"/>
          <w:color w:val="auto"/>
          <w:highlight w:val="none"/>
        </w:rPr>
      </w:pPr>
      <w:r/>
      <w:bookmarkStart w:id="34" w:name="_Toc73365462"/>
      <w:r/>
      <w:bookmarkStart w:id="35" w:name="_Toc73364849"/>
      <w:r/>
      <w:bookmarkStart w:id="36" w:name="_Toc142925616"/>
      <w:r>
        <w:rPr>
          <w:rFonts w:hint="eastAsia" w:ascii="仿宋" w:hAnsi="仿宋" w:eastAsia="仿宋" w:cs="仿宋"/>
          <w:b w:val="0"/>
          <w:color w:val="auto"/>
          <w:highlight w:val="none"/>
        </w:rPr>
        <w:t xml:space="preserve">六、公告期限</w:t>
      </w:r>
      <w:bookmarkEnd w:id="34"/>
      <w:r/>
      <w:bookmarkEnd w:id="35"/>
      <w:r/>
      <w:bookmarkEnd w:id="36"/>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自本公告发布之日起3个工作日。</w:t>
      </w:r>
      <w:r/>
    </w:p>
    <w:p>
      <w:pPr>
        <w:pStyle w:val="718"/>
        <w:jc w:val="left"/>
        <w:spacing w:before="0" w:after="0" w:line="360" w:lineRule="auto"/>
        <w:rPr>
          <w:rFonts w:hint="eastAsia" w:ascii="仿宋" w:hAnsi="仿宋" w:eastAsia="仿宋" w:cs="仿宋"/>
          <w:b w:val="0"/>
          <w:color w:val="auto"/>
          <w:highlight w:val="none"/>
        </w:rPr>
      </w:pPr>
      <w:r/>
      <w:bookmarkStart w:id="37" w:name="_Toc73365463"/>
      <w:r/>
      <w:bookmarkStart w:id="38" w:name="_Toc73364850"/>
      <w:r/>
      <w:bookmarkStart w:id="39" w:name="_Toc142925617"/>
      <w:r>
        <w:rPr>
          <w:rFonts w:hint="eastAsia" w:ascii="仿宋" w:hAnsi="仿宋" w:eastAsia="仿宋" w:cs="仿宋"/>
          <w:b w:val="0"/>
          <w:color w:val="auto"/>
          <w:highlight w:val="none"/>
        </w:rPr>
        <w:t xml:space="preserve">七、其他补充事宜</w:t>
      </w:r>
      <w:bookmarkEnd w:id="37"/>
      <w:r/>
      <w:bookmarkEnd w:id="38"/>
      <w:r/>
      <w:bookmarkEnd w:id="39"/>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szCs w:val="28"/>
          <w:highlight w:val="none"/>
        </w:rPr>
        <w:t xml:space="preserve">1</w:t>
      </w:r>
      <w:bookmarkStart w:id="40" w:name="EB1247fe96f55245ac875f9695ac8922a5"/>
      <w:r>
        <w:rPr>
          <w:rFonts w:hint="eastAsia" w:ascii="仿宋" w:hAnsi="仿宋" w:eastAsia="仿宋" w:cs="仿宋"/>
          <w:color w:val="auto"/>
          <w:sz w:val="24"/>
          <w:szCs w:val="28"/>
          <w:highlight w:val="none"/>
        </w:rPr>
        <w:t xml:space="preserve">.现场查勘：采购人不统一组织现场查勘，供应商可自行联系采购人联系查勘。</w:t>
      </w:r>
      <w:bookmarkEnd w:id="40"/>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3.请各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及时关注和查看江苏省政府采购网（网址：http://www.ccgp-jiangsu.gov.cn/）是否有更正公告。</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如确定参加投标，可自行下载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客服热线：0519-86722803、0519-86722805</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镇江地区意源（方正）线下办理方式：镇江市润州区冠城路8号工人大厦7楼公共资源交易中心大厅CA窗口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工作日办公时间：9:00-12:00、13:30-17:30</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联系人：邵娟，联系电话：13655287962  </w:t>
      </w:r>
      <w:r>
        <w:rPr>
          <w:rFonts w:hint="eastAsia" w:ascii="仿宋" w:hAnsi="仿宋" w:eastAsia="仿宋" w:cs="仿宋"/>
          <w:color w:val="auto"/>
          <w:sz w:val="24"/>
          <w:highlight w:val="none"/>
        </w:rPr>
        <w:t xml:space="preserve">客服电话：400-608-6099</w:t>
      </w:r>
      <w:r/>
    </w:p>
    <w:p>
      <w:pPr>
        <w:pStyle w:val="718"/>
        <w:jc w:val="left"/>
        <w:spacing w:before="0" w:after="0" w:line="360" w:lineRule="auto"/>
        <w:rPr>
          <w:rFonts w:hint="eastAsia" w:ascii="仿宋" w:hAnsi="仿宋" w:eastAsia="仿宋" w:cs="仿宋"/>
          <w:b w:val="0"/>
          <w:color w:val="auto"/>
          <w:highlight w:val="none"/>
        </w:rPr>
      </w:pPr>
      <w:r/>
      <w:bookmarkStart w:id="41" w:name="_Toc73365464"/>
      <w:r/>
      <w:bookmarkStart w:id="42" w:name="_Toc142925618"/>
      <w:r/>
      <w:bookmarkStart w:id="43" w:name="_Toc73364851"/>
      <w:r>
        <w:rPr>
          <w:rFonts w:hint="eastAsia" w:ascii="仿宋" w:hAnsi="仿宋" w:eastAsia="仿宋" w:cs="仿宋"/>
          <w:b w:val="0"/>
          <w:color w:val="auto"/>
          <w:highlight w:val="none"/>
        </w:rPr>
        <w:t xml:space="preserve">八、对本次磋商提出询问，请按以下方式联系。</w:t>
      </w:r>
      <w:bookmarkEnd w:id="41"/>
      <w:r/>
      <w:bookmarkEnd w:id="42"/>
      <w:r/>
      <w:bookmarkEnd w:id="43"/>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镇江市大路镇人民政府</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镇江市大路镇人民政府</w:t>
      </w:r>
      <w:r/>
    </w:p>
    <w:p>
      <w:pPr>
        <w:ind w:left="0" w:firstLine="480"/>
        <w:jc w:val="left"/>
        <w:keepLines w:val="0"/>
        <w:keepNext w:val="0"/>
        <w:pageBreakBefore w:val="0"/>
        <w:spacing w:line="360" w:lineRule="auto"/>
        <w:widowControl/>
        <w:rPr>
          <w:rFonts w:hint="default" w:ascii="仿宋" w:hAnsi="仿宋" w:eastAsia="仿宋" w:cs="仿宋"/>
          <w:color w:val="000000"/>
          <w:sz w:val="24"/>
          <w:szCs w:val="24"/>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000000"/>
          <w:sz w:val="24"/>
          <w:szCs w:val="24"/>
          <w:lang w:val="en-US" w:eastAsia="zh-CN"/>
        </w:rPr>
        <w:t xml:space="preserve">18994532541</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ascii="仿宋" w:hAnsi="仿宋" w:eastAsia="仿宋" w:cs="仿宋"/>
          <w:color w:val="auto"/>
          <w:sz w:val="24"/>
          <w:szCs w:val="24"/>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right="360"/>
        <w:jc w:val="righ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717"/>
        <w:jc w:val="center"/>
        <w:spacing w:before="0" w:after="0" w:line="360" w:lineRule="auto"/>
        <w:rPr>
          <w:rFonts w:hint="eastAsia" w:ascii="仿宋" w:hAnsi="仿宋" w:eastAsia="仿宋" w:cs="仿宋"/>
          <w:color w:val="auto"/>
          <w:sz w:val="36"/>
          <w:highlight w:val="none"/>
        </w:rPr>
      </w:pPr>
      <w:r/>
      <w:bookmarkStart w:id="44" w:name="_Toc142925619"/>
      <w:r/>
      <w:bookmarkStart w:id="45" w:name="_Toc73364853"/>
      <w:r/>
      <w:bookmarkStart w:id="46" w:name="_Toc73365466"/>
      <w:r>
        <w:rPr>
          <w:rFonts w:hint="eastAsia" w:ascii="仿宋" w:hAnsi="仿宋" w:eastAsia="仿宋" w:cs="仿宋"/>
          <w:color w:val="auto"/>
          <w:sz w:val="36"/>
          <w:highlight w:val="none"/>
        </w:rPr>
        <w:t xml:space="preserve">第二部分  供应商须知</w:t>
      </w:r>
      <w:bookmarkEnd w:id="44"/>
      <w:r/>
      <w:bookmarkEnd w:id="45"/>
      <w:r/>
      <w:bookmarkEnd w:id="46"/>
      <w:r/>
      <w:bookmarkStart w:id="47" w:name="EB5cd81c9ed9c74e6abb08406c193c2747"/>
      <w:r/>
      <w:bookmarkEnd w:id="47"/>
      <w:r/>
      <w:bookmarkStart w:id="48" w:name="EBa296f577883c4f0bbc5440ff75db1386"/>
      <w:r/>
      <w:bookmarkEnd w:id="48"/>
      <w:r/>
      <w:r/>
    </w:p>
    <w:p>
      <w:pPr>
        <w:pStyle w:val="718"/>
        <w:spacing w:before="0" w:after="0" w:line="360" w:lineRule="auto"/>
        <w:rPr>
          <w:rFonts w:hint="eastAsia" w:ascii="仿宋" w:hAnsi="仿宋" w:eastAsia="仿宋" w:cs="仿宋"/>
          <w:color w:val="auto"/>
          <w:sz w:val="32"/>
          <w:highlight w:val="none"/>
        </w:rPr>
      </w:pPr>
      <w:r/>
      <w:bookmarkStart w:id="49" w:name="_Toc73364854"/>
      <w:r/>
      <w:bookmarkStart w:id="50" w:name="_Toc142925620"/>
      <w:r/>
      <w:bookmarkStart w:id="51" w:name="_Toc73365467"/>
      <w:r>
        <w:rPr>
          <w:rFonts w:hint="eastAsia" w:ascii="仿宋" w:hAnsi="仿宋" w:eastAsia="仿宋" w:cs="仿宋"/>
          <w:color w:val="auto"/>
          <w:sz w:val="32"/>
          <w:highlight w:val="none"/>
        </w:rPr>
        <w:t xml:space="preserve">一、总  则</w:t>
      </w:r>
      <w:bookmarkEnd w:id="49"/>
      <w:r/>
      <w:bookmarkEnd w:id="50"/>
      <w:r/>
      <w:bookmarkEnd w:id="51"/>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52" w:name="_Toc142925621"/>
      <w:r/>
      <w:bookmarkStart w:id="53" w:name="_Toc73365468"/>
      <w:r/>
      <w:bookmarkStart w:id="54" w:name="_Toc73364855"/>
      <w:r>
        <w:rPr>
          <w:rFonts w:hint="eastAsia" w:ascii="仿宋" w:hAnsi="仿宋" w:eastAsia="仿宋" w:cs="仿宋"/>
          <w:color w:val="auto"/>
          <w:sz w:val="30"/>
          <w:highlight w:val="none"/>
        </w:rPr>
        <w:t xml:space="preserve">1．适用范围</w:t>
      </w:r>
      <w:bookmarkEnd w:id="52"/>
      <w:r/>
      <w:bookmarkEnd w:id="53"/>
      <w:r/>
      <w:bookmarkEnd w:id="5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1.1本磋商文件仅适用于</w:t>
      </w:r>
      <w:r>
        <w:rPr>
          <w:rFonts w:hint="eastAsia" w:ascii="仿宋" w:hAnsi="仿宋" w:eastAsia="仿宋" w:cs="仿宋"/>
          <w:color w:val="auto"/>
          <w:sz w:val="24"/>
          <w:highlight w:val="none"/>
          <w:lang w:eastAsia="zh-CN"/>
        </w:rPr>
        <w:t xml:space="preserve">2026年大路镇河道长效管护项目</w:t>
      </w:r>
      <w:r>
        <w:rPr>
          <w:rFonts w:hint="eastAsia" w:ascii="仿宋" w:hAnsi="仿宋" w:eastAsia="仿宋" w:cs="仿宋"/>
          <w:color w:val="auto"/>
          <w:sz w:val="24"/>
          <w:highlight w:val="none"/>
        </w:rPr>
        <w:t xml:space="preserve">。</w:t>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55" w:name="_Toc73365469"/>
      <w:r/>
      <w:bookmarkStart w:id="56" w:name="_Toc73364856"/>
      <w:r/>
      <w:bookmarkStart w:id="57" w:name="_Toc142925622"/>
      <w:r>
        <w:rPr>
          <w:rFonts w:hint="eastAsia" w:ascii="仿宋" w:hAnsi="仿宋" w:eastAsia="仿宋" w:cs="仿宋"/>
          <w:color w:val="auto"/>
          <w:sz w:val="30"/>
          <w:highlight w:val="none"/>
        </w:rPr>
        <w:t xml:space="preserve">2．定义</w:t>
      </w:r>
      <w:bookmarkEnd w:id="55"/>
      <w:r/>
      <w:bookmarkEnd w:id="56"/>
      <w:r/>
      <w:bookmarkEnd w:id="57"/>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磋商文件中下列术语应解释为：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2.1“磋商组织方”系指采购代理机构或采购单位，即：江苏初始建设项目管理有限公司。</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2.2“采购人”系指依法进行政府采购的国家机关、事业单位、团体组织，即：</w:t>
      </w:r>
      <w:r>
        <w:rPr>
          <w:rFonts w:hint="eastAsia" w:ascii="仿宋" w:hAnsi="仿宋" w:eastAsia="仿宋" w:cs="仿宋"/>
          <w:color w:val="auto"/>
          <w:sz w:val="24"/>
          <w:highlight w:val="none"/>
          <w:lang w:eastAsia="zh-CN"/>
        </w:rPr>
        <w:t xml:space="preserve">镇江市大路镇人民政府</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2.3“供应商”系指向采购人提供货物、工程或者服务的法人、其他组织或者自然人。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2.4“服务”系指本磋商文件所述采购标的，即</w:t>
      </w:r>
      <w:bookmarkStart w:id="58" w:name="EBec1f6c4cc37b4caa9954b6d54854e118"/>
      <w:r>
        <w:rPr>
          <w:rFonts w:hint="eastAsia" w:ascii="仿宋" w:hAnsi="仿宋" w:eastAsia="仿宋" w:cs="仿宋"/>
          <w:color w:val="auto"/>
          <w:sz w:val="24"/>
          <w:highlight w:val="none"/>
          <w:lang w:eastAsia="zh-CN"/>
        </w:rPr>
        <w:t xml:space="preserve">2026年大路镇河道长效管护项目，</w:t>
      </w:r>
      <w:r>
        <w:rPr>
          <w:rFonts w:hint="eastAsia" w:ascii="仿宋" w:hAnsi="仿宋" w:eastAsia="仿宋" w:cs="仿宋"/>
          <w:color w:val="auto"/>
          <w:sz w:val="24"/>
          <w:highlight w:val="none"/>
        </w:rPr>
        <w:t xml:space="preserve">亦包括磋商文件中特别描述的其它形式的服务。</w:t>
      </w:r>
      <w:bookmarkEnd w:id="58"/>
      <w:r/>
      <w:bookmarkStart w:id="59" w:name="EB380327a095314e7c8b67f909ffec846b"/>
      <w:r/>
      <w:bookmarkEnd w:id="59"/>
      <w:r/>
      <w:bookmarkStart w:id="60" w:name="EB89d8329d8427458280f540d38c10b31e"/>
      <w:r/>
      <w:bookmarkEnd w:id="60"/>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61" w:name="_Toc73364857"/>
      <w:r/>
      <w:bookmarkStart w:id="62" w:name="_Toc73365470"/>
      <w:r/>
      <w:bookmarkStart w:id="63" w:name="_Toc142925623"/>
      <w:r>
        <w:rPr>
          <w:rFonts w:hint="eastAsia" w:ascii="仿宋" w:hAnsi="仿宋" w:eastAsia="仿宋" w:cs="仿宋"/>
          <w:color w:val="auto"/>
          <w:sz w:val="30"/>
          <w:highlight w:val="none"/>
        </w:rPr>
        <w:t xml:space="preserve">3．本次采购方式</w:t>
      </w:r>
      <w:bookmarkEnd w:id="61"/>
      <w:r/>
      <w:bookmarkEnd w:id="62"/>
      <w:r/>
      <w:bookmarkEnd w:id="6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3.1本次采购采取竞争性磋商采购方式：综合评分法。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3.2是否接受进口产品：否</w:t>
      </w:r>
      <w:bookmarkStart w:id="64" w:name="EBb827a1ee09c24503810ef107662edd9b"/>
      <w:r/>
      <w:bookmarkEnd w:id="6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3.3本项目资格审查方式：资格后审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3.4本次采购确定的成交人数量：</w:t>
      </w:r>
      <w:bookmarkStart w:id="65" w:name="EB239bc7938d02463888f23182e5e568e7"/>
      <w:r>
        <w:rPr>
          <w:rFonts w:hint="eastAsia" w:ascii="仿宋" w:hAnsi="仿宋" w:eastAsia="仿宋" w:cs="仿宋"/>
          <w:color w:val="auto"/>
          <w:sz w:val="24"/>
          <w:highlight w:val="none"/>
        </w:rPr>
        <w:t xml:space="preserve">1名</w:t>
      </w:r>
      <w:bookmarkEnd w:id="65"/>
      <w:r/>
      <w:r/>
    </w:p>
    <w:p>
      <w:pPr>
        <w:ind w:firstLine="480"/>
        <w:spacing w:line="360" w:lineRule="auto"/>
        <w:rPr>
          <w:rFonts w:hint="eastAsia" w:ascii="仿宋" w:hAnsi="仿宋" w:eastAsia="仿宋" w:cs="仿宋"/>
          <w:color w:val="auto"/>
          <w:sz w:val="24"/>
          <w:highlight w:val="none"/>
        </w:rPr>
      </w:pPr>
      <w:r/>
      <w:bookmarkStart w:id="66" w:name="EB65f1af548e51428190f46d10e71d9afc"/>
      <w:r>
        <w:rPr>
          <w:rFonts w:hint="eastAsia" w:ascii="仿宋" w:hAnsi="仿宋" w:eastAsia="仿宋" w:cs="仿宋"/>
          <w:color w:val="auto"/>
          <w:sz w:val="24"/>
          <w:highlight w:val="none"/>
        </w:rPr>
        <w:t xml:space="preserve">3.5本项目不接受联合体投标。</w:t>
      </w:r>
      <w:bookmarkEnd w:id="66"/>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67" w:name="_Toc142925624"/>
      <w:r/>
      <w:bookmarkStart w:id="68" w:name="_Toc73365471"/>
      <w:r/>
      <w:bookmarkStart w:id="69" w:name="_Toc73364858"/>
      <w:r>
        <w:rPr>
          <w:rFonts w:hint="eastAsia" w:ascii="仿宋" w:hAnsi="仿宋" w:eastAsia="仿宋" w:cs="仿宋"/>
          <w:color w:val="auto"/>
          <w:sz w:val="30"/>
          <w:highlight w:val="none"/>
        </w:rPr>
        <w:t xml:space="preserve">4．磋商费用</w:t>
      </w:r>
      <w:bookmarkEnd w:id="67"/>
      <w:r/>
      <w:bookmarkEnd w:id="68"/>
      <w:r/>
      <w:bookmarkEnd w:id="6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供应商应自行承担所有与参加磋商有关的费用。</w:t>
      </w:r>
      <w:r/>
    </w:p>
    <w:p>
      <w:pPr>
        <w:ind w:firstLine="480"/>
        <w:spacing w:line="360" w:lineRule="auto"/>
        <w:rPr>
          <w:rFonts w:hint="eastAsia" w:ascii="仿宋" w:hAnsi="仿宋" w:eastAsia="仿宋" w:cs="仿宋"/>
          <w:color w:val="auto"/>
          <w:sz w:val="24"/>
          <w:highlight w:val="none"/>
        </w:rPr>
      </w:pPr>
      <w:r/>
      <w:bookmarkStart w:id="70" w:name="EB43d98a67a624490d81135a7e75760740"/>
      <w:r/>
      <w:bookmarkEnd w:id="70"/>
      <w:r/>
      <w:bookmarkStart w:id="71" w:name="EB40123891a88845fa925ab9b19e3b0236"/>
      <w:r/>
      <w:bookmarkEnd w:id="71"/>
      <w:r>
        <w:rPr>
          <w:rFonts w:hint="eastAsia" w:ascii="仿宋" w:hAnsi="仿宋" w:eastAsia="仿宋" w:cs="仿宋"/>
          <w:color w:val="auto"/>
          <w:sz w:val="24"/>
          <w:highlight w:val="none"/>
        </w:rPr>
        <w:t xml:space="preserve">4.1.1招标代理服务费</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需向代理机构缴纳</w:t>
      </w:r>
      <w:r>
        <w:rPr>
          <w:rFonts w:hint="eastAsia" w:ascii="仿宋" w:hAnsi="仿宋" w:eastAsia="仿宋" w:cs="仿宋"/>
          <w:color w:val="auto"/>
          <w:sz w:val="24"/>
          <w:highlight w:val="none"/>
          <w:lang w:val="en-US" w:eastAsia="zh-CN"/>
        </w:rPr>
        <w:t xml:space="preserve">17000</w:t>
      </w:r>
      <w:r>
        <w:rPr>
          <w:rFonts w:hint="eastAsia" w:ascii="仿宋" w:hAnsi="仿宋" w:eastAsia="仿宋" w:cs="仿宋"/>
          <w:color w:val="auto"/>
          <w:sz w:val="24"/>
          <w:highlight w:val="none"/>
        </w:rPr>
        <w:t xml:space="preserve">元</w:t>
      </w:r>
      <w:r>
        <w:rPr>
          <w:rFonts w:hint="eastAsia" w:ascii="仿宋" w:hAnsi="仿宋" w:eastAsia="仿宋" w:cs="仿宋"/>
          <w:color w:val="auto"/>
          <w:sz w:val="24"/>
          <w:highlight w:val="none"/>
          <w:lang w:val="en-US" w:eastAsia="zh-CN"/>
        </w:rPr>
        <w:t xml:space="preserve">代</w:t>
      </w:r>
      <w:r>
        <w:rPr>
          <w:rFonts w:hint="eastAsia" w:ascii="仿宋" w:hAnsi="仿宋" w:eastAsia="仿宋" w:cs="仿宋"/>
          <w:color w:val="auto"/>
          <w:sz w:val="24"/>
          <w:highlight w:val="none"/>
        </w:rPr>
        <w:t xml:space="preserve">理服务费。</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收费标准：按照</w:t>
      </w:r>
      <w:r>
        <w:rPr>
          <w:rFonts w:hint="eastAsia" w:ascii="仿宋" w:hAnsi="仿宋" w:eastAsia="仿宋" w:cs="仿宋"/>
          <w:color w:val="auto"/>
          <w:sz w:val="24"/>
          <w:highlight w:val="none"/>
          <w:lang w:eastAsia="zh-CN"/>
        </w:rPr>
        <w:t xml:space="preserve">《江苏省招标代理服务收费的指导意见》</w:t>
      </w:r>
      <w:r>
        <w:rPr>
          <w:rFonts w:hint="eastAsia" w:ascii="仿宋" w:hAnsi="仿宋" w:eastAsia="仿宋" w:cs="仿宋"/>
          <w:color w:val="auto"/>
          <w:sz w:val="24"/>
          <w:highlight w:val="none"/>
        </w:rPr>
        <w:t xml:space="preserve">文件标准计取下浮</w:t>
      </w:r>
      <w:r>
        <w:rPr>
          <w:rFonts w:hint="eastAsia" w:ascii="仿宋" w:hAnsi="仿宋" w:eastAsia="仿宋" w:cs="仿宋"/>
          <w:color w:val="auto"/>
          <w:sz w:val="24"/>
          <w:highlight w:val="none"/>
          <w:lang w:val="en-US" w:eastAsia="zh-CN"/>
        </w:rPr>
        <w:t xml:space="preserve">50</w:t>
      </w:r>
      <w:r>
        <w:rPr>
          <w:rFonts w:hint="eastAsia" w:ascii="仿宋" w:hAnsi="仿宋" w:eastAsia="仿宋" w:cs="仿宋"/>
          <w:color w:val="auto"/>
          <w:sz w:val="24"/>
          <w:highlight w:val="none"/>
        </w:rPr>
        <w:t xml:space="preserve">%计算。</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磋商代理费用收款信息： </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收款单位：江苏初始建设项目管理有限公司 </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收款账号： </w:t>
      </w:r>
      <w:r>
        <w:rPr>
          <w:rFonts w:hint="eastAsia" w:ascii="仿宋" w:hAnsi="仿宋" w:eastAsia="仿宋" w:cs="仿宋"/>
          <w:color w:val="auto"/>
          <w:sz w:val="24"/>
          <w:highlight w:val="none"/>
          <w:lang w:eastAsia="zh-CN"/>
        </w:rPr>
        <w:t xml:space="preserve">932009010130486528</w:t>
      </w:r>
      <w:r>
        <w:rPr>
          <w:rFonts w:hint="eastAsia" w:ascii="仿宋" w:hAnsi="仿宋" w:eastAsia="仿宋" w:cs="仿宋"/>
          <w:color w:val="auto"/>
          <w:sz w:val="24"/>
          <w:highlight w:val="none"/>
        </w:rPr>
        <w:t xml:space="preserve"> </w:t>
      </w:r>
      <w:r/>
    </w:p>
    <w:p>
      <w:pPr>
        <w:ind w:firstLine="96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eastAsia="zh-CN"/>
        </w:rPr>
        <w:t xml:space="preserve">中国邮政储蓄银行股份有限公司镇江市新区支行</w:t>
      </w:r>
      <w:r/>
    </w:p>
    <w:p>
      <w:pPr>
        <w:spacing w:line="360" w:lineRule="auto"/>
        <w:rPr>
          <w:rFonts w:hint="eastAsia" w:ascii="仿宋" w:hAnsi="仿宋" w:eastAsia="仿宋" w:cs="仿宋"/>
          <w:color w:val="auto"/>
          <w:sz w:val="24"/>
          <w:highlight w:val="none"/>
        </w:rPr>
      </w:pPr>
      <w:r/>
      <w:bookmarkStart w:id="72" w:name="EB1608b4f3843c4d57bbea435940c28320"/>
      <w:r/>
      <w:bookmarkEnd w:id="72"/>
      <w:r/>
      <w:bookmarkStart w:id="73" w:name="EB8633ad3759944644a66e4e2eaeee72a3"/>
      <w:r/>
      <w:bookmarkEnd w:id="73"/>
      <w:r/>
      <w:bookmarkStart w:id="74" w:name="EBec8dff27d11c488cb859d64e4c4c3d0a"/>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4.1.2数字证书费用见</w:t>
      </w:r>
      <w:bookmarkEnd w:id="74"/>
      <w:r>
        <w:rPr>
          <w:rFonts w:hint="eastAsia" w:ascii="仿宋" w:hAnsi="仿宋" w:eastAsia="仿宋" w:cs="仿宋"/>
          <w:color w:val="auto"/>
          <w:sz w:val="24"/>
          <w:highlight w:val="none"/>
        </w:rPr>
        <w:t xml:space="preserve">：</w:t>
      </w:r>
      <w:r/>
    </w:p>
    <w:p>
      <w:pPr>
        <w:ind w:firstLine="72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highlight w:val="none"/>
          <w:u w:val="single"/>
        </w:rPr>
        <w:t xml:space="preserve">http://jsxcmm.com/help/help.html</w:t>
      </w:r>
      <w:r>
        <w:rPr>
          <w:rFonts w:hint="eastAsia" w:ascii="仿宋" w:hAnsi="仿宋" w:eastAsia="仿宋" w:cs="仿宋"/>
          <w:color w:val="auto"/>
          <w:sz w:val="24"/>
          <w:highlight w:val="none"/>
          <w:u w:val="singl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4.2不论磋商的结果如何，磋商组织方在任何情况下均无义务和责任承担上述费用。</w:t>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75" w:name="_Toc73364859"/>
      <w:r/>
      <w:bookmarkStart w:id="76" w:name="_Toc142925625"/>
      <w:r/>
      <w:bookmarkStart w:id="77" w:name="_Toc73365472"/>
      <w:r>
        <w:rPr>
          <w:rFonts w:hint="eastAsia" w:ascii="仿宋" w:hAnsi="仿宋" w:eastAsia="仿宋" w:cs="仿宋"/>
          <w:color w:val="auto"/>
          <w:sz w:val="30"/>
          <w:highlight w:val="none"/>
        </w:rPr>
        <w:t xml:space="preserve">5．政策功能</w:t>
      </w:r>
      <w:bookmarkEnd w:id="75"/>
      <w:r/>
      <w:bookmarkEnd w:id="76"/>
      <w:r/>
      <w:bookmarkEnd w:id="77"/>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bookmarkStart w:id="78" w:name="_Toc142925626"/>
      <w:r/>
      <w:bookmarkStart w:id="79" w:name="_Toc73364860"/>
      <w:r/>
      <w:bookmarkStart w:id="80" w:name="_Toc73365473"/>
      <w:r>
        <w:rPr>
          <w:rFonts w:ascii="仿宋" w:hAnsi="仿宋" w:eastAsia="仿宋" w:cs="华文宋体"/>
          <w:color w:val="auto"/>
          <w:sz w:val="24"/>
          <w:lang w:eastAsia="zh-CN"/>
        </w:rPr>
        <w:t xml:space="preserve">5.1支持中小企业发展</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符合中小企业划分标准的个体工商户，在政府采购活动中视同中小企业。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5.1.2.2在工程采购项目中，工程由中小企业承建，即工程施工单位为中小企业；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5.1.3根据《政府采购促进中小企业发展管理办法》要求，本项目专门面向中小微企业。投标人应按照</w:t>
      </w:r>
      <w:r>
        <w:rPr>
          <w:rFonts w:hint="eastAsia" w:ascii="仿宋" w:hAnsi="仿宋" w:eastAsia="仿宋" w:cs="华文宋体"/>
          <w:color w:val="auto"/>
          <w:sz w:val="24"/>
          <w:lang w:eastAsia="zh-CN"/>
        </w:rPr>
        <w:t xml:space="preserve">采购文件</w:t>
      </w:r>
      <w:r>
        <w:rPr>
          <w:rFonts w:ascii="仿宋" w:hAnsi="仿宋" w:eastAsia="仿宋" w:cs="华文宋体"/>
          <w:color w:val="auto"/>
          <w:sz w:val="24"/>
          <w:lang w:eastAsia="zh-CN"/>
        </w:rPr>
        <w:t xml:space="preserve">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5.2强制采购信息安全产品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5.3支持绿色发展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5.3.2本项目中涉及商品包装和快递包装的，参考《财政部办公厅关于印发</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商品包装政府采购需求标准（试行）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快递包装政府采购需求标准（试行）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的通知》（财办库〔2020〕123号）规定的包装需求标准。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5.4根据国家扶持中小企业的有关政策，采购项目</w:t>
      </w:r>
      <w:r>
        <w:rPr>
          <w:rFonts w:hint="eastAsia" w:ascii="仿宋" w:hAnsi="仿宋" w:eastAsia="仿宋" w:cs="华文宋体"/>
          <w:color w:val="auto"/>
          <w:sz w:val="24"/>
          <w:lang w:eastAsia="zh-CN"/>
        </w:rPr>
        <w:t xml:space="preserve">成交供应商</w:t>
      </w:r>
      <w:r>
        <w:rPr>
          <w:rFonts w:ascii="仿宋" w:hAnsi="仿宋" w:eastAsia="仿宋" w:cs="华文宋体"/>
          <w:color w:val="auto"/>
          <w:sz w:val="24"/>
          <w:lang w:eastAsia="zh-CN"/>
        </w:rPr>
        <w:t xml:space="preserve">在履约过程中如遇到资金困难，凭政府采购合同在相关金融机构办理授信申请，相关事宜请查阅“镇江市公共资源交易</w:t>
      </w:r>
      <w:r>
        <w:rPr>
          <w:rFonts w:hint="eastAsia" w:ascii="仿宋" w:hAnsi="仿宋" w:eastAsia="仿宋" w:cs="华文宋体"/>
          <w:color w:val="auto"/>
          <w:sz w:val="24"/>
          <w:lang w:eastAsia="zh-CN"/>
        </w:rPr>
        <w:t xml:space="preserve">中心</w:t>
      </w:r>
      <w:r>
        <w:rPr>
          <w:rFonts w:ascii="仿宋" w:hAnsi="仿宋" w:eastAsia="仿宋" w:cs="华文宋体"/>
          <w:color w:val="auto"/>
          <w:sz w:val="24"/>
          <w:lang w:eastAsia="zh-CN"/>
        </w:rPr>
        <w:t xml:space="preserve">”网站。</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5.5支持创新发展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5.6平等对待内外资企业和符合条件的破产重整企业</w:t>
      </w:r>
      <w:r/>
    </w:p>
    <w:p>
      <w:pPr>
        <w:ind w:firstLine="478"/>
        <w:jc w:val="both"/>
        <w:spacing w:after="0" w:line="360" w:lineRule="auto"/>
        <w:rPr>
          <w:rFonts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5.6.1平等对待内外资企业和符合条件的破产重整企业，切实保障企业公平竞争，平等维护企业的合法利益。</w:t>
      </w:r>
      <w:r/>
    </w:p>
    <w:p>
      <w:pPr>
        <w:ind w:firstLine="478"/>
        <w:jc w:val="both"/>
        <w:spacing w:after="0" w:line="360" w:lineRule="auto"/>
        <w:rPr>
          <w:rFonts w:hint="eastAsia"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华文宋体"/>
          <w:color w:val="auto"/>
          <w:sz w:val="24"/>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78"/>
        <w:jc w:val="both"/>
        <w:spacing w:after="0" w:line="360" w:lineRule="auto"/>
        <w:rPr>
          <w:rFonts w:hint="eastAsia"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华文宋体"/>
          <w:color w:val="auto"/>
          <w:sz w:val="24"/>
          <w:lang w:eastAsia="zh-CN"/>
        </w:rPr>
        <w:t xml:space="preserve">5.8支持本国产品</w:t>
      </w:r>
      <w:r/>
    </w:p>
    <w:p>
      <w:pPr>
        <w:ind w:firstLine="478"/>
        <w:jc w:val="both"/>
        <w:spacing w:after="0" w:line="360" w:lineRule="auto"/>
        <w:rPr>
          <w:rFonts w:hint="eastAsia"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华文宋体"/>
          <w:color w:val="auto"/>
          <w:sz w:val="24"/>
          <w:lang w:eastAsia="zh-CN"/>
        </w:rPr>
        <w:t xml:space="preserve">5.8.1本国产品标准、本国产品标准的适用范围、对本国产品的支持政策等详见《国务院办公厅关于在政府采购中实施本国产品标准及相关政策的通知》（国办发〔2025〕34号）。</w:t>
      </w:r>
      <w:r/>
    </w:p>
    <w:p>
      <w:pPr>
        <w:ind w:firstLine="478"/>
        <w:jc w:val="both"/>
        <w:spacing w:after="0" w:line="360" w:lineRule="auto"/>
        <w:rPr>
          <w:rFonts w:hint="eastAsia"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华文宋体"/>
          <w:color w:val="auto"/>
          <w:sz w:val="24"/>
          <w:lang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ind w:firstLine="478"/>
        <w:jc w:val="both"/>
        <w:spacing w:after="0" w:line="360" w:lineRule="auto"/>
        <w:rPr>
          <w:rFonts w:hint="eastAsia"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华文宋体"/>
          <w:color w:val="auto"/>
          <w:sz w:val="24"/>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jc w:val="both"/>
        <w:spacing w:after="0" w:line="360" w:lineRule="auto"/>
        <w:rPr>
          <w:rFonts w:hint="eastAsia"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华文宋体"/>
          <w:color w:val="auto"/>
          <w:sz w:val="24"/>
          <w:lang w:eastAsia="zh-CN"/>
        </w:rPr>
      </w:r>
      <w:r/>
    </w:p>
    <w:p>
      <w:pPr>
        <w:pStyle w:val="718"/>
        <w:spacing w:before="0" w:after="0"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二、磋商文件</w:t>
      </w:r>
      <w:bookmarkEnd w:id="78"/>
      <w:r/>
      <w:bookmarkEnd w:id="79"/>
      <w:r/>
      <w:bookmarkEnd w:id="80"/>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81" w:name="_Toc73364861"/>
      <w:r/>
      <w:bookmarkStart w:id="82" w:name="_Toc73365474"/>
      <w:r/>
      <w:bookmarkStart w:id="83" w:name="_Toc142925627"/>
      <w:r>
        <w:rPr>
          <w:rFonts w:hint="eastAsia" w:ascii="仿宋" w:hAnsi="仿宋" w:eastAsia="仿宋" w:cs="仿宋"/>
          <w:color w:val="auto"/>
          <w:sz w:val="30"/>
          <w:highlight w:val="none"/>
        </w:rPr>
        <w:t xml:space="preserve">6．磋商文件组成</w:t>
      </w:r>
      <w:bookmarkEnd w:id="81"/>
      <w:r/>
      <w:bookmarkEnd w:id="82"/>
      <w:r/>
      <w:bookmarkEnd w:id="83"/>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6.1磋商文件包括：</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（1）磋商邀请</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（2）供应商须知</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（5）评审办法和标准</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（6）磋商响应文件（格式）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6.2供应商获取本文件后，应认真阅读本文件中所有的事项、格式条款和规范等要求。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rPr>
          <w:rFonts w:hint="eastAsia" w:ascii="仿宋" w:hAnsi="仿宋" w:eastAsia="仿宋" w:cs="仿宋"/>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仿宋" w:hAnsi="仿宋" w:eastAsia="仿宋" w:cs="仿宋"/>
          <w:b/>
          <w:color w:val="auto"/>
          <w:sz w:val="24"/>
          <w:highlight w:val="none"/>
        </w:rPr>
        <w:t xml:space="preserve">。</w:t>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84" w:name="_Toc142925628"/>
      <w:r/>
      <w:bookmarkStart w:id="85" w:name="_Toc73364862"/>
      <w:r/>
      <w:bookmarkStart w:id="86" w:name="_Toc73365475"/>
      <w:r>
        <w:rPr>
          <w:rFonts w:hint="eastAsia" w:ascii="仿宋" w:hAnsi="仿宋" w:eastAsia="仿宋" w:cs="仿宋"/>
          <w:color w:val="auto"/>
          <w:sz w:val="30"/>
          <w:highlight w:val="none"/>
        </w:rPr>
        <w:t xml:space="preserve">7．磋商文件的澄清和修改</w:t>
      </w:r>
      <w:bookmarkEnd w:id="84"/>
      <w:r/>
      <w:bookmarkEnd w:id="85"/>
      <w:r/>
      <w:bookmarkEnd w:id="8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7.1任何要求对磋商文件进行澄清的供应商，应及时联系项目联系人。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 </w:t>
      </w:r>
      <w:r>
        <w:rPr>
          <w:rFonts w:hint="eastAsia" w:ascii="仿宋" w:hAnsi="仿宋" w:eastAsia="仿宋" w:cs="仿宋"/>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7.3磋商组织方可以对已发出的磋商文件进行必要的澄清或者修改。澄清或者修改将在</w:t>
      </w:r>
      <w:r>
        <w:rPr>
          <w:rFonts w:hint="eastAsia" w:ascii="仿宋" w:hAnsi="仿宋" w:eastAsia="仿宋" w:cs="仿宋"/>
          <w:color w:val="auto"/>
          <w:spacing w:val="1"/>
          <w:sz w:val="24"/>
          <w:highlight w:val="none"/>
        </w:rPr>
        <w:t xml:space="preserve">“江苏政府采购网——苏采云平台</w:t>
      </w:r>
      <w:r>
        <w:rPr>
          <w:rFonts w:hint="eastAsia" w:ascii="仿宋" w:hAnsi="仿宋" w:eastAsia="仿宋" w:cs="仿宋"/>
          <w:color w:val="auto"/>
          <w:sz w:val="24"/>
          <w:highlight w:val="none"/>
        </w:rPr>
        <w:t xml:space="preserve">”网站上发布澄清公告。澄清或者修改的内容为磋商文件的组成部分。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7.5如澄清或修改公告有重新发布电子磋商文件的，供应商应下载最新发布的电子磋商文件制作响应文件。因供应商自身原因未能及时获取的，一切后果由供应商自行承担。</w:t>
      </w:r>
      <w:bookmarkStart w:id="87" w:name="EB6b6863424e2e48afbb4b6eb8be474c89"/>
      <w:r/>
      <w:bookmarkEnd w:id="87"/>
      <w:r/>
      <w:r/>
    </w:p>
    <w:p>
      <w:pPr>
        <w:pStyle w:val="718"/>
        <w:spacing w:before="0" w:after="0" w:line="360" w:lineRule="auto"/>
        <w:rPr>
          <w:rFonts w:hint="eastAsia" w:ascii="仿宋" w:hAnsi="仿宋" w:eastAsia="仿宋" w:cs="仿宋"/>
          <w:color w:val="auto"/>
          <w:sz w:val="32"/>
          <w:highlight w:val="none"/>
        </w:rPr>
      </w:pPr>
      <w:r/>
      <w:bookmarkStart w:id="88" w:name="_Toc73364863"/>
      <w:r/>
      <w:bookmarkStart w:id="89" w:name="_Toc142925629"/>
      <w:r/>
      <w:bookmarkStart w:id="90" w:name="_Toc73365476"/>
      <w:r>
        <w:rPr>
          <w:rFonts w:hint="eastAsia" w:ascii="仿宋" w:hAnsi="仿宋" w:eastAsia="仿宋" w:cs="仿宋"/>
          <w:color w:val="auto"/>
          <w:sz w:val="32"/>
          <w:highlight w:val="none"/>
        </w:rPr>
        <w:t xml:space="preserve">三、磋商响应文件</w:t>
      </w:r>
      <w:bookmarkEnd w:id="88"/>
      <w:r/>
      <w:bookmarkEnd w:id="89"/>
      <w:r/>
      <w:bookmarkEnd w:id="90"/>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91" w:name="_Toc142925630"/>
      <w:r/>
      <w:bookmarkStart w:id="92" w:name="_Toc73364864"/>
      <w:r/>
      <w:bookmarkStart w:id="93" w:name="_Toc73365477"/>
      <w:r>
        <w:rPr>
          <w:rFonts w:hint="eastAsia" w:ascii="仿宋" w:hAnsi="仿宋" w:eastAsia="仿宋" w:cs="仿宋"/>
          <w:color w:val="auto"/>
          <w:sz w:val="30"/>
          <w:highlight w:val="none"/>
        </w:rPr>
        <w:t xml:space="preserve">8．编制响应文件的工具</w:t>
      </w:r>
      <w:bookmarkEnd w:id="91"/>
      <w:r/>
      <w:bookmarkEnd w:id="92"/>
      <w:r/>
      <w:bookmarkEnd w:id="9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8.1供应商须通过“江苏政府采购网-苏采云平台”提供的最新响应文件制作软件编制响应文件。</w:t>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94" w:name="_Toc73365478"/>
      <w:r/>
      <w:bookmarkStart w:id="95" w:name="_Toc73364865"/>
      <w:r/>
      <w:bookmarkStart w:id="96" w:name="_Toc142925631"/>
      <w:r>
        <w:rPr>
          <w:rFonts w:hint="eastAsia" w:ascii="仿宋" w:hAnsi="仿宋" w:eastAsia="仿宋" w:cs="仿宋"/>
          <w:color w:val="auto"/>
          <w:sz w:val="30"/>
          <w:highlight w:val="none"/>
        </w:rPr>
        <w:t xml:space="preserve">9．响应文件语言及度量衡单位</w:t>
      </w:r>
      <w:bookmarkEnd w:id="94"/>
      <w:r/>
      <w:bookmarkEnd w:id="95"/>
      <w:r/>
      <w:bookmarkEnd w:id="9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9.2响应文件中所使用的计量单位除磋商文件中另有特殊规定外，一律使用法定计量单位。</w:t>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97" w:name="_Toc73365479"/>
      <w:r/>
      <w:bookmarkStart w:id="98" w:name="_Toc73364866"/>
      <w:r/>
      <w:bookmarkStart w:id="99" w:name="_Toc142925632"/>
      <w:r>
        <w:rPr>
          <w:rFonts w:hint="eastAsia" w:ascii="仿宋" w:hAnsi="仿宋" w:eastAsia="仿宋" w:cs="仿宋"/>
          <w:color w:val="auto"/>
          <w:sz w:val="30"/>
          <w:highlight w:val="none"/>
        </w:rPr>
        <w:t xml:space="preserve">10．响应文件的构成</w:t>
      </w:r>
      <w:bookmarkEnd w:id="97"/>
      <w:r/>
      <w:bookmarkEnd w:id="98"/>
      <w:r/>
      <w:bookmarkEnd w:id="99"/>
      <w:r/>
      <w:r/>
    </w:p>
    <w:p>
      <w:pPr>
        <w:pStyle w:val="881"/>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10.1响应文件分为资格部分、商务部分和技术部分。</w:t>
      </w:r>
      <w:r/>
    </w:p>
    <w:p>
      <w:pPr>
        <w:pStyle w:val="881"/>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10.2资格部分系指供应商提交的证明其有资格参加磋商的文件。</w:t>
      </w:r>
      <w:r/>
    </w:p>
    <w:p>
      <w:pPr>
        <w:pStyle w:val="881"/>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10.3商务部分系指供应商提交的证明其成交后有能力履行合同的文件。</w:t>
      </w:r>
      <w:r/>
    </w:p>
    <w:p>
      <w:pPr>
        <w:pStyle w:val="881"/>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10.4技术部分系指供应商提交的能够证明其提供的服务（货物）符合磋商文件规定的文件。</w:t>
      </w:r>
      <w:r/>
    </w:p>
    <w:p>
      <w:pPr>
        <w:pStyle w:val="881"/>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10.5具体填写格式详见磋商文件第六部分。</w:t>
      </w:r>
      <w:r/>
    </w:p>
    <w:p>
      <w:pPr>
        <w:pStyle w:val="719"/>
        <w:ind w:firstLine="446"/>
        <w:keepLines w:val="0"/>
        <w:keepNext w:val="0"/>
        <w:spacing w:before="0" w:after="0" w:line="360" w:lineRule="auto"/>
        <w:rPr>
          <w:rFonts w:hint="eastAsia" w:ascii="仿宋" w:hAnsi="仿宋" w:eastAsia="仿宋" w:cs="仿宋"/>
          <w:color w:val="auto"/>
          <w:sz w:val="30"/>
          <w:highlight w:val="none"/>
        </w:rPr>
      </w:pPr>
      <w:r/>
      <w:bookmarkStart w:id="100" w:name="_Toc142925633"/>
      <w:r/>
      <w:bookmarkStart w:id="101" w:name="_Toc73364867"/>
      <w:r/>
      <w:bookmarkStart w:id="102" w:name="_Toc73365480"/>
      <w:r>
        <w:rPr>
          <w:rFonts w:hint="eastAsia" w:ascii="仿宋" w:hAnsi="仿宋" w:eastAsia="仿宋" w:cs="仿宋"/>
          <w:color w:val="auto"/>
          <w:sz w:val="30"/>
          <w:highlight w:val="none"/>
        </w:rPr>
        <w:t xml:space="preserve">11．响应文件的编写</w:t>
      </w:r>
      <w:bookmarkEnd w:id="100"/>
      <w:r/>
      <w:bookmarkEnd w:id="101"/>
      <w:r/>
      <w:bookmarkEnd w:id="102"/>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11.1供应商应仔细阅读磋商文件，按照磋商文件的要求编制响应文件。响应文件应当对磋商文件提出的要求和条件作出明确响应。</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w:t>
      </w:r>
      <w:r>
        <w:rPr>
          <w:rFonts w:hint="eastAsia" w:ascii="仿宋" w:hAnsi="仿宋" w:eastAsia="仿宋" w:cs="仿宋"/>
          <w:b/>
          <w:color w:val="auto"/>
          <w:sz w:val="24"/>
          <w:highlight w:val="none"/>
        </w:rPr>
        <w:t xml:space="preserve">供应商在编制响应文件时，各模块内容须填写或提交到对应位置，无相应内容可填的项应填写“无”、“没有相应指标”等明确的回答文字。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11.3响应文件编排混乱、文字表达不清或上传资料内容模糊所引起的不利后果，由供应商自行承担。</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w:t>
      </w:r>
      <w:r>
        <w:rPr>
          <w:rFonts w:hint="eastAsia" w:ascii="仿宋" w:hAnsi="仿宋" w:eastAsia="仿宋" w:cs="仿宋"/>
          <w:b/>
          <w:color w:val="auto"/>
          <w:sz w:val="24"/>
          <w:highlight w:val="none"/>
        </w:rPr>
        <w:t xml:space="preserve">供应商必须保证响应文件所提供的全部资料合法、真实、可靠。</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03" w:name="_Toc73364868"/>
      <w:r/>
      <w:bookmarkStart w:id="104" w:name="_Toc142925634"/>
      <w:r/>
      <w:bookmarkStart w:id="105" w:name="_Toc73365481"/>
      <w:r>
        <w:rPr>
          <w:rFonts w:hint="eastAsia" w:ascii="仿宋" w:hAnsi="仿宋" w:eastAsia="仿宋" w:cs="仿宋"/>
          <w:color w:val="auto"/>
          <w:sz w:val="30"/>
          <w:highlight w:val="none"/>
        </w:rPr>
        <w:t xml:space="preserve">12．响应报价</w:t>
      </w:r>
      <w:bookmarkEnd w:id="103"/>
      <w:r/>
      <w:bookmarkEnd w:id="104"/>
      <w:r/>
      <w:bookmarkEnd w:id="105"/>
      <w:r/>
      <w:r/>
    </w:p>
    <w:p>
      <w:pPr>
        <w:ind w:firstLine="480"/>
        <w:spacing w:line="360" w:lineRule="auto"/>
        <w:rPr>
          <w:rFonts w:hint="eastAsia" w:ascii="仿宋" w:hAnsi="仿宋" w:eastAsia="仿宋" w:cs="仿宋"/>
          <w:color w:val="auto"/>
          <w:sz w:val="24"/>
          <w:highlight w:val="none"/>
        </w:rPr>
      </w:pPr>
      <w:r/>
      <w:bookmarkStart w:id="106" w:name="EBdf1224c9869e4463a955117a0de4c3b6"/>
      <w:r>
        <w:rPr>
          <w:rFonts w:hint="eastAsia" w:ascii="仿宋" w:hAnsi="仿宋" w:eastAsia="仿宋" w:cs="仿宋"/>
          <w:color w:val="auto"/>
          <w:sz w:val="24"/>
          <w:highlight w:val="none"/>
        </w:rPr>
        <w:t xml:space="preserve">12.1磋商应以人民币报价（保留至小数点后2位，四舍五入）。</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12.2供应商应按磋商文件所提供的各报价表格式报价。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12.3供应商对本项目应报出最具有竞争力的价格，应包括本次磋商要求提供货物(服务)已支付或将支付的所有费用。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12.4供应商应按磋商文件的要求在响应文件里提供磋商首轮报价，并根据首轮报价在所附的首轮明细报价表上列明所提供货物（服务）的明细报价。供应商需根据项目需求及自身经验填写明细报价。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12.5在磋商过程中未对磋商内容作出实质性变更、修改的情况下，如最后报价超过首轮报价，则最后报价无效，以其首轮报价作为最终报价。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12.6最低磋商报价不能作为成交的唯一保证。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12.7磋商最后报价即为合同签约价。</w:t>
      </w:r>
      <w:bookmarkEnd w:id="106"/>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07" w:name="_Toc73364869"/>
      <w:r/>
      <w:bookmarkStart w:id="108" w:name="_Toc142925635"/>
      <w:r/>
      <w:bookmarkStart w:id="109" w:name="_Toc73365482"/>
      <w:r>
        <w:rPr>
          <w:rFonts w:hint="eastAsia" w:ascii="仿宋" w:hAnsi="仿宋" w:eastAsia="仿宋" w:cs="仿宋"/>
          <w:color w:val="auto"/>
          <w:sz w:val="30"/>
          <w:highlight w:val="none"/>
        </w:rPr>
        <w:t xml:space="preserve">13．磋商保证金</w:t>
      </w:r>
      <w:bookmarkEnd w:id="107"/>
      <w:r/>
      <w:bookmarkEnd w:id="108"/>
      <w:r/>
      <w:bookmarkEnd w:id="109"/>
      <w:r/>
      <w:r/>
    </w:p>
    <w:p>
      <w:pPr>
        <w:ind w:firstLine="480"/>
        <w:spacing w:line="360" w:lineRule="auto"/>
        <w:rPr>
          <w:rFonts w:hint="eastAsia" w:ascii="仿宋" w:hAnsi="仿宋" w:eastAsia="仿宋" w:cs="仿宋"/>
          <w:color w:val="auto"/>
          <w:sz w:val="24"/>
          <w:highlight w:val="none"/>
        </w:rPr>
      </w:pPr>
      <w:r/>
      <w:bookmarkStart w:id="110" w:name="EBffce9a1083124a32b81da965a376b38b"/>
      <w:r>
        <w:rPr>
          <w:rFonts w:hint="eastAsia" w:ascii="仿宋" w:hAnsi="仿宋" w:eastAsia="仿宋" w:cs="仿宋"/>
          <w:color w:val="auto"/>
          <w:sz w:val="24"/>
          <w:highlight w:val="none"/>
        </w:rPr>
        <w:t xml:space="preserve">13.1本项目不收磋商保证金。</w:t>
      </w:r>
      <w:bookmarkEnd w:id="110"/>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1" w:name="_Toc73365483"/>
      <w:r/>
      <w:bookmarkStart w:id="112" w:name="_Toc73364870"/>
      <w:r/>
      <w:bookmarkStart w:id="113" w:name="_Toc142925636"/>
      <w:r>
        <w:rPr>
          <w:rFonts w:hint="eastAsia" w:ascii="仿宋" w:hAnsi="仿宋" w:eastAsia="仿宋" w:cs="仿宋"/>
          <w:color w:val="auto"/>
          <w:sz w:val="30"/>
          <w:highlight w:val="none"/>
        </w:rPr>
        <w:t xml:space="preserve">14．磋商响应有效期</w:t>
      </w:r>
      <w:bookmarkEnd w:id="111"/>
      <w:r/>
      <w:bookmarkEnd w:id="112"/>
      <w:r/>
      <w:bookmarkEnd w:id="11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14.1磋商有效期为：磋商响应文件自磋商之日起</w:t>
      </w:r>
      <w:bookmarkStart w:id="114" w:name="EBe5331d116298431aa240d61d189e1ecb"/>
      <w:r>
        <w:rPr>
          <w:rFonts w:hint="eastAsia" w:ascii="仿宋" w:hAnsi="仿宋" w:eastAsia="仿宋" w:cs="仿宋"/>
          <w:color w:val="auto"/>
          <w:sz w:val="24"/>
          <w:highlight w:val="none"/>
          <w:lang w:val="en-US" w:eastAsia="zh-CN"/>
        </w:rPr>
        <w:t xml:space="preserve">90</w:t>
      </w:r>
      <w:r>
        <w:rPr>
          <w:rFonts w:hint="eastAsia" w:ascii="仿宋" w:hAnsi="仿宋" w:eastAsia="仿宋" w:cs="仿宋"/>
          <w:color w:val="auto"/>
          <w:sz w:val="24"/>
          <w:highlight w:val="none"/>
        </w:rPr>
        <w:t xml:space="preserve">天</w:t>
      </w:r>
      <w:bookmarkEnd w:id="114"/>
      <w:r>
        <w:rPr>
          <w:rFonts w:hint="eastAsia" w:ascii="仿宋" w:hAnsi="仿宋" w:eastAsia="仿宋" w:cs="仿宋"/>
          <w:color w:val="auto"/>
          <w:sz w:val="24"/>
          <w:highlight w:val="none"/>
        </w:rPr>
        <w:t xml:space="preserve">内有效。供应商一旦领取了本磋商文件并参加磋商，即被认为接受了磋商有效期的约定。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5" w:name="_Toc73365484"/>
      <w:r/>
      <w:bookmarkStart w:id="116" w:name="_Toc142925637"/>
      <w:r/>
      <w:bookmarkStart w:id="117" w:name="_Toc73364871"/>
      <w:r>
        <w:rPr>
          <w:rFonts w:hint="eastAsia" w:ascii="仿宋" w:hAnsi="仿宋" w:eastAsia="仿宋" w:cs="仿宋"/>
          <w:color w:val="auto"/>
          <w:sz w:val="30"/>
          <w:highlight w:val="none"/>
        </w:rPr>
        <w:t xml:space="preserve">15. 响应文件的式样和签署</w:t>
      </w:r>
      <w:bookmarkEnd w:id="115"/>
      <w:r/>
      <w:bookmarkEnd w:id="116"/>
      <w:r/>
      <w:bookmarkEnd w:id="117"/>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15.1供应商应通过响应文件制作软件使用数字认证证书对响应文件进行合成、电子签章及加密打包。</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8" w:name="_Toc73365485"/>
      <w:r/>
      <w:bookmarkStart w:id="119" w:name="_Toc73364872"/>
      <w:r/>
      <w:bookmarkStart w:id="120" w:name="_Toc142925638"/>
      <w:r>
        <w:rPr>
          <w:rFonts w:hint="eastAsia" w:ascii="仿宋" w:hAnsi="仿宋" w:eastAsia="仿宋" w:cs="仿宋"/>
          <w:color w:val="auto"/>
          <w:sz w:val="30"/>
          <w:highlight w:val="none"/>
        </w:rPr>
        <w:t xml:space="preserve">16．响应文件的提交</w:t>
      </w:r>
      <w:bookmarkEnd w:id="118"/>
      <w:r/>
      <w:bookmarkEnd w:id="119"/>
      <w:r/>
      <w:bookmarkEnd w:id="120"/>
      <w:r/>
      <w:r/>
    </w:p>
    <w:p>
      <w:pPr>
        <w:ind w:left="1"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16.1响应文件提交</w:t>
      </w:r>
      <w:r/>
    </w:p>
    <w:p>
      <w:pPr>
        <w:ind w:left="1"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仿宋" w:hAnsi="仿宋" w:eastAsia="仿宋" w:cs="仿宋"/>
          <w:b/>
          <w:color w:val="auto"/>
          <w:sz w:val="24"/>
          <w:highlight w:val="none"/>
          <w:u w:val="single"/>
        </w:rPr>
        <w:t xml:space="preserve">时间以电子交易平台时间为准。</w:t>
      </w:r>
      <w:r/>
    </w:p>
    <w:p>
      <w:pPr>
        <w:ind w:left="1"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16.1.2</w:t>
      </w:r>
      <w:r>
        <w:rPr>
          <w:rFonts w:hint="eastAsia" w:ascii="仿宋" w:hAnsi="仿宋" w:eastAsia="仿宋" w:cs="仿宋"/>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16.1.3</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供应商</w:t>
      </w:r>
      <w:r>
        <w:rPr>
          <w:rFonts w:hint="eastAsia" w:ascii="仿宋" w:hAnsi="仿宋" w:eastAsia="仿宋" w:cs="仿宋"/>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16.1.4因不可抗力事件造成的响应文件的损坏、丢失的，磋商组织方不承担责任。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磋商组织方可以通过修改磋商文件自行酌情延长截止时间，在此情况下，推迟提交截止时间将以书面形式通知已获取磋商文件的潜在供应商，并在“江苏政府采购网-苏采云平台</w:t>
      </w:r>
      <w:r>
        <w:rPr>
          <w:rFonts w:hint="eastAsia" w:ascii="仿宋" w:hAnsi="仿宋" w:eastAsia="仿宋" w:cs="仿宋"/>
          <w:color w:val="auto"/>
          <w:spacing w:val="-1"/>
          <w:sz w:val="24"/>
          <w:highlight w:val="none"/>
        </w:rPr>
        <w:t xml:space="preserve">”</w:t>
      </w:r>
      <w:r>
        <w:rPr>
          <w:rFonts w:hint="eastAsia" w:ascii="仿宋" w:hAnsi="仿宋" w:eastAsia="仿宋" w:cs="仿宋"/>
          <w:color w:val="auto"/>
          <w:sz w:val="24"/>
          <w:highlight w:val="none"/>
        </w:rPr>
        <w:t xml:space="preserve">上发布公告。供应商应及时自行登录系统查看相应内容。</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21" w:name="_Toc73365486"/>
      <w:r/>
      <w:bookmarkStart w:id="122" w:name="_Toc73364873"/>
      <w:r/>
      <w:bookmarkStart w:id="123" w:name="_Toc142925639"/>
      <w:r>
        <w:rPr>
          <w:rFonts w:hint="eastAsia" w:ascii="仿宋" w:hAnsi="仿宋" w:eastAsia="仿宋" w:cs="仿宋"/>
          <w:color w:val="auto"/>
          <w:sz w:val="30"/>
          <w:highlight w:val="none"/>
        </w:rPr>
        <w:t xml:space="preserve">17．响应文件的补充、修改或者撤回</w:t>
      </w:r>
      <w:bookmarkEnd w:id="121"/>
      <w:r/>
      <w:bookmarkEnd w:id="122"/>
      <w:r/>
      <w:bookmarkEnd w:id="12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17.1在提交截止时间前，供应商可以对所提交的电子响应文件进行撤回。</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17.3在提交截止时间之后，供应商不得对其响应文件作任何修改或撤回。</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17.4在提交截止时间至磋商文件中规定的磋商有效期满之间，供应商不得撤回其响应。</w:t>
      </w:r>
      <w:bookmarkStart w:id="124" w:name="EBaa19a55568844d1d8b24a2a9d2d44487"/>
      <w:r/>
      <w:bookmarkEnd w:id="124"/>
      <w:r/>
      <w:r/>
    </w:p>
    <w:p>
      <w:pPr>
        <w:pStyle w:val="718"/>
        <w:jc w:val="center"/>
        <w:spacing w:before="0" w:after="0" w:line="360" w:lineRule="auto"/>
        <w:rPr>
          <w:rFonts w:hint="eastAsia" w:ascii="仿宋" w:hAnsi="仿宋" w:eastAsia="仿宋" w:cs="仿宋"/>
          <w:color w:val="auto"/>
          <w:sz w:val="32"/>
          <w:highlight w:val="none"/>
        </w:rPr>
      </w:pPr>
      <w:r/>
      <w:bookmarkStart w:id="125" w:name="_Toc142925640"/>
      <w:r/>
      <w:bookmarkStart w:id="126" w:name="_Toc73365487"/>
      <w:r/>
      <w:bookmarkStart w:id="127" w:name="_Toc73364874"/>
      <w:r>
        <w:rPr>
          <w:rFonts w:hint="eastAsia" w:ascii="仿宋" w:hAnsi="仿宋" w:eastAsia="仿宋" w:cs="仿宋"/>
          <w:color w:val="auto"/>
          <w:sz w:val="32"/>
          <w:highlight w:val="none"/>
        </w:rPr>
        <w:t xml:space="preserve">四、磋商与评审</w:t>
      </w:r>
      <w:bookmarkEnd w:id="125"/>
      <w:r/>
      <w:bookmarkEnd w:id="126"/>
      <w:r/>
      <w:bookmarkEnd w:id="127"/>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28" w:name="_Toc73365488"/>
      <w:r/>
      <w:bookmarkStart w:id="129" w:name="_Toc73364875"/>
      <w:r/>
      <w:bookmarkStart w:id="130" w:name="_Toc142925641"/>
      <w:r>
        <w:rPr>
          <w:rFonts w:hint="eastAsia" w:ascii="仿宋" w:hAnsi="仿宋" w:eastAsia="仿宋" w:cs="仿宋"/>
          <w:color w:val="auto"/>
          <w:sz w:val="30"/>
          <w:highlight w:val="none"/>
        </w:rPr>
        <w:t xml:space="preserve">18．磋商</w:t>
      </w:r>
      <w:bookmarkEnd w:id="128"/>
      <w:r/>
      <w:bookmarkEnd w:id="129"/>
      <w:r/>
      <w:bookmarkEnd w:id="130"/>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18.1供应商应当在磋商前做好充分准备，携带CA数字证书准时参加磋商。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w:t>
      </w:r>
      <w:r>
        <w:rPr>
          <w:rFonts w:hint="eastAsia" w:ascii="仿宋" w:hAnsi="仿宋" w:eastAsia="仿宋" w:cs="仿宋"/>
          <w:b/>
          <w:color w:val="auto"/>
          <w:sz w:val="24"/>
          <w:highlight w:val="none"/>
        </w:rPr>
        <w:t xml:space="preserve">供应商不足3家，不进入解密程序。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w:t>
      </w:r>
      <w:r>
        <w:rPr>
          <w:rFonts w:hint="eastAsia" w:ascii="仿宋" w:hAnsi="仿宋" w:eastAsia="仿宋" w:cs="仿宋"/>
          <w:b/>
          <w:color w:val="auto"/>
          <w:sz w:val="24"/>
          <w:highlight w:val="none"/>
        </w:rPr>
        <w:t xml:space="preserve">磋商时，磋商组织方将在系统内公布供应商名单，发出解密的指令，供应商自行实施解密，限定在主持人发布解密指令后</w:t>
      </w:r>
      <w:bookmarkStart w:id="131" w:name="EBaf33e81756a940b58c69ffadb3ca2432"/>
      <w:r>
        <w:rPr>
          <w:rFonts w:hint="eastAsia" w:ascii="仿宋" w:hAnsi="仿宋" w:eastAsia="仿宋" w:cs="仿宋"/>
          <w:b/>
          <w:color w:val="auto"/>
          <w:sz w:val="24"/>
          <w:highlight w:val="none"/>
        </w:rPr>
        <w:t xml:space="preserve">30分钟</w:t>
      </w:r>
      <w:bookmarkEnd w:id="131"/>
      <w:r>
        <w:rPr>
          <w:rFonts w:hint="eastAsia" w:ascii="仿宋" w:hAnsi="仿宋" w:eastAsia="仿宋" w:cs="仿宋"/>
          <w:b/>
          <w:color w:val="auto"/>
          <w:sz w:val="24"/>
          <w:highlight w:val="none"/>
        </w:rPr>
        <w:t xml:space="preserve">内完成。解密时，供应商必须使用与制作响应文件时同一数字认证证书对响应文件进行解密，否则解密将会失败。</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18.4</w:t>
      </w:r>
      <w:r>
        <w:rPr>
          <w:rFonts w:hint="eastAsia" w:ascii="仿宋" w:hAnsi="仿宋" w:eastAsia="仿宋" w:cs="仿宋"/>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仿宋" w:hAnsi="仿宋" w:eastAsia="仿宋" w:cs="仿宋"/>
          <w:b/>
          <w:color w:val="auto"/>
          <w:sz w:val="24"/>
          <w:highlight w:val="none"/>
        </w:rPr>
        <w:t xml:space="preserve">若解密成功的供应商不足三家，不进入后续程序。</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18.5本项目在限定的解密时间内，只要有任一家供应商解密成功，即视为电子交易平台运行无故障。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18.6供应商须配合磋商工作，否则自行承担后果。</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2" w:name="_Toc142925642"/>
      <w:r/>
      <w:bookmarkStart w:id="133" w:name="_Toc73365489"/>
      <w:r/>
      <w:bookmarkStart w:id="134" w:name="_Toc73364876"/>
      <w:r>
        <w:rPr>
          <w:rFonts w:hint="eastAsia" w:ascii="仿宋" w:hAnsi="仿宋" w:eastAsia="仿宋" w:cs="仿宋"/>
          <w:color w:val="auto"/>
          <w:sz w:val="30"/>
          <w:highlight w:val="none"/>
        </w:rPr>
        <w:t xml:space="preserve">19．磋商小组组成</w:t>
      </w:r>
      <w:bookmarkEnd w:id="132"/>
      <w:r/>
      <w:bookmarkEnd w:id="133"/>
      <w:r/>
      <w:bookmarkEnd w:id="13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19.1磋商小组将由采购人代表和评审专家组成，成员人数为3人或3人以上单数。</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5" w:name="_Toc73364877"/>
      <w:r/>
      <w:bookmarkStart w:id="136" w:name="_Toc73365490"/>
      <w:r/>
      <w:bookmarkStart w:id="137" w:name="_Toc142925643"/>
      <w:r>
        <w:rPr>
          <w:rFonts w:hint="eastAsia" w:ascii="仿宋" w:hAnsi="仿宋" w:eastAsia="仿宋" w:cs="仿宋"/>
          <w:color w:val="auto"/>
          <w:sz w:val="30"/>
          <w:highlight w:val="none"/>
        </w:rPr>
        <w:t xml:space="preserve">20．无效磋商的情形</w:t>
      </w:r>
      <w:bookmarkEnd w:id="135"/>
      <w:r/>
      <w:bookmarkEnd w:id="136"/>
      <w:r/>
      <w:bookmarkEnd w:id="137"/>
      <w:r/>
      <w:r/>
    </w:p>
    <w:p>
      <w:pPr>
        <w:ind w:left="1"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供应商存在下列情况之一的，其磋商无效：</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（1）响应文件未按磋商文件要求签署、盖章的；</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（2）不具备磋商文件中规定的资格要求的；</w:t>
      </w:r>
      <w:r/>
    </w:p>
    <w:p>
      <w:pPr>
        <w:ind w:left="1"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（4）响应文件含有采购人不能接受的附加条件的;</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（5）不符合法律、法规和磋商文件规定的其它实质性条款（须经磋商小组半数以上同意）：</w:t>
      </w:r>
      <w:r/>
    </w:p>
    <w:p>
      <w:pPr>
        <w:spacing w:line="360" w:lineRule="auto"/>
        <w:rPr>
          <w:rFonts w:hint="eastAsia" w:ascii="仿宋" w:hAnsi="仿宋" w:eastAsia="仿宋" w:cs="仿宋"/>
          <w:color w:val="auto"/>
          <w:sz w:val="24"/>
          <w:highlight w:val="none"/>
        </w:rPr>
      </w:pPr>
      <w:r/>
      <w:bookmarkStart w:id="138" w:name="EB1a6133a9061749489c10f63f90f17fb6"/>
      <w:r>
        <w:rPr>
          <w:rFonts w:hint="eastAsia" w:ascii="仿宋" w:hAnsi="仿宋" w:eastAsia="仿宋" w:cs="仿宋"/>
          <w:color w:val="auto"/>
          <w:sz w:val="24"/>
          <w:highlight w:val="none"/>
        </w:rPr>
        <w:t xml:space="preserve">不同供应商的单位负责人为同一人或者存在直接控股、管理关系的；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信用中国”网站（www.creditchina.gov.cn）、中国政府采购网（www.ccgp.gov.cn）、“信用江苏”网站（http://www.jscredit.gov.cn）查询结果为失信被执行人名单、重大税收违法案件当事人名单、政府采购严重违法失信行为名单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报价明显低于其他通过符合性审查供应商的报价，供应商不能证明其报价合理性的；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响应文件中提供了虚假或失实资料的；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不同供应商的响应文件出现了磋商小组认为不应当雷同的；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供应商存在串通磋商情形的；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未在提交截止时间前提交有效加密文件的；由于供应商原因，未在规定时间内对响应文件进行有效解密的；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服务</w:t>
      </w:r>
      <w:r>
        <w:rPr>
          <w:rFonts w:hint="eastAsia" w:ascii="仿宋" w:hAnsi="仿宋" w:eastAsia="仿宋" w:cs="仿宋"/>
          <w:color w:val="auto"/>
          <w:sz w:val="24"/>
          <w:highlight w:val="none"/>
        </w:rPr>
        <w:t xml:space="preserve">期有负偏离的；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参数部分负偏离程度过大或过多，经评委会认定影响采购人实际使用的；</w:t>
      </w:r>
      <w:bookmarkEnd w:id="138"/>
      <w:r/>
      <w:r/>
    </w:p>
    <w:p>
      <w:pPr>
        <w:ind w:left="47" w:right="87" w:firstLine="489"/>
        <w:jc w:val="left"/>
        <w:spacing w:line="360" w:lineRule="auto"/>
        <w:rPr>
          <w:rFonts w:hint="eastAsia"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highlight w:val="none"/>
          <w:lang w:val="zh-CN"/>
        </w:rPr>
        <w:t xml:space="preserve">如是联合体，未提供有效联合体协议的。</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9" w:name="_Toc73365491"/>
      <w:r/>
      <w:bookmarkStart w:id="140" w:name="_Toc142925644"/>
      <w:r/>
      <w:bookmarkStart w:id="141" w:name="_Toc73364878"/>
      <w:r>
        <w:rPr>
          <w:rFonts w:hint="eastAsia" w:ascii="仿宋" w:hAnsi="仿宋" w:eastAsia="仿宋" w:cs="仿宋"/>
          <w:color w:val="auto"/>
          <w:sz w:val="30"/>
          <w:highlight w:val="none"/>
        </w:rPr>
        <w:t xml:space="preserve">21．串通磋商的情形</w:t>
      </w:r>
      <w:bookmarkEnd w:id="139"/>
      <w:r/>
      <w:bookmarkEnd w:id="140"/>
      <w:r/>
      <w:bookmarkEnd w:id="141"/>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有下列情形之一的，视为供应商串通磋商，磋商无效：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（1）不同供应商的响应文件由同一单位或者个人编制；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（2）不同供应商委托同一单位或者个人办理磋商事宜；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（3）不同供应商的响应文件载明的项目管理成员或者联系人员为同一人；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（4）不同供应商的响应文件异常一致或者磋商报价呈规律性差异；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（5）不同供应商的响应文件相互混用。</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42" w:name="_Toc73365492"/>
      <w:r/>
      <w:bookmarkStart w:id="143" w:name="_Toc73364879"/>
      <w:r/>
      <w:bookmarkStart w:id="144" w:name="_Toc142925645"/>
      <w:r>
        <w:rPr>
          <w:rFonts w:hint="eastAsia" w:ascii="仿宋" w:hAnsi="仿宋" w:eastAsia="仿宋" w:cs="仿宋"/>
          <w:color w:val="auto"/>
          <w:sz w:val="30"/>
          <w:highlight w:val="none"/>
        </w:rPr>
        <w:t xml:space="preserve">22．响应文件的澄清</w:t>
      </w:r>
      <w:bookmarkEnd w:id="142"/>
      <w:r/>
      <w:bookmarkEnd w:id="143"/>
      <w:r/>
      <w:bookmarkEnd w:id="144"/>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bookmarkStart w:id="145" w:name="EBf85a74306ad848b688c4855eedfe1953"/>
      <w:r/>
      <w:bookmarkEnd w:id="145"/>
      <w:r/>
      <w:bookmarkStart w:id="146" w:name="EB94a3a32d7227475d8336c257a67dafff"/>
      <w:r/>
      <w:bookmarkEnd w:id="146"/>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47" w:name="_Toc73364880"/>
      <w:r/>
      <w:bookmarkStart w:id="148" w:name="_Toc73365493"/>
      <w:r/>
      <w:bookmarkStart w:id="149" w:name="_Toc142925646"/>
      <w:r>
        <w:rPr>
          <w:rFonts w:hint="eastAsia" w:ascii="仿宋" w:hAnsi="仿宋" w:eastAsia="仿宋" w:cs="仿宋"/>
          <w:color w:val="auto"/>
          <w:sz w:val="30"/>
          <w:highlight w:val="none"/>
        </w:rPr>
        <w:t xml:space="preserve">23．磋商内容</w:t>
      </w:r>
      <w:bookmarkEnd w:id="147"/>
      <w:r/>
      <w:bookmarkEnd w:id="148"/>
      <w:r/>
      <w:bookmarkEnd w:id="14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23.1磋商小组与符合条件的供应商就磋商文件中的技术、服务要求及合同草案条款等进行磋商。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50" w:name="_Toc73364881"/>
      <w:r/>
      <w:bookmarkStart w:id="151" w:name="_Toc142925647"/>
      <w:r/>
      <w:bookmarkStart w:id="152" w:name="_Toc73365494"/>
      <w:r>
        <w:rPr>
          <w:rFonts w:hint="eastAsia" w:ascii="仿宋" w:hAnsi="仿宋" w:eastAsia="仿宋" w:cs="仿宋"/>
          <w:color w:val="auto"/>
          <w:sz w:val="30"/>
          <w:highlight w:val="none"/>
        </w:rPr>
        <w:t xml:space="preserve">24．最后报价的提交</w:t>
      </w:r>
      <w:bookmarkEnd w:id="150"/>
      <w:r/>
      <w:bookmarkEnd w:id="151"/>
      <w:r/>
      <w:bookmarkEnd w:id="15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53" w:name="_Toc73365495"/>
      <w:r/>
      <w:bookmarkStart w:id="154" w:name="_Toc73364882"/>
      <w:r/>
      <w:bookmarkStart w:id="155" w:name="_Toc142925648"/>
      <w:r>
        <w:rPr>
          <w:rFonts w:hint="eastAsia" w:ascii="仿宋" w:hAnsi="仿宋" w:eastAsia="仿宋" w:cs="仿宋"/>
          <w:color w:val="auto"/>
          <w:sz w:val="30"/>
          <w:highlight w:val="none"/>
        </w:rPr>
        <w:t xml:space="preserve">25．竞争性磋商特殊情况处理</w:t>
      </w:r>
      <w:bookmarkEnd w:id="153"/>
      <w:r/>
      <w:bookmarkEnd w:id="154"/>
      <w:r/>
      <w:bookmarkEnd w:id="155"/>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25.1出现下列情形之一的，应当终止竞争性磋商采购活动，发布项目终止公告并说明原因，重新开展采购活动：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（1）因情况变化，不再符合规定的竞争性磋商采购方式适用情形的；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25.3因重大变故，采购任务取消的则该磋商活动取消，采购人应当将取消理由通知所有供应商。</w:t>
      </w:r>
      <w:bookmarkStart w:id="156" w:name="EB21b156bb45c342aeb17b81524d625120"/>
      <w:r/>
      <w:bookmarkEnd w:id="156"/>
      <w:r/>
      <w:bookmarkStart w:id="157" w:name="EB553c4f8e1a914e43a9cd4511ce1948ff"/>
      <w:r/>
      <w:bookmarkEnd w:id="157"/>
      <w:r/>
      <w:r/>
    </w:p>
    <w:p>
      <w:pPr>
        <w:pStyle w:val="718"/>
        <w:spacing w:before="0" w:after="0" w:line="360" w:lineRule="auto"/>
        <w:rPr>
          <w:rFonts w:hint="eastAsia" w:ascii="仿宋" w:hAnsi="仿宋" w:eastAsia="仿宋" w:cs="仿宋"/>
          <w:color w:val="auto"/>
          <w:sz w:val="32"/>
          <w:highlight w:val="none"/>
        </w:rPr>
      </w:pPr>
      <w:r/>
      <w:bookmarkStart w:id="158" w:name="_Toc73365496"/>
      <w:r/>
      <w:bookmarkStart w:id="159" w:name="_Toc142925649"/>
      <w:r/>
      <w:bookmarkStart w:id="160" w:name="_Toc73364883"/>
      <w:r>
        <w:rPr>
          <w:rFonts w:hint="eastAsia" w:ascii="仿宋" w:hAnsi="仿宋" w:eastAsia="仿宋" w:cs="仿宋"/>
          <w:color w:val="auto"/>
          <w:sz w:val="32"/>
          <w:highlight w:val="none"/>
        </w:rPr>
        <w:t xml:space="preserve">五、确定成交结果</w:t>
      </w:r>
      <w:bookmarkEnd w:id="158"/>
      <w:r/>
      <w:bookmarkEnd w:id="159"/>
      <w:r/>
      <w:bookmarkEnd w:id="160"/>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61" w:name="_Toc73365497"/>
      <w:r/>
      <w:bookmarkStart w:id="162" w:name="_Toc142925650"/>
      <w:r/>
      <w:bookmarkStart w:id="163" w:name="_Toc73364884"/>
      <w:r>
        <w:rPr>
          <w:rFonts w:hint="eastAsia" w:ascii="仿宋" w:hAnsi="仿宋" w:eastAsia="仿宋" w:cs="仿宋"/>
          <w:color w:val="auto"/>
          <w:sz w:val="30"/>
          <w:highlight w:val="none"/>
        </w:rPr>
        <w:t xml:space="preserve">26．确定成交供应商</w:t>
      </w:r>
      <w:bookmarkEnd w:id="161"/>
      <w:r/>
      <w:bookmarkEnd w:id="162"/>
      <w:r/>
      <w:bookmarkEnd w:id="163"/>
      <w:r/>
      <w:r/>
    </w:p>
    <w:p>
      <w:pPr>
        <w:ind w:firstLine="480"/>
        <w:spacing w:line="360" w:lineRule="auto"/>
        <w:rPr>
          <w:rFonts w:hint="eastAsia" w:ascii="仿宋" w:hAnsi="仿宋" w:eastAsia="仿宋" w:cs="仿宋"/>
          <w:color w:val="auto"/>
          <w:sz w:val="24"/>
          <w:highlight w:val="none"/>
        </w:rPr>
      </w:pPr>
      <w:r/>
      <w:bookmarkStart w:id="164" w:name="EB3fe0db93f0354614add263878fac6db4"/>
      <w:r>
        <w:rPr>
          <w:rFonts w:hint="eastAsia" w:ascii="仿宋" w:hAnsi="仿宋" w:eastAsia="仿宋" w:cs="仿宋"/>
          <w:color w:val="auto"/>
          <w:sz w:val="24"/>
          <w:highlight w:val="none"/>
        </w:rPr>
        <w:t xml:space="preserve">26.1磋商组织方应当在评审结束后2个工作日内将评审报告送采购人确认。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采购人应当自收到评审报告之日起5个工作日内，从评审报告提出的成交候选供应商中，按照排序由高到低的原则确定成交供应商，也可以授权磋商小组直接确定成交供应商。采购人逾期未确定成交供应商且不提出异议的，视为确定评审报告提出的排序第一的供应商为成交供应商。</w:t>
      </w:r>
      <w:bookmarkEnd w:id="164"/>
      <w:r/>
      <w:bookmarkStart w:id="165" w:name="EBb036ac1cc01a455e83e17a6d3673e537"/>
      <w:r/>
      <w:bookmarkEnd w:id="165"/>
      <w:r/>
      <w:bookmarkStart w:id="166" w:name="EBcfb54ffd7eac4226b2539161505dc658"/>
      <w:r/>
      <w:bookmarkEnd w:id="166"/>
      <w:r/>
      <w:bookmarkStart w:id="167" w:name="EB8729e2fc7e9a469e9619e89c5e7d29ec"/>
      <w:r/>
      <w:bookmarkEnd w:id="167"/>
      <w:r/>
      <w:r/>
    </w:p>
    <w:p>
      <w:pPr>
        <w:pStyle w:val="718"/>
        <w:spacing w:before="0" w:after="0" w:line="360" w:lineRule="auto"/>
        <w:rPr>
          <w:rFonts w:hint="eastAsia" w:ascii="仿宋" w:hAnsi="仿宋" w:eastAsia="仿宋" w:cs="仿宋"/>
          <w:color w:val="auto"/>
          <w:sz w:val="32"/>
          <w:highlight w:val="none"/>
        </w:rPr>
      </w:pPr>
      <w:r/>
      <w:bookmarkStart w:id="168" w:name="_Toc73365498"/>
      <w:r/>
      <w:bookmarkStart w:id="169" w:name="_Toc73364885"/>
      <w:r/>
      <w:bookmarkStart w:id="170" w:name="_Toc142925651"/>
      <w:r>
        <w:rPr>
          <w:rFonts w:hint="eastAsia" w:ascii="仿宋" w:hAnsi="仿宋" w:eastAsia="仿宋" w:cs="仿宋"/>
          <w:color w:val="auto"/>
          <w:sz w:val="32"/>
          <w:highlight w:val="none"/>
        </w:rPr>
        <w:t xml:space="preserve">六、授予合同</w:t>
      </w:r>
      <w:bookmarkEnd w:id="168"/>
      <w:r/>
      <w:bookmarkEnd w:id="169"/>
      <w:r/>
      <w:bookmarkEnd w:id="170"/>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1" w:name="_Toc73364886"/>
      <w:r/>
      <w:bookmarkStart w:id="172" w:name="_Toc73365499"/>
      <w:r/>
      <w:bookmarkStart w:id="173" w:name="_Toc142925652"/>
      <w:r>
        <w:rPr>
          <w:rFonts w:hint="eastAsia" w:ascii="仿宋" w:hAnsi="仿宋" w:eastAsia="仿宋" w:cs="仿宋"/>
          <w:color w:val="auto"/>
          <w:sz w:val="30"/>
          <w:highlight w:val="none"/>
        </w:rPr>
        <w:t xml:space="preserve">27．磋商组织方接受和拒绝任何或所有响应的权利</w:t>
      </w:r>
      <w:bookmarkEnd w:id="171"/>
      <w:r/>
      <w:bookmarkEnd w:id="172"/>
      <w:r/>
      <w:bookmarkEnd w:id="17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27.1为维护国家和社会公共利益，磋商组织方保留在授标之前任何时候接受或拒绝任何供应商成交的权利，且对受影响的供应商不承担任何责任。</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27.2因不可抗力或成交供应商不能履约等情形，磋商组织方保留与其他候选供应商签订合同的权利。</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4" w:name="_Toc73365500"/>
      <w:r/>
      <w:bookmarkStart w:id="175" w:name="_Toc142925653"/>
      <w:r/>
      <w:bookmarkStart w:id="176" w:name="_Toc73364887"/>
      <w:r>
        <w:rPr>
          <w:rFonts w:hint="eastAsia" w:ascii="仿宋" w:hAnsi="仿宋" w:eastAsia="仿宋" w:cs="仿宋"/>
          <w:color w:val="auto"/>
          <w:sz w:val="30"/>
          <w:highlight w:val="none"/>
        </w:rPr>
        <w:t xml:space="preserve">28．成交通知书</w:t>
      </w:r>
      <w:bookmarkEnd w:id="174"/>
      <w:r/>
      <w:bookmarkEnd w:id="175"/>
      <w:r/>
      <w:bookmarkEnd w:id="17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28.2成交通知书发出后，采购人不得违法改变成交结果，成交供应商无正当理由不得放弃成交。</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7" w:name="_Toc73365501"/>
      <w:r/>
      <w:bookmarkStart w:id="178" w:name="_Toc142925654"/>
      <w:r/>
      <w:bookmarkStart w:id="179" w:name="_Toc73364888"/>
      <w:r>
        <w:rPr>
          <w:rFonts w:hint="eastAsia" w:ascii="仿宋" w:hAnsi="仿宋" w:eastAsia="仿宋" w:cs="仿宋"/>
          <w:color w:val="auto"/>
          <w:sz w:val="30"/>
          <w:highlight w:val="none"/>
        </w:rPr>
        <w:t xml:space="preserve">29．签订合同</w:t>
      </w:r>
      <w:bookmarkEnd w:id="177"/>
      <w:r/>
      <w:bookmarkEnd w:id="178"/>
      <w:r/>
      <w:bookmarkEnd w:id="17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29.1采购人应当自成交通知书发出之日起</w:t>
      </w:r>
      <w:bookmarkStart w:id="180" w:name="EB51d9b032aa7249af80d45424dadc155d"/>
      <w:r>
        <w:rPr>
          <w:rFonts w:hint="eastAsia" w:ascii="仿宋" w:hAnsi="仿宋" w:eastAsia="仿宋" w:cs="仿宋"/>
          <w:color w:val="auto"/>
          <w:sz w:val="24"/>
          <w:highlight w:val="none"/>
        </w:rPr>
        <w:t xml:space="preserve">15日</w:t>
      </w:r>
      <w:bookmarkEnd w:id="180"/>
      <w:r>
        <w:rPr>
          <w:rFonts w:hint="eastAsia" w:ascii="仿宋" w:hAnsi="仿宋" w:eastAsia="仿宋" w:cs="仿宋"/>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29.5采购人与成交人应当根据合同的约定依法履行合同义务。政府采购合同的履行、违约责任和解决争议的方法等适用</w:t>
      </w:r>
      <w:bookmarkStart w:id="181" w:name="EB756a2e5eaf4942b0afe0c5074e4df86a"/>
      <w:r>
        <w:rPr>
          <w:rFonts w:hint="eastAsia" w:ascii="仿宋" w:hAnsi="仿宋" w:eastAsia="仿宋" w:cs="仿宋"/>
          <w:color w:val="auto"/>
          <w:sz w:val="24"/>
          <w:highlight w:val="none"/>
        </w:rPr>
        <w:t xml:space="preserve">《中华人民共和国民法典》</w:t>
      </w:r>
      <w:bookmarkEnd w:id="181"/>
      <w:r>
        <w:rPr>
          <w:rFonts w:hint="eastAsia" w:ascii="仿宋" w:hAnsi="仿宋" w:eastAsia="仿宋" w:cs="仿宋"/>
          <w:color w:val="auto"/>
          <w:sz w:val="24"/>
          <w:highlight w:val="none"/>
        </w:rPr>
        <w:t xml:space="preserve">。</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82" w:name="_Toc142925655"/>
      <w:r/>
      <w:bookmarkStart w:id="183" w:name="_Toc73365502"/>
      <w:r/>
      <w:bookmarkStart w:id="184" w:name="_Toc73364889"/>
      <w:r>
        <w:rPr>
          <w:rFonts w:hint="eastAsia" w:ascii="仿宋" w:hAnsi="仿宋" w:eastAsia="仿宋" w:cs="仿宋"/>
          <w:color w:val="auto"/>
          <w:sz w:val="30"/>
          <w:highlight w:val="none"/>
        </w:rPr>
        <w:t xml:space="preserve">30．履约保证金</w:t>
      </w:r>
      <w:bookmarkEnd w:id="182"/>
      <w:r/>
      <w:bookmarkEnd w:id="183"/>
      <w:r/>
      <w:bookmarkEnd w:id="184"/>
      <w:r/>
      <w:r/>
    </w:p>
    <w:p>
      <w:pPr>
        <w:ind w:firstLine="480"/>
        <w:spacing w:line="360" w:lineRule="auto"/>
        <w:rPr>
          <w:rFonts w:hint="eastAsia" w:ascii="仿宋" w:hAnsi="仿宋" w:eastAsia="仿宋" w:cs="仿宋"/>
          <w:color w:val="auto"/>
          <w:sz w:val="24"/>
          <w:highlight w:val="none"/>
        </w:rPr>
      </w:pPr>
      <w:r/>
      <w:bookmarkStart w:id="185" w:name="EBe8f62d6faec644a29fa2d130dece78bb"/>
      <w:r/>
      <w:bookmarkEnd w:id="185"/>
      <w:r>
        <w:rPr>
          <w:rFonts w:hint="eastAsia" w:ascii="仿宋" w:hAnsi="仿宋" w:eastAsia="仿宋" w:cs="仿宋"/>
          <w:color w:val="auto"/>
          <w:sz w:val="24"/>
          <w:highlight w:val="none"/>
        </w:rPr>
        <w:t xml:space="preserve">30.1 ☑本项目不收取履约保证金。</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18"/>
        <w:spacing w:before="0" w:after="0" w:line="360" w:lineRule="auto"/>
        <w:rPr>
          <w:rFonts w:hint="eastAsia" w:ascii="仿宋" w:hAnsi="仿宋" w:eastAsia="仿宋" w:cs="仿宋"/>
          <w:color w:val="auto"/>
          <w:sz w:val="32"/>
          <w:highlight w:val="none"/>
        </w:rPr>
      </w:pPr>
      <w:r/>
      <w:bookmarkStart w:id="186" w:name="_Toc73365503"/>
      <w:r/>
      <w:bookmarkStart w:id="187" w:name="_Toc73364890"/>
      <w:r/>
      <w:bookmarkStart w:id="188" w:name="_Toc142925656"/>
      <w:r>
        <w:rPr>
          <w:rFonts w:hint="eastAsia" w:ascii="仿宋" w:hAnsi="仿宋" w:eastAsia="仿宋" w:cs="仿宋"/>
          <w:color w:val="auto"/>
          <w:sz w:val="32"/>
          <w:highlight w:val="none"/>
        </w:rPr>
        <w:t xml:space="preserve">七、询问、质疑、投诉</w:t>
      </w:r>
      <w:bookmarkEnd w:id="186"/>
      <w:r/>
      <w:bookmarkEnd w:id="187"/>
      <w:r/>
      <w:bookmarkEnd w:id="188"/>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89" w:name="_Toc73365504"/>
      <w:r/>
      <w:bookmarkStart w:id="190" w:name="_Toc73364891"/>
      <w:r/>
      <w:bookmarkStart w:id="191" w:name="_Toc142925657"/>
      <w:r>
        <w:rPr>
          <w:rFonts w:hint="eastAsia" w:ascii="仿宋" w:hAnsi="仿宋" w:eastAsia="仿宋" w:cs="仿宋"/>
          <w:color w:val="auto"/>
          <w:sz w:val="30"/>
          <w:highlight w:val="none"/>
        </w:rPr>
        <w:t xml:space="preserve">31．询问</w:t>
      </w:r>
      <w:bookmarkEnd w:id="189"/>
      <w:r/>
      <w:bookmarkEnd w:id="190"/>
      <w:r/>
      <w:bookmarkEnd w:id="191"/>
      <w:r/>
      <w:r/>
    </w:p>
    <w:p>
      <w:pPr>
        <w:ind w:firstLine="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92" w:name="_Toc142925658"/>
      <w:r/>
      <w:bookmarkStart w:id="193" w:name="_Toc73365505"/>
      <w:r/>
      <w:bookmarkStart w:id="194" w:name="_Toc73364892"/>
      <w:r>
        <w:rPr>
          <w:rFonts w:hint="eastAsia" w:ascii="仿宋" w:hAnsi="仿宋" w:eastAsia="仿宋" w:cs="仿宋"/>
          <w:color w:val="auto"/>
          <w:sz w:val="30"/>
          <w:highlight w:val="none"/>
        </w:rPr>
        <w:t xml:space="preserve">32．质疑</w:t>
      </w:r>
      <w:bookmarkEnd w:id="192"/>
      <w:r/>
      <w:bookmarkEnd w:id="193"/>
      <w:r/>
      <w:bookmarkEnd w:id="19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5" w:name="EBe57b2086e1964f6c9a98adb43196769d"/>
      <w:r/>
      <w:bookmarkEnd w:id="195"/>
      <w:r/>
      <w:bookmarkStart w:id="196" w:name="EB14c12432eda944b6b81906a07b050baa"/>
      <w:r/>
      <w:bookmarkEnd w:id="19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以上规定的供应商应知其权益受到损害之日，是指：</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（1）对可以质疑的磋商文件提出质疑的，为收到磋商文件之日或者磋商文件公告期限届满之日；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（3）对成交结果提出质疑的，为结果公告期限届满之日。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仿宋" w:hAnsi="仿宋" w:eastAsia="仿宋" w:cs="仿宋"/>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32.4质疑流程及注意事项见“</w:t>
      </w:r>
      <w:r>
        <w:rPr>
          <w:rFonts w:hint="eastAsia" w:ascii="仿宋" w:hAnsi="仿宋" w:eastAsia="仿宋" w:cs="仿宋"/>
          <w:color w:val="auto"/>
          <w:sz w:val="24"/>
          <w:highlight w:val="none"/>
          <w:lang w:eastAsia="zh-CN"/>
        </w:rPr>
        <w:t xml:space="preserve">江苏政府采购网</w:t>
      </w:r>
      <w:r>
        <w:rPr>
          <w:rFonts w:hint="eastAsia" w:ascii="仿宋" w:hAnsi="仿宋" w:eastAsia="仿宋" w:cs="仿宋"/>
          <w:color w:val="auto"/>
          <w:sz w:val="24"/>
          <w:highlight w:val="none"/>
        </w:rPr>
        <w:t xml:space="preserve">”网站下载中心。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97" w:name="_Toc73365506"/>
      <w:r/>
      <w:bookmarkStart w:id="198" w:name="_Toc142925659"/>
      <w:r/>
      <w:bookmarkStart w:id="199" w:name="_Toc73364893"/>
      <w:r>
        <w:rPr>
          <w:rFonts w:hint="eastAsia" w:ascii="仿宋" w:hAnsi="仿宋" w:eastAsia="仿宋" w:cs="仿宋"/>
          <w:color w:val="auto"/>
          <w:sz w:val="30"/>
          <w:highlight w:val="none"/>
        </w:rPr>
        <w:t xml:space="preserve">33．投诉</w:t>
      </w:r>
      <w:bookmarkEnd w:id="197"/>
      <w:r/>
      <w:bookmarkEnd w:id="198"/>
      <w:r/>
      <w:bookmarkEnd w:id="19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718"/>
        <w:spacing w:before="0" w:after="0" w:line="360" w:lineRule="auto"/>
        <w:rPr>
          <w:rFonts w:hint="eastAsia" w:ascii="仿宋" w:hAnsi="仿宋" w:eastAsia="仿宋" w:cs="仿宋"/>
          <w:color w:val="auto"/>
          <w:sz w:val="32"/>
          <w:highlight w:val="none"/>
        </w:rPr>
      </w:pPr>
      <w:r/>
      <w:bookmarkStart w:id="200" w:name="EB4dbaea8aee50486696f617d1e2d7db77"/>
      <w:r/>
      <w:bookmarkEnd w:id="200"/>
      <w:r/>
      <w:bookmarkStart w:id="201" w:name="_Toc73365507"/>
      <w:r/>
      <w:bookmarkStart w:id="202" w:name="_Toc142925660"/>
      <w:r/>
      <w:bookmarkStart w:id="203" w:name="_Toc73364894"/>
      <w:r>
        <w:rPr>
          <w:rFonts w:hint="eastAsia" w:ascii="仿宋" w:hAnsi="仿宋" w:eastAsia="仿宋" w:cs="仿宋"/>
          <w:color w:val="auto"/>
          <w:sz w:val="32"/>
          <w:highlight w:val="none"/>
        </w:rPr>
        <w:t xml:space="preserve">八、诚实信用和解释权</w:t>
      </w:r>
      <w:bookmarkEnd w:id="201"/>
      <w:r/>
      <w:bookmarkEnd w:id="202"/>
      <w:r/>
      <w:bookmarkEnd w:id="203"/>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04" w:name="_Toc73364895"/>
      <w:r/>
      <w:bookmarkStart w:id="205" w:name="_Toc142925661"/>
      <w:r/>
      <w:bookmarkStart w:id="206" w:name="_Toc73365508"/>
      <w:r>
        <w:rPr>
          <w:rFonts w:hint="eastAsia" w:ascii="仿宋" w:hAnsi="仿宋" w:eastAsia="仿宋" w:cs="仿宋"/>
          <w:color w:val="auto"/>
          <w:sz w:val="30"/>
          <w:highlight w:val="none"/>
        </w:rPr>
        <w:t xml:space="preserve">34．诚实信用</w:t>
      </w:r>
      <w:bookmarkEnd w:id="204"/>
      <w:r/>
      <w:bookmarkEnd w:id="205"/>
      <w:r/>
      <w:bookmarkEnd w:id="20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34.2供应商不得以向磋商组织方工作人员、磋商小组成员行贿或者采取其他不正当手段谋取成交。经查实供应商有此行为的，将在“</w:t>
      </w:r>
      <w:r>
        <w:rPr>
          <w:rFonts w:hint="eastAsia" w:ascii="仿宋" w:hAnsi="仿宋" w:eastAsia="仿宋" w:cs="仿宋"/>
          <w:color w:val="auto"/>
          <w:sz w:val="24"/>
          <w:highlight w:val="none"/>
          <w:lang w:eastAsia="zh-CN"/>
        </w:rPr>
        <w:t xml:space="preserve">江苏政府采购网</w:t>
      </w:r>
      <w:r>
        <w:rPr>
          <w:rFonts w:hint="eastAsia" w:ascii="仿宋" w:hAnsi="仿宋" w:eastAsia="仿宋" w:cs="仿宋"/>
          <w:color w:val="auto"/>
          <w:sz w:val="24"/>
          <w:highlight w:val="none"/>
        </w:rPr>
        <w:t xml:space="preserve">”网站公告，政府采购管理部门将供应商列入不良行为记录名单，按照政府采购有关规定处理。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34.3供应商不得虚假承诺，否则，按照提供虚假材料谋取中标/成交处理。</w:t>
      </w:r>
      <w:r/>
    </w:p>
    <w:p>
      <w:pPr>
        <w:ind w:left="2"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34.4供应商应自觉遵守磋商纪律，扰乱磋商现场秩序的，属于失信行为，根据《江苏省政府采购供应商监督管理暂行办法》，失信行为将被记入供应商诚信档案。</w:t>
      </w:r>
      <w:r/>
    </w:p>
    <w:p>
      <w:pPr>
        <w:ind w:left="2"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仿宋" w:hAnsi="仿宋" w:eastAsia="仿宋" w:cs="仿宋"/>
          <w:color w:val="auto"/>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07" w:name="_Toc142925662"/>
      <w:r/>
      <w:bookmarkStart w:id="208" w:name="_Toc73365509"/>
      <w:r/>
      <w:bookmarkStart w:id="209" w:name="_Toc73364896"/>
      <w:r>
        <w:rPr>
          <w:rFonts w:hint="eastAsia" w:ascii="仿宋" w:hAnsi="仿宋" w:eastAsia="仿宋" w:cs="仿宋"/>
          <w:color w:val="auto"/>
          <w:sz w:val="30"/>
          <w:highlight w:val="none"/>
        </w:rPr>
        <w:t xml:space="preserve">35．解释权</w:t>
      </w:r>
      <w:bookmarkEnd w:id="207"/>
      <w:r/>
      <w:bookmarkEnd w:id="208"/>
      <w:r/>
      <w:bookmarkEnd w:id="20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35.1除相关法律、法规规定外，本磋商文件的解释权归江苏初始建设项目管理有限公司所有。</w:t>
      </w:r>
      <w:r/>
    </w:p>
    <w:p>
      <w:pPr>
        <w:pStyle w:val="719"/>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10" w:name="_Toc73365510"/>
      <w:r/>
      <w:bookmarkStart w:id="211" w:name="_Toc142925663"/>
      <w:r/>
      <w:bookmarkStart w:id="212" w:name="_Toc73364897"/>
      <w:r>
        <w:rPr>
          <w:rFonts w:hint="eastAsia" w:ascii="仿宋" w:hAnsi="仿宋" w:eastAsia="仿宋" w:cs="仿宋"/>
          <w:color w:val="auto"/>
          <w:sz w:val="30"/>
          <w:highlight w:val="none"/>
        </w:rPr>
        <w:t xml:space="preserve">36．适用法律及约束力</w:t>
      </w:r>
      <w:bookmarkEnd w:id="210"/>
      <w:r/>
      <w:bookmarkEnd w:id="211"/>
      <w:r/>
      <w:bookmarkEnd w:id="21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36.1</w:t>
      </w:r>
      <w:r>
        <w:rPr>
          <w:rFonts w:hint="eastAsia" w:ascii="仿宋" w:hAnsi="仿宋" w:eastAsia="仿宋" w:cs="仿宋"/>
          <w:b/>
          <w:color w:val="auto"/>
          <w:sz w:val="24"/>
          <w:highlight w:val="none"/>
        </w:rPr>
        <w:t xml:space="preserve">供应商一旦获取了本磋商文件并参加磋商，即被认为接受了本磋商文件的规定和约束。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36.2本次采购及由本次采购产生的合同受中华人民共和国法律制约和保护。</w:t>
      </w:r>
      <w:r/>
    </w:p>
    <w:p>
      <w:pPr>
        <w:pStyle w:val="718"/>
        <w:spacing w:before="0" w:after="0" w:line="360" w:lineRule="auto"/>
        <w:rPr>
          <w:rFonts w:hint="eastAsia" w:ascii="仿宋" w:hAnsi="仿宋" w:eastAsia="仿宋" w:cs="仿宋"/>
          <w:color w:val="auto"/>
          <w:sz w:val="32"/>
          <w:highlight w:val="none"/>
        </w:rPr>
      </w:pPr>
      <w:r/>
      <w:bookmarkStart w:id="213" w:name="_Toc142925664"/>
      <w:r/>
      <w:bookmarkStart w:id="214" w:name="_Toc141960470"/>
      <w:r>
        <w:rPr>
          <w:rFonts w:hint="eastAsia" w:ascii="仿宋" w:hAnsi="仿宋" w:eastAsia="仿宋" w:cs="仿宋"/>
          <w:color w:val="auto"/>
          <w:sz w:val="32"/>
          <w:highlight w:val="none"/>
        </w:rPr>
        <w:t xml:space="preserve">九、苏采云操作其他补充事项</w:t>
      </w:r>
      <w:bookmarkEnd w:id="213"/>
      <w:r/>
      <w:bookmarkEnd w:id="214"/>
      <w:r/>
      <w:r/>
    </w:p>
    <w:p>
      <w:pPr>
        <w:pStyle w:val="951"/>
        <w:rPr>
          <w:rFonts w:hint="eastAsia" w:ascii="仿宋" w:hAnsi="仿宋" w:eastAsia="仿宋" w:cs="仿宋"/>
          <w:color w:val="auto"/>
          <w:highlight w:val="none"/>
        </w:rPr>
      </w:pPr>
      <w:r/>
      <w:bookmarkStart w:id="215" w:name="_Toc142925665"/>
      <w:r>
        <w:rPr>
          <w:rFonts w:hint="eastAsia" w:ascii="仿宋" w:hAnsi="仿宋" w:eastAsia="仿宋" w:cs="仿宋"/>
          <w:b/>
          <w:bCs/>
          <w:color w:val="auto"/>
          <w:sz w:val="30"/>
          <w:szCs w:val="32"/>
          <w:highlight w:val="none"/>
        </w:rPr>
        <w:t xml:space="preserve">37.苏采云系统要求</w:t>
      </w:r>
      <w:bookmarkEnd w:id="215"/>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37.1 本次采购采用“政府采购管理交易系统（苏采云）”，获取采购文件、提交响应文件、参加磋商、评审和成交结果发布全程电子化，响应文件开启方式为不见面开启。供应商应当按照《政府采购管理交易系统（苏采云）供应商操作手册》参加磋商活动。如供应商未按要求操作，由此所产生的风险由供应商自行承担。</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供应商如确定参加磋商，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37.3.1获取采购文件的方式：“苏采云”系统用户注册--CA绑定与登录--网上</w:t>
      </w:r>
      <w:r>
        <w:rPr>
          <w:rFonts w:hint="eastAsia" w:ascii="仿宋" w:hAnsi="仿宋" w:eastAsia="仿宋" w:cs="仿宋"/>
          <w:color w:val="auto"/>
          <w:sz w:val="24"/>
          <w:highlight w:val="none"/>
          <w:lang w:val="en-US" w:eastAsia="zh-CN"/>
        </w:rPr>
        <w:t xml:space="preserve">登记</w:t>
      </w:r>
      <w:r>
        <w:rPr>
          <w:rFonts w:hint="eastAsia" w:ascii="仿宋" w:hAnsi="仿宋" w:eastAsia="仿宋" w:cs="仿宋"/>
          <w:color w:val="auto"/>
          <w:sz w:val="24"/>
          <w:highlight w:val="none"/>
        </w:rPr>
        <w:t xml:space="preserve">--下载采购文件(后缀名为.kedt”)。</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仿宋" w:hAnsi="仿宋" w:eastAsia="仿宋" w:cs="仿宋"/>
          <w:b/>
          <w:color w:val="auto"/>
          <w:sz w:val="36"/>
          <w:highlight w:val="none"/>
        </w:rPr>
      </w:pPr>
      <w:r>
        <w:rPr>
          <w:rFonts w:hint="eastAsia" w:ascii="仿宋" w:hAnsi="仿宋" w:eastAsia="仿宋" w:cs="仿宋"/>
          <w:color w:val="auto"/>
          <w:sz w:val="24"/>
          <w:highlight w:val="none"/>
        </w:rPr>
        <w:t xml:space="preserve">37.5供应商应及时关注系统供下载的最新版本操作手册，系统操作如有疑问，请及时联系技术支持。</w:t>
      </w:r>
      <w:r/>
    </w:p>
    <w:p>
      <w:pPr>
        <w:rPr>
          <w:rFonts w:hint="eastAsia" w:ascii="仿宋" w:hAnsi="仿宋" w:eastAsia="仿宋" w:cs="仿宋"/>
          <w:color w:val="auto"/>
          <w:sz w:val="36"/>
          <w:highlight w:val="none"/>
        </w:rPr>
      </w:pPr>
      <w:r/>
      <w:bookmarkStart w:id="216" w:name="_Toc142925666"/>
      <w:r/>
      <w:bookmarkStart w:id="217" w:name="_Toc73364898"/>
      <w:r/>
      <w:bookmarkStart w:id="218" w:name="_Toc73365511"/>
      <w:r>
        <w:rPr>
          <w:rFonts w:hint="eastAsia" w:ascii="仿宋" w:hAnsi="仿宋" w:eastAsia="仿宋" w:cs="仿宋"/>
          <w:color w:val="auto"/>
          <w:sz w:val="36"/>
          <w:highlight w:val="none"/>
        </w:rPr>
        <w:br w:type="page" w:clear="all"/>
      </w:r>
      <w:r/>
    </w:p>
    <w:p>
      <w:pPr>
        <w:pStyle w:val="717"/>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第三部分  合同</w:t>
      </w:r>
      <w:bookmarkEnd w:id="216"/>
      <w:r/>
      <w:bookmarkEnd w:id="217"/>
      <w:r/>
      <w:bookmarkEnd w:id="218"/>
      <w:r/>
      <w:r/>
    </w:p>
    <w:p>
      <w:pPr>
        <w:pStyle w:val="659"/>
        <w:ind w:left="0" w:firstLine="480"/>
        <w:keepLines w:val="0"/>
        <w:keepNext w:val="0"/>
        <w:pageBreakBefore w:val="0"/>
        <w:spacing w:line="360" w:lineRule="auto"/>
        <w:rPr>
          <w:rFonts w:hint="eastAsia" w:ascii="仿宋" w:hAnsi="仿宋" w:eastAsia="仿宋" w:cs="仿宋"/>
          <w:bCs/>
          <w:sz w:val="24"/>
          <w:szCs w:val="24"/>
          <w:highlight w:val="none"/>
        </w:rPr>
      </w:pPr>
      <w:r/>
      <w:bookmarkStart w:id="219" w:name="_Toc142925667"/>
      <w:r/>
      <w:bookmarkStart w:id="220" w:name="_Toc73365512"/>
      <w:r/>
      <w:bookmarkStart w:id="221" w:name="_Toc73364899"/>
      <w:r>
        <w:rPr>
          <w:rFonts w:hint="eastAsia" w:ascii="仿宋" w:hAnsi="仿宋" w:eastAsia="仿宋" w:cs="仿宋"/>
          <w:bCs/>
          <w:sz w:val="24"/>
          <w:szCs w:val="24"/>
          <w:highlight w:val="none"/>
        </w:rPr>
        <w:t xml:space="preserve">以下为成交后签定本项目合同的通用条款，成交供应商不得提出实质性的修改，关于专用条款将由采购人与成交供应商结合本项目具体情况协商后签订。</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bCs/>
          <w:sz w:val="24"/>
          <w:szCs w:val="24"/>
          <w:highlight w:val="none"/>
          <w:lang w:eastAsia="zh-CN"/>
        </w:rPr>
        <w:t xml:space="preserve">2026年大路镇河道长效管护项目</w:t>
      </w:r>
      <w:r>
        <w:rPr>
          <w:rFonts w:hint="eastAsia" w:ascii="仿宋" w:hAnsi="仿宋" w:eastAsia="仿宋" w:cs="仿宋"/>
          <w:sz w:val="24"/>
          <w:szCs w:val="24"/>
          <w:highlight w:val="none"/>
        </w:rPr>
        <w:t xml:space="preserve">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lang w:val="en-US" w:eastAsia="zh-CN"/>
        </w:rPr>
        <w:t xml:space="preserve">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甲方（采购人/买方）：</w:t>
      </w:r>
      <w:r>
        <w:rPr>
          <w:rFonts w:hint="eastAsia" w:ascii="仿宋" w:hAnsi="仿宋" w:eastAsia="仿宋" w:cs="仿宋"/>
          <w:sz w:val="24"/>
          <w:szCs w:val="24"/>
          <w:highlight w:val="none"/>
          <w:lang w:eastAsia="zh-CN"/>
        </w:rPr>
        <w:t xml:space="preserve">镇江市大路镇人民政府</w:t>
      </w:r>
      <w:r>
        <w:rPr>
          <w:rFonts w:hint="eastAsia" w:ascii="仿宋" w:hAnsi="仿宋" w:eastAsia="仿宋" w:cs="仿宋"/>
          <w:sz w:val="24"/>
          <w:szCs w:val="24"/>
          <w:highlight w:val="none"/>
        </w:rPr>
        <w:t xml:space="preserve">       </w:t>
      </w:r>
      <w:r/>
    </w:p>
    <w:p>
      <w:pPr>
        <w:pStyle w:val="659"/>
        <w:ind w:left="0" w:firstLine="48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乙方（供应商/卖方）：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根据《中华人民共和国政府采购法》、《中华人民共和国</w:t>
      </w:r>
      <w:r>
        <w:rPr>
          <w:rFonts w:hint="eastAsia" w:ascii="仿宋" w:hAnsi="仿宋" w:eastAsia="仿宋" w:cs="仿宋"/>
          <w:sz w:val="24"/>
          <w:szCs w:val="24"/>
          <w:highlight w:val="none"/>
          <w:lang w:eastAsia="zh-CN"/>
        </w:rPr>
        <w:t xml:space="preserve">民法典</w:t>
      </w:r>
      <w:r>
        <w:rPr>
          <w:rFonts w:hint="eastAsia" w:ascii="仿宋" w:hAnsi="仿宋" w:eastAsia="仿宋" w:cs="仿宋"/>
          <w:sz w:val="24"/>
          <w:szCs w:val="24"/>
          <w:highlight w:val="none"/>
        </w:rPr>
        <w:t xml:space="preserve">》等法律法规的规定，甲乙双方按照</w:t>
      </w:r>
      <w:r>
        <w:rPr>
          <w:rFonts w:hint="eastAsia" w:ascii="仿宋" w:hAnsi="仿宋" w:eastAsia="仿宋" w:cs="仿宋"/>
          <w:sz w:val="24"/>
          <w:szCs w:val="24"/>
          <w:highlight w:val="none"/>
          <w:lang w:eastAsia="zh-CN"/>
        </w:rPr>
        <w:t xml:space="preserve">江苏初始建设项目管理有限公司</w:t>
      </w:r>
      <w:r>
        <w:rPr>
          <w:rFonts w:hint="eastAsia" w:ascii="仿宋" w:hAnsi="仿宋" w:eastAsia="仿宋" w:cs="仿宋"/>
          <w:sz w:val="24"/>
          <w:szCs w:val="24"/>
          <w:highlight w:val="none"/>
        </w:rPr>
        <w:t xml:space="preserve">关于本项目磋商结果签订本合同。</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1、合同标的</w:t>
      </w:r>
      <w:r/>
    </w:p>
    <w:p>
      <w:pPr>
        <w:pStyle w:val="659"/>
        <w:ind w:left="0" w:firstLine="48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乙方根据甲方需求，提供下列服务：</w:t>
      </w:r>
      <w:r>
        <w:rPr>
          <w:rFonts w:hint="eastAsia" w:ascii="仿宋" w:hAnsi="仿宋" w:eastAsia="仿宋" w:cs="仿宋"/>
          <w:sz w:val="24"/>
          <w:szCs w:val="24"/>
          <w:highlight w:val="none"/>
          <w:u w:val="single"/>
          <w:lang w:eastAsia="zh-CN"/>
        </w:rPr>
        <w:t xml:space="preserve">202</w:t>
      </w:r>
      <w:r>
        <w:rPr>
          <w:rFonts w:hint="eastAsia" w:ascii="仿宋" w:hAnsi="仿宋" w:eastAsia="仿宋" w:cs="仿宋"/>
          <w:sz w:val="24"/>
          <w:szCs w:val="24"/>
          <w:highlight w:val="none"/>
          <w:u w:val="single"/>
          <w:lang w:val="en-US" w:eastAsia="zh-CN"/>
        </w:rPr>
        <w:t xml:space="preserve">6</w:t>
      </w:r>
      <w:r>
        <w:rPr>
          <w:rFonts w:hint="eastAsia" w:ascii="仿宋" w:hAnsi="仿宋" w:eastAsia="仿宋" w:cs="仿宋"/>
          <w:sz w:val="24"/>
          <w:szCs w:val="24"/>
          <w:highlight w:val="none"/>
          <w:u w:val="single"/>
          <w:lang w:eastAsia="zh-CN"/>
        </w:rPr>
        <w:t xml:space="preserve">年大路镇河道长效管护项目</w:t>
      </w:r>
      <w:r>
        <w:rPr>
          <w:rFonts w:hint="eastAsia" w:ascii="仿宋" w:hAnsi="仿宋" w:eastAsia="仿宋" w:cs="仿宋"/>
          <w:sz w:val="24"/>
          <w:szCs w:val="24"/>
          <w:highlight w:val="none"/>
          <w:u w:val="single"/>
        </w:rPr>
        <w:t xml:space="preserve"> </w:t>
      </w:r>
      <w:r/>
    </w:p>
    <w:p>
      <w:pPr>
        <w:pStyle w:val="659"/>
        <w:ind w:left="0" w:firstLine="480"/>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服务内容等要求详见磋商文件及乙方响应文件。</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2、合同总金额</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本合同金额为（大写）：_______________________________元人民币（¥_____元）</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本项目合同中总金额是包括为完成磋商文件、项目需求、采购人要</w:t>
      </w:r>
      <w:r>
        <w:rPr>
          <w:rFonts w:hint="eastAsia" w:ascii="仿宋" w:hAnsi="仿宋" w:eastAsia="仿宋" w:cs="仿宋"/>
          <w:sz w:val="24"/>
          <w:szCs w:val="24"/>
          <w:highlight w:val="none"/>
        </w:rPr>
        <w:t xml:space="preserve">求服务内容中的检查的所有内容，供应商应充分考虑为完成上述内容所必须的全部服务所需的所有费用，即主要包括（但不限于）该分项检查内容的现场勘查、调查、资料搜集、制定检测方案、前期准备、现场准备、设备仪器检定、现场检测、计算分析、结果评价、材料（含出具检测报告的材料）、人工、检测设备（含使用和折旧等）、检验试验、复检、设备进退场、设备及用具等运输、通讯、交通、食宿、差旅、利润、税金、管理费、配合费、管理费、保险费、不可预见费及其他一切相关费用等所需的全部费用，凡漏项或少计均视为优惠，甲方不另行增加此单项检查费用。</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在竞争性磋商文件未列明，而乙方认为履行本合同必需的费用也包含在合同总金额中。</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 本合同总金额还包含乙方提供的伴随服务/售后服务费用。</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3、组成本合同的有关文件</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3.1乙方应按磋商文件规定的时间向甲方提供服务的有关技术资料。</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 关于本项目政府采购的磋商文件、磋商响应文件或与本次采购活动方式相适应的文件及有关附件是本合同不可分割的组成部分，这些文件包括但不限于：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（1）磋商响应文件；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（2）磋商报价文件；</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（3）项目组人员表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（4）技术参数、商务条款响应及偏离表；</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（5）服务承诺；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（6）成交通知书；</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（7）甲乙双方补充协议；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（8）乙方磋商时提供的响应文件。</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4、知识产权保证</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5、产权保证</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乙方保证所交付的服务和服务所涉及的物品所有权无任何抵押、查封等权利瑕疵。</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、转包或分包</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.1 本合同禁止转包和分包，本合同范围的服务，应由乙方直接提供的，不得转让或分包给他人提供。</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7</w:t>
      </w:r>
      <w:r>
        <w:rPr>
          <w:rFonts w:hint="eastAsia" w:ascii="仿宋" w:hAnsi="仿宋" w:eastAsia="仿宋" w:cs="仿宋"/>
          <w:b/>
          <w:bCs/>
          <w:sz w:val="24"/>
          <w:szCs w:val="24"/>
          <w:highlight w:val="none"/>
        </w:rPr>
        <w:t xml:space="preserve">、服务期</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.1 服务期自</w:t>
      </w:r>
      <w:r>
        <w:rPr>
          <w:rFonts w:hint="eastAsia" w:ascii="仿宋" w:hAnsi="仿宋" w:eastAsia="仿宋" w:cs="仿宋"/>
          <w:sz w:val="24"/>
          <w:szCs w:val="24"/>
          <w:highlight w:val="none"/>
          <w:u w:val="single"/>
          <w:lang w:eastAsia="zh-CN"/>
        </w:rPr>
        <w:t xml:space="preserve">202</w:t>
      </w:r>
      <w:r>
        <w:rPr>
          <w:rFonts w:hint="eastAsia" w:ascii="仿宋" w:hAnsi="仿宋" w:eastAsia="仿宋" w:cs="仿宋"/>
          <w:sz w:val="24"/>
          <w:szCs w:val="24"/>
          <w:highlight w:val="none"/>
          <w:u w:val="single"/>
          <w:lang w:val="en-US" w:eastAsia="zh-CN"/>
        </w:rPr>
        <w:t xml:space="preserve">6</w:t>
      </w:r>
      <w:r>
        <w:rPr>
          <w:rFonts w:hint="eastAsia" w:ascii="仿宋" w:hAnsi="仿宋" w:eastAsia="仿宋" w:cs="仿宋"/>
          <w:sz w:val="24"/>
          <w:szCs w:val="24"/>
          <w:highlight w:val="none"/>
          <w:u w:val="single"/>
          <w:lang w:eastAsia="zh-CN"/>
        </w:rPr>
        <w:t xml:space="preserve">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日至20</w:t>
      </w:r>
      <w:r>
        <w:rPr>
          <w:rFonts w:hint="eastAsia" w:ascii="仿宋" w:hAnsi="仿宋" w:eastAsia="仿宋" w:cs="仿宋"/>
          <w:sz w:val="24"/>
          <w:szCs w:val="24"/>
          <w:highlight w:val="none"/>
          <w:u w:val="single"/>
          <w:lang w:val="en-US" w:eastAsia="zh-CN"/>
        </w:rPr>
        <w:t xml:space="preserve">27</w:t>
      </w:r>
      <w:r>
        <w:rPr>
          <w:rFonts w:hint="eastAsia" w:ascii="仿宋" w:hAnsi="仿宋" w:eastAsia="仿宋" w:cs="仿宋"/>
          <w:sz w:val="24"/>
          <w:szCs w:val="24"/>
          <w:highlight w:val="none"/>
          <w:u w:val="single"/>
          <w:lang w:eastAsia="zh-CN"/>
        </w:rPr>
        <w:t xml:space="preserve">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日</w:t>
      </w:r>
      <w:r>
        <w:rPr>
          <w:rFonts w:hint="eastAsia" w:ascii="仿宋" w:hAnsi="仿宋" w:eastAsia="仿宋" w:cs="仿宋"/>
          <w:sz w:val="24"/>
          <w:szCs w:val="24"/>
          <w:highlight w:val="none"/>
        </w:rPr>
        <w:t xml:space="preserve">。</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、货款支付</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 本合同项下所有款项均以人民币支付。 </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.2 本合同项下的采购资金由甲方支付，付款前乙方向甲方开具发票。</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.3 支付方式：</w:t>
      </w:r>
      <w:r/>
    </w:p>
    <w:p>
      <w:pPr>
        <w:ind w:left="0"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合同签订后付合同价款的10%，后续</w:t>
      </w:r>
      <w:r>
        <w:rPr>
          <w:rFonts w:hint="eastAsia" w:ascii="仿宋" w:hAnsi="仿宋" w:eastAsia="仿宋" w:cs="仿宋"/>
          <w:sz w:val="24"/>
          <w:szCs w:val="24"/>
          <w:highlight w:val="none"/>
        </w:rPr>
        <w:t xml:space="preserve">每三个月作为一个季度，每季度末支付一次，服务期满扣除相关的违约责任，余款全部付清。详见考核办法，考核办法作为合同的一部分。</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9</w:t>
      </w:r>
      <w:r>
        <w:rPr>
          <w:rFonts w:hint="eastAsia" w:ascii="仿宋" w:hAnsi="仿宋" w:eastAsia="仿宋" w:cs="仿宋"/>
          <w:b/>
          <w:bCs/>
          <w:sz w:val="24"/>
          <w:szCs w:val="24"/>
          <w:highlight w:val="none"/>
        </w:rPr>
        <w:t xml:space="preserve">、税费</w:t>
      </w:r>
      <w:r/>
    </w:p>
    <w:p>
      <w:pPr>
        <w:pStyle w:val="659"/>
        <w:ind w:left="0" w:firstLine="480"/>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本合同执行中相关的一切税费均由乙方负担。</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10</w:t>
      </w:r>
      <w:r>
        <w:rPr>
          <w:rFonts w:hint="eastAsia" w:ascii="仿宋" w:hAnsi="仿宋" w:eastAsia="仿宋" w:cs="仿宋"/>
          <w:b/>
          <w:bCs/>
          <w:sz w:val="24"/>
          <w:szCs w:val="24"/>
          <w:highlight w:val="none"/>
        </w:rPr>
        <w:t xml:space="preserve">、质量保证及售后服务</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.1 乙方应按磋商文件规定及响应文件承诺的技术性能、技术要求、质量标准向甲方提供服务；若无特殊说明，则按国家有关部门最新颁布的标准及规范为准。</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.2乙方应保证其提供的服务是全面和规范的，并完全符合磋商及响应文件。如因乙方提供的服务有瑕疵造成甲方损失的，所需费用由乙方承担。</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.3 服务过程中，乙方应对所提供服务出现的质量及安全问题负责处理解决并承担一切费用。</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1</w:t>
      </w:r>
      <w:r>
        <w:rPr>
          <w:rFonts w:hint="eastAsia" w:ascii="仿宋" w:hAnsi="仿宋" w:eastAsia="仿宋" w:cs="仿宋"/>
          <w:b/>
          <w:bCs/>
          <w:sz w:val="24"/>
          <w:szCs w:val="24"/>
          <w:highlight w:val="none"/>
        </w:rPr>
        <w:t xml:space="preserve">、交付和验收</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.1 乙方应当在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2027</w:t>
      </w:r>
      <w:r>
        <w:rPr>
          <w:rFonts w:hint="eastAsia" w:ascii="仿宋" w:hAnsi="仿宋" w:eastAsia="仿宋" w:cs="仿宋"/>
          <w:sz w:val="24"/>
          <w:szCs w:val="24"/>
          <w:highlight w:val="none"/>
          <w:u w:val="single"/>
        </w:rPr>
        <w:t xml:space="preserve">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rPr>
        <w:t xml:space="preserve">前完成服务事项，竞争性磋商文件有约定的，从其约定。</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在交付前，乙方应作出全面检查和对验收文件进行整理，并列出清单，检验的结果交甲方。</w:t>
      </w:r>
      <w:r/>
    </w:p>
    <w:p>
      <w:pPr>
        <w:pStyle w:val="654"/>
        <w:ind w:left="0" w:firstLine="480"/>
        <w:keepLines w:val="0"/>
        <w:keepNext w:val="0"/>
        <w:pageBreakBefore w:val="0"/>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.2 验收标准：按乙方磋商响应文件的承诺。</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、违约责任</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.1 甲方无故逾期验收和无故逾期办理款项支付手续的,甲方应按逾期付款金额每日万分之五向乙方支付违约金。</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2乙方违约，在消除违约情形前，应按本合同项目总额每日万分之五向甲方支付违约金，甲方可以从待付款项中扣除。</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.3乙方因逾期交付服务项目或因其他违约行为，导致甲方解除合同的，乙方应向甲方支付合同总值5%的违约金，如造成甲方损失超过违约金的，超出部分由乙方继续承担赔偿责任。</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.4 乙方所交的服务项目全部或部分品种、型号、规格、技术参数、质量不符合合同规定及磋商文件规定标准的，乙方更换服务但逾期交付的（甲方拒绝接受的除外），按乙方逾期交付处理；乙方拒绝更换的，甲方可选择解除本合同或本合同的一部分，并可追究乙方的其他违约责任。</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、不可抗力事件处理</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、争议解决</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.1 因履行本合同引起的或与本合同有关的争议，甲、乙双方应首先通过友好协商解决；如果协商不能解决争议，甲乙双方同意采取下列两种方式的第</w:t>
      </w:r>
      <w:r>
        <w:rPr>
          <w:rFonts w:hint="eastAsia" w:ascii="仿宋" w:hAnsi="仿宋" w:eastAsia="仿宋" w:cs="仿宋"/>
          <w:sz w:val="24"/>
          <w:szCs w:val="24"/>
          <w:highlight w:val="none"/>
          <w:u w:val="single"/>
        </w:rPr>
        <w:t xml:space="preserve">（1）</w:t>
      </w:r>
      <w:r>
        <w:rPr>
          <w:rFonts w:hint="eastAsia" w:ascii="仿宋" w:hAnsi="仿宋" w:eastAsia="仿宋" w:cs="仿宋"/>
          <w:sz w:val="24"/>
          <w:szCs w:val="24"/>
          <w:highlight w:val="none"/>
        </w:rPr>
        <w:t xml:space="preserve">种方式解决争议。</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（1）向甲方所在地有管辖权的人民法院提起诉讼，适用中华人民共和国法律；</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（2）向</w:t>
      </w:r>
      <w:r>
        <w:rPr>
          <w:rFonts w:hint="eastAsia" w:ascii="仿宋" w:hAnsi="仿宋" w:eastAsia="仿宋" w:cs="仿宋"/>
          <w:sz w:val="24"/>
          <w:szCs w:val="24"/>
          <w:highlight w:val="none"/>
          <w:lang w:eastAsia="zh-CN"/>
        </w:rPr>
        <w:t xml:space="preserve">镇江新区</w:t>
      </w:r>
      <w:r>
        <w:rPr>
          <w:rFonts w:hint="eastAsia" w:ascii="仿宋" w:hAnsi="仿宋" w:eastAsia="仿宋" w:cs="仿宋"/>
          <w:sz w:val="24"/>
          <w:szCs w:val="24"/>
          <w:highlight w:val="none"/>
        </w:rPr>
        <w:t xml:space="preserve">仲裁委员会按其仲裁规则申请仲裁。</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.2 若甲乙双方任何一方都没有选择解除合同的，为避免扩大损失，在诉讼或仲裁期间，双方应继续履行。</w:t>
      </w:r>
      <w:r/>
    </w:p>
    <w:p>
      <w:pPr>
        <w:pStyle w:val="659"/>
        <w:ind w:left="0"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5</w:t>
      </w:r>
      <w:r>
        <w:rPr>
          <w:rFonts w:hint="eastAsia" w:ascii="仿宋" w:hAnsi="仿宋" w:eastAsia="仿宋" w:cs="仿宋"/>
          <w:b/>
          <w:bCs/>
          <w:sz w:val="24"/>
          <w:szCs w:val="24"/>
          <w:highlight w:val="none"/>
        </w:rPr>
        <w:t xml:space="preserve">、合同其它</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.1 乙方在服务全过程中的生命、财产等安全工作由乙方全权负责，发生任何的安全事故与甲方无关。</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 乙方应诚实信用，严格按照磋商文件要求和响应承诺履行合同，不向甲方进行商业贿赂或者提供不正当利益。</w:t>
      </w:r>
      <w:r/>
    </w:p>
    <w:p>
      <w:pPr>
        <w:pStyle w:val="659"/>
        <w:ind w:left="0" w:firstLine="48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.3合同经双方法定代表人或授权代表签字并加盖单位公章后并经见证方见证盖章后生效。</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.4 本合同未尽事宜，遵照《</w:t>
      </w:r>
      <w:r>
        <w:rPr>
          <w:rFonts w:hint="eastAsia" w:ascii="仿宋" w:hAnsi="仿宋" w:eastAsia="仿宋" w:cs="仿宋"/>
          <w:sz w:val="24"/>
          <w:szCs w:val="24"/>
          <w:highlight w:val="none"/>
          <w:lang w:eastAsia="zh-CN"/>
        </w:rPr>
        <w:t xml:space="preserve">民法典</w:t>
      </w:r>
      <w:r>
        <w:rPr>
          <w:rFonts w:hint="eastAsia" w:ascii="仿宋" w:hAnsi="仿宋" w:eastAsia="仿宋" w:cs="仿宋"/>
          <w:sz w:val="24"/>
          <w:szCs w:val="24"/>
          <w:highlight w:val="none"/>
        </w:rPr>
        <w:t xml:space="preserve">》有关条文执行。</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.5 本合同正本一式四份，具有同等法律效力，甲方、乙方、见证方及财政监管部门各执一份。</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lang w:eastAsia="zh-CN"/>
        </w:rPr>
        <w:t xml:space="preserve">镇江市大路镇人民政府</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乙方：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rPr>
        <w:tab/>
      </w:r>
      <w:r>
        <w:rPr>
          <w:rFonts w:hint="eastAsia" w:ascii="仿宋" w:hAnsi="仿宋" w:eastAsia="仿宋" w:cs="仿宋"/>
          <w:sz w:val="24"/>
          <w:szCs w:val="24"/>
          <w:highlight w:val="none"/>
        </w:rPr>
        <w:tab/>
      </w:r>
      <w:r>
        <w:rPr>
          <w:rFonts w:hint="eastAsia" w:ascii="仿宋" w:hAnsi="仿宋" w:eastAsia="仿宋" w:cs="仿宋"/>
          <w:sz w:val="24"/>
          <w:szCs w:val="24"/>
          <w:highlight w:val="none"/>
        </w:rPr>
        <w:tab/>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地址： </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             法定代表人或授权代表：</w:t>
      </w:r>
      <w:r/>
    </w:p>
    <w:p>
      <w:pPr>
        <w:pStyle w:val="659"/>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联系电话：</w:t>
      </w:r>
      <w:r/>
    </w:p>
    <w:p>
      <w:pPr>
        <w:ind w:left="0" w:firstLine="482"/>
        <w:jc w:val="righ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left="0" w:firstLine="482"/>
        <w:jc w:val="right"/>
        <w:keepLines w:val="0"/>
        <w:keepNext w:val="0"/>
        <w:pageBreakBefore w:val="0"/>
        <w:spacing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 xml:space="preserve">合同签订日期：     年   月   日</w:t>
      </w:r>
      <w:r/>
    </w:p>
    <w:p>
      <w:pPr>
        <w:ind w:firstLine="42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clear="all"/>
      </w:r>
      <w:r/>
    </w:p>
    <w:p>
      <w:pPr>
        <w:pStyle w:val="717"/>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第四部分  采购需求</w:t>
      </w:r>
      <w:bookmarkEnd w:id="219"/>
      <w:r/>
      <w:bookmarkEnd w:id="220"/>
      <w:r/>
      <w:bookmarkEnd w:id="221"/>
      <w:r/>
      <w:r/>
    </w:p>
    <w:p>
      <w:pPr>
        <w:ind w:left="0" w:firstLine="482"/>
        <w:keepLines w:val="0"/>
        <w:keepNext w:val="0"/>
        <w:pageBreakBefore w:val="0"/>
        <w:spacing w:line="360" w:lineRule="auto"/>
        <w:rPr>
          <w:rFonts w:hint="eastAsia" w:ascii="仿宋" w:hAnsi="仿宋" w:eastAsia="仿宋" w:cs="仿宋"/>
          <w:b/>
          <w:bCs/>
          <w:sz w:val="24"/>
          <w:szCs w:val="24"/>
        </w:rPr>
        <w:outlineLvl w:val="0"/>
      </w:pPr>
      <w:r/>
      <w:bookmarkStart w:id="222" w:name="_Toc73364900"/>
      <w:r/>
      <w:bookmarkStart w:id="223" w:name="_Toc142925668"/>
      <w:r/>
      <w:bookmarkStart w:id="224" w:name="_Toc73365513"/>
      <w:r>
        <w:rPr>
          <w:rFonts w:hint="eastAsia" w:ascii="仿宋" w:hAnsi="仿宋" w:eastAsia="仿宋" w:cs="仿宋"/>
          <w:b/>
          <w:bCs/>
          <w:sz w:val="24"/>
          <w:szCs w:val="24"/>
        </w:rPr>
        <w:t xml:space="preserve">一、管护内容</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大路镇境内河道的长效管护。河道包括：</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1、沙腰河（高桥头闸-老大路闸）：河道水面6045m；环境保洁面积42315㎡；绿化养护79335m2及13个涵闸管护。</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2、捆山河（小港桥-杜家桥）：河道水面4218m；环境保洁面积38456㎡；绿化养护97256m2及6座涵闸管护。</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3、捆山河（龟山闸-杜家桥、小港桥-金港大道）：绿化养护172776m2。</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4、捆山河（龟山闸-捆山河金港大道）：河道水面5300m；环境保洁面积84800㎡。</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5、捆山河（龟山闸150米甩项）：绿化养护8040m2。</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6、捆山河甩项150米：河道水面150m；环境保洁面积2400㎡。</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7、北沙腰河：河道水面4244m；环境保洁面积100141㎡。</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rPr>
        <w:outlineLvl w:val="0"/>
      </w:pPr>
      <w:r>
        <w:rPr>
          <w:rFonts w:hint="eastAsia" w:ascii="仿宋" w:hAnsi="仿宋" w:eastAsia="仿宋" w:cs="仿宋"/>
          <w:b w:val="0"/>
          <w:bCs w:val="0"/>
          <w:sz w:val="24"/>
          <w:szCs w:val="24"/>
          <w:lang w:val="en-US" w:eastAsia="zh-CN"/>
        </w:rPr>
        <w:t xml:space="preserve">8、集镇河：河道水面700m；环境保洁面积4200㎡；绿化养护4839.1m2及1个涵闸、1个泵站管护。</w:t>
      </w:r>
      <w:r/>
    </w:p>
    <w:p>
      <w:pPr>
        <w:ind w:left="0" w:firstLine="480"/>
        <w:keepLines w:val="0"/>
        <w:keepNext w:val="0"/>
        <w:pageBreakBefore w:val="0"/>
        <w:spacing w:line="360" w:lineRule="auto"/>
        <w:rPr>
          <w:rFonts w:hint="eastAsia" w:ascii="仿宋" w:hAnsi="仿宋" w:eastAsia="仿宋" w:cs="仿宋"/>
          <w:b w:val="0"/>
          <w:bCs w:val="0"/>
          <w:sz w:val="24"/>
          <w:szCs w:val="24"/>
          <w:lang w:val="en-US" w:eastAsia="zh-CN" w:bidi="ar-SA"/>
        </w:rPr>
        <w:outlineLvl w:val="0"/>
      </w:pPr>
      <w:r>
        <w:rPr>
          <w:rFonts w:hint="eastAsia" w:ascii="仿宋" w:hAnsi="仿宋" w:eastAsia="仿宋" w:cs="仿宋"/>
          <w:b w:val="0"/>
          <w:bCs w:val="0"/>
          <w:sz w:val="24"/>
          <w:szCs w:val="24"/>
          <w:lang w:val="en-US" w:eastAsia="zh-CN"/>
        </w:rPr>
        <w:t xml:space="preserve">9、</w:t>
      </w:r>
      <w:r>
        <w:rPr>
          <w:rFonts w:hint="eastAsia" w:ascii="仿宋" w:hAnsi="仿宋" w:eastAsia="仿宋" w:cs="仿宋"/>
          <w:b w:val="0"/>
          <w:bCs w:val="0"/>
          <w:sz w:val="24"/>
          <w:szCs w:val="24"/>
          <w:lang w:val="en-US" w:eastAsia="zh-CN" w:bidi="ar-SA"/>
        </w:rPr>
        <w:t xml:space="preserve">二道堤(新大路闸-兴港东路):环境保洁面积3000m2;绿化养护5040m2</w:t>
      </w:r>
      <w:r/>
    </w:p>
    <w:p>
      <w:pPr>
        <w:ind w:left="0" w:firstLine="482"/>
        <w:keepLines w:val="0"/>
        <w:keepNext w:val="0"/>
        <w:pageBreakBefore w:val="0"/>
        <w:spacing w:line="360" w:lineRule="auto"/>
        <w:rPr>
          <w:rFonts w:hint="eastAsia" w:ascii="仿宋" w:hAnsi="仿宋" w:eastAsia="仿宋" w:cs="仿宋"/>
          <w:b/>
          <w:bCs/>
          <w:sz w:val="24"/>
          <w:szCs w:val="24"/>
        </w:rPr>
        <w:outlineLvl w:val="0"/>
      </w:pP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工作内容与要求</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1、河面清洁，确保无水花生、水浮萍、生活垃圾、秸杆等漂浮物，无有害水生植物；河道通畅，无阻水的建筑物、构筑物、障碍物、高杆植物，无鱼罾、渔网、鱼簖等捕鱼设施，无非法取土、乱填河道、挡水圩堰、坝埂；水体干净，无黑臭现象，无倾倒和排放有毒有害物质、畜禽粪便等污水入河行为。</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2、河坡整洁，确保无乱占、乱建、乱排、乱挖、乱堆乱放、乱垦乱种等行为；无杂草丛生、杂树、枯树、倒树、死树；无坍塌、雨淋沟未修复现象；河长公示牌无损坏、更新不及时的现象。</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3、经过驳岸、绿化整治的河道，河坡绿化养护管理标准不得低于《江苏省城市园林绿化养护管理规范及分级标准》（苏建园〔2015〕383号）中三级管护绿地的标准（详见附件）。</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4、河道管理范围内无倾倒、堆放、填埋建筑垃圾、生活垃圾、煤灰、泥土、泥浆等废弃物和其他污染物现象；无妨碍行洪的行为；对河道管理范围内的建设项目实施监督管理，杜绝未经许可的建设、损坏堤防护岸和闸坝等水工程设施等行为。</w:t>
      </w:r>
      <w:r/>
    </w:p>
    <w:p>
      <w:pPr>
        <w:ind w:left="0" w:firstLine="480"/>
        <w:keepLines w:val="0"/>
        <w:keepNext w:val="0"/>
        <w:pageBreakBefore w:val="0"/>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5、涵闸、泵站管理：重点检查涵闸设施（如闸门、启闭机）、电气设备、止水装置、金属结构等关键部位，监测沉降、渗漏、裂缝等隐患。机电设备润滑保养，闸门除锈涂刷防锈漆，紧固螺栓更换。止水装置老化部件更新，金属结构防腐处理。汛前完成沉降观测设施维护、泄洪闸检修及排水系统测试，确保设施汛期可靠运行。制定涵闸运行管护办法，明确操作规程与执法权限，推动标准化管理。</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、重大活动、节假日、重大检查期间及时有效完成采购人交办相应的管护任务。</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、资料管理</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rPr>
        <w:t xml:space="preserve">做好日常养护资料收集工作，确保各项养护、巡查记录资料齐全，规范。</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、采购方不定期对管护单位工作进行巡查，管护范围内必须每日平均有工作人员常态化管护。</w:t>
      </w:r>
      <w:r/>
    </w:p>
    <w:p>
      <w:pPr>
        <w:ind w:left="0" w:firstLine="480"/>
        <w:keepLines w:val="0"/>
        <w:keepNext w:val="0"/>
        <w:pageBreakBefore w:val="0"/>
        <w:spacing w:line="360" w:lineRule="auto"/>
        <w:rPr>
          <w:rFonts w:hint="eastAsia" w:ascii="仿宋" w:hAnsi="仿宋" w:eastAsia="仿宋" w:cs="仿宋"/>
          <w:sz w:val="24"/>
          <w:szCs w:val="24"/>
        </w:rPr>
        <w:outlineLvl w:val="0"/>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、采购方会同主管部门，每月对管护效果进行</w:t>
      </w:r>
      <w:r>
        <w:rPr>
          <w:rFonts w:hint="eastAsia" w:ascii="仿宋" w:hAnsi="仿宋" w:eastAsia="仿宋" w:cs="仿宋"/>
          <w:sz w:val="24"/>
          <w:szCs w:val="24"/>
          <w:lang w:val="en-US" w:eastAsia="zh-CN"/>
        </w:rPr>
        <w:t xml:space="preserve">评估</w:t>
      </w:r>
      <w:r>
        <w:rPr>
          <w:rFonts w:hint="eastAsia" w:ascii="仿宋" w:hAnsi="仿宋" w:eastAsia="仿宋" w:cs="仿宋"/>
          <w:sz w:val="24"/>
          <w:szCs w:val="24"/>
        </w:rPr>
        <w:t xml:space="preserve">考核，</w:t>
      </w:r>
      <w:r>
        <w:rPr>
          <w:rFonts w:hint="eastAsia" w:ascii="仿宋" w:hAnsi="仿宋" w:eastAsia="仿宋" w:cs="仿宋"/>
          <w:sz w:val="24"/>
          <w:szCs w:val="24"/>
          <w:lang w:val="en-US" w:eastAsia="zh-CN"/>
        </w:rPr>
        <w:t xml:space="preserve">评估</w:t>
      </w:r>
      <w:r>
        <w:rPr>
          <w:rFonts w:hint="eastAsia" w:ascii="仿宋" w:hAnsi="仿宋" w:eastAsia="仿宋" w:cs="仿宋"/>
          <w:sz w:val="24"/>
          <w:szCs w:val="24"/>
        </w:rPr>
        <w:t xml:space="preserve">考核</w:t>
      </w:r>
      <w:r>
        <w:rPr>
          <w:rFonts w:hint="eastAsia" w:ascii="仿宋" w:hAnsi="仿宋" w:eastAsia="仿宋" w:cs="仿宋"/>
          <w:sz w:val="24"/>
          <w:szCs w:val="24"/>
          <w:lang w:val="en-US" w:eastAsia="zh-CN"/>
        </w:rPr>
        <w:t xml:space="preserve">标准按照《关于开展全区河湖长效管护补助资金质效评估工作的通知(试行)》执行。</w:t>
      </w:r>
      <w:r>
        <w:rPr>
          <w:rFonts w:hint="eastAsia" w:ascii="仿宋" w:hAnsi="仿宋" w:eastAsia="仿宋" w:cs="仿宋"/>
          <w:sz w:val="24"/>
          <w:szCs w:val="24"/>
        </w:rPr>
        <w:t xml:space="preserve">评估采用百分制计分方式进行，评估结果将作为核拨长效管护补助资金的依据(按比例核拨)，其中得分低于70分的，不予拨付经费。</w:t>
      </w:r>
      <w:r/>
    </w:p>
    <w:p>
      <w:pPr>
        <w:ind w:left="0" w:firstLine="480"/>
        <w:keepLines w:val="0"/>
        <w:keepNext w:val="0"/>
        <w:pageBreakBefore w:val="0"/>
        <w:spacing w:line="360" w:lineRule="auto"/>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10、供应商具有类似养护经验为优，供应商应编制总体思路、养护人员的培训、管理、垃圾收集、清运管理方案、应急抢险、突击保障方案、文明作业实施方案及保障措施评价、安全管理实施方案及保障措施、节假日工作安排方案等方案，并按照方案实施养护</w:t>
      </w:r>
      <w:r/>
    </w:p>
    <w:p>
      <w:pPr>
        <w:ind w:left="0"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三、管护工期：</w:t>
      </w:r>
      <w:r/>
    </w:p>
    <w:p>
      <w:pPr>
        <w:ind w:left="0" w:firstLine="480"/>
        <w:keepLines w:val="0"/>
        <w:keepNext w:val="0"/>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合同期限</w:t>
      </w:r>
      <w:r>
        <w:rPr>
          <w:rFonts w:hint="eastAsia" w:ascii="仿宋" w:hAnsi="仿宋" w:eastAsia="仿宋" w:cs="仿宋"/>
          <w:color w:val="000000"/>
          <w:sz w:val="24"/>
          <w:szCs w:val="24"/>
          <w:highlight w:val="none"/>
          <w:lang w:val="en-US" w:eastAsia="zh-CN"/>
        </w:rPr>
        <w:t xml:space="preserve">为：自合同签订之日起1年</w:t>
      </w:r>
      <w:r>
        <w:rPr>
          <w:rFonts w:hint="eastAsia" w:ascii="仿宋" w:hAnsi="仿宋" w:eastAsia="仿宋" w:cs="仿宋"/>
          <w:color w:val="000000"/>
          <w:sz w:val="24"/>
          <w:szCs w:val="24"/>
          <w:highlight w:val="none"/>
          <w:lang w:eastAsia="zh-CN"/>
        </w:rPr>
        <w:t xml:space="preserve">。</w:t>
      </w:r>
      <w:r/>
    </w:p>
    <w:p>
      <w:pPr>
        <w:ind w:left="0"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管护效果达到</w:t>
      </w:r>
      <w:r>
        <w:rPr>
          <w:rFonts w:hint="eastAsia" w:ascii="仿宋" w:hAnsi="仿宋" w:eastAsia="仿宋" w:cs="仿宋"/>
          <w:color w:val="000000"/>
          <w:sz w:val="24"/>
          <w:szCs w:val="24"/>
          <w:highlight w:val="none"/>
          <w:lang w:eastAsia="zh-CN"/>
        </w:rPr>
        <w:t xml:space="preserve">《关于开展全区河湖长效管护补助资金质效评估工作的通知(试行)》</w:t>
      </w:r>
      <w:r>
        <w:rPr>
          <w:rFonts w:hint="eastAsia" w:ascii="仿宋" w:hAnsi="仿宋" w:eastAsia="仿宋" w:cs="仿宋"/>
          <w:color w:val="000000"/>
          <w:sz w:val="24"/>
          <w:szCs w:val="24"/>
          <w:highlight w:val="none"/>
        </w:rPr>
        <w:t xml:space="preserve">规定的要求。</w:t>
      </w:r>
      <w:r/>
    </w:p>
    <w:p>
      <w:pPr>
        <w:ind w:left="0"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四、用工要求：</w:t>
      </w:r>
      <w:r/>
    </w:p>
    <w:p>
      <w:pPr>
        <w:ind w:left="0"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项目经理：1人，要求男性，50岁以下，有</w:t>
      </w:r>
      <w:r>
        <w:rPr>
          <w:rFonts w:hint="eastAsia" w:ascii="仿宋" w:hAnsi="仿宋" w:eastAsia="仿宋" w:cs="仿宋"/>
          <w:color w:val="000000"/>
          <w:sz w:val="24"/>
          <w:szCs w:val="24"/>
          <w:highlight w:val="none"/>
          <w:lang w:val="en-US" w:eastAsia="zh-CN"/>
        </w:rPr>
        <w:t xml:space="preserve">类似工作</w:t>
      </w:r>
      <w:r>
        <w:rPr>
          <w:rFonts w:hint="eastAsia" w:ascii="仿宋" w:hAnsi="仿宋" w:eastAsia="仿宋" w:cs="仿宋"/>
          <w:color w:val="000000"/>
          <w:sz w:val="24"/>
          <w:szCs w:val="24"/>
          <w:highlight w:val="none"/>
        </w:rPr>
        <w:t xml:space="preserve">经验。</w:t>
      </w:r>
      <w:r/>
    </w:p>
    <w:p>
      <w:pPr>
        <w:pStyle w:val="659"/>
        <w:ind w:left="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    技术负责人1人，</w:t>
      </w:r>
      <w:r>
        <w:rPr>
          <w:rFonts w:hint="eastAsia" w:ascii="仿宋" w:hAnsi="仿宋" w:eastAsia="仿宋" w:cs="仿宋"/>
          <w:color w:val="000000"/>
          <w:sz w:val="24"/>
          <w:szCs w:val="24"/>
          <w:highlight w:val="none"/>
        </w:rPr>
        <w:t xml:space="preserve">要求男性，50岁以下，有</w:t>
      </w:r>
      <w:r>
        <w:rPr>
          <w:rFonts w:hint="eastAsia" w:ascii="仿宋" w:hAnsi="仿宋" w:eastAsia="仿宋" w:cs="仿宋"/>
          <w:color w:val="000000"/>
          <w:sz w:val="24"/>
          <w:szCs w:val="24"/>
          <w:highlight w:val="none"/>
          <w:lang w:val="en-US" w:eastAsia="zh-CN"/>
        </w:rPr>
        <w:t xml:space="preserve">类似工作</w:t>
      </w:r>
      <w:r>
        <w:rPr>
          <w:rFonts w:hint="eastAsia" w:ascii="仿宋" w:hAnsi="仿宋" w:eastAsia="仿宋" w:cs="仿宋"/>
          <w:color w:val="000000"/>
          <w:sz w:val="24"/>
          <w:szCs w:val="24"/>
          <w:highlight w:val="none"/>
        </w:rPr>
        <w:t xml:space="preserve">经验。</w:t>
      </w:r>
      <w:r/>
    </w:p>
    <w:p>
      <w:pPr>
        <w:ind w:left="0"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河道管护人员：在岗人员不少于10人，要求:性别不限，男性60周岁以下；女性年龄在55周岁以下，具有小学或以上学历，五官端正，身体健康。</w:t>
      </w:r>
      <w:r/>
    </w:p>
    <w:p>
      <w:pPr>
        <w:ind w:left="0"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w:t>
      </w:r>
      <w:r>
        <w:rPr>
          <w:rFonts w:hint="eastAsia" w:ascii="仿宋" w:hAnsi="仿宋" w:eastAsia="仿宋" w:cs="仿宋"/>
          <w:color w:val="000000"/>
          <w:sz w:val="24"/>
          <w:szCs w:val="24"/>
          <w:highlight w:val="none"/>
        </w:rPr>
        <w:t xml:space="preserve"> </w:t>
      </w:r>
      <w:bookmarkStart w:id="225" w:name="_Toc275953502"/>
      <w:r/>
      <w:bookmarkStart w:id="226" w:name="_Toc237541627"/>
      <w:r/>
      <w:bookmarkStart w:id="227" w:name="_Toc247534993"/>
      <w:r/>
      <w:bookmarkStart w:id="228" w:name="_Toc237540256"/>
      <w:r/>
      <w:bookmarkStart w:id="229" w:name="_Toc269050409"/>
      <w:r>
        <w:rPr>
          <w:rFonts w:hint="eastAsia" w:ascii="仿宋" w:hAnsi="仿宋" w:eastAsia="仿宋" w:cs="仿宋"/>
          <w:b/>
          <w:bCs/>
          <w:color w:val="000000"/>
          <w:sz w:val="24"/>
          <w:szCs w:val="24"/>
          <w:highlight w:val="none"/>
        </w:rPr>
        <w:t xml:space="preserve">计量和支付</w:t>
      </w:r>
      <w:bookmarkEnd w:id="225"/>
      <w:r/>
      <w:bookmarkEnd w:id="226"/>
      <w:r/>
      <w:bookmarkEnd w:id="227"/>
      <w:r/>
      <w:bookmarkEnd w:id="228"/>
      <w:r/>
      <w:bookmarkEnd w:id="229"/>
      <w:r/>
      <w:r/>
    </w:p>
    <w:p>
      <w:pPr>
        <w:ind w:left="0"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除合同另有规定外，本合同为单价承包项目（部分为总价），其单价或总价包含河道岸坡保洁、清理、弃运、设施管护及一切必要的辅助工作等所包含的各项人工、材料、机械、管理费、间接费、利润、规费、税金等。</w:t>
      </w:r>
      <w:r/>
    </w:p>
    <w:p>
      <w:pPr>
        <w:ind w:left="0"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（2）未列入工程量清单中的其它项目和工程量，被认为是供应商实施本工程或本技术条款其它章节有关项目的附属工作，其费用应视为已分配在相关工程的单价和总价中，均不单独计量支付。</w:t>
      </w:r>
      <w:r/>
    </w:p>
    <w:p>
      <w:pPr>
        <w:ind w:left="0"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（3）日常管护费用按季度进行支付。具体金额以季度考核得分为依据，90分为合格分，90分以下按得分百分比对该季度进行折扣支付，考核未达到</w:t>
      </w:r>
      <w:r>
        <w:rPr>
          <w:rFonts w:hint="eastAsia" w:ascii="仿宋" w:hAnsi="仿宋" w:eastAsia="仿宋" w:cs="仿宋"/>
          <w:color w:val="000000"/>
          <w:sz w:val="24"/>
          <w:szCs w:val="24"/>
          <w:highlight w:val="none"/>
          <w:lang w:eastAsia="zh-CN"/>
        </w:rPr>
        <w:t xml:space="preserve">《大路镇河道长效管护考核</w:t>
      </w:r>
      <w:r>
        <w:rPr>
          <w:rFonts w:hint="eastAsia" w:ascii="仿宋" w:hAnsi="仿宋" w:eastAsia="仿宋" w:cs="仿宋"/>
          <w:color w:val="000000"/>
          <w:sz w:val="24"/>
          <w:szCs w:val="24"/>
          <w:highlight w:val="none"/>
          <w:lang w:val="en-US" w:eastAsia="zh-CN"/>
        </w:rPr>
        <w:t xml:space="preserve">细则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规定标准要求的，不予支付。</w:t>
      </w:r>
      <w:r/>
    </w:p>
    <w:p>
      <w:pPr>
        <w:ind w:left="0" w:firstLine="480"/>
        <w:keepLines w:val="0"/>
        <w:keepNext w:val="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（4）政府重大活动、节假日、重大检查及突击任务期管护费</w:t>
      </w:r>
      <w:r>
        <w:rPr>
          <w:rFonts w:hint="eastAsia" w:ascii="仿宋" w:hAnsi="仿宋" w:eastAsia="仿宋" w:cs="仿宋"/>
          <w:color w:val="000000"/>
          <w:sz w:val="24"/>
          <w:szCs w:val="24"/>
          <w:highlight w:val="none"/>
          <w:lang w:val="en-US" w:eastAsia="zh-CN"/>
        </w:rPr>
        <w:t xml:space="preserve">已含在本项项目总费用中，</w:t>
      </w:r>
      <w:r>
        <w:rPr>
          <w:rFonts w:hint="eastAsia" w:ascii="仿宋" w:hAnsi="仿宋" w:eastAsia="仿宋" w:cs="仿宋"/>
          <w:color w:val="000000"/>
          <w:sz w:val="24"/>
          <w:szCs w:val="24"/>
          <w:highlight w:val="none"/>
        </w:rPr>
        <w:t xml:space="preserve">不单独计量支付。</w:t>
      </w:r>
      <w:r/>
    </w:p>
    <w:p>
      <w:pPr>
        <w:ind w:left="0"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（5）支付包含河道岸坡及水面日常管护保洁、阻水设施清除、垃圾清理弃运、绿化维护修整管理、水质维护及应急处理措施等一切相关的所有费用。</w:t>
      </w:r>
      <w:r/>
    </w:p>
    <w:p>
      <w:pPr>
        <w:ind w:left="0"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七</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大路镇河道管护情况</w:t>
      </w:r>
      <w:r>
        <w:rPr>
          <w:rFonts w:hint="eastAsia" w:ascii="仿宋" w:hAnsi="仿宋" w:eastAsia="仿宋" w:cs="仿宋"/>
          <w:b/>
          <w:bCs/>
          <w:color w:val="000000"/>
          <w:sz w:val="24"/>
          <w:szCs w:val="24"/>
          <w:highlight w:val="none"/>
        </w:rPr>
        <w:t xml:space="preserve">:</w:t>
      </w:r>
      <w:r/>
    </w:p>
    <w:p>
      <w:pPr>
        <w:ind w:left="0"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河面清洁的难度受多种因素综合影响，（1）部分河面宽阔的河流，清洁人员需要覆盖更大的区域，增加了人力和物力的投入。（2）恶劣的气象条件，如汛期、大风、暴雨、大雾等，会影响清洁作业的安全和效率。（3）河面上的垃圾种类繁多，包括塑料垃圾、生活垃圾、建筑垃圾、农业废弃物等。不同种类的垃圾需要采用不同的清理方法和设备。而且垃圾数量越多，清洁工作的工作量就越大，难度也越高。</w:t>
      </w:r>
      <w:r>
        <w:rPr>
          <w:rFonts w:hint="eastAsia" w:ascii="仿宋" w:hAnsi="仿宋" w:eastAsia="仿宋" w:cs="仿宋"/>
          <w:color w:val="000000"/>
          <w:sz w:val="24"/>
          <w:szCs w:val="24"/>
          <w:highlight w:val="none"/>
          <w:lang w:val="en-US" w:eastAsia="zh-CN"/>
        </w:rPr>
        <w:t xml:space="preserve">供应商应合理考虑。</w:t>
      </w:r>
      <w:r/>
    </w:p>
    <w:p>
      <w:pPr>
        <w:ind w:left="0" w:firstLine="480"/>
        <w:keepLines w:val="0"/>
        <w:keepNext w:val="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河道坡面管护：（1）大路部分河道坡面地质松软，容易发生滑坡、塌方等地质灾害。在管护过程中，可能会因为施工扰动等原因引发新的地质问题，威胁作业人员的安全。例如，一些由砂土、黏土等松散物质组成的坡面，在雨水冲刷或人为活动影响下，很容易出现滑坡现象。（2）可能存在部分农民偷偷放牧及焚烧的情况，大路河道长，管护面积大且分散，需要人手多，巡查次数及频率要高。供应商应合理考虑。</w:t>
      </w:r>
      <w:r/>
    </w:p>
    <w:p>
      <w:pPr>
        <w:ind w:left="0" w:firstLine="480"/>
        <w:keepLines w:val="0"/>
        <w:keepNext w:val="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涵闸主体结构包含闸室、闸门、启闭机、工作桥等，需定期检查裂缝、变形、腐蚀等问题。洞身内部缝隙因压力输水特性易发生断裂，渗水或大堤变形风险较高。同时需对闸室、闸墩、翼墙、护坡等上下游连接段进行清淤加固，结构维护涉及多环节协同作业。</w:t>
      </w:r>
      <w:r>
        <w:rPr>
          <w:rFonts w:hint="eastAsia" w:ascii="仿宋" w:hAnsi="仿宋" w:eastAsia="仿宋" w:cs="仿宋"/>
          <w:color w:val="000000"/>
          <w:sz w:val="24"/>
          <w:szCs w:val="24"/>
          <w:highlight w:val="none"/>
          <w:lang w:val="en-US" w:eastAsia="zh-CN"/>
        </w:rPr>
        <w:t xml:space="preserve">启闭机、液压系统、电气控制系统需定期检查润滑、清洁、紧固，并处理螺杆丝杠锈蚀、油污及部件磨损问题。启闭机螺杆变形会导致闸门启闭压力异常，需通过润滑保养和操作机构调试确保设备运行稳定。汛期高强度水流冲击可能加剧涵闸结构磨损，同时需配合河道堤防和排水蓄水工程调节水流。极端天气可能引发堤防与涵闸结合部位渗漏、沉陷等险情，需强化险情监测与应急处理。频繁启闭操作易导致机械部件磨损，需定期对启闭设备进行精度校准和性能测试。闸门金属结构需进行防腐处理，混凝土裂缝需采用环氧树脂等材料修补，以延长使用寿命。供应商应合理考虑。</w:t>
      </w:r>
      <w:r/>
    </w:p>
    <w:p>
      <w:pPr>
        <w:ind w:left="0" w:firstLine="480"/>
        <w:keepLines w:val="0"/>
        <w:keepNext w:val="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节假日管护：节假日是人们休闲娱乐的高峰期，大量游客涌入河道周边区域。游客的聚集会使河道周边的垃圾产生量大幅增加，如食品包装袋、饮料瓶、纸巾等。大大增加了垃圾清理的难度和工作量。垃圾清理人员需要在更短的时间内清理更多的垃圾。而且垃圾的分布范围也会更广，可能会散布在河道的各个角落，包括河岸、草丛、桥洞等隐蔽处，增加了清理的难度。供应商应合理考虑。</w:t>
      </w:r>
      <w:r/>
    </w:p>
    <w:p>
      <w:pPr>
        <w:ind w:left="0" w:firstLine="480"/>
        <w:keepLines w:val="0"/>
        <w:keepNext w:val="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安全文明作业：不同河段水流速度、深度差异大，河道地形复杂，存在暗流、深坑、礁石等，作业人员稍有不慎就可能摔倒、碰撞或陷入危险境地。在汛期期间管护会使河水暴涨，增加溺水风险。高温天气易导致作业人员中暑，严寒天气则可能使人员冻伤，同时影响设备的正常运行。季节变化会导致河道水位、水流速度、水质等发生变化，从而影响文明作业的实施。在雨季，河道水位上涨，水流湍急，增加了作业的危险性和难度，同时也可能使作业现场变得泥泞不堪，难以保持整洁。供应商应合理考虑。</w:t>
      </w:r>
      <w:r/>
    </w:p>
    <w:p>
      <w:pPr>
        <w:ind w:left="0" w:firstLine="480"/>
        <w:keepLines w:val="0"/>
        <w:keepNext w:val="0"/>
        <w:pageBreakBefore w:val="0"/>
        <w:spacing w:line="36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6、应急保障：大路镇河道分布广泛、地形复杂，在暴雨，暴雪的环境中物资运输和人员调配面临诸多困难。然而在河道应急保障中，物资调配和人员组织是关键环节。供应商应合理应急预案。</w:t>
      </w:r>
      <w:r/>
    </w:p>
    <w:p>
      <w:pPr>
        <w:ind w:left="0"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七</w:t>
      </w:r>
      <w:r>
        <w:rPr>
          <w:rFonts w:hint="eastAsia" w:ascii="仿宋" w:hAnsi="仿宋" w:eastAsia="仿宋" w:cs="仿宋"/>
          <w:b/>
          <w:bCs/>
          <w:color w:val="000000"/>
          <w:sz w:val="24"/>
          <w:szCs w:val="24"/>
          <w:highlight w:val="none"/>
        </w:rPr>
        <w:t xml:space="preserve">、具体管护标准:</w:t>
      </w:r>
      <w:r/>
    </w:p>
    <w:p>
      <w:pPr>
        <w:ind w:left="0"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lang w:val="en-US" w:eastAsia="zh-CN"/>
        </w:rPr>
        <w:t xml:space="preserve">详</w:t>
      </w:r>
      <w:r>
        <w:rPr>
          <w:rFonts w:hint="eastAsia" w:ascii="仿宋" w:hAnsi="仿宋" w:eastAsia="仿宋" w:cs="仿宋"/>
          <w:b/>
          <w:bCs/>
          <w:color w:val="000000"/>
          <w:sz w:val="24"/>
          <w:szCs w:val="24"/>
          <w:highlight w:val="none"/>
        </w:rPr>
        <w:t xml:space="preserve">见</w:t>
      </w:r>
      <w:r>
        <w:rPr>
          <w:rFonts w:hint="eastAsia" w:ascii="仿宋" w:hAnsi="仿宋" w:eastAsia="仿宋" w:cs="仿宋"/>
          <w:b/>
          <w:bCs/>
          <w:color w:val="000000"/>
          <w:sz w:val="24"/>
          <w:szCs w:val="24"/>
          <w:highlight w:val="none"/>
          <w:lang w:eastAsia="zh-CN"/>
        </w:rPr>
        <w:t xml:space="preserve">附件</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河道长效管护质效评估表</w:t>
      </w:r>
      <w:r>
        <w:rPr>
          <w:rFonts w:hint="eastAsia" w:ascii="仿宋" w:hAnsi="仿宋" w:eastAsia="仿宋" w:cs="仿宋"/>
          <w:b/>
          <w:bCs/>
          <w:color w:val="000000"/>
          <w:sz w:val="24"/>
          <w:szCs w:val="24"/>
          <w:highlight w:val="none"/>
        </w:rPr>
        <w:t xml:space="preserve">》</w:t>
      </w:r>
      <w:r/>
    </w:p>
    <w:tbl>
      <w:tblPr>
        <w:tblStyle w:val="64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6"/>
        <w:gridCol w:w="672"/>
        <w:gridCol w:w="4190"/>
        <w:gridCol w:w="814"/>
        <w:gridCol w:w="2114"/>
        <w:gridCol w:w="1030"/>
      </w:tblGrid>
      <w:tr>
        <w:trPr>
          <w:trHeight w:val="70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top"/>
            <w:textDirection w:val="lrTb"/>
            <w:noWrap/>
          </w:tcPr>
          <w:p>
            <w:pPr>
              <w:jc w:val="center"/>
              <w:keepLines w:val="0"/>
              <w:keepNext w:val="0"/>
              <w:widowControl/>
              <w:rPr>
                <w:rFonts w:hint="eastAsia" w:ascii="仿宋" w:hAnsi="仿宋" w:eastAsia="仿宋" w:cs="仿宋"/>
                <w:b/>
                <w:bCs/>
                <w:i w:val="0"/>
                <w:iCs w:val="0"/>
                <w:color w:val="000000"/>
                <w:sz w:val="21"/>
                <w:szCs w:val="21"/>
                <w:u w:val="none"/>
              </w:rPr>
              <w:suppressLineNumbers w:val="0"/>
            </w:pPr>
            <w:r>
              <w:rPr>
                <w:rStyle w:val="976"/>
                <w:rFonts w:hint="eastAsia" w:ascii="仿宋" w:hAnsi="仿宋" w:eastAsia="仿宋" w:cs="仿宋"/>
                <w:sz w:val="21"/>
                <w:szCs w:val="21"/>
                <w:lang w:val="en-US" w:eastAsia="zh-CN" w:bidi="ar"/>
              </w:rPr>
              <w:t xml:space="preserve">河道长效管护质效评估表</w:t>
            </w:r>
            <w:r/>
          </w:p>
        </w:tc>
      </w:tr>
      <w:tr>
        <w:trPr>
          <w:trHeight w:val="295"/>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top"/>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河道名称：                                                                               评估时间：</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问题类型</w:t>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督查内容</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分值占比</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扣分情况</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得分</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restart"/>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河面问题</w:t>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河面整洁无漂浮物、杂草、高杆植物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发现一处扣2分，扣完12分为止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无影响行洪的渔网、搬蹭等、无圈围养殖情况</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发现一处扣2分，扣完10分为止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无乱排现象及其它影响水质杂物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发现一处扣5分(若已及时处置，可</w:t>
            </w:r>
            <w:r>
              <w:rPr>
                <w:rStyle w:val="977"/>
                <w:rFonts w:hint="eastAsia" w:ascii="仿宋" w:hAnsi="仿宋" w:eastAsia="仿宋" w:cs="仿宋"/>
                <w:sz w:val="21"/>
                <w:szCs w:val="21"/>
                <w:lang w:val="en-US" w:eastAsia="zh-CN" w:bidi="ar"/>
              </w:rPr>
              <w:br/>
            </w:r>
            <w:r>
              <w:rPr>
                <w:rStyle w:val="977"/>
                <w:rFonts w:hint="eastAsia" w:ascii="仿宋" w:hAnsi="仿宋" w:eastAsia="仿宋" w:cs="仿宋"/>
                <w:sz w:val="21"/>
                <w:szCs w:val="21"/>
                <w:lang w:val="en-US" w:eastAsia="zh-CN" w:bidi="ar"/>
              </w:rPr>
              <w:t xml:space="preserve">酌情不扣分),扣完5分为止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水质无黑臭现象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发现一处扣5分(若已及时处置，可</w:t>
            </w:r>
            <w:r>
              <w:rPr>
                <w:rStyle w:val="977"/>
                <w:rFonts w:hint="eastAsia" w:ascii="仿宋" w:hAnsi="仿宋" w:eastAsia="仿宋" w:cs="仿宋"/>
                <w:sz w:val="21"/>
                <w:szCs w:val="21"/>
                <w:lang w:val="en-US" w:eastAsia="zh-CN" w:bidi="ar"/>
              </w:rPr>
              <w:br/>
            </w:r>
            <w:r>
              <w:rPr>
                <w:rStyle w:val="977"/>
                <w:rFonts w:hint="eastAsia" w:ascii="仿宋" w:hAnsi="仿宋" w:eastAsia="仿宋" w:cs="仿宋"/>
                <w:sz w:val="21"/>
                <w:szCs w:val="21"/>
                <w:lang w:val="en-US" w:eastAsia="zh-CN" w:bidi="ar"/>
              </w:rPr>
              <w:t xml:space="preserve">酌情不扣分),扣完5分为止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restart"/>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坡面问题</w:t>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坡面整洁无垃圾、杂草、高杆植物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发现一处扣2分，扣完12分为止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岸坡稳定无水土流失现象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发现一处扣2分，扣完10分为止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无放牧养殖、种植等情况</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发现一处扣2分，扣完8分为止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无垃圾焚烧、大面积烧草现象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发现一处扣5分，扣完5分为止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沿线树木不存在影响交通情况</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发现一处扣1分，扣完2分为止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restart"/>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其它问题</w:t>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涵闸站环境整洁、保养及时</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发现一处扣2分，扣完4分为止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水系畅通无断流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发现一处扣6分，扣完6分为止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管护范围内河道相关设施无损坏、河长制公示牌内容无误并及时更新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发现一处扣1分，扣完6分为止</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1.涵闸站无法正常使用。</w:t>
            </w:r>
            <w:r>
              <w:rPr>
                <w:rStyle w:val="977"/>
                <w:rFonts w:hint="eastAsia" w:ascii="仿宋" w:hAnsi="仿宋" w:eastAsia="仿宋" w:cs="仿宋"/>
                <w:sz w:val="21"/>
                <w:szCs w:val="21"/>
                <w:lang w:val="en-US" w:eastAsia="zh-CN" w:bidi="ar"/>
              </w:rPr>
              <w:br/>
            </w:r>
            <w:r>
              <w:rPr>
                <w:rStyle w:val="977"/>
                <w:rFonts w:hint="eastAsia" w:ascii="仿宋" w:hAnsi="仿宋" w:eastAsia="仿宋" w:cs="仿宋"/>
                <w:sz w:val="21"/>
                <w:szCs w:val="21"/>
                <w:lang w:val="en-US" w:eastAsia="zh-CN" w:bidi="ar"/>
              </w:rPr>
              <w:t xml:space="preserve">2.领导督办、媒体曝光等问题未能及时整改造成严重影响。</w:t>
            </w:r>
            <w:r>
              <w:rPr>
                <w:rStyle w:val="977"/>
                <w:rFonts w:hint="eastAsia" w:ascii="仿宋" w:hAnsi="仿宋" w:eastAsia="仿宋" w:cs="仿宋"/>
                <w:sz w:val="21"/>
                <w:szCs w:val="21"/>
                <w:lang w:val="en-US" w:eastAsia="zh-CN" w:bidi="ar"/>
              </w:rPr>
              <w:br/>
            </w:r>
            <w:r>
              <w:rPr>
                <w:rStyle w:val="977"/>
                <w:rFonts w:hint="eastAsia" w:ascii="仿宋" w:hAnsi="仿宋" w:eastAsia="仿宋" w:cs="仿宋"/>
                <w:sz w:val="21"/>
                <w:szCs w:val="21"/>
                <w:lang w:val="en-US" w:eastAsia="zh-CN" w:bidi="ar"/>
              </w:rPr>
              <w:t xml:space="preserve">3.出现新涉水违章且未及时处置。</w:t>
            </w:r>
            <w:r>
              <w:rPr>
                <w:rStyle w:val="977"/>
                <w:rFonts w:hint="eastAsia" w:ascii="仿宋" w:hAnsi="仿宋" w:eastAsia="仿宋" w:cs="仿宋"/>
                <w:sz w:val="21"/>
                <w:szCs w:val="21"/>
                <w:lang w:val="en-US" w:eastAsia="zh-CN" w:bidi="ar"/>
              </w:rPr>
              <w:br/>
            </w:r>
            <w:r>
              <w:rPr>
                <w:rStyle w:val="977"/>
                <w:rFonts w:hint="eastAsia" w:ascii="仿宋" w:hAnsi="仿宋" w:eastAsia="仿宋" w:cs="仿宋"/>
                <w:sz w:val="21"/>
                <w:szCs w:val="21"/>
                <w:lang w:val="en-US" w:eastAsia="zh-CN" w:bidi="ar"/>
              </w:rPr>
              <w:t xml:space="preserve">4.各重要创建活动中出现重大责任问题。</w:t>
            </w:r>
            <w:r>
              <w:rPr>
                <w:rStyle w:val="977"/>
                <w:rFonts w:hint="eastAsia" w:ascii="仿宋" w:hAnsi="仿宋" w:eastAsia="仿宋" w:cs="仿宋"/>
                <w:sz w:val="21"/>
                <w:szCs w:val="21"/>
                <w:lang w:val="en-US" w:eastAsia="zh-CN" w:bidi="ar"/>
              </w:rPr>
              <w:br/>
            </w:r>
            <w:r>
              <w:rPr>
                <w:rStyle w:val="977"/>
                <w:rFonts w:hint="eastAsia" w:ascii="仿宋" w:hAnsi="仿宋" w:eastAsia="仿宋" w:cs="仿宋"/>
                <w:sz w:val="21"/>
                <w:szCs w:val="21"/>
                <w:lang w:val="en-US" w:eastAsia="zh-CN" w:bidi="ar"/>
              </w:rPr>
              <w:t xml:space="preserve">5. 日常管理中因工作失误造成严重不良影响的。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发生一次扣15分</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vMerge w:val="continue"/>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上次发现扣分点未及时整改到位</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一次性扣15分</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23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Style w:val="977"/>
                <w:rFonts w:hint="eastAsia" w:ascii="仿宋" w:hAnsi="仿宋" w:eastAsia="仿宋" w:cs="仿宋"/>
                <w:sz w:val="21"/>
                <w:szCs w:val="21"/>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66"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top"/>
            <w:textDirection w:val="lrTb"/>
            <w:noWrap w:val="false"/>
          </w:tcPr>
          <w:p>
            <w:pPr>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42"/>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top"/>
            <w:textDirection w:val="lrTb"/>
            <w:noWrap w:val="false"/>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评估单位：                          评估人员：</w:t>
            </w:r>
            <w:r/>
          </w:p>
        </w:tc>
      </w:tr>
    </w:tbl>
    <w:p>
      <w:pPr>
        <w:ind w:lef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p>
      <w:pPr>
        <w:ind w:left="0" w:right="0" w:firstLine="0"/>
        <w:jc w:val="center"/>
        <w:keepLines w:val="0"/>
        <w:keepNext w:val="0"/>
        <w:pageBreakBefore w:val="0"/>
        <w:spacing w:before="0" w:after="0" w:line="360" w:lineRule="auto"/>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rPr>
        <w:t xml:space="preserve">绿地养护管理标准</w:t>
      </w:r>
      <w:r/>
    </w:p>
    <w:tbl>
      <w:tblPr>
        <w:tblStyle w:val="679"/>
        <w:tblpPr w:horzAnchor="page" w:tblpX="1434" w:vertAnchor="text" w:tblpYSpec="bottom"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1152"/>
        <w:gridCol w:w="1219"/>
        <w:gridCol w:w="6176"/>
      </w:tblGrid>
      <w:tr>
        <w:trPr>
          <w:trHeight w:val="550"/>
        </w:trPr>
        <w:tc>
          <w:tcPr>
            <w:tcMar>
              <w:left w:w="0" w:type="dxa"/>
              <w:top w:w="0" w:type="dxa"/>
              <w:right w:w="0" w:type="dxa"/>
              <w:bottom w:w="0" w:type="dxa"/>
            </w:tcMar>
            <w:tcW w:w="271" w:type="pct"/>
            <w:vAlign w:val="center"/>
            <w:textDirection w:val="lrTb"/>
            <w:noWrap w:val="false"/>
          </w:tcPr>
          <w:p>
            <w:pPr>
              <w:ind w:left="0" w:right="0"/>
              <w:jc w:val="both"/>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序号</w:t>
            </w:r>
            <w:r/>
          </w:p>
        </w:tc>
        <w:tc>
          <w:tcPr>
            <w:tcMar>
              <w:left w:w="0" w:type="dxa"/>
              <w:top w:w="0" w:type="dxa"/>
              <w:right w:w="0" w:type="dxa"/>
              <w:bottom w:w="0" w:type="dxa"/>
            </w:tcMar>
            <w:tcW w:w="637" w:type="pct"/>
            <w:vAlign w:val="center"/>
            <w:textDirection w:val="lrTb"/>
            <w:noWrap w:val="false"/>
          </w:tcPr>
          <w:p>
            <w:pPr>
              <w:ind w:left="0" w:right="0"/>
              <w:jc w:val="both"/>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4"/>
                <w:sz w:val="21"/>
                <w:szCs w:val="21"/>
              </w:rPr>
              <w:t xml:space="preserve">管护类别</w:t>
            </w:r>
            <w:r/>
          </w:p>
        </w:tc>
        <w:tc>
          <w:tcPr>
            <w:tcMar>
              <w:left w:w="0" w:type="dxa"/>
              <w:top w:w="0" w:type="dxa"/>
              <w:right w:w="0" w:type="dxa"/>
              <w:bottom w:w="0" w:type="dxa"/>
            </w:tcMar>
            <w:tcW w:w="674" w:type="pct"/>
            <w:vAlign w:val="center"/>
            <w:textDirection w:val="lrTb"/>
            <w:noWrap w:val="false"/>
          </w:tcPr>
          <w:p>
            <w:pPr>
              <w:ind w:left="0" w:right="0"/>
              <w:jc w:val="both"/>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1"/>
                <w:sz w:val="21"/>
                <w:szCs w:val="21"/>
              </w:rPr>
              <w:t xml:space="preserve">管护项目</w:t>
            </w:r>
            <w:r/>
          </w:p>
        </w:tc>
        <w:tc>
          <w:tcPr>
            <w:tcMar>
              <w:left w:w="0" w:type="dxa"/>
              <w:top w:w="0" w:type="dxa"/>
              <w:right w:w="0" w:type="dxa"/>
              <w:bottom w:w="0" w:type="dxa"/>
            </w:tcMar>
            <w:tcW w:w="3416" w:type="pct"/>
            <w:vAlign w:val="center"/>
            <w:textDirection w:val="lrTb"/>
            <w:noWrap w:val="false"/>
          </w:tcPr>
          <w:p>
            <w:pPr>
              <w:ind w:left="0" w:right="0"/>
              <w:jc w:val="both"/>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rPr>
              <w:t xml:space="preserve">三级管护绿地养护管理标准</w:t>
            </w:r>
            <w:r/>
          </w:p>
        </w:tc>
      </w:tr>
      <w:tr>
        <w:trPr>
          <w:trHeight w:val="1571"/>
        </w:trPr>
        <w:tc>
          <w:tcPr>
            <w:tcMar>
              <w:left w:w="0" w:type="dxa"/>
              <w:top w:w="0" w:type="dxa"/>
              <w:right w:w="0" w:type="dxa"/>
              <w:bottom w:w="0" w:type="dxa"/>
            </w:tcMar>
            <w:tcW w:w="271"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1.1</w:t>
            </w:r>
            <w:r/>
          </w:p>
        </w:tc>
        <w:tc>
          <w:tcPr>
            <w:tcMar>
              <w:left w:w="0" w:type="dxa"/>
              <w:top w:w="0" w:type="dxa"/>
              <w:right w:w="0" w:type="dxa"/>
              <w:bottom w:w="0" w:type="dxa"/>
            </w:tcMar>
            <w:tcW w:w="637" w:type="pct"/>
            <w:vAlign w:val="center"/>
            <w:vMerge w:val="restart"/>
            <w:textDirection w:val="lrTb"/>
            <w:noWrap w:val="false"/>
          </w:tcPr>
          <w:p>
            <w:pPr>
              <w:ind w:left="0" w:right="0" w:firstLine="15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1"/>
                <w:szCs w:val="21"/>
              </w:rPr>
              <w:t xml:space="preserve">园林植物养护</w:t>
            </w:r>
            <w:r/>
          </w:p>
        </w:tc>
        <w:tc>
          <w:tcPr>
            <w:tcMar>
              <w:left w:w="0" w:type="dxa"/>
              <w:top w:w="0" w:type="dxa"/>
              <w:right w:w="0" w:type="dxa"/>
              <w:bottom w:w="0" w:type="dxa"/>
            </w:tcMar>
            <w:tcW w:w="674" w:type="pct"/>
            <w:vAlign w:val="center"/>
            <w:textDirection w:val="lrTb"/>
            <w:noWrap w:val="false"/>
          </w:tcPr>
          <w:p>
            <w:pPr>
              <w:ind w:right="0"/>
              <w:jc w:val="both"/>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5"/>
                <w:sz w:val="21"/>
                <w:szCs w:val="21"/>
              </w:rPr>
              <w:t xml:space="preserve">乔木</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4"/>
                <w:sz w:val="21"/>
                <w:szCs w:val="21"/>
              </w:rPr>
              <w:t xml:space="preserve">生长正常,树冠完整。</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9"/>
                <w:sz w:val="21"/>
                <w:szCs w:val="21"/>
              </w:rPr>
              <w:t xml:space="preserve">无明显枯枝死权；主侧枝分布匀称、数量较适宜；修剪合理；树木无明显歪斜(造型树</w:t>
            </w:r>
            <w:r>
              <w:rPr>
                <w:rFonts w:hint="eastAsia" w:ascii="仿宋" w:hAnsi="仿宋" w:eastAsia="仿宋" w:cs="仿宋"/>
                <w:color w:val="000000"/>
                <w:spacing w:val="12"/>
                <w:sz w:val="21"/>
                <w:szCs w:val="21"/>
              </w:rPr>
              <w:t xml:space="preserve">木除外)。叶片大小、颜色正常,有黄叶、焦叶和卷叶的株数不超过10%,正常叶片保</w:t>
            </w:r>
            <w:r>
              <w:rPr>
                <w:rFonts w:hint="eastAsia" w:ascii="仿宋" w:hAnsi="仿宋" w:eastAsia="仿宋" w:cs="仿宋"/>
                <w:color w:val="000000"/>
                <w:spacing w:val="4"/>
                <w:sz w:val="21"/>
                <w:szCs w:val="21"/>
              </w:rPr>
              <w:t xml:space="preserve">存率在85%以上。</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1"/>
                <w:szCs w:val="21"/>
              </w:rPr>
              <w:t xml:space="preserve">无明显枯死株。无明显可视的病虫危害症状，被害株率≤10%。</w:t>
            </w:r>
            <w:r/>
          </w:p>
        </w:tc>
      </w:tr>
      <w:tr>
        <w:trPr>
          <w:trHeight w:val="1518"/>
        </w:trPr>
        <w:tc>
          <w:tcPr>
            <w:tcMar>
              <w:left w:w="0" w:type="dxa"/>
              <w:top w:w="0" w:type="dxa"/>
              <w:right w:w="0" w:type="dxa"/>
              <w:bottom w:w="0" w:type="dxa"/>
            </w:tcMar>
            <w:tcW w:w="271"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1.2</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right="0"/>
              <w:jc w:val="both"/>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sz w:val="21"/>
                <w:szCs w:val="21"/>
              </w:rPr>
              <w:t xml:space="preserve">行道树</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4"/>
                <w:sz w:val="21"/>
                <w:szCs w:val="21"/>
              </w:rPr>
              <w:t xml:space="preserve">树形、树冠舒展,分枝点偏差在正负30cm内；保留1级及以上分枝,长势良好,无明显徒长枝、病虫枝、交叉枝、重叠枝、下垂枝、扭伤枝、萌蘖枝、枯枝以及烂头等。补植的行道树品种与原行道树一致,规格适宜,一般为：落叶树种的胸径在15cm以下，常绿树种的胸径在12cm以下。</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4"/>
                <w:sz w:val="21"/>
                <w:szCs w:val="21"/>
              </w:rPr>
              <w:t xml:space="preserve">无明显可视的病虫危害症状,被害株率≤10%。</w:t>
            </w:r>
            <w:r/>
          </w:p>
        </w:tc>
      </w:tr>
      <w:tr>
        <w:trPr>
          <w:trHeight w:val="928"/>
        </w:trPr>
        <w:tc>
          <w:tcPr>
            <w:tcMar>
              <w:left w:w="0" w:type="dxa"/>
              <w:top w:w="0" w:type="dxa"/>
              <w:right w:w="0" w:type="dxa"/>
              <w:bottom w:w="0" w:type="dxa"/>
            </w:tcMar>
            <w:tcW w:w="271"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1.3</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hanging="476"/>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1"/>
                <w:szCs w:val="21"/>
              </w:rPr>
              <w:t xml:space="preserve">绿篱(模纹、色</w:t>
            </w:r>
            <w:r>
              <w:rPr>
                <w:rFonts w:hint="eastAsia" w:ascii="仿宋" w:hAnsi="仿宋" w:eastAsia="仿宋" w:cs="仿宋"/>
                <w:color w:val="000000"/>
                <w:spacing w:val="3"/>
                <w:sz w:val="21"/>
                <w:szCs w:val="21"/>
              </w:rPr>
              <w:t xml:space="preserve">块)等</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rPr>
              <w:t xml:space="preserve">绿篱、模纹和色块等能定期修剪。</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1"/>
                <w:szCs w:val="21"/>
              </w:rPr>
              <w:t xml:space="preserve">无明显可视的病虫危害症状，被害面积≤10%。</w:t>
            </w:r>
            <w:r/>
          </w:p>
        </w:tc>
      </w:tr>
      <w:tr>
        <w:trPr>
          <w:trHeight w:val="711"/>
        </w:trPr>
        <w:tc>
          <w:tcPr>
            <w:tcMar>
              <w:left w:w="0" w:type="dxa"/>
              <w:top w:w="0" w:type="dxa"/>
              <w:right w:w="0" w:type="dxa"/>
              <w:bottom w:w="0" w:type="dxa"/>
            </w:tcMar>
            <w:tcW w:w="271"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1.4</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sz w:val="21"/>
                <w:szCs w:val="21"/>
              </w:rPr>
              <w:t xml:space="preserve">水生植物</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1"/>
                <w:szCs w:val="21"/>
              </w:rPr>
              <w:t xml:space="preserve">水生植物能够正常生长、开花。</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1"/>
                <w:szCs w:val="21"/>
              </w:rPr>
              <w:t xml:space="preserve">无明显可视的病虫危害症状,被害面积≤10%。</w:t>
            </w:r>
            <w:r/>
          </w:p>
        </w:tc>
      </w:tr>
      <w:tr>
        <w:trPr>
          <w:trHeight w:val="1068"/>
        </w:trPr>
        <w:tc>
          <w:tcPr>
            <w:tcMar>
              <w:left w:w="0" w:type="dxa"/>
              <w:top w:w="0" w:type="dxa"/>
              <w:right w:w="0" w:type="dxa"/>
              <w:bottom w:w="0" w:type="dxa"/>
            </w:tcMar>
            <w:tcW w:w="271"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1.5</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1"/>
                <w:szCs w:val="21"/>
              </w:rPr>
              <w:t xml:space="preserve">地被花卉</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1"/>
                <w:szCs w:val="21"/>
              </w:rPr>
              <w:t xml:space="preserve">多年生地被植物覆盖率90%以上。生长正常,开花适时。</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1"/>
                <w:szCs w:val="21"/>
              </w:rPr>
              <w:t xml:space="preserve">无明显可视的病虫危害症状,被害面积≤10%,地下害虫≤10头/m</w:t>
            </w:r>
            <w:r>
              <w:rPr>
                <w:rFonts w:hint="eastAsia" w:ascii="仿宋" w:hAnsi="仿宋" w:eastAsia="仿宋" w:cs="仿宋"/>
                <w:color w:val="000000"/>
                <w:spacing w:val="6"/>
                <w:sz w:val="21"/>
                <w:szCs w:val="21"/>
                <w:lang w:val="en-US" w:eastAsia="zh-CN"/>
              </w:rPr>
              <w:t xml:space="preserve">2</w:t>
            </w:r>
            <w:r/>
          </w:p>
        </w:tc>
      </w:tr>
      <w:tr>
        <w:trPr>
          <w:trHeight w:val="783"/>
        </w:trPr>
        <w:tc>
          <w:tcPr>
            <w:tcMar>
              <w:left w:w="0" w:type="dxa"/>
              <w:top w:w="0" w:type="dxa"/>
              <w:right w:w="0" w:type="dxa"/>
              <w:bottom w:w="0" w:type="dxa"/>
            </w:tcMar>
            <w:tcW w:w="271"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1.6</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4"/>
                <w:sz w:val="21"/>
                <w:szCs w:val="21"/>
              </w:rPr>
              <w:t xml:space="preserve">草坪</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sz w:val="21"/>
                <w:szCs w:val="21"/>
              </w:rPr>
              <w:t xml:space="preserve">草坪覆盖率90%以上,单块斑秃面积不超过0.3m²或10m²绿地内斑秃面积不超过4块</w:t>
            </w:r>
            <w:r>
              <w:rPr>
                <w:rFonts w:hint="eastAsia" w:ascii="仿宋" w:hAnsi="仿宋" w:eastAsia="仿宋" w:cs="仿宋"/>
                <w:color w:val="000000"/>
                <w:sz w:val="21"/>
                <w:szCs w:val="21"/>
              </w:rPr>
              <w:t xml:space="preserve">；</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1"/>
                <w:szCs w:val="21"/>
              </w:rPr>
              <w:t xml:space="preserve">草坪内杂草率≤15%。</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9"/>
                <w:sz w:val="21"/>
                <w:szCs w:val="21"/>
              </w:rPr>
              <w:t xml:space="preserve">草坪绿色期：冷季型草坪不得少于240天,暖季型草坪不得少于160天。</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3"/>
                <w:sz w:val="21"/>
                <w:szCs w:val="21"/>
              </w:rPr>
              <w:t xml:space="preserve">无明显可视的病虫危害症状,被害面积≤10%,地下害虫≤10头/</w:t>
            </w:r>
            <w:r>
              <w:rPr>
                <w:rFonts w:hint="eastAsia" w:ascii="仿宋" w:hAnsi="仿宋" w:eastAsia="仿宋" w:cs="仿宋"/>
                <w:color w:val="000000"/>
                <w:spacing w:val="12"/>
                <w:sz w:val="21"/>
                <w:szCs w:val="21"/>
              </w:rPr>
              <w:t xml:space="preserve">m²。</w:t>
            </w:r>
            <w:r/>
          </w:p>
        </w:tc>
      </w:tr>
      <w:tr>
        <w:trPr>
          <w:trHeight w:val="679"/>
        </w:trPr>
        <w:tc>
          <w:tcPr>
            <w:tcMar>
              <w:left w:w="0" w:type="dxa"/>
              <w:top w:w="0" w:type="dxa"/>
              <w:right w:w="0" w:type="dxa"/>
              <w:bottom w:w="0" w:type="dxa"/>
            </w:tcMar>
            <w:tcW w:w="271"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序号</w:t>
            </w:r>
            <w:r/>
          </w:p>
        </w:tc>
        <w:tc>
          <w:tcPr>
            <w:tcMar>
              <w:left w:w="0" w:type="dxa"/>
              <w:top w:w="0" w:type="dxa"/>
              <w:right w:w="0" w:type="dxa"/>
              <w:bottom w:w="0" w:type="dxa"/>
            </w:tcMar>
            <w:tcW w:w="637"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管护类别</w:t>
            </w:r>
            <w:r/>
          </w:p>
        </w:tc>
        <w:tc>
          <w:tcPr>
            <w:tcMar>
              <w:left w:w="0" w:type="dxa"/>
              <w:top w:w="0" w:type="dxa"/>
              <w:right w:w="0" w:type="dxa"/>
              <w:bottom w:w="0" w:type="dxa"/>
            </w:tcMar>
            <w:tcW w:w="674"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管护项目</w:t>
            </w:r>
            <w:r/>
          </w:p>
        </w:tc>
        <w:tc>
          <w:tcPr>
            <w:tcMar>
              <w:left w:w="0" w:type="dxa"/>
              <w:top w:w="0" w:type="dxa"/>
              <w:right w:w="0" w:type="dxa"/>
              <w:bottom w:w="0" w:type="dxa"/>
            </w:tcMar>
            <w:tcW w:w="3416"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三级管护绿地养护管理标准</w:t>
            </w:r>
            <w:r/>
          </w:p>
        </w:tc>
      </w:tr>
      <w:tr>
        <w:trPr>
          <w:trHeight w:val="679"/>
        </w:trPr>
        <w:tc>
          <w:tcPr>
            <w:tcMar>
              <w:left w:w="0" w:type="dxa"/>
              <w:top w:w="0" w:type="dxa"/>
              <w:right w:w="0" w:type="dxa"/>
              <w:bottom w:w="0" w:type="dxa"/>
            </w:tcMar>
            <w:tcW w:w="271"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sz w:val="21"/>
                <w:szCs w:val="21"/>
              </w:rPr>
              <w:t xml:space="preserve">2.1</w:t>
            </w:r>
            <w:r/>
          </w:p>
        </w:tc>
        <w:tc>
          <w:tcPr>
            <w:tcMar>
              <w:left w:w="0" w:type="dxa"/>
              <w:top w:w="0" w:type="dxa"/>
              <w:right w:w="0" w:type="dxa"/>
              <w:bottom w:w="0" w:type="dxa"/>
            </w:tcMar>
            <w:tcW w:w="637" w:type="pct"/>
            <w:vAlign w:val="center"/>
            <w:vMerge w:val="restart"/>
            <w:textDirection w:val="lrTb"/>
            <w:noWrap w:val="false"/>
          </w:tcPr>
          <w:p>
            <w:pPr>
              <w:ind w:left="0" w:right="0" w:firstLine="15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1"/>
                <w:szCs w:val="21"/>
              </w:rPr>
              <w:t xml:space="preserve">园林设施维护</w:t>
            </w:r>
            <w:r/>
          </w:p>
        </w:tc>
        <w:tc>
          <w:tcPr>
            <w:tcMar>
              <w:left w:w="0" w:type="dxa"/>
              <w:top w:w="0" w:type="dxa"/>
              <w:right w:w="0" w:type="dxa"/>
              <w:bottom w:w="0" w:type="dxa"/>
            </w:tcMar>
            <w:tcW w:w="674" w:type="pct"/>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5"/>
                <w:sz w:val="21"/>
                <w:szCs w:val="21"/>
              </w:rPr>
              <w:t xml:space="preserve">花坛</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szCs w:val="21"/>
              </w:rPr>
              <w:t xml:space="preserve">花坛表面整洁、无明显破损；叠石花坛的叠石无明显松动。补缝颜色与石材基本接近。</w:t>
            </w:r>
            <w:r/>
          </w:p>
        </w:tc>
      </w:tr>
      <w:tr>
        <w:trPr>
          <w:trHeight w:val="679"/>
        </w:trPr>
        <w:tc>
          <w:tcPr>
            <w:tcMar>
              <w:left w:w="0" w:type="dxa"/>
              <w:top w:w="0" w:type="dxa"/>
              <w:right w:w="0" w:type="dxa"/>
              <w:bottom w:w="0" w:type="dxa"/>
            </w:tcMar>
            <w:tcW w:w="271"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2.2</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雕塑</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雕塑结构、基础安全完整。表面基本清洁，无明显污垢，无明显刻写痕迹。</w:t>
            </w:r>
            <w:r/>
          </w:p>
        </w:tc>
      </w:tr>
      <w:tr>
        <w:trPr>
          <w:trHeight w:val="679"/>
        </w:trPr>
        <w:tc>
          <w:tcPr>
            <w:tcMar>
              <w:left w:w="0" w:type="dxa"/>
              <w:top w:w="0" w:type="dxa"/>
              <w:right w:w="0" w:type="dxa"/>
              <w:bottom w:w="0" w:type="dxa"/>
            </w:tcMar>
            <w:tcW w:w="271"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2.3</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栏杆</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完整、清洁、无缺损,无明显刻划痕迹。</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竹、木材质无明显腐朽,金属类材质无明显锈蚀,无安全隐患。</w:t>
            </w:r>
            <w:r/>
          </w:p>
        </w:tc>
      </w:tr>
      <w:tr>
        <w:trPr>
          <w:trHeight w:val="679"/>
        </w:trPr>
        <w:tc>
          <w:tcPr>
            <w:tcMar>
              <w:left w:w="0" w:type="dxa"/>
              <w:top w:w="0" w:type="dxa"/>
              <w:right w:w="0" w:type="dxa"/>
              <w:bottom w:w="0" w:type="dxa"/>
            </w:tcMar>
            <w:tcW w:w="271"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2.4</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桌凳</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桌凳表面基本清洁。</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竹木类无明显腐朽,其他类材料,无明显锈蚀和刻划。安全坚固,无松动,基本无缺损。</w:t>
            </w:r>
            <w:r/>
          </w:p>
        </w:tc>
      </w:tr>
      <w:tr>
        <w:trPr>
          <w:trHeight w:val="679"/>
        </w:trPr>
        <w:tc>
          <w:tcPr>
            <w:tcMar>
              <w:left w:w="0" w:type="dxa"/>
              <w:top w:w="0" w:type="dxa"/>
              <w:right w:w="0" w:type="dxa"/>
              <w:bottom w:w="0" w:type="dxa"/>
            </w:tcMar>
            <w:tcW w:w="271"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2.5</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步道</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路面平整,无明显坑洼破损,无面层松动、沉陷、倾覆或面层脱落；伸嵌缝无明显漏嵌。路面基本清洁,无明显垃圾和痰迹。</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无障碍通道及应急通道畅通,基本整洁。</w:t>
            </w:r>
            <w:r/>
          </w:p>
        </w:tc>
      </w:tr>
      <w:tr>
        <w:trPr>
          <w:trHeight w:val="679"/>
        </w:trPr>
        <w:tc>
          <w:tcPr>
            <w:tcMar>
              <w:left w:w="0" w:type="dxa"/>
              <w:top w:w="0" w:type="dxa"/>
              <w:right w:w="0" w:type="dxa"/>
              <w:bottom w:w="0" w:type="dxa"/>
            </w:tcMar>
            <w:tcW w:w="271"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2.6</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标识</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牌示基本齐全,无明显污垢,文字及图案能辨识。</w:t>
            </w:r>
            <w:r/>
          </w:p>
        </w:tc>
      </w:tr>
      <w:tr>
        <w:trPr>
          <w:trHeight w:val="679"/>
        </w:trPr>
        <w:tc>
          <w:tcPr>
            <w:tcMar>
              <w:left w:w="0" w:type="dxa"/>
              <w:top w:w="0" w:type="dxa"/>
              <w:right w:w="0" w:type="dxa"/>
              <w:bottom w:w="0" w:type="dxa"/>
            </w:tcMar>
            <w:tcW w:w="271"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2.7</w:t>
            </w:r>
            <w:r/>
          </w:p>
        </w:tc>
        <w:tc>
          <w:tcPr>
            <w:tcW w:w="637" w:type="pct"/>
            <w:vAlign w:val="top"/>
            <w:vMerge w:val="continue"/>
            <w:textDirection w:val="lrTb"/>
            <w:noWrap w:val="false"/>
          </w:tcPr>
          <w:p>
            <w:pPr>
              <w:ind w:left="0"/>
              <w:keepLines w:val="0"/>
              <w:keepNext w:val="0"/>
              <w:pageBreakBefore w:val="0"/>
              <w:spacing w:after="0" w:line="360" w:lineRule="auto"/>
              <w:widowControl w:val="off"/>
              <w:rPr>
                <w:rFonts w:hint="eastAsia" w:ascii="仿宋" w:hAnsi="仿宋" w:eastAsia="仿宋" w:cs="仿宋"/>
                <w:sz w:val="21"/>
                <w:szCs w:val="21"/>
              </w:rPr>
            </w:pPr>
            <w:r>
              <w:rPr>
                <w:rFonts w:hint="eastAsia" w:ascii="仿宋" w:hAnsi="仿宋" w:eastAsia="仿宋" w:cs="仿宋"/>
                <w:sz w:val="21"/>
                <w:szCs w:val="21"/>
              </w:rPr>
            </w:r>
            <w:r/>
          </w:p>
        </w:tc>
        <w:tc>
          <w:tcPr>
            <w:tcMar>
              <w:left w:w="0" w:type="dxa"/>
              <w:top w:w="0" w:type="dxa"/>
              <w:right w:w="0" w:type="dxa"/>
              <w:bottom w:w="0" w:type="dxa"/>
            </w:tcMar>
            <w:tcW w:w="674" w:type="pct"/>
            <w:vAlign w:val="center"/>
            <w:textDirection w:val="lrTb"/>
            <w:noWrap w:val="false"/>
          </w:tcPr>
          <w:p>
            <w:pPr>
              <w:ind w:left="0" w:right="0" w:firstLine="45"/>
              <w:jc w:val="center"/>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减灾</w:t>
            </w:r>
            <w:r/>
          </w:p>
        </w:tc>
        <w:tc>
          <w:tcPr>
            <w:tcMar>
              <w:left w:w="0" w:type="dxa"/>
              <w:top w:w="0" w:type="dxa"/>
              <w:right w:w="0" w:type="dxa"/>
              <w:bottom w:w="0" w:type="dxa"/>
            </w:tcMar>
            <w:tcW w:w="3416" w:type="pct"/>
            <w:vAlign w:val="center"/>
            <w:textDirection w:val="lrTb"/>
            <w:noWrap w:val="false"/>
          </w:tcPr>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各种防灾避险等设施完好,防灾避险通道畅通。</w:t>
            </w:r>
            <w:r/>
          </w:p>
          <w:p>
            <w:pPr>
              <w:ind w:left="0" w:right="0" w:firstLine="0"/>
              <w:keepLines w:val="0"/>
              <w:keepNext w:val="0"/>
              <w:pageBreakBefore w:val="0"/>
              <w:spacing w:before="0" w:after="0" w:line="360" w:lineRule="auto"/>
              <w:widowControl w:val="off"/>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
                <w:sz w:val="21"/>
                <w:szCs w:val="21"/>
              </w:rPr>
              <w:t xml:space="preserve">值班、巡视、应急预案等防灾避险措施落实。</w:t>
            </w:r>
            <w:r/>
          </w:p>
        </w:tc>
      </w:tr>
    </w:tbl>
    <w:p>
      <w:pPr>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clear="all"/>
      </w:r>
      <w:r/>
    </w:p>
    <w:p>
      <w:pPr>
        <w:pStyle w:val="717"/>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第五部分  磋商及评审</w:t>
      </w:r>
      <w:bookmarkEnd w:id="222"/>
      <w:r/>
      <w:bookmarkEnd w:id="223"/>
      <w:r/>
      <w:bookmarkEnd w:id="224"/>
      <w:r/>
      <w:bookmarkStart w:id="230" w:name="EB3e987622cda240fbaa0d00db8ee8a65f"/>
      <w:r/>
      <w:bookmarkEnd w:id="230"/>
      <w:r/>
      <w:bookmarkStart w:id="231" w:name="EB3b5ad14e1e6f44e286f850fc9c9ebf65"/>
      <w:r/>
      <w:bookmarkEnd w:id="231"/>
      <w:r/>
      <w:r/>
    </w:p>
    <w:p>
      <w:pPr>
        <w:pStyle w:val="718"/>
        <w:ind w:firstLine="321"/>
        <w:jc w:val="left"/>
        <w:spacing w:before="0" w:after="0" w:line="360" w:lineRule="auto"/>
        <w:rPr>
          <w:rFonts w:hint="eastAsia" w:ascii="仿宋" w:hAnsi="仿宋" w:eastAsia="仿宋" w:cs="仿宋"/>
          <w:color w:val="auto"/>
          <w:sz w:val="32"/>
          <w:highlight w:val="none"/>
        </w:rPr>
      </w:pPr>
      <w:r/>
      <w:bookmarkStart w:id="232" w:name="_Toc73364901"/>
      <w:r/>
      <w:bookmarkStart w:id="233" w:name="_Toc73365514"/>
      <w:r/>
      <w:bookmarkStart w:id="234" w:name="_Toc142925669"/>
      <w:r>
        <w:rPr>
          <w:rFonts w:hint="eastAsia" w:ascii="仿宋" w:hAnsi="仿宋" w:eastAsia="仿宋" w:cs="仿宋"/>
          <w:color w:val="auto"/>
          <w:sz w:val="32"/>
          <w:highlight w:val="none"/>
        </w:rPr>
        <w:t xml:space="preserve">1．磋商小组职责</w:t>
      </w:r>
      <w:bookmarkEnd w:id="232"/>
      <w:r/>
      <w:bookmarkEnd w:id="233"/>
      <w:r/>
      <w:bookmarkEnd w:id="234"/>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1.3起草评审报告并进行签署。</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1.4推荐成交供应商。</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1.5向采购人、采购代理机构、财政部门或者其他监督部门报告非法干预评审工作的行为。</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1.6法律、法规和规章规定的其他职责。</w:t>
      </w:r>
      <w:r/>
    </w:p>
    <w:p>
      <w:pPr>
        <w:pStyle w:val="718"/>
        <w:ind w:firstLine="321"/>
        <w:jc w:val="left"/>
        <w:spacing w:before="0" w:after="0" w:line="360" w:lineRule="auto"/>
        <w:rPr>
          <w:rFonts w:hint="eastAsia" w:ascii="仿宋" w:hAnsi="仿宋" w:eastAsia="仿宋" w:cs="仿宋"/>
          <w:color w:val="auto"/>
          <w:sz w:val="32"/>
          <w:highlight w:val="none"/>
        </w:rPr>
      </w:pPr>
      <w:r/>
      <w:bookmarkStart w:id="235" w:name="_Toc142925670"/>
      <w:r/>
      <w:bookmarkStart w:id="236" w:name="_Toc73364902"/>
      <w:r/>
      <w:bookmarkStart w:id="237" w:name="_Toc73365515"/>
      <w:r>
        <w:rPr>
          <w:rFonts w:hint="eastAsia" w:ascii="仿宋" w:hAnsi="仿宋" w:eastAsia="仿宋" w:cs="仿宋"/>
          <w:color w:val="auto"/>
          <w:sz w:val="32"/>
          <w:highlight w:val="none"/>
        </w:rPr>
        <w:t xml:space="preserve">2．磋商及评审程序</w:t>
      </w:r>
      <w:bookmarkEnd w:id="235"/>
      <w:r/>
      <w:bookmarkEnd w:id="236"/>
      <w:r/>
      <w:bookmarkEnd w:id="237"/>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2.1磋商组织方核对采购人授权代表、磋商小组名单身份并签到。采购人授权代表对供应商进行资格审查，未通过资格审查的供应商响应文件不进入后续的符合性审查。</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2.2磋商组织方宣布磋商及评审纪律，磋商小组确认有无回避的情形。</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2.3磋商小组推选组长，负责组织磋商及评审活动，采购人代表不得担任组长。</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2.4磋商小组正式评审前，应当对磋商文件进行熟悉和理解，审查磋商文件。</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2.5磋商小组对首次响应文件进行有效性、完整性和响应程度审查。未通过符合性审查的供应商不得参与磋商，磋商小组应书面告知供应商并说明理由。</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2.7磋商小组应集中与符合要求的单一供应商分别进行磋商，并给予所有参加磋商的供应商平等的磋商机会。</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符合磋商文件供应商须知规定情形的，提交最后报价的供应商可以为2家。</w:t>
      </w:r>
      <w:r/>
    </w:p>
    <w:p>
      <w:pPr>
        <w:ind w:firstLine="425"/>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2.12推荐成交候选供应商，并出具书面评审报告。</w:t>
      </w:r>
      <w:r/>
    </w:p>
    <w:p>
      <w:pPr>
        <w:pStyle w:val="718"/>
        <w:ind w:firstLine="321"/>
        <w:jc w:val="left"/>
        <w:spacing w:before="0" w:after="0" w:line="360" w:lineRule="auto"/>
        <w:rPr>
          <w:rFonts w:hint="eastAsia" w:ascii="仿宋" w:hAnsi="仿宋" w:eastAsia="仿宋" w:cs="仿宋"/>
          <w:color w:val="auto"/>
          <w:sz w:val="32"/>
          <w:highlight w:val="none"/>
        </w:rPr>
      </w:pPr>
      <w:r/>
      <w:bookmarkStart w:id="238" w:name="_Toc73364903"/>
      <w:r/>
      <w:bookmarkStart w:id="239" w:name="_Toc142925671"/>
      <w:r/>
      <w:bookmarkStart w:id="240" w:name="_Toc73365516"/>
      <w:r>
        <w:rPr>
          <w:rFonts w:hint="eastAsia" w:ascii="仿宋" w:hAnsi="仿宋" w:eastAsia="仿宋" w:cs="仿宋"/>
          <w:color w:val="auto"/>
          <w:sz w:val="32"/>
          <w:highlight w:val="none"/>
        </w:rPr>
        <w:t xml:space="preserve">3．供应商资格审查</w:t>
      </w:r>
      <w:bookmarkEnd w:id="238"/>
      <w:r/>
      <w:bookmarkEnd w:id="239"/>
      <w:r/>
      <w:bookmarkEnd w:id="240"/>
      <w:r/>
      <w:r/>
    </w:p>
    <w:p>
      <w:pPr>
        <w:spacing w:line="360" w:lineRule="auto"/>
        <w:rPr>
          <w:rFonts w:hint="eastAsia" w:ascii="仿宋" w:hAnsi="仿宋" w:eastAsia="仿宋" w:cs="仿宋"/>
          <w:color w:val="auto"/>
          <w:sz w:val="24"/>
          <w:highlight w:val="none"/>
        </w:rPr>
      </w:pPr>
      <w:r/>
      <w:bookmarkStart w:id="241" w:name="EB62b7e4128ed04384afeeab46ecea92c3"/>
      <w:r/>
      <w:bookmarkEnd w:id="241"/>
      <w:r>
        <w:rPr>
          <w:rFonts w:hint="eastAsia" w:ascii="仿宋" w:hAnsi="仿宋" w:eastAsia="仿宋" w:cs="仿宋"/>
          <w:color w:val="auto"/>
          <w:sz w:val="24"/>
          <w:highlight w:val="none"/>
        </w:rPr>
        <w:t xml:space="preserve">开启结束后，采购人将依法对供应商的资格进行审查。资格审查的内容如下：</w:t>
      </w:r>
      <w:r/>
    </w:p>
    <w:tbl>
      <w:tblPr>
        <w:tblStyle w:val="6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
        <w:gridCol w:w="1490"/>
        <w:gridCol w:w="7325"/>
      </w:tblGrid>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bookmarkStart w:id="242" w:name="EB26dcd70bebb54979b7a4b621de125d2f"/>
            <w:r>
              <w:rPr>
                <w:rFonts w:hint="eastAsia" w:ascii="仿宋" w:hAnsi="仿宋" w:eastAsia="仿宋" w:cs="仿宋"/>
                <w:color w:val="auto"/>
                <w:szCs w:val="21"/>
                <w:highlight w:val="none"/>
              </w:rPr>
              <w:t xml:space="preserve">序号</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审查要素</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审查内容</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具有独立承担民事责任的能力</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提供法人或者其他组织的营业执照等证明文件扫描件；</w:t>
            </w:r>
            <w:r>
              <w:rPr>
                <w:rFonts w:hint="eastAsia" w:ascii="仿宋" w:hAnsi="仿宋" w:eastAsia="仿宋" w:cs="仿宋"/>
                <w:color w:val="auto"/>
                <w:szCs w:val="21"/>
                <w:highlight w:val="none"/>
                <w:lang w:eastAsia="zh-CN"/>
              </w:rPr>
              <w:t xml:space="preserve">供应商</w:t>
            </w:r>
            <w:r>
              <w:rPr>
                <w:rFonts w:hint="eastAsia" w:ascii="仿宋" w:hAnsi="仿宋" w:eastAsia="仿宋" w:cs="仿宋"/>
                <w:color w:val="auto"/>
                <w:szCs w:val="21"/>
                <w:highlight w:val="none"/>
              </w:rPr>
              <w:t xml:space="preserve">为自然人的，提供其身份证扫描件</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具有良好的商业信誉和健全的财务会计制度</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w:t>
            </w:r>
            <w:r>
              <w:rPr>
                <w:rFonts w:hint="eastAsia" w:ascii="仿宋" w:hAnsi="仿宋" w:eastAsia="仿宋" w:cs="仿宋"/>
                <w:color w:val="auto"/>
                <w:szCs w:val="21"/>
                <w:highlight w:val="none"/>
                <w:lang w:eastAsia="zh-CN"/>
              </w:rPr>
              <w:t xml:space="preserve">2025年度财务报告</w:t>
            </w:r>
            <w:r>
              <w:rPr>
                <w:rFonts w:hint="eastAsia" w:ascii="仿宋" w:hAnsi="仿宋" w:eastAsia="仿宋" w:cs="仿宋"/>
                <w:color w:val="auto"/>
                <w:szCs w:val="21"/>
                <w:highlight w:val="none"/>
              </w:rPr>
              <w:t xml:space="preserve">，成立不满一年的提供</w:t>
            </w:r>
            <w:r>
              <w:rPr>
                <w:rFonts w:hint="eastAsia" w:ascii="仿宋" w:hAnsi="仿宋" w:eastAsia="仿宋" w:cs="仿宋"/>
                <w:color w:val="auto"/>
                <w:szCs w:val="21"/>
                <w:highlight w:val="none"/>
                <w:lang w:eastAsia="zh-CN"/>
              </w:rPr>
              <w:t xml:space="preserve">任意一个月</w:t>
            </w:r>
            <w:r>
              <w:rPr>
                <w:rFonts w:hint="eastAsia" w:ascii="仿宋" w:hAnsi="仿宋" w:eastAsia="仿宋" w:cs="仿宋"/>
                <w:color w:val="auto"/>
                <w:szCs w:val="21"/>
                <w:highlight w:val="none"/>
              </w:rPr>
              <w:t xml:space="preserve">财务报告，或银行出具的资信证明，或财政部门认可的政府采购专业担保机构出具的投标担保函等或提供资格承诺函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具有履行合同所必需的设备和专业技术能力</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供应商相关信息一览表或提供资格承诺函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有依法缴纳税收和社会保障资金的良好记录</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提供参加本次政府采购活动前半年内</w:t>
            </w:r>
            <w:r>
              <w:rPr>
                <w:rFonts w:hint="eastAsia" w:ascii="仿宋" w:hAnsi="仿宋" w:eastAsia="仿宋" w:cs="仿宋"/>
                <w:color w:val="auto"/>
                <w:szCs w:val="21"/>
                <w:highlight w:val="none"/>
                <w:lang w:eastAsia="zh-CN"/>
              </w:rPr>
              <w:t xml:space="preserve">任意一个月</w:t>
            </w:r>
            <w:r>
              <w:rPr>
                <w:rFonts w:hint="eastAsia" w:ascii="仿宋" w:hAnsi="仿宋" w:eastAsia="仿宋" w:cs="仿宋"/>
                <w:color w:val="auto"/>
                <w:szCs w:val="21"/>
                <w:highlight w:val="none"/>
              </w:rPr>
              <w:t xml:space="preserve">依法缴纳税收和社会保险的凭据或提供资格承诺函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参加政府采购活动前三年内，在经营活动中没有重大违法记录</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法律、行政法规规定的其他条件</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落实政府采购政策需满足的资格要求</w:t>
            </w:r>
            <w:r/>
          </w:p>
        </w:tc>
        <w:tc>
          <w:tcPr>
            <w:tcW w:w="7620" w:type="dxa"/>
            <w:vAlign w:val="center"/>
            <w:textDirection w:val="lrTb"/>
            <w:noWrap w:val="false"/>
          </w:tcPr>
          <w:p>
            <w:pPr>
              <w:jc w:val="center"/>
              <w:spacing w:line="360" w:lineRule="auto"/>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中小微企业声明函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本项目的特定资格要求</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无</w:t>
            </w:r>
            <w:bookmarkEnd w:id="242"/>
            <w:r/>
          </w:p>
        </w:tc>
      </w:tr>
    </w:tbl>
    <w:p>
      <w:pPr>
        <w:pStyle w:val="718"/>
        <w:ind w:firstLine="321"/>
        <w:jc w:val="left"/>
        <w:spacing w:before="0" w:after="0" w:line="360" w:lineRule="auto"/>
        <w:rPr>
          <w:rFonts w:hint="eastAsia" w:ascii="仿宋" w:hAnsi="仿宋" w:eastAsia="仿宋" w:cs="仿宋"/>
          <w:color w:val="auto"/>
          <w:sz w:val="32"/>
          <w:highlight w:val="none"/>
        </w:rPr>
      </w:pPr>
      <w:r/>
      <w:bookmarkStart w:id="243" w:name="_Toc73364904"/>
      <w:r/>
      <w:bookmarkStart w:id="244" w:name="_Toc142925672"/>
      <w:r/>
      <w:bookmarkStart w:id="245" w:name="_Toc73365517"/>
      <w:r>
        <w:rPr>
          <w:rFonts w:hint="eastAsia" w:ascii="仿宋" w:hAnsi="仿宋" w:eastAsia="仿宋" w:cs="仿宋"/>
          <w:color w:val="auto"/>
          <w:sz w:val="32"/>
          <w:highlight w:val="none"/>
        </w:rPr>
        <w:t xml:space="preserve">4．磋商响应文件的有效性、完整性和响应程度审查</w:t>
      </w:r>
      <w:bookmarkEnd w:id="243"/>
      <w:r/>
      <w:bookmarkEnd w:id="244"/>
      <w:r/>
      <w:bookmarkEnd w:id="245"/>
      <w:r/>
      <w:r/>
    </w:p>
    <w:tbl>
      <w:tblPr>
        <w:tblStyle w:val="6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
        <w:gridCol w:w="1126"/>
        <w:gridCol w:w="77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bookmarkStart w:id="246" w:name="EB5ff77f62222b43a48ee845bbfe38b65b"/>
            <w:r>
              <w:rPr>
                <w:rFonts w:hint="eastAsia" w:ascii="仿宋" w:hAnsi="仿宋" w:eastAsia="仿宋" w:cs="仿宋"/>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电子响应文件的签署、盖章（承诺函、报价表、法定代表人身份证明书和法人授权委托书）。若有委托代理人，</w:t>
            </w:r>
            <w:r>
              <w:rPr>
                <w:rFonts w:hint="eastAsia" w:ascii="仿宋" w:hAnsi="仿宋" w:eastAsia="仿宋" w:cs="仿宋"/>
                <w:color w:val="auto"/>
                <w:sz w:val="21"/>
                <w:highlight w:val="none"/>
                <w:lang w:val="en-US" w:eastAsia="zh-CN"/>
              </w:rPr>
              <w:t xml:space="preserve">提供有效的授权委托书</w:t>
            </w:r>
            <w:r>
              <w:rPr>
                <w:rFonts w:hint="eastAsia" w:ascii="仿宋" w:hAnsi="仿宋" w:eastAsia="仿宋" w:cs="仿宋"/>
                <w:color w:val="auto"/>
                <w:sz w:val="21"/>
                <w:highlight w:val="none"/>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00"/>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审查响应文件与磋商文件要求的主要条款、条件和技术规格是否相符，是否存在重大偏离或保留。</w:t>
            </w:r>
            <w:bookmarkEnd w:id="246"/>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718"/>
        <w:ind w:firstLine="321"/>
        <w:jc w:val="left"/>
        <w:spacing w:before="0" w:after="0" w:line="360" w:lineRule="auto"/>
        <w:rPr>
          <w:rFonts w:hint="eastAsia" w:ascii="仿宋" w:hAnsi="仿宋" w:eastAsia="仿宋" w:cs="仿宋"/>
          <w:color w:val="auto"/>
          <w:sz w:val="32"/>
          <w:highlight w:val="none"/>
        </w:rPr>
      </w:pPr>
      <w:r/>
      <w:bookmarkStart w:id="247" w:name="_Toc142925673"/>
      <w:r/>
      <w:bookmarkStart w:id="248" w:name="_Toc73365518"/>
      <w:r/>
      <w:bookmarkStart w:id="249" w:name="_Toc73364905"/>
      <w:r>
        <w:rPr>
          <w:rFonts w:hint="eastAsia" w:ascii="仿宋" w:hAnsi="仿宋" w:eastAsia="仿宋" w:cs="仿宋"/>
          <w:color w:val="auto"/>
          <w:sz w:val="32"/>
          <w:highlight w:val="none"/>
        </w:rPr>
        <w:t xml:space="preserve">5．磋商记录</w:t>
      </w:r>
      <w:bookmarkEnd w:id="247"/>
      <w:r/>
      <w:bookmarkEnd w:id="248"/>
      <w:r/>
      <w:bookmarkEnd w:id="24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5.1《磋商记录》包括供应商答复或承诺的内容、磋商文件的变动情况及最后报价等。</w:t>
      </w:r>
      <w:r/>
    </w:p>
    <w:p>
      <w:pPr>
        <w:pStyle w:val="718"/>
        <w:ind w:firstLine="321"/>
        <w:jc w:val="left"/>
        <w:spacing w:before="0" w:after="0" w:line="360" w:lineRule="auto"/>
        <w:rPr>
          <w:rFonts w:hint="eastAsia" w:ascii="仿宋" w:hAnsi="仿宋" w:eastAsia="仿宋" w:cs="仿宋"/>
          <w:color w:val="auto"/>
          <w:sz w:val="32"/>
          <w:highlight w:val="none"/>
        </w:rPr>
      </w:pPr>
      <w:r/>
      <w:bookmarkStart w:id="250" w:name="_Toc73365519"/>
      <w:r/>
      <w:bookmarkStart w:id="251" w:name="_Toc142925674"/>
      <w:r/>
      <w:bookmarkStart w:id="252" w:name="_Toc73364906"/>
      <w:r>
        <w:rPr>
          <w:rFonts w:hint="eastAsia" w:ascii="仿宋" w:hAnsi="仿宋" w:eastAsia="仿宋" w:cs="仿宋"/>
          <w:color w:val="auto"/>
          <w:sz w:val="32"/>
          <w:highlight w:val="none"/>
        </w:rPr>
        <w:t xml:space="preserve">6．综合评分</w:t>
      </w:r>
      <w:bookmarkEnd w:id="250"/>
      <w:r/>
      <w:bookmarkEnd w:id="251"/>
      <w:r/>
      <w:bookmarkEnd w:id="252"/>
      <w:r/>
      <w:r/>
    </w:p>
    <w:p>
      <w:pPr>
        <w:ind w:firstLine="482"/>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645"/>
        <w:tblW w:w="5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324"/>
        <w:gridCol w:w="2305"/>
        <w:gridCol w:w="2285"/>
        <w:gridCol w:w="2305"/>
      </w:tblGrid>
      <w:tr>
        <w:trPr>
          <w:trHeight w:val="408"/>
        </w:trPr>
        <w:tc>
          <w:tcPr>
            <w:tcW w:w="1235"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bookmarkStart w:id="253" w:name="EBeb38bac6236d407ea758a92f796301c6"/>
            <w:r>
              <w:rPr>
                <w:rFonts w:hint="eastAsia" w:ascii="仿宋" w:hAnsi="仿宋" w:eastAsia="仿宋" w:cs="仿宋"/>
                <w:color w:val="auto"/>
                <w:szCs w:val="21"/>
                <w:highlight w:val="none"/>
              </w:rPr>
              <w:t xml:space="preserve">评分项目</w:t>
            </w:r>
            <w:r/>
          </w:p>
        </w:tc>
        <w:tc>
          <w:tcPr>
            <w:tcW w:w="1225"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技术评估</w:t>
            </w:r>
            <w:r/>
          </w:p>
        </w:tc>
        <w:tc>
          <w:tcPr>
            <w:tcW w:w="1214"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商务评估</w:t>
            </w:r>
            <w:r/>
          </w:p>
        </w:tc>
        <w:tc>
          <w:tcPr>
            <w:tcW w:w="1225"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价格评估</w:t>
            </w:r>
            <w:r/>
          </w:p>
        </w:tc>
      </w:tr>
      <w:tr>
        <w:trPr>
          <w:trHeight w:val="346"/>
        </w:trPr>
        <w:tc>
          <w:tcPr>
            <w:tcW w:w="1235" w:type="pct"/>
            <w:vAlign w:val="bottom"/>
            <w:textDirection w:val="lrTb"/>
            <w:noWrap w:val="false"/>
          </w:tcPr>
          <w:p>
            <w:pPr>
              <w:ind w:right="0"/>
              <w:jc w:val="center"/>
              <w:keepLines w:val="0"/>
              <w:keepNext w:val="0"/>
              <w:pageBreakBefore w:val="0"/>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分值</w:t>
            </w:r>
            <w:r/>
          </w:p>
        </w:tc>
        <w:tc>
          <w:tcPr>
            <w:tcW w:w="1225" w:type="pct"/>
            <w:vAlign w:val="bottom"/>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eastAsia="zh-CN"/>
              </w:rPr>
            </w:pPr>
            <w:r>
              <w:rPr>
                <w:rFonts w:hint="eastAsia" w:ascii="仿宋" w:hAnsi="仿宋" w:eastAsia="仿宋" w:cs="仿宋"/>
                <w:color w:val="auto"/>
                <w:szCs w:val="21"/>
                <w:highlight w:val="none"/>
                <w:lang w:val="en-US" w:eastAsia="zh-CN"/>
              </w:rPr>
              <w:t xml:space="preserve">65</w:t>
            </w:r>
            <w:r/>
          </w:p>
        </w:tc>
        <w:tc>
          <w:tcPr>
            <w:tcW w:w="1214" w:type="pct"/>
            <w:vAlign w:val="center"/>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rPr>
            </w:pPr>
            <w:r>
              <w:rPr>
                <w:rFonts w:hint="eastAsia" w:ascii="仿宋" w:hAnsi="仿宋" w:eastAsia="仿宋" w:cs="仿宋"/>
                <w:color w:val="auto"/>
                <w:szCs w:val="21"/>
                <w:highlight w:val="none"/>
                <w:lang w:val="en-US" w:eastAsia="zh-CN"/>
              </w:rPr>
              <w:t xml:space="preserve">15</w:t>
            </w:r>
            <w:bookmarkEnd w:id="253"/>
            <w:r/>
          </w:p>
        </w:tc>
        <w:tc>
          <w:tcPr>
            <w:tcW w:w="1225" w:type="pct"/>
            <w:vAlign w:val="bottom"/>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eastAsia="zh-CN"/>
              </w:rPr>
            </w:pPr>
            <w:r>
              <w:rPr>
                <w:rFonts w:hint="eastAsia" w:ascii="仿宋" w:hAnsi="仿宋" w:eastAsia="仿宋" w:cs="仿宋"/>
                <w:color w:val="auto"/>
                <w:szCs w:val="21"/>
                <w:highlight w:val="none"/>
                <w:lang w:val="en-US" w:eastAsia="zh-CN"/>
              </w:rPr>
              <w:t xml:space="preserve">20</w:t>
            </w:r>
            <w:r/>
          </w:p>
        </w:tc>
      </w:tr>
    </w:tbl>
    <w:p>
      <w:pPr>
        <w:ind w:firstLine="640"/>
        <w:jc w:val="left"/>
        <w:spacing w:line="560" w:lineRule="exact"/>
        <w:rPr>
          <w:rFonts w:hint="eastAsia" w:ascii="仿宋" w:hAnsi="仿宋" w:eastAsia="仿宋" w:cs="仿宋"/>
          <w:color w:val="auto"/>
          <w:sz w:val="32"/>
          <w:szCs w:val="32"/>
          <w:highlight w:val="none"/>
          <w:u w:val="single"/>
        </w:rPr>
      </w:pPr>
      <w:r/>
      <w:bookmarkStart w:id="254" w:name="_Toc73364907"/>
      <w:r/>
      <w:bookmarkStart w:id="255" w:name="_Toc142925675"/>
      <w:r/>
      <w:bookmarkStart w:id="256" w:name="_Toc73365520"/>
      <w:r/>
      <w:r/>
    </w:p>
    <w:tbl>
      <w:tblPr>
        <w:tblStyle w:val="679"/>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725"/>
        <w:gridCol w:w="5649"/>
        <w:gridCol w:w="966"/>
      </w:tblGrid>
      <w:tr>
        <w:trPr>
          <w:trHeight w:val="362"/>
        </w:trPr>
        <w:tc>
          <w:tcPr>
            <w:tcW w:w="477"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序号</w:t>
            </w:r>
            <w:r/>
          </w:p>
        </w:tc>
        <w:tc>
          <w:tcPr>
            <w:tcW w:w="935"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1"/>
                <w:sz w:val="24"/>
                <w:szCs w:val="24"/>
              </w:rPr>
              <w:t xml:space="preserve">评审因素</w:t>
            </w:r>
            <w:r/>
          </w:p>
        </w:tc>
        <w:tc>
          <w:tcPr>
            <w:tcW w:w="3063"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1"/>
                <w:sz w:val="24"/>
                <w:szCs w:val="24"/>
              </w:rPr>
              <w:t xml:space="preserve">评审细则</w:t>
            </w:r>
            <w:r/>
          </w:p>
        </w:tc>
        <w:tc>
          <w:tcPr>
            <w:tcW w:w="523"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3"/>
                <w:sz w:val="24"/>
                <w:szCs w:val="24"/>
              </w:rPr>
              <w:t xml:space="preserve">分值</w:t>
            </w:r>
            <w:r/>
          </w:p>
        </w:tc>
      </w:tr>
      <w:tr>
        <w:trPr>
          <w:trHeight w:val="362"/>
        </w:trPr>
        <w:tc>
          <w:tcPr>
            <w:tcW w:w="477"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一</w:t>
            </w:r>
            <w:r/>
          </w:p>
        </w:tc>
        <w:tc>
          <w:tcPr>
            <w:gridSpan w:val="3"/>
            <w:tcW w:w="4522"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技术部分</w:t>
            </w:r>
            <w:r/>
          </w:p>
        </w:tc>
      </w:tr>
      <w:tr>
        <w:trPr>
          <w:trHeight w:val="2789"/>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val="en-US" w:eastAsia="zh-CN"/>
              </w:rPr>
              <w:t xml:space="preserve">总体思路</w:t>
            </w:r>
            <w:r/>
          </w:p>
        </w:tc>
        <w:tc>
          <w:tcPr>
            <w:tcW w:w="3063" w:type="pct"/>
            <w:vAlign w:val="top"/>
            <w:textDirection w:val="lrTb"/>
            <w:noWrap w:val="false"/>
          </w:tcPr>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供应商对本项目的了解、开展工作的总体设想，针对基本情况、技术路线、工作内容等进行描述。</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bidi="ar-SA"/>
              </w:rPr>
              <w:t xml:space="preserve">方案完全包含上述要点且满足采购文件要求的得 5分，方案每缺1项内容扣1分，不提供方案的不得分。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结合采购需求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的方案</w:t>
            </w:r>
            <w:r>
              <w:rPr>
                <w:rFonts w:hint="eastAsia" w:ascii="仿宋" w:hAnsi="仿宋" w:eastAsia="仿宋" w:cs="仿宋"/>
                <w:color w:val="auto"/>
                <w:sz w:val="24"/>
                <w:szCs w:val="24"/>
                <w:lang w:val="en-US" w:eastAsia="zh-CN"/>
              </w:rPr>
              <w:t xml:space="preserve">总体思路切实可行的加2分；</w:t>
            </w:r>
            <w:r/>
          </w:p>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的方案</w:t>
            </w:r>
            <w:r>
              <w:rPr>
                <w:rFonts w:hint="eastAsia" w:ascii="仿宋" w:hAnsi="仿宋" w:eastAsia="仿宋" w:cs="仿宋"/>
                <w:color w:val="auto"/>
                <w:sz w:val="24"/>
                <w:szCs w:val="24"/>
                <w:lang w:val="en-US" w:eastAsia="zh-CN"/>
              </w:rPr>
              <w:t xml:space="preserve">总体思路贴近</w:t>
            </w:r>
            <w:r>
              <w:rPr>
                <w:rFonts w:hint="eastAsia" w:ascii="仿宋" w:hAnsi="仿宋" w:eastAsia="仿宋" w:cs="仿宋"/>
                <w:color w:val="auto"/>
                <w:sz w:val="24"/>
                <w:szCs w:val="24"/>
                <w:highlight w:val="none"/>
                <w:lang w:val="en-US" w:eastAsia="zh-CN"/>
              </w:rPr>
              <w:t xml:space="preserve">采购需求中</w:t>
            </w:r>
            <w:r>
              <w:rPr>
                <w:rFonts w:hint="eastAsia" w:ascii="仿宋" w:hAnsi="仿宋" w:eastAsia="仿宋" w:cs="仿宋"/>
                <w:color w:val="auto"/>
                <w:sz w:val="24"/>
                <w:szCs w:val="24"/>
                <w:lang w:val="en-US" w:eastAsia="zh-CN"/>
              </w:rPr>
              <w:t xml:space="preserve">采购人实际情况的加3分；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val="en-US" w:eastAsia="zh-TW"/>
              </w:rPr>
              <w:t xml:space="preserve">未提供的不得分。</w:t>
            </w:r>
            <w:r/>
          </w:p>
        </w:tc>
        <w:tc>
          <w:tcPr>
            <w:tcW w:w="523"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10分</w:t>
            </w:r>
            <w:r/>
          </w:p>
        </w:tc>
      </w:tr>
      <w:tr>
        <w:trPr>
          <w:trHeight w:val="454"/>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1.2</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养护人员的培训、管理</w:t>
            </w:r>
            <w:r/>
          </w:p>
        </w:tc>
        <w:tc>
          <w:tcPr>
            <w:tcW w:w="3063"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根据</w:t>
            </w:r>
            <w:r>
              <w:rPr>
                <w:rFonts w:hint="eastAsia" w:ascii="仿宋" w:hAnsi="仿宋" w:eastAsia="仿宋" w:cs="仿宋"/>
                <w:color w:val="auto"/>
                <w:sz w:val="24"/>
                <w:szCs w:val="24"/>
                <w:vertAlign w:val="baseline"/>
              </w:rPr>
              <w:t xml:space="preserve">供应商磋商响应文件中</w:t>
            </w:r>
            <w:r>
              <w:rPr>
                <w:rFonts w:hint="eastAsia" w:ascii="仿宋" w:hAnsi="仿宋" w:eastAsia="仿宋" w:cs="仿宋"/>
                <w:color w:val="auto"/>
                <w:sz w:val="24"/>
                <w:szCs w:val="24"/>
                <w:vertAlign w:val="baseline"/>
                <w:lang w:val="en-US" w:eastAsia="zh-CN"/>
              </w:rPr>
              <w:t xml:space="preserve">提供</w:t>
            </w:r>
            <w:r>
              <w:rPr>
                <w:rFonts w:hint="eastAsia" w:ascii="仿宋" w:hAnsi="仿宋" w:eastAsia="仿宋" w:cs="仿宋"/>
                <w:color w:val="auto"/>
                <w:sz w:val="24"/>
                <w:szCs w:val="24"/>
                <w:vertAlign w:val="baseline"/>
              </w:rPr>
              <w:t xml:space="preserve">养护人员的培训、管理</w:t>
            </w:r>
            <w:r>
              <w:rPr>
                <w:rFonts w:hint="eastAsia" w:ascii="仿宋" w:hAnsi="仿宋" w:eastAsia="仿宋" w:cs="仿宋"/>
                <w:color w:val="auto"/>
                <w:sz w:val="24"/>
                <w:szCs w:val="24"/>
                <w:vertAlign w:val="baseline"/>
                <w:lang w:val="en-US" w:eastAsia="zh-CN"/>
              </w:rPr>
              <w:t xml:space="preserve">方案进行评分。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bidi="ar-SA"/>
              </w:rPr>
              <w:t xml:space="preserve">方案完全包含上述要点且满足采购文件要求的得4分，方案每缺1项内容扣2分，不提供方案的不得分。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结合采购需求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的方案</w:t>
            </w:r>
            <w:r>
              <w:rPr>
                <w:rFonts w:hint="eastAsia" w:ascii="仿宋" w:hAnsi="仿宋" w:eastAsia="仿宋" w:cs="仿宋"/>
                <w:color w:val="auto"/>
                <w:sz w:val="24"/>
                <w:szCs w:val="24"/>
                <w:lang w:val="en-US" w:eastAsia="zh-CN"/>
              </w:rPr>
              <w:t xml:space="preserve">方案切实可行的加2分；</w:t>
            </w:r>
            <w:r/>
          </w:p>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lang w:val="en-US" w:eastAsia="zh-CN"/>
              </w:rPr>
              <w:t xml:space="preserve">方案贴近</w:t>
            </w:r>
            <w:r>
              <w:rPr>
                <w:rFonts w:hint="eastAsia" w:ascii="仿宋" w:hAnsi="仿宋" w:eastAsia="仿宋" w:cs="仿宋"/>
                <w:color w:val="auto"/>
                <w:sz w:val="24"/>
                <w:szCs w:val="24"/>
                <w:highlight w:val="none"/>
                <w:lang w:val="en-US" w:eastAsia="zh-CN"/>
              </w:rPr>
              <w:t xml:space="preserve">采购需求中</w:t>
            </w:r>
            <w:r>
              <w:rPr>
                <w:rFonts w:hint="eastAsia" w:ascii="仿宋" w:hAnsi="仿宋" w:eastAsia="仿宋" w:cs="仿宋"/>
                <w:color w:val="auto"/>
                <w:sz w:val="24"/>
                <w:szCs w:val="24"/>
                <w:lang w:val="en-US" w:eastAsia="zh-CN"/>
              </w:rPr>
              <w:t xml:space="preserve">采购人实际情况的加2分；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val="en-US" w:eastAsia="zh-TW"/>
              </w:rPr>
              <w:t xml:space="preserve">未提供的不得分。</w:t>
            </w:r>
            <w:r/>
          </w:p>
        </w:tc>
        <w:tc>
          <w:tcPr>
            <w:tcW w:w="523"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8分</w:t>
            </w:r>
            <w:r/>
          </w:p>
        </w:tc>
      </w:tr>
      <w:tr>
        <w:trPr>
          <w:trHeight w:val="454"/>
        </w:trPr>
        <w:tc>
          <w:tcPr>
            <w:tcW w:w="477"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1.3</w:t>
            </w:r>
            <w:r/>
          </w:p>
        </w:tc>
        <w:tc>
          <w:tcPr>
            <w:tcW w:w="93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default" w:ascii="仿宋" w:hAnsi="仿宋" w:eastAsia="仿宋" w:cs="仿宋"/>
                <w:color w:val="auto"/>
                <w:sz w:val="24"/>
                <w:szCs w:val="24"/>
                <w:vertAlign w:val="baseline"/>
                <w:lang w:val="en-US" w:eastAsia="zh-CN"/>
              </w:rPr>
              <w:t xml:space="preserve">垃圾收集、清运管理方案</w:t>
            </w:r>
            <w:r/>
          </w:p>
        </w:tc>
        <w:tc>
          <w:tcPr>
            <w:tcW w:w="3063"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磋商响应文件中提供的垃圾收集、清运管理方案， 方案内容中包含不限于一般垃圾、可回收物、有害垃圾、其他垃圾、大件垃圾和无主建筑装潢垃圾的分类收集和清运方案。方案中须至少体现人员配备、时间安排、工具配备、车辆安排等基本要求。</w:t>
            </w:r>
            <w:r/>
          </w:p>
          <w:p>
            <w:pPr>
              <w:ind w:firstLine="480"/>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方案完全包含上述要点且满足采购文件要求的得6分，方案每缺1项内容扣1分，不提供方案的不得分。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结合采购需求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的方案</w:t>
            </w:r>
            <w:r>
              <w:rPr>
                <w:rFonts w:hint="eastAsia" w:ascii="仿宋" w:hAnsi="仿宋" w:eastAsia="仿宋" w:cs="仿宋"/>
                <w:color w:val="auto"/>
                <w:sz w:val="24"/>
                <w:szCs w:val="24"/>
                <w:lang w:val="en-US" w:eastAsia="zh-CN"/>
              </w:rPr>
              <w:t xml:space="preserve">方案切实可行的加2分；</w:t>
            </w:r>
            <w:r/>
          </w:p>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lang w:val="en-US" w:eastAsia="zh-CN"/>
              </w:rPr>
              <w:t xml:space="preserve">方案贴近</w:t>
            </w:r>
            <w:r>
              <w:rPr>
                <w:rFonts w:hint="eastAsia" w:ascii="仿宋" w:hAnsi="仿宋" w:eastAsia="仿宋" w:cs="仿宋"/>
                <w:color w:val="auto"/>
                <w:sz w:val="24"/>
                <w:szCs w:val="24"/>
                <w:highlight w:val="none"/>
                <w:lang w:val="en-US" w:eastAsia="zh-CN"/>
              </w:rPr>
              <w:t xml:space="preserve">采购需求中</w:t>
            </w:r>
            <w:r>
              <w:rPr>
                <w:rFonts w:hint="eastAsia" w:ascii="仿宋" w:hAnsi="仿宋" w:eastAsia="仿宋" w:cs="仿宋"/>
                <w:color w:val="auto"/>
                <w:sz w:val="24"/>
                <w:szCs w:val="24"/>
                <w:lang w:val="en-US" w:eastAsia="zh-CN"/>
              </w:rPr>
              <w:t xml:space="preserve">采购人实际情况的加2分；</w:t>
            </w:r>
            <w:r/>
          </w:p>
          <w:p>
            <w:pPr>
              <w:ind w:firstLine="480"/>
              <w:jc w:val="both"/>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lang w:val="en-US" w:eastAsia="zh-TW"/>
              </w:rPr>
              <w:t xml:space="preserve">未提供的不得分。</w:t>
            </w:r>
            <w:r/>
          </w:p>
        </w:tc>
        <w:tc>
          <w:tcPr>
            <w:tcW w:w="523"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10分</w:t>
            </w:r>
            <w:r/>
          </w:p>
        </w:tc>
      </w:tr>
      <w:tr>
        <w:trPr>
          <w:trHeight w:val="505"/>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1.4</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应急抢险、突击保障方案</w:t>
            </w:r>
            <w:r/>
          </w:p>
        </w:tc>
        <w:tc>
          <w:tcPr>
            <w:tcW w:w="3063"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根据磋商响应文件中提供的应急抢险、突击保障方案，方案内容中至少提供《重大活动保障应急预案》、《特殊季节性保洁应急预案》、《道路大面积污染应急预案》、《融雪除冰应急预案》、《台风暴雨等恶劣天气应急预案》这五类预案。就其方案是否完整、清晰、科学等方面评审。</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bidi="ar-SA"/>
              </w:rPr>
              <w:t xml:space="preserve">方案完全包含上述要点且满足采购文件要求的得5分，方案每缺1项内容扣1分，不提供方案的不得分。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结合采购需求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的方案</w:t>
            </w:r>
            <w:r>
              <w:rPr>
                <w:rFonts w:hint="eastAsia" w:ascii="仿宋" w:hAnsi="仿宋" w:eastAsia="仿宋" w:cs="仿宋"/>
                <w:color w:val="auto"/>
                <w:sz w:val="24"/>
                <w:szCs w:val="24"/>
                <w:lang w:val="en-US" w:eastAsia="zh-CN"/>
              </w:rPr>
              <w:t xml:space="preserve">方案切实可行的加2分；</w:t>
            </w:r>
            <w:r/>
          </w:p>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lang w:val="en-US" w:eastAsia="zh-CN"/>
              </w:rPr>
              <w:t xml:space="preserve">方案贴近</w:t>
            </w:r>
            <w:r>
              <w:rPr>
                <w:rFonts w:hint="eastAsia" w:ascii="仿宋" w:hAnsi="仿宋" w:eastAsia="仿宋" w:cs="仿宋"/>
                <w:color w:val="auto"/>
                <w:sz w:val="24"/>
                <w:szCs w:val="24"/>
                <w:highlight w:val="none"/>
                <w:lang w:val="en-US" w:eastAsia="zh-CN"/>
              </w:rPr>
              <w:t xml:space="preserve">采购需求中</w:t>
            </w:r>
            <w:r>
              <w:rPr>
                <w:rFonts w:hint="eastAsia" w:ascii="仿宋" w:hAnsi="仿宋" w:eastAsia="仿宋" w:cs="仿宋"/>
                <w:color w:val="auto"/>
                <w:sz w:val="24"/>
                <w:szCs w:val="24"/>
                <w:lang w:val="en-US" w:eastAsia="zh-CN"/>
              </w:rPr>
              <w:t xml:space="preserve">采购人实际情况的加3分；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val="en-US" w:eastAsia="zh-TW"/>
              </w:rPr>
              <w:t xml:space="preserve">未提供的不得分。</w:t>
            </w:r>
            <w:r/>
          </w:p>
        </w:tc>
        <w:tc>
          <w:tcPr>
            <w:tcW w:w="523"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10分</w:t>
            </w:r>
            <w:r/>
          </w:p>
        </w:tc>
      </w:tr>
      <w:tr>
        <w:trPr>
          <w:trHeight w:val="2425"/>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1.5</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文明作业实施方案及保障措施评价</w:t>
            </w:r>
            <w:r/>
          </w:p>
        </w:tc>
        <w:tc>
          <w:tcPr>
            <w:tcW w:w="3063"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根据磋商响应文件中提供的文明作业实施方案及保障措施评价。</w:t>
            </w:r>
            <w:r/>
          </w:p>
          <w:p>
            <w:pPr>
              <w:ind w:firstLine="480"/>
              <w:spacing w:line="360" w:lineRule="auto"/>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方案完全包含上述要点且满足采购文件要求的得4分，方案每缺1项内容扣2分，不提供方案的不得分。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结合采购需求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的方案</w:t>
            </w:r>
            <w:r>
              <w:rPr>
                <w:rFonts w:hint="eastAsia" w:ascii="仿宋" w:hAnsi="仿宋" w:eastAsia="仿宋" w:cs="仿宋"/>
                <w:color w:val="auto"/>
                <w:sz w:val="24"/>
                <w:szCs w:val="24"/>
                <w:lang w:val="en-US" w:eastAsia="zh-CN"/>
              </w:rPr>
              <w:t xml:space="preserve">方案切实可行的加2分；</w:t>
            </w:r>
            <w:r/>
          </w:p>
          <w:p>
            <w:pPr>
              <w:ind w:firstLine="480"/>
              <w:jc w:val="both"/>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lang w:val="en-US" w:eastAsia="zh-CN"/>
              </w:rPr>
              <w:t xml:space="preserve">方案贴近</w:t>
            </w:r>
            <w:r>
              <w:rPr>
                <w:rFonts w:hint="eastAsia" w:ascii="仿宋" w:hAnsi="仿宋" w:eastAsia="仿宋" w:cs="仿宋"/>
                <w:color w:val="auto"/>
                <w:sz w:val="24"/>
                <w:szCs w:val="24"/>
                <w:highlight w:val="none"/>
                <w:lang w:val="en-US" w:eastAsia="zh-CN"/>
              </w:rPr>
              <w:t xml:space="preserve">采购需求中</w:t>
            </w:r>
            <w:r>
              <w:rPr>
                <w:rFonts w:hint="eastAsia" w:ascii="仿宋" w:hAnsi="仿宋" w:eastAsia="仿宋" w:cs="仿宋"/>
                <w:color w:val="auto"/>
                <w:sz w:val="24"/>
                <w:szCs w:val="24"/>
                <w:lang w:val="en-US" w:eastAsia="zh-CN"/>
              </w:rPr>
              <w:t xml:space="preserve">采购人实际情况的加3分；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val="en-US" w:eastAsia="zh-TW"/>
              </w:rPr>
              <w:t xml:space="preserve">未提供的不得分。</w:t>
            </w:r>
            <w:r/>
          </w:p>
        </w:tc>
        <w:tc>
          <w:tcPr>
            <w:tcW w:w="523"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2543"/>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1.6</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安全管理实施方案及保障措施</w:t>
            </w:r>
            <w:r/>
          </w:p>
        </w:tc>
        <w:tc>
          <w:tcPr>
            <w:tcW w:w="3063"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根据磋商响应文件中提供的安全管理实施方案及保障措施评价。</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bidi="ar-SA"/>
              </w:rPr>
              <w:t xml:space="preserve">方案完全包含上述要点且满足采购文件要求的得4分，方案每缺1项内容扣2分，不提供方案的不得分。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结合采购需求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的方案</w:t>
            </w:r>
            <w:r>
              <w:rPr>
                <w:rFonts w:hint="eastAsia" w:ascii="仿宋" w:hAnsi="仿宋" w:eastAsia="仿宋" w:cs="仿宋"/>
                <w:color w:val="auto"/>
                <w:sz w:val="24"/>
                <w:szCs w:val="24"/>
                <w:lang w:val="en-US" w:eastAsia="zh-CN"/>
              </w:rPr>
              <w:t xml:space="preserve">方案切实可行的加2分；</w:t>
            </w:r>
            <w:r/>
          </w:p>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lang w:val="en-US" w:eastAsia="zh-CN"/>
              </w:rPr>
              <w:t xml:space="preserve">方案贴近</w:t>
            </w:r>
            <w:r>
              <w:rPr>
                <w:rFonts w:hint="eastAsia" w:ascii="仿宋" w:hAnsi="仿宋" w:eastAsia="仿宋" w:cs="仿宋"/>
                <w:color w:val="auto"/>
                <w:sz w:val="24"/>
                <w:szCs w:val="24"/>
                <w:highlight w:val="none"/>
                <w:lang w:val="en-US" w:eastAsia="zh-CN"/>
              </w:rPr>
              <w:t xml:space="preserve">采购需求中</w:t>
            </w:r>
            <w:r>
              <w:rPr>
                <w:rFonts w:hint="eastAsia" w:ascii="仿宋" w:hAnsi="仿宋" w:eastAsia="仿宋" w:cs="仿宋"/>
                <w:color w:val="auto"/>
                <w:sz w:val="24"/>
                <w:szCs w:val="24"/>
                <w:lang w:val="en-US" w:eastAsia="zh-CN"/>
              </w:rPr>
              <w:t xml:space="preserve">采购人实际情况的加3分；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val="en-US" w:eastAsia="zh-TW"/>
              </w:rPr>
              <w:t xml:space="preserve">未提供的不得分。</w:t>
            </w:r>
            <w:r/>
          </w:p>
        </w:tc>
        <w:tc>
          <w:tcPr>
            <w:tcW w:w="523"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1103"/>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1.7</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节假日工作安排方案</w:t>
            </w:r>
            <w:r/>
          </w:p>
        </w:tc>
        <w:tc>
          <w:tcPr>
            <w:tcW w:w="3063"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根据磋商响应文件中提供的节假日工作安排方案包括管理人员在岗在位、一线作业人员配备等评价。</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bidi="ar-SA"/>
              </w:rPr>
              <w:t xml:space="preserve">方案完全包含上述要点且满足采购文件要求的得4分，方案每缺1项内容扣2分，不提供方案的不得分。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结合采购需求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的方案</w:t>
            </w:r>
            <w:r>
              <w:rPr>
                <w:rFonts w:hint="eastAsia" w:ascii="仿宋" w:hAnsi="仿宋" w:eastAsia="仿宋" w:cs="仿宋"/>
                <w:color w:val="auto"/>
                <w:sz w:val="24"/>
                <w:szCs w:val="24"/>
                <w:lang w:val="en-US" w:eastAsia="zh-CN"/>
              </w:rPr>
              <w:t xml:space="preserve">方案切实可行的加2分；</w:t>
            </w:r>
            <w:r/>
          </w:p>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lang w:val="en-US" w:eastAsia="zh-CN"/>
              </w:rPr>
              <w:t xml:space="preserve">方案贴近</w:t>
            </w:r>
            <w:r>
              <w:rPr>
                <w:rFonts w:hint="eastAsia" w:ascii="仿宋" w:hAnsi="仿宋" w:eastAsia="仿宋" w:cs="仿宋"/>
                <w:color w:val="auto"/>
                <w:sz w:val="24"/>
                <w:szCs w:val="24"/>
                <w:highlight w:val="none"/>
                <w:lang w:val="en-US" w:eastAsia="zh-CN"/>
              </w:rPr>
              <w:t xml:space="preserve">采购需求中</w:t>
            </w:r>
            <w:r>
              <w:rPr>
                <w:rFonts w:hint="eastAsia" w:ascii="仿宋" w:hAnsi="仿宋" w:eastAsia="仿宋" w:cs="仿宋"/>
                <w:color w:val="auto"/>
                <w:sz w:val="24"/>
                <w:szCs w:val="24"/>
                <w:lang w:val="en-US" w:eastAsia="zh-CN"/>
              </w:rPr>
              <w:t xml:space="preserve">采购人实际情况的加3分；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lang w:val="en-US" w:eastAsia="zh-TW"/>
              </w:rPr>
              <w:t xml:space="preserve">未提供的不得分。</w:t>
            </w:r>
            <w:r/>
          </w:p>
        </w:tc>
        <w:tc>
          <w:tcPr>
            <w:tcW w:w="523"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710"/>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二</w:t>
            </w:r>
            <w:r/>
          </w:p>
        </w:tc>
        <w:tc>
          <w:tcPr>
            <w:gridSpan w:val="3"/>
            <w:tcW w:w="4522"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商务部分</w:t>
            </w:r>
            <w:r/>
          </w:p>
        </w:tc>
      </w:tr>
      <w:tr>
        <w:trPr>
          <w:trHeight w:val="1436"/>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3"/>
                <w:sz w:val="24"/>
                <w:szCs w:val="24"/>
              </w:rPr>
              <w:t xml:space="preserve">成功案</w:t>
            </w:r>
            <w:r>
              <w:rPr>
                <w:rFonts w:hint="eastAsia" w:ascii="仿宋" w:hAnsi="仿宋" w:eastAsia="仿宋" w:cs="仿宋"/>
                <w:color w:val="auto"/>
                <w:spacing w:val="-2"/>
                <w:sz w:val="24"/>
                <w:szCs w:val="24"/>
              </w:rPr>
              <w:t xml:space="preserve">例评价</w:t>
            </w:r>
            <w:r/>
          </w:p>
        </w:tc>
        <w:tc>
          <w:tcPr>
            <w:tcW w:w="3063"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20</w:t>
            </w:r>
            <w:r>
              <w:rPr>
                <w:rFonts w:hint="eastAsia" w:ascii="仿宋" w:hAnsi="仿宋" w:eastAsia="仿宋" w:cs="仿宋"/>
                <w:color w:val="auto"/>
                <w:sz w:val="24"/>
                <w:szCs w:val="24"/>
                <w:vertAlign w:val="baseline"/>
                <w:lang w:val="en-US" w:eastAsia="zh-CN"/>
              </w:rPr>
              <w:t xml:space="preserve">21</w:t>
            </w:r>
            <w:r>
              <w:rPr>
                <w:rFonts w:hint="eastAsia" w:ascii="仿宋" w:hAnsi="仿宋" w:eastAsia="仿宋" w:cs="仿宋"/>
                <w:color w:val="auto"/>
                <w:sz w:val="24"/>
                <w:szCs w:val="24"/>
                <w:vertAlign w:val="baseline"/>
              </w:rPr>
              <w:t xml:space="preserve">年1月1日以来供应商承接的</w:t>
            </w:r>
            <w:r>
              <w:rPr>
                <w:rFonts w:hint="eastAsia" w:ascii="仿宋" w:hAnsi="仿宋" w:eastAsia="仿宋" w:cs="仿宋"/>
                <w:color w:val="auto"/>
                <w:sz w:val="24"/>
                <w:szCs w:val="24"/>
                <w:vertAlign w:val="baseline"/>
                <w:lang w:val="en-US" w:eastAsia="zh-CN"/>
              </w:rPr>
              <w:t xml:space="preserve">相似</w:t>
            </w:r>
            <w:r>
              <w:rPr>
                <w:rFonts w:hint="eastAsia" w:ascii="仿宋" w:hAnsi="仿宋" w:eastAsia="仿宋" w:cs="仿宋"/>
                <w:color w:val="auto"/>
                <w:sz w:val="24"/>
                <w:szCs w:val="24"/>
                <w:vertAlign w:val="baseline"/>
              </w:rPr>
              <w:t xml:space="preserve">项目业绩</w:t>
            </w:r>
            <w:r>
              <w:rPr>
                <w:rFonts w:hint="eastAsia" w:ascii="仿宋" w:hAnsi="仿宋" w:eastAsia="仿宋" w:cs="仿宋"/>
                <w:color w:val="auto"/>
                <w:sz w:val="24"/>
                <w:szCs w:val="24"/>
                <w:vertAlign w:val="baseline"/>
                <w:lang w:eastAsia="zh-CN"/>
              </w:rPr>
              <w:t xml:space="preserve">（</w:t>
            </w:r>
            <w:r>
              <w:rPr>
                <w:rFonts w:hint="eastAsia" w:ascii="仿宋" w:hAnsi="仿宋" w:eastAsia="仿宋" w:cs="仿宋"/>
                <w:color w:val="auto"/>
                <w:sz w:val="24"/>
                <w:szCs w:val="24"/>
                <w:vertAlign w:val="baseline"/>
                <w:lang w:val="en-US" w:eastAsia="zh-CN"/>
              </w:rPr>
              <w:t xml:space="preserve">河道、水库管护等相似均可</w:t>
            </w:r>
            <w:r>
              <w:rPr>
                <w:rFonts w:hint="eastAsia" w:ascii="仿宋" w:hAnsi="仿宋" w:eastAsia="仿宋" w:cs="仿宋"/>
                <w:color w:val="auto"/>
                <w:sz w:val="24"/>
                <w:szCs w:val="24"/>
                <w:vertAlign w:val="baseline"/>
                <w:lang w:eastAsia="zh-CN"/>
              </w:rPr>
              <w:t xml:space="preserve">）</w:t>
            </w:r>
            <w:r>
              <w:rPr>
                <w:rFonts w:hint="eastAsia" w:ascii="仿宋" w:hAnsi="仿宋" w:eastAsia="仿宋" w:cs="仿宋"/>
                <w:color w:val="auto"/>
                <w:sz w:val="24"/>
                <w:szCs w:val="24"/>
                <w:vertAlign w:val="baseline"/>
              </w:rPr>
              <w:t xml:space="preserve">，每有一个得</w:t>
            </w:r>
            <w:r>
              <w:rPr>
                <w:rFonts w:hint="eastAsia" w:ascii="仿宋" w:hAnsi="仿宋" w:eastAsia="仿宋" w:cs="仿宋"/>
                <w:color w:val="auto"/>
                <w:sz w:val="24"/>
                <w:szCs w:val="24"/>
                <w:vertAlign w:val="baseline"/>
                <w:lang w:val="en-US" w:eastAsia="zh-CN"/>
              </w:rPr>
              <w:t xml:space="preserve">3</w:t>
            </w:r>
            <w:r>
              <w:rPr>
                <w:rFonts w:hint="eastAsia" w:ascii="仿宋" w:hAnsi="仿宋" w:eastAsia="仿宋" w:cs="仿宋"/>
                <w:color w:val="auto"/>
                <w:sz w:val="24"/>
                <w:szCs w:val="24"/>
                <w:vertAlign w:val="baseline"/>
              </w:rPr>
              <w:t xml:space="preserve">分，最高得</w:t>
            </w:r>
            <w:r>
              <w:rPr>
                <w:rFonts w:hint="eastAsia" w:ascii="仿宋" w:hAnsi="仿宋" w:eastAsia="仿宋" w:cs="仿宋"/>
                <w:color w:val="auto"/>
                <w:sz w:val="24"/>
                <w:szCs w:val="24"/>
                <w:vertAlign w:val="baseline"/>
                <w:lang w:val="en-US" w:eastAsia="zh-CN"/>
              </w:rPr>
              <w:t xml:space="preserve">15</w:t>
            </w:r>
            <w:r>
              <w:rPr>
                <w:rFonts w:hint="eastAsia" w:ascii="仿宋" w:hAnsi="仿宋" w:eastAsia="仿宋" w:cs="仿宋"/>
                <w:color w:val="auto"/>
                <w:sz w:val="24"/>
                <w:szCs w:val="24"/>
                <w:vertAlign w:val="baseline"/>
              </w:rPr>
              <w:t xml:space="preserve">分。（</w:t>
            </w:r>
            <w:r>
              <w:rPr>
                <w:rFonts w:hint="eastAsia" w:ascii="仿宋" w:hAnsi="仿宋" w:eastAsia="仿宋" w:cs="仿宋"/>
                <w:color w:val="auto"/>
                <w:sz w:val="24"/>
                <w:szCs w:val="24"/>
                <w:vertAlign w:val="baseline"/>
                <w:lang w:val="en-US" w:eastAsia="zh-CN"/>
              </w:rPr>
              <w:t xml:space="preserve">注：</w:t>
            </w:r>
            <w:r>
              <w:rPr>
                <w:rFonts w:hint="eastAsia" w:ascii="仿宋" w:hAnsi="仿宋" w:eastAsia="仿宋" w:cs="仿宋"/>
                <w:color w:val="auto"/>
                <w:sz w:val="24"/>
                <w:szCs w:val="24"/>
                <w:vertAlign w:val="baseline"/>
              </w:rPr>
              <w:t xml:space="preserve">需提供合同复印件</w:t>
            </w:r>
            <w:r>
              <w:rPr>
                <w:rFonts w:hint="eastAsia" w:ascii="仿宋" w:hAnsi="仿宋" w:eastAsia="仿宋" w:cs="仿宋"/>
                <w:color w:val="auto"/>
                <w:sz w:val="24"/>
                <w:szCs w:val="24"/>
                <w:vertAlign w:val="baseline"/>
                <w:lang w:val="en-US" w:eastAsia="zh-CN"/>
              </w:rPr>
              <w:t xml:space="preserve">及</w:t>
            </w:r>
            <w:r>
              <w:rPr>
                <w:rFonts w:hint="eastAsia" w:ascii="仿宋" w:hAnsi="仿宋" w:eastAsia="仿宋" w:cs="仿宋"/>
                <w:color w:val="auto"/>
                <w:sz w:val="24"/>
                <w:szCs w:val="24"/>
                <w:vertAlign w:val="baseline"/>
              </w:rPr>
              <w:t xml:space="preserve">的发票原件扫描件</w:t>
            </w:r>
            <w:r>
              <w:rPr>
                <w:rFonts w:hint="eastAsia" w:ascii="仿宋" w:hAnsi="仿宋" w:eastAsia="仿宋" w:cs="仿宋"/>
                <w:color w:val="auto"/>
                <w:sz w:val="24"/>
                <w:szCs w:val="24"/>
                <w:vertAlign w:val="baseline"/>
                <w:lang w:eastAsia="zh-CN"/>
              </w:rPr>
              <w:t xml:space="preserve">（</w:t>
            </w:r>
            <w:r>
              <w:rPr>
                <w:rFonts w:hint="eastAsia" w:ascii="仿宋" w:hAnsi="仿宋" w:eastAsia="仿宋" w:cs="仿宋"/>
                <w:color w:val="auto"/>
                <w:sz w:val="24"/>
                <w:szCs w:val="24"/>
                <w:vertAlign w:val="baseline"/>
                <w:lang w:val="en-US" w:eastAsia="zh-CN"/>
              </w:rPr>
              <w:t xml:space="preserve">任意金额</w:t>
            </w:r>
            <w:r>
              <w:rPr>
                <w:rFonts w:hint="eastAsia" w:ascii="仿宋" w:hAnsi="仿宋" w:eastAsia="仿宋" w:cs="仿宋"/>
                <w:color w:val="auto"/>
                <w:sz w:val="24"/>
                <w:szCs w:val="24"/>
                <w:vertAlign w:val="baseline"/>
                <w:lang w:eastAsia="zh-CN"/>
              </w:rPr>
              <w:t xml:space="preserve">），</w:t>
            </w:r>
            <w:r>
              <w:rPr>
                <w:rFonts w:hint="eastAsia" w:ascii="仿宋" w:hAnsi="仿宋" w:eastAsia="仿宋" w:cs="仿宋"/>
                <w:color w:val="auto"/>
                <w:sz w:val="24"/>
                <w:szCs w:val="24"/>
                <w:vertAlign w:val="baseline"/>
              </w:rPr>
              <w:t xml:space="preserve">否则不得分</w:t>
            </w:r>
            <w:r>
              <w:rPr>
                <w:rFonts w:hint="eastAsia" w:ascii="仿宋" w:hAnsi="仿宋" w:eastAsia="仿宋" w:cs="仿宋"/>
                <w:color w:val="auto"/>
                <w:sz w:val="24"/>
                <w:szCs w:val="24"/>
                <w:vertAlign w:val="baseline"/>
                <w:lang w:eastAsia="zh-CN"/>
              </w:rPr>
              <w:t xml:space="preserve">。</w:t>
            </w:r>
            <w:r>
              <w:rPr>
                <w:rFonts w:hint="eastAsia" w:ascii="仿宋" w:hAnsi="仿宋" w:eastAsia="仿宋" w:cs="仿宋"/>
                <w:color w:val="auto"/>
                <w:sz w:val="24"/>
                <w:szCs w:val="24"/>
                <w:vertAlign w:val="baseline"/>
              </w:rPr>
              <w:t xml:space="preserve">时间以合同</w:t>
            </w:r>
            <w:r>
              <w:rPr>
                <w:rFonts w:hint="eastAsia" w:ascii="仿宋" w:hAnsi="仿宋" w:eastAsia="仿宋" w:cs="仿宋"/>
                <w:color w:val="auto"/>
                <w:sz w:val="24"/>
                <w:szCs w:val="24"/>
                <w:vertAlign w:val="baseline"/>
                <w:lang w:val="en-US" w:eastAsia="zh-CN"/>
              </w:rPr>
              <w:t xml:space="preserve">约定的管护时间为准，如若没有则按</w:t>
            </w:r>
            <w:r>
              <w:rPr>
                <w:rFonts w:hint="eastAsia" w:ascii="仿宋" w:hAnsi="仿宋" w:eastAsia="仿宋" w:cs="仿宋"/>
                <w:color w:val="auto"/>
                <w:sz w:val="24"/>
                <w:szCs w:val="24"/>
                <w:vertAlign w:val="baseline"/>
              </w:rPr>
              <w:t xml:space="preserve">签订时间为准</w:t>
            </w:r>
            <w:r>
              <w:rPr>
                <w:rFonts w:hint="eastAsia" w:ascii="仿宋" w:hAnsi="仿宋" w:eastAsia="仿宋" w:cs="仿宋"/>
                <w:color w:val="auto"/>
                <w:sz w:val="24"/>
                <w:szCs w:val="24"/>
                <w:vertAlign w:val="baseline"/>
                <w:lang w:eastAsia="zh-CN"/>
              </w:rPr>
              <w:t xml:space="preserve">。</w:t>
            </w:r>
            <w:r>
              <w:rPr>
                <w:rFonts w:hint="eastAsia" w:ascii="仿宋" w:hAnsi="仿宋" w:eastAsia="仿宋" w:cs="仿宋"/>
                <w:color w:val="auto"/>
                <w:sz w:val="24"/>
                <w:szCs w:val="24"/>
                <w:vertAlign w:val="baseline"/>
              </w:rPr>
              <w:t xml:space="preserve">）</w:t>
            </w:r>
            <w:r/>
          </w:p>
        </w:tc>
        <w:tc>
          <w:tcPr>
            <w:tcW w:w="523"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15分</w:t>
            </w:r>
            <w:r/>
          </w:p>
        </w:tc>
      </w:tr>
      <w:tr>
        <w:trPr>
          <w:trHeight w:val="712"/>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三</w:t>
            </w:r>
            <w:r/>
          </w:p>
        </w:tc>
        <w:tc>
          <w:tcPr>
            <w:gridSpan w:val="3"/>
            <w:tcW w:w="4522"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报价部分</w:t>
            </w:r>
            <w:r/>
          </w:p>
        </w:tc>
      </w:tr>
      <w:tr>
        <w:trPr>
          <w:trHeight w:val="730"/>
        </w:trPr>
        <w:tc>
          <w:tcPr>
            <w:tcW w:w="477"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3.1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报价得分</w:t>
            </w:r>
            <w:r/>
          </w:p>
        </w:tc>
        <w:tc>
          <w:tcPr>
            <w:tcW w:w="3063"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综合评分法中的价格分采用低价优先法计算，即满足磋商文件要求且最后报价最低的供应商的价格为磋商基准价，其价格分为满分20分。其他供应商的价格分统一按照下列公式计算：磋商报价得分=(磋商基准价／最后磋商报价)×20。</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说明：1.因落实政府采购政策进行价格调整的，以调整后的价格计算基准报价和报价。</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2.上述“最低的报价”必须是合理的。如果最低报价属于恶意竞争或明显低于成本价，按照“《关于推动解决政府采购异常低价问题的通知》（财库〔2026〕2号）”，经</w:t>
            </w:r>
            <w:r>
              <w:rPr>
                <w:rFonts w:hint="eastAsia" w:ascii="仿宋" w:hAnsi="仿宋" w:eastAsia="仿宋" w:cs="仿宋"/>
                <w:color w:val="auto"/>
                <w:sz w:val="24"/>
                <w:szCs w:val="24"/>
                <w:vertAlign w:val="baseline"/>
                <w:lang w:val="en-US" w:eastAsia="zh-CN"/>
              </w:rPr>
              <w:t xml:space="preserve">磋商小组</w:t>
            </w:r>
            <w:r>
              <w:rPr>
                <w:rFonts w:hint="eastAsia" w:ascii="仿宋" w:hAnsi="仿宋" w:eastAsia="仿宋" w:cs="仿宋"/>
                <w:color w:val="auto"/>
                <w:sz w:val="24"/>
                <w:szCs w:val="24"/>
                <w:vertAlign w:val="baseline"/>
              </w:rPr>
              <w:t xml:space="preserve">认定为无效</w:t>
            </w:r>
            <w:r>
              <w:rPr>
                <w:rFonts w:hint="eastAsia" w:ascii="仿宋" w:hAnsi="仿宋" w:eastAsia="仿宋" w:cs="仿宋"/>
                <w:color w:val="auto"/>
                <w:sz w:val="24"/>
                <w:szCs w:val="24"/>
                <w:vertAlign w:val="baseline"/>
                <w:lang w:val="en-US" w:eastAsia="zh-CN"/>
              </w:rPr>
              <w:t xml:space="preserve">响应</w:t>
            </w:r>
            <w:r>
              <w:rPr>
                <w:rFonts w:hint="eastAsia" w:ascii="仿宋" w:hAnsi="仿宋" w:eastAsia="仿宋" w:cs="仿宋"/>
                <w:color w:val="auto"/>
                <w:sz w:val="24"/>
                <w:szCs w:val="24"/>
                <w:vertAlign w:val="baseline"/>
              </w:rPr>
              <w:t xml:space="preserve">。</w:t>
            </w:r>
            <w:r/>
          </w:p>
        </w:tc>
        <w:tc>
          <w:tcPr>
            <w:tcW w:w="523"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20分</w:t>
            </w:r>
            <w:r/>
          </w:p>
        </w:tc>
      </w:tr>
    </w:tbl>
    <w:p>
      <w:pPr>
        <w:pStyle w:val="646"/>
        <w:ind w:left="0" w:firstLine="0"/>
        <w:rPr>
          <w:rFonts w:hint="eastAsia"/>
        </w:rPr>
      </w:pPr>
      <w:r>
        <w:rPr>
          <w:rFonts w:hint="eastAsia"/>
        </w:rPr>
      </w:r>
      <w:r/>
    </w:p>
    <w:p>
      <w:pPr>
        <w:pStyle w:val="718"/>
        <w:ind w:firstLine="321"/>
        <w:jc w:val="left"/>
        <w:spacing w:before="0" w:after="0"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7．推荐成交供应商</w:t>
      </w:r>
      <w:bookmarkEnd w:id="254"/>
      <w:r/>
      <w:bookmarkEnd w:id="255"/>
      <w:r/>
      <w:bookmarkEnd w:id="256"/>
      <w:r/>
      <w:r/>
    </w:p>
    <w:p>
      <w:pPr>
        <w:ind w:firstLine="480"/>
        <w:spacing w:line="360" w:lineRule="auto"/>
        <w:rPr>
          <w:rFonts w:hint="eastAsia" w:ascii="仿宋" w:hAnsi="仿宋" w:eastAsia="仿宋" w:cs="仿宋"/>
          <w:color w:val="auto"/>
          <w:sz w:val="24"/>
          <w:highlight w:val="none"/>
        </w:rPr>
      </w:pPr>
      <w:r/>
      <w:bookmarkStart w:id="257" w:name="EBf60c0b78baae4cd4941a83c86b937dfd"/>
      <w:r>
        <w:rPr>
          <w:rFonts w:hint="eastAsia" w:ascii="仿宋" w:hAnsi="仿宋" w:eastAsia="仿宋" w:cs="仿宋"/>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57"/>
      <w:r/>
      <w:r/>
    </w:p>
    <w:p>
      <w:pPr>
        <w:pStyle w:val="719"/>
        <w:keepLines w:val="0"/>
        <w:keepNext w:val="0"/>
        <w:spacing w:before="200" w:after="200" w:line="360" w:lineRule="auto"/>
        <w:rPr>
          <w:rFonts w:hint="eastAsia" w:ascii="仿宋" w:hAnsi="仿宋" w:eastAsia="仿宋" w:cs="仿宋"/>
          <w:b w:val="0"/>
          <w:bCs w:val="0"/>
          <w:color w:val="auto"/>
          <w:sz w:val="21"/>
          <w:szCs w:val="22"/>
          <w:highlight w:val="none"/>
        </w:rPr>
      </w:pPr>
      <w:r/>
      <w:bookmarkStart w:id="258" w:name="EB33162866c0454b07a982cbc9df098632"/>
      <w:r/>
      <w:bookmarkEnd w:id="258"/>
      <w:r/>
      <w:r/>
    </w:p>
    <w:p>
      <w:pPr>
        <w:rPr>
          <w:rFonts w:hint="eastAsia" w:ascii="仿宋" w:hAnsi="仿宋" w:eastAsia="仿宋" w:cs="仿宋"/>
          <w:color w:val="auto"/>
          <w:sz w:val="32"/>
          <w:highlight w:val="none"/>
        </w:rPr>
      </w:pPr>
      <w:r/>
      <w:bookmarkStart w:id="259" w:name="_Toc73365521"/>
      <w:r/>
      <w:bookmarkStart w:id="260" w:name="_Toc73364908"/>
      <w:r/>
      <w:bookmarkStart w:id="261" w:name="_Toc142925676"/>
      <w:r>
        <w:rPr>
          <w:rFonts w:hint="eastAsia" w:ascii="仿宋" w:hAnsi="仿宋" w:eastAsia="仿宋" w:cs="仿宋"/>
          <w:color w:val="auto"/>
          <w:sz w:val="32"/>
          <w:highlight w:val="none"/>
        </w:rPr>
        <w:br w:type="page" w:clear="all"/>
      </w:r>
      <w:r/>
    </w:p>
    <w:p>
      <w:pPr>
        <w:pStyle w:val="717"/>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第六部分  磋商响应文件（格式）</w:t>
      </w:r>
      <w:bookmarkEnd w:id="259"/>
      <w:r/>
      <w:bookmarkEnd w:id="260"/>
      <w:r/>
      <w:bookmarkEnd w:id="261"/>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jc w:val="center"/>
        <w:spacing w:before="540" w:after="540"/>
        <w:rPr>
          <w:rFonts w:hint="eastAsia" w:ascii="仿宋" w:hAnsi="仿宋" w:eastAsia="仿宋" w:cs="仿宋"/>
          <w:b/>
          <w:bCs/>
          <w:color w:val="auto"/>
          <w:sz w:val="54"/>
          <w:szCs w:val="54"/>
          <w:highlight w:val="none"/>
        </w:rPr>
      </w:pPr>
      <w:r>
        <w:rPr>
          <w:rFonts w:hint="eastAsia" w:ascii="仿宋" w:hAnsi="仿宋" w:eastAsia="仿宋" w:cs="仿宋"/>
          <w:b/>
          <w:bCs/>
          <w:color w:val="auto"/>
          <w:sz w:val="54"/>
          <w:szCs w:val="54"/>
          <w:highlight w:val="none"/>
        </w:rPr>
        <w:t xml:space="preserve">磋 商 响 应 文 件</w:t>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项目编号：     </w:t>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项目名称：     </w:t>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4"/>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供应商（加盖公章）：     </w:t>
      </w:r>
      <w:r/>
    </w:p>
    <w:p>
      <w:pPr>
        <w:pStyle w:val="904"/>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 </w:t>
      </w:r>
      <w:r/>
    </w:p>
    <w:p>
      <w:pPr>
        <w:pStyle w:val="904"/>
        <w:jc w:val="center"/>
        <w:spacing w:before="320" w:after="32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日期：   </w:t>
      </w:r>
      <w:r/>
    </w:p>
    <w:p>
      <w:pPr>
        <w:jc w:val="center"/>
        <w:spacing w:line="360" w:lineRule="auto"/>
        <w:rPr>
          <w:rFonts w:hint="eastAsia" w:ascii="仿宋" w:hAnsi="仿宋" w:eastAsia="仿宋" w:cs="仿宋"/>
          <w:color w:val="auto"/>
          <w:sz w:val="30"/>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highlight w:val="none"/>
        </w:rPr>
        <w:br w:type="page" w:clear="all"/>
      </w:r>
      <w:bookmarkStart w:id="262" w:name="_Toc142925679"/>
      <w:r/>
      <w:bookmarkStart w:id="263" w:name="_Toc256000067"/>
      <w:r>
        <w:rPr>
          <w:rFonts w:hint="eastAsia" w:ascii="仿宋" w:hAnsi="仿宋" w:eastAsia="仿宋" w:cs="仿宋"/>
          <w:color w:val="auto"/>
          <w:sz w:val="30"/>
          <w:szCs w:val="20"/>
          <w:highlight w:val="none"/>
        </w:rPr>
        <w:t xml:space="preserve">一、资格部分</w:t>
      </w:r>
      <w:r/>
    </w:p>
    <w:p>
      <w:pPr>
        <w:jc w:val="center"/>
        <w:spacing w:line="460" w:lineRule="exact"/>
        <w:widowControl/>
        <w:rPr>
          <w:rFonts w:hint="eastAsia" w:ascii="仿宋" w:hAnsi="仿宋" w:eastAsia="仿宋" w:cs="仿宋"/>
          <w:color w:val="auto"/>
          <w:sz w:val="29"/>
          <w:szCs w:val="20"/>
          <w:highlight w:val="none"/>
        </w:rPr>
      </w:pPr>
      <w:r/>
      <w:bookmarkStart w:id="264" w:name="page44"/>
      <w:r/>
      <w:bookmarkEnd w:id="264"/>
      <w:r>
        <w:rPr>
          <w:rFonts w:hint="eastAsia" w:ascii="仿宋" w:hAnsi="仿宋" w:eastAsia="仿宋" w:cs="仿宋"/>
          <w:color w:val="auto"/>
          <w:sz w:val="29"/>
          <w:szCs w:val="20"/>
          <w:highlight w:val="none"/>
        </w:rPr>
        <w:t xml:space="preserve">（一）磋商承诺函</w:t>
      </w:r>
      <w:r/>
    </w:p>
    <w:p>
      <w:pPr>
        <w:jc w:val="left"/>
        <w:spacing w:line="460" w:lineRule="exact"/>
        <w:widowControl/>
        <w:tabs>
          <w:tab w:val="left" w:pos="118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致：</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（磋商组织方）</w:t>
      </w:r>
      <w:r/>
    </w:p>
    <w:p>
      <w:pPr>
        <w:ind w:left="420"/>
        <w:jc w:val="left"/>
        <w:spacing w:line="460" w:lineRule="exact"/>
        <w:widowControl/>
        <w:tabs>
          <w:tab w:val="left" w:pos="256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根据贵方关于</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的磋商邀请，我方已完全理解磋商文件的所有内容。</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据此函，我方兹宣布同意如下：</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1.我方承诺：我方完全具备《政府采购法》第二十二条第一款规定的条件以及本项目磋商文件规定的参加磋商供应商须满足的特定条件。</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2.我方承诺：参加本次采购活动前三年内，在经营活动中没有重大违法记录。</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3.我方承诺：我方信用记录中没有被列入失信被执行人、没有被列入重大税收违法案件名单、没有被列入政府采购违法失信行为记录名单。</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4.我方承诺按磋商文件要求提供的服务及货物的磋商报价见报价一览表。</w:t>
      </w:r>
      <w:r/>
    </w:p>
    <w:p>
      <w:pPr>
        <w:ind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5．我方承诺根据磋商文件的规定，完成合同义务，并承担责任（如有偏离，在响应文件中另作说明）。</w:t>
      </w:r>
      <w:r/>
    </w:p>
    <w:p>
      <w:pPr>
        <w:ind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6．我方已详读全部磋商文件，包括磋商文件书面修改通知（如有），我方完全理解并同意放弃对这方面不明及误解的权利。</w:t>
      </w:r>
      <w:r/>
    </w:p>
    <w:p>
      <w:pPr>
        <w:ind w:right="20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7．我方承诺响应文件及所有材料的完整、真实、合法、有效，并对其负责。承诺在磋商期间，如磋商小组对我方提出澄清要求，将及时作出响应，否则自行承担后果。</w:t>
      </w:r>
      <w:r/>
    </w:p>
    <w:p>
      <w:pPr>
        <w:ind w:right="18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8．我方同意从规定的磋商日期起遵循本磋商文件，并在规定的磋商有效期期满之前均具有约束力。</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9．我方同意向贵方提供贵方可能要求的与本磋商有关的任何证据或资料。</w:t>
      </w:r>
      <w:r/>
    </w:p>
    <w:p>
      <w:pPr>
        <w:ind w:right="18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10.我方知道如用虚假材料或恶意方式向贵方提出质疑，将承担相应的法律责任。同时承诺：我方如果有上述行为，将无条件承担贵方相关的调查论证费用。</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11．本次响应文件内容与磋商文件内容偏离见磋商偏离表（如果有）。</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12．遵守磋商文件中要求的收费项目和标准。</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13．我方将严格遵守《中华人民共和国政府采购法》，若存在违法违规行为，自愿承担相应的法律后果。</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14．与本磋商有关的一切正式往来通讯请寄：</w:t>
      </w:r>
      <w:r/>
    </w:p>
    <w:p>
      <w:pPr>
        <w:ind w:left="3000"/>
        <w:jc w:val="left"/>
        <w:spacing w:line="460" w:lineRule="exact"/>
        <w:widowControl/>
        <w:tabs>
          <w:tab w:val="left" w:pos="454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地址：</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电话：</w:t>
      </w:r>
      <w:r/>
    </w:p>
    <w:p>
      <w:pPr>
        <w:ind w:left="3000"/>
        <w:jc w:val="left"/>
        <w:spacing w:line="460" w:lineRule="exact"/>
        <w:widowControl/>
        <w:tabs>
          <w:tab w:val="left" w:pos="454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传真：</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邮政编码：</w:t>
      </w:r>
      <w:bookmarkStart w:id="265" w:name="page45"/>
      <w:r/>
      <w:bookmarkEnd w:id="265"/>
      <w:r/>
      <w:r/>
    </w:p>
    <w:p>
      <w:pPr>
        <w:ind w:left="3000"/>
        <w:jc w:val="left"/>
        <w:spacing w:line="460" w:lineRule="exact"/>
        <w:widowControl/>
        <w:tabs>
          <w:tab w:val="left" w:pos="4540" w:leader="none"/>
        </w:tabs>
        <w:rPr>
          <w:rFonts w:hint="eastAsia" w:ascii="仿宋" w:hAnsi="仿宋" w:eastAsia="仿宋" w:cs="仿宋"/>
          <w:color w:val="auto"/>
          <w:sz w:val="23"/>
          <w:szCs w:val="20"/>
          <w:highlight w:val="none"/>
        </w:rPr>
      </w:pPr>
      <w:r>
        <w:rPr>
          <w:rFonts w:hint="eastAsia" w:ascii="仿宋" w:hAnsi="仿宋" w:eastAsia="仿宋" w:cs="仿宋"/>
          <w:color w:val="auto"/>
          <w:sz w:val="23"/>
          <w:szCs w:val="20"/>
          <w:highlight w:val="none"/>
        </w:rPr>
        <w:t xml:space="preserve">供应商（公章）：</w:t>
      </w:r>
      <w:r/>
    </w:p>
    <w:p>
      <w:pPr>
        <w:ind w:firstLine="2990"/>
        <w:jc w:val="left"/>
        <w:spacing w:line="460" w:lineRule="exact"/>
        <w:widowControl/>
        <w:rPr>
          <w:rFonts w:hint="eastAsia" w:ascii="仿宋" w:hAnsi="仿宋" w:eastAsia="仿宋" w:cs="仿宋"/>
          <w:color w:val="auto"/>
          <w:sz w:val="23"/>
          <w:szCs w:val="20"/>
          <w:highlight w:val="none"/>
        </w:rPr>
      </w:pPr>
      <w:r>
        <w:rPr>
          <w:rFonts w:hint="eastAsia" w:ascii="仿宋" w:hAnsi="仿宋" w:eastAsia="仿宋" w:cs="仿宋"/>
          <w:color w:val="auto"/>
          <w:sz w:val="23"/>
          <w:szCs w:val="20"/>
          <w:highlight w:val="none"/>
        </w:rPr>
        <w:t xml:space="preserve">法定代表人签章：</w:t>
      </w:r>
      <w:r/>
    </w:p>
    <w:p>
      <w:pPr>
        <w:ind w:left="2839" w:firstLine="1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 期：</w:t>
      </w:r>
      <w:r/>
    </w:p>
    <w:p>
      <w:pPr>
        <w:ind w:right="-9"/>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8"/>
          <w:szCs w:val="20"/>
          <w:highlight w:val="none"/>
        </w:rPr>
      </w:r>
      <w:r/>
    </w:p>
    <w:p>
      <w:pPr>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bookmarkStart w:id="266" w:name="page46"/>
      <w:r/>
      <w:bookmarkEnd w:id="266"/>
      <w:r>
        <w:rPr>
          <w:rFonts w:hint="eastAsia" w:ascii="仿宋" w:hAnsi="仿宋" w:eastAsia="仿宋" w:cs="仿宋"/>
          <w:color w:val="auto"/>
          <w:sz w:val="29"/>
          <w:szCs w:val="20"/>
          <w:highlight w:val="none"/>
        </w:rPr>
        <w:t xml:space="preserve">（二）独立承担民事责任的能力</w:t>
      </w:r>
      <w:r/>
    </w:p>
    <w:p>
      <w:pPr>
        <w:ind w:right="-29"/>
        <w:spacing w:line="0" w:lineRule="atLeast"/>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67" w:name="page47"/>
      <w:r/>
      <w:bookmarkEnd w:id="267"/>
      <w:r>
        <w:rPr>
          <w:rFonts w:hint="eastAsia" w:ascii="仿宋" w:hAnsi="仿宋" w:eastAsia="仿宋" w:cs="仿宋"/>
          <w:color w:val="auto"/>
          <w:sz w:val="29"/>
          <w:szCs w:val="20"/>
          <w:highlight w:val="none"/>
        </w:rPr>
        <w:t xml:space="preserve">（三）良好的商业信誉和健全的财务会计制度</w:t>
      </w:r>
      <w:r/>
    </w:p>
    <w:p>
      <w:pPr>
        <w:ind w:right="-9"/>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jc w:val="left"/>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68" w:name="page48"/>
      <w:r/>
      <w:bookmarkEnd w:id="268"/>
      <w:r>
        <w:rPr>
          <w:rFonts w:hint="eastAsia" w:ascii="仿宋" w:hAnsi="仿宋" w:eastAsia="仿宋" w:cs="仿宋"/>
          <w:color w:val="auto"/>
          <w:sz w:val="29"/>
          <w:szCs w:val="20"/>
          <w:highlight w:val="none"/>
        </w:rPr>
        <w:t xml:space="preserve">（四）履行合同所必需的设备和专业技术能力</w:t>
      </w:r>
      <w:r/>
    </w:p>
    <w:tbl>
      <w:tblPr>
        <w:tblStyle w:val="6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23"/>
        <w:gridCol w:w="1556"/>
        <w:gridCol w:w="1551"/>
        <w:gridCol w:w="565"/>
        <w:gridCol w:w="141"/>
        <w:gridCol w:w="1271"/>
        <w:gridCol w:w="989"/>
        <w:gridCol w:w="281"/>
        <w:gridCol w:w="1130"/>
        <w:gridCol w:w="1092"/>
      </w:tblGrid>
      <w:tr>
        <w:trPr>
          <w:trHeight w:val="724"/>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公司基本信息</w:t>
            </w:r>
            <w:r/>
          </w:p>
        </w:tc>
      </w:tr>
      <w:tr>
        <w:trPr>
          <w:trHeight w:val="976"/>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公司名称</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75"/>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注册资金</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公司地址</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003"/>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从业人数</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121"/>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账号</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77"/>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项目联系人</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联系电话</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94"/>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公司财务状况</w:t>
            </w:r>
            <w:r/>
          </w:p>
        </w:tc>
      </w:tr>
      <w:tr>
        <w:trPr>
          <w:trHeight w:val="704"/>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lang w:eastAsia="zh-CN"/>
              </w:rPr>
              <w:t xml:space="preserve">202</w:t>
            </w:r>
            <w:r>
              <w:rPr>
                <w:rFonts w:hint="eastAsia" w:ascii="仿宋" w:hAnsi="仿宋" w:eastAsia="仿宋" w:cs="仿宋"/>
                <w:b/>
                <w:bCs/>
                <w:color w:val="auto"/>
                <w:sz w:val="24"/>
                <w:szCs w:val="24"/>
                <w:highlight w:val="none"/>
                <w:u w:val="single"/>
                <w:lang w:val="en-US" w:eastAsia="zh-CN"/>
              </w:rPr>
              <w:t xml:space="preserve">5</w:t>
            </w:r>
            <w:r>
              <w:rPr>
                <w:rFonts w:hint="eastAsia" w:ascii="仿宋" w:hAnsi="仿宋" w:eastAsia="仿宋" w:cs="仿宋"/>
                <w:b/>
                <w:bCs/>
                <w:color w:val="auto"/>
                <w:sz w:val="24"/>
                <w:szCs w:val="24"/>
                <w:highlight w:val="none"/>
                <w:u w:val="single"/>
                <w:lang w:eastAsia="zh-CN"/>
              </w:rPr>
              <w:t xml:space="preserve">年度</w:t>
            </w:r>
            <w:r>
              <w:rPr>
                <w:rFonts w:hint="eastAsia" w:ascii="仿宋" w:hAnsi="仿宋" w:eastAsia="仿宋" w:cs="仿宋"/>
                <w:b/>
                <w:bCs/>
                <w:color w:val="auto"/>
                <w:sz w:val="24"/>
                <w:szCs w:val="24"/>
                <w:highlight w:val="none"/>
              </w:rPr>
              <w:t xml:space="preserve">财务状况</w:t>
            </w:r>
            <w:r/>
          </w:p>
        </w:tc>
      </w:tr>
      <w:tr>
        <w:trPr>
          <w:trHeight w:val="1111"/>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营业收入（万）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利润总额（万）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年末“固定资产合计”（万）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年末“流动资产”余额（万）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年末“短期负债”余额（万）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年末“长期负债”余额（万）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年末“资产总计”余额（万）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年末“货币资金”余额（万）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733"/>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其他信息</w:t>
            </w:r>
            <w:r/>
          </w:p>
        </w:tc>
      </w:tr>
      <w:tr>
        <w:trPr>
          <w:trHeight w:val="1964"/>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公司取得的相关资质及等级</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 202</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年度后获得的荣誉及表彰情况</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27"/>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提供本项目服务所必须的专业设备一览表（必填）</w:t>
            </w:r>
            <w:r/>
          </w:p>
        </w:tc>
      </w:tr>
      <w:tr>
        <w:trPr>
          <w:trHeight w:val="840"/>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品牌、型号及主要参数配置简述</w:t>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购置年份</w:t>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价格</w:t>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用途</w:t>
            </w:r>
            <w:r/>
          </w:p>
        </w:tc>
      </w:tr>
      <w:tr>
        <w:trPr>
          <w:trHeight w:val="823"/>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50"/>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33"/>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88"/>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45"/>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五</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提供本项目服务所必须的专业技术能力（必填）</w:t>
            </w:r>
            <w:r/>
          </w:p>
        </w:tc>
      </w:tr>
      <w:tr>
        <w:trPr>
          <w:trHeight w:val="2261"/>
        </w:trPr>
        <w:tc>
          <w:tcPr>
            <w:gridSpan w:val="11"/>
            <w:tcW w:w="985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jc w:val="left"/>
        <w:spacing w:line="165" w:lineRule="exact"/>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widowControl/>
        <w:rPr>
          <w:rFonts w:hint="eastAsia" w:ascii="仿宋" w:hAnsi="仿宋" w:eastAsia="仿宋" w:cs="仿宋"/>
          <w:color w:val="auto"/>
          <w:sz w:val="24"/>
          <w:szCs w:val="20"/>
          <w:highlight w:val="none"/>
        </w:rPr>
        <w:sectPr>
          <w:footnotePr/>
          <w:endnotePr/>
          <w:type w:val="nextPage"/>
          <w:pgSz w:w="11920" w:h="16845" w:orient="portrait"/>
          <w:pgMar w:top="1440" w:right="1150" w:bottom="668" w:left="1160" w:header="0" w:footer="0" w:gutter="0"/>
          <w:cols w:num="1" w:sep="0" w:space="1701" w:equalWidth="0">
            <w:col w:w="9600" w:space="0"/>
          </w:cols>
          <w:docGrid w:linePitch="360"/>
        </w:sectPr>
      </w:pPr>
      <w:r>
        <w:rPr>
          <w:rFonts w:hint="eastAsia" w:ascii="仿宋" w:hAnsi="仿宋" w:eastAsia="仿宋" w:cs="仿宋"/>
          <w:color w:val="auto"/>
          <w:sz w:val="24"/>
          <w:szCs w:val="20"/>
          <w:highlight w:val="none"/>
        </w:rPr>
      </w:r>
      <w:r/>
    </w:p>
    <w:p>
      <w:pPr>
        <w:ind w:right="-169"/>
        <w:jc w:val="center"/>
        <w:spacing w:line="0" w:lineRule="atLeast"/>
        <w:widowControl/>
        <w:rPr>
          <w:rFonts w:hint="eastAsia" w:ascii="仿宋" w:hAnsi="仿宋" w:eastAsia="仿宋" w:cs="仿宋"/>
          <w:color w:val="auto"/>
          <w:sz w:val="18"/>
          <w:szCs w:val="20"/>
          <w:highlight w:val="none"/>
        </w:rPr>
        <w:sectPr>
          <w:footnotePr/>
          <w:endnotePr/>
          <w:type w:val="continuous"/>
          <w:pgSz w:w="11920" w:h="16845" w:orient="portrait"/>
          <w:pgMar w:top="1440" w:right="1440" w:bottom="668" w:left="1280" w:header="0" w:footer="0" w:gutter="0"/>
          <w:cols w:num="1" w:sep="0" w:space="1701" w:equalWidth="0">
            <w:col w:w="9190" w:space="0"/>
          </w:cols>
          <w:docGrid w:linePitch="360"/>
        </w:sectPr>
      </w:pPr>
      <w:r/>
      <w:bookmarkStart w:id="269" w:name="page49"/>
      <w:r/>
      <w:bookmarkEnd w:id="269"/>
      <w:r/>
      <w:r/>
    </w:p>
    <w:p>
      <w:pPr>
        <w:jc w:val="center"/>
        <w:spacing w:line="360" w:lineRule="auto"/>
        <w:widowControl/>
        <w:rPr>
          <w:rFonts w:hint="eastAsia" w:ascii="仿宋" w:hAnsi="仿宋" w:eastAsia="仿宋" w:cs="仿宋"/>
          <w:color w:val="auto"/>
          <w:sz w:val="29"/>
          <w:szCs w:val="20"/>
          <w:highlight w:val="none"/>
        </w:rPr>
      </w:pPr>
      <w:r/>
      <w:bookmarkStart w:id="270" w:name="page50"/>
      <w:r/>
      <w:bookmarkEnd w:id="270"/>
      <w:r>
        <w:rPr>
          <w:rFonts w:hint="eastAsia" w:ascii="仿宋" w:hAnsi="仿宋" w:eastAsia="仿宋" w:cs="仿宋"/>
          <w:color w:val="auto"/>
          <w:sz w:val="29"/>
          <w:szCs w:val="20"/>
          <w:highlight w:val="none"/>
        </w:rPr>
        <w:t xml:space="preserve">（五）依法缴纳税收和社会保障资金的良好记录</w:t>
      </w:r>
      <w:r/>
    </w:p>
    <w:p>
      <w:pPr>
        <w:ind w:right="-9"/>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1" w:name="page51"/>
      <w:r/>
      <w:bookmarkEnd w:id="271"/>
      <w:r>
        <w:rPr>
          <w:rFonts w:hint="eastAsia" w:ascii="仿宋" w:hAnsi="仿宋" w:eastAsia="仿宋" w:cs="仿宋"/>
          <w:color w:val="auto"/>
          <w:sz w:val="29"/>
          <w:szCs w:val="20"/>
          <w:highlight w:val="none"/>
        </w:rPr>
        <w:t xml:space="preserve">（六）法律、行政法规规定的其他条件</w:t>
      </w:r>
      <w:r/>
    </w:p>
    <w:p>
      <w:pPr>
        <w:ind w:right="10"/>
        <w:spacing w:line="352" w:lineRule="exact"/>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spacing w:line="0" w:lineRule="atLeast"/>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bookmarkStart w:id="272" w:name="page52"/>
      <w:r/>
      <w:bookmarkEnd w:id="272"/>
      <w:r>
        <w:rPr>
          <w:rFonts w:hint="eastAsia" w:ascii="仿宋" w:hAnsi="仿宋" w:eastAsia="仿宋" w:cs="仿宋"/>
          <w:color w:val="auto"/>
          <w:sz w:val="29"/>
          <w:szCs w:val="20"/>
          <w:highlight w:val="none"/>
        </w:rPr>
        <w:t xml:space="preserve">（七）落实政府采购政策需满足的资格要求</w:t>
      </w:r>
      <w:r/>
    </w:p>
    <w:p>
      <w:pPr>
        <w:ind w:right="-29"/>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3" w:name="page53"/>
      <w:r/>
      <w:bookmarkEnd w:id="273"/>
      <w:r>
        <w:rPr>
          <w:rFonts w:hint="eastAsia" w:ascii="仿宋" w:hAnsi="仿宋" w:eastAsia="仿宋" w:cs="仿宋"/>
          <w:color w:val="auto"/>
          <w:sz w:val="29"/>
          <w:szCs w:val="20"/>
          <w:highlight w:val="none"/>
        </w:rPr>
        <w:t xml:space="preserve">（八）本项目的特定资格要求</w:t>
      </w:r>
      <w:r/>
    </w:p>
    <w:p>
      <w:pPr>
        <w:ind w:right="-9"/>
        <w:jc w:val="center"/>
        <w:spacing w:line="352" w:lineRule="exact"/>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9"/>
          <w:szCs w:val="20"/>
          <w:highlight w:val="none"/>
        </w:rPr>
        <w:t xml:space="preserve">（九）法定代表人（负责人）身份证明书</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兹证明</w:t>
      </w:r>
      <w:r>
        <w:rPr>
          <w:rFonts w:hint="eastAsia" w:ascii="仿宋" w:hAnsi="仿宋" w:eastAsia="仿宋" w:cs="仿宋"/>
          <w:color w:val="auto"/>
          <w:sz w:val="28"/>
          <w:szCs w:val="28"/>
          <w:highlight w:val="none"/>
          <w:u w:val="single"/>
        </w:rPr>
        <w:t xml:space="preserve">（姓名） </w:t>
      </w:r>
      <w:r>
        <w:rPr>
          <w:rFonts w:hint="eastAsia" w:ascii="仿宋" w:hAnsi="仿宋" w:eastAsia="仿宋" w:cs="仿宋"/>
          <w:color w:val="auto"/>
          <w:sz w:val="28"/>
          <w:szCs w:val="28"/>
          <w:highlight w:val="none"/>
        </w:rPr>
        <w:t xml:space="preserve">同志，性别</w:t>
      </w:r>
      <w:r>
        <w:rPr>
          <w:rFonts w:hint="eastAsia" w:ascii="仿宋" w:hAnsi="仿宋" w:eastAsia="仿宋" w:cs="仿宋"/>
          <w:color w:val="auto"/>
          <w:sz w:val="28"/>
          <w:szCs w:val="28"/>
          <w:highlight w:val="none"/>
          <w:u w:val="single"/>
        </w:rPr>
        <w:t xml:space="preserve"> （男/女） </w:t>
      </w:r>
      <w:r>
        <w:rPr>
          <w:rFonts w:hint="eastAsia" w:ascii="仿宋" w:hAnsi="仿宋" w:eastAsia="仿宋" w:cs="仿宋"/>
          <w:color w:val="auto"/>
          <w:sz w:val="28"/>
          <w:szCs w:val="28"/>
          <w:highlight w:val="none"/>
        </w:rPr>
        <w:t xml:space="preserve">，居民身份证号</w:t>
      </w:r>
      <w:r>
        <w:rPr>
          <w:rFonts w:hint="eastAsia" w:ascii="仿宋" w:hAnsi="仿宋" w:eastAsia="仿宋" w:cs="仿宋"/>
          <w:color w:val="auto"/>
          <w:sz w:val="28"/>
          <w:szCs w:val="28"/>
          <w:highlight w:val="none"/>
          <w:u w:val="single"/>
        </w:rPr>
        <w:t xml:space="preserve"> （身份证号码） </w:t>
      </w:r>
      <w:r>
        <w:rPr>
          <w:rFonts w:hint="eastAsia" w:ascii="仿宋" w:hAnsi="仿宋" w:eastAsia="仿宋" w:cs="仿宋"/>
          <w:color w:val="auto"/>
          <w:sz w:val="28"/>
          <w:szCs w:val="28"/>
          <w:highlight w:val="none"/>
        </w:rPr>
        <w:t xml:space="preserve">，在我单位任</w:t>
      </w:r>
      <w:r>
        <w:rPr>
          <w:rFonts w:hint="eastAsia" w:ascii="仿宋" w:hAnsi="仿宋" w:eastAsia="仿宋" w:cs="仿宋"/>
          <w:color w:val="auto"/>
          <w:sz w:val="28"/>
          <w:szCs w:val="28"/>
          <w:highlight w:val="none"/>
          <w:u w:val="single"/>
        </w:rPr>
        <w:t xml:space="preserve"> （职务）</w:t>
      </w:r>
      <w:r>
        <w:rPr>
          <w:rFonts w:hint="eastAsia" w:ascii="仿宋" w:hAnsi="仿宋" w:eastAsia="仿宋" w:cs="仿宋"/>
          <w:color w:val="auto"/>
          <w:sz w:val="28"/>
          <w:szCs w:val="28"/>
          <w:highlight w:val="none"/>
        </w:rPr>
        <w:t xml:space="preserve">，系我单位主要负责人即法定代表人。</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单位全称：</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b/>
          <w:bCs/>
          <w:color w:val="auto"/>
          <w:sz w:val="24"/>
          <w:szCs w:val="24"/>
          <w:highlight w:val="none"/>
          <w:u w:val="single"/>
        </w:rPr>
        <w:t xml:space="preserve">××</w:t>
      </w:r>
      <w:r/>
    </w:p>
    <w:p>
      <w:pPr>
        <w:ind w:firstLine="560"/>
        <w:jc w:val="center"/>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年     月    日</w:t>
      </w:r>
      <w:r/>
    </w:p>
    <w:p>
      <w:pPr>
        <w:ind w:firstLine="560"/>
        <w:jc w:val="left"/>
        <w:spacing w:before="240" w:after="240"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32"/>
          <w:szCs w:val="32"/>
          <w:highlight w:val="none"/>
        </w:rPr>
        <w:t xml:space="preserve">附：法定代表人居民身份证扫描件</w:t>
      </w:r>
      <w:r/>
    </w:p>
    <w:p>
      <w:pPr>
        <w:ind w:firstLine="560"/>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u w:val="single"/>
        </w:rPr>
        <w:t xml:space="preserve">注：1.“法定代表人”直接参加磋商响应活动的仅需填写本身份证明</w:t>
      </w:r>
      <w:r>
        <w:rPr>
          <w:rFonts w:hint="eastAsia" w:ascii="仿宋" w:hAnsi="仿宋" w:eastAsia="仿宋" w:cs="仿宋"/>
          <w:color w:val="auto"/>
          <w:sz w:val="28"/>
          <w:szCs w:val="28"/>
          <w:highlight w:val="none"/>
        </w:rPr>
        <w:t xml:space="preserve">。</w:t>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9"/>
          <w:szCs w:val="20"/>
          <w:highlight w:val="none"/>
        </w:rPr>
        <w:t xml:space="preserve">（十）</w:t>
      </w:r>
      <w:r>
        <w:rPr>
          <w:rFonts w:hint="eastAsia" w:ascii="仿宋" w:hAnsi="仿宋" w:eastAsia="仿宋" w:cs="仿宋"/>
          <w:color w:val="auto"/>
          <w:sz w:val="28"/>
          <w:szCs w:val="28"/>
          <w:highlight w:val="none"/>
        </w:rPr>
        <w:t xml:space="preserve">法定代表人（负责人）授权委托书</w:t>
      </w:r>
      <w:r/>
    </w:p>
    <w:p>
      <w:pPr>
        <w:ind w:right="420"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本授权书声明：</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法定代表人（负责人）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授权</w:t>
      </w:r>
      <w:r>
        <w:rPr>
          <w:rFonts w:hint="eastAsia" w:ascii="仿宋" w:hAnsi="仿宋" w:eastAsia="仿宋" w:cs="仿宋"/>
          <w:color w:val="auto"/>
          <w:sz w:val="28"/>
          <w:szCs w:val="28"/>
          <w:highlight w:val="none"/>
          <w:u w:val="single"/>
        </w:rPr>
        <w:t xml:space="preserve">（委托代理人的姓名、职务）</w:t>
      </w:r>
      <w:r>
        <w:rPr>
          <w:rFonts w:hint="eastAsia" w:ascii="仿宋" w:hAnsi="仿宋" w:eastAsia="仿宋" w:cs="仿宋"/>
          <w:color w:val="auto"/>
          <w:sz w:val="28"/>
          <w:szCs w:val="28"/>
          <w:highlight w:val="none"/>
        </w:rPr>
        <w:t xml:space="preserve">为我方就</w:t>
      </w:r>
      <w:r>
        <w:rPr>
          <w:rFonts w:hint="eastAsia" w:ascii="仿宋" w:hAnsi="仿宋" w:eastAsia="仿宋" w:cs="仿宋"/>
          <w:color w:val="auto"/>
          <w:sz w:val="28"/>
          <w:szCs w:val="28"/>
          <w:highlight w:val="none"/>
          <w:u w:val="single"/>
        </w:rPr>
        <w:t xml:space="preserve">××××（代理机构）代理的××××（项目编号、项目名称）</w:t>
      </w:r>
      <w:r>
        <w:rPr>
          <w:rFonts w:hint="eastAsia" w:ascii="仿宋" w:hAnsi="仿宋" w:eastAsia="仿宋" w:cs="仿宋"/>
          <w:color w:val="auto"/>
          <w:sz w:val="28"/>
          <w:szCs w:val="28"/>
          <w:highlight w:val="none"/>
        </w:rPr>
        <w:t xml:space="preserve">项目的磋商活动的合法代理人，以本单位名义全权处理一切与该项目磋商有关的事务（含合同签订）。</w:t>
      </w:r>
      <w:r/>
    </w:p>
    <w:p>
      <w:pPr>
        <w:ind w:firstLine="560"/>
        <w:spacing w:line="360" w:lineRule="auto"/>
        <w:widowControl/>
        <w:tabs>
          <w:tab w:val="left" w:pos="5561" w:leader="none"/>
        </w:tabs>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ab/>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本授权委托书于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日在相应位置签字或盖章后生效，特此声明。</w:t>
      </w:r>
      <w:r/>
    </w:p>
    <w:p>
      <w:pP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法定代表人（负责人）签章</w:t>
      </w:r>
      <w:r>
        <w:rPr>
          <w:rFonts w:hint="eastAsia" w:ascii="仿宋" w:hAnsi="仿宋" w:eastAsia="仿宋" w:cs="仿宋"/>
          <w:color w:val="auto"/>
          <w:sz w:val="28"/>
          <w:szCs w:val="28"/>
          <w:highlight w:val="none"/>
          <w:u w:val="singl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供应商名称（公章）：</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日     期：</w:t>
      </w:r>
      <w:r/>
    </w:p>
    <w:p>
      <w:pPr>
        <w:ind w:firstLine="643"/>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32"/>
          <w:szCs w:val="32"/>
          <w:highlight w:val="none"/>
        </w:rPr>
        <w:t xml:space="preserve">附：委托代理人居民身份证扫描件</w:t>
      </w:r>
      <w:r/>
    </w:p>
    <w:p>
      <w:pPr>
        <w:pStyle w:val="905"/>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u w:val="single"/>
        </w:rPr>
        <w:t xml:space="preserve">注：“法定代表人（负责人）”授权委托其他人，须填写法定代表人身份证明书和本授权委托书</w:t>
      </w:r>
      <w:r>
        <w:rPr>
          <w:rFonts w:hint="eastAsia" w:ascii="仿宋" w:hAnsi="仿宋" w:eastAsia="仿宋" w:cs="仿宋"/>
          <w:color w:val="auto"/>
          <w:sz w:val="28"/>
          <w:szCs w:val="28"/>
          <w:highlight w:val="none"/>
        </w:rPr>
        <w:t xml:space="preserve">。</w:t>
      </w:r>
      <w:r/>
    </w:p>
    <w:p>
      <w:pPr>
        <w:pStyle w:val="905"/>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05"/>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05"/>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05"/>
        <w:spacing w:line="360" w:lineRule="auto"/>
        <w:rPr>
          <w:rFonts w:hint="eastAsia" w:ascii="仿宋" w:hAnsi="仿宋" w:eastAsia="仿宋" w:cs="仿宋"/>
          <w:color w:val="auto"/>
          <w:sz w:val="28"/>
          <w:szCs w:val="28"/>
          <w:highlight w:val="none"/>
          <w:u w:val="single"/>
        </w:rPr>
        <w:outlineLvl w:val="1"/>
      </w:pPr>
      <w:r>
        <w:rPr>
          <w:rFonts w:hint="eastAsia" w:ascii="仿宋" w:hAnsi="仿宋" w:eastAsia="仿宋" w:cs="仿宋"/>
          <w:color w:val="auto"/>
          <w:sz w:val="28"/>
          <w:szCs w:val="28"/>
          <w:highlight w:val="none"/>
          <w:u w:val="single"/>
        </w:rPr>
      </w:r>
      <w:r/>
    </w:p>
    <w:p>
      <w:pPr>
        <w:pStyle w:val="905"/>
        <w:spacing w:line="360" w:lineRule="auto"/>
        <w:rPr>
          <w:rFonts w:hint="eastAsia" w:ascii="仿宋" w:hAnsi="仿宋" w:eastAsia="仿宋" w:cs="仿宋"/>
          <w:color w:val="auto"/>
          <w:sz w:val="28"/>
          <w:szCs w:val="28"/>
          <w:highlight w:val="none"/>
          <w:u w:val="single"/>
        </w:rPr>
        <w:outlineLvl w:val="1"/>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（十一）资格承诺函</w:t>
      </w:r>
      <w:r/>
    </w:p>
    <w:p>
      <w:pPr>
        <w:jc w:val="center"/>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44"/>
          <w:szCs w:val="44"/>
          <w:highlight w:val="none"/>
          <w:shd w:val="clear" w:color="auto" w:fill="ffffff"/>
        </w:rPr>
        <w:t xml:space="preserve"> </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致：</w:t>
      </w:r>
      <w:r>
        <w:rPr>
          <w:rFonts w:hint="eastAsia" w:ascii="仿宋" w:hAnsi="仿宋" w:eastAsia="仿宋" w:cs="仿宋"/>
          <w:color w:val="auto"/>
          <w:sz w:val="28"/>
          <w:szCs w:val="28"/>
          <w:highlight w:val="none"/>
          <w:u w:val="single"/>
          <w:shd w:val="clear" w:color="auto" w:fill="ffffff"/>
        </w:rPr>
        <w:t xml:space="preserve">    （采购人、采购代理机构）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我单位参与</w:t>
      </w:r>
      <w:r>
        <w:rPr>
          <w:rFonts w:hint="eastAsia" w:ascii="仿宋" w:hAnsi="仿宋" w:eastAsia="仿宋" w:cs="仿宋"/>
          <w:color w:val="auto"/>
          <w:sz w:val="28"/>
          <w:szCs w:val="28"/>
          <w:highlight w:val="none"/>
          <w:u w:val="single"/>
          <w:shd w:val="clear" w:color="auto" w:fill="ffffff"/>
        </w:rPr>
        <w:t xml:space="preserve">  （项目名称）  （项目编号：    ）</w:t>
      </w:r>
      <w:r>
        <w:rPr>
          <w:rFonts w:hint="eastAsia" w:ascii="仿宋" w:hAnsi="仿宋" w:eastAsia="仿宋" w:cs="仿宋"/>
          <w:color w:val="auto"/>
          <w:sz w:val="28"/>
          <w:szCs w:val="28"/>
          <w:highlight w:val="none"/>
          <w:shd w:val="clear" w:color="auto" w:fill="ffffff"/>
        </w:rPr>
        <w:t xml:space="preserve">项目的政府采购活动，现承诺如下：</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1.我方具有独立承担民事责任的能力。</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2.我方具有良好的商业信誉和健全的财务会计制度。</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3.我方具有履行合同所必需的设备和专业技术能力。</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4.我方具有依法缴纳税收和社会保障资金的良好记录。</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5. 我方参加本项目采购活动前三年内，在经营活动中没有重大违法记录。</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若我单位承诺不实，自愿承担提供虚假材料谋取中标、成交的法律责任。</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投标（响应）供应商（全称并盖章）：</w:t>
      </w:r>
      <w:r>
        <w:rPr>
          <w:rFonts w:hint="eastAsia" w:ascii="仿宋" w:hAnsi="仿宋" w:eastAsia="仿宋" w:cs="仿宋"/>
          <w:color w:val="auto"/>
          <w:sz w:val="28"/>
          <w:szCs w:val="28"/>
          <w:highlight w:val="none"/>
          <w:u w:val="single"/>
          <w:shd w:val="clear" w:color="auto" w:fill="ffffff"/>
        </w:rPr>
        <w:t xml:space="preserve">        </w:t>
      </w:r>
      <w:r>
        <w:rPr>
          <w:rFonts w:hint="eastAsia" w:ascii="仿宋" w:hAnsi="仿宋" w:eastAsia="仿宋" w:cs="仿宋"/>
          <w:color w:val="auto"/>
          <w:sz w:val="28"/>
          <w:szCs w:val="28"/>
          <w:highlight w:val="non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供应商法定代表人或授权代表（签字或签章）：</w:t>
      </w:r>
      <w:r>
        <w:rPr>
          <w:rFonts w:hint="eastAsia" w:ascii="仿宋" w:hAnsi="仿宋" w:eastAsia="仿宋" w:cs="仿宋"/>
          <w:color w:val="auto"/>
          <w:sz w:val="28"/>
          <w:szCs w:val="28"/>
          <w:highlight w:val="none"/>
          <w:u w:val="singl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日期：</w:t>
      </w:r>
      <w:r>
        <w:rPr>
          <w:rFonts w:hint="eastAsia" w:ascii="仿宋" w:hAnsi="仿宋" w:eastAsia="仿宋" w:cs="仿宋"/>
          <w:color w:val="auto"/>
          <w:sz w:val="28"/>
          <w:szCs w:val="28"/>
          <w:highlight w:val="none"/>
          <w:u w:val="single"/>
          <w:shd w:val="clear" w:color="auto" w:fill="ffffff"/>
        </w:rPr>
        <w:t xml:space="preserve">     </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说明：1.供应商可自行选择是否提供本承诺函，若不提供本承诺函的，应按采购文件要求提供相应的证明材料。</w:t>
      </w:r>
      <w:r/>
    </w:p>
    <w:p>
      <w:pPr>
        <w:pStyle w:val="905"/>
        <w:rPr>
          <w:rFonts w:hint="eastAsia" w:ascii="仿宋" w:hAnsi="仿宋" w:eastAsia="仿宋" w:cs="仿宋"/>
          <w:color w:val="auto"/>
          <w:highlight w:val="none"/>
        </w:rPr>
        <w:outlineLvl w:val="1"/>
      </w:pPr>
      <w:r>
        <w:rPr>
          <w:rFonts w:hint="eastAsia" w:ascii="仿宋" w:hAnsi="仿宋" w:eastAsia="仿宋" w:cs="仿宋"/>
          <w:color w:val="auto"/>
          <w:sz w:val="28"/>
          <w:szCs w:val="28"/>
          <w:highlight w:val="none"/>
        </w:rPr>
        <w:t xml:space="preserve">2.供应商可删减承诺事项，删减的承诺事项须按采购文件要求提供相应的证明材料。比如删去本承诺函第4项的，则应按采购文件要求提供依法缴纳税收和社会保障资金的良好记录。</w:t>
      </w:r>
      <w:r>
        <w:rPr>
          <w:rFonts w:hint="eastAsia" w:ascii="仿宋" w:hAnsi="仿宋" w:eastAsia="仿宋" w:cs="仿宋"/>
          <w:color w:val="auto"/>
          <w:highlight w:val="none"/>
        </w:rPr>
        <w:t xml:space="preserve"> </w:t>
      </w:r>
      <w:r/>
    </w:p>
    <w:p>
      <w:pPr>
        <w:pStyle w:val="905"/>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5"/>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5"/>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5"/>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5"/>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5"/>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5"/>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t xml:space="preserve">二、技术部分</w:t>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29"/>
          <w:highlight w:val="none"/>
        </w:rPr>
        <w:outlineLvl w:val="1"/>
      </w:pPr>
      <w:r>
        <w:rPr>
          <w:rFonts w:hint="eastAsia" w:ascii="仿宋" w:hAnsi="仿宋" w:eastAsia="仿宋" w:cs="仿宋"/>
          <w:color w:val="auto"/>
          <w:sz w:val="29"/>
          <w:highlight w:val="none"/>
        </w:rPr>
        <w:t xml:space="preserve">（一）技术方案</w:t>
      </w:r>
      <w:bookmarkEnd w:id="262"/>
      <w:r/>
      <w:bookmarkEnd w:id="263"/>
      <w:r/>
      <w:bookmarkStart w:id="274" w:name="_Toc256000068"/>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05"/>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t xml:space="preserve">三、商务部分</w:t>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bookmarkEnd w:id="274"/>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ind w:right="-9"/>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（一）供应商能力</w:t>
      </w:r>
      <w:r/>
    </w:p>
    <w:p>
      <w:pPr>
        <w:ind w:right="-9"/>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（二）经验</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5" w:name="page62"/>
      <w:r/>
      <w:bookmarkEnd w:id="275"/>
      <w:r>
        <w:rPr>
          <w:rFonts w:hint="eastAsia" w:ascii="仿宋" w:hAnsi="仿宋" w:eastAsia="仿宋" w:cs="仿宋"/>
          <w:color w:val="auto"/>
          <w:sz w:val="29"/>
          <w:szCs w:val="20"/>
          <w:highlight w:val="none"/>
        </w:rPr>
        <w:t xml:space="preserve">（三）项目经理能力</w:t>
      </w:r>
      <w:r/>
    </w:p>
    <w:tbl>
      <w:tblPr>
        <w:tblStyle w:val="645"/>
        <w:tblW w:w="981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80"/>
        <w:gridCol w:w="1984"/>
        <w:gridCol w:w="5848"/>
      </w:tblGrid>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textDirection w:val="lrTb"/>
            <w:noWrap w:val="false"/>
          </w:tcPr>
          <w:p>
            <w:pPr>
              <w:ind w:left="4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近 3 年工作业绩及承担的主要工作</w:t>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性别</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Merge w:val="restart"/>
            <w:textDirection w:val="lrTb"/>
            <w:noWrap w:val="false"/>
          </w:tcPr>
          <w:p>
            <w:pP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年龄</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职称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毕业时间</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所学专业</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学历</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证书名称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专业资格</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联系电话</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1695"/>
        </w:trPr>
        <w:tc>
          <w:tcPr>
            <w:shd w:val="clear" w:color="auto" w:fill="auto"/>
            <w:tcW w:w="1980" w:type="dxa"/>
            <w:vAlign w:val="center"/>
            <w:textDirection w:val="lrTb"/>
            <w:noWrap w:val="false"/>
          </w:tcPr>
          <w:p>
            <w:pPr>
              <w:ind w:left="1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曾担任项目主要负责人的项目</w:t>
            </w:r>
            <w:r/>
          </w:p>
        </w:tc>
        <w:tc>
          <w:tcPr>
            <w:gridSpan w:val="2"/>
            <w:shd w:val="clear" w:color="auto" w:fill="auto"/>
            <w:tcW w:w="7832"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b/>
          <w:color w:val="auto"/>
          <w:sz w:val="24"/>
          <w:szCs w:val="20"/>
          <w:highlight w:val="none"/>
        </w:rPr>
        <w:t xml:space="preserve">注：</w:t>
      </w:r>
      <w:r>
        <w:rPr>
          <w:rFonts w:hint="eastAsia" w:ascii="仿宋" w:hAnsi="仿宋" w:eastAsia="仿宋" w:cs="仿宋"/>
          <w:color w:val="auto"/>
          <w:sz w:val="24"/>
          <w:szCs w:val="20"/>
          <w:highlight w:val="none"/>
        </w:rPr>
        <w:t xml:space="preserve">1、</w:t>
      </w:r>
      <w:r>
        <w:rPr>
          <w:rFonts w:hint="eastAsia" w:ascii="仿宋" w:hAnsi="仿宋" w:eastAsia="仿宋" w:cs="仿宋"/>
          <w:color w:val="auto"/>
          <w:sz w:val="24"/>
          <w:szCs w:val="20"/>
          <w:highlight w:val="none"/>
          <w:u w:val="single"/>
        </w:rPr>
        <w:t xml:space="preserve">项目经理具有资格证书的，应在本栏目提交相关证书扫描件。</w:t>
      </w:r>
      <w:r/>
    </w:p>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2、</w:t>
      </w:r>
      <w:r>
        <w:rPr>
          <w:rFonts w:hint="eastAsia" w:ascii="仿宋" w:hAnsi="仿宋" w:eastAsia="仿宋" w:cs="仿宋"/>
          <w:color w:val="auto"/>
          <w:sz w:val="24"/>
          <w:szCs w:val="20"/>
          <w:highlight w:val="none"/>
          <w:u w:val="single"/>
        </w:rPr>
        <w:t xml:space="preserve">列入本表人员如要更换，需经采购人同意。擅自更换属违约行为。</w:t>
      </w:r>
      <w:r/>
    </w:p>
    <w:p>
      <w:pPr>
        <w:rPr>
          <w:rFonts w:hint="eastAsia" w:ascii="仿宋" w:hAnsi="仿宋" w:eastAsia="仿宋" w:cs="仿宋"/>
          <w:color w:val="auto"/>
          <w:sz w:val="29"/>
          <w:szCs w:val="20"/>
          <w:highlight w:val="none"/>
        </w:rPr>
      </w:pPr>
      <w:r/>
      <w:bookmarkStart w:id="276" w:name="page63"/>
      <w:r/>
      <w:bookmarkEnd w:id="276"/>
      <w:r>
        <w:rPr>
          <w:rFonts w:hint="eastAsia" w:ascii="仿宋" w:hAnsi="仿宋" w:eastAsia="仿宋" w:cs="仿宋"/>
          <w:color w:val="auto"/>
          <w:sz w:val="29"/>
          <w:szCs w:val="20"/>
          <w:highlight w:val="none"/>
        </w:rPr>
        <w:br w:type="page" w:clear="all"/>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(四)项目实施成员能力</w:t>
      </w:r>
      <w:r/>
    </w:p>
    <w:tbl>
      <w:tblPr>
        <w:tblStyle w:val="645"/>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0"/>
        <w:gridCol w:w="920"/>
        <w:gridCol w:w="1580"/>
        <w:gridCol w:w="1440"/>
        <w:gridCol w:w="1980"/>
        <w:gridCol w:w="1960"/>
        <w:gridCol w:w="940"/>
      </w:tblGrid>
      <w:tr>
        <w:trPr>
          <w:trHeight w:val="719"/>
        </w:trPr>
        <w:tc>
          <w:tcPr>
            <w:shd w:val="clear" w:color="auto" w:fill="auto"/>
            <w:tcW w:w="800" w:type="dxa"/>
            <w:vAlign w:val="bottom"/>
            <w:textDirection w:val="lrTb"/>
            <w:noWrap w:val="false"/>
          </w:tcPr>
          <w:p>
            <w:pPr>
              <w:ind w:left="14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序号</w:t>
            </w:r>
            <w:r/>
          </w:p>
        </w:tc>
        <w:tc>
          <w:tcPr>
            <w:shd w:val="clear" w:color="auto" w:fill="auto"/>
            <w:tcW w:w="920" w:type="dxa"/>
            <w:vAlign w:val="bottom"/>
            <w:textDirection w:val="lrTb"/>
            <w:noWrap w:val="false"/>
          </w:tcPr>
          <w:p>
            <w:pPr>
              <w:ind w:left="18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姓名</w:t>
            </w:r>
            <w:r/>
          </w:p>
        </w:tc>
        <w:tc>
          <w:tcPr>
            <w:shd w:val="clear" w:color="auto" w:fill="auto"/>
            <w:tcW w:w="1580" w:type="dxa"/>
            <w:vAlign w:val="bottom"/>
            <w:textDirection w:val="lrTb"/>
            <w:noWrap w:val="false"/>
          </w:tcPr>
          <w:p>
            <w:pPr>
              <w:ind w:left="28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身份证号</w:t>
            </w:r>
            <w:r/>
          </w:p>
        </w:tc>
        <w:tc>
          <w:tcPr>
            <w:shd w:val="clear" w:color="auto" w:fill="auto"/>
            <w:tcW w:w="1440" w:type="dxa"/>
            <w:vAlign w:val="bottom"/>
            <w:textDirection w:val="lrTb"/>
            <w:noWrap w:val="false"/>
          </w:tcPr>
          <w:p>
            <w:pPr>
              <w:ind w:left="22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人员类别</w:t>
            </w:r>
            <w:r/>
          </w:p>
        </w:tc>
        <w:tc>
          <w:tcPr>
            <w:shd w:val="clear" w:color="auto" w:fill="auto"/>
            <w:tcW w:w="1980" w:type="dxa"/>
            <w:vAlign w:val="bottom"/>
            <w:textDirection w:val="lrTb"/>
            <w:noWrap w:val="false"/>
          </w:tcPr>
          <w:p>
            <w:pPr>
              <w:ind w:left="1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技术证书、级别</w:t>
            </w:r>
            <w:r/>
          </w:p>
        </w:tc>
        <w:tc>
          <w:tcPr>
            <w:shd w:val="clear" w:color="auto" w:fill="auto"/>
            <w:tcW w:w="1960" w:type="dxa"/>
            <w:vAlign w:val="bottom"/>
            <w:textDirection w:val="lrTb"/>
            <w:noWrap w:val="false"/>
          </w:tcPr>
          <w:p>
            <w:pPr>
              <w:ind w:left="2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相关工作经验</w:t>
            </w:r>
            <w:r/>
          </w:p>
        </w:tc>
        <w:tc>
          <w:tcPr>
            <w:shd w:val="clear" w:color="auto" w:fill="auto"/>
            <w:tcW w:w="940" w:type="dxa"/>
            <w:vAlign w:val="bottom"/>
            <w:textDirection w:val="lrTb"/>
            <w:noWrap w:val="false"/>
          </w:tcPr>
          <w:p>
            <w:pPr>
              <w:ind w:left="2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备注</w:t>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注：1、行数不够，请自行添加。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2、列入本表人员如要更换，须经采购人同意，擅自更换属违约行为。</w:t>
      </w:r>
      <w:r/>
    </w:p>
    <w:p>
      <w:pPr>
        <w:jc w:val="left"/>
        <w:spacing w:line="360" w:lineRule="auto"/>
        <w:widowControl/>
        <w:rPr>
          <w:rFonts w:hint="eastAsia" w:ascii="仿宋" w:hAnsi="仿宋" w:eastAsia="仿宋" w:cs="仿宋"/>
          <w:color w:val="auto"/>
          <w:sz w:val="24"/>
          <w:szCs w:val="20"/>
          <w:highlight w:val="none"/>
          <w:u w:val="single"/>
        </w:rPr>
        <w:sectPr>
          <w:footnotePr/>
          <w:endnotePr/>
          <w:type w:val="nextPage"/>
          <w:pgSz w:w="11920" w:h="16845" w:orient="portrait"/>
          <w:pgMar w:top="1440" w:right="1130" w:bottom="668" w:left="1160" w:header="0" w:footer="0" w:gutter="0"/>
          <w:cols w:num="1" w:sep="0" w:space="1701" w:equalWidth="0">
            <w:col w:w="9620" w:space="0"/>
          </w:cols>
          <w:docGrid w:linePitch="360"/>
        </w:sectPr>
      </w:pPr>
      <w:r>
        <w:rPr>
          <w:rFonts w:hint="eastAsia" w:ascii="仿宋" w:hAnsi="仿宋" w:eastAsia="仿宋" w:cs="仿宋"/>
          <w:color w:val="auto"/>
          <w:sz w:val="24"/>
          <w:szCs w:val="20"/>
          <w:highlight w:val="none"/>
          <w:lang w:val="en-US" w:eastAsia="zh-CN"/>
        </w:rPr>
        <w:t xml:space="preserve">3</w:t>
      </w:r>
      <w:r>
        <w:rPr>
          <w:rFonts w:hint="eastAsia" w:ascii="仿宋" w:hAnsi="仿宋" w:eastAsia="仿宋" w:cs="仿宋"/>
          <w:color w:val="auto"/>
          <w:sz w:val="24"/>
          <w:szCs w:val="20"/>
          <w:highlight w:val="none"/>
        </w:rPr>
        <w:t xml:space="preserve">、列入上表人员具有相关证书的，应在本栏目提交相关证明材料扫描件。</w:t>
      </w:r>
      <w:r/>
    </w:p>
    <w:p>
      <w:pPr>
        <w:jc w:val="center"/>
        <w:spacing w:line="360" w:lineRule="auto"/>
        <w:widowControl/>
        <w:rPr>
          <w:rFonts w:hint="eastAsia" w:ascii="仿宋" w:hAnsi="仿宋" w:eastAsia="仿宋" w:cs="仿宋"/>
          <w:color w:val="auto"/>
          <w:sz w:val="29"/>
          <w:szCs w:val="20"/>
          <w:highlight w:val="none"/>
        </w:rPr>
      </w:pPr>
      <w:r/>
      <w:bookmarkStart w:id="277" w:name="page65"/>
      <w:r/>
      <w:bookmarkEnd w:id="277"/>
      <w:r/>
      <w:bookmarkStart w:id="278" w:name="page64"/>
      <w:r/>
      <w:bookmarkEnd w:id="278"/>
      <w:r>
        <w:rPr>
          <w:rFonts w:hint="eastAsia" w:ascii="仿宋" w:hAnsi="仿宋" w:eastAsia="仿宋" w:cs="仿宋"/>
          <w:color w:val="auto"/>
          <w:sz w:val="29"/>
          <w:szCs w:val="20"/>
          <w:highlight w:val="none"/>
        </w:rPr>
        <w:t xml:space="preserve">（五）首次报价一览表</w:t>
      </w:r>
      <w:r/>
    </w:p>
    <w:p>
      <w:pPr>
        <w:ind w:right="-9"/>
        <w:jc w:val="center"/>
        <w:spacing w:line="360" w:lineRule="auto"/>
        <w:widowControl/>
        <w:rPr>
          <w:rFonts w:hint="eastAsia" w:ascii="仿宋" w:hAnsi="仿宋" w:eastAsia="仿宋" w:cs="仿宋"/>
          <w:b/>
          <w:color w:val="auto"/>
          <w:sz w:val="32"/>
          <w:szCs w:val="20"/>
          <w:highlight w:val="none"/>
          <w:lang w:eastAsia="zh-CN"/>
        </w:rPr>
      </w:pPr>
      <w:r>
        <w:rPr>
          <w:rFonts w:hint="eastAsia" w:ascii="仿宋" w:hAnsi="仿宋" w:eastAsia="仿宋" w:cs="仿宋"/>
          <w:b/>
          <w:color w:val="auto"/>
          <w:sz w:val="32"/>
          <w:szCs w:val="20"/>
          <w:highlight w:val="none"/>
        </w:rPr>
        <w:t xml:space="preserve">首次报价一览表</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645"/>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60"/>
        <w:gridCol w:w="4260"/>
      </w:tblGrid>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服务期</w:t>
            </w:r>
            <w:r/>
          </w:p>
        </w:tc>
        <w:tc>
          <w:tcPr>
            <w:shd w:val="clear" w:color="auto" w:fill="auto"/>
            <w:tcW w:w="4260" w:type="dxa"/>
            <w:vAlign w:val="bottom"/>
            <w:textDirection w:val="lrTb"/>
            <w:noWrap w:val="false"/>
          </w:tcPr>
          <w:p>
            <w:pPr>
              <w:jc w:val="center"/>
              <w:spacing w:line="360" w:lineRule="auto"/>
              <w:widowControl/>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自合同签订之日起1年</w:t>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注：本表格以苏采云系统中表格格式为准，各供应商应在苏采云系统中进行填写。</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br w:type="page" w:clear="all"/>
      </w:r>
      <w:r/>
    </w:p>
    <w:p>
      <w:pPr>
        <w:jc w:val="center"/>
        <w:spacing w:line="360" w:lineRule="auto"/>
        <w:widowControl/>
        <w:rPr>
          <w:rFonts w:hint="eastAsia" w:ascii="仿宋" w:hAnsi="仿宋" w:eastAsia="仿宋" w:cs="仿宋"/>
          <w:color w:val="auto"/>
          <w:sz w:val="29"/>
          <w:szCs w:val="20"/>
          <w:highlight w:val="none"/>
        </w:rPr>
      </w:pPr>
      <w:r/>
      <w:bookmarkStart w:id="279" w:name="page66"/>
      <w:r/>
      <w:bookmarkEnd w:id="279"/>
      <w:r>
        <w:rPr>
          <w:rFonts w:hint="eastAsia" w:ascii="仿宋" w:hAnsi="仿宋" w:eastAsia="仿宋" w:cs="仿宋"/>
          <w:color w:val="auto"/>
          <w:sz w:val="29"/>
          <w:szCs w:val="20"/>
          <w:highlight w:val="none"/>
        </w:rPr>
        <w:t xml:space="preserve">（六）首次明细报价表</w:t>
      </w:r>
      <w:r/>
    </w:p>
    <w:tbl>
      <w:tblPr>
        <w:tblStyle w:val="645"/>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2338"/>
        <w:gridCol w:w="915"/>
        <w:gridCol w:w="1175"/>
        <w:gridCol w:w="1429"/>
        <w:gridCol w:w="660"/>
        <w:gridCol w:w="2220"/>
        <w:gridCol w:w="931"/>
      </w:tblGrid>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一、服务部分</w:t>
            </w:r>
            <w:r/>
          </w:p>
        </w:tc>
      </w:tr>
      <w:tr>
        <w:trPr>
          <w:jc w:val="center"/>
          <w:trHeight w:val="948"/>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单价（元）</w:t>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合计（元）</w:t>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9"/>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服务部分小计：      元</w:t>
            </w:r>
            <w:r/>
          </w:p>
        </w:tc>
      </w:tr>
      <w:tr>
        <w:trPr>
          <w:jc w:val="center"/>
          <w:trHeight w:val="948"/>
        </w:trPr>
        <w:tc>
          <w:tcPr>
            <w:gridSpan w:val="5"/>
            <w:tcW w:w="634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其它相关费用(培训、管理费、税金等与项目相关的一切费用)</w:t>
            </w:r>
            <w:r/>
          </w:p>
        </w:tc>
        <w:tc>
          <w:tcPr>
            <w:gridSpan w:val="3"/>
            <w:tcW w:w="381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w:t>
            </w:r>
            <w:r/>
          </w:p>
        </w:tc>
      </w:tr>
      <w:tr>
        <w:trPr>
          <w:jc w:val="center"/>
          <w:trHeight w:val="489"/>
        </w:trPr>
        <w:tc>
          <w:tcPr>
            <w:gridSpan w:val="5"/>
            <w:tcW w:w="634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项目总报价</w:t>
            </w:r>
            <w:r/>
          </w:p>
        </w:tc>
        <w:tc>
          <w:tcPr>
            <w:gridSpan w:val="3"/>
            <w:tcW w:w="381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w:t>
            </w:r>
            <w:r/>
          </w:p>
        </w:tc>
      </w:tr>
    </w:tbl>
    <w:p>
      <w:pPr>
        <w:ind w:left="20"/>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注：1、</w:t>
      </w:r>
      <w:r>
        <w:rPr>
          <w:rFonts w:hint="eastAsia" w:ascii="仿宋" w:hAnsi="仿宋" w:eastAsia="仿宋" w:cs="仿宋"/>
          <w:color w:val="auto"/>
          <w:sz w:val="24"/>
          <w:szCs w:val="20"/>
          <w:highlight w:val="none"/>
          <w:lang w:eastAsia="zh-CN"/>
        </w:rPr>
        <w:t xml:space="preserve">供应商</w:t>
      </w:r>
      <w:r>
        <w:rPr>
          <w:rFonts w:hint="eastAsia" w:ascii="仿宋" w:hAnsi="仿宋" w:eastAsia="仿宋" w:cs="仿宋"/>
          <w:color w:val="auto"/>
          <w:sz w:val="24"/>
          <w:szCs w:val="20"/>
          <w:highlight w:val="none"/>
        </w:rPr>
        <w:t xml:space="preserve">应当按照</w:t>
      </w:r>
      <w:r>
        <w:rPr>
          <w:rFonts w:hint="eastAsia" w:ascii="仿宋" w:hAnsi="仿宋" w:eastAsia="仿宋" w:cs="仿宋"/>
          <w:color w:val="auto"/>
          <w:sz w:val="24"/>
          <w:szCs w:val="20"/>
          <w:highlight w:val="none"/>
          <w:lang w:eastAsia="zh-CN"/>
        </w:rPr>
        <w:t xml:space="preserve">采购文件</w:t>
      </w:r>
      <w:r>
        <w:rPr>
          <w:rFonts w:hint="eastAsia" w:ascii="仿宋" w:hAnsi="仿宋" w:eastAsia="仿宋" w:cs="仿宋"/>
          <w:color w:val="auto"/>
          <w:sz w:val="24"/>
          <w:szCs w:val="20"/>
          <w:highlight w:val="none"/>
        </w:rPr>
        <w:t xml:space="preserve">采购需求及相关报价要求填写。</w:t>
      </w:r>
      <w:r/>
    </w:p>
    <w:p>
      <w:pPr>
        <w:ind w:left="20" w:right="120"/>
        <w:jc w:val="left"/>
        <w:spacing w:line="360" w:lineRule="auto"/>
        <w:widowControl/>
        <w:rPr>
          <w:rFonts w:hint="eastAsia" w:ascii="仿宋" w:hAnsi="仿宋" w:eastAsia="仿宋" w:cs="仿宋"/>
          <w:color w:val="auto"/>
          <w:szCs w:val="20"/>
          <w:highlight w:val="none"/>
        </w:rPr>
      </w:pPr>
      <w:r>
        <w:rPr>
          <w:rFonts w:hint="eastAsia" w:ascii="仿宋" w:hAnsi="仿宋" w:eastAsia="仿宋" w:cs="仿宋"/>
          <w:color w:val="auto"/>
          <w:szCs w:val="20"/>
          <w:highlight w:val="none"/>
        </w:rPr>
        <w:t xml:space="preserve">2、本表中“其它”由</w:t>
      </w:r>
      <w:r>
        <w:rPr>
          <w:rFonts w:hint="eastAsia" w:ascii="仿宋" w:hAnsi="仿宋" w:eastAsia="仿宋" w:cs="仿宋"/>
          <w:color w:val="auto"/>
          <w:szCs w:val="20"/>
          <w:highlight w:val="none"/>
          <w:lang w:eastAsia="zh-CN"/>
        </w:rPr>
        <w:t xml:space="preserve">供应商</w:t>
      </w:r>
      <w:r>
        <w:rPr>
          <w:rFonts w:hint="eastAsia" w:ascii="仿宋" w:hAnsi="仿宋" w:eastAsia="仿宋" w:cs="仿宋"/>
          <w:color w:val="auto"/>
          <w:szCs w:val="20"/>
          <w:highlight w:val="none"/>
        </w:rPr>
        <w:t xml:space="preserve">根据采购需求及自身经验进行补充填写。项目实施时，除采购人明确提出需要变更增加外，不再增加任何费用，</w:t>
      </w:r>
      <w:r>
        <w:rPr>
          <w:rFonts w:hint="eastAsia" w:ascii="仿宋" w:hAnsi="仿宋" w:eastAsia="仿宋" w:cs="仿宋"/>
          <w:color w:val="auto"/>
          <w:szCs w:val="20"/>
          <w:highlight w:val="none"/>
          <w:lang w:eastAsia="zh-CN"/>
        </w:rPr>
        <w:t xml:space="preserve">供应商</w:t>
      </w:r>
      <w:r>
        <w:rPr>
          <w:rFonts w:hint="eastAsia" w:ascii="仿宋" w:hAnsi="仿宋" w:eastAsia="仿宋" w:cs="仿宋"/>
          <w:color w:val="auto"/>
          <w:szCs w:val="20"/>
          <w:highlight w:val="none"/>
        </w:rPr>
        <w:t xml:space="preserve">应确保本项目能安全、正常运行并达到采购要求。</w:t>
      </w:r>
      <w:r/>
    </w:p>
    <w:p>
      <w:pPr>
        <w:ind w:left="20"/>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3、本表中项目总报价应与开标一览表中项目总报价保持一致。</w:t>
      </w:r>
      <w:r/>
    </w:p>
    <w:p>
      <w:pP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4、报价保留至小数点后两位，四舍五入。</w:t>
      </w:r>
      <w:r/>
    </w:p>
    <w:p>
      <w:pPr>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br w:type="page" w:clear="all"/>
      </w:r>
      <w:r/>
    </w:p>
    <w:p>
      <w:pPr>
        <w:ind w:right="-9"/>
        <w:jc w:val="center"/>
        <w:spacing w:line="360" w:lineRule="auto"/>
        <w:widowControl/>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lang w:val="en-US" w:eastAsia="zh-CN"/>
        </w:rPr>
        <w:t xml:space="preserve">二轮</w:t>
      </w:r>
      <w:r>
        <w:rPr>
          <w:rFonts w:hint="eastAsia" w:ascii="仿宋" w:hAnsi="仿宋" w:eastAsia="仿宋" w:cs="仿宋"/>
          <w:b/>
          <w:color w:val="auto"/>
          <w:sz w:val="32"/>
          <w:szCs w:val="20"/>
          <w:highlight w:val="none"/>
        </w:rPr>
        <w:t xml:space="preserve">报价一览表</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645"/>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60"/>
        <w:gridCol w:w="4260"/>
      </w:tblGrid>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82"/>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服务期</w:t>
            </w:r>
            <w:r/>
          </w:p>
        </w:tc>
        <w:tc>
          <w:tcPr>
            <w:shd w:val="clear" w:color="auto" w:fill="auto"/>
            <w:tcW w:w="4260" w:type="dxa"/>
            <w:vAlign w:val="bottom"/>
            <w:textDirection w:val="lrTb"/>
            <w:noWrap w:val="false"/>
          </w:tcPr>
          <w:p>
            <w:pPr>
              <w:jc w:val="center"/>
              <w:spacing w:line="360" w:lineRule="auto"/>
              <w:widowControl/>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自合同签订之日起1年</w:t>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注：本表格以苏采云系统中表格格式为准，各供应商应在苏采云系统中进行二轮报价。</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rPr>
          <w:rFonts w:hint="eastAsia" w:ascii="仿宋" w:hAnsi="仿宋" w:eastAsia="仿宋" w:cs="仿宋"/>
          <w:color w:val="auto"/>
          <w:sz w:val="30"/>
          <w:szCs w:val="20"/>
          <w:highlight w:val="none"/>
        </w:rPr>
      </w:pPr>
      <w:r>
        <w:rPr>
          <w:rFonts w:hint="eastAsia" w:ascii="仿宋" w:hAnsi="仿宋" w:eastAsia="仿宋" w:cs="仿宋"/>
          <w:color w:val="auto"/>
          <w:sz w:val="30"/>
          <w:szCs w:val="20"/>
          <w:highlight w:val="none"/>
        </w:rPr>
        <w:br w:type="page" w:clear="all"/>
      </w:r>
      <w:r/>
    </w:p>
    <w:p>
      <w:pPr>
        <w:ind w:right="-9"/>
        <w:jc w:val="center"/>
        <w:spacing w:line="360" w:lineRule="auto"/>
        <w:widowControl/>
        <w:rPr>
          <w:rFonts w:hint="eastAsia" w:ascii="仿宋" w:hAnsi="仿宋" w:eastAsia="仿宋" w:cs="仿宋"/>
          <w:color w:val="auto"/>
          <w:sz w:val="30"/>
          <w:szCs w:val="20"/>
          <w:highlight w:val="none"/>
        </w:rPr>
      </w:pPr>
      <w:r>
        <w:rPr>
          <w:rFonts w:hint="eastAsia" w:ascii="仿宋" w:hAnsi="仿宋" w:eastAsia="仿宋" w:cs="仿宋"/>
          <w:color w:val="auto"/>
          <w:sz w:val="30"/>
          <w:szCs w:val="20"/>
          <w:highlight w:val="none"/>
        </w:rPr>
        <w:t xml:space="preserve">四、其他部分</w:t>
      </w:r>
      <w:r/>
    </w:p>
    <w:p>
      <w:pPr>
        <w:ind w:right="-9"/>
        <w:jc w:val="center"/>
        <w:spacing w:line="360" w:lineRule="auto"/>
        <w:widowControl/>
        <w:rPr>
          <w:rFonts w:hint="eastAsia" w:ascii="仿宋" w:hAnsi="仿宋" w:eastAsia="仿宋" w:cs="仿宋"/>
          <w:color w:val="auto"/>
          <w:sz w:val="30"/>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30"/>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80" w:name="page68"/>
      <w:r/>
      <w:bookmarkEnd w:id="280"/>
      <w:r>
        <w:rPr>
          <w:rFonts w:hint="eastAsia" w:ascii="仿宋" w:hAnsi="仿宋" w:eastAsia="仿宋" w:cs="仿宋"/>
          <w:color w:val="auto"/>
          <w:sz w:val="29"/>
          <w:szCs w:val="20"/>
          <w:highlight w:val="none"/>
        </w:rPr>
        <w:t xml:space="preserve">（一）中小企业声明函</w:t>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本公司（联合体）郑重声明，根据《政府采购促进中小企业发展管理办法》（财库﹝2020﹞46 号）的规定，本公司 （联合体）参加</w:t>
      </w:r>
      <w:r>
        <w:rPr>
          <w:rFonts w:hint="eastAsia" w:ascii="仿宋" w:hAnsi="仿宋" w:eastAsia="仿宋" w:cs="仿宋"/>
          <w:color w:val="auto"/>
          <w:sz w:val="27"/>
          <w:szCs w:val="20"/>
          <w:highlight w:val="none"/>
          <w:u w:val="single"/>
        </w:rPr>
        <w:t xml:space="preserve">（单位名称）</w:t>
      </w:r>
      <w:r>
        <w:rPr>
          <w:rFonts w:hint="eastAsia" w:ascii="仿宋" w:hAnsi="仿宋" w:eastAsia="仿宋" w:cs="仿宋"/>
          <w:color w:val="auto"/>
          <w:sz w:val="27"/>
          <w:szCs w:val="20"/>
          <w:highlight w:val="none"/>
        </w:rPr>
        <w:t xml:space="preserve">的</w:t>
      </w:r>
      <w:r>
        <w:rPr>
          <w:rFonts w:hint="eastAsia" w:ascii="仿宋" w:hAnsi="仿宋" w:eastAsia="仿宋" w:cs="仿宋"/>
          <w:color w:val="auto"/>
          <w:sz w:val="27"/>
          <w:szCs w:val="20"/>
          <w:highlight w:val="none"/>
          <w:u w:val="single"/>
        </w:rPr>
        <w:t xml:space="preserve">（项目名称）</w:t>
      </w:r>
      <w:r>
        <w:rPr>
          <w:rFonts w:hint="eastAsia" w:ascii="仿宋" w:hAnsi="仿宋" w:eastAsia="仿宋" w:cs="仿宋"/>
          <w:color w:val="auto"/>
          <w:sz w:val="27"/>
          <w:szCs w:val="20"/>
          <w:highlight w:val="none"/>
        </w:rPr>
        <w:t xml:space="preserve">采购活动，服务全部由符合政策要求的中小企业承接。相关企业（含联合体中的中小企业、签订分包意向协议的中小企业）的具体情况如</w:t>
      </w:r>
      <w:r>
        <w:rPr>
          <w:rFonts w:hint="eastAsia" w:ascii="仿宋" w:hAnsi="仿宋" w:eastAsia="仿宋" w:cs="仿宋"/>
          <w:color w:val="auto"/>
          <w:sz w:val="29"/>
          <w:szCs w:val="20"/>
          <w:highlight w:val="none"/>
        </w:rPr>
        <w:t xml:space="preserve">下：</w:t>
      </w:r>
      <w:r/>
    </w:p>
    <w:p>
      <w:pPr>
        <w:ind w:firstLine="540"/>
        <w:jc w:val="left"/>
        <w:spacing w:line="360" w:lineRule="auto"/>
        <w:widowControl/>
        <w:tabs>
          <w:tab w:val="left" w:pos="1140" w:leader="none"/>
        </w:tabs>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1.</w:t>
      </w:r>
      <w:r>
        <w:rPr>
          <w:rFonts w:hint="eastAsia" w:ascii="仿宋" w:hAnsi="仿宋" w:eastAsia="仿宋" w:cs="仿宋"/>
          <w:color w:val="auto"/>
          <w:sz w:val="27"/>
          <w:szCs w:val="20"/>
          <w:highlight w:val="none"/>
          <w:u w:val="single"/>
        </w:rPr>
        <w:t xml:space="preserve">（标的名称） </w:t>
      </w:r>
      <w:r>
        <w:rPr>
          <w:rFonts w:hint="eastAsia" w:ascii="仿宋" w:hAnsi="仿宋" w:eastAsia="仿宋" w:cs="仿宋"/>
          <w:color w:val="auto"/>
          <w:sz w:val="27"/>
          <w:szCs w:val="20"/>
          <w:highlight w:val="none"/>
        </w:rPr>
        <w:t xml:space="preserve">，属于</w:t>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u w:val="single"/>
        </w:rPr>
        <w:t xml:space="preserve">（采购文件中明确的所属行业）</w:t>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rPr>
        <w:t xml:space="preserve">；承接企业为</w:t>
      </w:r>
      <w:r>
        <w:rPr>
          <w:rFonts w:hint="eastAsia" w:ascii="仿宋" w:hAnsi="仿宋" w:eastAsia="仿宋" w:cs="仿宋"/>
          <w:color w:val="auto"/>
          <w:sz w:val="27"/>
          <w:szCs w:val="20"/>
          <w:highlight w:val="none"/>
          <w:u w:val="single"/>
        </w:rPr>
        <w:t xml:space="preserve">（企业名称）</w:t>
      </w:r>
      <w:r>
        <w:rPr>
          <w:rFonts w:hint="eastAsia" w:ascii="仿宋" w:hAnsi="仿宋" w:eastAsia="仿宋" w:cs="仿宋"/>
          <w:color w:val="auto"/>
          <w:sz w:val="27"/>
          <w:szCs w:val="20"/>
          <w:highlight w:val="none"/>
        </w:rPr>
        <w:t xml:space="preserve">，从业人员</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人</w:t>
      </w:r>
      <w:r>
        <w:rPr>
          <w:rFonts w:hint="eastAsia" w:ascii="仿宋" w:hAnsi="仿宋" w:eastAsia="仿宋" w:cs="仿宋"/>
          <w:color w:val="auto"/>
          <w:sz w:val="27"/>
          <w:szCs w:val="20"/>
          <w:highlight w:val="none"/>
        </w:rPr>
        <w:t xml:space="preserve">，营业 收入为</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万元</w:t>
      </w:r>
      <w:r>
        <w:rPr>
          <w:rFonts w:hint="eastAsia" w:ascii="仿宋" w:hAnsi="仿宋" w:eastAsia="仿宋" w:cs="仿宋"/>
          <w:color w:val="auto"/>
          <w:sz w:val="27"/>
          <w:szCs w:val="20"/>
          <w:highlight w:val="none"/>
        </w:rPr>
        <w:t xml:space="preserve">，资产总额为</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万元</w:t>
      </w:r>
      <w:r>
        <w:rPr>
          <w:rFonts w:hint="eastAsia" w:ascii="仿宋" w:hAnsi="仿宋" w:eastAsia="仿宋" w:cs="仿宋"/>
          <w:color w:val="auto"/>
          <w:sz w:val="27"/>
          <w:szCs w:val="20"/>
          <w:highlight w:val="none"/>
        </w:rPr>
        <w:t xml:space="preserve">，属于</w:t>
      </w:r>
      <w:r>
        <w:rPr>
          <w:rFonts w:hint="eastAsia" w:ascii="仿宋" w:hAnsi="仿宋" w:eastAsia="仿宋" w:cs="仿宋"/>
          <w:color w:val="auto"/>
          <w:sz w:val="27"/>
          <w:szCs w:val="20"/>
          <w:highlight w:val="none"/>
          <w:u w:val="single"/>
        </w:rPr>
        <w:t xml:space="preserve">（中型企业、 小型企业、微型企业）</w:t>
      </w:r>
      <w:r>
        <w:rPr>
          <w:rFonts w:hint="eastAsia" w:ascii="仿宋" w:hAnsi="仿宋" w:eastAsia="仿宋" w:cs="仿宋"/>
          <w:color w:val="auto"/>
          <w:sz w:val="27"/>
          <w:szCs w:val="20"/>
          <w:highlight w:val="none"/>
        </w:rPr>
        <w:t xml:space="preserve">；</w:t>
      </w:r>
      <w:r>
        <w:rPr>
          <w:rFonts w:hint="eastAsia" w:ascii="仿宋" w:hAnsi="仿宋" w:eastAsia="仿宋" w:cs="仿宋"/>
          <w:color w:val="auto"/>
          <w:sz w:val="27"/>
          <w:szCs w:val="20"/>
          <w:highlight w:val="none"/>
        </w:rPr>
        <w:tab/>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以上企业，不属于大企业的分支机构，不存在控股股东为大企业的情形，</w:t>
      </w:r>
      <w:r>
        <w:rPr>
          <w:rFonts w:hint="eastAsia" w:ascii="仿宋" w:hAnsi="仿宋" w:eastAsia="仿宋" w:cs="仿宋"/>
          <w:color w:val="auto"/>
          <w:sz w:val="29"/>
          <w:szCs w:val="20"/>
          <w:highlight w:val="none"/>
        </w:rPr>
        <w:t xml:space="preserve">也不存在与大企业的负责人为同一人的情形。</w:t>
      </w:r>
      <w:r/>
    </w:p>
    <w:p>
      <w:pPr>
        <w:ind w:left="56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本企业对上述声明内容的真实性负责。如有虚假，将依法承担相应责任。</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left="560"/>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企业名称（盖章）：</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left="560"/>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日 期：</w:t>
      </w:r>
      <w:r/>
    </w:p>
    <w:p>
      <w:pPr>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r>
      <w:r/>
    </w:p>
    <w:p>
      <w:pPr>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注：从业人员、营业收入、资产总额填报上一年度数据，无上一年度数据的新成立企业可不填报。</w:t>
      </w:r>
      <w:r/>
    </w:p>
    <w:p>
      <w:pPr>
        <w:ind w:right="160"/>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110" w:bottom="668" w:left="1280" w:header="0" w:footer="0" w:gutter="0"/>
          <w:cols w:num="1" w:sep="0" w:space="1701" w:equalWidth="0">
            <w:col w:w="9520" w:space="0"/>
          </w:cols>
          <w:docGrid w:linePitch="360"/>
        </w:sectPr>
      </w:pPr>
      <w:r>
        <w:rPr>
          <w:rFonts w:hint="eastAsia" w:ascii="仿宋" w:hAnsi="仿宋" w:eastAsia="仿宋" w:cs="仿宋"/>
          <w:color w:val="auto"/>
          <w:sz w:val="18"/>
          <w:szCs w:val="20"/>
          <w:highlight w:val="none"/>
        </w:rPr>
      </w:r>
      <w:r/>
    </w:p>
    <w:p>
      <w:pPr>
        <w:pStyle w:val="978"/>
        <w:jc w:val="center"/>
        <w:rPr>
          <w:rFonts w:hint="eastAsia" w:ascii="仿宋" w:hAnsi="仿宋" w:eastAsia="仿宋" w:cs="仿宋"/>
          <w:color w:val="000000"/>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关于符合本国产品标准的声明函</w:t>
      </w:r>
      <w:r>
        <w:rPr>
          <w:rFonts w:hint="eastAsia" w:ascii="仿宋" w:hAnsi="仿宋" w:eastAsia="仿宋" w:cs="仿宋"/>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本项目不涉及，无需填写</w:t>
      </w:r>
      <w:r>
        <w:rPr>
          <w:rFonts w:hint="eastAsia" w:ascii="仿宋" w:hAnsi="仿宋" w:eastAsia="仿宋" w:cs="仿宋"/>
          <w:sz w:val="24"/>
          <w:szCs w:val="24"/>
          <w:highlight w:val="none"/>
          <w:lang w:eastAsia="zh-CN"/>
        </w:rPr>
        <w:t xml:space="preserve">）</w:t>
      </w:r>
      <w:r/>
    </w:p>
    <w:p>
      <w:pPr>
        <w:pStyle w:val="979"/>
        <w:ind w:firstLine="420"/>
        <w:spacing w:before="30" w:beforeAutospacing="0" w:after="30" w:afterAutospacing="0" w:line="560" w:lineRule="atLeast"/>
        <w:shd w:val="clear" w:color="auto" w:fill="ffffff"/>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 xml:space="preserve"> 本公司（单位）郑重声明，</w:t>
      </w:r>
      <w:r>
        <w:rPr>
          <w:rFonts w:hint="eastAsia" w:ascii="仿宋" w:hAnsi="仿宋" w:eastAsia="仿宋" w:cs="仿宋"/>
          <w:b/>
          <w:bCs/>
          <w:sz w:val="24"/>
          <w:szCs w:val="24"/>
          <w:highlight w:val="none"/>
          <w:shd w:val="clear" w:color="auto" w:fill="ffffff"/>
        </w:rPr>
        <w:t xml:space="preserve">根据《国务院办公厅关于在政府采购中实施本国产品标准及相关政策的通知》（国办发〔2025〕34号）的规定</w:t>
      </w:r>
      <w:r>
        <w:rPr>
          <w:rFonts w:hint="eastAsia" w:ascii="仿宋" w:hAnsi="仿宋" w:eastAsia="仿宋" w:cs="仿宋"/>
          <w:sz w:val="24"/>
          <w:szCs w:val="24"/>
          <w:highlight w:val="none"/>
          <w:shd w:val="clear" w:color="auto" w:fill="ffffff"/>
        </w:rPr>
        <w:t xml:space="preserve">，本公司（单位）提供的以下产品属于本国产品。具体情况如下：</w:t>
      </w:r>
      <w:r/>
    </w:p>
    <w:p>
      <w:pPr>
        <w:pStyle w:val="979"/>
        <w:ind w:firstLine="420"/>
        <w:spacing w:before="30" w:beforeAutospacing="0" w:after="30" w:afterAutospacing="0" w:line="560" w:lineRule="atLeast"/>
        <w:shd w:val="clear" w:color="auto" w:fill="ffffff"/>
        <w:rPr>
          <w:rFonts w:hint="eastAsia" w:ascii="仿宋" w:hAnsi="仿宋" w:eastAsia="仿宋" w:cs="仿宋"/>
          <w:sz w:val="24"/>
          <w:szCs w:val="24"/>
          <w:highlight w:val="none"/>
          <w:shd w:val="clear" w:color="auto" w:fill="ffffff"/>
        </w:rPr>
      </w:pPr>
      <w:r>
        <w:rPr>
          <w:rFonts w:hint="eastAsia" w:ascii="仿宋" w:hAnsi="仿宋" w:eastAsia="仿宋" w:cs="仿宋"/>
          <w:b/>
          <w:bCs/>
          <w:spacing w:val="6"/>
          <w:sz w:val="24"/>
          <w:szCs w:val="24"/>
          <w:highlight w:val="none"/>
        </w:rPr>
        <w:t xml:space="preserve">1.</w:t>
      </w:r>
      <w:r>
        <w:rPr>
          <w:rFonts w:hint="eastAsia" w:ascii="仿宋" w:hAnsi="仿宋" w:eastAsia="仿宋" w:cs="仿宋"/>
          <w:b/>
          <w:bCs/>
          <w:sz w:val="24"/>
          <w:szCs w:val="24"/>
          <w:highlight w:val="none"/>
          <w:u w:val="single"/>
        </w:rPr>
        <w:t xml:space="preserve">产品名称1</w:t>
      </w:r>
      <w:r>
        <w:rPr>
          <w:rFonts w:hint="eastAsia" w:ascii="仿宋" w:hAnsi="仿宋" w:eastAsia="仿宋" w:cs="仿宋"/>
          <w:b/>
          <w:bCs/>
          <w:spacing w:val="6"/>
          <w:sz w:val="24"/>
          <w:szCs w:val="24"/>
          <w:highlight w:val="none"/>
        </w:rPr>
        <w:t xml:space="preserve">，</w:t>
      </w:r>
      <w:r>
        <w:rPr>
          <w:rStyle w:val="980"/>
          <w:rFonts w:hint="eastAsia" w:ascii="仿宋" w:hAnsi="仿宋" w:eastAsia="仿宋" w:cs="仿宋"/>
          <w:color w:val="000000"/>
          <w:sz w:val="24"/>
          <w:szCs w:val="24"/>
          <w:highlight w:val="none"/>
          <w:shd w:val="clear" w:color="auto" w:fill="ffffff"/>
        </w:rPr>
        <w:t xml:space="preserve">1</w:t>
      </w:r>
      <w:r>
        <w:rPr>
          <w:rFonts w:hint="eastAsia" w:ascii="仿宋" w:hAnsi="仿宋" w:eastAsia="仿宋" w:cs="仿宋"/>
          <w:sz w:val="24"/>
          <w:szCs w:val="24"/>
          <w:highlight w:val="none"/>
          <w:shd w:val="clear" w:color="auto" w:fill="ffffff"/>
        </w:rPr>
        <w:t xml:space="preserve">，生产厂为</w:t>
      </w:r>
      <w:r>
        <w:rPr>
          <w:rStyle w:val="980"/>
          <w:rFonts w:hint="eastAsia" w:ascii="仿宋" w:hAnsi="仿宋" w:eastAsia="仿宋" w:cs="仿宋"/>
          <w:color w:val="000000"/>
          <w:sz w:val="24"/>
          <w:szCs w:val="24"/>
          <w:highlight w:val="none"/>
          <w:u w:val="single"/>
          <w:shd w:val="clear" w:color="auto" w:fill="ffffff"/>
        </w:rPr>
        <w:t xml:space="preserve">（厂名***），</w:t>
      </w:r>
      <w:r>
        <w:rPr>
          <w:rStyle w:val="980"/>
          <w:rFonts w:hint="eastAsia" w:ascii="仿宋" w:hAnsi="仿宋" w:eastAsia="仿宋" w:cs="仿宋"/>
          <w:color w:val="000000"/>
          <w:sz w:val="24"/>
          <w:szCs w:val="24"/>
          <w:highlight w:val="none"/>
          <w:shd w:val="clear" w:color="auto" w:fill="ffffff"/>
        </w:rPr>
        <w:t xml:space="preserve">2</w:t>
      </w:r>
      <w:r>
        <w:rPr>
          <w:rFonts w:hint="eastAsia" w:ascii="仿宋" w:hAnsi="仿宋" w:eastAsia="仿宋" w:cs="仿宋"/>
          <w:sz w:val="24"/>
          <w:szCs w:val="24"/>
          <w:highlight w:val="none"/>
          <w:shd w:val="clear" w:color="auto" w:fill="ffffff"/>
        </w:rPr>
        <w:t xml:space="preserve">，厂址为</w:t>
      </w:r>
      <w:r>
        <w:rPr>
          <w:rStyle w:val="980"/>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sz w:val="24"/>
          <w:szCs w:val="24"/>
          <w:highlight w:val="none"/>
          <w:u w:val="single"/>
          <w:shd w:val="clear" w:color="auto" w:fill="ffffff"/>
        </w:rPr>
        <w:t xml:space="preserve">***</w:t>
      </w:r>
      <w:r>
        <w:rPr>
          <w:rFonts w:hint="eastAsia" w:ascii="仿宋" w:hAnsi="仿宋" w:eastAsia="仿宋" w:cs="仿宋"/>
          <w:sz w:val="24"/>
          <w:szCs w:val="24"/>
          <w:highlight w:val="none"/>
          <w:shd w:val="clear" w:color="auto" w:fill="ffffff"/>
        </w:rPr>
        <w:t xml:space="preserve">。</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sz w:val="24"/>
          <w:szCs w:val="24"/>
          <w:highlight w:val="none"/>
          <w:u w:val="single"/>
        </w:rPr>
        <w:t xml:space="preserve">产品名称1</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sz w:val="24"/>
          <w:szCs w:val="24"/>
          <w:highlight w:val="none"/>
          <w:shd w:val="clear" w:color="auto" w:fill="ffffff"/>
        </w:rPr>
        <w:t xml:space="preserve">的中国境内生产的组件成本占比≥</w:t>
      </w:r>
      <w:r>
        <w:rPr>
          <w:rStyle w:val="980"/>
          <w:rFonts w:hint="eastAsia" w:ascii="仿宋" w:hAnsi="仿宋" w:eastAsia="仿宋" w:cs="仿宋"/>
          <w:color w:val="000000"/>
          <w:sz w:val="24"/>
          <w:szCs w:val="24"/>
          <w:highlight w:val="none"/>
          <w:u w:val="single"/>
          <w:shd w:val="clear" w:color="auto" w:fill="ffffff"/>
        </w:rPr>
        <w:t xml:space="preserve">（规定比例）</w:t>
      </w:r>
      <w:r>
        <w:rPr>
          <w:rStyle w:val="980"/>
          <w:rFonts w:hint="eastAsia" w:ascii="仿宋" w:hAnsi="仿宋" w:eastAsia="仿宋" w:cs="仿宋"/>
          <w:color w:val="000000"/>
          <w:sz w:val="24"/>
          <w:szCs w:val="24"/>
          <w:highlight w:val="none"/>
          <w:shd w:val="clear" w:color="auto" w:fill="ffffff"/>
        </w:rPr>
        <w:t xml:space="preserve">3，（</w:t>
      </w:r>
      <w:r>
        <w:rPr>
          <w:rFonts w:hint="eastAsia" w:ascii="仿宋" w:hAnsi="仿宋" w:eastAsia="仿宋" w:cs="仿宋"/>
          <w:b/>
          <w:bCs/>
          <w:sz w:val="24"/>
          <w:szCs w:val="24"/>
          <w:highlight w:val="none"/>
          <w:u w:val="single"/>
        </w:rPr>
        <w:t xml:space="preserve">产品名称1</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sz w:val="24"/>
          <w:szCs w:val="24"/>
          <w:highlight w:val="none"/>
          <w:shd w:val="clear" w:color="auto" w:fill="ffffff"/>
        </w:rPr>
        <w:t xml:space="preserve">的</w:t>
      </w:r>
      <w:r>
        <w:rPr>
          <w:rStyle w:val="980"/>
          <w:rFonts w:hint="eastAsia" w:ascii="仿宋" w:hAnsi="仿宋" w:eastAsia="仿宋" w:cs="仿宋"/>
          <w:color w:val="000000"/>
          <w:sz w:val="24"/>
          <w:szCs w:val="24"/>
          <w:highlight w:val="none"/>
          <w:shd w:val="clear" w:color="auto" w:fill="ffffff"/>
        </w:rPr>
        <w:t xml:space="preserve">（</w:t>
      </w:r>
      <w:r>
        <w:rPr>
          <w:rStyle w:val="980"/>
          <w:rFonts w:hint="eastAsia" w:ascii="仿宋" w:hAnsi="仿宋" w:eastAsia="仿宋" w:cs="仿宋"/>
          <w:color w:val="000000"/>
          <w:sz w:val="24"/>
          <w:szCs w:val="24"/>
          <w:highlight w:val="none"/>
          <w:u w:val="single"/>
          <w:shd w:val="clear" w:color="auto" w:fill="ffffff"/>
        </w:rPr>
        <w:t xml:space="preserve">关键组件***</w:t>
      </w:r>
      <w:r>
        <w:rPr>
          <w:rStyle w:val="980"/>
          <w:rFonts w:hint="eastAsia" w:ascii="仿宋" w:hAnsi="仿宋" w:eastAsia="仿宋" w:cs="仿宋"/>
          <w:color w:val="000000"/>
          <w:sz w:val="24"/>
          <w:szCs w:val="24"/>
          <w:highlight w:val="none"/>
          <w:shd w:val="clear" w:color="auto" w:fill="ffffff"/>
        </w:rPr>
        <w:t xml:space="preserve">）4</w:t>
      </w:r>
      <w:r>
        <w:rPr>
          <w:rFonts w:hint="eastAsia" w:ascii="仿宋" w:hAnsi="仿宋" w:eastAsia="仿宋" w:cs="仿宋"/>
          <w:sz w:val="24"/>
          <w:szCs w:val="24"/>
          <w:highlight w:val="none"/>
          <w:shd w:val="clear" w:color="auto" w:fill="ffffff"/>
        </w:rPr>
        <w:t xml:space="preserve">在中国境内生产。</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sz w:val="24"/>
          <w:szCs w:val="24"/>
          <w:highlight w:val="none"/>
          <w:u w:val="single"/>
        </w:rPr>
        <w:t xml:space="preserve">产品名称1</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sz w:val="24"/>
          <w:szCs w:val="24"/>
          <w:highlight w:val="none"/>
          <w:shd w:val="clear" w:color="auto" w:fill="ffffff"/>
        </w:rPr>
        <w:t xml:space="preserve">的</w:t>
      </w:r>
      <w:r>
        <w:rPr>
          <w:rStyle w:val="980"/>
          <w:rFonts w:hint="eastAsia" w:ascii="仿宋" w:hAnsi="仿宋" w:eastAsia="仿宋" w:cs="仿宋"/>
          <w:color w:val="000000"/>
          <w:sz w:val="24"/>
          <w:szCs w:val="24"/>
          <w:highlight w:val="none"/>
          <w:shd w:val="clear" w:color="auto" w:fill="ffffff"/>
        </w:rPr>
        <w:t xml:space="preserve">（</w:t>
      </w:r>
      <w:r>
        <w:rPr>
          <w:rStyle w:val="980"/>
          <w:rFonts w:hint="eastAsia" w:ascii="仿宋" w:hAnsi="仿宋" w:eastAsia="仿宋" w:cs="仿宋"/>
          <w:color w:val="000000"/>
          <w:sz w:val="24"/>
          <w:szCs w:val="24"/>
          <w:highlight w:val="none"/>
          <w:u w:val="single"/>
          <w:shd w:val="clear" w:color="auto" w:fill="ffffff"/>
        </w:rPr>
        <w:t xml:space="preserve">关键工序***</w:t>
      </w:r>
      <w:r>
        <w:rPr>
          <w:rStyle w:val="980"/>
          <w:rFonts w:hint="eastAsia" w:ascii="仿宋" w:hAnsi="仿宋" w:eastAsia="仿宋" w:cs="仿宋"/>
          <w:color w:val="000000"/>
          <w:sz w:val="24"/>
          <w:szCs w:val="24"/>
          <w:highlight w:val="none"/>
          <w:shd w:val="clear" w:color="auto" w:fill="ffffff"/>
        </w:rPr>
        <w:t xml:space="preserve">）5</w:t>
      </w:r>
      <w:r>
        <w:rPr>
          <w:rFonts w:hint="eastAsia" w:ascii="仿宋" w:hAnsi="仿宋" w:eastAsia="仿宋" w:cs="仿宋"/>
          <w:sz w:val="24"/>
          <w:szCs w:val="24"/>
          <w:highlight w:val="none"/>
          <w:shd w:val="clear" w:color="auto" w:fill="ffffff"/>
        </w:rPr>
        <w:t xml:space="preserve">在中国境内完成。</w:t>
      </w:r>
      <w:r/>
    </w:p>
    <w:p>
      <w:pPr>
        <w:pStyle w:val="979"/>
        <w:ind w:firstLine="420"/>
        <w:spacing w:before="30" w:beforeAutospacing="0" w:after="30" w:afterAutospacing="0" w:line="560" w:lineRule="atLeast"/>
        <w:shd w:val="clear" w:color="auto" w:fill="ffffff"/>
        <w:rPr>
          <w:rFonts w:hint="eastAsia" w:ascii="仿宋" w:hAnsi="仿宋" w:eastAsia="仿宋" w:cs="仿宋"/>
          <w:sz w:val="24"/>
          <w:szCs w:val="24"/>
          <w:highlight w:val="none"/>
          <w:shd w:val="clear" w:color="auto" w:fill="ffffff"/>
        </w:rPr>
      </w:pPr>
      <w:r>
        <w:rPr>
          <w:rFonts w:hint="eastAsia" w:ascii="仿宋" w:hAnsi="仿宋" w:eastAsia="仿宋" w:cs="仿宋"/>
          <w:b/>
          <w:bCs/>
          <w:spacing w:val="6"/>
          <w:sz w:val="24"/>
          <w:szCs w:val="24"/>
          <w:highlight w:val="none"/>
        </w:rPr>
        <w:t xml:space="preserve">2.</w:t>
      </w:r>
      <w:r>
        <w:rPr>
          <w:rFonts w:hint="eastAsia" w:ascii="仿宋" w:hAnsi="仿宋" w:eastAsia="仿宋" w:cs="仿宋"/>
          <w:b/>
          <w:bCs/>
          <w:sz w:val="24"/>
          <w:szCs w:val="24"/>
          <w:highlight w:val="none"/>
          <w:u w:val="single"/>
        </w:rPr>
        <w:t xml:space="preserve">产品名称2</w:t>
      </w:r>
      <w:r>
        <w:rPr>
          <w:rFonts w:hint="eastAsia" w:ascii="仿宋" w:hAnsi="仿宋" w:eastAsia="仿宋" w:cs="仿宋"/>
          <w:b/>
          <w:bCs/>
          <w:spacing w:val="6"/>
          <w:sz w:val="24"/>
          <w:szCs w:val="24"/>
          <w:highlight w:val="none"/>
        </w:rPr>
        <w:t xml:space="preserve">，</w:t>
      </w:r>
      <w:r>
        <w:rPr>
          <w:rStyle w:val="980"/>
          <w:rFonts w:hint="eastAsia" w:ascii="仿宋" w:hAnsi="仿宋" w:eastAsia="仿宋" w:cs="仿宋"/>
          <w:color w:val="000000"/>
          <w:sz w:val="24"/>
          <w:szCs w:val="24"/>
          <w:highlight w:val="none"/>
          <w:shd w:val="clear" w:color="auto" w:fill="ffffff"/>
        </w:rPr>
        <w:t xml:space="preserve">1</w:t>
      </w:r>
      <w:r>
        <w:rPr>
          <w:rFonts w:hint="eastAsia" w:ascii="仿宋" w:hAnsi="仿宋" w:eastAsia="仿宋" w:cs="仿宋"/>
          <w:sz w:val="24"/>
          <w:szCs w:val="24"/>
          <w:highlight w:val="none"/>
          <w:shd w:val="clear" w:color="auto" w:fill="ffffff"/>
        </w:rPr>
        <w:t xml:space="preserve">，生产厂为</w:t>
      </w:r>
      <w:r>
        <w:rPr>
          <w:rStyle w:val="980"/>
          <w:rFonts w:hint="eastAsia" w:ascii="仿宋" w:hAnsi="仿宋" w:eastAsia="仿宋" w:cs="仿宋"/>
          <w:color w:val="000000"/>
          <w:sz w:val="24"/>
          <w:szCs w:val="24"/>
          <w:highlight w:val="none"/>
          <w:u w:val="single"/>
          <w:shd w:val="clear" w:color="auto" w:fill="ffffff"/>
        </w:rPr>
        <w:t xml:space="preserve">（厂名***），</w:t>
      </w:r>
      <w:r>
        <w:rPr>
          <w:rStyle w:val="980"/>
          <w:rFonts w:hint="eastAsia" w:ascii="仿宋" w:hAnsi="仿宋" w:eastAsia="仿宋" w:cs="仿宋"/>
          <w:color w:val="000000"/>
          <w:sz w:val="24"/>
          <w:szCs w:val="24"/>
          <w:highlight w:val="none"/>
          <w:shd w:val="clear" w:color="auto" w:fill="ffffff"/>
        </w:rPr>
        <w:t xml:space="preserve">2</w:t>
      </w:r>
      <w:r>
        <w:rPr>
          <w:rFonts w:hint="eastAsia" w:ascii="仿宋" w:hAnsi="仿宋" w:eastAsia="仿宋" w:cs="仿宋"/>
          <w:sz w:val="24"/>
          <w:szCs w:val="24"/>
          <w:highlight w:val="none"/>
          <w:shd w:val="clear" w:color="auto" w:fill="ffffff"/>
        </w:rPr>
        <w:t xml:space="preserve">，厂址为</w:t>
      </w:r>
      <w:r>
        <w:rPr>
          <w:rStyle w:val="980"/>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sz w:val="24"/>
          <w:szCs w:val="24"/>
          <w:highlight w:val="none"/>
          <w:u w:val="single"/>
          <w:shd w:val="clear" w:color="auto" w:fill="ffffff"/>
        </w:rPr>
        <w:t xml:space="preserve">***</w:t>
      </w:r>
      <w:r>
        <w:rPr>
          <w:rFonts w:hint="eastAsia" w:ascii="仿宋" w:hAnsi="仿宋" w:eastAsia="仿宋" w:cs="仿宋"/>
          <w:sz w:val="24"/>
          <w:szCs w:val="24"/>
          <w:highlight w:val="none"/>
          <w:shd w:val="clear" w:color="auto" w:fill="ffffff"/>
        </w:rPr>
        <w:t xml:space="preserve">。</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sz w:val="24"/>
          <w:szCs w:val="24"/>
          <w:highlight w:val="none"/>
          <w:u w:val="single"/>
        </w:rPr>
        <w:t xml:space="preserve">产品名称2</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sz w:val="24"/>
          <w:szCs w:val="24"/>
          <w:highlight w:val="none"/>
          <w:shd w:val="clear" w:color="auto" w:fill="ffffff"/>
        </w:rPr>
        <w:t xml:space="preserve">的中国境内生产的组件成本占比≥</w:t>
      </w:r>
      <w:r>
        <w:rPr>
          <w:rStyle w:val="980"/>
          <w:rFonts w:hint="eastAsia" w:ascii="仿宋" w:hAnsi="仿宋" w:eastAsia="仿宋" w:cs="仿宋"/>
          <w:color w:val="000000"/>
          <w:sz w:val="24"/>
          <w:szCs w:val="24"/>
          <w:highlight w:val="none"/>
          <w:u w:val="single"/>
          <w:shd w:val="clear" w:color="auto" w:fill="ffffff"/>
        </w:rPr>
        <w:t xml:space="preserve">（规定比例）</w:t>
      </w:r>
      <w:r>
        <w:rPr>
          <w:rStyle w:val="980"/>
          <w:rFonts w:hint="eastAsia" w:ascii="仿宋" w:hAnsi="仿宋" w:eastAsia="仿宋" w:cs="仿宋"/>
          <w:color w:val="000000"/>
          <w:sz w:val="24"/>
          <w:szCs w:val="24"/>
          <w:highlight w:val="none"/>
          <w:shd w:val="clear" w:color="auto" w:fill="ffffff"/>
        </w:rPr>
        <w:t xml:space="preserve">3，（</w:t>
      </w:r>
      <w:r>
        <w:rPr>
          <w:rFonts w:hint="eastAsia" w:ascii="仿宋" w:hAnsi="仿宋" w:eastAsia="仿宋" w:cs="仿宋"/>
          <w:b/>
          <w:bCs/>
          <w:sz w:val="24"/>
          <w:szCs w:val="24"/>
          <w:highlight w:val="none"/>
          <w:u w:val="single"/>
        </w:rPr>
        <w:t xml:space="preserve">产品名称2</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sz w:val="24"/>
          <w:szCs w:val="24"/>
          <w:highlight w:val="none"/>
          <w:shd w:val="clear" w:color="auto" w:fill="ffffff"/>
        </w:rPr>
        <w:t xml:space="preserve">的</w:t>
      </w:r>
      <w:r>
        <w:rPr>
          <w:rStyle w:val="980"/>
          <w:rFonts w:hint="eastAsia" w:ascii="仿宋" w:hAnsi="仿宋" w:eastAsia="仿宋" w:cs="仿宋"/>
          <w:color w:val="000000"/>
          <w:sz w:val="24"/>
          <w:szCs w:val="24"/>
          <w:highlight w:val="none"/>
          <w:shd w:val="clear" w:color="auto" w:fill="ffffff"/>
        </w:rPr>
        <w:t xml:space="preserve">（</w:t>
      </w:r>
      <w:r>
        <w:rPr>
          <w:rStyle w:val="980"/>
          <w:rFonts w:hint="eastAsia" w:ascii="仿宋" w:hAnsi="仿宋" w:eastAsia="仿宋" w:cs="仿宋"/>
          <w:color w:val="000000"/>
          <w:sz w:val="24"/>
          <w:szCs w:val="24"/>
          <w:highlight w:val="none"/>
          <w:u w:val="single"/>
          <w:shd w:val="clear" w:color="auto" w:fill="ffffff"/>
        </w:rPr>
        <w:t xml:space="preserve">关键组件***</w:t>
      </w:r>
      <w:r>
        <w:rPr>
          <w:rStyle w:val="980"/>
          <w:rFonts w:hint="eastAsia" w:ascii="仿宋" w:hAnsi="仿宋" w:eastAsia="仿宋" w:cs="仿宋"/>
          <w:color w:val="000000"/>
          <w:sz w:val="24"/>
          <w:szCs w:val="24"/>
          <w:highlight w:val="none"/>
          <w:shd w:val="clear" w:color="auto" w:fill="ffffff"/>
        </w:rPr>
        <w:t xml:space="preserve">）4</w:t>
      </w:r>
      <w:r>
        <w:rPr>
          <w:rFonts w:hint="eastAsia" w:ascii="仿宋" w:hAnsi="仿宋" w:eastAsia="仿宋" w:cs="仿宋"/>
          <w:sz w:val="24"/>
          <w:szCs w:val="24"/>
          <w:highlight w:val="none"/>
          <w:shd w:val="clear" w:color="auto" w:fill="ffffff"/>
        </w:rPr>
        <w:t xml:space="preserve">在中国境内生产。</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sz w:val="24"/>
          <w:szCs w:val="24"/>
          <w:highlight w:val="none"/>
          <w:u w:val="single"/>
        </w:rPr>
        <w:t xml:space="preserve">产品名称2</w:t>
      </w:r>
      <w:r>
        <w:rPr>
          <w:rStyle w:val="980"/>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sz w:val="24"/>
          <w:szCs w:val="24"/>
          <w:highlight w:val="none"/>
          <w:shd w:val="clear" w:color="auto" w:fill="ffffff"/>
        </w:rPr>
        <w:t xml:space="preserve">的</w:t>
      </w:r>
      <w:r>
        <w:rPr>
          <w:rStyle w:val="980"/>
          <w:rFonts w:hint="eastAsia" w:ascii="仿宋" w:hAnsi="仿宋" w:eastAsia="仿宋" w:cs="仿宋"/>
          <w:color w:val="000000"/>
          <w:sz w:val="24"/>
          <w:szCs w:val="24"/>
          <w:highlight w:val="none"/>
          <w:shd w:val="clear" w:color="auto" w:fill="ffffff"/>
        </w:rPr>
        <w:t xml:space="preserve">（</w:t>
      </w:r>
      <w:r>
        <w:rPr>
          <w:rStyle w:val="980"/>
          <w:rFonts w:hint="eastAsia" w:ascii="仿宋" w:hAnsi="仿宋" w:eastAsia="仿宋" w:cs="仿宋"/>
          <w:color w:val="000000"/>
          <w:sz w:val="24"/>
          <w:szCs w:val="24"/>
          <w:highlight w:val="none"/>
          <w:u w:val="single"/>
          <w:shd w:val="clear" w:color="auto" w:fill="ffffff"/>
        </w:rPr>
        <w:t xml:space="preserve">关键工序***</w:t>
      </w:r>
      <w:r>
        <w:rPr>
          <w:rStyle w:val="980"/>
          <w:rFonts w:hint="eastAsia" w:ascii="仿宋" w:hAnsi="仿宋" w:eastAsia="仿宋" w:cs="仿宋"/>
          <w:color w:val="000000"/>
          <w:sz w:val="24"/>
          <w:szCs w:val="24"/>
          <w:highlight w:val="none"/>
          <w:shd w:val="clear" w:color="auto" w:fill="ffffff"/>
        </w:rPr>
        <w:t xml:space="preserve">）5</w:t>
      </w:r>
      <w:r>
        <w:rPr>
          <w:rFonts w:hint="eastAsia" w:ascii="仿宋" w:hAnsi="仿宋" w:eastAsia="仿宋" w:cs="仿宋"/>
          <w:sz w:val="24"/>
          <w:szCs w:val="24"/>
          <w:highlight w:val="none"/>
          <w:shd w:val="clear" w:color="auto" w:fill="ffffff"/>
        </w:rPr>
        <w:t xml:space="preserve">在中国境内完成。</w:t>
      </w:r>
      <w:r/>
    </w:p>
    <w:p>
      <w:pPr>
        <w:pStyle w:val="979"/>
        <w:ind w:firstLine="420"/>
        <w:spacing w:before="30" w:beforeAutospacing="0" w:after="30" w:afterAutospacing="0" w:line="560" w:lineRule="atLeast"/>
        <w:shd w:val="clear" w:color="auto" w:fill="ffffff"/>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 xml:space="preserve">......</w:t>
      </w:r>
      <w:r/>
    </w:p>
    <w:p>
      <w:pPr>
        <w:pStyle w:val="979"/>
        <w:ind w:firstLine="420"/>
        <w:spacing w:before="30" w:beforeAutospacing="0" w:after="30" w:afterAutospacing="0" w:line="560" w:lineRule="atLeast"/>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本公司（单位）对上述声明内容的真实性负责。如有虚假，愿承担相应法律责任。</w:t>
      </w:r>
      <w:r/>
    </w:p>
    <w:p>
      <w:pPr>
        <w:pStyle w:val="979"/>
        <w:jc w:val="right"/>
        <w:spacing w:before="30" w:beforeAutospacing="0" w:after="30" w:afterAutospacing="0" w:line="560" w:lineRule="atLeast"/>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 公司（单位）名称（盖章）：　        </w:t>
      </w:r>
      <w:r/>
    </w:p>
    <w:p>
      <w:pPr>
        <w:pStyle w:val="979"/>
        <w:jc w:val="right"/>
        <w:spacing w:before="30" w:beforeAutospacing="0" w:after="30" w:afterAutospacing="0" w:line="560" w:lineRule="atLeast"/>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日期：　     年　  月　  日         </w:t>
      </w:r>
      <w:r/>
    </w:p>
    <w:p>
      <w:pPr>
        <w:pStyle w:val="979"/>
        <w:spacing w:before="30" w:beforeAutospacing="0" w:after="30" w:afterAutospacing="0" w:line="560" w:lineRule="atLeast"/>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__________________</w:t>
      </w:r>
      <w:r/>
    </w:p>
    <w:p>
      <w:pPr>
        <w:pStyle w:val="979"/>
        <w:ind w:firstLine="420"/>
        <w:spacing w:before="30" w:beforeAutospacing="0" w:after="30" w:afterAutospacing="0" w:line="560" w:lineRule="atLeast"/>
        <w:shd w:val="clear" w:color="auto" w:fill="ffffff"/>
        <w:rPr>
          <w:rFonts w:hint="eastAsia" w:ascii="仿宋" w:hAnsi="仿宋" w:eastAsia="仿宋" w:cs="仿宋"/>
          <w:b/>
          <w:bCs/>
          <w:sz w:val="24"/>
          <w:szCs w:val="24"/>
          <w:highlight w:val="none"/>
        </w:rPr>
      </w:pPr>
      <w:r>
        <w:rPr>
          <w:rFonts w:hint="eastAsia" w:ascii="仿宋" w:hAnsi="仿宋" w:eastAsia="仿宋" w:cs="仿宋"/>
          <w:b/>
          <w:bCs/>
          <w:sz w:val="24"/>
          <w:szCs w:val="24"/>
          <w:highlight w:val="none"/>
          <w:shd w:val="clear" w:color="auto" w:fill="ffffff"/>
        </w:rPr>
        <w:t xml:space="preserve">1.产品如有型号，请在“产品名称”栏一并填写。</w:t>
      </w:r>
      <w:r/>
    </w:p>
    <w:p>
      <w:pPr>
        <w:pStyle w:val="979"/>
        <w:ind w:firstLine="420"/>
        <w:spacing w:before="30" w:beforeAutospacing="0" w:after="30" w:afterAutospacing="0" w:line="560" w:lineRule="atLeast"/>
        <w:shd w:val="clear" w:color="auto" w:fill="ffffff"/>
        <w:rPr>
          <w:rFonts w:hint="eastAsia" w:ascii="仿宋" w:hAnsi="仿宋" w:eastAsia="仿宋" w:cs="仿宋"/>
          <w:b/>
          <w:bCs/>
          <w:sz w:val="24"/>
          <w:szCs w:val="24"/>
          <w:highlight w:val="none"/>
        </w:rPr>
      </w:pPr>
      <w:r>
        <w:rPr>
          <w:rFonts w:hint="eastAsia" w:ascii="仿宋" w:hAnsi="仿宋" w:eastAsia="仿宋" w:cs="仿宋"/>
          <w:b/>
          <w:bCs/>
          <w:sz w:val="24"/>
          <w:szCs w:val="24"/>
          <w:highlight w:val="none"/>
          <w:shd w:val="clear" w:color="auto" w:fill="ffffff"/>
        </w:rPr>
        <w:t xml:space="preserve">2.生产厂名与厂址应与生产厂营业执照载明的相关信息保持一致。</w:t>
      </w:r>
      <w:r/>
    </w:p>
    <w:p>
      <w:pPr>
        <w:pStyle w:val="979"/>
        <w:ind w:firstLine="420"/>
        <w:spacing w:before="30" w:beforeAutospacing="0" w:after="30" w:afterAutospacing="0" w:line="560" w:lineRule="atLeast"/>
        <w:shd w:val="clear" w:color="auto" w:fill="ffffff"/>
        <w:rPr>
          <w:rFonts w:hint="eastAsia" w:ascii="仿宋" w:hAnsi="仿宋" w:eastAsia="仿宋" w:cs="仿宋"/>
          <w:b/>
          <w:bCs/>
          <w:i/>
          <w:iCs/>
          <w:sz w:val="24"/>
          <w:szCs w:val="24"/>
          <w:highlight w:val="none"/>
          <w:u w:val="single"/>
          <w:shd w:val="clear" w:color="auto" w:fill="ffffff"/>
        </w:rPr>
      </w:pPr>
      <w:r>
        <w:rPr>
          <w:rFonts w:hint="eastAsia" w:ascii="仿宋" w:hAnsi="仿宋" w:eastAsia="仿宋" w:cs="仿宋"/>
          <w:b/>
          <w:bCs/>
          <w:i/>
          <w:iCs/>
          <w:sz w:val="24"/>
          <w:szCs w:val="24"/>
          <w:highlight w:val="none"/>
          <w:u w:val="single"/>
          <w:shd w:val="clear" w:color="auto" w:fill="ffffff"/>
        </w:rPr>
        <w:t xml:space="preserve">3.该产品的中国境内生产的组件成本占比相关要求实施前，“规定比例”栏可不填，下同。</w:t>
      </w:r>
      <w:r/>
    </w:p>
    <w:p>
      <w:pPr>
        <w:pStyle w:val="979"/>
        <w:ind w:firstLine="420"/>
        <w:spacing w:before="30" w:beforeAutospacing="0" w:after="30" w:afterAutospacing="0" w:line="560" w:lineRule="atLeast"/>
        <w:shd w:val="clear" w:color="auto" w:fill="ffffff"/>
        <w:rPr>
          <w:rFonts w:hint="eastAsia" w:ascii="仿宋" w:hAnsi="仿宋" w:eastAsia="仿宋" w:cs="仿宋"/>
          <w:b/>
          <w:bCs/>
          <w:i/>
          <w:iCs/>
          <w:sz w:val="24"/>
          <w:szCs w:val="24"/>
          <w:highlight w:val="none"/>
          <w:u w:val="single"/>
          <w:shd w:val="clear" w:color="auto" w:fill="ffffff"/>
        </w:rPr>
      </w:pPr>
      <w:r>
        <w:rPr>
          <w:rFonts w:hint="eastAsia" w:ascii="仿宋" w:hAnsi="仿宋" w:eastAsia="仿宋" w:cs="仿宋"/>
          <w:b/>
          <w:bCs/>
          <w:i/>
          <w:iCs/>
          <w:sz w:val="24"/>
          <w:szCs w:val="24"/>
          <w:highlight w:val="none"/>
          <w:u w:val="single"/>
          <w:shd w:val="clear" w:color="auto" w:fill="ffffff"/>
        </w:rPr>
        <w:t xml:space="preserve">4.该产品的关键组件要求实施前，“关键组件”栏可不填，下同。</w:t>
      </w:r>
      <w:r/>
    </w:p>
    <w:p>
      <w:pPr>
        <w:pStyle w:val="979"/>
        <w:ind w:firstLine="420"/>
        <w:spacing w:before="30" w:beforeAutospacing="0" w:after="30" w:afterAutospacing="0" w:line="560" w:lineRule="atLeast"/>
        <w:shd w:val="clear" w:color="auto" w:fill="ffffff"/>
        <w:rPr>
          <w:rFonts w:hint="eastAsia" w:ascii="仿宋" w:hAnsi="仿宋" w:eastAsia="仿宋" w:cs="仿宋"/>
          <w:b/>
          <w:bCs/>
          <w:i/>
          <w:iCs/>
          <w:sz w:val="24"/>
          <w:szCs w:val="24"/>
          <w:highlight w:val="none"/>
          <w:u w:val="single"/>
          <w:shd w:val="clear" w:color="auto" w:fill="ffffff"/>
        </w:rPr>
      </w:pPr>
      <w:r>
        <w:rPr>
          <w:rFonts w:hint="eastAsia" w:ascii="仿宋" w:hAnsi="仿宋" w:eastAsia="仿宋" w:cs="仿宋"/>
          <w:b/>
          <w:bCs/>
          <w:i/>
          <w:iCs/>
          <w:sz w:val="24"/>
          <w:szCs w:val="24"/>
          <w:highlight w:val="none"/>
          <w:u w:val="single"/>
          <w:shd w:val="clear" w:color="auto" w:fill="ffffff"/>
        </w:rPr>
        <w:t xml:space="preserve">5.该产品的关键工序要求实施前，“关键工序”栏可不填，下同。</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br w:type="page" w:clear="all"/>
      </w:r>
      <w:r/>
    </w:p>
    <w:p>
      <w:pPr>
        <w:jc w:val="center"/>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w:t>
      </w:r>
      <w:r>
        <w:rPr>
          <w:rFonts w:hint="eastAsia" w:ascii="仿宋" w:hAnsi="仿宋" w:eastAsia="仿宋" w:cs="仿宋"/>
          <w:color w:val="auto"/>
          <w:sz w:val="29"/>
          <w:szCs w:val="20"/>
          <w:highlight w:val="none"/>
          <w:lang w:val="en-US" w:eastAsia="zh-CN"/>
        </w:rPr>
        <w:t xml:space="preserve">三</w:t>
      </w:r>
      <w:r>
        <w:rPr>
          <w:rFonts w:hint="eastAsia" w:ascii="仿宋" w:hAnsi="仿宋" w:eastAsia="仿宋" w:cs="仿宋"/>
          <w:color w:val="auto"/>
          <w:sz w:val="29"/>
          <w:szCs w:val="20"/>
          <w:highlight w:val="none"/>
        </w:rPr>
        <w:t xml:space="preserve">）按磋商文件要求供应商所能提供的其他文件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878"/>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1">
    <w:multiLevelType w:val="hybridMultilevel"/>
    <w:lvl w:ilvl="0">
      <w:start w:val="1"/>
      <w:numFmt w:val="decimal"/>
      <w:pStyle w:val="877"/>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2">
    <w:multiLevelType w:val="hybridMultilevel"/>
    <w:lvl w:ilvl="0">
      <w:start w:val="1"/>
      <w:numFmt w:val="upperLetter"/>
      <w:pStyle w:val="8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4" w:default="1">
    <w:name w:val="Normal"/>
    <w:next w:val="646"/>
    <w:link w:val="980"/>
    <w:uiPriority w:val="0"/>
    <w:qFormat/>
    <w:pPr>
      <w:jc w:val="both"/>
      <w:widowControl w:val="off"/>
    </w:pPr>
    <w:rPr>
      <w:rFonts w:ascii="Calibri" w:hAnsi="Calibri" w:eastAsia="宋体" w:cs="Times New Roman"/>
      <w:sz w:val="21"/>
      <w:szCs w:val="22"/>
      <w:lang w:val="en-US" w:eastAsia="zh-CN" w:bidi="ar-SA"/>
    </w:rPr>
  </w:style>
  <w:style w:type="paragraph" w:styleId="635">
    <w:name w:val="Heading 1"/>
    <w:basedOn w:val="634"/>
    <w:next w:val="634"/>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95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7">
    <w:name w:val="Heading 3"/>
    <w:basedOn w:val="634"/>
    <w:next w:val="634"/>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uiPriority w:val="9"/>
    <w:unhideWhenUsed/>
    <w:qFormat/>
    <w:pPr>
      <w:keepLines/>
      <w:keepNext/>
      <w:spacing w:before="320" w:after="200"/>
      <w:outlineLvl w:val="5"/>
    </w:pPr>
    <w:rPr>
      <w:rFonts w:ascii="Arial" w:hAnsi="Arial" w:eastAsia="Arial" w:cs="Arial"/>
      <w:b/>
      <w:bCs/>
      <w:sz w:val="22"/>
    </w:rPr>
  </w:style>
  <w:style w:type="paragraph" w:styleId="641">
    <w:name w:val="Heading 7"/>
    <w:basedOn w:val="634"/>
    <w:next w:val="634"/>
    <w:uiPriority w:val="9"/>
    <w:unhideWhenUsed/>
    <w:qFormat/>
    <w:pPr>
      <w:keepLines/>
      <w:keepNext/>
      <w:spacing w:before="320" w:after="200"/>
      <w:outlineLvl w:val="6"/>
    </w:pPr>
    <w:rPr>
      <w:rFonts w:ascii="Arial" w:hAnsi="Arial" w:eastAsia="Arial" w:cs="Arial"/>
      <w:b/>
      <w:bCs/>
      <w:i/>
      <w:iCs/>
      <w:sz w:val="22"/>
    </w:rPr>
  </w:style>
  <w:style w:type="paragraph" w:styleId="642">
    <w:name w:val="Heading 8"/>
    <w:basedOn w:val="634"/>
    <w:next w:val="634"/>
    <w:uiPriority w:val="9"/>
    <w:unhideWhenUsed/>
    <w:qFormat/>
    <w:pPr>
      <w:keepLines/>
      <w:keepNext/>
      <w:spacing w:before="320" w:after="200"/>
      <w:outlineLvl w:val="7"/>
    </w:pPr>
    <w:rPr>
      <w:rFonts w:ascii="Arial" w:hAnsi="Arial" w:eastAsia="Arial" w:cs="Arial"/>
      <w:i/>
      <w:iCs/>
      <w:sz w:val="22"/>
    </w:rPr>
  </w:style>
  <w:style w:type="paragraph" w:styleId="643">
    <w:name w:val="Heading 9"/>
    <w:basedOn w:val="634"/>
    <w:next w:val="634"/>
    <w:uiPriority w:val="9"/>
    <w:unhideWhenUsed/>
    <w:qFormat/>
    <w:pPr>
      <w:keepLines/>
      <w:keepNext/>
      <w:spacing w:before="320" w:after="200"/>
      <w:outlineLvl w:val="8"/>
    </w:pPr>
    <w:rPr>
      <w:rFonts w:ascii="Arial" w:hAnsi="Arial" w:eastAsia="Arial" w:cs="Arial"/>
      <w:i/>
      <w:iCs/>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customStyle="1">
    <w:name w:val="索引 41"/>
    <w:basedOn w:val="634"/>
    <w:next w:val="634"/>
    <w:uiPriority w:val="0"/>
    <w:semiHidden/>
    <w:qFormat/>
    <w:pPr>
      <w:ind w:left="600"/>
    </w:pPr>
  </w:style>
  <w:style w:type="paragraph" w:styleId="647">
    <w:name w:val="List 3"/>
    <w:basedOn w:val="634"/>
    <w:uiPriority w:val="0"/>
    <w:qFormat/>
    <w:pPr>
      <w:ind w:left="100" w:hanging="200"/>
    </w:pPr>
    <w:rPr>
      <w:rFonts w:ascii="Times New Roman" w:hAnsi="Times New Roman"/>
      <w:szCs w:val="21"/>
    </w:rPr>
  </w:style>
  <w:style w:type="paragraph" w:styleId="648">
    <w:name w:val="toc 7"/>
    <w:basedOn w:val="634"/>
    <w:next w:val="634"/>
    <w:uiPriority w:val="39"/>
    <w:unhideWhenUsed/>
    <w:qFormat/>
    <w:pPr>
      <w:ind w:left="2520"/>
    </w:pPr>
  </w:style>
  <w:style w:type="paragraph" w:styleId="649">
    <w:name w:val="Normal Indent"/>
    <w:basedOn w:val="634"/>
    <w:link w:val="865"/>
    <w:uiPriority w:val="0"/>
    <w:qFormat/>
    <w:pPr>
      <w:ind w:firstLine="420"/>
    </w:pPr>
    <w:rPr>
      <w:rFonts w:ascii="Times New Roman" w:hAnsi="Times New Roman"/>
      <w:szCs w:val="20"/>
    </w:rPr>
  </w:style>
  <w:style w:type="paragraph" w:styleId="650">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1">
    <w:name w:val="annotation text"/>
    <w:basedOn w:val="652"/>
    <w:link w:val="926"/>
    <w:uiPriority w:val="99"/>
    <w:unhideWhenUsed/>
    <w:qFormat/>
    <w:pPr>
      <w:jc w:val="left"/>
      <w:spacing w:line="360" w:lineRule="auto"/>
    </w:pPr>
    <w:rPr>
      <w:rFonts w:ascii="Times New Roman" w:hAnsi="Times New Roman"/>
      <w:sz w:val="24"/>
      <w:szCs w:val="24"/>
    </w:rPr>
  </w:style>
  <w:style w:type="paragraph" w:styleId="652" w:customStyle="1">
    <w:name w:val="Normal_11"/>
    <w:uiPriority w:val="0"/>
    <w:qFormat/>
    <w:pPr>
      <w:jc w:val="both"/>
      <w:widowControl w:val="off"/>
    </w:pPr>
    <w:rPr>
      <w:rFonts w:ascii="Calibri" w:hAnsi="Calibri" w:eastAsia="宋体" w:cs="Times New Roman"/>
      <w:sz w:val="21"/>
      <w:szCs w:val="22"/>
      <w:lang w:val="en-US" w:eastAsia="zh-CN" w:bidi="ar-SA"/>
    </w:rPr>
  </w:style>
  <w:style w:type="paragraph" w:styleId="653">
    <w:name w:val="Body Text"/>
    <w:basedOn w:val="634"/>
    <w:link w:val="860"/>
    <w:uiPriority w:val="0"/>
    <w:qFormat/>
    <w:rPr>
      <w:rFonts w:ascii="楷体_GB2312" w:hAnsi="Arial" w:eastAsia="楷体_GB2312"/>
      <w:sz w:val="28"/>
      <w:szCs w:val="20"/>
    </w:rPr>
  </w:style>
  <w:style w:type="paragraph" w:styleId="654">
    <w:name w:val="Body Text Indent"/>
    <w:basedOn w:val="634"/>
    <w:next w:val="634"/>
    <w:link w:val="862"/>
    <w:uiPriority w:val="99"/>
    <w:semiHidden/>
    <w:unhideWhenUsed/>
    <w:qFormat/>
    <w:pPr>
      <w:ind w:left="420"/>
      <w:spacing w:after="120"/>
    </w:pPr>
  </w:style>
  <w:style w:type="paragraph" w:styleId="655">
    <w:name w:val="List Continue"/>
    <w:basedOn w:val="634"/>
    <w:uiPriority w:val="99"/>
    <w:semiHidden/>
    <w:unhideWhenUsed/>
    <w:qFormat/>
    <w:pPr>
      <w:contextualSpacing/>
      <w:ind w:left="420"/>
      <w:spacing w:after="120"/>
    </w:pPr>
  </w:style>
  <w:style w:type="paragraph" w:styleId="656">
    <w:name w:val="Block Text"/>
    <w:basedOn w:val="634"/>
    <w:uiPriority w:val="0"/>
    <w:qFormat/>
    <w:pPr>
      <w:ind w:left="630" w:right="630"/>
      <w:jc w:val="center"/>
    </w:pPr>
    <w:rPr>
      <w:rFonts w:ascii="宋体" w:hAnsi="Times New Roman"/>
      <w:b/>
      <w:sz w:val="32"/>
      <w:szCs w:val="24"/>
    </w:rPr>
  </w:style>
  <w:style w:type="paragraph" w:styleId="657">
    <w:name w:val="toc 5"/>
    <w:basedOn w:val="634"/>
    <w:next w:val="634"/>
    <w:uiPriority w:val="39"/>
    <w:unhideWhenUsed/>
    <w:qFormat/>
    <w:pPr>
      <w:ind w:left="1680"/>
    </w:pPr>
  </w:style>
  <w:style w:type="paragraph" w:styleId="658">
    <w:name w:val="toc 3"/>
    <w:basedOn w:val="634"/>
    <w:next w:val="634"/>
    <w:uiPriority w:val="39"/>
    <w:qFormat/>
    <w:pPr>
      <w:ind w:left="420"/>
      <w:jc w:val="left"/>
    </w:pPr>
    <w:rPr>
      <w:rFonts w:ascii="Times New Roman" w:hAnsi="Times New Roman"/>
      <w:iCs/>
      <w:szCs w:val="24"/>
    </w:rPr>
  </w:style>
  <w:style w:type="paragraph" w:styleId="659">
    <w:name w:val="Plain Text"/>
    <w:basedOn w:val="634"/>
    <w:link w:val="873"/>
    <w:uiPriority w:val="0"/>
    <w:qFormat/>
    <w:rPr>
      <w:rFonts w:ascii="宋体" w:hAnsi="Courier New" w:cs="Courier New"/>
      <w:szCs w:val="21"/>
    </w:rPr>
  </w:style>
  <w:style w:type="paragraph" w:styleId="660">
    <w:name w:val="toc 8"/>
    <w:basedOn w:val="634"/>
    <w:next w:val="634"/>
    <w:uiPriority w:val="39"/>
    <w:unhideWhenUsed/>
    <w:qFormat/>
    <w:pPr>
      <w:ind w:left="2940"/>
    </w:pPr>
  </w:style>
  <w:style w:type="paragraph" w:styleId="661">
    <w:name w:val="Date"/>
    <w:basedOn w:val="634"/>
    <w:next w:val="634"/>
    <w:link w:val="864"/>
    <w:uiPriority w:val="0"/>
    <w:qFormat/>
    <w:pPr>
      <w:ind w:left="100"/>
    </w:pPr>
    <w:rPr>
      <w:rFonts w:ascii="仿宋_GB2312" w:hAnsi="Times New Roman" w:eastAsia="仿宋_GB2312"/>
      <w:b/>
      <w:sz w:val="36"/>
      <w:szCs w:val="24"/>
    </w:rPr>
  </w:style>
  <w:style w:type="paragraph" w:styleId="662">
    <w:name w:val="endnote text"/>
    <w:basedOn w:val="634"/>
    <w:link w:val="856"/>
    <w:uiPriority w:val="99"/>
    <w:semiHidden/>
    <w:unhideWhenUsed/>
    <w:qFormat/>
    <w:rPr>
      <w:sz w:val="20"/>
    </w:rPr>
  </w:style>
  <w:style w:type="paragraph" w:styleId="663">
    <w:name w:val="Balloon Text"/>
    <w:basedOn w:val="634"/>
    <w:link w:val="870"/>
    <w:uiPriority w:val="99"/>
    <w:semiHidden/>
    <w:unhideWhenUsed/>
    <w:qFormat/>
    <w:rPr>
      <w:sz w:val="18"/>
      <w:szCs w:val="18"/>
    </w:rPr>
  </w:style>
  <w:style w:type="paragraph" w:styleId="664">
    <w:name w:val="Footer"/>
    <w:basedOn w:val="634"/>
    <w:link w:val="956"/>
    <w:uiPriority w:val="99"/>
    <w:unhideWhenUsed/>
    <w:qFormat/>
    <w:pPr>
      <w:jc w:val="left"/>
      <w:tabs>
        <w:tab w:val="center" w:pos="4153" w:leader="none"/>
        <w:tab w:val="right" w:pos="8306" w:leader="none"/>
      </w:tabs>
    </w:pPr>
    <w:rPr>
      <w:sz w:val="18"/>
      <w:szCs w:val="18"/>
    </w:rPr>
  </w:style>
  <w:style w:type="paragraph" w:styleId="665">
    <w:name w:val="Header"/>
    <w:basedOn w:val="634"/>
    <w:link w:val="95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34"/>
    <w:next w:val="634"/>
    <w:uiPriority w:val="39"/>
    <w:qFormat/>
    <w:pPr>
      <w:jc w:val="left"/>
      <w:spacing w:before="120" w:after="120"/>
    </w:pPr>
    <w:rPr>
      <w:rFonts w:ascii="楷体_GB2312" w:hAnsi="Times New Roman"/>
      <w:b/>
      <w:bCs/>
      <w:caps/>
      <w:sz w:val="44"/>
      <w:szCs w:val="44"/>
    </w:rPr>
  </w:style>
  <w:style w:type="paragraph" w:styleId="667">
    <w:name w:val="toc 4"/>
    <w:basedOn w:val="634"/>
    <w:next w:val="634"/>
    <w:uiPriority w:val="39"/>
    <w:unhideWhenUsed/>
    <w:qFormat/>
    <w:pPr>
      <w:ind w:left="1260"/>
    </w:pPr>
  </w:style>
  <w:style w:type="paragraph" w:styleId="668">
    <w:name w:val="Subtitle"/>
    <w:basedOn w:val="634"/>
    <w:next w:val="634"/>
    <w:link w:val="738"/>
    <w:uiPriority w:val="11"/>
    <w:qFormat/>
    <w:pPr>
      <w:spacing w:before="200" w:after="200"/>
    </w:pPr>
    <w:rPr>
      <w:sz w:val="24"/>
      <w:szCs w:val="24"/>
    </w:rPr>
  </w:style>
  <w:style w:type="paragraph" w:styleId="669">
    <w:name w:val="footnote text"/>
    <w:basedOn w:val="634"/>
    <w:link w:val="855"/>
    <w:uiPriority w:val="99"/>
    <w:semiHidden/>
    <w:unhideWhenUsed/>
    <w:qFormat/>
    <w:pPr>
      <w:spacing w:after="40"/>
    </w:pPr>
    <w:rPr>
      <w:sz w:val="18"/>
    </w:rPr>
  </w:style>
  <w:style w:type="paragraph" w:styleId="670">
    <w:name w:val="toc 6"/>
    <w:basedOn w:val="634"/>
    <w:next w:val="634"/>
    <w:uiPriority w:val="39"/>
    <w:unhideWhenUsed/>
    <w:qFormat/>
    <w:pPr>
      <w:ind w:left="2100"/>
    </w:pPr>
  </w:style>
  <w:style w:type="paragraph" w:styleId="671">
    <w:name w:val="Body Text Indent 3"/>
    <w:basedOn w:val="634"/>
    <w:link w:val="863"/>
    <w:uiPriority w:val="99"/>
    <w:semiHidden/>
    <w:unhideWhenUsed/>
    <w:qFormat/>
    <w:pPr>
      <w:ind w:left="420"/>
      <w:spacing w:after="120"/>
    </w:pPr>
    <w:rPr>
      <w:sz w:val="16"/>
      <w:szCs w:val="16"/>
    </w:rPr>
  </w:style>
  <w:style w:type="paragraph" w:styleId="672">
    <w:name w:val="table of figures"/>
    <w:basedOn w:val="634"/>
    <w:next w:val="634"/>
    <w:uiPriority w:val="99"/>
    <w:unhideWhenUsed/>
    <w:qFormat/>
  </w:style>
  <w:style w:type="paragraph" w:styleId="673">
    <w:name w:val="toc 2"/>
    <w:basedOn w:val="634"/>
    <w:next w:val="634"/>
    <w:uiPriority w:val="39"/>
    <w:unhideWhenUsed/>
    <w:qFormat/>
    <w:pPr>
      <w:ind w:left="200"/>
    </w:pPr>
  </w:style>
  <w:style w:type="paragraph" w:styleId="674">
    <w:name w:val="toc 9"/>
    <w:basedOn w:val="634"/>
    <w:next w:val="634"/>
    <w:uiPriority w:val="39"/>
    <w:unhideWhenUsed/>
    <w:qFormat/>
    <w:pPr>
      <w:ind w:left="3360"/>
    </w:pPr>
  </w:style>
  <w:style w:type="paragraph" w:styleId="675">
    <w:name w:val="Normal (Web)"/>
    <w:basedOn w:val="634"/>
    <w:link w:val="871"/>
    <w:uiPriority w:val="99"/>
    <w:qFormat/>
    <w:pPr>
      <w:jc w:val="left"/>
      <w:spacing w:before="100" w:beforeAutospacing="1" w:after="100" w:afterAutospacing="1"/>
      <w:widowControl/>
    </w:pPr>
    <w:rPr>
      <w:rFonts w:ascii="宋体" w:hAnsi="宋体" w:cs="宋体"/>
      <w:color w:val="000000"/>
      <w:sz w:val="24"/>
      <w:szCs w:val="24"/>
    </w:rPr>
  </w:style>
  <w:style w:type="paragraph" w:styleId="676">
    <w:name w:val="Title"/>
    <w:basedOn w:val="634"/>
    <w:next w:val="634"/>
    <w:link w:val="737"/>
    <w:uiPriority w:val="10"/>
    <w:qFormat/>
    <w:pPr>
      <w:contextualSpacing/>
      <w:spacing w:before="300" w:after="200"/>
    </w:pPr>
    <w:rPr>
      <w:sz w:val="48"/>
      <w:szCs w:val="48"/>
    </w:rPr>
  </w:style>
  <w:style w:type="paragraph" w:styleId="677">
    <w:name w:val="Body Text First Indent"/>
    <w:basedOn w:val="653"/>
    <w:uiPriority w:val="0"/>
    <w:qFormat/>
    <w:pPr>
      <w:ind w:firstLine="200"/>
      <w:spacing w:line="360" w:lineRule="auto"/>
    </w:pPr>
    <w:rPr>
      <w:rFonts w:ascii="仿宋_GB2312" w:eastAsia="仿宋_GB2312"/>
      <w:sz w:val="30"/>
      <w:szCs w:val="30"/>
    </w:rPr>
  </w:style>
  <w:style w:type="paragraph" w:styleId="678">
    <w:name w:val="Body Text First Indent 2"/>
    <w:basedOn w:val="654"/>
    <w:uiPriority w:val="0"/>
    <w:qFormat/>
    <w:pPr>
      <w:ind w:left="420" w:firstLine="420"/>
      <w:spacing w:after="120" w:line="240" w:lineRule="auto"/>
    </w:pPr>
    <w:rPr>
      <w:szCs w:val="24"/>
    </w:rPr>
  </w:style>
  <w:style w:type="table" w:styleId="679">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endnote reference"/>
    <w:uiPriority w:val="99"/>
    <w:semiHidden/>
    <w:unhideWhenUsed/>
    <w:qFormat/>
    <w:rPr>
      <w:vertAlign w:val="superscript"/>
    </w:rPr>
  </w:style>
  <w:style w:type="character" w:styleId="681">
    <w:name w:val="page number"/>
    <w:basedOn w:val="644"/>
    <w:uiPriority w:val="0"/>
    <w:qFormat/>
  </w:style>
  <w:style w:type="character" w:styleId="682">
    <w:name w:val="FollowedHyperlink"/>
    <w:uiPriority w:val="99"/>
    <w:semiHidden/>
    <w:unhideWhenUsed/>
    <w:qFormat/>
    <w:rPr>
      <w:color w:val="800080"/>
      <w:u w:val="single"/>
    </w:rPr>
  </w:style>
  <w:style w:type="character" w:styleId="683">
    <w:name w:val="Hyperlink"/>
    <w:uiPriority w:val="99"/>
    <w:qFormat/>
    <w:rPr>
      <w:color w:val="0000ff"/>
      <w:u w:val="single"/>
    </w:rPr>
  </w:style>
  <w:style w:type="character" w:styleId="684">
    <w:name w:val="footnote reference"/>
    <w:uiPriority w:val="99"/>
    <w:unhideWhenUsed/>
    <w:qFormat/>
    <w:rPr>
      <w:vertAlign w:val="superscript"/>
    </w:rPr>
  </w:style>
  <w:style w:type="paragraph" w:styleId="685"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686" w:customStyle="1">
    <w:name w:val="首行缩进"/>
    <w:basedOn w:val="634"/>
    <w:uiPriority w:val="0"/>
    <w:qFormat/>
    <w:pPr>
      <w:ind w:firstLine="480"/>
    </w:pPr>
    <w:rPr>
      <w:szCs w:val="20"/>
      <w:lang w:val="zh-CN"/>
    </w:rPr>
  </w:style>
  <w:style w:type="table" w:styleId="687" w:customStyle="1">
    <w:name w:val="无格式表格 11"/>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无格式表格 21"/>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无格式表格 31"/>
    <w:basedOn w:val="64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无格式表格 41"/>
    <w:basedOn w:val="64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无格式表格 51"/>
    <w:basedOn w:val="64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网格表 1 浅色1"/>
    <w:basedOn w:val="6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网格表 21"/>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4" w:customStyle="1">
    <w:name w:val="网格表 31"/>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网格表 41"/>
    <w:basedOn w:val="6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customStyle="1">
    <w:name w:val="网格表 5 深色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7" w:customStyle="1">
    <w:name w:val="网格表 6 彩色1"/>
    <w:basedOn w:val="6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8" w:customStyle="1">
    <w:name w:val="网格表 7 彩色1"/>
    <w:basedOn w:val="6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9" w:customStyle="1">
    <w:name w:val="清单表 1 浅色1"/>
    <w:basedOn w:val="64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customStyle="1">
    <w:name w:val="清单表 21"/>
    <w:basedOn w:val="6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1" w:customStyle="1">
    <w:name w:val="清单表 3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2" w:customStyle="1">
    <w:name w:val="清单表 4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清单表 5 深色1"/>
    <w:basedOn w:val="6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4" w:customStyle="1">
    <w:name w:val="清单表 6 彩色1"/>
    <w:basedOn w:val="64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5" w:customStyle="1">
    <w:name w:val="清单表 7 彩色1"/>
    <w:basedOn w:val="64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6" w:customStyle="1">
    <w:name w:val="Heading 4 Char"/>
    <w:basedOn w:val="644"/>
    <w:uiPriority w:val="9"/>
    <w:qFormat/>
    <w:rPr>
      <w:rFonts w:ascii="Arial" w:hAnsi="Arial" w:eastAsia="Arial" w:cs="Arial"/>
      <w:b/>
      <w:bCs/>
      <w:sz w:val="26"/>
      <w:szCs w:val="26"/>
    </w:rPr>
  </w:style>
  <w:style w:type="character" w:styleId="707" w:customStyle="1">
    <w:name w:val="Heading 5 Char"/>
    <w:basedOn w:val="644"/>
    <w:uiPriority w:val="9"/>
    <w:qFormat/>
    <w:rPr>
      <w:rFonts w:ascii="Arial" w:hAnsi="Arial" w:eastAsia="Arial" w:cs="Arial"/>
      <w:b/>
      <w:bCs/>
      <w:sz w:val="24"/>
      <w:szCs w:val="24"/>
    </w:rPr>
  </w:style>
  <w:style w:type="character" w:styleId="708" w:customStyle="1">
    <w:name w:val="Heading 6 Char"/>
    <w:basedOn w:val="644"/>
    <w:uiPriority w:val="9"/>
    <w:qFormat/>
    <w:rPr>
      <w:rFonts w:ascii="Arial" w:hAnsi="Arial" w:eastAsia="Arial" w:cs="Arial"/>
      <w:b/>
      <w:bCs/>
      <w:sz w:val="22"/>
      <w:szCs w:val="22"/>
    </w:rPr>
  </w:style>
  <w:style w:type="character" w:styleId="709" w:customStyle="1">
    <w:name w:val="Heading 8 Char"/>
    <w:basedOn w:val="644"/>
    <w:uiPriority w:val="9"/>
    <w:qFormat/>
    <w:rPr>
      <w:rFonts w:ascii="Arial" w:hAnsi="Arial" w:eastAsia="Arial" w:cs="Arial"/>
      <w:i/>
      <w:iCs/>
      <w:sz w:val="22"/>
      <w:szCs w:val="22"/>
    </w:rPr>
  </w:style>
  <w:style w:type="character" w:styleId="710" w:customStyle="1">
    <w:name w:val="Heading 9 Char"/>
    <w:basedOn w:val="644"/>
    <w:uiPriority w:val="9"/>
    <w:qFormat/>
    <w:rPr>
      <w:rFonts w:ascii="Arial" w:hAnsi="Arial" w:eastAsia="Arial" w:cs="Arial"/>
      <w:i/>
      <w:iCs/>
      <w:sz w:val="21"/>
      <w:szCs w:val="21"/>
    </w:rPr>
  </w:style>
  <w:style w:type="character" w:styleId="711" w:customStyle="1">
    <w:name w:val="Title Char"/>
    <w:basedOn w:val="644"/>
    <w:uiPriority w:val="10"/>
    <w:qFormat/>
    <w:rPr>
      <w:sz w:val="48"/>
      <w:szCs w:val="48"/>
    </w:rPr>
  </w:style>
  <w:style w:type="character" w:styleId="712" w:customStyle="1">
    <w:name w:val="Subtitle Char"/>
    <w:basedOn w:val="644"/>
    <w:uiPriority w:val="11"/>
    <w:qFormat/>
    <w:rPr>
      <w:sz w:val="24"/>
      <w:szCs w:val="24"/>
    </w:rPr>
  </w:style>
  <w:style w:type="character" w:styleId="713" w:customStyle="1">
    <w:name w:val="Quote Char"/>
    <w:uiPriority w:val="29"/>
    <w:qFormat/>
    <w:rPr>
      <w:i/>
    </w:rPr>
  </w:style>
  <w:style w:type="character" w:styleId="714" w:customStyle="1">
    <w:name w:val="Intense Quote Char"/>
    <w:uiPriority w:val="30"/>
    <w:qFormat/>
    <w:rPr>
      <w:i/>
    </w:rPr>
  </w:style>
  <w:style w:type="character" w:styleId="715" w:customStyle="1">
    <w:name w:val="Footnote Text Char"/>
    <w:uiPriority w:val="99"/>
    <w:qFormat/>
    <w:rPr>
      <w:sz w:val="18"/>
    </w:rPr>
  </w:style>
  <w:style w:type="character" w:styleId="716" w:customStyle="1">
    <w:name w:val="Endnote Text Char"/>
    <w:uiPriority w:val="99"/>
    <w:qFormat/>
    <w:rPr>
      <w:sz w:val="20"/>
    </w:rPr>
  </w:style>
  <w:style w:type="paragraph" w:styleId="717" w:customStyle="1">
    <w:name w:val="标题 11"/>
    <w:basedOn w:val="634"/>
    <w:next w:val="634"/>
    <w:link w:val="884"/>
    <w:uiPriority w:val="9"/>
    <w:qFormat/>
    <w:pPr>
      <w:keepLines/>
      <w:keepNext/>
      <w:spacing w:before="340" w:after="330" w:line="578" w:lineRule="atLeast"/>
      <w:outlineLvl w:val="0"/>
    </w:pPr>
    <w:rPr>
      <w:b/>
      <w:bCs/>
      <w:sz w:val="44"/>
      <w:szCs w:val="44"/>
    </w:rPr>
  </w:style>
  <w:style w:type="paragraph" w:styleId="718" w:customStyle="1">
    <w:name w:val="标题 21"/>
    <w:basedOn w:val="634"/>
    <w:next w:val="634"/>
    <w:link w:val="858"/>
    <w:uiPriority w:val="9"/>
    <w:qFormat/>
    <w:pPr>
      <w:jc w:val="center"/>
      <w:keepLines/>
      <w:keepNext/>
      <w:spacing w:before="260" w:after="260" w:line="416" w:lineRule="auto"/>
      <w:outlineLvl w:val="1"/>
    </w:pPr>
    <w:rPr>
      <w:rFonts w:ascii="幼圆" w:hAnsi="Arial" w:eastAsia="楷体_GB2312"/>
      <w:b/>
      <w:sz w:val="24"/>
      <w:szCs w:val="20"/>
    </w:rPr>
  </w:style>
  <w:style w:type="paragraph" w:styleId="719" w:customStyle="1">
    <w:name w:val="标题 31"/>
    <w:basedOn w:val="634"/>
    <w:next w:val="634"/>
    <w:link w:val="859"/>
    <w:uiPriority w:val="9"/>
    <w:qFormat/>
    <w:pPr>
      <w:keepLines/>
      <w:keepNext/>
      <w:spacing w:before="260" w:after="260" w:line="416" w:lineRule="atLeast"/>
      <w:outlineLvl w:val="2"/>
    </w:pPr>
    <w:rPr>
      <w:b/>
      <w:bCs/>
      <w:sz w:val="32"/>
      <w:szCs w:val="32"/>
    </w:rPr>
  </w:style>
  <w:style w:type="paragraph" w:styleId="720" w:customStyle="1">
    <w:name w:val="标题 41"/>
    <w:basedOn w:val="634"/>
    <w:next w:val="634"/>
    <w:link w:val="729"/>
    <w:uiPriority w:val="9"/>
    <w:unhideWhenUsed/>
    <w:qFormat/>
    <w:pPr>
      <w:keepLines/>
      <w:keepNext/>
      <w:spacing w:before="320" w:after="200"/>
      <w:outlineLvl w:val="3"/>
    </w:pPr>
    <w:rPr>
      <w:rFonts w:ascii="Arial" w:hAnsi="Arial" w:eastAsia="Arial" w:cs="Arial"/>
      <w:b/>
      <w:bCs/>
      <w:sz w:val="26"/>
      <w:szCs w:val="26"/>
    </w:rPr>
  </w:style>
  <w:style w:type="paragraph" w:styleId="721" w:customStyle="1">
    <w:name w:val="标题 51"/>
    <w:basedOn w:val="634"/>
    <w:next w:val="634"/>
    <w:link w:val="730"/>
    <w:uiPriority w:val="9"/>
    <w:unhideWhenUsed/>
    <w:qFormat/>
    <w:pPr>
      <w:keepLines/>
      <w:keepNext/>
      <w:spacing w:before="320" w:after="200"/>
      <w:outlineLvl w:val="4"/>
    </w:pPr>
    <w:rPr>
      <w:rFonts w:ascii="Arial" w:hAnsi="Arial" w:eastAsia="Arial" w:cs="Arial"/>
      <w:b/>
      <w:bCs/>
      <w:sz w:val="24"/>
      <w:szCs w:val="24"/>
    </w:rPr>
  </w:style>
  <w:style w:type="paragraph" w:styleId="722" w:customStyle="1">
    <w:name w:val="标题 61"/>
    <w:basedOn w:val="634"/>
    <w:next w:val="634"/>
    <w:link w:val="731"/>
    <w:uiPriority w:val="9"/>
    <w:unhideWhenUsed/>
    <w:qFormat/>
    <w:pPr>
      <w:keepLines/>
      <w:keepNext/>
      <w:spacing w:before="320" w:after="200"/>
      <w:outlineLvl w:val="5"/>
    </w:pPr>
    <w:rPr>
      <w:rFonts w:ascii="Arial" w:hAnsi="Arial" w:eastAsia="Arial" w:cs="Arial"/>
      <w:b/>
      <w:bCs/>
      <w:sz w:val="22"/>
    </w:rPr>
  </w:style>
  <w:style w:type="paragraph" w:styleId="723" w:customStyle="1">
    <w:name w:val="标题 71"/>
    <w:basedOn w:val="634"/>
    <w:next w:val="634"/>
    <w:link w:val="883"/>
    <w:uiPriority w:val="9"/>
    <w:qFormat/>
    <w:pPr>
      <w:keepLines/>
      <w:keepNext/>
      <w:spacing w:before="240" w:after="64" w:line="320" w:lineRule="atLeast"/>
      <w:outlineLvl w:val="6"/>
    </w:pPr>
    <w:rPr>
      <w:b/>
      <w:bCs/>
      <w:sz w:val="24"/>
      <w:szCs w:val="24"/>
    </w:rPr>
  </w:style>
  <w:style w:type="paragraph" w:styleId="724" w:customStyle="1">
    <w:name w:val="标题 81"/>
    <w:basedOn w:val="634"/>
    <w:next w:val="634"/>
    <w:link w:val="733"/>
    <w:uiPriority w:val="9"/>
    <w:unhideWhenUsed/>
    <w:qFormat/>
    <w:pPr>
      <w:keepLines/>
      <w:keepNext/>
      <w:spacing w:before="320" w:after="200"/>
      <w:outlineLvl w:val="7"/>
    </w:pPr>
    <w:rPr>
      <w:rFonts w:ascii="Arial" w:hAnsi="Arial" w:eastAsia="Arial" w:cs="Arial"/>
      <w:i/>
      <w:iCs/>
      <w:sz w:val="22"/>
    </w:rPr>
  </w:style>
  <w:style w:type="paragraph" w:styleId="725" w:customStyle="1">
    <w:name w:val="标题 91"/>
    <w:basedOn w:val="634"/>
    <w:next w:val="634"/>
    <w:link w:val="734"/>
    <w:uiPriority w:val="9"/>
    <w:unhideWhenUsed/>
    <w:qFormat/>
    <w:pPr>
      <w:keepLines/>
      <w:keepNext/>
      <w:spacing w:before="320" w:after="200"/>
      <w:outlineLvl w:val="8"/>
    </w:pPr>
    <w:rPr>
      <w:rFonts w:ascii="Arial" w:hAnsi="Arial" w:eastAsia="Arial" w:cs="Arial"/>
      <w:i/>
      <w:iCs/>
      <w:szCs w:val="21"/>
    </w:rPr>
  </w:style>
  <w:style w:type="character" w:styleId="726" w:customStyle="1">
    <w:name w:val="Heading 1 Char"/>
    <w:uiPriority w:val="9"/>
    <w:qFormat/>
    <w:rPr>
      <w:rFonts w:ascii="Arial" w:hAnsi="Arial" w:eastAsia="Arial" w:cs="Arial"/>
      <w:sz w:val="40"/>
      <w:szCs w:val="40"/>
    </w:rPr>
  </w:style>
  <w:style w:type="character" w:styleId="727" w:customStyle="1">
    <w:name w:val="Heading 2 Char"/>
    <w:uiPriority w:val="9"/>
    <w:qFormat/>
    <w:rPr>
      <w:rFonts w:ascii="Arial" w:hAnsi="Arial" w:eastAsia="Arial" w:cs="Arial"/>
      <w:sz w:val="34"/>
    </w:rPr>
  </w:style>
  <w:style w:type="character" w:styleId="728" w:customStyle="1">
    <w:name w:val="Heading 3 Char"/>
    <w:uiPriority w:val="9"/>
    <w:qFormat/>
    <w:rPr>
      <w:rFonts w:ascii="Arial" w:hAnsi="Arial" w:eastAsia="Arial" w:cs="Arial"/>
      <w:sz w:val="30"/>
      <w:szCs w:val="30"/>
    </w:rPr>
  </w:style>
  <w:style w:type="character" w:styleId="729" w:customStyle="1">
    <w:name w:val="标题 4 Char"/>
    <w:link w:val="720"/>
    <w:uiPriority w:val="9"/>
    <w:qFormat/>
    <w:rPr>
      <w:rFonts w:ascii="Arial" w:hAnsi="Arial" w:eastAsia="Arial" w:cs="Arial"/>
      <w:b/>
      <w:bCs/>
      <w:sz w:val="26"/>
      <w:szCs w:val="26"/>
    </w:rPr>
  </w:style>
  <w:style w:type="character" w:styleId="730" w:customStyle="1">
    <w:name w:val="标题 5 Char"/>
    <w:link w:val="721"/>
    <w:uiPriority w:val="9"/>
    <w:qFormat/>
    <w:rPr>
      <w:rFonts w:ascii="Arial" w:hAnsi="Arial" w:eastAsia="Arial" w:cs="Arial"/>
      <w:b/>
      <w:bCs/>
      <w:sz w:val="24"/>
      <w:szCs w:val="24"/>
    </w:rPr>
  </w:style>
  <w:style w:type="character" w:styleId="731" w:customStyle="1">
    <w:name w:val="标题 6 Char"/>
    <w:link w:val="722"/>
    <w:uiPriority w:val="9"/>
    <w:qFormat/>
    <w:rPr>
      <w:rFonts w:ascii="Arial" w:hAnsi="Arial" w:eastAsia="Arial" w:cs="Arial"/>
      <w:b/>
      <w:bCs/>
      <w:sz w:val="22"/>
      <w:szCs w:val="22"/>
    </w:rPr>
  </w:style>
  <w:style w:type="character" w:styleId="732" w:customStyle="1">
    <w:name w:val="Heading 7 Char"/>
    <w:uiPriority w:val="9"/>
    <w:qFormat/>
    <w:rPr>
      <w:rFonts w:ascii="Arial" w:hAnsi="Arial" w:eastAsia="Arial" w:cs="Arial"/>
      <w:b/>
      <w:bCs/>
      <w:i/>
      <w:iCs/>
      <w:sz w:val="22"/>
      <w:szCs w:val="22"/>
    </w:rPr>
  </w:style>
  <w:style w:type="character" w:styleId="733" w:customStyle="1">
    <w:name w:val="标题 8 Char"/>
    <w:link w:val="724"/>
    <w:uiPriority w:val="9"/>
    <w:qFormat/>
    <w:rPr>
      <w:rFonts w:ascii="Arial" w:hAnsi="Arial" w:eastAsia="Arial" w:cs="Arial"/>
      <w:i/>
      <w:iCs/>
      <w:sz w:val="22"/>
      <w:szCs w:val="22"/>
    </w:rPr>
  </w:style>
  <w:style w:type="character" w:styleId="734" w:customStyle="1">
    <w:name w:val="标题 9 Char"/>
    <w:link w:val="725"/>
    <w:uiPriority w:val="9"/>
    <w:qFormat/>
    <w:rPr>
      <w:rFonts w:ascii="Arial" w:hAnsi="Arial" w:eastAsia="Arial" w:cs="Arial"/>
      <w:i/>
      <w:iCs/>
      <w:sz w:val="21"/>
      <w:szCs w:val="21"/>
    </w:rPr>
  </w:style>
  <w:style w:type="paragraph" w:styleId="735">
    <w:name w:val="List Paragraph"/>
    <w:basedOn w:val="634"/>
    <w:uiPriority w:val="34"/>
    <w:qFormat/>
    <w:pPr>
      <w:contextualSpacing/>
      <w:ind w:left="720"/>
    </w:pPr>
  </w:style>
  <w:style w:type="paragraph" w:styleId="736">
    <w:name w:val="No Spacing"/>
    <w:uiPriority w:val="1"/>
    <w:qFormat/>
    <w:rPr>
      <w:rFonts w:ascii="Calibri" w:hAnsi="Calibri" w:eastAsia="宋体" w:cs="Times New Roman"/>
      <w:lang w:val="en-US" w:eastAsia="zh-CN" w:bidi="ar-SA"/>
    </w:rPr>
  </w:style>
  <w:style w:type="character" w:styleId="737" w:customStyle="1">
    <w:name w:val="标题 字符"/>
    <w:link w:val="676"/>
    <w:uiPriority w:val="10"/>
    <w:qFormat/>
    <w:rPr>
      <w:sz w:val="48"/>
      <w:szCs w:val="48"/>
    </w:rPr>
  </w:style>
  <w:style w:type="character" w:styleId="738" w:customStyle="1">
    <w:name w:val="副标题 字符"/>
    <w:link w:val="668"/>
    <w:uiPriority w:val="11"/>
    <w:qFormat/>
    <w:rPr>
      <w:sz w:val="24"/>
      <w:szCs w:val="24"/>
    </w:rPr>
  </w:style>
  <w:style w:type="paragraph" w:styleId="739">
    <w:name w:val="Quote"/>
    <w:basedOn w:val="634"/>
    <w:next w:val="634"/>
    <w:link w:val="740"/>
    <w:uiPriority w:val="29"/>
    <w:qFormat/>
    <w:pPr>
      <w:ind w:left="720" w:right="720"/>
    </w:pPr>
    <w:rPr>
      <w:i/>
    </w:rPr>
  </w:style>
  <w:style w:type="character" w:styleId="740" w:customStyle="1">
    <w:name w:val="引用 字符"/>
    <w:link w:val="739"/>
    <w:uiPriority w:val="29"/>
    <w:qFormat/>
    <w:rPr>
      <w:i/>
    </w:rPr>
  </w:style>
  <w:style w:type="paragraph" w:styleId="741">
    <w:name w:val="Intense Quote"/>
    <w:basedOn w:val="634"/>
    <w:next w:val="634"/>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明显引用 字符"/>
    <w:link w:val="741"/>
    <w:uiPriority w:val="30"/>
    <w:qFormat/>
    <w:rPr>
      <w:i/>
    </w:rPr>
  </w:style>
  <w:style w:type="paragraph" w:styleId="743" w:customStyle="1">
    <w:name w:val="页眉1"/>
    <w:basedOn w:val="634"/>
    <w:link w:val="867"/>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744" w:customStyle="1">
    <w:name w:val="Header Char"/>
    <w:uiPriority w:val="99"/>
    <w:qFormat/>
  </w:style>
  <w:style w:type="paragraph" w:styleId="745" w:customStyle="1">
    <w:name w:val="页脚1"/>
    <w:basedOn w:val="634"/>
    <w:link w:val="868"/>
    <w:uiPriority w:val="99"/>
    <w:unhideWhenUsed/>
    <w:qFormat/>
    <w:pPr>
      <w:jc w:val="left"/>
      <w:spacing w:line="240" w:lineRule="atLeast"/>
      <w:tabs>
        <w:tab w:val="center" w:pos="4153" w:leader="none"/>
        <w:tab w:val="right" w:pos="8306" w:leader="none"/>
      </w:tabs>
    </w:pPr>
    <w:rPr>
      <w:sz w:val="18"/>
      <w:szCs w:val="18"/>
    </w:rPr>
  </w:style>
  <w:style w:type="character" w:styleId="746" w:customStyle="1">
    <w:name w:val="Footer Char"/>
    <w:uiPriority w:val="99"/>
    <w:qFormat/>
  </w:style>
  <w:style w:type="paragraph" w:styleId="747" w:customStyle="1">
    <w:name w:val="题注1"/>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48" w:customStyle="1">
    <w:name w:val="Caption Char"/>
    <w:uiPriority w:val="99"/>
    <w:qFormat/>
  </w:style>
  <w:style w:type="table" w:styleId="7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脚注文本 字符"/>
    <w:link w:val="669"/>
    <w:uiPriority w:val="99"/>
    <w:qFormat/>
    <w:rPr>
      <w:sz w:val="18"/>
    </w:rPr>
  </w:style>
  <w:style w:type="character" w:styleId="856" w:customStyle="1">
    <w:name w:val="尾注文本 字符"/>
    <w:link w:val="662"/>
    <w:uiPriority w:val="99"/>
    <w:qFormat/>
    <w:rPr>
      <w:sz w:val="20"/>
    </w:rPr>
  </w:style>
  <w:style w:type="paragraph" w:styleId="857" w:customStyle="1">
    <w:name w:val="TOC 标题1"/>
    <w:uiPriority w:val="39"/>
    <w:unhideWhenUsed/>
    <w:qFormat/>
    <w:rPr>
      <w:rFonts w:ascii="Calibri" w:hAnsi="Calibri" w:eastAsia="宋体" w:cs="Times New Roman"/>
      <w:lang w:val="en-US" w:eastAsia="zh-CN" w:bidi="ar-SA"/>
    </w:rPr>
  </w:style>
  <w:style w:type="character" w:styleId="858" w:customStyle="1">
    <w:name w:val="标题 2 Char"/>
    <w:link w:val="718"/>
    <w:uiPriority w:val="9"/>
    <w:qFormat/>
    <w:rPr>
      <w:rFonts w:ascii="幼圆" w:hAnsi="Arial" w:eastAsia="楷体_GB2312" w:cs="Times New Roman"/>
      <w:b/>
      <w:sz w:val="24"/>
      <w:szCs w:val="20"/>
    </w:rPr>
  </w:style>
  <w:style w:type="character" w:styleId="859" w:customStyle="1">
    <w:name w:val="标题 3 Char"/>
    <w:link w:val="719"/>
    <w:uiPriority w:val="9"/>
    <w:qFormat/>
    <w:rPr>
      <w:b/>
      <w:bCs/>
      <w:sz w:val="32"/>
      <w:szCs w:val="32"/>
    </w:rPr>
  </w:style>
  <w:style w:type="character" w:styleId="860" w:customStyle="1">
    <w:name w:val="正文文本 字符"/>
    <w:link w:val="653"/>
    <w:uiPriority w:val="0"/>
    <w:qFormat/>
    <w:rPr>
      <w:rFonts w:ascii="楷体_GB2312" w:hAnsi="Arial" w:eastAsia="楷体_GB2312" w:cs="Times New Roman"/>
      <w:sz w:val="28"/>
      <w:szCs w:val="20"/>
    </w:rPr>
  </w:style>
  <w:style w:type="paragraph" w:styleId="861" w:customStyle="1">
    <w:name w:val="列表段落1"/>
    <w:basedOn w:val="634"/>
    <w:uiPriority w:val="34"/>
    <w:qFormat/>
    <w:pPr>
      <w:ind w:firstLine="420"/>
    </w:pPr>
    <w:rPr>
      <w:rFonts w:ascii="等线" w:hAnsi="等线" w:eastAsia="等线" w:cs="宋体"/>
    </w:rPr>
  </w:style>
  <w:style w:type="character" w:styleId="862" w:customStyle="1">
    <w:name w:val="正文文本缩进 字符"/>
    <w:basedOn w:val="644"/>
    <w:link w:val="654"/>
    <w:uiPriority w:val="99"/>
    <w:semiHidden/>
    <w:qFormat/>
  </w:style>
  <w:style w:type="character" w:styleId="863" w:customStyle="1">
    <w:name w:val="正文文本缩进 3 字符"/>
    <w:link w:val="671"/>
    <w:uiPriority w:val="99"/>
    <w:semiHidden/>
    <w:qFormat/>
    <w:rPr>
      <w:sz w:val="16"/>
      <w:szCs w:val="16"/>
    </w:rPr>
  </w:style>
  <w:style w:type="character" w:styleId="864" w:customStyle="1">
    <w:name w:val="日期 字符"/>
    <w:link w:val="661"/>
    <w:uiPriority w:val="0"/>
    <w:qFormat/>
    <w:rPr>
      <w:rFonts w:ascii="仿宋_GB2312" w:hAnsi="Times New Roman" w:eastAsia="仿宋_GB2312" w:cs="Times New Roman"/>
      <w:b/>
      <w:sz w:val="36"/>
      <w:szCs w:val="24"/>
    </w:rPr>
  </w:style>
  <w:style w:type="character" w:styleId="865" w:customStyle="1">
    <w:name w:val="正文缩进 字符1"/>
    <w:link w:val="649"/>
    <w:uiPriority w:val="0"/>
    <w:qFormat/>
    <w:rPr>
      <w:rFonts w:ascii="Times New Roman" w:hAnsi="Times New Roman" w:eastAsia="宋体" w:cs="Times New Roman"/>
      <w:szCs w:val="20"/>
    </w:rPr>
  </w:style>
  <w:style w:type="character" w:styleId="866" w:customStyle="1">
    <w:name w:val="htd0"/>
    <w:basedOn w:val="644"/>
    <w:uiPriority w:val="0"/>
    <w:qFormat/>
  </w:style>
  <w:style w:type="character" w:styleId="867" w:customStyle="1">
    <w:name w:val="页眉 Char"/>
    <w:link w:val="743"/>
    <w:uiPriority w:val="99"/>
    <w:qFormat/>
    <w:rPr>
      <w:sz w:val="18"/>
      <w:szCs w:val="18"/>
    </w:rPr>
  </w:style>
  <w:style w:type="character" w:styleId="868" w:customStyle="1">
    <w:name w:val="页脚 Char"/>
    <w:link w:val="745"/>
    <w:uiPriority w:val="99"/>
    <w:qFormat/>
    <w:rPr>
      <w:sz w:val="18"/>
      <w:szCs w:val="18"/>
    </w:rPr>
  </w:style>
  <w:style w:type="paragraph" w:styleId="869"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870" w:customStyle="1">
    <w:name w:val="批注框文本 字符"/>
    <w:link w:val="663"/>
    <w:uiPriority w:val="99"/>
    <w:semiHidden/>
    <w:qFormat/>
    <w:rPr>
      <w:sz w:val="18"/>
      <w:szCs w:val="18"/>
    </w:rPr>
  </w:style>
  <w:style w:type="character" w:styleId="871" w:customStyle="1">
    <w:name w:val="普通(网站) 字符"/>
    <w:link w:val="675"/>
    <w:uiPriority w:val="0"/>
    <w:qFormat/>
    <w:rPr>
      <w:rFonts w:ascii="宋体" w:hAnsi="宋体" w:eastAsia="宋体" w:cs="宋体"/>
      <w:color w:val="000000"/>
      <w:sz w:val="24"/>
      <w:szCs w:val="24"/>
    </w:rPr>
  </w:style>
  <w:style w:type="character" w:styleId="872" w:customStyle="1">
    <w:name w:val="正文缩进 Char3"/>
    <w:uiPriority w:val="0"/>
    <w:qFormat/>
    <w:rPr>
      <w:rFonts w:ascii="Times New Roman" w:hAnsi="Times New Roman" w:eastAsia="宋体" w:cs="Times New Roman"/>
      <w:szCs w:val="24"/>
    </w:rPr>
  </w:style>
  <w:style w:type="character" w:styleId="873" w:customStyle="1">
    <w:name w:val="纯文本 字符"/>
    <w:link w:val="659"/>
    <w:uiPriority w:val="0"/>
    <w:qFormat/>
    <w:rPr>
      <w:rFonts w:ascii="宋体" w:hAnsi="Courier New" w:cs="Courier New"/>
      <w:szCs w:val="21"/>
    </w:rPr>
  </w:style>
  <w:style w:type="character" w:styleId="874" w:customStyle="1">
    <w:name w:val="纯文本 Char"/>
    <w:uiPriority w:val="99"/>
    <w:semiHidden/>
    <w:qFormat/>
    <w:rPr>
      <w:rFonts w:ascii="宋体" w:hAnsi="Courier New" w:eastAsia="宋体" w:cs="Courier New"/>
      <w:szCs w:val="21"/>
    </w:rPr>
  </w:style>
  <w:style w:type="paragraph" w:styleId="875" w:customStyle="1">
    <w:name w:val="Andy_正文格式"/>
    <w:basedOn w:val="634"/>
    <w:uiPriority w:val="0"/>
    <w:qFormat/>
    <w:pPr>
      <w:ind w:firstLine="560"/>
      <w:jc w:val="left"/>
    </w:pPr>
    <w:rPr>
      <w:rFonts w:ascii="仿宋_GB2312" w:hAnsi="Times New Roman" w:eastAsia="仿宋_GB2312"/>
      <w:sz w:val="28"/>
      <w:szCs w:val="28"/>
    </w:rPr>
  </w:style>
  <w:style w:type="character" w:styleId="876" w:customStyle="1">
    <w:name w:val="p141"/>
    <w:uiPriority w:val="0"/>
    <w:qFormat/>
    <w:rPr>
      <w:rFonts w:ascii="Calibri" w:hAnsi="Calibri" w:eastAsia="宋体" w:cs="宋体"/>
      <w:sz w:val="21"/>
      <w:szCs w:val="21"/>
      <w:lang w:val="en-US" w:eastAsia="zh-CN" w:bidi="ar-SA"/>
    </w:rPr>
  </w:style>
  <w:style w:type="paragraph" w:styleId="877" w:customStyle="1">
    <w:name w:val="样式 宋体 五号 两端对齐 行距: 单倍行距"/>
    <w:basedOn w:val="634"/>
    <w:uiPriority w:val="0"/>
    <w:qFormat/>
    <w:pPr>
      <w:numPr>
        <w:ilvl w:val="0"/>
        <w:numId w:val="2"/>
      </w:numPr>
      <w:ind w:left="0" w:firstLine="0"/>
    </w:pPr>
    <w:rPr>
      <w:rFonts w:ascii="宋体" w:hAnsi="宋体" w:cs="宋体"/>
      <w:szCs w:val="20"/>
    </w:rPr>
  </w:style>
  <w:style w:type="paragraph" w:styleId="878" w:customStyle="1">
    <w:name w:val="样式1"/>
    <w:basedOn w:val="634"/>
    <w:uiPriority w:val="0"/>
    <w:qFormat/>
    <w:pPr>
      <w:numPr>
        <w:ilvl w:val="1"/>
        <w:numId w:val="3"/>
      </w:numPr>
    </w:pPr>
    <w:rPr>
      <w:rFonts w:ascii="宋体" w:hAnsi="宋体"/>
      <w:szCs w:val="21"/>
    </w:rPr>
  </w:style>
  <w:style w:type="paragraph" w:styleId="879" w:customStyle="1">
    <w:name w:val="Char"/>
    <w:basedOn w:val="634"/>
    <w:uiPriority w:val="0"/>
    <w:qFormat/>
    <w:pPr>
      <w:ind w:firstLine="200"/>
      <w:tabs>
        <w:tab w:val="left" w:pos="360" w:leader="none"/>
      </w:tabs>
    </w:pPr>
    <w:rPr>
      <w:rFonts w:ascii="Times New Roman" w:hAnsi="Times New Roman"/>
      <w:sz w:val="28"/>
      <w:szCs w:val="30"/>
    </w:rPr>
  </w:style>
  <w:style w:type="paragraph" w:styleId="880" w:customStyle="1">
    <w:name w:val="列出段落3"/>
    <w:basedOn w:val="634"/>
    <w:uiPriority w:val="99"/>
    <w:qFormat/>
    <w:pPr>
      <w:ind w:firstLine="420"/>
    </w:pPr>
  </w:style>
  <w:style w:type="paragraph" w:styleId="881" w:customStyle="1">
    <w:name w:val="列出段落1"/>
    <w:basedOn w:val="634"/>
    <w:uiPriority w:val="0"/>
    <w:qFormat/>
    <w:pPr>
      <w:ind w:firstLine="420"/>
    </w:pPr>
    <w:rPr>
      <w:rFonts w:ascii="Times New Roman" w:hAnsi="Times New Roman"/>
      <w:szCs w:val="24"/>
    </w:rPr>
  </w:style>
  <w:style w:type="paragraph" w:styleId="88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883" w:customStyle="1">
    <w:name w:val="标题 7 Char"/>
    <w:link w:val="723"/>
    <w:uiPriority w:val="9"/>
    <w:semiHidden/>
    <w:qFormat/>
    <w:rPr>
      <w:b/>
      <w:bCs/>
      <w:sz w:val="24"/>
      <w:szCs w:val="24"/>
    </w:rPr>
  </w:style>
  <w:style w:type="character" w:styleId="884" w:customStyle="1">
    <w:name w:val="标题 1 Char"/>
    <w:link w:val="717"/>
    <w:uiPriority w:val="9"/>
    <w:qFormat/>
    <w:rPr>
      <w:b/>
      <w:bCs/>
      <w:sz w:val="44"/>
      <w:szCs w:val="44"/>
    </w:rPr>
  </w:style>
  <w:style w:type="paragraph" w:styleId="885" w:customStyle="1">
    <w:name w:val="TOC 标题11"/>
    <w:basedOn w:val="717"/>
    <w:next w:val="634"/>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886" w:customStyle="1">
    <w:name w:val="纯文本_0"/>
    <w:basedOn w:val="887"/>
    <w:link w:val="889"/>
    <w:uiPriority w:val="0"/>
    <w:qFormat/>
    <w:pPr>
      <w:spacing w:line="460" w:lineRule="exact"/>
    </w:pPr>
    <w:rPr>
      <w:rFonts w:hint="eastAsia" w:ascii="宋体" w:hAnsi="Courier New"/>
      <w:szCs w:val="21"/>
    </w:rPr>
  </w:style>
  <w:style w:type="paragraph" w:styleId="887" w:customStyle="1">
    <w:name w:val="正文_0"/>
    <w:basedOn w:val="888"/>
    <w:uiPriority w:val="0"/>
    <w:qFormat/>
    <w:rPr>
      <w:rFonts w:ascii="Calibri" w:hAnsi="Calibri" w:eastAsia="宋体" w:cs="Times New Roman"/>
    </w:rPr>
  </w:style>
  <w:style w:type="paragraph" w:styleId="888" w:customStyle="1">
    <w:name w:val="正文_1"/>
    <w:uiPriority w:val="0"/>
    <w:qFormat/>
    <w:pPr>
      <w:jc w:val="both"/>
      <w:widowControl w:val="off"/>
    </w:pPr>
    <w:rPr>
      <w:rFonts w:ascii="等线" w:hAnsi="等线" w:eastAsia="等线" w:cs="等线"/>
      <w:sz w:val="21"/>
      <w:szCs w:val="22"/>
      <w:lang w:val="en-US" w:eastAsia="zh-CN" w:bidi="ar-SA"/>
    </w:rPr>
  </w:style>
  <w:style w:type="character" w:styleId="889" w:customStyle="1">
    <w:name w:val="纯文本 Char_0"/>
    <w:link w:val="886"/>
    <w:uiPriority w:val="0"/>
    <w:qFormat/>
    <w:rPr>
      <w:rFonts w:hint="eastAsia" w:ascii="宋体" w:hAnsi="Courier New" w:eastAsia="宋体" w:cs="Times New Roman"/>
      <w:szCs w:val="21"/>
    </w:rPr>
  </w:style>
  <w:style w:type="paragraph" w:styleId="890" w:customStyle="1">
    <w:name w:val="正文缩进_0"/>
    <w:basedOn w:val="888"/>
    <w:link w:val="891"/>
    <w:uiPriority w:val="99"/>
    <w:unhideWhenUsed/>
    <w:qFormat/>
    <w:pPr>
      <w:ind w:firstLine="420"/>
    </w:pPr>
    <w:rPr>
      <w:rFonts w:ascii="Times New Roman" w:hAnsi="Times New Roman" w:eastAsia="宋体" w:cs="Times New Roman"/>
      <w:szCs w:val="24"/>
    </w:rPr>
  </w:style>
  <w:style w:type="character" w:styleId="891" w:customStyle="1">
    <w:name w:val="正文缩进 字符"/>
    <w:link w:val="890"/>
    <w:uiPriority w:val="0"/>
    <w:qFormat/>
    <w:rPr>
      <w:rFonts w:ascii="Times New Roman" w:hAnsi="Times New Roman" w:eastAsia="宋体" w:cs="Times New Roman"/>
      <w:szCs w:val="24"/>
    </w:rPr>
  </w:style>
  <w:style w:type="paragraph" w:styleId="892" w:customStyle="1">
    <w:name w:val="正文文本缩进_0"/>
    <w:basedOn w:val="887"/>
    <w:link w:val="893"/>
    <w:uiPriority w:val="0"/>
    <w:qFormat/>
    <w:pPr>
      <w:ind w:left="420"/>
      <w:spacing w:after="120" w:line="460" w:lineRule="exact"/>
    </w:pPr>
    <w:rPr>
      <w:szCs w:val="21"/>
    </w:rPr>
  </w:style>
  <w:style w:type="character" w:styleId="893" w:customStyle="1">
    <w:name w:val="正文文本缩进 Char_0"/>
    <w:link w:val="892"/>
    <w:uiPriority w:val="0"/>
    <w:qFormat/>
    <w:rPr>
      <w:rFonts w:ascii="Calibri" w:hAnsi="Calibri" w:eastAsia="宋体" w:cs="Times New Roman"/>
      <w:szCs w:val="21"/>
    </w:rPr>
  </w:style>
  <w:style w:type="paragraph" w:styleId="894" w:customStyle="1">
    <w:name w:val="正文文本_0"/>
    <w:basedOn w:val="887"/>
    <w:link w:val="895"/>
    <w:uiPriority w:val="0"/>
    <w:qFormat/>
    <w:pPr>
      <w:spacing w:line="460" w:lineRule="exact"/>
    </w:pPr>
    <w:rPr>
      <w:rFonts w:hint="eastAsia" w:ascii="楷体_GB2312" w:hAnsi="Arial" w:eastAsia="楷体_GB2312"/>
      <w:sz w:val="28"/>
      <w:szCs w:val="28"/>
    </w:rPr>
  </w:style>
  <w:style w:type="character" w:styleId="895" w:customStyle="1">
    <w:name w:val="正文文本 Char_0"/>
    <w:link w:val="894"/>
    <w:uiPriority w:val="0"/>
    <w:qFormat/>
    <w:rPr>
      <w:rFonts w:hint="eastAsia" w:ascii="楷体_GB2312" w:hAnsi="Arial" w:eastAsia="楷体_GB2312" w:cs="Times New Roman"/>
      <w:sz w:val="28"/>
      <w:szCs w:val="28"/>
    </w:rPr>
  </w:style>
  <w:style w:type="character" w:styleId="896" w:customStyle="1">
    <w:name w:val="titlebody"/>
    <w:uiPriority w:val="0"/>
    <w:qFormat/>
    <w:rPr>
      <w:rFonts w:ascii="宋体" w:hAnsi="宋体" w:eastAsia="宋体" w:cs="宋体"/>
      <w:b/>
      <w:bCs/>
      <w:color w:val="000000"/>
      <w:sz w:val="24"/>
      <w:szCs w:val="24"/>
    </w:rPr>
  </w:style>
  <w:style w:type="paragraph" w:styleId="897" w:customStyle="1">
    <w:name w:val="Normal_0"/>
    <w:uiPriority w:val="0"/>
    <w:qFormat/>
    <w:rPr>
      <w:rFonts w:ascii="Times New Roman" w:hAnsi="Times New Roman" w:eastAsia="Times New Roman" w:cs="Times New Roman"/>
      <w:sz w:val="24"/>
      <w:szCs w:val="24"/>
      <w:lang w:val="en-US" w:eastAsia="zh-CN" w:bidi="ar-SA"/>
    </w:rPr>
  </w:style>
  <w:style w:type="paragraph" w:styleId="898" w:customStyle="1">
    <w:name w:val="Normal_1"/>
    <w:uiPriority w:val="0"/>
    <w:qFormat/>
    <w:rPr>
      <w:rFonts w:ascii="Times New Roman" w:hAnsi="Times New Roman" w:eastAsia="Times New Roman" w:cs="Times New Roman"/>
      <w:sz w:val="24"/>
      <w:szCs w:val="24"/>
      <w:lang w:val="en-US" w:eastAsia="zh-CN" w:bidi="ar-SA"/>
    </w:rPr>
  </w:style>
  <w:style w:type="paragraph" w:styleId="899" w:customStyle="1">
    <w:name w:val="Normal_2"/>
    <w:uiPriority w:val="0"/>
    <w:qFormat/>
    <w:rPr>
      <w:rFonts w:ascii="Times New Roman" w:hAnsi="Times New Roman" w:eastAsia="Times New Roman" w:cs="Times New Roman"/>
      <w:sz w:val="24"/>
      <w:szCs w:val="24"/>
      <w:lang w:val="en-US" w:eastAsia="zh-CN" w:bidi="ar-SA"/>
    </w:rPr>
  </w:style>
  <w:style w:type="paragraph" w:styleId="900" w:customStyle="1">
    <w:name w:val="Normal_3"/>
    <w:uiPriority w:val="0"/>
    <w:qFormat/>
    <w:rPr>
      <w:rFonts w:ascii="Times New Roman" w:hAnsi="Times New Roman" w:eastAsia="Times New Roman" w:cs="Times New Roman"/>
      <w:sz w:val="24"/>
      <w:szCs w:val="24"/>
      <w:lang w:val="en-US" w:eastAsia="zh-CN" w:bidi="ar-SA"/>
    </w:rPr>
  </w:style>
  <w:style w:type="paragraph" w:styleId="901" w:customStyle="1">
    <w:name w:val="Normal_4"/>
    <w:uiPriority w:val="0"/>
    <w:qFormat/>
    <w:rPr>
      <w:rFonts w:ascii="Times New Roman" w:hAnsi="Times New Roman" w:eastAsia="Times New Roman" w:cs="Times New Roman"/>
      <w:sz w:val="24"/>
      <w:szCs w:val="24"/>
      <w:lang w:val="en-US" w:eastAsia="zh-CN" w:bidi="ar-SA"/>
    </w:rPr>
  </w:style>
  <w:style w:type="paragraph" w:styleId="902" w:customStyle="1">
    <w:name w:val="Normal_5"/>
    <w:uiPriority w:val="0"/>
    <w:qFormat/>
    <w:rPr>
      <w:rFonts w:ascii="Times New Roman" w:hAnsi="Times New Roman" w:eastAsia="Times New Roman" w:cs="Times New Roman"/>
      <w:sz w:val="24"/>
      <w:szCs w:val="24"/>
      <w:lang w:val="en-US" w:eastAsia="zh-CN" w:bidi="ar-SA"/>
    </w:rPr>
  </w:style>
  <w:style w:type="paragraph" w:styleId="903" w:customStyle="1">
    <w:name w:val="Normal_6"/>
    <w:uiPriority w:val="0"/>
    <w:qFormat/>
    <w:rPr>
      <w:rFonts w:ascii="Times New Roman" w:hAnsi="Times New Roman" w:eastAsia="Times New Roman" w:cs="Times New Roman"/>
      <w:sz w:val="24"/>
      <w:szCs w:val="24"/>
      <w:lang w:val="en-US" w:eastAsia="zh-CN" w:bidi="ar-SA"/>
    </w:rPr>
  </w:style>
  <w:style w:type="paragraph" w:styleId="904" w:customStyle="1">
    <w:name w:val="Normal_0_0"/>
    <w:uiPriority w:val="0"/>
    <w:qFormat/>
    <w:rPr>
      <w:rFonts w:ascii="Times New Roman" w:hAnsi="Times New Roman" w:eastAsia="Times New Roman" w:cs="Times New Roman"/>
      <w:sz w:val="24"/>
      <w:szCs w:val="24"/>
      <w:lang w:val="en-US" w:eastAsia="zh-CN" w:bidi="ar-SA"/>
    </w:rPr>
  </w:style>
  <w:style w:type="paragraph" w:styleId="905" w:customStyle="1">
    <w:name w:val="Normal_1_0"/>
    <w:uiPriority w:val="0"/>
    <w:qFormat/>
    <w:rPr>
      <w:rFonts w:ascii="Times New Roman" w:hAnsi="Times New Roman" w:eastAsia="Times New Roman" w:cs="Times New Roman"/>
      <w:sz w:val="24"/>
      <w:szCs w:val="24"/>
      <w:lang w:val="en-US" w:eastAsia="zh-CN" w:bidi="ar-SA"/>
    </w:rPr>
  </w:style>
  <w:style w:type="paragraph" w:styleId="906" w:customStyle="1">
    <w:name w:val="Normal_2_0"/>
    <w:uiPriority w:val="0"/>
    <w:qFormat/>
    <w:rPr>
      <w:rFonts w:ascii="Times New Roman" w:hAnsi="Times New Roman" w:eastAsia="Times New Roman" w:cs="Times New Roman"/>
      <w:sz w:val="24"/>
      <w:szCs w:val="24"/>
      <w:lang w:val="en-US" w:eastAsia="zh-CN" w:bidi="ar-SA"/>
    </w:rPr>
  </w:style>
  <w:style w:type="paragraph" w:styleId="907" w:customStyle="1">
    <w:name w:val="Normal_3_0"/>
    <w:uiPriority w:val="0"/>
    <w:qFormat/>
    <w:rPr>
      <w:rFonts w:ascii="Times New Roman" w:hAnsi="Times New Roman" w:eastAsia="Times New Roman" w:cs="Times New Roman"/>
      <w:sz w:val="24"/>
      <w:szCs w:val="24"/>
      <w:lang w:val="en-US" w:eastAsia="zh-CN" w:bidi="ar-SA"/>
    </w:rPr>
  </w:style>
  <w:style w:type="paragraph" w:styleId="908" w:customStyle="1">
    <w:name w:val="Normal_4_0"/>
    <w:uiPriority w:val="0"/>
    <w:qFormat/>
    <w:rPr>
      <w:rFonts w:ascii="Times New Roman" w:hAnsi="Times New Roman" w:eastAsia="Times New Roman" w:cs="Times New Roman"/>
      <w:sz w:val="24"/>
      <w:szCs w:val="24"/>
      <w:lang w:val="en-US" w:eastAsia="zh-CN" w:bidi="ar-SA"/>
    </w:rPr>
  </w:style>
  <w:style w:type="paragraph" w:styleId="909" w:customStyle="1">
    <w:name w:val="正文_1_0"/>
    <w:basedOn w:val="910"/>
    <w:uiPriority w:val="0"/>
    <w:qFormat/>
    <w:rPr>
      <w:rFonts w:cs="Times New Roman"/>
    </w:rPr>
  </w:style>
  <w:style w:type="paragraph" w:styleId="910" w:customStyle="1">
    <w:name w:val="正文_2"/>
    <w:uiPriority w:val="0"/>
    <w:qFormat/>
    <w:pPr>
      <w:jc w:val="both"/>
      <w:widowControl w:val="off"/>
    </w:pPr>
    <w:rPr>
      <w:rFonts w:ascii="Calibri" w:hAnsi="Calibri" w:eastAsia="宋体" w:cs="Calibri"/>
      <w:sz w:val="21"/>
      <w:szCs w:val="22"/>
      <w:lang w:val="en-US" w:eastAsia="zh-CN" w:bidi="ar-SA"/>
    </w:rPr>
  </w:style>
  <w:style w:type="paragraph" w:styleId="911" w:customStyle="1">
    <w:name w:val="正文_1_0_0"/>
    <w:basedOn w:val="910"/>
    <w:uiPriority w:val="0"/>
    <w:qFormat/>
    <w:rPr>
      <w:rFonts w:cs="Times New Roman"/>
    </w:rPr>
  </w:style>
  <w:style w:type="paragraph" w:styleId="912" w:customStyle="1">
    <w:name w:val="Normal_5_0"/>
    <w:uiPriority w:val="0"/>
    <w:qFormat/>
    <w:rPr>
      <w:rFonts w:ascii="Times New Roman" w:hAnsi="Times New Roman" w:eastAsia="Times New Roman" w:cs="Times New Roman"/>
      <w:sz w:val="24"/>
      <w:szCs w:val="24"/>
      <w:lang w:val="en-US" w:eastAsia="zh-CN" w:bidi="ar-SA"/>
    </w:rPr>
  </w:style>
  <w:style w:type="paragraph" w:styleId="913" w:customStyle="1">
    <w:name w:val="正文_0_0"/>
    <w:basedOn w:val="914"/>
    <w:uiPriority w:val="0"/>
    <w:qFormat/>
    <w:rPr>
      <w:rFonts w:cs="Times New Roman"/>
    </w:rPr>
  </w:style>
  <w:style w:type="paragraph" w:styleId="914" w:customStyle="1">
    <w:name w:val="正文_0_1"/>
    <w:uiPriority w:val="0"/>
    <w:qFormat/>
    <w:pPr>
      <w:jc w:val="both"/>
      <w:widowControl w:val="off"/>
    </w:pPr>
    <w:rPr>
      <w:rFonts w:ascii="Calibri" w:hAnsi="Calibri" w:eastAsia="宋体" w:cs="Calibri"/>
      <w:sz w:val="21"/>
      <w:szCs w:val="22"/>
      <w:lang w:val="en-US" w:eastAsia="zh-CN" w:bidi="ar-SA"/>
    </w:rPr>
  </w:style>
  <w:style w:type="paragraph" w:styleId="915" w:customStyle="1">
    <w:name w:val="Normal_6_0"/>
    <w:uiPriority w:val="0"/>
    <w:qFormat/>
    <w:rPr>
      <w:rFonts w:ascii="Times New Roman" w:hAnsi="Times New Roman" w:eastAsia="Times New Roman" w:cs="Times New Roman"/>
      <w:sz w:val="24"/>
      <w:szCs w:val="24"/>
      <w:lang w:val="en-US" w:eastAsia="zh-CN" w:bidi="ar-SA"/>
    </w:rPr>
  </w:style>
  <w:style w:type="paragraph" w:styleId="916" w:customStyle="1">
    <w:name w:val="正文_0_0_0"/>
    <w:basedOn w:val="917"/>
    <w:uiPriority w:val="0"/>
    <w:qFormat/>
    <w:rPr>
      <w:rFonts w:cs="Times New Roman"/>
    </w:rPr>
  </w:style>
  <w:style w:type="paragraph" w:styleId="917" w:customStyle="1">
    <w:name w:val="正文_2_0"/>
    <w:uiPriority w:val="0"/>
    <w:qFormat/>
    <w:pPr>
      <w:jc w:val="both"/>
      <w:widowControl w:val="off"/>
    </w:pPr>
    <w:rPr>
      <w:rFonts w:ascii="Calibri" w:hAnsi="Calibri" w:eastAsia="宋体" w:cs="Calibri"/>
      <w:sz w:val="21"/>
      <w:szCs w:val="22"/>
      <w:lang w:val="en-US" w:eastAsia="zh-CN" w:bidi="ar-SA"/>
    </w:rPr>
  </w:style>
  <w:style w:type="paragraph" w:styleId="918" w:customStyle="1">
    <w:name w:val="Normal_7"/>
    <w:uiPriority w:val="0"/>
    <w:qFormat/>
    <w:rPr>
      <w:rFonts w:ascii="Times New Roman" w:hAnsi="Times New Roman" w:eastAsia="Times New Roman" w:cs="Times New Roman"/>
      <w:sz w:val="24"/>
      <w:szCs w:val="24"/>
      <w:lang w:val="en-US" w:eastAsia="zh-CN" w:bidi="ar-SA"/>
    </w:rPr>
  </w:style>
  <w:style w:type="paragraph" w:styleId="919" w:customStyle="1">
    <w:name w:val="正文_0_0_1"/>
    <w:basedOn w:val="920"/>
    <w:uiPriority w:val="0"/>
    <w:qFormat/>
    <w:rPr>
      <w:rFonts w:cs="Times New Roman"/>
    </w:rPr>
  </w:style>
  <w:style w:type="paragraph" w:styleId="920" w:customStyle="1">
    <w:name w:val="正文_3"/>
    <w:uiPriority w:val="0"/>
    <w:qFormat/>
    <w:pPr>
      <w:jc w:val="both"/>
      <w:widowControl w:val="off"/>
    </w:pPr>
    <w:rPr>
      <w:rFonts w:ascii="Calibri" w:hAnsi="Calibri" w:eastAsia="宋体" w:cs="Calibri"/>
      <w:sz w:val="21"/>
      <w:szCs w:val="22"/>
      <w:lang w:val="en-US" w:eastAsia="zh-CN" w:bidi="ar-SA"/>
    </w:rPr>
  </w:style>
  <w:style w:type="paragraph" w:styleId="921" w:customStyle="1">
    <w:name w:val="Normal_8"/>
    <w:uiPriority w:val="0"/>
    <w:qFormat/>
    <w:rPr>
      <w:rFonts w:ascii="Times New Roman" w:hAnsi="Times New Roman" w:eastAsia="Times New Roman" w:cs="Times New Roman"/>
      <w:sz w:val="24"/>
      <w:szCs w:val="24"/>
      <w:lang w:val="en-US" w:eastAsia="zh-CN" w:bidi="ar-SA"/>
    </w:rPr>
  </w:style>
  <w:style w:type="paragraph" w:styleId="92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23" w:customStyle="1">
    <w:name w:val="Normal_9"/>
    <w:uiPriority w:val="0"/>
    <w:qFormat/>
    <w:rPr>
      <w:rFonts w:ascii="Times New Roman" w:hAnsi="Times New Roman" w:eastAsia="Times New Roman" w:cs="Times New Roman"/>
      <w:sz w:val="24"/>
      <w:szCs w:val="24"/>
      <w:lang w:val="en-US" w:eastAsia="zh-CN" w:bidi="ar-SA"/>
    </w:rPr>
  </w:style>
  <w:style w:type="paragraph" w:styleId="924"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925" w:customStyle="1">
    <w:name w:val="Normal_10"/>
    <w:uiPriority w:val="0"/>
    <w:qFormat/>
    <w:rPr>
      <w:rFonts w:ascii="Times New Roman" w:hAnsi="Times New Roman" w:eastAsia="Times New Roman" w:cs="Times New Roman"/>
      <w:sz w:val="24"/>
      <w:szCs w:val="24"/>
      <w:lang w:val="en-US" w:eastAsia="zh-CN" w:bidi="ar-SA"/>
    </w:rPr>
  </w:style>
  <w:style w:type="character" w:styleId="926" w:customStyle="1">
    <w:name w:val="批注文字 字符"/>
    <w:link w:val="651"/>
    <w:uiPriority w:val="99"/>
    <w:qFormat/>
    <w:rPr>
      <w:rFonts w:ascii="Times New Roman" w:hAnsi="Times New Roman"/>
      <w:sz w:val="24"/>
      <w:szCs w:val="24"/>
    </w:rPr>
  </w:style>
  <w:style w:type="paragraph" w:styleId="927" w:customStyle="1">
    <w:name w:val="Normal_12"/>
    <w:uiPriority w:val="0"/>
    <w:qFormat/>
    <w:rPr>
      <w:rFonts w:ascii="Times New Roman" w:hAnsi="Times New Roman" w:eastAsia="Times New Roman" w:cs="Times New Roman"/>
      <w:sz w:val="24"/>
      <w:szCs w:val="24"/>
      <w:lang w:val="en-US" w:eastAsia="zh-CN" w:bidi="ar-SA"/>
    </w:rPr>
  </w:style>
  <w:style w:type="paragraph" w:styleId="928" w:customStyle="1">
    <w:name w:val="Normal_13"/>
    <w:uiPriority w:val="0"/>
    <w:qFormat/>
    <w:rPr>
      <w:rFonts w:ascii="Times New Roman" w:hAnsi="Times New Roman" w:eastAsia="Times New Roman" w:cs="Times New Roman"/>
      <w:sz w:val="24"/>
      <w:szCs w:val="24"/>
      <w:lang w:val="en-US" w:eastAsia="zh-CN" w:bidi="ar-SA"/>
    </w:rPr>
  </w:style>
  <w:style w:type="paragraph" w:styleId="929" w:customStyle="1">
    <w:name w:val="Normal_14"/>
    <w:uiPriority w:val="0"/>
    <w:qFormat/>
    <w:rPr>
      <w:rFonts w:ascii="Times New Roman" w:hAnsi="Times New Roman" w:eastAsia="Times New Roman" w:cs="Times New Roman"/>
      <w:sz w:val="24"/>
      <w:szCs w:val="24"/>
      <w:lang w:val="en-US" w:eastAsia="zh-CN" w:bidi="ar-SA"/>
    </w:rPr>
  </w:style>
  <w:style w:type="paragraph" w:styleId="930" w:customStyle="1">
    <w:name w:val="Normal_16"/>
    <w:basedOn w:val="931"/>
    <w:uiPriority w:val="0"/>
    <w:qFormat/>
    <w:rPr>
      <w:lang w:bidi="en-US"/>
    </w:rPr>
  </w:style>
  <w:style w:type="paragraph" w:styleId="931" w:customStyle="1">
    <w:name w:val="Normal_15"/>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Normal_17"/>
    <w:uiPriority w:val="0"/>
    <w:qFormat/>
    <w:rPr>
      <w:rFonts w:ascii="Times New Roman" w:hAnsi="Times New Roman" w:eastAsia="Times New Roman" w:cs="Times New Roman"/>
      <w:sz w:val="24"/>
      <w:szCs w:val="24"/>
      <w:lang w:val="en-US" w:eastAsia="zh-CN" w:bidi="ar-SA"/>
    </w:rPr>
  </w:style>
  <w:style w:type="paragraph" w:styleId="933" w:customStyle="1">
    <w:name w:val="Normal_18"/>
    <w:uiPriority w:val="0"/>
    <w:qFormat/>
    <w:rPr>
      <w:rFonts w:ascii="Times New Roman" w:hAnsi="Times New Roman" w:eastAsia="Times New Roman" w:cs="Times New Roman"/>
      <w:sz w:val="24"/>
      <w:szCs w:val="24"/>
      <w:lang w:val="en-US" w:eastAsia="zh-CN" w:bidi="ar-SA"/>
    </w:rPr>
  </w:style>
  <w:style w:type="paragraph" w:styleId="934" w:customStyle="1">
    <w:name w:val="正文_6"/>
    <w:uiPriority w:val="0"/>
    <w:qFormat/>
    <w:pPr>
      <w:jc w:val="both"/>
      <w:widowControl w:val="off"/>
    </w:pPr>
    <w:rPr>
      <w:rFonts w:ascii="Calibri" w:hAnsi="Calibri" w:eastAsia="宋体" w:cs="Calibri"/>
      <w:sz w:val="21"/>
      <w:szCs w:val="22"/>
      <w:lang w:val="en-US" w:eastAsia="zh-CN" w:bidi="ar-SA"/>
    </w:rPr>
  </w:style>
  <w:style w:type="paragraph" w:styleId="935" w:customStyle="1">
    <w:name w:val="Normal_19"/>
    <w:uiPriority w:val="0"/>
    <w:qFormat/>
    <w:rPr>
      <w:rFonts w:ascii="Times New Roman" w:hAnsi="Times New Roman" w:eastAsia="Times New Roman" w:cs="Times New Roman"/>
      <w:sz w:val="24"/>
      <w:szCs w:val="24"/>
      <w:lang w:val="en-US" w:eastAsia="zh-CN" w:bidi="ar-SA"/>
    </w:rPr>
  </w:style>
  <w:style w:type="paragraph" w:styleId="936" w:customStyle="1">
    <w:name w:val="正文文本_1"/>
    <w:basedOn w:val="937"/>
    <w:link w:val="939"/>
    <w:uiPriority w:val="0"/>
    <w:qFormat/>
    <w:pPr>
      <w:spacing w:line="460" w:lineRule="exact"/>
    </w:pPr>
    <w:rPr>
      <w:rFonts w:hint="eastAsia" w:ascii="楷体_GB2312" w:hAnsi="Arial" w:eastAsia="楷体_GB2312"/>
      <w:sz w:val="28"/>
      <w:szCs w:val="28"/>
    </w:rPr>
  </w:style>
  <w:style w:type="paragraph" w:styleId="937" w:customStyle="1">
    <w:name w:val="正文_6_0"/>
    <w:basedOn w:val="938"/>
    <w:uiPriority w:val="0"/>
    <w:qFormat/>
    <w:rPr>
      <w:rFonts w:cs="Times New Roman"/>
    </w:rPr>
  </w:style>
  <w:style w:type="paragraph" w:styleId="938" w:customStyle="1">
    <w:name w:val="正文_7"/>
    <w:uiPriority w:val="0"/>
    <w:qFormat/>
    <w:pPr>
      <w:jc w:val="both"/>
      <w:widowControl w:val="off"/>
    </w:pPr>
    <w:rPr>
      <w:rFonts w:ascii="Calibri" w:hAnsi="Calibri" w:eastAsia="宋体" w:cs="Calibri"/>
      <w:sz w:val="21"/>
      <w:szCs w:val="22"/>
      <w:lang w:val="en-US" w:eastAsia="zh-CN" w:bidi="ar-SA"/>
    </w:rPr>
  </w:style>
  <w:style w:type="character" w:styleId="939" w:customStyle="1">
    <w:name w:val="正文文本 Char_1"/>
    <w:link w:val="936"/>
    <w:uiPriority w:val="0"/>
    <w:qFormat/>
    <w:rPr>
      <w:rFonts w:hint="eastAsia" w:ascii="楷体_GB2312" w:hAnsi="Arial" w:eastAsia="楷体_GB2312" w:cs="楷体_GB2312"/>
      <w:sz w:val="28"/>
      <w:szCs w:val="28"/>
    </w:rPr>
  </w:style>
  <w:style w:type="paragraph" w:styleId="940" w:customStyle="1">
    <w:name w:val="Normal_20"/>
    <w:uiPriority w:val="0"/>
    <w:qFormat/>
    <w:rPr>
      <w:rFonts w:ascii="Times New Roman" w:hAnsi="Times New Roman" w:eastAsia="Times New Roman" w:cs="Times New Roman"/>
      <w:sz w:val="24"/>
      <w:szCs w:val="24"/>
      <w:lang w:val="en-US" w:eastAsia="zh-CN" w:bidi="ar-SA"/>
    </w:rPr>
  </w:style>
  <w:style w:type="paragraph" w:styleId="941" w:customStyle="1">
    <w:name w:val="Normal_21"/>
    <w:uiPriority w:val="0"/>
    <w:qFormat/>
    <w:rPr>
      <w:rFonts w:ascii="Times New Roman" w:hAnsi="Times New Roman" w:eastAsia="Times New Roman" w:cs="Times New Roman"/>
      <w:sz w:val="24"/>
      <w:szCs w:val="24"/>
      <w:lang w:val="en-US" w:eastAsia="zh-CN" w:bidi="ar-SA"/>
    </w:rPr>
  </w:style>
  <w:style w:type="paragraph" w:styleId="942" w:customStyle="1">
    <w:name w:val="Normal_22"/>
    <w:uiPriority w:val="0"/>
    <w:qFormat/>
    <w:rPr>
      <w:rFonts w:ascii="Times New Roman" w:hAnsi="Times New Roman" w:eastAsia="Times New Roman" w:cs="Times New Roman"/>
      <w:sz w:val="24"/>
      <w:szCs w:val="24"/>
      <w:lang w:val="en-US" w:eastAsia="zh-CN" w:bidi="ar-SA"/>
    </w:rPr>
  </w:style>
  <w:style w:type="paragraph" w:styleId="94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944" w:customStyle="1">
    <w:name w:val="Normal_23"/>
    <w:uiPriority w:val="0"/>
    <w:qFormat/>
    <w:rPr>
      <w:rFonts w:ascii="Times New Roman" w:hAnsi="Times New Roman" w:eastAsia="Times New Roman" w:cs="Times New Roman"/>
      <w:sz w:val="24"/>
      <w:szCs w:val="24"/>
      <w:lang w:val="en-US" w:eastAsia="zh-CN" w:bidi="ar-SA"/>
    </w:rPr>
  </w:style>
  <w:style w:type="paragraph" w:styleId="945" w:customStyle="1">
    <w:name w:val="Normal_24"/>
    <w:uiPriority w:val="0"/>
    <w:qFormat/>
    <w:rPr>
      <w:rFonts w:ascii="Times New Roman" w:hAnsi="Times New Roman" w:eastAsia="Times New Roman" w:cs="Times New Roman"/>
      <w:sz w:val="24"/>
      <w:szCs w:val="24"/>
      <w:lang w:val="en-US" w:eastAsia="zh-CN" w:bidi="ar-SA"/>
    </w:rPr>
  </w:style>
  <w:style w:type="paragraph" w:styleId="946" w:customStyle="1">
    <w:name w:val="正文_12"/>
    <w:basedOn w:val="947"/>
    <w:uiPriority w:val="0"/>
    <w:qFormat/>
    <w:rPr>
      <w:rFonts w:cs="Times New Roman"/>
    </w:rPr>
  </w:style>
  <w:style w:type="paragraph" w:styleId="947" w:customStyle="1">
    <w:name w:val="正文_9"/>
    <w:uiPriority w:val="0"/>
    <w:qFormat/>
    <w:pPr>
      <w:jc w:val="both"/>
      <w:widowControl w:val="off"/>
    </w:pPr>
    <w:rPr>
      <w:rFonts w:ascii="Calibri" w:hAnsi="Calibri" w:eastAsia="宋体" w:cs="Calibri"/>
      <w:sz w:val="21"/>
      <w:szCs w:val="22"/>
      <w:lang w:val="en-US" w:eastAsia="zh-CN" w:bidi="ar-SA"/>
    </w:rPr>
  </w:style>
  <w:style w:type="character" w:styleId="948" w:customStyle="1">
    <w:name w:val="超链接_0"/>
    <w:uiPriority w:val="99"/>
    <w:unhideWhenUsed/>
    <w:qFormat/>
    <w:rPr>
      <w:rFonts w:ascii="Calibri" w:hAnsi="Calibri" w:eastAsia="宋体" w:cs="Calibri"/>
      <w:color w:val="0000ff"/>
      <w:u w:val="single"/>
    </w:rPr>
  </w:style>
  <w:style w:type="paragraph" w:styleId="949" w:customStyle="1">
    <w:name w:val="Normal_25"/>
    <w:uiPriority w:val="0"/>
    <w:qFormat/>
    <w:rPr>
      <w:rFonts w:ascii="Times New Roman" w:hAnsi="Times New Roman" w:eastAsia="Times New Roman" w:cs="Times New Roman"/>
      <w:sz w:val="24"/>
      <w:szCs w:val="24"/>
      <w:lang w:val="en-US" w:eastAsia="zh-CN" w:bidi="ar-SA"/>
    </w:rPr>
  </w:style>
  <w:style w:type="paragraph" w:styleId="950"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95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table" w:styleId="952" w:customStyle="1">
    <w:name w:val="网格型1"/>
    <w:basedOn w:val="645"/>
    <w:uiPriority w:val="39"/>
    <w:qFormat/>
    <w:rPr>
      <w:rFonts w:ascii="等线" w:hAnsi="等线" w:eastAsia="等线"/>
      <w:sz w:val="21"/>
      <w:szCs w:val="22"/>
    </w:rPr>
    <w:tblPr/>
  </w:style>
  <w:style w:type="table" w:styleId="953" w:customStyle="1">
    <w:name w:val="网格型2"/>
    <w:basedOn w:val="645"/>
    <w:uiPriority w:val="39"/>
    <w:qFormat/>
    <w:rPr>
      <w:rFonts w:ascii="等线" w:hAnsi="等线" w:eastAsia="等线"/>
      <w:sz w:val="21"/>
      <w:szCs w:val="22"/>
    </w:rPr>
    <w:tblPr/>
  </w:style>
  <w:style w:type="character" w:styleId="954" w:customStyle="1">
    <w:name w:val="custom-tag-placeholder-class"/>
    <w:uiPriority w:val="0"/>
    <w:qFormat/>
  </w:style>
  <w:style w:type="character" w:styleId="955" w:customStyle="1">
    <w:name w:val="页眉 字符"/>
    <w:basedOn w:val="644"/>
    <w:link w:val="665"/>
    <w:uiPriority w:val="99"/>
    <w:semiHidden/>
    <w:qFormat/>
    <w:rPr>
      <w:sz w:val="18"/>
      <w:szCs w:val="18"/>
    </w:rPr>
  </w:style>
  <w:style w:type="character" w:styleId="956" w:customStyle="1">
    <w:name w:val="页脚 字符"/>
    <w:basedOn w:val="644"/>
    <w:link w:val="664"/>
    <w:uiPriority w:val="99"/>
    <w:semiHidden/>
    <w:qFormat/>
    <w:rPr>
      <w:sz w:val="18"/>
      <w:szCs w:val="18"/>
    </w:rPr>
  </w:style>
  <w:style w:type="character" w:styleId="957" w:customStyle="1">
    <w:name w:val="标题 2 字符"/>
    <w:basedOn w:val="644"/>
    <w:link w:val="636"/>
    <w:uiPriority w:val="0"/>
    <w:qFormat/>
    <w:rPr>
      <w:rFonts w:asciiTheme="majorHAnsi" w:hAnsiTheme="majorHAnsi" w:eastAsiaTheme="majorEastAsia" w:cstheme="majorBidi"/>
      <w:b/>
      <w:bCs/>
      <w:sz w:val="32"/>
      <w:szCs w:val="32"/>
    </w:rPr>
  </w:style>
  <w:style w:type="paragraph" w:styleId="958" w:customStyle="1">
    <w:name w:val="正文缩进1"/>
    <w:basedOn w:val="634"/>
    <w:uiPriority w:val="0"/>
    <w:qFormat/>
    <w:pPr>
      <w:ind w:firstLine="420"/>
    </w:pPr>
    <w:rPr>
      <w:rFonts w:ascii="Times New Roman" w:hAnsi="Times New Roman"/>
      <w:szCs w:val="20"/>
    </w:rPr>
  </w:style>
  <w:style w:type="paragraph" w:styleId="959" w:customStyle="1">
    <w:name w:val="text-tag"/>
    <w:basedOn w:val="634"/>
    <w:uiPriority w:val="99"/>
    <w:semiHidden/>
    <w:qFormat/>
    <w:pPr>
      <w:jc w:val="left"/>
      <w:spacing w:before="100" w:beforeAutospacing="1" w:after="100" w:afterAutospacing="1"/>
      <w:widowControl/>
    </w:pPr>
    <w:rPr>
      <w:rFonts w:ascii="宋体" w:hAnsi="宋体" w:cs="宋体"/>
      <w:sz w:val="24"/>
      <w:szCs w:val="24"/>
    </w:rPr>
  </w:style>
  <w:style w:type="paragraph" w:styleId="960" w:customStyle="1">
    <w:name w:val="索引 11"/>
    <w:basedOn w:val="634"/>
    <w:next w:val="634"/>
    <w:uiPriority w:val="99"/>
    <w:qFormat/>
    <w:pPr>
      <w:spacing w:line="360" w:lineRule="auto"/>
    </w:pPr>
    <w:rPr>
      <w:rFonts w:ascii="仿宋_GB2312" w:hAnsi="Times New Roman" w:eastAsia="仿宋_GB2312"/>
      <w:sz w:val="24"/>
      <w:szCs w:val="20"/>
    </w:rPr>
  </w:style>
  <w:style w:type="paragraph" w:styleId="961" w:customStyle="1">
    <w:name w:val="X正文"/>
    <w:uiPriority w:val="0"/>
    <w:qFormat/>
    <w:pPr>
      <w:ind w:firstLine="200"/>
      <w:jc w:val="both"/>
      <w:spacing w:line="300" w:lineRule="auto"/>
    </w:pPr>
    <w:rPr>
      <w:rFonts w:ascii="宋体" w:hAnsi="宋体" w:eastAsia="宋体" w:cstheme="minorBidi"/>
      <w:sz w:val="28"/>
      <w:szCs w:val="21"/>
      <w:lang w:val="en-US" w:eastAsia="zh-CN" w:bidi="ar-SA"/>
    </w:rPr>
  </w:style>
  <w:style w:type="character" w:styleId="962" w:customStyle="1">
    <w:name w:val="font11"/>
    <w:basedOn w:val="644"/>
    <w:uiPriority w:val="0"/>
    <w:qFormat/>
    <w:rPr>
      <w:rFonts w:hint="eastAsia" w:ascii="微软雅黑" w:hAnsi="微软雅黑" w:eastAsia="微软雅黑" w:cs="微软雅黑"/>
      <w:color w:val="000000"/>
      <w:sz w:val="16"/>
      <w:szCs w:val="16"/>
      <w:u w:val="none"/>
    </w:rPr>
  </w:style>
  <w:style w:type="character" w:styleId="963" w:customStyle="1">
    <w:name w:val="font81"/>
    <w:basedOn w:val="644"/>
    <w:uiPriority w:val="0"/>
    <w:qFormat/>
    <w:rPr>
      <w:rFonts w:hint="eastAsia" w:ascii="宋体" w:hAnsi="宋体" w:eastAsia="宋体" w:cs="宋体"/>
      <w:b/>
      <w:bCs/>
      <w:color w:val="000000"/>
      <w:sz w:val="22"/>
      <w:szCs w:val="22"/>
      <w:u w:val="none"/>
    </w:rPr>
  </w:style>
  <w:style w:type="character" w:styleId="964" w:customStyle="1">
    <w:name w:val="font61"/>
    <w:basedOn w:val="644"/>
    <w:uiPriority w:val="0"/>
    <w:qFormat/>
    <w:rPr>
      <w:rFonts w:hint="eastAsia" w:ascii="宋体" w:hAnsi="宋体" w:eastAsia="宋体" w:cs="宋体"/>
      <w:color w:val="000000"/>
      <w:sz w:val="20"/>
      <w:szCs w:val="20"/>
      <w:u w:val="none"/>
    </w:rPr>
  </w:style>
  <w:style w:type="character" w:styleId="965" w:customStyle="1">
    <w:name w:val="font101"/>
    <w:basedOn w:val="644"/>
    <w:uiPriority w:val="0"/>
    <w:qFormat/>
    <w:rPr>
      <w:rFonts w:hint="eastAsia" w:ascii="宋体" w:hAnsi="宋体" w:eastAsia="宋体" w:cs="宋体"/>
      <w:b/>
      <w:bCs/>
      <w:color w:val="000000"/>
      <w:sz w:val="20"/>
      <w:szCs w:val="20"/>
      <w:u w:val="none"/>
    </w:rPr>
  </w:style>
  <w:style w:type="character" w:styleId="966" w:customStyle="1">
    <w:name w:val="font112"/>
    <w:basedOn w:val="644"/>
    <w:uiPriority w:val="0"/>
    <w:qFormat/>
    <w:rPr>
      <w:rFonts w:hint="eastAsia" w:ascii="宋体" w:hAnsi="宋体" w:eastAsia="宋体" w:cs="宋体"/>
      <w:color w:val="ff0000"/>
      <w:sz w:val="22"/>
      <w:szCs w:val="22"/>
      <w:u w:val="none"/>
    </w:rPr>
  </w:style>
  <w:style w:type="paragraph" w:styleId="967" w:customStyle="1">
    <w:name w:val="无间隔1"/>
    <w:uiPriority w:val="0"/>
    <w:qFormat/>
    <w:pPr>
      <w:jc w:val="both"/>
      <w:widowControl w:val="off"/>
    </w:pPr>
    <w:rPr>
      <w:rFonts w:ascii="Calibri" w:hAnsi="Calibri" w:eastAsia="宋体" w:cs="Times New Roman"/>
      <w:sz w:val="28"/>
      <w:szCs w:val="22"/>
      <w:lang w:val="en-US" w:eastAsia="zh-CN" w:bidi="ar-SA"/>
    </w:rPr>
  </w:style>
  <w:style w:type="table" w:styleId="968" w:customStyle="1">
    <w:name w:val="Table Normal"/>
    <w:uiPriority w:val="0"/>
    <w:semiHidden/>
    <w:unhideWhenUsed/>
    <w:qFormat/>
    <w:tblPr>
      <w:tblCellMar>
        <w:left w:w="0" w:type="dxa"/>
        <w:top w:w="0" w:type="dxa"/>
        <w:right w:w="0" w:type="dxa"/>
        <w:bottom w:w="0" w:type="dxa"/>
      </w:tblCellMar>
    </w:tblPr>
  </w:style>
  <w:style w:type="paragraph" w:styleId="969" w:customStyle="1">
    <w:name w:val="正文1"/>
    <w:next w:val="970"/>
    <w:uiPriority w:val="0"/>
    <w:qFormat/>
    <w:rPr>
      <w:rFonts w:ascii="Times New Roman" w:hAnsi="Times New Roman" w:eastAsia="宋体" w:cs="Times New Roman"/>
      <w:lang w:val="en-US" w:eastAsia="zh-CN" w:bidi="ar-SA"/>
    </w:rPr>
  </w:style>
  <w:style w:type="paragraph" w:styleId="970" w:customStyle="1">
    <w:name w:val="正文文本1"/>
    <w:basedOn w:val="971"/>
    <w:next w:val="972"/>
    <w:uiPriority w:val="99"/>
    <w:qFormat/>
    <w:pPr>
      <w:jc w:val="both"/>
      <w:spacing w:line="500" w:lineRule="exact"/>
      <w:tabs>
        <w:tab w:val="left" w:pos="0" w:leader="none"/>
        <w:tab w:val="left" w:pos="993" w:leader="none"/>
        <w:tab w:val="left" w:pos="1134" w:leader="none"/>
      </w:tabs>
    </w:pPr>
    <w:rPr>
      <w:rFonts w:hAnsi="Calibri" w:eastAsia="Times New Roman"/>
      <w:sz w:val="28"/>
    </w:rPr>
  </w:style>
  <w:style w:type="paragraph" w:styleId="971" w:customStyle="1">
    <w:name w:val="正文2"/>
    <w:basedOn w:val="634"/>
    <w:uiPriority w:val="0"/>
    <w:qFormat/>
    <w:pPr>
      <w:ind w:left="57" w:right="57"/>
      <w:jc w:val="center"/>
      <w:spacing w:after="60" w:line="360" w:lineRule="atLeast"/>
    </w:pPr>
    <w:rPr>
      <w:rFonts w:ascii="宋体" w:hAnsi="Times New Roman"/>
      <w:szCs w:val="20"/>
    </w:rPr>
  </w:style>
  <w:style w:type="paragraph" w:styleId="972" w:customStyle="1">
    <w:name w:val="一级条标题"/>
    <w:basedOn w:val="973"/>
    <w:next w:val="9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next w:val="63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4" w:customStyle="1">
    <w:name w:val="段"/>
    <w:next w:val="634"/>
    <w:uiPriority w:val="0"/>
    <w:qFormat/>
    <w:pPr>
      <w:ind w:firstLine="200"/>
      <w:jc w:val="both"/>
    </w:pPr>
    <w:rPr>
      <w:rFonts w:ascii="宋体" w:hAnsi="Times New Roman" w:eastAsia="Times New Roman" w:cs="Times New Roman"/>
      <w:sz w:val="21"/>
      <w:lang w:val="en-US" w:eastAsia="zh-CN" w:bidi="ar-SA"/>
    </w:rPr>
  </w:style>
  <w:style w:type="paragraph" w:styleId="975" w:customStyle="1">
    <w:name w:val="纯文本11"/>
    <w:basedOn w:val="634"/>
    <w:uiPriority w:val="0"/>
    <w:qFormat/>
    <w:rPr>
      <w:rFonts w:ascii="宋体" w:hAnsi="Courier New"/>
      <w:sz w:val="20"/>
      <w:szCs w:val="20"/>
    </w:rPr>
  </w:style>
  <w:style w:type="character" w:styleId="976" w:customStyle="1">
    <w:name w:val="font41"/>
    <w:basedOn w:val="644"/>
    <w:uiPriority w:val="0"/>
    <w:qFormat/>
    <w:rPr>
      <w:rFonts w:ascii="宋体" w:hAnsi="宋体" w:eastAsia="宋体" w:cs="宋体"/>
      <w:b/>
      <w:bCs/>
      <w:color w:val="000000"/>
      <w:sz w:val="32"/>
      <w:szCs w:val="32"/>
      <w:u w:val="none"/>
    </w:rPr>
  </w:style>
  <w:style w:type="character" w:styleId="977" w:customStyle="1">
    <w:name w:val="font51"/>
    <w:basedOn w:val="644"/>
    <w:uiPriority w:val="0"/>
    <w:qFormat/>
    <w:rPr>
      <w:rFonts w:ascii="宋体" w:hAnsi="宋体" w:eastAsia="宋体" w:cs="宋体"/>
      <w:color w:val="000000"/>
      <w:sz w:val="18"/>
      <w:szCs w:val="18"/>
      <w:u w:val="none"/>
    </w:rPr>
  </w:style>
  <w:style w:type="paragraph" w:styleId="978" w:customStyle="1">
    <w:name w:val="Normal_28"/>
    <w:uiPriority w:val="0"/>
    <w:qFormat/>
    <w:rPr>
      <w:rFonts w:hint="default" w:ascii="Times New Roman" w:hAnsi="Times New Roman" w:eastAsia="Times New Roman" w:cs="Times New Roman"/>
      <w:sz w:val="24"/>
      <w:szCs w:val="24"/>
      <w:lang w:bidi="ar-SA"/>
    </w:rPr>
  </w:style>
  <w:style w:type="paragraph" w:styleId="979" w:customStyle="1">
    <w:name w:val="普通(网站)1"/>
    <w:basedOn w:val="634"/>
    <w:uiPriority w:val="0"/>
    <w:qFormat/>
    <w:pPr>
      <w:jc w:val="left"/>
      <w:spacing w:before="100" w:beforeAutospacing="1" w:after="100" w:afterAutospacing="1" w:line="240" w:lineRule="auto"/>
      <w:widowControl/>
    </w:pPr>
    <w:rPr>
      <w:rFonts w:ascii="宋体" w:hAnsi="宋体"/>
      <w:color w:val="000000"/>
      <w:sz w:val="24"/>
      <w:szCs w:val="24"/>
    </w:rPr>
  </w:style>
  <w:style w:type="character" w:styleId="980" w:customStyle="1">
    <w:name w:val="强调1"/>
    <w:link w:val="634"/>
    <w:uiPriority w:val="20"/>
    <w:qFormat/>
    <w:rPr>
      <w:rFonts w:ascii="Calibri" w:hAnsi="Calibri" w:eastAsia="宋体" w:cs="Times New Roman"/>
      <w:sz w:val="21"/>
      <w:szCs w:val="22"/>
      <w:lang w:val="en-US" w:eastAsia="zh-CN" w:bidi="ar-SA"/>
    </w:rPr>
  </w:style>
  <w:style w:type="numbering" w:styleId="12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朱霞</cp:lastModifiedBy>
  <cp:revision>3</cp:revision>
  <dcterms:created xsi:type="dcterms:W3CDTF">2024-03-13T17:50:00Z</dcterms:created>
  <dcterms:modified xsi:type="dcterms:W3CDTF">2026-05-10T05:16:04Z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6FCAD73B44965ABE3B8A71697F065E66_43</vt:lpwstr>
  </property>
  <property fmtid="{D5CDD505-2E9C-101B-9397-08002B2CF9AE}" pid="4" name="KSOTemplateDocerSaveRecord">
    <vt:lpwstr>eyJoZGlkIjoiMzEwNTM5NzYwMDRjMzkwZTVkZjY2ODkwMGIxNGU0OTUiLCJ1c2VySWQiOiI0NDE2OTI4MTEifQ==</vt:lpwstr>
  </property>
</Properties>
</file>