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BA0778">
      <w:pPr>
        <w:spacing w:line="580" w:lineRule="exact"/>
        <w:jc w:val="center"/>
        <w:rPr>
          <w:rFonts w:hint="eastAsia" w:ascii="方正仿宋_GBK" w:hAnsi="宋体" w:eastAsia="方正仿宋_GBK" w:cs="宋体"/>
          <w:bCs/>
          <w:color w:val="auto"/>
          <w:sz w:val="32"/>
          <w:szCs w:val="32"/>
          <w:u w:val="single"/>
        </w:rPr>
      </w:pPr>
      <w:r>
        <w:rPr>
          <w:rFonts w:hint="eastAsia" w:ascii="方正仿宋_GBK" w:hAnsi="宋体" w:eastAsia="方正仿宋_GBK" w:cs="宋体"/>
          <w:bCs/>
          <w:color w:val="auto"/>
          <w:sz w:val="32"/>
          <w:szCs w:val="32"/>
        </w:rPr>
        <w:t>项目名称：</w:t>
      </w:r>
      <w:r>
        <w:rPr>
          <w:rFonts w:hint="eastAsia" w:ascii="Times New Roman" w:hAnsi="Times New Roman" w:eastAsia="方正仿宋_GBK" w:cs="Times New Roman"/>
          <w:bCs/>
          <w:color w:val="auto"/>
          <w:sz w:val="32"/>
          <w:szCs w:val="32"/>
        </w:rPr>
        <w:t>2026—2027年度南京市冻猪肉政府性储备项目</w:t>
      </w:r>
    </w:p>
    <w:p w14:paraId="239ACB09">
      <w:pPr>
        <w:spacing w:line="580" w:lineRule="exact"/>
        <w:jc w:val="center"/>
        <w:rPr>
          <w:rFonts w:hint="eastAsia" w:ascii="Times New Roman" w:hAnsi="Times New Roman" w:eastAsia="方正仿宋_GBK" w:cs="Times New Roman"/>
          <w:bCs/>
          <w:color w:val="auto"/>
          <w:sz w:val="32"/>
          <w:szCs w:val="32"/>
        </w:rPr>
      </w:pPr>
      <w:r>
        <w:rPr>
          <w:rFonts w:hint="eastAsia" w:ascii="Times New Roman" w:hAnsi="Times New Roman" w:eastAsia="方正仿宋_GBK" w:cs="Times New Roman"/>
          <w:bCs/>
          <w:color w:val="auto"/>
          <w:sz w:val="32"/>
          <w:szCs w:val="32"/>
        </w:rPr>
        <w:t>项目编号：JSZC-320100-JSZB-G2026-0003</w:t>
      </w:r>
      <w:r>
        <w:rPr>
          <w:rFonts w:hint="eastAsia" w:ascii="Times New Roman" w:hAnsi="Times New Roman" w:eastAsia="方正仿宋_GBK" w:cs="Times New Roman"/>
          <w:bCs/>
          <w:color w:val="auto"/>
          <w:sz w:val="32"/>
          <w:szCs w:val="32"/>
        </w:rPr>
        <w:t>　</w:t>
      </w:r>
    </w:p>
    <w:p w14:paraId="046BE23A">
      <w:pPr>
        <w:spacing w:line="580" w:lineRule="exact"/>
        <w:jc w:val="center"/>
        <w:rPr>
          <w:rFonts w:hint="eastAsia" w:ascii="方正仿宋_GBK" w:hAnsi="宋体" w:eastAsia="方正仿宋_GBK" w:cs="宋体"/>
          <w:b/>
          <w:color w:val="auto"/>
          <w:sz w:val="32"/>
          <w:szCs w:val="32"/>
        </w:rPr>
      </w:pPr>
    </w:p>
    <w:p w14:paraId="213540C2">
      <w:pPr>
        <w:spacing w:line="580" w:lineRule="exact"/>
        <w:jc w:val="center"/>
        <w:rPr>
          <w:rFonts w:hint="eastAsia" w:ascii="方正小标宋_GBK" w:hAnsi="宋体" w:eastAsia="方正小标宋_GBK" w:cs="宋体"/>
          <w:bCs/>
          <w:color w:val="auto"/>
          <w:sz w:val="32"/>
          <w:szCs w:val="32"/>
        </w:rPr>
      </w:pPr>
    </w:p>
    <w:p w14:paraId="54E996EB">
      <w:pPr>
        <w:spacing w:line="580" w:lineRule="exact"/>
        <w:jc w:val="center"/>
        <w:rPr>
          <w:rFonts w:hint="eastAsia" w:ascii="方正小标宋_GBK" w:hAnsi="宋体" w:eastAsia="方正小标宋_GBK" w:cs="宋体"/>
          <w:bCs/>
          <w:color w:val="auto"/>
          <w:sz w:val="32"/>
          <w:szCs w:val="32"/>
        </w:rPr>
      </w:pPr>
    </w:p>
    <w:p w14:paraId="2630480F">
      <w:pPr>
        <w:spacing w:line="580" w:lineRule="exact"/>
        <w:jc w:val="center"/>
        <w:rPr>
          <w:rFonts w:hint="eastAsia" w:ascii="方正小标宋_GBK" w:hAnsi="宋体" w:eastAsia="方正小标宋_GBK" w:cs="宋体"/>
          <w:bCs/>
          <w:color w:val="auto"/>
          <w:sz w:val="32"/>
          <w:szCs w:val="32"/>
        </w:rPr>
      </w:pPr>
    </w:p>
    <w:p w14:paraId="52372A91">
      <w:pPr>
        <w:spacing w:line="580" w:lineRule="exact"/>
        <w:jc w:val="center"/>
        <w:rPr>
          <w:rFonts w:hint="eastAsia" w:ascii="方正小标宋_GBK" w:hAnsi="宋体" w:eastAsia="方正小标宋_GBK" w:cs="宋体"/>
          <w:bCs/>
          <w:color w:val="auto"/>
          <w:sz w:val="32"/>
          <w:szCs w:val="32"/>
        </w:rPr>
      </w:pPr>
    </w:p>
    <w:p w14:paraId="602FF0CC">
      <w:pPr>
        <w:spacing w:line="580" w:lineRule="exact"/>
        <w:jc w:val="center"/>
        <w:rPr>
          <w:rFonts w:hint="eastAsia" w:ascii="方正小标宋_GBK" w:hAnsi="宋体" w:eastAsia="方正小标宋_GBK" w:cs="宋体"/>
          <w:bCs/>
          <w:color w:val="auto"/>
          <w:sz w:val="32"/>
          <w:szCs w:val="32"/>
        </w:rPr>
      </w:pPr>
    </w:p>
    <w:p w14:paraId="3827FE89">
      <w:pPr>
        <w:spacing w:line="580" w:lineRule="exact"/>
        <w:jc w:val="center"/>
        <w:rPr>
          <w:rFonts w:hint="eastAsia" w:ascii="方正小标宋_GBK" w:hAnsi="宋体" w:eastAsia="方正小标宋_GBK" w:cs="宋体"/>
          <w:bCs/>
          <w:color w:val="auto"/>
          <w:sz w:val="32"/>
          <w:szCs w:val="32"/>
        </w:rPr>
      </w:pPr>
    </w:p>
    <w:p w14:paraId="39D28943">
      <w:pPr>
        <w:spacing w:line="1000" w:lineRule="exact"/>
        <w:jc w:val="center"/>
        <w:rPr>
          <w:rFonts w:hint="eastAsia" w:ascii="方正小标宋_GBK" w:hAnsi="宋体" w:eastAsia="方正小标宋_GBK" w:cs="宋体"/>
          <w:bCs/>
          <w:color w:val="auto"/>
          <w:sz w:val="84"/>
          <w:szCs w:val="24"/>
        </w:rPr>
      </w:pPr>
      <w:r>
        <w:rPr>
          <w:rFonts w:hint="eastAsia" w:ascii="方正小标宋_GBK" w:hAnsi="宋体" w:eastAsia="方正小标宋_GBK" w:cs="宋体"/>
          <w:bCs/>
          <w:color w:val="auto"/>
          <w:sz w:val="84"/>
          <w:szCs w:val="24"/>
        </w:rPr>
        <w:t>招　标　文　件</w:t>
      </w:r>
    </w:p>
    <w:p w14:paraId="5CE8A009">
      <w:pPr>
        <w:spacing w:line="580" w:lineRule="exact"/>
        <w:jc w:val="left"/>
        <w:rPr>
          <w:rFonts w:hint="eastAsia" w:ascii="方正仿宋_GBK" w:hAnsi="宋体" w:eastAsia="方正仿宋_GBK" w:cs="宋体"/>
          <w:color w:val="auto"/>
          <w:sz w:val="32"/>
          <w:szCs w:val="32"/>
        </w:rPr>
      </w:pPr>
    </w:p>
    <w:p w14:paraId="63506B29">
      <w:pPr>
        <w:spacing w:line="580" w:lineRule="exact"/>
        <w:jc w:val="left"/>
        <w:rPr>
          <w:rFonts w:hint="eastAsia" w:ascii="方正仿宋_GBK" w:hAnsi="宋体" w:eastAsia="方正仿宋_GBK" w:cs="宋体"/>
          <w:color w:val="auto"/>
          <w:sz w:val="32"/>
          <w:szCs w:val="32"/>
        </w:rPr>
      </w:pPr>
    </w:p>
    <w:p w14:paraId="0B715385">
      <w:pPr>
        <w:spacing w:line="580" w:lineRule="exact"/>
        <w:jc w:val="left"/>
        <w:rPr>
          <w:rFonts w:hint="eastAsia" w:ascii="方正仿宋_GBK" w:hAnsi="宋体" w:eastAsia="方正仿宋_GBK" w:cs="宋体"/>
          <w:color w:val="auto"/>
          <w:sz w:val="32"/>
          <w:szCs w:val="32"/>
        </w:rPr>
      </w:pPr>
    </w:p>
    <w:p w14:paraId="1F2BE155">
      <w:pPr>
        <w:spacing w:line="580" w:lineRule="exact"/>
        <w:jc w:val="left"/>
        <w:rPr>
          <w:rFonts w:hint="eastAsia" w:ascii="方正仿宋_GBK" w:hAnsi="宋体" w:eastAsia="方正仿宋_GBK" w:cs="宋体"/>
          <w:color w:val="auto"/>
          <w:sz w:val="32"/>
          <w:szCs w:val="32"/>
        </w:rPr>
      </w:pPr>
    </w:p>
    <w:p w14:paraId="717040C2">
      <w:pPr>
        <w:spacing w:line="580" w:lineRule="exact"/>
        <w:jc w:val="left"/>
        <w:rPr>
          <w:rFonts w:hint="eastAsia" w:ascii="方正仿宋_GBK" w:hAnsi="宋体" w:eastAsia="方正仿宋_GBK" w:cs="宋体"/>
          <w:color w:val="auto"/>
          <w:sz w:val="32"/>
          <w:szCs w:val="32"/>
        </w:rPr>
      </w:pPr>
    </w:p>
    <w:p w14:paraId="7A714C3B">
      <w:pPr>
        <w:spacing w:line="580" w:lineRule="exact"/>
        <w:jc w:val="left"/>
        <w:rPr>
          <w:rFonts w:hint="eastAsia" w:ascii="方正仿宋_GBK" w:hAnsi="宋体" w:eastAsia="方正仿宋_GBK" w:cs="宋体"/>
          <w:color w:val="auto"/>
          <w:sz w:val="32"/>
          <w:szCs w:val="32"/>
        </w:rPr>
      </w:pPr>
    </w:p>
    <w:p w14:paraId="67867A14">
      <w:pPr>
        <w:spacing w:line="580" w:lineRule="exact"/>
        <w:jc w:val="left"/>
        <w:rPr>
          <w:rFonts w:hint="eastAsia" w:ascii="方正仿宋_GBK" w:hAnsi="宋体" w:eastAsia="方正仿宋_GBK" w:cs="宋体"/>
          <w:color w:val="auto"/>
          <w:sz w:val="32"/>
          <w:szCs w:val="32"/>
        </w:rPr>
      </w:pPr>
    </w:p>
    <w:p w14:paraId="2D063AD7">
      <w:pPr>
        <w:spacing w:line="580" w:lineRule="exact"/>
        <w:jc w:val="left"/>
        <w:rPr>
          <w:rFonts w:hint="eastAsia" w:ascii="方正仿宋_GBK" w:hAnsi="宋体" w:eastAsia="方正仿宋_GBK" w:cs="宋体"/>
          <w:color w:val="auto"/>
          <w:sz w:val="32"/>
          <w:szCs w:val="32"/>
        </w:rPr>
      </w:pPr>
    </w:p>
    <w:p w14:paraId="630C2152">
      <w:pPr>
        <w:spacing w:line="580" w:lineRule="exact"/>
        <w:jc w:val="center"/>
        <w:rPr>
          <w:rFonts w:ascii="Times New Roman" w:hAnsi="Times New Roman" w:eastAsia="方正仿宋_GBK" w:cs="Times New Roman"/>
          <w:bCs/>
          <w:color w:val="auto"/>
          <w:sz w:val="32"/>
          <w:szCs w:val="32"/>
        </w:rPr>
      </w:pPr>
      <w:r>
        <w:rPr>
          <w:rFonts w:hint="eastAsia" w:ascii="Times New Roman" w:hAnsi="Times New Roman" w:eastAsia="方正仿宋_GBK" w:cs="Times New Roman"/>
          <w:bCs/>
          <w:color w:val="auto"/>
          <w:sz w:val="32"/>
          <w:szCs w:val="32"/>
        </w:rPr>
        <w:t>采购人：南京市商务局</w:t>
      </w:r>
    </w:p>
    <w:p w14:paraId="6367311C">
      <w:pPr>
        <w:spacing w:line="580" w:lineRule="exact"/>
        <w:jc w:val="center"/>
        <w:rPr>
          <w:rFonts w:ascii="Times New Roman" w:hAnsi="Times New Roman" w:eastAsia="方正仿宋_GBK" w:cs="Times New Roman"/>
          <w:bCs/>
          <w:color w:val="auto"/>
          <w:sz w:val="32"/>
          <w:szCs w:val="32"/>
        </w:rPr>
      </w:pPr>
      <w:r>
        <w:rPr>
          <w:rFonts w:hint="eastAsia" w:ascii="Times New Roman" w:hAnsi="Times New Roman" w:eastAsia="方正仿宋_GBK" w:cs="Times New Roman"/>
          <w:bCs/>
          <w:color w:val="auto"/>
          <w:sz w:val="32"/>
          <w:szCs w:val="32"/>
        </w:rPr>
        <w:t>采购代理机构：江苏中博通信有限公司</w:t>
      </w:r>
    </w:p>
    <w:p w14:paraId="08D3F5B6">
      <w:pPr>
        <w:spacing w:line="580" w:lineRule="exact"/>
        <w:jc w:val="center"/>
        <w:rPr>
          <w:rFonts w:ascii="Times New Roman" w:hAnsi="Times New Roman" w:eastAsia="方正仿宋_GBK" w:cs="Times New Roman"/>
          <w:bCs/>
          <w:color w:val="auto"/>
          <w:sz w:val="32"/>
          <w:szCs w:val="32"/>
        </w:rPr>
      </w:pPr>
      <w:r>
        <w:rPr>
          <w:rFonts w:hint="eastAsia" w:ascii="Times New Roman" w:hAnsi="Times New Roman" w:eastAsia="方正仿宋_GBK" w:cs="Times New Roman"/>
          <w:bCs/>
          <w:color w:val="auto"/>
          <w:sz w:val="32"/>
          <w:szCs w:val="32"/>
        </w:rPr>
        <w:t>日期：</w:t>
      </w:r>
      <w:r>
        <w:rPr>
          <w:rFonts w:ascii="Times New Roman" w:hAnsi="Times New Roman" w:eastAsia="方正仿宋_GBK" w:cs="Times New Roman"/>
          <w:bCs/>
          <w:color w:val="auto"/>
          <w:sz w:val="32"/>
          <w:szCs w:val="32"/>
        </w:rPr>
        <w:t>202</w:t>
      </w:r>
      <w:r>
        <w:rPr>
          <w:rFonts w:hint="eastAsia" w:ascii="Times New Roman" w:hAnsi="Times New Roman" w:eastAsia="方正仿宋_GBK" w:cs="Times New Roman"/>
          <w:bCs/>
          <w:color w:val="auto"/>
          <w:sz w:val="32"/>
          <w:szCs w:val="32"/>
        </w:rPr>
        <w:t xml:space="preserve">6年4月                        </w:t>
      </w:r>
    </w:p>
    <w:p w14:paraId="0222E2EB">
      <w:pPr>
        <w:spacing w:line="580" w:lineRule="exact"/>
        <w:jc w:val="center"/>
        <w:rPr>
          <w:rFonts w:hint="eastAsia" w:ascii="方正仿宋_GBK" w:hAnsi="宋体" w:eastAsia="方正仿宋_GBK"/>
          <w:b/>
          <w:color w:val="auto"/>
          <w:sz w:val="44"/>
        </w:rPr>
        <w:sectPr>
          <w:headerReference r:id="rId4" w:type="first"/>
          <w:headerReference r:id="rId3" w:type="default"/>
          <w:footerReference r:id="rId5" w:type="default"/>
          <w:pgSz w:w="11906" w:h="16838"/>
          <w:pgMar w:top="2098" w:right="1588" w:bottom="1701" w:left="1588" w:header="851" w:footer="907" w:gutter="0"/>
          <w:pgNumType w:start="0"/>
          <w:cols w:space="1701" w:num="1"/>
          <w:titlePg/>
          <w:docGrid w:linePitch="360" w:charSpace="0"/>
        </w:sectPr>
      </w:pPr>
    </w:p>
    <w:p w14:paraId="1EF6935B">
      <w:pPr>
        <w:spacing w:line="580" w:lineRule="exact"/>
        <w:jc w:val="center"/>
        <w:rPr>
          <w:rFonts w:hint="eastAsia" w:ascii="方正小标宋_GBK" w:hAnsi="宋体" w:eastAsia="方正小标宋_GBK"/>
          <w:bCs/>
          <w:color w:val="auto"/>
          <w:sz w:val="44"/>
        </w:rPr>
      </w:pPr>
      <w:r>
        <w:rPr>
          <w:rFonts w:hint="eastAsia" w:ascii="方正小标宋_GBK" w:hAnsi="宋体" w:eastAsia="方正小标宋_GBK"/>
          <w:bCs/>
          <w:color w:val="auto"/>
          <w:sz w:val="44"/>
        </w:rPr>
        <w:t>目  录</w:t>
      </w:r>
    </w:p>
    <w:p w14:paraId="747FCE51">
      <w:pPr>
        <w:spacing w:line="580" w:lineRule="exact"/>
        <w:rPr>
          <w:rFonts w:hint="eastAsia" w:ascii="方正仿宋_GBK" w:hAnsi="宋体" w:eastAsia="方正仿宋_GBK"/>
          <w:color w:val="auto"/>
        </w:rPr>
      </w:pPr>
    </w:p>
    <w:p w14:paraId="661AE578">
      <w:pPr>
        <w:pStyle w:val="26"/>
        <w:tabs>
          <w:tab w:val="right" w:leader="dot" w:pos="9736"/>
        </w:tabs>
        <w:spacing w:line="580" w:lineRule="exact"/>
        <w:rPr>
          <w:rFonts w:hint="eastAsia" w:ascii="方正仿宋_GBK" w:hAnsi="宋体" w:eastAsia="方正仿宋_GBK"/>
          <w:color w:val="auto"/>
          <w:kern w:val="2"/>
          <w:sz w:val="32"/>
          <w:szCs w:val="32"/>
          <w14:ligatures w14:val="standardContextual"/>
        </w:rPr>
      </w:pPr>
      <w:r>
        <w:rPr>
          <w:rFonts w:hint="eastAsia" w:ascii="方正仿宋_GBK" w:hAnsi="宋体" w:eastAsia="方正仿宋_GBK" w:cs="宋体"/>
          <w:b/>
          <w:bCs/>
          <w:color w:val="auto"/>
          <w:sz w:val="24"/>
          <w:szCs w:val="24"/>
        </w:rPr>
        <w:fldChar w:fldCharType="begin"/>
      </w:r>
      <w:r>
        <w:rPr>
          <w:rFonts w:hint="eastAsia" w:ascii="方正仿宋_GBK" w:hAnsi="宋体" w:eastAsia="方正仿宋_GBK" w:cs="宋体"/>
          <w:b/>
          <w:bCs/>
          <w:color w:val="auto"/>
          <w:sz w:val="24"/>
          <w:szCs w:val="24"/>
        </w:rPr>
        <w:instrText xml:space="preserve">TOC \o "1-1" \h \u </w:instrText>
      </w:r>
      <w:r>
        <w:rPr>
          <w:rFonts w:hint="eastAsia" w:ascii="方正仿宋_GBK" w:hAnsi="宋体" w:eastAsia="方正仿宋_GBK" w:cs="宋体"/>
          <w:b/>
          <w:bCs/>
          <w:color w:val="auto"/>
          <w:sz w:val="24"/>
          <w:szCs w:val="24"/>
        </w:rPr>
        <w:fldChar w:fldCharType="separate"/>
      </w:r>
      <w:r>
        <w:fldChar w:fldCharType="begin"/>
      </w:r>
      <w:r>
        <w:instrText xml:space="preserve"> HYPERLINK \l "_Toc178087280" </w:instrText>
      </w:r>
      <w:r>
        <w:fldChar w:fldCharType="separate"/>
      </w:r>
      <w:r>
        <w:rPr>
          <w:rStyle w:val="40"/>
          <w:rFonts w:hint="eastAsia" w:ascii="方正仿宋_GBK" w:hAnsi="宋体" w:eastAsia="方正仿宋_GBK" w:cs="宋体"/>
          <w:color w:val="auto"/>
          <w:sz w:val="32"/>
          <w:szCs w:val="32"/>
        </w:rPr>
        <w:t>第一章  投标邀请</w:t>
      </w:r>
      <w:r>
        <w:rPr>
          <w:rFonts w:ascii="Times New Roman" w:hAnsi="Times New Roman" w:eastAsia="方正仿宋_GBK" w:cs="Times New Roman"/>
          <w:color w:val="auto"/>
          <w:sz w:val="32"/>
          <w:szCs w:val="32"/>
        </w:rPr>
        <w:tab/>
      </w:r>
      <w:r>
        <w:rPr>
          <w:rFonts w:ascii="Times New Roman" w:hAnsi="Times New Roman" w:eastAsia="方正仿宋_GBK" w:cs="Times New Roman"/>
          <w:color w:val="auto"/>
          <w:sz w:val="32"/>
          <w:szCs w:val="32"/>
        </w:rPr>
        <w:fldChar w:fldCharType="begin"/>
      </w:r>
      <w:r>
        <w:rPr>
          <w:rFonts w:ascii="Times New Roman" w:hAnsi="Times New Roman" w:eastAsia="方正仿宋_GBK" w:cs="Times New Roman"/>
          <w:color w:val="auto"/>
          <w:sz w:val="32"/>
          <w:szCs w:val="32"/>
        </w:rPr>
        <w:instrText xml:space="preserve"> PAGEREF _Toc178087280 \h </w:instrText>
      </w:r>
      <w:r>
        <w:rPr>
          <w:rFonts w:ascii="Times New Roman" w:hAnsi="Times New Roman" w:eastAsia="方正仿宋_GBK" w:cs="Times New Roman"/>
          <w:color w:val="auto"/>
          <w:sz w:val="32"/>
          <w:szCs w:val="32"/>
        </w:rPr>
        <w:fldChar w:fldCharType="separate"/>
      </w:r>
      <w:r>
        <w:rPr>
          <w:rFonts w:ascii="Times New Roman" w:hAnsi="Times New Roman" w:eastAsia="方正仿宋_GBK" w:cs="Times New Roman"/>
          <w:color w:val="auto"/>
          <w:sz w:val="32"/>
          <w:szCs w:val="32"/>
        </w:rPr>
        <w:t>1</w:t>
      </w:r>
      <w:r>
        <w:rPr>
          <w:rFonts w:ascii="Times New Roman" w:hAnsi="Times New Roman" w:eastAsia="方正仿宋_GBK" w:cs="Times New Roman"/>
          <w:color w:val="auto"/>
          <w:sz w:val="32"/>
          <w:szCs w:val="32"/>
        </w:rPr>
        <w:fldChar w:fldCharType="end"/>
      </w:r>
      <w:r>
        <w:rPr>
          <w:rFonts w:ascii="Times New Roman" w:hAnsi="Times New Roman" w:eastAsia="方正仿宋_GBK" w:cs="Times New Roman"/>
          <w:color w:val="auto"/>
          <w:sz w:val="32"/>
          <w:szCs w:val="32"/>
        </w:rPr>
        <w:fldChar w:fldCharType="end"/>
      </w:r>
    </w:p>
    <w:p w14:paraId="30E22A1A">
      <w:pPr>
        <w:pStyle w:val="26"/>
        <w:tabs>
          <w:tab w:val="right" w:leader="dot" w:pos="9736"/>
        </w:tabs>
        <w:spacing w:line="580" w:lineRule="exact"/>
        <w:rPr>
          <w:rFonts w:hint="eastAsia" w:ascii="方正仿宋_GBK" w:hAnsi="宋体" w:eastAsia="方正仿宋_GBK"/>
          <w:color w:val="auto"/>
          <w:kern w:val="2"/>
          <w:sz w:val="32"/>
          <w:szCs w:val="32"/>
          <w14:ligatures w14:val="standardContextual"/>
        </w:rPr>
      </w:pPr>
      <w:r>
        <w:fldChar w:fldCharType="begin"/>
      </w:r>
      <w:r>
        <w:instrText xml:space="preserve"> HYPERLINK \l "_Toc178087281" </w:instrText>
      </w:r>
      <w:r>
        <w:fldChar w:fldCharType="separate"/>
      </w:r>
      <w:r>
        <w:rPr>
          <w:rStyle w:val="40"/>
          <w:rFonts w:hint="eastAsia" w:ascii="方正仿宋_GBK" w:hAnsi="宋体" w:eastAsia="方正仿宋_GBK" w:cs="宋体"/>
          <w:color w:val="auto"/>
          <w:sz w:val="32"/>
          <w:szCs w:val="32"/>
        </w:rPr>
        <w:t>第二章  投标人须知</w:t>
      </w:r>
      <w:r>
        <w:rPr>
          <w:rFonts w:hint="eastAsia" w:ascii="Times New Roman" w:hAnsi="Times New Roman" w:eastAsia="方正仿宋_GBK" w:cs="Times New Roman"/>
          <w:color w:val="auto"/>
          <w:sz w:val="32"/>
          <w:szCs w:val="32"/>
        </w:rPr>
        <w:tab/>
      </w:r>
      <w:r>
        <w:rPr>
          <w:rFonts w:hint="eastAsia" w:ascii="Times New Roman" w:hAnsi="Times New Roman" w:eastAsia="方正仿宋_GBK" w:cs="Times New Roman"/>
          <w:color w:val="auto"/>
          <w:sz w:val="32"/>
          <w:szCs w:val="32"/>
        </w:rPr>
        <w:t>7</w:t>
      </w:r>
      <w:r>
        <w:rPr>
          <w:rFonts w:hint="eastAsia" w:ascii="Times New Roman" w:hAnsi="Times New Roman" w:eastAsia="方正仿宋_GBK" w:cs="Times New Roman"/>
          <w:color w:val="auto"/>
          <w:sz w:val="32"/>
          <w:szCs w:val="32"/>
        </w:rPr>
        <w:fldChar w:fldCharType="end"/>
      </w:r>
    </w:p>
    <w:p w14:paraId="18C970FC">
      <w:pPr>
        <w:pStyle w:val="26"/>
        <w:tabs>
          <w:tab w:val="right" w:leader="dot" w:pos="9736"/>
        </w:tabs>
        <w:spacing w:line="580" w:lineRule="exact"/>
        <w:rPr>
          <w:rFonts w:hint="eastAsia" w:ascii="方正仿宋_GBK" w:hAnsi="宋体" w:eastAsia="方正仿宋_GBK"/>
          <w:color w:val="auto"/>
          <w:kern w:val="2"/>
          <w:sz w:val="32"/>
          <w:szCs w:val="32"/>
          <w14:ligatures w14:val="standardContextual"/>
        </w:rPr>
      </w:pPr>
      <w:r>
        <w:fldChar w:fldCharType="begin"/>
      </w:r>
      <w:r>
        <w:instrText xml:space="preserve"> HYPERLINK \l "_Toc178087283" </w:instrText>
      </w:r>
      <w:r>
        <w:fldChar w:fldCharType="separate"/>
      </w:r>
      <w:r>
        <w:rPr>
          <w:rStyle w:val="40"/>
          <w:rFonts w:hint="eastAsia" w:ascii="方正仿宋_GBK" w:hAnsi="宋体" w:eastAsia="方正仿宋_GBK" w:cs="宋体"/>
          <w:color w:val="auto"/>
          <w:sz w:val="32"/>
          <w:szCs w:val="32"/>
        </w:rPr>
        <w:t>第三章  采购需求</w:t>
      </w:r>
      <w:r>
        <w:rPr>
          <w:rFonts w:hint="eastAsia" w:ascii="Times New Roman" w:hAnsi="Times New Roman" w:eastAsia="方正仿宋_GBK" w:cs="Times New Roman"/>
          <w:color w:val="auto"/>
          <w:sz w:val="32"/>
          <w:szCs w:val="32"/>
        </w:rPr>
        <w:tab/>
      </w:r>
      <w:r>
        <w:rPr>
          <w:rFonts w:hint="eastAsia" w:ascii="Times New Roman" w:hAnsi="Times New Roman" w:eastAsia="方正仿宋_GBK" w:cs="Times New Roman"/>
          <w:color w:val="auto"/>
          <w:sz w:val="32"/>
          <w:szCs w:val="32"/>
        </w:rPr>
        <w:fldChar w:fldCharType="begin"/>
      </w:r>
      <w:r>
        <w:rPr>
          <w:rFonts w:hint="eastAsia" w:ascii="Times New Roman" w:hAnsi="Times New Roman" w:eastAsia="方正仿宋_GBK" w:cs="Times New Roman"/>
          <w:color w:val="auto"/>
          <w:sz w:val="32"/>
          <w:szCs w:val="32"/>
        </w:rPr>
        <w:instrText xml:space="preserve"> PAGEREF _Toc178087283 \h </w:instrText>
      </w:r>
      <w:r>
        <w:rPr>
          <w:rFonts w:hint="eastAsia" w:ascii="Times New Roman" w:hAnsi="Times New Roman" w:eastAsia="方正仿宋_GBK" w:cs="Times New Roman"/>
          <w:color w:val="auto"/>
          <w:sz w:val="32"/>
          <w:szCs w:val="32"/>
        </w:rPr>
        <w:fldChar w:fldCharType="separate"/>
      </w:r>
      <w:r>
        <w:rPr>
          <w:rFonts w:ascii="Times New Roman" w:hAnsi="Times New Roman" w:eastAsia="方正仿宋_GBK" w:cs="Times New Roman"/>
          <w:color w:val="auto"/>
          <w:sz w:val="32"/>
          <w:szCs w:val="32"/>
        </w:rPr>
        <w:t>29</w:t>
      </w:r>
      <w:r>
        <w:rPr>
          <w:rFonts w:hint="eastAsia" w:ascii="Times New Roman" w:hAnsi="Times New Roman" w:eastAsia="方正仿宋_GBK" w:cs="Times New Roman"/>
          <w:color w:val="auto"/>
          <w:sz w:val="32"/>
          <w:szCs w:val="32"/>
        </w:rPr>
        <w:fldChar w:fldCharType="end"/>
      </w:r>
      <w:r>
        <w:rPr>
          <w:rFonts w:hint="eastAsia" w:ascii="Times New Roman" w:hAnsi="Times New Roman" w:eastAsia="方正仿宋_GBK" w:cs="Times New Roman"/>
          <w:color w:val="auto"/>
          <w:sz w:val="32"/>
          <w:szCs w:val="32"/>
        </w:rPr>
        <w:fldChar w:fldCharType="end"/>
      </w:r>
    </w:p>
    <w:p w14:paraId="0300345D">
      <w:pPr>
        <w:pStyle w:val="26"/>
        <w:tabs>
          <w:tab w:val="right" w:leader="dot" w:pos="9736"/>
        </w:tabs>
        <w:spacing w:line="580" w:lineRule="exact"/>
        <w:rPr>
          <w:rFonts w:ascii="Times New Roman" w:hAnsi="Times New Roman" w:eastAsia="方正仿宋_GBK" w:cs="Times New Roman"/>
          <w:color w:val="auto"/>
          <w:sz w:val="32"/>
          <w:szCs w:val="32"/>
        </w:rPr>
      </w:pPr>
      <w:r>
        <w:fldChar w:fldCharType="begin"/>
      </w:r>
      <w:r>
        <w:instrText xml:space="preserve"> HYPERLINK \l "_Toc178087284" </w:instrText>
      </w:r>
      <w:r>
        <w:fldChar w:fldCharType="separate"/>
      </w:r>
      <w:r>
        <w:rPr>
          <w:rStyle w:val="40"/>
          <w:rFonts w:hint="eastAsia" w:ascii="方正仿宋_GBK" w:hAnsi="宋体" w:eastAsia="方正仿宋_GBK" w:cs="宋体"/>
          <w:color w:val="auto"/>
          <w:sz w:val="32"/>
          <w:szCs w:val="32"/>
        </w:rPr>
        <w:t>第四章  评标方法与评标标准</w:t>
      </w:r>
      <w:r>
        <w:rPr>
          <w:rFonts w:hint="eastAsia" w:ascii="Times New Roman" w:hAnsi="Times New Roman" w:eastAsia="方正仿宋_GBK" w:cs="Times New Roman"/>
          <w:color w:val="auto"/>
          <w:sz w:val="32"/>
          <w:szCs w:val="32"/>
        </w:rPr>
        <w:tab/>
      </w:r>
      <w:r>
        <w:rPr>
          <w:rFonts w:hint="eastAsia" w:ascii="Times New Roman" w:hAnsi="Times New Roman" w:eastAsia="方正仿宋_GBK" w:cs="Times New Roman"/>
          <w:color w:val="auto"/>
          <w:sz w:val="32"/>
          <w:szCs w:val="32"/>
        </w:rPr>
        <w:fldChar w:fldCharType="begin"/>
      </w:r>
      <w:r>
        <w:rPr>
          <w:rFonts w:hint="eastAsia" w:ascii="Times New Roman" w:hAnsi="Times New Roman" w:eastAsia="方正仿宋_GBK" w:cs="Times New Roman"/>
          <w:color w:val="auto"/>
          <w:sz w:val="32"/>
          <w:szCs w:val="32"/>
        </w:rPr>
        <w:instrText xml:space="preserve"> PAGEREF _Toc178087284 \h </w:instrText>
      </w:r>
      <w:r>
        <w:rPr>
          <w:rFonts w:hint="eastAsia" w:ascii="Times New Roman" w:hAnsi="Times New Roman" w:eastAsia="方正仿宋_GBK" w:cs="Times New Roman"/>
          <w:color w:val="auto"/>
          <w:sz w:val="32"/>
          <w:szCs w:val="32"/>
        </w:rPr>
        <w:fldChar w:fldCharType="separate"/>
      </w:r>
      <w:r>
        <w:rPr>
          <w:rFonts w:ascii="Times New Roman" w:hAnsi="Times New Roman" w:eastAsia="方正仿宋_GBK" w:cs="Times New Roman"/>
          <w:color w:val="auto"/>
          <w:sz w:val="32"/>
          <w:szCs w:val="32"/>
        </w:rPr>
        <w:t>29</w:t>
      </w:r>
      <w:r>
        <w:rPr>
          <w:rFonts w:hint="eastAsia" w:ascii="Times New Roman" w:hAnsi="Times New Roman" w:eastAsia="方正仿宋_GBK" w:cs="Times New Roman"/>
          <w:color w:val="auto"/>
          <w:sz w:val="32"/>
          <w:szCs w:val="32"/>
        </w:rPr>
        <w:fldChar w:fldCharType="end"/>
      </w:r>
      <w:r>
        <w:rPr>
          <w:rFonts w:hint="eastAsia" w:ascii="Times New Roman" w:hAnsi="Times New Roman" w:eastAsia="方正仿宋_GBK" w:cs="Times New Roman"/>
          <w:color w:val="auto"/>
          <w:sz w:val="32"/>
          <w:szCs w:val="32"/>
        </w:rPr>
        <w:fldChar w:fldCharType="end"/>
      </w:r>
    </w:p>
    <w:p w14:paraId="055BB5F7">
      <w:pPr>
        <w:pStyle w:val="26"/>
        <w:tabs>
          <w:tab w:val="right" w:leader="dot" w:pos="9736"/>
        </w:tabs>
        <w:spacing w:line="580" w:lineRule="exact"/>
        <w:rPr>
          <w:rFonts w:hint="eastAsia" w:ascii="方正仿宋_GBK" w:hAnsi="宋体" w:eastAsia="方正仿宋_GBK"/>
          <w:color w:val="auto"/>
          <w:kern w:val="2"/>
          <w:sz w:val="32"/>
          <w:szCs w:val="32"/>
          <w14:ligatures w14:val="standardContextual"/>
        </w:rPr>
      </w:pPr>
      <w:r>
        <w:fldChar w:fldCharType="begin"/>
      </w:r>
      <w:r>
        <w:instrText xml:space="preserve"> HYPERLINK \l "_Toc178087282" </w:instrText>
      </w:r>
      <w:r>
        <w:fldChar w:fldCharType="separate"/>
      </w:r>
      <w:r>
        <w:rPr>
          <w:rStyle w:val="40"/>
          <w:rFonts w:hint="eastAsia" w:ascii="方正仿宋_GBK" w:hAnsi="宋体" w:eastAsia="方正仿宋_GBK"/>
          <w:color w:val="auto"/>
          <w:sz w:val="32"/>
          <w:szCs w:val="32"/>
        </w:rPr>
        <w:t>第五章  合同文本</w:t>
      </w:r>
      <w:r>
        <w:rPr>
          <w:rFonts w:hint="eastAsia" w:ascii="Times New Roman" w:hAnsi="Times New Roman" w:eastAsia="方正仿宋_GBK" w:cs="Times New Roman"/>
          <w:color w:val="auto"/>
          <w:sz w:val="32"/>
          <w:szCs w:val="32"/>
        </w:rPr>
        <w:tab/>
      </w:r>
      <w:r>
        <w:rPr>
          <w:rFonts w:hint="eastAsia" w:ascii="Times New Roman" w:hAnsi="Times New Roman" w:eastAsia="方正仿宋_GBK" w:cs="Times New Roman"/>
          <w:color w:val="auto"/>
          <w:sz w:val="32"/>
          <w:szCs w:val="32"/>
        </w:rPr>
        <w:t>29</w:t>
      </w:r>
      <w:r>
        <w:rPr>
          <w:rFonts w:hint="eastAsia" w:ascii="Times New Roman" w:hAnsi="Times New Roman" w:eastAsia="方正仿宋_GBK" w:cs="Times New Roman"/>
          <w:color w:val="auto"/>
          <w:sz w:val="32"/>
          <w:szCs w:val="32"/>
        </w:rPr>
        <w:fldChar w:fldCharType="end"/>
      </w:r>
    </w:p>
    <w:p w14:paraId="39E58BD5">
      <w:pPr>
        <w:pStyle w:val="26"/>
        <w:tabs>
          <w:tab w:val="right" w:leader="dot" w:pos="9736"/>
        </w:tabs>
        <w:spacing w:line="580" w:lineRule="exact"/>
        <w:rPr>
          <w:rFonts w:hint="eastAsia" w:ascii="方正仿宋_GBK" w:hAnsi="宋体" w:eastAsia="方正仿宋_GBK"/>
          <w:color w:val="auto"/>
          <w:kern w:val="2"/>
          <w:sz w:val="32"/>
          <w:szCs w:val="32"/>
          <w14:ligatures w14:val="standardContextual"/>
        </w:rPr>
      </w:pPr>
      <w:r>
        <w:fldChar w:fldCharType="begin"/>
      </w:r>
      <w:r>
        <w:instrText xml:space="preserve"> HYPERLINK \l "_Toc178087285" </w:instrText>
      </w:r>
      <w:r>
        <w:fldChar w:fldCharType="separate"/>
      </w:r>
      <w:r>
        <w:rPr>
          <w:rStyle w:val="40"/>
          <w:rFonts w:hint="eastAsia" w:ascii="方正仿宋_GBK" w:hAnsi="宋体" w:eastAsia="方正仿宋_GBK" w:cs="宋体"/>
          <w:color w:val="auto"/>
          <w:sz w:val="32"/>
          <w:szCs w:val="32"/>
        </w:rPr>
        <w:t>第六章  投标文件格式</w:t>
      </w:r>
      <w:r>
        <w:rPr>
          <w:rFonts w:hint="eastAsia" w:ascii="Times New Roman" w:hAnsi="Times New Roman" w:eastAsia="方正仿宋_GBK" w:cs="Times New Roman"/>
          <w:color w:val="auto"/>
          <w:sz w:val="32"/>
          <w:szCs w:val="32"/>
        </w:rPr>
        <w:tab/>
      </w:r>
      <w:r>
        <w:rPr>
          <w:rFonts w:hint="eastAsia" w:ascii="Times New Roman" w:hAnsi="Times New Roman" w:eastAsia="方正仿宋_GBK" w:cs="Times New Roman"/>
          <w:color w:val="auto"/>
          <w:sz w:val="32"/>
          <w:szCs w:val="32"/>
        </w:rPr>
        <w:t>34</w:t>
      </w:r>
      <w:r>
        <w:rPr>
          <w:rFonts w:hint="eastAsia" w:ascii="Times New Roman" w:hAnsi="Times New Roman" w:eastAsia="方正仿宋_GBK" w:cs="Times New Roman"/>
          <w:color w:val="auto"/>
          <w:sz w:val="32"/>
          <w:szCs w:val="32"/>
        </w:rPr>
        <w:fldChar w:fldCharType="end"/>
      </w:r>
    </w:p>
    <w:p w14:paraId="36323F20">
      <w:pPr>
        <w:spacing w:line="580" w:lineRule="exact"/>
        <w:jc w:val="center"/>
        <w:rPr>
          <w:rFonts w:hint="eastAsia" w:ascii="方正仿宋_GBK" w:hAnsi="宋体" w:eastAsia="方正仿宋_GBK" w:cs="宋体"/>
          <w:bCs/>
          <w:color w:val="auto"/>
          <w:sz w:val="28"/>
          <w:szCs w:val="28"/>
        </w:rPr>
      </w:pPr>
      <w:r>
        <w:rPr>
          <w:rFonts w:hint="eastAsia" w:ascii="方正仿宋_GBK" w:hAnsi="宋体" w:eastAsia="方正仿宋_GBK" w:cs="宋体"/>
          <w:bCs/>
          <w:color w:val="auto"/>
          <w:sz w:val="24"/>
          <w:szCs w:val="24"/>
        </w:rPr>
        <w:fldChar w:fldCharType="end"/>
      </w:r>
    </w:p>
    <w:p w14:paraId="5D3866B7">
      <w:pPr>
        <w:pStyle w:val="45"/>
        <w:spacing w:line="580" w:lineRule="exact"/>
        <w:rPr>
          <w:rFonts w:hint="eastAsia" w:ascii="方正仿宋_GBK" w:hAnsi="宋体" w:eastAsia="方正仿宋_GBK"/>
          <w:color w:val="auto"/>
        </w:rPr>
        <w:sectPr>
          <w:footerReference r:id="rId7" w:type="first"/>
          <w:footerReference r:id="rId6" w:type="default"/>
          <w:pgSz w:w="11906" w:h="16838"/>
          <w:pgMar w:top="2098" w:right="1588" w:bottom="1701" w:left="1588" w:header="851" w:footer="907" w:gutter="0"/>
          <w:pgNumType w:start="0"/>
          <w:cols w:space="1701" w:num="1"/>
          <w:titlePg/>
          <w:docGrid w:linePitch="360" w:charSpace="0"/>
        </w:sectPr>
      </w:pPr>
    </w:p>
    <w:p w14:paraId="362FCC93">
      <w:pPr>
        <w:spacing w:line="580" w:lineRule="exact"/>
        <w:jc w:val="center"/>
        <w:outlineLvl w:val="0"/>
        <w:rPr>
          <w:rFonts w:hint="eastAsia" w:ascii="方正黑体_GBK" w:hAnsi="宋体" w:eastAsia="方正黑体_GBK" w:cs="宋体"/>
          <w:color w:val="auto"/>
          <w:sz w:val="32"/>
          <w:szCs w:val="32"/>
        </w:rPr>
      </w:pPr>
      <w:bookmarkStart w:id="0" w:name="_Toc178087280"/>
      <w:r>
        <w:rPr>
          <w:rFonts w:hint="eastAsia" w:ascii="方正黑体_GBK" w:hAnsi="宋体" w:eastAsia="方正黑体_GBK" w:cs="宋体"/>
          <w:color w:val="auto"/>
          <w:sz w:val="32"/>
          <w:szCs w:val="32"/>
        </w:rPr>
        <w:t xml:space="preserve">第一章  </w:t>
      </w:r>
      <w:bookmarkEnd w:id="0"/>
      <w:r>
        <w:rPr>
          <w:rFonts w:hint="eastAsia" w:ascii="方正黑体_GBK" w:hAnsi="宋体" w:eastAsia="方正黑体_GBK" w:cs="宋体"/>
          <w:color w:val="auto"/>
          <w:sz w:val="32"/>
          <w:szCs w:val="32"/>
        </w:rPr>
        <w:t>投标邀请</w:t>
      </w:r>
    </w:p>
    <w:p w14:paraId="475BF09C">
      <w:pPr>
        <w:spacing w:line="580" w:lineRule="exact"/>
        <w:ind w:firstLine="640" w:firstLineChars="200"/>
        <w:rPr>
          <w:rFonts w:hint="eastAsia" w:ascii="方正仿宋_GBK" w:hAnsi="宋体" w:eastAsia="方正仿宋_GBK" w:cs="宋体"/>
          <w:color w:val="auto"/>
          <w:sz w:val="32"/>
          <w:szCs w:val="32"/>
        </w:rPr>
      </w:pPr>
      <w:bookmarkStart w:id="1" w:name="_Hlk24379207"/>
      <w:bookmarkEnd w:id="1"/>
      <w:bookmarkStart w:id="2" w:name="_Toc38985263"/>
      <w:bookmarkEnd w:id="2"/>
      <w:bookmarkStart w:id="3" w:name="_Toc35393790"/>
      <w:bookmarkEnd w:id="3"/>
      <w:bookmarkStart w:id="4" w:name="_Toc28359079"/>
      <w:bookmarkEnd w:id="4"/>
      <w:bookmarkStart w:id="5" w:name="_Toc28359002"/>
      <w:bookmarkEnd w:id="5"/>
      <w:bookmarkStart w:id="6" w:name="_Toc35393621"/>
      <w:bookmarkEnd w:id="6"/>
    </w:p>
    <w:p w14:paraId="62C7FF56">
      <w:pPr>
        <w:spacing w:line="580" w:lineRule="exact"/>
        <w:ind w:firstLine="640" w:firstLineChars="20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受南京市商务局（采购单位）委托，江苏中博通信有限公司（以下简称</w:t>
      </w:r>
      <w:r>
        <w:rPr>
          <w:rFonts w:hint="eastAsia" w:ascii="Times New Roman" w:hAnsi="Times New Roman" w:eastAsia="方正仿宋_GBK" w:cs="Times New Roman"/>
          <w:color w:val="auto"/>
          <w:sz w:val="32"/>
          <w:szCs w:val="32"/>
        </w:rPr>
        <w:t>“</w:t>
      </w:r>
      <w:r>
        <w:rPr>
          <w:rFonts w:ascii="Times New Roman" w:hAnsi="Times New Roman" w:eastAsia="方正仿宋_GBK" w:cs="Times New Roman"/>
          <w:color w:val="auto"/>
          <w:sz w:val="32"/>
          <w:szCs w:val="32"/>
        </w:rPr>
        <w:t>代理机构</w:t>
      </w:r>
      <w:r>
        <w:rPr>
          <w:rFonts w:hint="eastAsia" w:ascii="Times New Roman" w:hAnsi="Times New Roman" w:eastAsia="方正仿宋_GBK" w:cs="Times New Roman"/>
          <w:color w:val="auto"/>
          <w:sz w:val="32"/>
          <w:szCs w:val="32"/>
        </w:rPr>
        <w:t>”</w:t>
      </w:r>
      <w:r>
        <w:rPr>
          <w:rFonts w:ascii="Times New Roman" w:hAnsi="Times New Roman" w:eastAsia="方正仿宋_GBK" w:cs="Times New Roman"/>
          <w:color w:val="auto"/>
          <w:sz w:val="32"/>
          <w:szCs w:val="32"/>
        </w:rPr>
        <w:t>）就2026—2027年度南京市冻猪肉政府性储备项目（项目名称）进行公开招标采购，欢迎符合条件的投标人投标。</w:t>
      </w:r>
    </w:p>
    <w:p w14:paraId="2D9B8193">
      <w:pPr>
        <w:pStyle w:val="195"/>
        <w:spacing w:before="0" w:after="0" w:line="580" w:lineRule="exact"/>
        <w:ind w:firstLine="640" w:firstLineChars="200"/>
        <w:outlineLvl w:val="1"/>
        <w:rPr>
          <w:rFonts w:ascii="Times New Roman" w:hAnsi="Times New Roman" w:eastAsia="方正仿宋_GBK" w:cs="Times New Roman"/>
          <w:b w:val="0"/>
          <w:color w:val="auto"/>
        </w:rPr>
      </w:pPr>
      <w:r>
        <w:rPr>
          <w:rFonts w:ascii="Times New Roman" w:hAnsi="Times New Roman" w:eastAsia="方正仿宋_GBK" w:cs="Times New Roman"/>
          <w:b w:val="0"/>
          <w:color w:val="auto"/>
        </w:rPr>
        <w:t>一、项目基本情况</w:t>
      </w:r>
    </w:p>
    <w:p w14:paraId="41C6BD7E">
      <w:pPr>
        <w:spacing w:line="580" w:lineRule="exact"/>
        <w:ind w:firstLine="640" w:firstLineChars="20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 xml:space="preserve">1．项目编号：JSZC-320100-JSZB-G2026-0003 </w:t>
      </w:r>
      <w:r>
        <w:rPr>
          <w:rFonts w:ascii="Times New Roman" w:hAnsi="Times New Roman" w:eastAsia="方正仿宋_GBK" w:cs="Times New Roman"/>
          <w:color w:val="auto"/>
          <w:sz w:val="32"/>
          <w:szCs w:val="32"/>
        </w:rPr>
        <w:t xml:space="preserve"> </w:t>
      </w:r>
    </w:p>
    <w:p w14:paraId="0060637E">
      <w:pPr>
        <w:spacing w:line="580" w:lineRule="exact"/>
        <w:ind w:firstLine="640" w:firstLineChars="20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2．项目名称：2026—2027年度南京市冻猪肉政府性储备项目</w:t>
      </w:r>
    </w:p>
    <w:p w14:paraId="0CD58EA6">
      <w:pPr>
        <w:spacing w:line="580" w:lineRule="exact"/>
        <w:ind w:firstLine="640" w:firstLineChars="20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3．</w:t>
      </w:r>
      <w:r>
        <w:rPr>
          <w:rFonts w:ascii="Times New Roman" w:hAnsi="Times New Roman" w:eastAsia="方正仿宋_GBK" w:cs="Times New Roman"/>
          <w:color w:val="auto"/>
          <w:sz w:val="32"/>
          <w:szCs w:val="32"/>
          <w:u w:val="single"/>
        </w:rPr>
        <w:t>预算金额：870万元（采购包1：435万元、采购包2：290万元、采购包3：145万元。最高投标单价限价：不高于2900元/年</w:t>
      </w:r>
      <w:r>
        <w:rPr>
          <w:rFonts w:hint="eastAsia" w:ascii="Times New Roman" w:hAnsi="Times New Roman" w:eastAsia="方正仿宋_GBK" w:cs="Times New Roman"/>
          <w:color w:val="auto"/>
          <w:sz w:val="32"/>
          <w:szCs w:val="32"/>
          <w:u w:val="single"/>
        </w:rPr>
        <w:t>/</w:t>
      </w:r>
      <w:r>
        <w:rPr>
          <w:rFonts w:ascii="Times New Roman" w:hAnsi="Times New Roman" w:eastAsia="方正仿宋_GBK" w:cs="Times New Roman"/>
          <w:color w:val="auto"/>
          <w:sz w:val="32"/>
          <w:szCs w:val="32"/>
          <w:u w:val="single"/>
        </w:rPr>
        <w:t>吨）</w:t>
      </w:r>
    </w:p>
    <w:p w14:paraId="438B48EA">
      <w:pPr>
        <w:spacing w:line="580" w:lineRule="exact"/>
        <w:ind w:firstLine="640" w:firstLineChars="200"/>
        <w:rPr>
          <w:rFonts w:ascii="Times New Roman" w:hAnsi="Times New Roman" w:eastAsia="方正仿宋_GBK" w:cs="Times New Roman"/>
          <w:color w:val="auto"/>
          <w:sz w:val="32"/>
          <w:szCs w:val="32"/>
          <w:u w:val="single"/>
        </w:rPr>
      </w:pPr>
      <w:r>
        <w:rPr>
          <w:rFonts w:ascii="Times New Roman" w:hAnsi="Times New Roman" w:eastAsia="方正仿宋_GBK" w:cs="Times New Roman"/>
          <w:color w:val="auto"/>
          <w:sz w:val="32"/>
          <w:szCs w:val="32"/>
        </w:rPr>
        <w:t>4．</w:t>
      </w:r>
      <w:r>
        <w:rPr>
          <w:rFonts w:ascii="Times New Roman" w:hAnsi="Times New Roman" w:eastAsia="方正仿宋_GBK" w:cs="Times New Roman"/>
          <w:color w:val="auto"/>
          <w:sz w:val="32"/>
          <w:szCs w:val="32"/>
          <w:u w:val="single"/>
        </w:rPr>
        <w:t>最高限价：870万元（采购包1：435万元、采购包2：290万元、采购包3：145万元；最高投标单价限价：不高于2900元/年</w:t>
      </w:r>
      <w:r>
        <w:rPr>
          <w:rFonts w:hint="eastAsia" w:ascii="Times New Roman" w:hAnsi="Times New Roman" w:eastAsia="方正仿宋_GBK" w:cs="Times New Roman"/>
          <w:color w:val="auto"/>
          <w:sz w:val="32"/>
          <w:szCs w:val="32"/>
          <w:u w:val="single"/>
        </w:rPr>
        <w:t>/</w:t>
      </w:r>
      <w:r>
        <w:rPr>
          <w:rFonts w:ascii="Times New Roman" w:hAnsi="Times New Roman" w:eastAsia="方正仿宋_GBK" w:cs="Times New Roman"/>
          <w:color w:val="auto"/>
          <w:sz w:val="32"/>
          <w:szCs w:val="32"/>
          <w:u w:val="single"/>
        </w:rPr>
        <w:t>吨）</w:t>
      </w:r>
    </w:p>
    <w:p w14:paraId="3E983601">
      <w:pPr>
        <w:spacing w:line="580" w:lineRule="exact"/>
        <w:ind w:firstLine="640" w:firstLineChars="20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5．采购需求：</w:t>
      </w:r>
      <w:bookmarkStart w:id="7" w:name="_Hlk177045944"/>
      <w:r>
        <w:rPr>
          <w:rFonts w:ascii="Times New Roman" w:hAnsi="Times New Roman" w:eastAsia="方正仿宋_GBK" w:cs="Times New Roman"/>
          <w:color w:val="auto"/>
          <w:sz w:val="32"/>
          <w:szCs w:val="32"/>
        </w:rPr>
        <w:t>政府冻猪肉储备项目按照政府委托、企业承储、财政补贴、企业自负盈亏原则，将承储企业收储的冻猪肉转为政府储备，</w:t>
      </w:r>
      <w:r>
        <w:rPr>
          <w:rFonts w:ascii="Times New Roman" w:hAnsi="Times New Roman" w:eastAsia="方正仿宋_GBK" w:cs="Times New Roman"/>
          <w:color w:val="auto"/>
          <w:sz w:val="32"/>
          <w:szCs w:val="32"/>
          <w:u w:val="single"/>
        </w:rPr>
        <w:t>存储总量3000吨，存储期限为2026年5月至2027年</w:t>
      </w:r>
      <w:r>
        <w:rPr>
          <w:rFonts w:hint="eastAsia" w:ascii="Times New Roman" w:hAnsi="Times New Roman" w:eastAsia="方正仿宋_GBK" w:cs="Times New Roman"/>
          <w:color w:val="auto"/>
          <w:sz w:val="32"/>
          <w:szCs w:val="32"/>
          <w:u w:val="single"/>
        </w:rPr>
        <w:t>5</w:t>
      </w:r>
      <w:r>
        <w:rPr>
          <w:rFonts w:ascii="Times New Roman" w:hAnsi="Times New Roman" w:eastAsia="方正仿宋_GBK" w:cs="Times New Roman"/>
          <w:color w:val="auto"/>
          <w:sz w:val="32"/>
          <w:szCs w:val="32"/>
          <w:u w:val="single"/>
        </w:rPr>
        <w:t>月</w:t>
      </w:r>
      <w:r>
        <w:rPr>
          <w:rFonts w:hint="eastAsia" w:ascii="Times New Roman" w:hAnsi="Times New Roman" w:eastAsia="方正仿宋_GBK" w:cs="Times New Roman"/>
          <w:color w:val="auto"/>
          <w:sz w:val="32"/>
          <w:szCs w:val="32"/>
          <w:u w:val="single"/>
        </w:rPr>
        <w:t>（具体以合同约定时间为准）</w:t>
      </w:r>
      <w:r>
        <w:rPr>
          <w:rFonts w:ascii="Times New Roman" w:hAnsi="Times New Roman" w:eastAsia="方正仿宋_GBK" w:cs="Times New Roman"/>
          <w:color w:val="auto"/>
          <w:sz w:val="32"/>
          <w:szCs w:val="32"/>
          <w:u w:val="single"/>
        </w:rPr>
        <w:t>。政府按照不高于每年每吨2900元标准给予补贴</w:t>
      </w:r>
      <w:r>
        <w:rPr>
          <w:rFonts w:hint="eastAsia" w:ascii="Times New Roman" w:hAnsi="Times New Roman" w:eastAsia="方正仿宋_GBK" w:cs="Times New Roman"/>
          <w:color w:val="auto"/>
          <w:sz w:val="32"/>
          <w:szCs w:val="32"/>
          <w:u w:val="single"/>
        </w:rPr>
        <w:t>。</w:t>
      </w:r>
    </w:p>
    <w:p w14:paraId="2014C85A">
      <w:pPr>
        <w:spacing w:line="580" w:lineRule="exact"/>
        <w:ind w:firstLine="640" w:firstLineChars="20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u w:val="single"/>
        </w:rPr>
        <w:t>本项目分为三个包，包一1500吨、包二1000吨、包三500吨。</w:t>
      </w:r>
      <w:bookmarkEnd w:id="7"/>
      <w:r>
        <w:rPr>
          <w:rFonts w:ascii="Times New Roman" w:hAnsi="Times New Roman" w:eastAsia="方正仿宋_GBK" w:cs="Times New Roman"/>
          <w:color w:val="auto"/>
          <w:sz w:val="32"/>
          <w:szCs w:val="32"/>
          <w:u w:val="single"/>
        </w:rPr>
        <w:t>本项目兼投不兼中。本项目评审顺序为：标包1、标包2、标包3。</w:t>
      </w:r>
      <w:r>
        <w:rPr>
          <w:rFonts w:ascii="Times New Roman" w:hAnsi="Times New Roman" w:eastAsia="方正仿宋_GBK" w:cs="Times New Roman"/>
          <w:color w:val="auto"/>
          <w:sz w:val="32"/>
          <w:szCs w:val="32"/>
        </w:rPr>
        <w:t>在评审阶段按评审顺序，若投标人在依次评审的分包中被推荐为第一成交候选投标人，则投标人可以继续参加后续分包的评审，但不得被推荐为后续分包的成交候选投标人。</w:t>
      </w:r>
    </w:p>
    <w:p w14:paraId="5856DD7D">
      <w:pPr>
        <w:spacing w:line="580" w:lineRule="exact"/>
        <w:ind w:firstLine="640" w:firstLineChars="200"/>
        <w:rPr>
          <w:rFonts w:ascii="Times New Roman" w:hAnsi="Times New Roman" w:eastAsia="方正仿宋_GBK" w:cs="Times New Roman"/>
          <w:color w:val="auto"/>
          <w:sz w:val="32"/>
          <w:szCs w:val="32"/>
          <w:shd w:val="clear" w:color="auto" w:fill="FFFF00"/>
        </w:rPr>
      </w:pPr>
      <w:r>
        <w:rPr>
          <w:rFonts w:ascii="Times New Roman" w:hAnsi="Times New Roman" w:eastAsia="方正仿宋_GBK" w:cs="Times New Roman"/>
          <w:color w:val="auto"/>
          <w:sz w:val="32"/>
          <w:szCs w:val="32"/>
        </w:rPr>
        <w:t>6．合同履行期限：</w:t>
      </w:r>
      <w:r>
        <w:rPr>
          <w:rFonts w:ascii="Times New Roman" w:hAnsi="Times New Roman" w:eastAsia="方正仿宋_GBK" w:cs="Times New Roman"/>
          <w:color w:val="auto"/>
          <w:sz w:val="32"/>
          <w:szCs w:val="32"/>
          <w:u w:val="single"/>
        </w:rPr>
        <w:t>存储期限为2026年5月至2027年</w:t>
      </w:r>
      <w:r>
        <w:rPr>
          <w:rFonts w:hint="eastAsia" w:ascii="Times New Roman" w:hAnsi="Times New Roman" w:eastAsia="方正仿宋_GBK" w:cs="Times New Roman"/>
          <w:color w:val="auto"/>
          <w:sz w:val="32"/>
          <w:szCs w:val="32"/>
          <w:u w:val="single"/>
        </w:rPr>
        <w:t>5</w:t>
      </w:r>
      <w:r>
        <w:rPr>
          <w:rFonts w:ascii="Times New Roman" w:hAnsi="Times New Roman" w:eastAsia="方正仿宋_GBK" w:cs="Times New Roman"/>
          <w:color w:val="auto"/>
          <w:sz w:val="32"/>
          <w:szCs w:val="32"/>
          <w:u w:val="single"/>
        </w:rPr>
        <w:t>月。</w:t>
      </w:r>
    </w:p>
    <w:p w14:paraId="177BF87A">
      <w:pPr>
        <w:spacing w:line="580" w:lineRule="exact"/>
        <w:ind w:firstLine="640" w:firstLineChars="20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7．本项目不接受联合体投标。</w:t>
      </w:r>
    </w:p>
    <w:p w14:paraId="09F821A9">
      <w:pPr>
        <w:pStyle w:val="195"/>
        <w:spacing w:before="0" w:after="0" w:line="580" w:lineRule="exact"/>
        <w:ind w:firstLine="640" w:firstLineChars="200"/>
        <w:outlineLvl w:val="1"/>
        <w:rPr>
          <w:rFonts w:ascii="Times New Roman" w:hAnsi="Times New Roman" w:eastAsia="方正仿宋_GBK" w:cs="Times New Roman"/>
          <w:b w:val="0"/>
          <w:color w:val="auto"/>
        </w:rPr>
      </w:pPr>
      <w:bookmarkStart w:id="8" w:name="_Toc28359003"/>
      <w:bookmarkEnd w:id="8"/>
      <w:bookmarkStart w:id="9" w:name="_Toc28359080"/>
      <w:bookmarkEnd w:id="9"/>
      <w:bookmarkStart w:id="10" w:name="_Toc35393791"/>
      <w:bookmarkEnd w:id="10"/>
      <w:bookmarkStart w:id="11" w:name="_Toc38985264"/>
      <w:bookmarkEnd w:id="11"/>
      <w:bookmarkStart w:id="12" w:name="_Toc35393622"/>
      <w:bookmarkEnd w:id="12"/>
      <w:r>
        <w:rPr>
          <w:rFonts w:ascii="Times New Roman" w:hAnsi="Times New Roman" w:eastAsia="方正仿宋_GBK" w:cs="Times New Roman"/>
          <w:b w:val="0"/>
          <w:color w:val="auto"/>
        </w:rPr>
        <w:t>二、申请人的资格要求</w:t>
      </w:r>
    </w:p>
    <w:p w14:paraId="0F3012DC">
      <w:pPr>
        <w:spacing w:line="580" w:lineRule="exact"/>
        <w:ind w:firstLine="640" w:firstLineChars="200"/>
        <w:rPr>
          <w:rFonts w:ascii="Times New Roman" w:hAnsi="Times New Roman" w:eastAsia="方正仿宋_GBK" w:cs="Times New Roman"/>
          <w:color w:val="auto"/>
          <w:sz w:val="32"/>
          <w:szCs w:val="32"/>
        </w:rPr>
      </w:pPr>
      <w:bookmarkStart w:id="13" w:name="_Toc28359081"/>
      <w:bookmarkEnd w:id="13"/>
      <w:bookmarkStart w:id="14" w:name="_Toc28359004"/>
      <w:bookmarkEnd w:id="14"/>
      <w:bookmarkStart w:id="15" w:name="_Toc35393623"/>
      <w:bookmarkEnd w:id="15"/>
      <w:bookmarkStart w:id="16" w:name="_Toc38985265"/>
      <w:bookmarkEnd w:id="16"/>
      <w:bookmarkStart w:id="17" w:name="_Toc35393792"/>
      <w:bookmarkEnd w:id="17"/>
      <w:r>
        <w:rPr>
          <w:rFonts w:ascii="Times New Roman" w:hAnsi="Times New Roman" w:eastAsia="方正仿宋_GBK" w:cs="Times New Roman"/>
          <w:color w:val="auto"/>
          <w:sz w:val="32"/>
          <w:szCs w:val="32"/>
        </w:rPr>
        <w:t>（一）通用资格要求</w:t>
      </w:r>
    </w:p>
    <w:p w14:paraId="425039D2">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1．</w:t>
      </w:r>
      <w:r>
        <w:rPr>
          <w:rFonts w:ascii="Times New Roman" w:hAnsi="Times New Roman" w:eastAsia="方正仿宋_GBK" w:cs="Times New Roman"/>
          <w:color w:val="auto"/>
          <w:sz w:val="32"/>
          <w:szCs w:val="32"/>
          <w:lang w:val="zh-CN"/>
        </w:rPr>
        <w:t>满足《中华人民共和国政府采购法》第二十二条规定，并提供下列材料：</w:t>
      </w:r>
    </w:p>
    <w:p w14:paraId="1AC6F419">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1.1</w:t>
      </w:r>
      <w:r>
        <w:rPr>
          <w:rFonts w:ascii="Times New Roman" w:hAnsi="Times New Roman" w:eastAsia="方正仿宋_GBK" w:cs="Times New Roman"/>
          <w:color w:val="auto"/>
          <w:sz w:val="32"/>
          <w:szCs w:val="32"/>
          <w:lang w:val="zh-CN"/>
        </w:rPr>
        <w:t>《南京市政府采购投标人信用记录表暨信用承诺书》（格式见第六章）。</w:t>
      </w:r>
    </w:p>
    <w:p w14:paraId="5D8F2F82">
      <w:pPr>
        <w:spacing w:line="580" w:lineRule="exact"/>
        <w:ind w:firstLine="640" w:firstLineChars="200"/>
        <w:rPr>
          <w:rFonts w:ascii="Times New Roman" w:hAnsi="Times New Roman" w:eastAsia="方正仿宋_GBK" w:cs="Times New Roman"/>
          <w:color w:val="auto"/>
          <w:sz w:val="32"/>
          <w:szCs w:val="32"/>
          <w:shd w:val="clear" w:color="auto" w:fill="FFFF00"/>
        </w:rPr>
      </w:pPr>
      <w:r>
        <w:rPr>
          <w:rFonts w:ascii="Times New Roman" w:hAnsi="Times New Roman" w:eastAsia="方正仿宋_GBK" w:cs="Times New Roman"/>
          <w:color w:val="auto"/>
          <w:sz w:val="32"/>
          <w:szCs w:val="32"/>
        </w:rPr>
        <w:t>2．</w:t>
      </w:r>
      <w:r>
        <w:rPr>
          <w:rFonts w:ascii="Times New Roman" w:hAnsi="Times New Roman" w:eastAsia="方正仿宋_GBK" w:cs="Times New Roman"/>
          <w:color w:val="auto"/>
          <w:sz w:val="32"/>
          <w:szCs w:val="32"/>
          <w:lang w:val="zh-CN"/>
        </w:rPr>
        <w:t>落实政府采购政策需满足的资格要求：</w:t>
      </w:r>
      <w:r>
        <w:rPr>
          <w:rFonts w:ascii="Times New Roman" w:hAnsi="Times New Roman" w:eastAsia="方正仿宋_GBK" w:cs="Times New Roman"/>
          <w:color w:val="auto"/>
          <w:sz w:val="32"/>
          <w:szCs w:val="32"/>
        </w:rPr>
        <w:t>无。</w:t>
      </w:r>
    </w:p>
    <w:p w14:paraId="591E728E">
      <w:pPr>
        <w:spacing w:line="580" w:lineRule="exact"/>
        <w:ind w:firstLine="640" w:firstLineChars="20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lang w:val="zh-CN"/>
        </w:rPr>
        <w:t>本项目采购标的对应的中小企业划分标准所属行业为：</w:t>
      </w:r>
      <w:r>
        <w:rPr>
          <w:rFonts w:ascii="Times New Roman" w:hAnsi="Times New Roman" w:eastAsia="方正仿宋_GBK" w:cs="Times New Roman"/>
          <w:color w:val="auto"/>
          <w:sz w:val="32"/>
          <w:szCs w:val="32"/>
        </w:rPr>
        <w:t>本项目属于其他未列明行业。</w:t>
      </w:r>
    </w:p>
    <w:p w14:paraId="001D93BF">
      <w:pPr>
        <w:spacing w:line="580" w:lineRule="exact"/>
        <w:ind w:firstLine="640" w:firstLineChars="20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（二）本项目的特定资格要求：无。</w:t>
      </w:r>
    </w:p>
    <w:p w14:paraId="34D16852">
      <w:pPr>
        <w:spacing w:line="580" w:lineRule="exact"/>
        <w:ind w:firstLine="640" w:firstLineChars="20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（三）</w:t>
      </w:r>
      <w:bookmarkStart w:id="18" w:name="OLE_LINK18"/>
      <w:r>
        <w:rPr>
          <w:rFonts w:ascii="Times New Roman" w:hAnsi="Times New Roman" w:eastAsia="方正仿宋_GBK" w:cs="Times New Roman"/>
          <w:color w:val="auto"/>
          <w:sz w:val="32"/>
          <w:szCs w:val="32"/>
        </w:rPr>
        <w:t>拒绝下述投标人参加本次采购活动</w:t>
      </w:r>
    </w:p>
    <w:p w14:paraId="609BF19C">
      <w:pPr>
        <w:spacing w:line="580" w:lineRule="exact"/>
        <w:ind w:firstLine="640" w:firstLineChars="20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1．单位负责人为同一人或者存在直接控股、管理关系的不同投标人，不得参加同一合同项下的政府采购活动。</w:t>
      </w:r>
    </w:p>
    <w:p w14:paraId="5990EAD7">
      <w:pPr>
        <w:spacing w:line="580" w:lineRule="exact"/>
        <w:ind w:firstLine="640" w:firstLineChars="20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2．为采购项目提供整体设计、规范编制或者项目管理、监理、检测等服务的投标人，不得参加本项目的采购活动。</w:t>
      </w:r>
    </w:p>
    <w:p w14:paraId="278E1153">
      <w:pPr>
        <w:spacing w:line="580" w:lineRule="exact"/>
        <w:ind w:firstLine="640" w:firstLineChars="200"/>
        <w:jc w:val="left"/>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3．投标人被</w:t>
      </w:r>
      <w:r>
        <w:rPr>
          <w:rFonts w:hint="eastAsia" w:ascii="Times New Roman" w:hAnsi="Times New Roman" w:eastAsia="方正仿宋_GBK" w:cs="Times New Roman"/>
          <w:color w:val="auto"/>
          <w:sz w:val="32"/>
          <w:szCs w:val="32"/>
        </w:rPr>
        <w:t>“</w:t>
      </w:r>
      <w:r>
        <w:rPr>
          <w:rFonts w:ascii="Times New Roman" w:hAnsi="Times New Roman" w:eastAsia="方正仿宋_GBK" w:cs="Times New Roman"/>
          <w:color w:val="auto"/>
          <w:sz w:val="32"/>
          <w:szCs w:val="32"/>
        </w:rPr>
        <w:t>信用中国</w:t>
      </w:r>
      <w:r>
        <w:rPr>
          <w:rFonts w:hint="eastAsia" w:ascii="Times New Roman" w:hAnsi="Times New Roman" w:eastAsia="方正仿宋_GBK" w:cs="Times New Roman"/>
          <w:color w:val="auto"/>
          <w:sz w:val="32"/>
          <w:szCs w:val="32"/>
        </w:rPr>
        <w:t>”</w:t>
      </w:r>
      <w:r>
        <w:rPr>
          <w:rFonts w:ascii="Times New Roman" w:hAnsi="Times New Roman" w:eastAsia="方正仿宋_GBK" w:cs="Times New Roman"/>
          <w:color w:val="auto"/>
          <w:sz w:val="32"/>
          <w:szCs w:val="32"/>
        </w:rPr>
        <w:t>网站</w:t>
      </w:r>
      <w:r>
        <w:rPr>
          <w:rFonts w:ascii="Times New Roman" w:hAnsi="Times New Roman" w:eastAsia="方正仿宋_GBK" w:cs="Times New Roman"/>
          <w:color w:val="auto"/>
          <w:sz w:val="28"/>
          <w:szCs w:val="28"/>
        </w:rPr>
        <w:t>（www.creditchina.gov.cn）</w:t>
      </w:r>
      <w:r>
        <w:rPr>
          <w:rFonts w:ascii="Times New Roman" w:hAnsi="Times New Roman" w:eastAsia="方正仿宋_GBK" w:cs="Times New Roman"/>
          <w:color w:val="auto"/>
          <w:sz w:val="32"/>
          <w:szCs w:val="32"/>
        </w:rPr>
        <w:t>、</w:t>
      </w:r>
      <w:r>
        <w:rPr>
          <w:rFonts w:hint="eastAsia" w:ascii="Times New Roman" w:hAnsi="Times New Roman" w:eastAsia="方正仿宋_GBK" w:cs="Times New Roman"/>
          <w:color w:val="auto"/>
          <w:sz w:val="32"/>
          <w:szCs w:val="32"/>
        </w:rPr>
        <w:t>“</w:t>
      </w:r>
      <w:r>
        <w:rPr>
          <w:rFonts w:ascii="Times New Roman" w:hAnsi="Times New Roman" w:eastAsia="方正仿宋_GBK" w:cs="Times New Roman"/>
          <w:color w:val="auto"/>
          <w:sz w:val="32"/>
          <w:szCs w:val="32"/>
        </w:rPr>
        <w:t>中国政府采购网</w:t>
      </w:r>
      <w:r>
        <w:rPr>
          <w:rFonts w:hint="eastAsia" w:ascii="Times New Roman" w:hAnsi="Times New Roman" w:eastAsia="方正仿宋_GBK" w:cs="Times New Roman"/>
          <w:color w:val="auto"/>
          <w:sz w:val="32"/>
          <w:szCs w:val="32"/>
        </w:rPr>
        <w:t>”</w:t>
      </w:r>
      <w:r>
        <w:rPr>
          <w:rFonts w:ascii="Times New Roman" w:hAnsi="Times New Roman" w:eastAsia="方正仿宋_GBK" w:cs="Times New Roman"/>
          <w:color w:val="auto"/>
          <w:sz w:val="28"/>
          <w:szCs w:val="28"/>
        </w:rPr>
        <w:t>（www.ccgp.gov.cn）</w:t>
      </w:r>
      <w:r>
        <w:rPr>
          <w:rFonts w:ascii="Times New Roman" w:hAnsi="Times New Roman" w:eastAsia="方正仿宋_GBK" w:cs="Times New Roman"/>
          <w:color w:val="auto"/>
          <w:sz w:val="32"/>
          <w:szCs w:val="32"/>
        </w:rPr>
        <w:t>列入失信被执行人、重大税收违法案件当事人名单、政府采购严重违法失信行为记录名单。</w:t>
      </w:r>
      <w:bookmarkEnd w:id="18"/>
    </w:p>
    <w:p w14:paraId="103B611E">
      <w:pPr>
        <w:pStyle w:val="195"/>
        <w:spacing w:before="0" w:after="0" w:line="580" w:lineRule="exact"/>
        <w:ind w:firstLine="640" w:firstLineChars="200"/>
        <w:outlineLvl w:val="1"/>
        <w:rPr>
          <w:rFonts w:ascii="Times New Roman" w:hAnsi="Times New Roman" w:eastAsia="方正仿宋_GBK" w:cs="Times New Roman"/>
          <w:b w:val="0"/>
          <w:color w:val="auto"/>
        </w:rPr>
      </w:pPr>
      <w:r>
        <w:rPr>
          <w:rFonts w:ascii="Times New Roman" w:hAnsi="Times New Roman" w:eastAsia="方正仿宋_GBK" w:cs="Times New Roman"/>
          <w:b w:val="0"/>
          <w:color w:val="auto"/>
        </w:rPr>
        <w:t>三、获取招标文件</w:t>
      </w:r>
    </w:p>
    <w:p w14:paraId="510965B5">
      <w:pPr>
        <w:spacing w:line="580" w:lineRule="exact"/>
        <w:ind w:firstLine="640" w:firstLineChars="200"/>
        <w:rPr>
          <w:rFonts w:ascii="Times New Roman" w:hAnsi="Times New Roman" w:eastAsia="方正仿宋_GBK" w:cs="Times New Roman"/>
          <w:color w:val="auto"/>
          <w:sz w:val="32"/>
          <w:szCs w:val="32"/>
        </w:rPr>
      </w:pPr>
      <w:bookmarkStart w:id="19" w:name="_Toc35393793"/>
      <w:bookmarkEnd w:id="19"/>
      <w:bookmarkStart w:id="20" w:name="_Toc28359082"/>
      <w:bookmarkEnd w:id="20"/>
      <w:bookmarkStart w:id="21" w:name="_Toc38985266"/>
      <w:bookmarkEnd w:id="21"/>
      <w:bookmarkStart w:id="22" w:name="_Toc28359005"/>
      <w:bookmarkEnd w:id="22"/>
      <w:bookmarkStart w:id="23" w:name="_Toc35393624"/>
      <w:bookmarkEnd w:id="23"/>
      <w:r>
        <w:rPr>
          <w:rFonts w:ascii="Times New Roman" w:hAnsi="Times New Roman" w:eastAsia="方正仿宋_GBK" w:cs="Times New Roman"/>
          <w:color w:val="auto"/>
          <w:sz w:val="32"/>
          <w:szCs w:val="32"/>
        </w:rPr>
        <w:t>1．时间</w:t>
      </w:r>
      <w:r>
        <w:rPr>
          <w:rFonts w:ascii="Times New Roman" w:hAnsi="Times New Roman" w:eastAsia="方正仿宋_GBK" w:cs="Times New Roman"/>
          <w:color w:val="auto"/>
          <w:sz w:val="32"/>
          <w:szCs w:val="32"/>
          <w:highlight w:val="none"/>
        </w:rPr>
        <w:t>：2026年</w:t>
      </w:r>
      <w:r>
        <w:rPr>
          <w:rFonts w:hint="eastAsia" w:ascii="Times New Roman" w:hAnsi="Times New Roman" w:eastAsia="方正仿宋_GBK" w:cs="Times New Roman"/>
          <w:color w:val="auto"/>
          <w:sz w:val="32"/>
          <w:szCs w:val="32"/>
          <w:highlight w:val="none"/>
          <w:u w:val="single"/>
          <w:lang w:val="en-US" w:eastAsia="zh-CN"/>
        </w:rPr>
        <w:t>4</w:t>
      </w:r>
      <w:r>
        <w:rPr>
          <w:rFonts w:ascii="Times New Roman" w:hAnsi="Times New Roman" w:eastAsia="方正仿宋_GBK" w:cs="Times New Roman"/>
          <w:color w:val="auto"/>
          <w:sz w:val="32"/>
          <w:szCs w:val="32"/>
          <w:highlight w:val="none"/>
        </w:rPr>
        <w:t>月</w:t>
      </w:r>
      <w:r>
        <w:rPr>
          <w:rFonts w:hint="eastAsia" w:ascii="Times New Roman" w:hAnsi="Times New Roman" w:eastAsia="方正仿宋_GBK" w:cs="Times New Roman"/>
          <w:color w:val="auto"/>
          <w:sz w:val="32"/>
          <w:szCs w:val="32"/>
          <w:highlight w:val="none"/>
          <w:u w:val="single"/>
          <w:lang w:val="en-US" w:eastAsia="zh-CN"/>
        </w:rPr>
        <w:t>17</w:t>
      </w:r>
      <w:r>
        <w:rPr>
          <w:rFonts w:ascii="Times New Roman" w:hAnsi="Times New Roman" w:eastAsia="方正仿宋_GBK" w:cs="Times New Roman"/>
          <w:color w:val="auto"/>
          <w:sz w:val="32"/>
          <w:szCs w:val="32"/>
          <w:highlight w:val="none"/>
        </w:rPr>
        <w:t>日至2026年</w:t>
      </w:r>
      <w:r>
        <w:rPr>
          <w:rFonts w:hint="eastAsia" w:ascii="Times New Roman" w:hAnsi="Times New Roman" w:eastAsia="方正仿宋_GBK" w:cs="Times New Roman"/>
          <w:color w:val="auto"/>
          <w:sz w:val="32"/>
          <w:szCs w:val="32"/>
          <w:highlight w:val="none"/>
          <w:u w:val="single"/>
          <w:lang w:val="en-US" w:eastAsia="zh-CN"/>
        </w:rPr>
        <w:t>4</w:t>
      </w:r>
      <w:r>
        <w:rPr>
          <w:rFonts w:ascii="Times New Roman" w:hAnsi="Times New Roman" w:eastAsia="方正仿宋_GBK" w:cs="Times New Roman"/>
          <w:color w:val="auto"/>
          <w:sz w:val="32"/>
          <w:szCs w:val="32"/>
          <w:highlight w:val="none"/>
        </w:rPr>
        <w:t>月</w:t>
      </w:r>
      <w:r>
        <w:rPr>
          <w:rFonts w:hint="eastAsia" w:ascii="Times New Roman" w:hAnsi="Times New Roman" w:eastAsia="方正仿宋_GBK" w:cs="Times New Roman"/>
          <w:color w:val="auto"/>
          <w:sz w:val="32"/>
          <w:szCs w:val="32"/>
          <w:highlight w:val="none"/>
          <w:u w:val="single"/>
          <w:lang w:val="en-US" w:eastAsia="zh-CN"/>
        </w:rPr>
        <w:t>24</w:t>
      </w:r>
      <w:r>
        <w:rPr>
          <w:rFonts w:ascii="Times New Roman" w:hAnsi="Times New Roman" w:eastAsia="方正仿宋_GBK" w:cs="Times New Roman"/>
          <w:color w:val="auto"/>
          <w:sz w:val="32"/>
          <w:szCs w:val="32"/>
          <w:highlight w:val="none"/>
        </w:rPr>
        <w:t>日</w:t>
      </w:r>
      <w:r>
        <w:rPr>
          <w:rFonts w:ascii="Times New Roman" w:hAnsi="Times New Roman" w:eastAsia="方正仿宋_GBK" w:cs="Times New Roman"/>
          <w:color w:val="auto"/>
          <w:sz w:val="32"/>
          <w:szCs w:val="32"/>
        </w:rPr>
        <w:t>，每天8:30至17:30（北京时间，法定节假日除外）。</w:t>
      </w:r>
    </w:p>
    <w:p w14:paraId="22D469B0">
      <w:pPr>
        <w:spacing w:line="580" w:lineRule="exact"/>
        <w:ind w:firstLine="640" w:firstLineChars="20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2．地点：在</w:t>
      </w:r>
      <w:r>
        <w:rPr>
          <w:rFonts w:hint="eastAsia" w:ascii="Times New Roman" w:hAnsi="Times New Roman" w:eastAsia="方正仿宋_GBK" w:cs="Times New Roman"/>
          <w:color w:val="auto"/>
          <w:sz w:val="32"/>
          <w:szCs w:val="32"/>
        </w:rPr>
        <w:t>“</w:t>
      </w:r>
      <w:r>
        <w:rPr>
          <w:rFonts w:ascii="Times New Roman" w:hAnsi="Times New Roman" w:eastAsia="方正仿宋_GBK" w:cs="Times New Roman"/>
          <w:color w:val="auto"/>
          <w:sz w:val="32"/>
          <w:szCs w:val="32"/>
        </w:rPr>
        <w:t>江苏政府采购网</w:t>
      </w:r>
      <w:r>
        <w:rPr>
          <w:rFonts w:hint="eastAsia" w:ascii="Times New Roman" w:hAnsi="Times New Roman" w:eastAsia="方正仿宋_GBK" w:cs="Times New Roman"/>
          <w:color w:val="auto"/>
          <w:sz w:val="32"/>
          <w:szCs w:val="32"/>
        </w:rPr>
        <w:t>”</w:t>
      </w:r>
      <w:r>
        <w:rPr>
          <w:rFonts w:ascii="Times New Roman" w:hAnsi="Times New Roman" w:eastAsia="方正仿宋_GBK" w:cs="Times New Roman"/>
          <w:color w:val="auto"/>
          <w:sz w:val="32"/>
          <w:szCs w:val="32"/>
        </w:rPr>
        <w:t>免费下载。</w:t>
      </w:r>
    </w:p>
    <w:p w14:paraId="549B835A">
      <w:pPr>
        <w:spacing w:line="580" w:lineRule="exact"/>
        <w:ind w:firstLine="640" w:firstLineChars="20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3．获取方式：（1）潜在投标人访问电子招标投标交易平台的网络地址和方法：</w:t>
      </w:r>
    </w:p>
    <w:p w14:paraId="3E9A97B2">
      <w:pPr>
        <w:spacing w:line="580" w:lineRule="exact"/>
        <w:ind w:firstLine="640" w:firstLineChars="200"/>
        <w:rPr>
          <w:rFonts w:ascii="Times New Roman" w:hAnsi="Times New Roman" w:eastAsia="方正仿宋_GBK" w:cs="Times New Roman"/>
          <w:color w:val="auto"/>
          <w:sz w:val="32"/>
          <w:szCs w:val="32"/>
        </w:rPr>
      </w:pPr>
      <w:r>
        <w:rPr>
          <w:rFonts w:hint="eastAsia" w:ascii="宋体" w:hAnsi="宋体" w:cs="宋体"/>
          <w:color w:val="auto"/>
          <w:sz w:val="32"/>
          <w:szCs w:val="32"/>
        </w:rPr>
        <w:t>①</w:t>
      </w:r>
      <w:r>
        <w:rPr>
          <w:rFonts w:ascii="Times New Roman" w:hAnsi="Times New Roman" w:eastAsia="方正仿宋_GBK" w:cs="Times New Roman"/>
          <w:color w:val="auto"/>
          <w:sz w:val="32"/>
          <w:szCs w:val="32"/>
        </w:rPr>
        <w:t>登录http：//jszfcg.jscz.gov.cn/jszc/login首页点击</w:t>
      </w:r>
      <w:bookmarkStart w:id="24" w:name="OLE_LINK1"/>
      <w:r>
        <w:rPr>
          <w:rFonts w:hint="eastAsia" w:ascii="Times New Roman" w:hAnsi="Times New Roman" w:eastAsia="方正仿宋_GBK" w:cs="Times New Roman"/>
          <w:color w:val="auto"/>
          <w:sz w:val="32"/>
          <w:szCs w:val="32"/>
        </w:rPr>
        <w:t>“</w:t>
      </w:r>
      <w:r>
        <w:rPr>
          <w:rFonts w:ascii="Times New Roman" w:hAnsi="Times New Roman" w:eastAsia="方正仿宋_GBK" w:cs="Times New Roman"/>
          <w:color w:val="auto"/>
          <w:sz w:val="32"/>
          <w:szCs w:val="32"/>
        </w:rPr>
        <w:t>苏采云</w:t>
      </w:r>
      <w:r>
        <w:rPr>
          <w:rFonts w:hint="eastAsia" w:ascii="Times New Roman" w:hAnsi="Times New Roman" w:eastAsia="方正仿宋_GBK" w:cs="Times New Roman"/>
          <w:color w:val="auto"/>
          <w:sz w:val="32"/>
          <w:szCs w:val="32"/>
        </w:rPr>
        <w:t>”</w:t>
      </w:r>
      <w:bookmarkEnd w:id="24"/>
      <w:r>
        <w:rPr>
          <w:rFonts w:ascii="Times New Roman" w:hAnsi="Times New Roman" w:eastAsia="方正仿宋_GBK" w:cs="Times New Roman"/>
          <w:color w:val="auto"/>
          <w:sz w:val="32"/>
          <w:szCs w:val="32"/>
        </w:rPr>
        <w:t>进入系统。</w:t>
      </w:r>
    </w:p>
    <w:p w14:paraId="6A806469">
      <w:pPr>
        <w:spacing w:line="580" w:lineRule="exact"/>
        <w:ind w:firstLine="640" w:firstLineChars="200"/>
        <w:rPr>
          <w:rFonts w:ascii="Times New Roman" w:hAnsi="Times New Roman" w:eastAsia="方正仿宋_GBK" w:cs="Times New Roman"/>
          <w:color w:val="auto"/>
          <w:sz w:val="32"/>
          <w:szCs w:val="32"/>
        </w:rPr>
      </w:pPr>
      <w:r>
        <w:rPr>
          <w:rFonts w:hint="eastAsia" w:ascii="宋体" w:hAnsi="宋体" w:cs="宋体"/>
          <w:color w:val="auto"/>
          <w:sz w:val="32"/>
          <w:szCs w:val="32"/>
        </w:rPr>
        <w:t>②</w:t>
      </w:r>
      <w:r>
        <w:rPr>
          <w:rFonts w:ascii="Times New Roman" w:hAnsi="Times New Roman" w:eastAsia="方正仿宋_GBK" w:cs="Times New Roman"/>
          <w:color w:val="auto"/>
          <w:sz w:val="32"/>
          <w:szCs w:val="32"/>
        </w:rPr>
        <w:t>获取招标文件的方式：</w:t>
      </w:r>
      <w:r>
        <w:rPr>
          <w:rFonts w:hint="eastAsia" w:ascii="Times New Roman" w:hAnsi="Times New Roman" w:eastAsia="方正仿宋_GBK" w:cs="Times New Roman"/>
          <w:color w:val="auto"/>
          <w:sz w:val="32"/>
          <w:szCs w:val="32"/>
        </w:rPr>
        <w:t>“</w:t>
      </w:r>
      <w:r>
        <w:rPr>
          <w:rFonts w:ascii="Times New Roman" w:hAnsi="Times New Roman" w:eastAsia="方正仿宋_GBK" w:cs="Times New Roman"/>
          <w:color w:val="auto"/>
          <w:sz w:val="32"/>
          <w:szCs w:val="32"/>
        </w:rPr>
        <w:t>苏采云</w:t>
      </w:r>
      <w:r>
        <w:rPr>
          <w:rFonts w:hint="eastAsia" w:ascii="Times New Roman" w:hAnsi="Times New Roman" w:eastAsia="方正仿宋_GBK" w:cs="Times New Roman"/>
          <w:color w:val="auto"/>
          <w:sz w:val="32"/>
          <w:szCs w:val="32"/>
        </w:rPr>
        <w:t>”</w:t>
      </w:r>
      <w:r>
        <w:rPr>
          <w:rFonts w:ascii="Times New Roman" w:hAnsi="Times New Roman" w:eastAsia="方正仿宋_GBK" w:cs="Times New Roman"/>
          <w:color w:val="auto"/>
          <w:sz w:val="32"/>
          <w:szCs w:val="32"/>
        </w:rPr>
        <w:t>系统用户注册--获取</w:t>
      </w:r>
      <w:r>
        <w:rPr>
          <w:rFonts w:hint="eastAsia" w:ascii="Times New Roman" w:hAnsi="Times New Roman" w:eastAsia="方正仿宋_GBK" w:cs="Times New Roman"/>
          <w:color w:val="auto"/>
          <w:sz w:val="32"/>
          <w:szCs w:val="32"/>
        </w:rPr>
        <w:t>“</w:t>
      </w:r>
      <w:r>
        <w:rPr>
          <w:rFonts w:ascii="Times New Roman" w:hAnsi="Times New Roman" w:eastAsia="方正仿宋_GBK" w:cs="Times New Roman"/>
          <w:color w:val="auto"/>
          <w:sz w:val="32"/>
          <w:szCs w:val="32"/>
        </w:rPr>
        <w:t>CA数字证书</w:t>
      </w:r>
      <w:r>
        <w:rPr>
          <w:rFonts w:hint="eastAsia" w:ascii="Times New Roman" w:hAnsi="Times New Roman" w:eastAsia="方正仿宋_GBK" w:cs="Times New Roman"/>
          <w:color w:val="auto"/>
          <w:sz w:val="32"/>
          <w:szCs w:val="32"/>
        </w:rPr>
        <w:t>”</w:t>
      </w:r>
      <w:r>
        <w:rPr>
          <w:rFonts w:ascii="Times New Roman" w:hAnsi="Times New Roman" w:eastAsia="方正仿宋_GBK" w:cs="Times New Roman"/>
          <w:color w:val="auto"/>
          <w:sz w:val="32"/>
          <w:szCs w:val="32"/>
        </w:rPr>
        <w:t>--CA绑定与登录--网上报名--下载招标文件</w:t>
      </w:r>
      <w:r>
        <w:rPr>
          <w:rFonts w:hint="eastAsia" w:ascii="Times New Roman" w:hAnsi="Times New Roman" w:eastAsia="方正仿宋_GBK" w:cs="Times New Roman"/>
          <w:color w:val="auto"/>
          <w:sz w:val="32"/>
          <w:szCs w:val="32"/>
        </w:rPr>
        <w:t>（</w:t>
      </w:r>
      <w:r>
        <w:rPr>
          <w:rFonts w:ascii="Times New Roman" w:hAnsi="Times New Roman" w:eastAsia="方正仿宋_GBK" w:cs="Times New Roman"/>
          <w:color w:val="auto"/>
          <w:sz w:val="32"/>
          <w:szCs w:val="32"/>
        </w:rPr>
        <w:t>后缀名为</w:t>
      </w:r>
      <w:r>
        <w:rPr>
          <w:rFonts w:hint="eastAsia" w:ascii="Times New Roman" w:hAnsi="Times New Roman" w:eastAsia="方正仿宋_GBK" w:cs="Times New Roman"/>
          <w:color w:val="auto"/>
          <w:sz w:val="32"/>
          <w:szCs w:val="32"/>
        </w:rPr>
        <w:t>“</w:t>
      </w:r>
      <w:r>
        <w:rPr>
          <w:rFonts w:ascii="Times New Roman" w:hAnsi="Times New Roman" w:eastAsia="方正仿宋_GBK" w:cs="Times New Roman"/>
          <w:color w:val="auto"/>
          <w:sz w:val="32"/>
          <w:szCs w:val="32"/>
        </w:rPr>
        <w:t>.kedt</w:t>
      </w:r>
      <w:r>
        <w:rPr>
          <w:rFonts w:hint="eastAsia" w:ascii="Times New Roman" w:hAnsi="Times New Roman" w:eastAsia="方正仿宋_GBK" w:cs="Times New Roman"/>
          <w:color w:val="auto"/>
          <w:sz w:val="32"/>
          <w:szCs w:val="32"/>
        </w:rPr>
        <w:t>”）</w:t>
      </w:r>
      <w:r>
        <w:rPr>
          <w:rFonts w:ascii="Times New Roman" w:hAnsi="Times New Roman" w:eastAsia="方正仿宋_GBK" w:cs="Times New Roman"/>
          <w:color w:val="auto"/>
          <w:sz w:val="32"/>
          <w:szCs w:val="32"/>
        </w:rPr>
        <w:t>。</w:t>
      </w:r>
    </w:p>
    <w:p w14:paraId="3381FF1B">
      <w:pPr>
        <w:spacing w:line="580" w:lineRule="exact"/>
        <w:ind w:firstLine="640" w:firstLineChars="20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（2）</w:t>
      </w:r>
      <w:r>
        <w:rPr>
          <w:rFonts w:hint="eastAsia" w:ascii="Times New Roman" w:hAnsi="Times New Roman" w:eastAsia="方正仿宋_GBK" w:cs="Times New Roman"/>
          <w:color w:val="auto"/>
          <w:sz w:val="32"/>
          <w:szCs w:val="32"/>
        </w:rPr>
        <w:t>“</w:t>
      </w:r>
      <w:r>
        <w:rPr>
          <w:rFonts w:ascii="Times New Roman" w:hAnsi="Times New Roman" w:eastAsia="方正仿宋_GBK" w:cs="Times New Roman"/>
          <w:color w:val="auto"/>
          <w:sz w:val="32"/>
          <w:szCs w:val="32"/>
        </w:rPr>
        <w:t>CA数字证书</w:t>
      </w:r>
      <w:r>
        <w:rPr>
          <w:rFonts w:hint="eastAsia" w:ascii="Times New Roman" w:hAnsi="Times New Roman" w:eastAsia="方正仿宋_GBK" w:cs="Times New Roman"/>
          <w:color w:val="auto"/>
          <w:sz w:val="32"/>
          <w:szCs w:val="32"/>
        </w:rPr>
        <w:t>”</w:t>
      </w:r>
      <w:r>
        <w:rPr>
          <w:rFonts w:ascii="Times New Roman" w:hAnsi="Times New Roman" w:eastAsia="方正仿宋_GBK" w:cs="Times New Roman"/>
          <w:color w:val="auto"/>
          <w:sz w:val="32"/>
          <w:szCs w:val="32"/>
        </w:rPr>
        <w:t>的获取：投标人需办理CA锁，</w:t>
      </w:r>
      <w:r>
        <w:rPr>
          <w:rFonts w:hint="eastAsia" w:ascii="Times New Roman" w:hAnsi="Times New Roman" w:eastAsia="方正仿宋_GBK" w:cs="Times New Roman"/>
          <w:color w:val="auto"/>
          <w:sz w:val="32"/>
          <w:szCs w:val="32"/>
        </w:rPr>
        <w:t>“</w:t>
      </w:r>
      <w:r>
        <w:rPr>
          <w:rFonts w:ascii="Times New Roman" w:hAnsi="Times New Roman" w:eastAsia="方正仿宋_GBK" w:cs="Times New Roman"/>
          <w:color w:val="auto"/>
          <w:sz w:val="32"/>
          <w:szCs w:val="32"/>
        </w:rPr>
        <w:t>苏采云</w:t>
      </w:r>
      <w:r>
        <w:rPr>
          <w:rFonts w:hint="eastAsia" w:ascii="Times New Roman" w:hAnsi="Times New Roman" w:eastAsia="方正仿宋_GBK" w:cs="Times New Roman"/>
          <w:color w:val="auto"/>
          <w:sz w:val="32"/>
          <w:szCs w:val="32"/>
        </w:rPr>
        <w:t>”</w:t>
      </w:r>
      <w:r>
        <w:rPr>
          <w:rFonts w:ascii="Times New Roman" w:hAnsi="Times New Roman" w:eastAsia="方正仿宋_GBK" w:cs="Times New Roman"/>
          <w:color w:val="auto"/>
          <w:sz w:val="32"/>
          <w:szCs w:val="32"/>
        </w:rPr>
        <w:t>系统目前仅支持</w:t>
      </w:r>
      <w:r>
        <w:rPr>
          <w:rFonts w:hint="eastAsia" w:ascii="Times New Roman" w:hAnsi="Times New Roman" w:eastAsia="方正仿宋_GBK" w:cs="Times New Roman"/>
          <w:color w:val="auto"/>
          <w:sz w:val="32"/>
          <w:szCs w:val="32"/>
        </w:rPr>
        <w:t>“</w:t>
      </w:r>
      <w:r>
        <w:rPr>
          <w:rFonts w:ascii="Times New Roman" w:hAnsi="Times New Roman" w:eastAsia="方正仿宋_GBK" w:cs="Times New Roman"/>
          <w:color w:val="auto"/>
          <w:sz w:val="32"/>
          <w:szCs w:val="32"/>
        </w:rPr>
        <w:t>苏采云</w:t>
      </w:r>
      <w:r>
        <w:rPr>
          <w:rFonts w:hint="eastAsia" w:ascii="Times New Roman" w:hAnsi="Times New Roman" w:eastAsia="方正仿宋_GBK" w:cs="Times New Roman"/>
          <w:color w:val="auto"/>
          <w:sz w:val="32"/>
          <w:szCs w:val="32"/>
        </w:rPr>
        <w:t>”</w:t>
      </w:r>
      <w:r>
        <w:rPr>
          <w:rFonts w:ascii="Times New Roman" w:hAnsi="Times New Roman" w:eastAsia="方正仿宋_GBK" w:cs="Times New Roman"/>
          <w:color w:val="auto"/>
          <w:sz w:val="32"/>
          <w:szCs w:val="32"/>
        </w:rPr>
        <w:t>系统下的江苏省电子政务证书认证中心CA（由江苏意源科技有限公司提供服务），电子签章为方正国际软件（北京）有限公司，省内各地区办理的</w:t>
      </w:r>
      <w:bookmarkStart w:id="25" w:name="OLE_LINK2"/>
      <w:r>
        <w:rPr>
          <w:rFonts w:hint="eastAsia" w:ascii="Times New Roman" w:hAnsi="Times New Roman" w:eastAsia="方正仿宋_GBK" w:cs="Times New Roman"/>
          <w:color w:val="auto"/>
          <w:sz w:val="32"/>
          <w:szCs w:val="32"/>
        </w:rPr>
        <w:t>“</w:t>
      </w:r>
      <w:r>
        <w:rPr>
          <w:rFonts w:ascii="Times New Roman" w:hAnsi="Times New Roman" w:eastAsia="方正仿宋_GBK" w:cs="Times New Roman"/>
          <w:color w:val="auto"/>
          <w:sz w:val="32"/>
          <w:szCs w:val="32"/>
        </w:rPr>
        <w:t>苏采云</w:t>
      </w:r>
      <w:r>
        <w:rPr>
          <w:rFonts w:hint="eastAsia" w:ascii="Times New Roman" w:hAnsi="Times New Roman" w:eastAsia="方正仿宋_GBK" w:cs="Times New Roman"/>
          <w:color w:val="auto"/>
          <w:sz w:val="32"/>
          <w:szCs w:val="32"/>
        </w:rPr>
        <w:t>”</w:t>
      </w:r>
      <w:bookmarkEnd w:id="25"/>
      <w:r>
        <w:rPr>
          <w:rFonts w:ascii="Times New Roman" w:hAnsi="Times New Roman" w:eastAsia="方正仿宋_GBK" w:cs="Times New Roman"/>
          <w:color w:val="auto"/>
          <w:sz w:val="32"/>
          <w:szCs w:val="32"/>
        </w:rPr>
        <w:t>系统下的CA全省通用。</w:t>
      </w:r>
    </w:p>
    <w:p w14:paraId="358FF1F1">
      <w:pPr>
        <w:spacing w:line="580" w:lineRule="exact"/>
        <w:ind w:firstLine="640" w:firstLineChars="20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（3）招标文件</w:t>
      </w:r>
      <w:r>
        <w:rPr>
          <w:rFonts w:hint="eastAsia" w:ascii="Times New Roman" w:hAnsi="Times New Roman" w:eastAsia="方正仿宋_GBK" w:cs="Times New Roman"/>
          <w:color w:val="auto"/>
          <w:sz w:val="32"/>
          <w:szCs w:val="32"/>
        </w:rPr>
        <w:t>（</w:t>
      </w:r>
      <w:r>
        <w:rPr>
          <w:rFonts w:ascii="Times New Roman" w:hAnsi="Times New Roman" w:eastAsia="方正仿宋_GBK" w:cs="Times New Roman"/>
          <w:color w:val="auto"/>
          <w:sz w:val="32"/>
          <w:szCs w:val="32"/>
        </w:rPr>
        <w:t>后缀名为</w:t>
      </w:r>
      <w:r>
        <w:rPr>
          <w:rFonts w:hint="eastAsia" w:ascii="Times New Roman" w:hAnsi="Times New Roman" w:eastAsia="方正仿宋_GBK" w:cs="Times New Roman"/>
          <w:color w:val="auto"/>
          <w:sz w:val="32"/>
          <w:szCs w:val="32"/>
        </w:rPr>
        <w:t>“</w:t>
      </w:r>
      <w:r>
        <w:rPr>
          <w:rFonts w:ascii="Times New Roman" w:hAnsi="Times New Roman" w:eastAsia="方正仿宋_GBK" w:cs="Times New Roman"/>
          <w:color w:val="auto"/>
          <w:sz w:val="32"/>
          <w:szCs w:val="32"/>
        </w:rPr>
        <w:t>.kedt</w:t>
      </w:r>
      <w:r>
        <w:rPr>
          <w:rFonts w:hint="eastAsia" w:ascii="Times New Roman" w:hAnsi="Times New Roman" w:eastAsia="方正仿宋_GBK" w:cs="Times New Roman"/>
          <w:color w:val="auto"/>
          <w:sz w:val="32"/>
          <w:szCs w:val="32"/>
        </w:rPr>
        <w:t>”）</w:t>
      </w:r>
      <w:r>
        <w:rPr>
          <w:rFonts w:ascii="Times New Roman" w:hAnsi="Times New Roman" w:eastAsia="方正仿宋_GBK" w:cs="Times New Roman"/>
          <w:color w:val="auto"/>
          <w:sz w:val="32"/>
          <w:szCs w:val="32"/>
        </w:rPr>
        <w:t>、投标人操作手册及政府采购客户端工具可通过</w:t>
      </w:r>
      <w:r>
        <w:rPr>
          <w:rFonts w:hint="eastAsia" w:ascii="Times New Roman" w:hAnsi="Times New Roman" w:eastAsia="方正仿宋_GBK" w:cs="Times New Roman"/>
          <w:color w:val="auto"/>
          <w:sz w:val="32"/>
          <w:szCs w:val="32"/>
        </w:rPr>
        <w:t>“</w:t>
      </w:r>
      <w:r>
        <w:rPr>
          <w:rFonts w:ascii="Times New Roman" w:hAnsi="Times New Roman" w:eastAsia="方正仿宋_GBK" w:cs="Times New Roman"/>
          <w:color w:val="auto"/>
          <w:sz w:val="32"/>
          <w:szCs w:val="32"/>
        </w:rPr>
        <w:t>苏采云</w:t>
      </w:r>
      <w:r>
        <w:rPr>
          <w:rFonts w:hint="eastAsia" w:ascii="Times New Roman" w:hAnsi="Times New Roman" w:eastAsia="方正仿宋_GBK" w:cs="Times New Roman"/>
          <w:color w:val="auto"/>
          <w:sz w:val="32"/>
          <w:szCs w:val="32"/>
        </w:rPr>
        <w:t>”</w:t>
      </w:r>
      <w:r>
        <w:rPr>
          <w:rFonts w:ascii="Times New Roman" w:hAnsi="Times New Roman" w:eastAsia="方正仿宋_GBK" w:cs="Times New Roman"/>
          <w:color w:val="auto"/>
          <w:sz w:val="32"/>
          <w:szCs w:val="32"/>
        </w:rPr>
        <w:t>系统--已报名项目--报名详情页面内相应链接进行下载；投标人操作手册及政府采购客户端工具。</w:t>
      </w:r>
    </w:p>
    <w:p w14:paraId="5309FF53">
      <w:pPr>
        <w:spacing w:line="580" w:lineRule="exact"/>
        <w:ind w:firstLine="640" w:firstLineChars="20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4）采购代理机构将数据电文形式的招标文件加载至电子招标投标交易平台，供潜在投标人下载或者查阅，各投标人应在规定的时间内完成招标文件的下载，逾期可能会造成招标文件无法下载以及投标响应文件无法上传的情形，由此导致的后果由各投标人自行承担。</w:t>
      </w:r>
    </w:p>
    <w:p w14:paraId="731BA448">
      <w:pPr>
        <w:pStyle w:val="195"/>
        <w:spacing w:before="0" w:after="0" w:line="580" w:lineRule="exact"/>
        <w:ind w:firstLine="640" w:firstLineChars="200"/>
        <w:outlineLvl w:val="1"/>
        <w:rPr>
          <w:rFonts w:ascii="Times New Roman" w:hAnsi="Times New Roman" w:eastAsia="方正仿宋_GBK" w:cs="Times New Roman"/>
          <w:b w:val="0"/>
          <w:color w:val="auto"/>
        </w:rPr>
      </w:pPr>
      <w:r>
        <w:rPr>
          <w:rFonts w:ascii="Times New Roman" w:hAnsi="Times New Roman" w:eastAsia="方正仿宋_GBK" w:cs="Times New Roman"/>
          <w:b w:val="0"/>
          <w:color w:val="auto"/>
        </w:rPr>
        <w:t>四、提交投</w:t>
      </w:r>
      <w:bookmarkStart w:id="226" w:name="_GoBack"/>
      <w:bookmarkEnd w:id="226"/>
      <w:r>
        <w:rPr>
          <w:rFonts w:ascii="Times New Roman" w:hAnsi="Times New Roman" w:eastAsia="方正仿宋_GBK" w:cs="Times New Roman"/>
          <w:b w:val="0"/>
          <w:color w:val="auto"/>
        </w:rPr>
        <w:t>标文件截止时间、开标时间和地点</w:t>
      </w:r>
    </w:p>
    <w:p w14:paraId="067A5BF8">
      <w:pPr>
        <w:spacing w:line="580" w:lineRule="exact"/>
        <w:ind w:firstLine="640" w:firstLineChars="200"/>
        <w:rPr>
          <w:rFonts w:ascii="Times New Roman" w:hAnsi="Times New Roman" w:eastAsia="方正仿宋_GBK" w:cs="Times New Roman"/>
          <w:color w:val="auto"/>
          <w:sz w:val="32"/>
          <w:szCs w:val="32"/>
          <w:highlight w:val="none"/>
          <w:u w:val="single"/>
        </w:rPr>
      </w:pPr>
      <w:bookmarkStart w:id="26" w:name="_Toc38985267"/>
      <w:bookmarkEnd w:id="26"/>
      <w:bookmarkStart w:id="27" w:name="_Toc28359084"/>
      <w:bookmarkEnd w:id="27"/>
      <w:bookmarkStart w:id="28" w:name="_Toc35393625"/>
      <w:bookmarkEnd w:id="28"/>
      <w:bookmarkStart w:id="29" w:name="_Toc28359007"/>
      <w:bookmarkEnd w:id="29"/>
      <w:bookmarkStart w:id="30" w:name="_Toc35393794"/>
      <w:bookmarkEnd w:id="30"/>
      <w:r>
        <w:rPr>
          <w:rFonts w:ascii="Times New Roman" w:hAnsi="Times New Roman" w:eastAsia="方正仿宋_GBK" w:cs="Times New Roman"/>
          <w:color w:val="auto"/>
          <w:sz w:val="32"/>
          <w:szCs w:val="32"/>
        </w:rPr>
        <w:t>1．提交投标文件截止时间、开</w:t>
      </w:r>
      <w:r>
        <w:rPr>
          <w:rFonts w:ascii="Times New Roman" w:hAnsi="Times New Roman" w:eastAsia="方正仿宋_GBK" w:cs="Times New Roman"/>
          <w:color w:val="auto"/>
          <w:sz w:val="32"/>
          <w:szCs w:val="32"/>
          <w:highlight w:val="none"/>
        </w:rPr>
        <w:t>标时间：2026年</w:t>
      </w:r>
      <w:r>
        <w:rPr>
          <w:rFonts w:hint="eastAsia" w:ascii="Times New Roman" w:hAnsi="Times New Roman" w:eastAsia="方正仿宋_GBK" w:cs="Times New Roman"/>
          <w:color w:val="auto"/>
          <w:sz w:val="32"/>
          <w:szCs w:val="32"/>
          <w:highlight w:val="none"/>
          <w:lang w:val="en-US" w:eastAsia="zh-CN"/>
        </w:rPr>
        <w:t>5</w:t>
      </w:r>
      <w:r>
        <w:rPr>
          <w:rFonts w:ascii="Times New Roman" w:hAnsi="Times New Roman" w:eastAsia="方正仿宋_GBK" w:cs="Times New Roman"/>
          <w:color w:val="auto"/>
          <w:sz w:val="32"/>
          <w:szCs w:val="32"/>
          <w:highlight w:val="none"/>
        </w:rPr>
        <w:t>月</w:t>
      </w:r>
      <w:r>
        <w:rPr>
          <w:rFonts w:hint="eastAsia" w:ascii="Times New Roman" w:hAnsi="Times New Roman" w:eastAsia="方正仿宋_GBK" w:cs="Times New Roman"/>
          <w:color w:val="auto"/>
          <w:sz w:val="32"/>
          <w:szCs w:val="32"/>
          <w:highlight w:val="none"/>
          <w:lang w:val="en-US" w:eastAsia="zh-CN"/>
        </w:rPr>
        <w:t>8</w:t>
      </w:r>
      <w:r>
        <w:rPr>
          <w:rFonts w:ascii="Times New Roman" w:hAnsi="Times New Roman" w:eastAsia="方正仿宋_GBK" w:cs="Times New Roman"/>
          <w:color w:val="auto"/>
          <w:sz w:val="32"/>
          <w:szCs w:val="32"/>
          <w:highlight w:val="none"/>
        </w:rPr>
        <w:t>日9时30分（北京时间）。</w:t>
      </w:r>
    </w:p>
    <w:p w14:paraId="1F26DC3D">
      <w:pPr>
        <w:spacing w:line="580" w:lineRule="exact"/>
        <w:ind w:firstLine="640" w:firstLineChars="200"/>
        <w:rPr>
          <w:rFonts w:ascii="Times New Roman" w:hAnsi="Times New Roman" w:eastAsia="方正仿宋_GBK" w:cs="Times New Roman"/>
          <w:color w:val="auto"/>
          <w:sz w:val="32"/>
          <w:szCs w:val="32"/>
          <w:u w:val="single"/>
        </w:rPr>
      </w:pPr>
      <w:r>
        <w:rPr>
          <w:rFonts w:ascii="Times New Roman" w:hAnsi="Times New Roman" w:eastAsia="方正仿宋_GBK" w:cs="Times New Roman"/>
          <w:color w:val="auto"/>
          <w:sz w:val="32"/>
          <w:szCs w:val="32"/>
          <w:highlight w:val="none"/>
        </w:rPr>
        <w:t>2．地点：江苏省政府采购交易系统（以</w:t>
      </w:r>
      <w:r>
        <w:rPr>
          <w:rFonts w:ascii="Times New Roman" w:hAnsi="Times New Roman" w:eastAsia="方正仿宋_GBK" w:cs="Times New Roman"/>
          <w:color w:val="auto"/>
          <w:sz w:val="32"/>
          <w:szCs w:val="32"/>
        </w:rPr>
        <w:t>下简称</w:t>
      </w:r>
      <w:r>
        <w:rPr>
          <w:rFonts w:hint="eastAsia" w:ascii="Times New Roman" w:hAnsi="Times New Roman" w:eastAsia="方正仿宋_GBK" w:cs="Times New Roman"/>
          <w:color w:val="auto"/>
          <w:sz w:val="32"/>
          <w:szCs w:val="32"/>
        </w:rPr>
        <w:t>“</w:t>
      </w:r>
      <w:r>
        <w:rPr>
          <w:rFonts w:ascii="Times New Roman" w:hAnsi="Times New Roman" w:eastAsia="方正仿宋_GBK" w:cs="Times New Roman"/>
          <w:color w:val="auto"/>
          <w:sz w:val="32"/>
          <w:szCs w:val="32"/>
        </w:rPr>
        <w:t>苏采云系统</w:t>
      </w:r>
      <w:r>
        <w:rPr>
          <w:rFonts w:hint="eastAsia" w:ascii="Times New Roman" w:hAnsi="Times New Roman" w:eastAsia="方正仿宋_GBK" w:cs="Times New Roman"/>
          <w:color w:val="auto"/>
          <w:sz w:val="32"/>
          <w:szCs w:val="32"/>
        </w:rPr>
        <w:t>”</w:t>
      </w:r>
      <w:r>
        <w:rPr>
          <w:rFonts w:ascii="Times New Roman" w:hAnsi="Times New Roman" w:eastAsia="方正仿宋_GBK" w:cs="Times New Roman"/>
          <w:color w:val="auto"/>
          <w:sz w:val="32"/>
          <w:szCs w:val="32"/>
        </w:rPr>
        <w:t>）网上开标大厅。</w:t>
      </w:r>
    </w:p>
    <w:p w14:paraId="30DBCAE8">
      <w:pPr>
        <w:pStyle w:val="195"/>
        <w:spacing w:before="0" w:after="0" w:line="580" w:lineRule="exact"/>
        <w:ind w:firstLine="640" w:firstLineChars="200"/>
        <w:outlineLvl w:val="1"/>
        <w:rPr>
          <w:rFonts w:ascii="Times New Roman" w:hAnsi="Times New Roman" w:eastAsia="方正仿宋_GBK" w:cs="Times New Roman"/>
          <w:b w:val="0"/>
          <w:color w:val="auto"/>
        </w:rPr>
      </w:pPr>
      <w:r>
        <w:rPr>
          <w:rFonts w:ascii="Times New Roman" w:hAnsi="Times New Roman" w:eastAsia="方正仿宋_GBK" w:cs="Times New Roman"/>
          <w:b w:val="0"/>
          <w:color w:val="auto"/>
        </w:rPr>
        <w:t>五、公告期限</w:t>
      </w:r>
    </w:p>
    <w:p w14:paraId="7B03E957">
      <w:pPr>
        <w:spacing w:line="580" w:lineRule="exact"/>
        <w:ind w:firstLine="640" w:firstLineChars="200"/>
        <w:rPr>
          <w:rFonts w:ascii="Times New Roman" w:hAnsi="Times New Roman" w:eastAsia="方正仿宋_GBK" w:cs="Times New Roman"/>
          <w:color w:val="auto"/>
          <w:sz w:val="32"/>
          <w:szCs w:val="32"/>
        </w:rPr>
      </w:pPr>
      <w:bookmarkStart w:id="31" w:name="_Toc35393795"/>
      <w:bookmarkEnd w:id="31"/>
      <w:bookmarkStart w:id="32" w:name="_Toc38985268"/>
      <w:bookmarkEnd w:id="32"/>
      <w:bookmarkStart w:id="33" w:name="_Toc35393626"/>
      <w:bookmarkEnd w:id="33"/>
      <w:r>
        <w:rPr>
          <w:rFonts w:ascii="Times New Roman" w:hAnsi="Times New Roman" w:eastAsia="方正仿宋_GBK" w:cs="Times New Roman"/>
          <w:color w:val="auto"/>
          <w:sz w:val="32"/>
          <w:szCs w:val="32"/>
        </w:rPr>
        <w:t>自本公告发布之日起5个工作日。</w:t>
      </w:r>
    </w:p>
    <w:p w14:paraId="601B9E3F">
      <w:pPr>
        <w:pStyle w:val="195"/>
        <w:spacing w:before="0" w:after="0" w:line="580" w:lineRule="exact"/>
        <w:ind w:firstLine="640" w:firstLineChars="200"/>
        <w:outlineLvl w:val="1"/>
        <w:rPr>
          <w:rFonts w:ascii="Times New Roman" w:hAnsi="Times New Roman" w:eastAsia="方正仿宋_GBK" w:cs="Times New Roman"/>
          <w:b w:val="0"/>
          <w:color w:val="auto"/>
        </w:rPr>
      </w:pPr>
      <w:r>
        <w:rPr>
          <w:rFonts w:ascii="Times New Roman" w:hAnsi="Times New Roman" w:eastAsia="方正仿宋_GBK" w:cs="Times New Roman"/>
          <w:b w:val="0"/>
          <w:color w:val="auto"/>
        </w:rPr>
        <w:t>六、其他补充事宜</w:t>
      </w:r>
    </w:p>
    <w:p w14:paraId="1E92C99B">
      <w:pPr>
        <w:spacing w:line="580" w:lineRule="exact"/>
        <w:ind w:firstLine="640" w:firstLineChars="200"/>
        <w:rPr>
          <w:rFonts w:ascii="Times New Roman" w:hAnsi="Times New Roman" w:eastAsia="方正仿宋_GBK" w:cs="Times New Roman"/>
          <w:color w:val="auto"/>
          <w:sz w:val="32"/>
          <w:szCs w:val="32"/>
        </w:rPr>
      </w:pPr>
      <w:bookmarkStart w:id="34" w:name="_Toc35393796"/>
      <w:bookmarkEnd w:id="34"/>
      <w:bookmarkStart w:id="35" w:name="_Toc35393627"/>
      <w:bookmarkEnd w:id="35"/>
      <w:bookmarkStart w:id="36" w:name="_Toc28359085"/>
      <w:bookmarkEnd w:id="36"/>
      <w:bookmarkStart w:id="37" w:name="_Toc28359008"/>
      <w:bookmarkEnd w:id="37"/>
      <w:bookmarkStart w:id="38" w:name="_Toc38985269"/>
      <w:bookmarkEnd w:id="38"/>
      <w:bookmarkStart w:id="39" w:name="OLE_LINK17"/>
      <w:r>
        <w:rPr>
          <w:rFonts w:ascii="Times New Roman" w:hAnsi="Times New Roman" w:eastAsia="方正仿宋_GBK" w:cs="Times New Roman"/>
          <w:color w:val="auto"/>
          <w:sz w:val="32"/>
          <w:szCs w:val="32"/>
        </w:rPr>
        <w:t>1．本次招标不收取投标保证金。</w:t>
      </w:r>
    </w:p>
    <w:p w14:paraId="004CF64F">
      <w:pPr>
        <w:spacing w:line="580" w:lineRule="exact"/>
        <w:ind w:firstLine="640" w:firstLineChars="20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 xml:space="preserve">2．本项目不组织集中勘察及答疑，投标人如对采购需求有疑问，请咨询采购单位联系人。 </w:t>
      </w:r>
    </w:p>
    <w:p w14:paraId="2391F49D">
      <w:pPr>
        <w:spacing w:line="580" w:lineRule="exact"/>
        <w:ind w:firstLine="640" w:firstLineChars="20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3．本项目通过电子交易平台进行采购，投标人须通过</w:t>
      </w:r>
      <w:r>
        <w:rPr>
          <w:rFonts w:hint="eastAsia" w:ascii="Times New Roman" w:hAnsi="Times New Roman" w:eastAsia="方正仿宋_GBK" w:cs="Times New Roman"/>
          <w:color w:val="auto"/>
          <w:sz w:val="32"/>
          <w:szCs w:val="32"/>
        </w:rPr>
        <w:t>“</w:t>
      </w:r>
      <w:r>
        <w:rPr>
          <w:rFonts w:ascii="Times New Roman" w:hAnsi="Times New Roman" w:eastAsia="方正仿宋_GBK" w:cs="Times New Roman"/>
          <w:color w:val="auto"/>
          <w:sz w:val="32"/>
          <w:szCs w:val="32"/>
        </w:rPr>
        <w:t>苏采云-政府采购一体化平台</w:t>
      </w:r>
      <w:r>
        <w:rPr>
          <w:rFonts w:hint="eastAsia" w:ascii="Times New Roman" w:hAnsi="Times New Roman" w:eastAsia="方正仿宋_GBK" w:cs="Times New Roman"/>
          <w:color w:val="auto"/>
          <w:sz w:val="32"/>
          <w:szCs w:val="32"/>
        </w:rPr>
        <w:t>”</w:t>
      </w:r>
      <w:r>
        <w:rPr>
          <w:rFonts w:ascii="Times New Roman" w:hAnsi="Times New Roman" w:eastAsia="方正仿宋_GBK" w:cs="Times New Roman"/>
          <w:color w:val="auto"/>
          <w:sz w:val="32"/>
          <w:szCs w:val="32"/>
        </w:rPr>
        <w:t>制作并提交投标文件。截至首次投标文件提交截止时间，电子交易平台提交通道将关闭，投标人未完成电子投标文件有效提交的，其投标将被拒绝。</w:t>
      </w:r>
    </w:p>
    <w:p w14:paraId="3ECB1553">
      <w:pPr>
        <w:spacing w:line="580" w:lineRule="exact"/>
        <w:ind w:firstLine="640" w:firstLineChars="20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4．根据省财政厅《关于更换全省政府采购交易系统C A数字证书和电子签章的通知》（苏财购〔2023〕101号），</w:t>
      </w:r>
      <w:r>
        <w:rPr>
          <w:rFonts w:hint="eastAsia" w:ascii="Times New Roman" w:hAnsi="Times New Roman" w:eastAsia="方正仿宋_GBK" w:cs="Times New Roman"/>
          <w:color w:val="auto"/>
          <w:sz w:val="32"/>
          <w:szCs w:val="32"/>
        </w:rPr>
        <w:t>“</w:t>
      </w:r>
      <w:r>
        <w:rPr>
          <w:rFonts w:ascii="Times New Roman" w:hAnsi="Times New Roman" w:eastAsia="方正仿宋_GBK" w:cs="Times New Roman"/>
          <w:color w:val="auto"/>
          <w:sz w:val="32"/>
          <w:szCs w:val="32"/>
        </w:rPr>
        <w:t>苏采云</w:t>
      </w:r>
      <w:r>
        <w:rPr>
          <w:rFonts w:hint="eastAsia" w:ascii="Times New Roman" w:hAnsi="Times New Roman" w:eastAsia="方正仿宋_GBK" w:cs="Times New Roman"/>
          <w:color w:val="auto"/>
          <w:sz w:val="32"/>
          <w:szCs w:val="32"/>
        </w:rPr>
        <w:t>”</w:t>
      </w:r>
      <w:r>
        <w:rPr>
          <w:rFonts w:ascii="Times New Roman" w:hAnsi="Times New Roman" w:eastAsia="方正仿宋_GBK" w:cs="Times New Roman"/>
          <w:color w:val="auto"/>
          <w:sz w:val="32"/>
          <w:szCs w:val="32"/>
        </w:rPr>
        <w:t>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fldChar w:fldCharType="begin"/>
      </w:r>
      <w:r>
        <w:instrText xml:space="preserve"> HYPERLINK "http://www.ccgp-jiangsu.gov.cn/jiangsu/zlxz/ee/ee3a4bc5a3454aa2b0d9312230633ce9.html" \o "http://www.ccgp-jiangsu.gov.cn/jiangsu/zlxz/ee/ee3a4bc5a3454aa2b0d9312230633ce9.html" </w:instrText>
      </w:r>
      <w:r>
        <w:fldChar w:fldCharType="separate"/>
      </w:r>
      <w:r>
        <w:rPr>
          <w:rFonts w:ascii="Times New Roman" w:hAnsi="Times New Roman" w:eastAsia="方正仿宋_GBK" w:cs="Times New Roman"/>
          <w:color w:val="auto"/>
          <w:sz w:val="32"/>
          <w:szCs w:val="32"/>
        </w:rPr>
        <w:t>http://www.ccgp-jiangsu.gov.cn/jiangsu/zlxz/ee/ee3a4bc5a3454aa2b0d9312230633ce9.html</w:t>
      </w:r>
      <w:r>
        <w:rPr>
          <w:rFonts w:ascii="Times New Roman" w:hAnsi="Times New Roman" w:eastAsia="方正仿宋_GBK" w:cs="Times New Roman"/>
          <w:color w:val="auto"/>
          <w:sz w:val="32"/>
          <w:szCs w:val="32"/>
        </w:rPr>
        <w:fldChar w:fldCharType="end"/>
      </w:r>
      <w:r>
        <w:rPr>
          <w:rFonts w:ascii="Times New Roman" w:hAnsi="Times New Roman" w:eastAsia="方正仿宋_GBK" w:cs="Times New Roman"/>
          <w:color w:val="auto"/>
          <w:sz w:val="32"/>
          <w:szCs w:val="32"/>
        </w:rPr>
        <w:t>。</w:t>
      </w:r>
    </w:p>
    <w:p w14:paraId="572E6A5E">
      <w:pPr>
        <w:spacing w:line="580" w:lineRule="exact"/>
        <w:ind w:firstLine="640" w:firstLineChars="20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w:t>
      </w:r>
      <w:r>
        <w:rPr>
          <w:rFonts w:hint="eastAsia" w:ascii="Times New Roman" w:hAnsi="Times New Roman" w:eastAsia="方正仿宋_GBK" w:cs="Times New Roman"/>
          <w:color w:val="auto"/>
          <w:sz w:val="32"/>
          <w:szCs w:val="32"/>
        </w:rPr>
        <w:t>“</w:t>
      </w:r>
      <w:r>
        <w:rPr>
          <w:rFonts w:ascii="Times New Roman" w:hAnsi="Times New Roman" w:eastAsia="方正仿宋_GBK" w:cs="Times New Roman"/>
          <w:color w:val="auto"/>
          <w:sz w:val="32"/>
          <w:szCs w:val="32"/>
        </w:rPr>
        <w:t>江苏政务服务网</w:t>
      </w:r>
      <w:r>
        <w:rPr>
          <w:rFonts w:hint="eastAsia" w:ascii="Times New Roman" w:hAnsi="Times New Roman" w:eastAsia="方正仿宋_GBK" w:cs="Times New Roman"/>
          <w:color w:val="auto"/>
          <w:sz w:val="32"/>
          <w:szCs w:val="32"/>
        </w:rPr>
        <w:t>”</w:t>
      </w:r>
      <w:r>
        <w:rPr>
          <w:rFonts w:ascii="Times New Roman" w:hAnsi="Times New Roman" w:eastAsia="方正仿宋_GBK" w:cs="Times New Roman"/>
          <w:color w:val="auto"/>
          <w:sz w:val="32"/>
          <w:szCs w:val="32"/>
        </w:rPr>
        <w:t>（www.jszwfw.gov.cn），</w:t>
      </w:r>
      <w:r>
        <w:rPr>
          <w:rFonts w:hint="eastAsia" w:ascii="Times New Roman" w:hAnsi="Times New Roman" w:eastAsia="方正仿宋_GBK" w:cs="Times New Roman"/>
          <w:color w:val="auto"/>
          <w:sz w:val="32"/>
          <w:szCs w:val="32"/>
        </w:rPr>
        <w:t>“</w:t>
      </w:r>
      <w:r>
        <w:rPr>
          <w:rFonts w:ascii="Times New Roman" w:hAnsi="Times New Roman" w:eastAsia="方正仿宋_GBK" w:cs="Times New Roman"/>
          <w:color w:val="auto"/>
          <w:sz w:val="32"/>
          <w:szCs w:val="32"/>
        </w:rPr>
        <w:t>一企来办</w:t>
      </w:r>
      <w:r>
        <w:rPr>
          <w:rFonts w:hint="eastAsia" w:ascii="Times New Roman" w:hAnsi="Times New Roman" w:eastAsia="方正仿宋_GBK" w:cs="Times New Roman"/>
          <w:color w:val="auto"/>
          <w:sz w:val="32"/>
          <w:szCs w:val="32"/>
        </w:rPr>
        <w:t>”</w:t>
      </w:r>
      <w:r>
        <w:rPr>
          <w:rFonts w:ascii="Times New Roman" w:hAnsi="Times New Roman" w:eastAsia="方正仿宋_GBK" w:cs="Times New Roman"/>
          <w:color w:val="auto"/>
          <w:sz w:val="32"/>
          <w:szCs w:val="32"/>
        </w:rPr>
        <w:t>专栏下</w:t>
      </w:r>
      <w:r>
        <w:rPr>
          <w:rFonts w:hint="eastAsia" w:ascii="Times New Roman" w:hAnsi="Times New Roman" w:eastAsia="方正仿宋_GBK" w:cs="Times New Roman"/>
          <w:color w:val="auto"/>
          <w:sz w:val="32"/>
          <w:szCs w:val="32"/>
        </w:rPr>
        <w:t>“</w:t>
      </w:r>
      <w:r>
        <w:rPr>
          <w:rFonts w:ascii="Times New Roman" w:hAnsi="Times New Roman" w:eastAsia="方正仿宋_GBK" w:cs="Times New Roman"/>
          <w:color w:val="auto"/>
          <w:sz w:val="32"/>
          <w:szCs w:val="32"/>
        </w:rPr>
        <w:t>政府采购</w:t>
      </w:r>
      <w:r>
        <w:rPr>
          <w:rFonts w:hint="eastAsia" w:ascii="Times New Roman" w:hAnsi="Times New Roman" w:eastAsia="方正仿宋_GBK" w:cs="Times New Roman"/>
          <w:color w:val="auto"/>
          <w:sz w:val="32"/>
          <w:szCs w:val="32"/>
        </w:rPr>
        <w:t>”</w:t>
      </w:r>
      <w:r>
        <w:rPr>
          <w:rFonts w:ascii="Times New Roman" w:hAnsi="Times New Roman" w:eastAsia="方正仿宋_GBK" w:cs="Times New Roman"/>
          <w:color w:val="auto"/>
          <w:sz w:val="32"/>
          <w:szCs w:val="32"/>
        </w:rPr>
        <w:t>模块详细了解关于CA办理、标书制作、开标投标指引等事宜。</w:t>
      </w:r>
    </w:p>
    <w:p w14:paraId="5AA8A0E1">
      <w:pPr>
        <w:spacing w:line="580" w:lineRule="exact"/>
        <w:ind w:firstLine="640" w:firstLineChars="20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如果</w:t>
      </w:r>
      <w:r>
        <w:rPr>
          <w:rFonts w:hint="eastAsia" w:ascii="Times New Roman" w:hAnsi="Times New Roman" w:eastAsia="方正仿宋_GBK" w:cs="Times New Roman"/>
          <w:color w:val="auto"/>
          <w:sz w:val="32"/>
          <w:szCs w:val="32"/>
        </w:rPr>
        <w:t>“</w:t>
      </w:r>
      <w:r>
        <w:rPr>
          <w:rFonts w:ascii="Times New Roman" w:hAnsi="Times New Roman" w:eastAsia="方正仿宋_GBK" w:cs="Times New Roman"/>
          <w:color w:val="auto"/>
          <w:sz w:val="32"/>
          <w:szCs w:val="32"/>
        </w:rPr>
        <w:t>江苏政府采购网</w:t>
      </w:r>
      <w:r>
        <w:rPr>
          <w:rFonts w:hint="eastAsia" w:ascii="Times New Roman" w:hAnsi="Times New Roman" w:eastAsia="方正仿宋_GBK" w:cs="Times New Roman"/>
          <w:color w:val="auto"/>
          <w:sz w:val="32"/>
          <w:szCs w:val="32"/>
        </w:rPr>
        <w:t>”</w:t>
      </w:r>
      <w:r>
        <w:rPr>
          <w:rFonts w:ascii="Times New Roman" w:hAnsi="Times New Roman" w:eastAsia="方正仿宋_GBK" w:cs="Times New Roman"/>
          <w:color w:val="auto"/>
          <w:sz w:val="32"/>
          <w:szCs w:val="32"/>
        </w:rPr>
        <w:t>（www.ccgp-jiangsu.gov.cn）信息与</w:t>
      </w:r>
      <w:r>
        <w:rPr>
          <w:rFonts w:hint="eastAsia" w:ascii="Times New Roman" w:hAnsi="Times New Roman" w:eastAsia="方正仿宋_GBK" w:cs="Times New Roman"/>
          <w:color w:val="auto"/>
          <w:sz w:val="32"/>
          <w:szCs w:val="32"/>
        </w:rPr>
        <w:t>“</w:t>
      </w:r>
      <w:r>
        <w:rPr>
          <w:rFonts w:ascii="Times New Roman" w:hAnsi="Times New Roman" w:eastAsia="方正仿宋_GBK" w:cs="Times New Roman"/>
          <w:color w:val="auto"/>
          <w:sz w:val="32"/>
          <w:szCs w:val="32"/>
        </w:rPr>
        <w:t>江苏政务服务网</w:t>
      </w:r>
      <w:r>
        <w:rPr>
          <w:rFonts w:hint="eastAsia" w:ascii="Times New Roman" w:hAnsi="Times New Roman" w:eastAsia="方正仿宋_GBK" w:cs="Times New Roman"/>
          <w:color w:val="auto"/>
          <w:sz w:val="32"/>
          <w:szCs w:val="32"/>
        </w:rPr>
        <w:t>”</w:t>
      </w:r>
      <w:r>
        <w:rPr>
          <w:rFonts w:ascii="Times New Roman" w:hAnsi="Times New Roman" w:eastAsia="方正仿宋_GBK" w:cs="Times New Roman"/>
          <w:color w:val="auto"/>
          <w:sz w:val="32"/>
          <w:szCs w:val="32"/>
        </w:rPr>
        <w:t>（www.jszwfw.gov.cn），</w:t>
      </w:r>
      <w:r>
        <w:rPr>
          <w:rFonts w:hint="eastAsia" w:ascii="Times New Roman" w:hAnsi="Times New Roman" w:eastAsia="方正仿宋_GBK" w:cs="Times New Roman"/>
          <w:color w:val="auto"/>
          <w:sz w:val="32"/>
          <w:szCs w:val="32"/>
        </w:rPr>
        <w:t>“</w:t>
      </w:r>
      <w:r>
        <w:rPr>
          <w:rFonts w:ascii="Times New Roman" w:hAnsi="Times New Roman" w:eastAsia="方正仿宋_GBK" w:cs="Times New Roman"/>
          <w:color w:val="auto"/>
          <w:sz w:val="32"/>
          <w:szCs w:val="32"/>
        </w:rPr>
        <w:t>一企来办</w:t>
      </w:r>
      <w:r>
        <w:rPr>
          <w:rFonts w:hint="eastAsia" w:ascii="Times New Roman" w:hAnsi="Times New Roman" w:eastAsia="方正仿宋_GBK" w:cs="Times New Roman"/>
          <w:color w:val="auto"/>
          <w:sz w:val="32"/>
          <w:szCs w:val="32"/>
        </w:rPr>
        <w:t>”</w:t>
      </w:r>
      <w:r>
        <w:rPr>
          <w:rFonts w:ascii="Times New Roman" w:hAnsi="Times New Roman" w:eastAsia="方正仿宋_GBK" w:cs="Times New Roman"/>
          <w:color w:val="auto"/>
          <w:sz w:val="32"/>
          <w:szCs w:val="32"/>
        </w:rPr>
        <w:t>专栏下</w:t>
      </w:r>
      <w:r>
        <w:rPr>
          <w:rFonts w:hint="eastAsia" w:ascii="Times New Roman" w:hAnsi="Times New Roman" w:eastAsia="方正仿宋_GBK" w:cs="Times New Roman"/>
          <w:color w:val="auto"/>
          <w:sz w:val="32"/>
          <w:szCs w:val="32"/>
        </w:rPr>
        <w:t>“</w:t>
      </w:r>
      <w:r>
        <w:rPr>
          <w:rFonts w:ascii="Times New Roman" w:hAnsi="Times New Roman" w:eastAsia="方正仿宋_GBK" w:cs="Times New Roman"/>
          <w:color w:val="auto"/>
          <w:sz w:val="32"/>
          <w:szCs w:val="32"/>
        </w:rPr>
        <w:t>政府采购</w:t>
      </w:r>
      <w:r>
        <w:rPr>
          <w:rFonts w:hint="eastAsia" w:ascii="Times New Roman" w:hAnsi="Times New Roman" w:eastAsia="方正仿宋_GBK" w:cs="Times New Roman"/>
          <w:color w:val="auto"/>
          <w:sz w:val="32"/>
          <w:szCs w:val="32"/>
        </w:rPr>
        <w:t>”</w:t>
      </w:r>
      <w:r>
        <w:rPr>
          <w:rFonts w:ascii="Times New Roman" w:hAnsi="Times New Roman" w:eastAsia="方正仿宋_GBK" w:cs="Times New Roman"/>
          <w:color w:val="auto"/>
          <w:sz w:val="32"/>
          <w:szCs w:val="32"/>
        </w:rPr>
        <w:t>模块中信息不一致，以</w:t>
      </w:r>
      <w:r>
        <w:rPr>
          <w:rFonts w:hint="eastAsia" w:ascii="Times New Roman" w:hAnsi="Times New Roman" w:eastAsia="方正仿宋_GBK" w:cs="Times New Roman"/>
          <w:color w:val="auto"/>
          <w:sz w:val="32"/>
          <w:szCs w:val="32"/>
        </w:rPr>
        <w:t>“</w:t>
      </w:r>
      <w:r>
        <w:rPr>
          <w:rFonts w:ascii="Times New Roman" w:hAnsi="Times New Roman" w:eastAsia="方正仿宋_GBK" w:cs="Times New Roman"/>
          <w:color w:val="auto"/>
          <w:sz w:val="32"/>
          <w:szCs w:val="32"/>
        </w:rPr>
        <w:t>江苏政府采购网</w:t>
      </w:r>
      <w:r>
        <w:rPr>
          <w:rFonts w:hint="eastAsia" w:ascii="Times New Roman" w:hAnsi="Times New Roman" w:eastAsia="方正仿宋_GBK" w:cs="Times New Roman"/>
          <w:color w:val="auto"/>
          <w:sz w:val="32"/>
          <w:szCs w:val="32"/>
        </w:rPr>
        <w:t>”</w:t>
      </w:r>
      <w:r>
        <w:rPr>
          <w:rFonts w:ascii="Times New Roman" w:hAnsi="Times New Roman" w:eastAsia="方正仿宋_GBK" w:cs="Times New Roman"/>
          <w:color w:val="auto"/>
          <w:sz w:val="32"/>
          <w:szCs w:val="32"/>
        </w:rPr>
        <w:t>信息为准。</w:t>
      </w:r>
    </w:p>
    <w:p w14:paraId="1808C972">
      <w:pPr>
        <w:spacing w:line="580" w:lineRule="exact"/>
        <w:ind w:firstLine="640" w:firstLineChars="20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5．投标人须使用提交投标文件的同一数字证书进行解密并参加投标。</w:t>
      </w:r>
    </w:p>
    <w:p w14:paraId="2424D54F">
      <w:pPr>
        <w:spacing w:line="580" w:lineRule="exact"/>
        <w:ind w:firstLine="640" w:firstLineChars="20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6．根据《关于在政府采购活动中推行信用承诺制的通知》宁财购通〔2021〕5号规定，参加南京地区政府采购活动的投标人，应以书面形式向采购人或政府采购代理机构作出信用承诺。投标人应尽早做好承诺工作，点击</w:t>
      </w:r>
      <w:r>
        <w:rPr>
          <w:rFonts w:hint="eastAsia" w:ascii="Times New Roman" w:hAnsi="Times New Roman" w:eastAsia="方正仿宋_GBK" w:cs="Times New Roman"/>
          <w:color w:val="auto"/>
          <w:sz w:val="32"/>
          <w:szCs w:val="32"/>
        </w:rPr>
        <w:t>“</w:t>
      </w:r>
      <w:r>
        <w:rPr>
          <w:rFonts w:ascii="Times New Roman" w:hAnsi="Times New Roman" w:eastAsia="方正仿宋_GBK" w:cs="Times New Roman"/>
          <w:color w:val="auto"/>
          <w:sz w:val="32"/>
          <w:szCs w:val="32"/>
        </w:rPr>
        <w:t>南京公共采购信息网</w:t>
      </w:r>
      <w:r>
        <w:rPr>
          <w:rFonts w:hint="eastAsia" w:ascii="Times New Roman" w:hAnsi="Times New Roman" w:eastAsia="方正仿宋_GBK" w:cs="Times New Roman"/>
          <w:color w:val="auto"/>
          <w:sz w:val="32"/>
          <w:szCs w:val="32"/>
        </w:rPr>
        <w:t>”</w:t>
      </w:r>
      <w:r>
        <w:rPr>
          <w:rFonts w:ascii="Times New Roman" w:hAnsi="Times New Roman" w:eastAsia="方正仿宋_GBK" w:cs="Times New Roman"/>
          <w:color w:val="auto"/>
          <w:sz w:val="32"/>
          <w:szCs w:val="32"/>
        </w:rPr>
        <w:t>首页</w:t>
      </w:r>
      <w:r>
        <w:fldChar w:fldCharType="begin"/>
      </w:r>
      <w:r>
        <w:instrText xml:space="preserve"> HYPERLINK "https://njgc.jfh.com/）‘南京市政府采购供应商诚信档案’系统链接打开系统页面（http://180.101.238.212:8280/hodeframe2018_cxda/index.action;jsessionid=769BA9C8E1729422E7173B991C8EC1E5）登录（未注册的供应商应先点击‘供应商注册点这里’并按" \t "_blank" </w:instrText>
      </w:r>
      <w:r>
        <w:fldChar w:fldCharType="separate"/>
      </w:r>
      <w:r>
        <w:rPr>
          <w:rFonts w:hint="eastAsia" w:ascii="Times New Roman" w:hAnsi="Times New Roman" w:eastAsia="方正仿宋_GBK" w:cs="Times New Roman"/>
          <w:color w:val="auto"/>
          <w:sz w:val="32"/>
          <w:szCs w:val="32"/>
        </w:rPr>
        <w:t>“</w:t>
      </w:r>
      <w:r>
        <w:rPr>
          <w:rFonts w:ascii="Times New Roman" w:hAnsi="Times New Roman" w:eastAsia="方正仿宋_GBK" w:cs="Times New Roman"/>
          <w:color w:val="auto"/>
          <w:sz w:val="32"/>
          <w:szCs w:val="32"/>
        </w:rPr>
        <w:t>南京市政府采购投标人诚信档案</w:t>
      </w:r>
      <w:r>
        <w:rPr>
          <w:rFonts w:hint="eastAsia" w:ascii="Times New Roman" w:hAnsi="Times New Roman" w:eastAsia="方正仿宋_GBK" w:cs="Times New Roman"/>
          <w:color w:val="auto"/>
          <w:sz w:val="32"/>
          <w:szCs w:val="32"/>
        </w:rPr>
        <w:t>”</w:t>
      </w:r>
      <w:r>
        <w:rPr>
          <w:rFonts w:ascii="Times New Roman" w:hAnsi="Times New Roman" w:eastAsia="方正仿宋_GBK" w:cs="Times New Roman"/>
          <w:color w:val="auto"/>
          <w:sz w:val="32"/>
          <w:szCs w:val="32"/>
        </w:rPr>
        <w:t>登录（未注册的投标人应先点击</w:t>
      </w:r>
      <w:r>
        <w:rPr>
          <w:rFonts w:hint="eastAsia" w:ascii="Times New Roman" w:hAnsi="Times New Roman" w:eastAsia="方正仿宋_GBK" w:cs="Times New Roman"/>
          <w:color w:val="auto"/>
          <w:sz w:val="32"/>
          <w:szCs w:val="32"/>
        </w:rPr>
        <w:t>“</w:t>
      </w:r>
      <w:r>
        <w:rPr>
          <w:rFonts w:ascii="Times New Roman" w:hAnsi="Times New Roman" w:eastAsia="方正仿宋_GBK" w:cs="Times New Roman"/>
          <w:color w:val="auto"/>
          <w:sz w:val="32"/>
          <w:szCs w:val="32"/>
        </w:rPr>
        <w:t>投标人注册点这里</w:t>
      </w:r>
      <w:r>
        <w:rPr>
          <w:rFonts w:hint="eastAsia" w:ascii="Times New Roman" w:hAnsi="Times New Roman" w:eastAsia="方正仿宋_GBK" w:cs="Times New Roman"/>
          <w:color w:val="auto"/>
          <w:sz w:val="32"/>
          <w:szCs w:val="32"/>
        </w:rPr>
        <w:t>”</w:t>
      </w:r>
      <w:r>
        <w:rPr>
          <w:rFonts w:ascii="Times New Roman" w:hAnsi="Times New Roman" w:eastAsia="方正仿宋_GBK" w:cs="Times New Roman"/>
          <w:color w:val="auto"/>
          <w:sz w:val="32"/>
          <w:szCs w:val="32"/>
        </w:rPr>
        <w:t>并按</w:t>
      </w:r>
      <w:r>
        <w:rPr>
          <w:rFonts w:ascii="Times New Roman" w:hAnsi="Times New Roman" w:eastAsia="方正仿宋_GBK" w:cs="Times New Roman"/>
          <w:color w:val="auto"/>
          <w:sz w:val="32"/>
          <w:szCs w:val="32"/>
        </w:rPr>
        <w:fldChar w:fldCharType="end"/>
      </w:r>
      <w:r>
        <w:rPr>
          <w:rFonts w:ascii="Times New Roman" w:hAnsi="Times New Roman" w:eastAsia="方正仿宋_GBK" w:cs="Times New Roman"/>
          <w:color w:val="auto"/>
          <w:sz w:val="32"/>
          <w:szCs w:val="32"/>
        </w:rPr>
        <w:t>要求完成注册），然后在</w:t>
      </w:r>
      <w:r>
        <w:rPr>
          <w:rFonts w:hint="eastAsia" w:ascii="Times New Roman" w:hAnsi="Times New Roman" w:eastAsia="方正仿宋_GBK" w:cs="Times New Roman"/>
          <w:color w:val="auto"/>
          <w:sz w:val="32"/>
          <w:szCs w:val="32"/>
        </w:rPr>
        <w:t>“</w:t>
      </w:r>
      <w:r>
        <w:rPr>
          <w:rFonts w:ascii="Times New Roman" w:hAnsi="Times New Roman" w:eastAsia="方正仿宋_GBK" w:cs="Times New Roman"/>
          <w:color w:val="auto"/>
          <w:sz w:val="32"/>
          <w:szCs w:val="32"/>
        </w:rPr>
        <w:t>信用记录</w:t>
      </w:r>
      <w:r>
        <w:rPr>
          <w:rFonts w:hint="eastAsia" w:ascii="Times New Roman" w:hAnsi="Times New Roman" w:eastAsia="方正仿宋_GBK" w:cs="Times New Roman"/>
          <w:color w:val="auto"/>
          <w:sz w:val="32"/>
          <w:szCs w:val="32"/>
        </w:rPr>
        <w:t>”</w:t>
      </w:r>
      <w:r>
        <w:rPr>
          <w:rFonts w:ascii="Times New Roman" w:hAnsi="Times New Roman" w:eastAsia="方正仿宋_GBK" w:cs="Times New Roman"/>
          <w:color w:val="auto"/>
          <w:sz w:val="32"/>
          <w:szCs w:val="32"/>
        </w:rPr>
        <w:t>模块页面点击</w:t>
      </w:r>
      <w:r>
        <w:rPr>
          <w:rFonts w:hint="eastAsia" w:ascii="Times New Roman" w:hAnsi="Times New Roman" w:eastAsia="方正仿宋_GBK" w:cs="Times New Roman"/>
          <w:color w:val="auto"/>
          <w:sz w:val="32"/>
          <w:szCs w:val="32"/>
        </w:rPr>
        <w:t>“</w:t>
      </w:r>
      <w:r>
        <w:rPr>
          <w:rFonts w:ascii="Times New Roman" w:hAnsi="Times New Roman" w:eastAsia="方正仿宋_GBK" w:cs="Times New Roman"/>
          <w:color w:val="auto"/>
          <w:sz w:val="32"/>
          <w:szCs w:val="32"/>
        </w:rPr>
        <w:t>信用记录打印</w:t>
      </w:r>
      <w:r>
        <w:rPr>
          <w:rFonts w:hint="eastAsia" w:ascii="Times New Roman" w:hAnsi="Times New Roman" w:eastAsia="方正仿宋_GBK" w:cs="Times New Roman"/>
          <w:color w:val="auto"/>
          <w:sz w:val="32"/>
          <w:szCs w:val="32"/>
        </w:rPr>
        <w:t>”</w:t>
      </w:r>
      <w:r>
        <w:rPr>
          <w:rFonts w:ascii="Times New Roman" w:hAnsi="Times New Roman" w:eastAsia="方正仿宋_GBK" w:cs="Times New Roman"/>
          <w:color w:val="auto"/>
          <w:sz w:val="32"/>
          <w:szCs w:val="32"/>
        </w:rPr>
        <w:t>下载本单位《南京市政府采购投标人信用记录表暨信用承诺书》，由法人签字并盖单位公章，放置在投标文件中。</w:t>
      </w:r>
    </w:p>
    <w:p w14:paraId="341808B3">
      <w:pPr>
        <w:spacing w:line="580" w:lineRule="exact"/>
        <w:ind w:firstLine="640" w:firstLineChars="20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在政府采购资格审查环节，投标人只需提供书面《南京市政府采购投标人信用记录表暨信用承诺书》，即可替代以下证明材料： </w:t>
      </w:r>
    </w:p>
    <w:p w14:paraId="19127C11">
      <w:pPr>
        <w:spacing w:line="580" w:lineRule="exact"/>
        <w:ind w:firstLine="640" w:firstLineChars="20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（1）符合国家相关规定的财务状况报告； </w:t>
      </w:r>
    </w:p>
    <w:p w14:paraId="752E6520">
      <w:pPr>
        <w:spacing w:line="580" w:lineRule="exact"/>
        <w:ind w:firstLine="640" w:firstLineChars="20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（2）依法缴纳税收的证明材料； </w:t>
      </w:r>
    </w:p>
    <w:p w14:paraId="0FEA6B5F">
      <w:pPr>
        <w:spacing w:line="580" w:lineRule="exact"/>
        <w:ind w:firstLine="640" w:firstLineChars="20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（3）依法缴纳社会保障资金的证明材料； </w:t>
      </w:r>
    </w:p>
    <w:p w14:paraId="2F25E0F9">
      <w:pPr>
        <w:spacing w:line="580" w:lineRule="exact"/>
        <w:ind w:firstLine="640" w:firstLineChars="20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（4）具备履行政府采购合同所必需的设备和专业技术能力的证明材料； </w:t>
      </w:r>
    </w:p>
    <w:p w14:paraId="5B34728B">
      <w:pPr>
        <w:spacing w:line="580" w:lineRule="exact"/>
        <w:ind w:firstLine="640" w:firstLineChars="20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（5）参加政府采购活动前三年内在经营活动中没有重大违法记录的证明材料； </w:t>
      </w:r>
    </w:p>
    <w:p w14:paraId="061B2048">
      <w:pPr>
        <w:spacing w:line="580" w:lineRule="exact"/>
        <w:ind w:firstLine="640" w:firstLineChars="20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（6）未被列入失信被执行人、重大税收违法失信主体、政府采购严重违法失信行为记录名单的证明材料。</w:t>
      </w:r>
    </w:p>
    <w:p w14:paraId="59B21F34">
      <w:pPr>
        <w:spacing w:line="580" w:lineRule="exact"/>
        <w:ind w:firstLine="640" w:firstLineChars="20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投标人在中标（成交）后，应按采购文件要求，将上述由信用承诺书替代的证明材料提交采购人或采购代理机构核验。经核验无误后，由采购代理机构发出中标（成交）通知书。</w:t>
      </w:r>
    </w:p>
    <w:p w14:paraId="2163FECF">
      <w:pPr>
        <w:spacing w:line="580" w:lineRule="exact"/>
        <w:ind w:firstLine="640" w:firstLineChars="20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投标人涉及以下情形的，不适用信用承诺：</w:t>
      </w:r>
    </w:p>
    <w:p w14:paraId="14331AC7">
      <w:pPr>
        <w:spacing w:line="580" w:lineRule="exact"/>
        <w:ind w:firstLine="640" w:firstLineChars="20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（1）投标人被列入严重失信主体名单；</w:t>
      </w:r>
    </w:p>
    <w:p w14:paraId="0796F407">
      <w:pPr>
        <w:spacing w:line="580" w:lineRule="exact"/>
        <w:ind w:firstLine="640" w:firstLineChars="20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（2）被相关监管部门作出行政处罚且尚在处罚有效期内； </w:t>
      </w:r>
    </w:p>
    <w:p w14:paraId="451C58B4">
      <w:pPr>
        <w:spacing w:line="580" w:lineRule="exact"/>
        <w:ind w:firstLine="640" w:firstLineChars="20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（3）其他法律、行政法规规定的不适用信用承诺的情形。 </w:t>
      </w:r>
    </w:p>
    <w:p w14:paraId="6B83D904">
      <w:pPr>
        <w:spacing w:line="580" w:lineRule="exact"/>
        <w:ind w:firstLine="640" w:firstLineChars="20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投标人对信用承诺内容的真实性、合法性、有效性负责。如作出虚假信用承诺，视同为</w:t>
      </w:r>
      <w:r>
        <w:rPr>
          <w:rFonts w:hint="eastAsia" w:ascii="Times New Roman" w:hAnsi="Times New Roman" w:eastAsia="方正仿宋_GBK" w:cs="Times New Roman"/>
          <w:color w:val="auto"/>
          <w:sz w:val="32"/>
          <w:szCs w:val="32"/>
        </w:rPr>
        <w:t>“</w:t>
      </w:r>
      <w:r>
        <w:rPr>
          <w:rFonts w:ascii="Times New Roman" w:hAnsi="Times New Roman" w:eastAsia="方正仿宋_GBK" w:cs="Times New Roman"/>
          <w:color w:val="auto"/>
          <w:sz w:val="32"/>
          <w:szCs w:val="32"/>
        </w:rPr>
        <w:t>提供虚假材料谋取中标、成交</w:t>
      </w:r>
      <w:r>
        <w:rPr>
          <w:rFonts w:hint="eastAsia" w:ascii="Times New Roman" w:hAnsi="Times New Roman" w:eastAsia="方正仿宋_GBK" w:cs="Times New Roman"/>
          <w:color w:val="auto"/>
          <w:sz w:val="32"/>
          <w:szCs w:val="32"/>
        </w:rPr>
        <w:t>”</w:t>
      </w:r>
      <w:r>
        <w:rPr>
          <w:rFonts w:ascii="Times New Roman" w:hAnsi="Times New Roman" w:eastAsia="方正仿宋_GBK" w:cs="Times New Roman"/>
          <w:color w:val="auto"/>
          <w:sz w:val="32"/>
          <w:szCs w:val="32"/>
        </w:rPr>
        <w:t>的违法行为。</w:t>
      </w:r>
    </w:p>
    <w:p w14:paraId="3C29504F">
      <w:pPr>
        <w:spacing w:line="580" w:lineRule="exact"/>
        <w:ind w:firstLine="640" w:firstLineChars="20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7．开标、评标以投标人上传的加密电子投标文件内容为准，确定中标人后，中标人须向招标人提供2份加盖公章的纸质投标文件，中标人提供的纸质投标文件需与投标时提供的电子文件保持一致，如有不一致，以电子投标文件为准。</w:t>
      </w:r>
    </w:p>
    <w:p w14:paraId="17FAC93C">
      <w:pPr>
        <w:spacing w:line="580" w:lineRule="exact"/>
        <w:ind w:firstLine="640" w:firstLineChars="20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8．有关本次招标的事项若存在变动或修改，请及时关注</w:t>
      </w:r>
      <w:r>
        <w:rPr>
          <w:rFonts w:hint="eastAsia" w:ascii="Times New Roman" w:hAnsi="Times New Roman" w:eastAsia="方正仿宋_GBK" w:cs="Times New Roman"/>
          <w:color w:val="auto"/>
          <w:sz w:val="32"/>
          <w:szCs w:val="32"/>
        </w:rPr>
        <w:t>“</w:t>
      </w:r>
      <w:r>
        <w:rPr>
          <w:rFonts w:ascii="Times New Roman" w:hAnsi="Times New Roman" w:eastAsia="方正仿宋_GBK" w:cs="Times New Roman"/>
          <w:color w:val="auto"/>
          <w:sz w:val="32"/>
          <w:szCs w:val="32"/>
        </w:rPr>
        <w:t>江苏政府采购网（http://www.ccgp-jiangsu.gov.cn/）</w:t>
      </w:r>
      <w:r>
        <w:rPr>
          <w:rFonts w:hint="eastAsia" w:ascii="Times New Roman" w:hAnsi="Times New Roman" w:eastAsia="方正仿宋_GBK" w:cs="Times New Roman"/>
          <w:color w:val="auto"/>
          <w:sz w:val="32"/>
          <w:szCs w:val="32"/>
        </w:rPr>
        <w:t>”“</w:t>
      </w:r>
      <w:r>
        <w:rPr>
          <w:rFonts w:ascii="Times New Roman" w:hAnsi="Times New Roman" w:eastAsia="方正仿宋_GBK" w:cs="Times New Roman"/>
          <w:color w:val="auto"/>
          <w:sz w:val="32"/>
          <w:szCs w:val="32"/>
        </w:rPr>
        <w:t>南京公共采购信息网（https://njgc.jfh.com/）</w:t>
      </w:r>
      <w:r>
        <w:rPr>
          <w:rFonts w:hint="eastAsia" w:ascii="Times New Roman" w:hAnsi="Times New Roman" w:eastAsia="方正仿宋_GBK" w:cs="Times New Roman"/>
          <w:color w:val="auto"/>
          <w:sz w:val="32"/>
          <w:szCs w:val="32"/>
        </w:rPr>
        <w:t>”</w:t>
      </w:r>
      <w:r>
        <w:rPr>
          <w:rFonts w:ascii="Times New Roman" w:hAnsi="Times New Roman" w:eastAsia="方正仿宋_GBK" w:cs="Times New Roman"/>
          <w:color w:val="auto"/>
          <w:sz w:val="32"/>
          <w:szCs w:val="32"/>
        </w:rPr>
        <w:t>更正公告。</w:t>
      </w:r>
      <w:bookmarkEnd w:id="39"/>
    </w:p>
    <w:p w14:paraId="617D9647">
      <w:pPr>
        <w:spacing w:line="580" w:lineRule="exact"/>
        <w:ind w:firstLine="640" w:firstLineChars="20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9</w:t>
      </w:r>
      <w:r>
        <w:rPr>
          <w:rFonts w:hint="eastAsia" w:ascii="Times New Roman" w:hAnsi="Times New Roman" w:eastAsia="方正仿宋_GBK" w:cs="Times New Roman"/>
          <w:color w:val="auto"/>
          <w:sz w:val="32"/>
          <w:szCs w:val="32"/>
        </w:rPr>
        <w:t>．</w:t>
      </w:r>
      <w:r>
        <w:rPr>
          <w:rFonts w:ascii="Times New Roman" w:hAnsi="Times New Roman" w:eastAsia="方正仿宋_GBK" w:cs="Times New Roman"/>
          <w:color w:val="auto"/>
          <w:sz w:val="32"/>
          <w:szCs w:val="32"/>
        </w:rPr>
        <w:t>本项目采购标的对应的中小企业划分标准所属行业为：本项目属于其他未列明行业。</w:t>
      </w:r>
    </w:p>
    <w:p w14:paraId="0B06B0CE">
      <w:pPr>
        <w:pStyle w:val="195"/>
        <w:spacing w:before="0" w:after="0" w:line="580" w:lineRule="exact"/>
        <w:ind w:firstLine="640" w:firstLineChars="200"/>
        <w:outlineLvl w:val="1"/>
        <w:rPr>
          <w:rFonts w:ascii="Times New Roman" w:hAnsi="Times New Roman" w:eastAsia="方正仿宋_GBK" w:cs="Times New Roman"/>
          <w:b w:val="0"/>
          <w:color w:val="auto"/>
        </w:rPr>
      </w:pPr>
      <w:r>
        <w:rPr>
          <w:rFonts w:ascii="Times New Roman" w:hAnsi="Times New Roman" w:eastAsia="方正仿宋_GBK" w:cs="Times New Roman"/>
          <w:b w:val="0"/>
          <w:color w:val="auto"/>
        </w:rPr>
        <w:t>七、本次招标联系方式</w:t>
      </w:r>
    </w:p>
    <w:p w14:paraId="1AB9968B">
      <w:pPr>
        <w:spacing w:line="580" w:lineRule="exact"/>
        <w:ind w:firstLine="640" w:firstLineChars="20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1．采购人</w:t>
      </w:r>
    </w:p>
    <w:p w14:paraId="5CD125D1">
      <w:pPr>
        <w:tabs>
          <w:tab w:val="left" w:pos="900"/>
        </w:tabs>
        <w:spacing w:line="580" w:lineRule="exact"/>
        <w:ind w:firstLine="640" w:firstLineChars="20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 xml:space="preserve">名  称：南京市商务局         </w:t>
      </w:r>
    </w:p>
    <w:p w14:paraId="5EA49C2A">
      <w:pPr>
        <w:tabs>
          <w:tab w:val="left" w:pos="900"/>
        </w:tabs>
        <w:spacing w:line="580" w:lineRule="exact"/>
        <w:ind w:firstLine="640" w:firstLineChars="20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 xml:space="preserve">地  址：南京市建邺路148号  </w:t>
      </w:r>
    </w:p>
    <w:p w14:paraId="6C07DDE8">
      <w:pPr>
        <w:tabs>
          <w:tab w:val="left" w:pos="900"/>
        </w:tabs>
        <w:spacing w:line="580" w:lineRule="exact"/>
        <w:ind w:firstLine="640" w:firstLineChars="20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联系人：王媛娴</w:t>
      </w:r>
    </w:p>
    <w:p w14:paraId="04D907A5">
      <w:pPr>
        <w:tabs>
          <w:tab w:val="left" w:pos="900"/>
        </w:tabs>
        <w:spacing w:line="580" w:lineRule="exact"/>
        <w:ind w:firstLine="640" w:firstLineChars="20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联系电话：025-68539586</w:t>
      </w:r>
    </w:p>
    <w:p w14:paraId="1506E9E2">
      <w:pPr>
        <w:tabs>
          <w:tab w:val="left" w:pos="900"/>
        </w:tabs>
        <w:spacing w:line="580" w:lineRule="exact"/>
        <w:ind w:firstLine="640" w:firstLineChars="20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2．代理机构</w:t>
      </w:r>
    </w:p>
    <w:p w14:paraId="45474BA2">
      <w:pPr>
        <w:pStyle w:val="17"/>
        <w:spacing w:after="0" w:line="580" w:lineRule="exact"/>
        <w:ind w:left="0" w:leftChars="0" w:firstLine="640" w:firstLineChars="200"/>
        <w:rPr>
          <w:rFonts w:eastAsia="方正仿宋_GBK"/>
          <w:b w:val="0"/>
          <w:color w:val="auto"/>
          <w:position w:val="0"/>
          <w:sz w:val="32"/>
          <w:szCs w:val="32"/>
        </w:rPr>
      </w:pPr>
      <w:r>
        <w:rPr>
          <w:rFonts w:eastAsia="方正仿宋_GBK"/>
          <w:b w:val="0"/>
          <w:color w:val="auto"/>
          <w:position w:val="0"/>
          <w:sz w:val="32"/>
          <w:szCs w:val="32"/>
        </w:rPr>
        <w:t xml:space="preserve">名  称：江苏中博通信有限公司 </w:t>
      </w:r>
    </w:p>
    <w:p w14:paraId="5B2D5918">
      <w:pPr>
        <w:tabs>
          <w:tab w:val="left" w:pos="900"/>
        </w:tabs>
        <w:spacing w:line="580" w:lineRule="exact"/>
        <w:ind w:firstLine="640" w:firstLineChars="20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 xml:space="preserve">地　址：南京市鼓楼区虎踞北路80号  </w:t>
      </w:r>
    </w:p>
    <w:p w14:paraId="75BFE65A">
      <w:pPr>
        <w:tabs>
          <w:tab w:val="left" w:pos="900"/>
        </w:tabs>
        <w:spacing w:line="580" w:lineRule="exact"/>
        <w:ind w:firstLine="640" w:firstLineChars="20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联系人：</w:t>
      </w:r>
      <w:bookmarkStart w:id="40" w:name="OLE_LINK8"/>
      <w:r>
        <w:rPr>
          <w:rFonts w:ascii="Times New Roman" w:hAnsi="Times New Roman" w:eastAsia="方正仿宋_GBK" w:cs="Times New Roman"/>
          <w:color w:val="auto"/>
          <w:sz w:val="32"/>
          <w:szCs w:val="32"/>
        </w:rPr>
        <w:t>朱建梅、宋扬</w:t>
      </w:r>
      <w:bookmarkEnd w:id="40"/>
      <w:r>
        <w:rPr>
          <w:rFonts w:ascii="Times New Roman" w:hAnsi="Times New Roman" w:eastAsia="方正仿宋_GBK" w:cs="Times New Roman"/>
          <w:color w:val="auto"/>
          <w:sz w:val="32"/>
          <w:szCs w:val="32"/>
        </w:rPr>
        <w:t xml:space="preserve">                 </w:t>
      </w:r>
    </w:p>
    <w:p w14:paraId="5DF4F577">
      <w:pPr>
        <w:tabs>
          <w:tab w:val="left" w:pos="900"/>
        </w:tabs>
        <w:spacing w:line="580" w:lineRule="exact"/>
        <w:ind w:firstLine="640" w:firstLineChars="200"/>
        <w:rPr>
          <w:rFonts w:hint="eastAsia" w:asciiTheme="minorEastAsia" w:hAnsiTheme="minorEastAsia" w:eastAsiaTheme="minorEastAsia" w:cstheme="minorEastAsia"/>
          <w:color w:val="auto"/>
          <w:sz w:val="24"/>
          <w:szCs w:val="24"/>
        </w:rPr>
      </w:pPr>
      <w:r>
        <w:rPr>
          <w:rFonts w:ascii="Times New Roman" w:hAnsi="Times New Roman" w:eastAsia="方正仿宋_GBK" w:cs="Times New Roman"/>
          <w:color w:val="auto"/>
          <w:sz w:val="32"/>
          <w:szCs w:val="32"/>
        </w:rPr>
        <w:t xml:space="preserve">联系电话：15051816574                    </w:t>
      </w:r>
      <w:r>
        <w:rPr>
          <w:rFonts w:hint="eastAsia" w:asciiTheme="minorEastAsia" w:hAnsiTheme="minorEastAsia" w:eastAsiaTheme="minorEastAsia" w:cstheme="minorEastAsia"/>
          <w:color w:val="auto"/>
          <w:sz w:val="24"/>
          <w:szCs w:val="24"/>
        </w:rPr>
        <w:t xml:space="preserve"> </w:t>
      </w:r>
    </w:p>
    <w:p w14:paraId="1979D04B">
      <w:pPr>
        <w:tabs>
          <w:tab w:val="left" w:pos="900"/>
        </w:tabs>
        <w:spacing w:line="580" w:lineRule="exact"/>
        <w:ind w:firstLine="480"/>
        <w:rPr>
          <w:rFonts w:hint="eastAsia" w:asciiTheme="minorEastAsia" w:hAnsiTheme="minorEastAsia" w:eastAsiaTheme="minorEastAsia" w:cstheme="minorEastAsia"/>
          <w:color w:val="auto"/>
          <w:sz w:val="24"/>
          <w:szCs w:val="24"/>
        </w:rPr>
      </w:pPr>
    </w:p>
    <w:p w14:paraId="71387C99">
      <w:pPr>
        <w:tabs>
          <w:tab w:val="left" w:pos="900"/>
        </w:tabs>
        <w:spacing w:line="580" w:lineRule="exact"/>
        <w:rPr>
          <w:rFonts w:hint="eastAsia" w:ascii="方正仿宋_GBK" w:hAnsi="宋体" w:eastAsia="方正仿宋_GBK" w:cs="宋体"/>
          <w:color w:val="auto"/>
          <w:sz w:val="32"/>
          <w:szCs w:val="32"/>
        </w:rPr>
      </w:pPr>
    </w:p>
    <w:p w14:paraId="1F10F1FE">
      <w:pPr>
        <w:spacing w:line="580" w:lineRule="exact"/>
        <w:rPr>
          <w:rFonts w:hint="eastAsia" w:ascii="方正仿宋_GBK" w:hAnsi="宋体" w:eastAsia="方正仿宋_GBK" w:cs="宋体"/>
          <w:color w:val="auto"/>
          <w:sz w:val="32"/>
          <w:szCs w:val="32"/>
        </w:rPr>
      </w:pPr>
      <w:bookmarkStart w:id="41" w:name="_Toc120614244"/>
      <w:bookmarkEnd w:id="41"/>
      <w:bookmarkStart w:id="42" w:name="_Toc462564139"/>
      <w:bookmarkEnd w:id="42"/>
      <w:bookmarkStart w:id="43" w:name="_Toc20823346"/>
      <w:bookmarkEnd w:id="43"/>
      <w:bookmarkStart w:id="44" w:name="_Hlt16619350"/>
      <w:bookmarkEnd w:id="44"/>
      <w:bookmarkStart w:id="45" w:name="_Toc16938590"/>
      <w:bookmarkEnd w:id="45"/>
      <w:bookmarkStart w:id="46" w:name="_Toc479757211"/>
      <w:bookmarkEnd w:id="46"/>
      <w:bookmarkStart w:id="47" w:name="_Toc120614211"/>
      <w:bookmarkEnd w:id="47"/>
      <w:r>
        <w:rPr>
          <w:rFonts w:hint="eastAsia" w:ascii="方正仿宋_GBK" w:hAnsi="宋体" w:eastAsia="方正仿宋_GBK" w:cs="宋体"/>
          <w:color w:val="auto"/>
          <w:sz w:val="32"/>
          <w:szCs w:val="32"/>
        </w:rPr>
        <w:br w:type="page"/>
      </w:r>
    </w:p>
    <w:p w14:paraId="68207337">
      <w:pPr>
        <w:spacing w:line="580" w:lineRule="exact"/>
        <w:jc w:val="center"/>
        <w:outlineLvl w:val="0"/>
        <w:rPr>
          <w:rFonts w:hint="eastAsia" w:ascii="方正黑体_GBK" w:hAnsi="宋体" w:eastAsia="方正黑体_GBK" w:cs="宋体"/>
          <w:color w:val="auto"/>
          <w:sz w:val="32"/>
          <w:szCs w:val="32"/>
        </w:rPr>
      </w:pPr>
      <w:bookmarkStart w:id="48" w:name="_Toc178087281"/>
      <w:bookmarkStart w:id="49" w:name="_Toc177032404"/>
      <w:r>
        <w:rPr>
          <w:rFonts w:hint="eastAsia" w:ascii="方正黑体_GBK" w:hAnsi="宋体" w:eastAsia="方正黑体_GBK" w:cs="宋体"/>
          <w:color w:val="auto"/>
          <w:sz w:val="32"/>
          <w:szCs w:val="32"/>
        </w:rPr>
        <w:t xml:space="preserve">第二章  </w:t>
      </w:r>
      <w:bookmarkStart w:id="50" w:name="_Toc120614213"/>
      <w:bookmarkEnd w:id="50"/>
      <w:bookmarkStart w:id="51" w:name="_Toc20823274"/>
      <w:bookmarkEnd w:id="51"/>
      <w:bookmarkStart w:id="52" w:name="_Toc16938518"/>
      <w:bookmarkEnd w:id="52"/>
      <w:bookmarkStart w:id="53" w:name="_Toc513029202"/>
      <w:bookmarkEnd w:id="53"/>
      <w:r>
        <w:rPr>
          <w:rFonts w:hint="eastAsia" w:ascii="方正黑体_GBK" w:hAnsi="宋体" w:eastAsia="方正黑体_GBK" w:cs="宋体"/>
          <w:color w:val="auto"/>
          <w:sz w:val="32"/>
          <w:szCs w:val="32"/>
        </w:rPr>
        <w:t>投标人须知</w:t>
      </w:r>
      <w:bookmarkEnd w:id="48"/>
      <w:bookmarkEnd w:id="49"/>
    </w:p>
    <w:p w14:paraId="595F5B13">
      <w:pPr>
        <w:pStyle w:val="195"/>
        <w:spacing w:before="0" w:after="0" w:line="580" w:lineRule="exact"/>
        <w:ind w:firstLine="640" w:firstLineChars="200"/>
        <w:outlineLvl w:val="9"/>
        <w:rPr>
          <w:rFonts w:hint="eastAsia" w:ascii="方正仿宋_GBK" w:hAnsi="宋体" w:eastAsia="方正仿宋_GBK" w:cs="宋体"/>
          <w:bCs/>
          <w:color w:val="auto"/>
        </w:rPr>
      </w:pPr>
      <w:bookmarkStart w:id="54" w:name="_Toc120614214"/>
      <w:bookmarkEnd w:id="54"/>
      <w:bookmarkStart w:id="55" w:name="_Toc20823314"/>
      <w:bookmarkEnd w:id="55"/>
      <w:bookmarkStart w:id="56" w:name="_Toc479757207"/>
      <w:bookmarkEnd w:id="56"/>
      <w:bookmarkStart w:id="57" w:name="_Toc16938558"/>
      <w:bookmarkEnd w:id="57"/>
      <w:bookmarkStart w:id="58" w:name="_Toc120614221"/>
      <w:bookmarkEnd w:id="58"/>
      <w:bookmarkStart w:id="59" w:name="_Toc16938519"/>
      <w:bookmarkEnd w:id="59"/>
      <w:bookmarkStart w:id="60" w:name="_Toc20823275"/>
      <w:bookmarkEnd w:id="60"/>
      <w:bookmarkStart w:id="61" w:name="_Toc513029203"/>
      <w:bookmarkEnd w:id="61"/>
      <w:bookmarkStart w:id="62" w:name="_Toc513029242"/>
      <w:bookmarkEnd w:id="62"/>
    </w:p>
    <w:p w14:paraId="3FF0EBEF">
      <w:pPr>
        <w:pStyle w:val="195"/>
        <w:spacing w:before="0" w:after="0" w:line="580" w:lineRule="exact"/>
        <w:ind w:firstLine="640" w:firstLineChars="200"/>
        <w:outlineLvl w:val="9"/>
        <w:rPr>
          <w:rFonts w:ascii="Times New Roman" w:hAnsi="Times New Roman" w:eastAsia="方正仿宋_GBK" w:cs="Times New Roman"/>
          <w:b w:val="0"/>
          <w:color w:val="auto"/>
        </w:rPr>
      </w:pPr>
      <w:r>
        <w:rPr>
          <w:rFonts w:ascii="Times New Roman" w:hAnsi="Times New Roman" w:eastAsia="方正仿宋_GBK" w:cs="Times New Roman"/>
          <w:b w:val="0"/>
          <w:color w:val="auto"/>
        </w:rPr>
        <w:t>一、总则</w:t>
      </w:r>
    </w:p>
    <w:p w14:paraId="1897F955">
      <w:pPr>
        <w:pStyle w:val="45"/>
        <w:spacing w:before="0" w:after="0" w:line="580" w:lineRule="exact"/>
        <w:ind w:firstLine="640" w:firstLineChars="200"/>
        <w:outlineLvl w:val="9"/>
        <w:rPr>
          <w:rFonts w:ascii="Times New Roman" w:hAnsi="Times New Roman" w:eastAsia="方正仿宋_GBK" w:cs="Times New Roman"/>
          <w:b w:val="0"/>
          <w:color w:val="auto"/>
          <w:sz w:val="32"/>
          <w:szCs w:val="32"/>
        </w:rPr>
      </w:pPr>
      <w:bookmarkStart w:id="63" w:name="_Toc20823276"/>
      <w:bookmarkEnd w:id="63"/>
      <w:bookmarkStart w:id="64" w:name="_Toc458694821"/>
      <w:bookmarkEnd w:id="64"/>
      <w:bookmarkStart w:id="65" w:name="_Toc16938520"/>
      <w:bookmarkEnd w:id="65"/>
      <w:bookmarkStart w:id="66" w:name="_Toc513029204"/>
      <w:bookmarkEnd w:id="66"/>
      <w:bookmarkStart w:id="67" w:name="_Hlt16619475"/>
      <w:bookmarkEnd w:id="67"/>
      <w:r>
        <w:rPr>
          <w:rFonts w:ascii="Times New Roman" w:hAnsi="Times New Roman" w:eastAsia="方正仿宋_GBK" w:cs="Times New Roman"/>
          <w:b w:val="0"/>
          <w:color w:val="auto"/>
          <w:sz w:val="32"/>
          <w:szCs w:val="32"/>
        </w:rPr>
        <w:t>1．招标方式</w:t>
      </w:r>
    </w:p>
    <w:p w14:paraId="1944ECA0">
      <w:pPr>
        <w:spacing w:line="580" w:lineRule="exact"/>
        <w:ind w:firstLine="640" w:firstLineChars="20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1.1 本次招标采取公开招标方式，本招标文件仅适用于招标公告中所述项目。</w:t>
      </w:r>
    </w:p>
    <w:p w14:paraId="04367931">
      <w:pPr>
        <w:pStyle w:val="45"/>
        <w:spacing w:before="0" w:after="0" w:line="580" w:lineRule="exact"/>
        <w:ind w:firstLine="640" w:firstLineChars="200"/>
        <w:outlineLvl w:val="9"/>
        <w:rPr>
          <w:rFonts w:ascii="Times New Roman" w:hAnsi="Times New Roman" w:eastAsia="方正仿宋_GBK" w:cs="Times New Roman"/>
          <w:b w:val="0"/>
          <w:color w:val="auto"/>
          <w:sz w:val="32"/>
          <w:szCs w:val="32"/>
        </w:rPr>
      </w:pPr>
      <w:bookmarkStart w:id="68" w:name="_Toc16938521"/>
      <w:bookmarkEnd w:id="68"/>
      <w:bookmarkStart w:id="69" w:name="_Toc513029205"/>
      <w:bookmarkEnd w:id="69"/>
      <w:bookmarkStart w:id="70" w:name="_Toc20823277"/>
      <w:bookmarkEnd w:id="70"/>
      <w:r>
        <w:rPr>
          <w:rFonts w:ascii="Times New Roman" w:hAnsi="Times New Roman" w:eastAsia="方正仿宋_GBK" w:cs="Times New Roman"/>
          <w:b w:val="0"/>
          <w:color w:val="auto"/>
          <w:sz w:val="32"/>
          <w:szCs w:val="32"/>
        </w:rPr>
        <w:t>2．合格的投标人</w:t>
      </w:r>
    </w:p>
    <w:p w14:paraId="38D3EFB8">
      <w:pPr>
        <w:spacing w:line="580" w:lineRule="exact"/>
        <w:ind w:firstLine="640" w:firstLineChars="20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2.1 满足招标公告对投标人资格要求的规定。</w:t>
      </w:r>
    </w:p>
    <w:p w14:paraId="35A0320C">
      <w:pPr>
        <w:spacing w:line="580" w:lineRule="exact"/>
        <w:ind w:firstLine="640" w:firstLineChars="20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2.2 满足本文件规定的实质性要求和条件。</w:t>
      </w:r>
    </w:p>
    <w:p w14:paraId="5DACC5C8">
      <w:pPr>
        <w:pStyle w:val="45"/>
        <w:spacing w:before="0" w:after="0" w:line="580" w:lineRule="exact"/>
        <w:ind w:firstLine="640" w:firstLineChars="200"/>
        <w:outlineLvl w:val="9"/>
        <w:rPr>
          <w:rFonts w:ascii="Times New Roman" w:hAnsi="Times New Roman" w:eastAsia="方正仿宋_GBK" w:cs="Times New Roman"/>
          <w:b w:val="0"/>
          <w:color w:val="auto"/>
          <w:sz w:val="32"/>
          <w:szCs w:val="32"/>
        </w:rPr>
      </w:pPr>
      <w:bookmarkStart w:id="71" w:name="_Toc20823278"/>
      <w:bookmarkEnd w:id="71"/>
      <w:bookmarkStart w:id="72" w:name="_Toc513029206"/>
      <w:bookmarkEnd w:id="72"/>
      <w:bookmarkStart w:id="73" w:name="_Toc16938522"/>
      <w:bookmarkEnd w:id="73"/>
      <w:r>
        <w:rPr>
          <w:rFonts w:ascii="Times New Roman" w:hAnsi="Times New Roman" w:eastAsia="方正仿宋_GBK" w:cs="Times New Roman"/>
          <w:b w:val="0"/>
          <w:color w:val="auto"/>
          <w:sz w:val="32"/>
          <w:szCs w:val="32"/>
        </w:rPr>
        <w:t>3．适用法律</w:t>
      </w:r>
    </w:p>
    <w:p w14:paraId="482C782D">
      <w:pPr>
        <w:spacing w:line="580" w:lineRule="exact"/>
        <w:ind w:firstLine="640" w:firstLineChars="20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3.1 本次招标及由此产生的合同受中华人民共和国有关的法律法规制约和保护。</w:t>
      </w:r>
    </w:p>
    <w:p w14:paraId="6D0B2D1D">
      <w:pPr>
        <w:pStyle w:val="45"/>
        <w:spacing w:before="0" w:after="0" w:line="580" w:lineRule="exact"/>
        <w:ind w:firstLine="640" w:firstLineChars="200"/>
        <w:outlineLvl w:val="9"/>
        <w:rPr>
          <w:rFonts w:ascii="Times New Roman" w:hAnsi="Times New Roman" w:eastAsia="方正仿宋_GBK" w:cs="Times New Roman"/>
          <w:b w:val="0"/>
          <w:color w:val="auto"/>
          <w:sz w:val="32"/>
          <w:szCs w:val="32"/>
        </w:rPr>
      </w:pPr>
      <w:bookmarkStart w:id="74" w:name="_Toc462564067"/>
      <w:bookmarkEnd w:id="74"/>
      <w:bookmarkStart w:id="75" w:name="_Toc20823279"/>
      <w:bookmarkEnd w:id="75"/>
      <w:bookmarkStart w:id="76" w:name="_Toc513029207"/>
      <w:bookmarkEnd w:id="76"/>
      <w:bookmarkStart w:id="77" w:name="_Toc16938523"/>
      <w:bookmarkEnd w:id="77"/>
      <w:r>
        <w:rPr>
          <w:rFonts w:ascii="Times New Roman" w:hAnsi="Times New Roman" w:eastAsia="方正仿宋_GBK" w:cs="Times New Roman"/>
          <w:b w:val="0"/>
          <w:color w:val="auto"/>
          <w:sz w:val="32"/>
          <w:szCs w:val="32"/>
        </w:rPr>
        <w:t>4．投标费用</w:t>
      </w:r>
    </w:p>
    <w:p w14:paraId="60CE9869">
      <w:pPr>
        <w:spacing w:line="580" w:lineRule="exact"/>
        <w:ind w:firstLine="640" w:firstLineChars="20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4.1 投标人应自行承担所有与参加投标有关的费用，无论投标过程中的做法和结果如何，江苏中博通信有限公司（以下简称采购代理机构）在任何情况下均无义务和责任承担这些费用。</w:t>
      </w:r>
    </w:p>
    <w:p w14:paraId="70B9DD1E">
      <w:pPr>
        <w:spacing w:line="580" w:lineRule="exact"/>
        <w:ind w:firstLine="640" w:firstLineChars="20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4.2 本项目的招标代理服务费按标包分别向中标人收取，中标人应在领取中标通知书的同时按规定的标准一次性向采购代理机构缴清招标代理服务费。招标代理费收费明细如下：</w:t>
      </w:r>
    </w:p>
    <w:p w14:paraId="505FC09C">
      <w:pPr>
        <w:spacing w:line="580" w:lineRule="exact"/>
        <w:rPr>
          <w:rFonts w:ascii="Times New Roman" w:hAnsi="Times New Roman" w:eastAsia="方正仿宋_GBK" w:cs="Times New Roman"/>
          <w:color w:val="auto"/>
          <w:sz w:val="32"/>
          <w:szCs w:val="32"/>
        </w:rPr>
      </w:pPr>
    </w:p>
    <w:p w14:paraId="2CEB1748">
      <w:pPr>
        <w:pStyle w:val="15"/>
        <w:spacing w:line="580" w:lineRule="exact"/>
        <w:ind w:firstLine="0" w:firstLineChars="0"/>
        <w:rPr>
          <w:rFonts w:hint="eastAsia" w:ascii="方正小标宋_GBK" w:eastAsia="方正小标宋_GBK"/>
          <w:spacing w:val="-5"/>
          <w:sz w:val="32"/>
          <w:szCs w:val="32"/>
        </w:rPr>
      </w:pPr>
    </w:p>
    <w:tbl>
      <w:tblPr>
        <w:tblStyle w:val="328"/>
        <w:tblW w:w="67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531"/>
        <w:gridCol w:w="2233"/>
      </w:tblGrid>
      <w:tr w14:paraId="4242C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4531" w:type="dxa"/>
            <w:vMerge w:val="restart"/>
            <w:vAlign w:val="center"/>
          </w:tcPr>
          <w:p w14:paraId="3935DA8D">
            <w:pPr>
              <w:pStyle w:val="279"/>
              <w:spacing w:line="400" w:lineRule="exact"/>
              <w:jc w:val="center"/>
              <w:rPr>
                <w:rFonts w:hint="eastAsia" w:ascii="方正黑体_GBK" w:eastAsia="方正黑体_GBK" w:hAnsiTheme="minorEastAsia" w:cstheme="minorEastAsia"/>
                <w:color w:val="auto"/>
                <w:sz w:val="32"/>
                <w:szCs w:val="32"/>
                <w:lang w:eastAsia="zh-CN"/>
              </w:rPr>
            </w:pPr>
            <w:r>
              <w:rPr>
                <w:rFonts w:hint="eastAsia" w:ascii="方正黑体_GBK" w:eastAsia="方正黑体_GBK" w:hAnsiTheme="minorEastAsia" w:cstheme="minorEastAsia"/>
                <w:color w:val="auto"/>
                <w:sz w:val="32"/>
                <w:szCs w:val="32"/>
                <w:lang w:eastAsia="zh-CN"/>
              </w:rPr>
              <w:t>中标金额（万元）</w:t>
            </w:r>
          </w:p>
        </w:tc>
        <w:tc>
          <w:tcPr>
            <w:tcW w:w="2233" w:type="dxa"/>
            <w:vAlign w:val="center"/>
          </w:tcPr>
          <w:p w14:paraId="73CE9851">
            <w:pPr>
              <w:pStyle w:val="279"/>
              <w:spacing w:line="400" w:lineRule="exact"/>
              <w:jc w:val="center"/>
              <w:rPr>
                <w:rFonts w:hint="eastAsia" w:ascii="方正黑体_GBK" w:eastAsia="方正黑体_GBK" w:hAnsiTheme="minorEastAsia" w:cstheme="minorEastAsia"/>
                <w:color w:val="auto"/>
                <w:sz w:val="32"/>
                <w:szCs w:val="32"/>
                <w:lang w:eastAsia="zh-CN"/>
              </w:rPr>
            </w:pPr>
            <w:r>
              <w:rPr>
                <w:rFonts w:hint="eastAsia" w:ascii="方正黑体_GBK" w:eastAsia="方正黑体_GBK" w:hAnsiTheme="minorEastAsia" w:cstheme="minorEastAsia"/>
                <w:color w:val="auto"/>
                <w:sz w:val="32"/>
                <w:szCs w:val="32"/>
                <w:lang w:eastAsia="zh-CN"/>
              </w:rPr>
              <w:t>服务招标</w:t>
            </w:r>
          </w:p>
        </w:tc>
      </w:tr>
      <w:tr w14:paraId="35D9C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4531" w:type="dxa"/>
            <w:vMerge w:val="continue"/>
            <w:vAlign w:val="center"/>
          </w:tcPr>
          <w:p w14:paraId="2A08B432">
            <w:pPr>
              <w:pStyle w:val="279"/>
              <w:spacing w:line="400" w:lineRule="exact"/>
              <w:jc w:val="center"/>
              <w:rPr>
                <w:rFonts w:hint="eastAsia" w:asciiTheme="minorEastAsia" w:hAnsiTheme="minorEastAsia" w:eastAsiaTheme="minorEastAsia" w:cstheme="minorEastAsia"/>
                <w:color w:val="auto"/>
                <w:sz w:val="32"/>
                <w:szCs w:val="32"/>
                <w:lang w:eastAsia="zh-CN"/>
              </w:rPr>
            </w:pPr>
          </w:p>
        </w:tc>
        <w:tc>
          <w:tcPr>
            <w:tcW w:w="2233" w:type="dxa"/>
            <w:vAlign w:val="center"/>
          </w:tcPr>
          <w:p w14:paraId="0DCF1857">
            <w:pPr>
              <w:pStyle w:val="279"/>
              <w:spacing w:line="400" w:lineRule="exact"/>
              <w:jc w:val="center"/>
              <w:rPr>
                <w:rFonts w:hint="eastAsia" w:ascii="方正黑体_GBK" w:eastAsia="方正黑体_GBK" w:hAnsiTheme="minorEastAsia" w:cstheme="minorEastAsia"/>
                <w:color w:val="auto"/>
                <w:sz w:val="32"/>
                <w:szCs w:val="32"/>
                <w:lang w:eastAsia="zh-CN"/>
              </w:rPr>
            </w:pPr>
            <w:r>
              <w:rPr>
                <w:rFonts w:hint="eastAsia" w:ascii="方正黑体_GBK" w:eastAsia="方正黑体_GBK" w:hAnsiTheme="minorEastAsia" w:cstheme="minorEastAsia"/>
                <w:color w:val="auto"/>
                <w:sz w:val="32"/>
                <w:szCs w:val="32"/>
                <w:lang w:eastAsia="zh-CN"/>
              </w:rPr>
              <w:t>费率</w:t>
            </w:r>
          </w:p>
        </w:tc>
      </w:tr>
      <w:tr w14:paraId="31F9C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4531" w:type="dxa"/>
            <w:vAlign w:val="center"/>
          </w:tcPr>
          <w:p w14:paraId="674EE0AA">
            <w:pPr>
              <w:pStyle w:val="279"/>
              <w:spacing w:line="400" w:lineRule="exact"/>
              <w:jc w:val="center"/>
              <w:rPr>
                <w:rFonts w:hint="eastAsia" w:ascii="方正仿宋_GBK" w:eastAsia="方正仿宋_GBK" w:hAnsiTheme="minorEastAsia" w:cstheme="minorEastAsia"/>
                <w:color w:val="auto"/>
                <w:sz w:val="32"/>
                <w:szCs w:val="32"/>
                <w:lang w:eastAsia="zh-CN"/>
              </w:rPr>
            </w:pPr>
            <w:r>
              <w:rPr>
                <w:rFonts w:ascii="Times New Roman" w:hAnsi="Times New Roman" w:eastAsia="方正仿宋_GBK" w:cs="Times New Roman"/>
                <w:color w:val="auto"/>
                <w:sz w:val="32"/>
                <w:szCs w:val="32"/>
                <w:lang w:eastAsia="zh-CN"/>
              </w:rPr>
              <w:t>100</w:t>
            </w:r>
            <w:r>
              <w:rPr>
                <w:rFonts w:hint="eastAsia" w:ascii="方正仿宋_GBK" w:eastAsia="方正仿宋_GBK" w:hAnsiTheme="minorEastAsia" w:cstheme="minorEastAsia"/>
                <w:color w:val="auto"/>
                <w:sz w:val="32"/>
                <w:szCs w:val="32"/>
                <w:lang w:eastAsia="zh-CN"/>
              </w:rPr>
              <w:t>及以下</w:t>
            </w:r>
          </w:p>
        </w:tc>
        <w:tc>
          <w:tcPr>
            <w:tcW w:w="2233" w:type="dxa"/>
            <w:vAlign w:val="center"/>
          </w:tcPr>
          <w:p w14:paraId="7CBD643C">
            <w:pPr>
              <w:pStyle w:val="279"/>
              <w:spacing w:line="400" w:lineRule="exact"/>
              <w:jc w:val="center"/>
              <w:rPr>
                <w:rFonts w:ascii="Times New Roman" w:hAnsi="Times New Roman" w:eastAsia="方正仿宋_GBK" w:cs="Times New Roman"/>
                <w:color w:val="auto"/>
                <w:sz w:val="32"/>
                <w:szCs w:val="32"/>
                <w:lang w:eastAsia="zh-CN"/>
              </w:rPr>
            </w:pPr>
            <w:r>
              <w:rPr>
                <w:rFonts w:hint="eastAsia" w:ascii="Times New Roman" w:hAnsi="Times New Roman" w:eastAsia="方正仿宋_GBK" w:cs="Times New Roman"/>
                <w:color w:val="auto"/>
                <w:sz w:val="32"/>
                <w:szCs w:val="32"/>
                <w:lang w:eastAsia="zh-CN"/>
              </w:rPr>
              <w:t>1.05%</w:t>
            </w:r>
          </w:p>
        </w:tc>
      </w:tr>
      <w:tr w14:paraId="2B7D1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4531" w:type="dxa"/>
            <w:vAlign w:val="center"/>
          </w:tcPr>
          <w:p w14:paraId="76F0CE53">
            <w:pPr>
              <w:pStyle w:val="279"/>
              <w:spacing w:line="400" w:lineRule="exact"/>
              <w:jc w:val="center"/>
              <w:rPr>
                <w:rFonts w:ascii="Times New Roman" w:hAnsi="Times New Roman" w:eastAsia="方正仿宋_GBK" w:cs="Times New Roman"/>
                <w:color w:val="auto"/>
                <w:sz w:val="32"/>
                <w:szCs w:val="32"/>
                <w:lang w:eastAsia="zh-CN"/>
              </w:rPr>
            </w:pPr>
            <w:r>
              <w:rPr>
                <w:rFonts w:hint="eastAsia" w:ascii="Times New Roman" w:hAnsi="Times New Roman" w:eastAsia="方正仿宋_GBK" w:cs="Times New Roman"/>
                <w:color w:val="auto"/>
                <w:sz w:val="32"/>
                <w:szCs w:val="32"/>
                <w:lang w:eastAsia="zh-CN"/>
              </w:rPr>
              <w:t>100—500</w:t>
            </w:r>
            <w:r>
              <w:rPr>
                <w:rFonts w:hint="eastAsia" w:ascii="方正仿宋_GBK" w:hAnsi="Times New Roman" w:eastAsia="方正仿宋_GBK" w:cs="Times New Roman"/>
                <w:color w:val="auto"/>
                <w:sz w:val="32"/>
                <w:szCs w:val="32"/>
                <w:lang w:eastAsia="zh-CN"/>
              </w:rPr>
              <w:t>（</w:t>
            </w:r>
            <w:r>
              <w:rPr>
                <w:rFonts w:hint="eastAsia" w:ascii="Times New Roman" w:hAnsi="Times New Roman" w:eastAsia="方正仿宋_GBK" w:cs="Times New Roman"/>
                <w:color w:val="auto"/>
                <w:sz w:val="32"/>
                <w:szCs w:val="32"/>
                <w:lang w:eastAsia="zh-CN"/>
              </w:rPr>
              <w:t>含</w:t>
            </w:r>
            <w:r>
              <w:rPr>
                <w:rFonts w:hint="eastAsia" w:ascii="方正仿宋_GBK" w:hAnsi="Times New Roman" w:eastAsia="方正仿宋_GBK" w:cs="Times New Roman"/>
                <w:color w:val="auto"/>
                <w:sz w:val="32"/>
                <w:szCs w:val="32"/>
                <w:lang w:eastAsia="zh-CN"/>
              </w:rPr>
              <w:t>）</w:t>
            </w:r>
          </w:p>
        </w:tc>
        <w:tc>
          <w:tcPr>
            <w:tcW w:w="2233" w:type="dxa"/>
            <w:vAlign w:val="center"/>
          </w:tcPr>
          <w:p w14:paraId="54AF14EA">
            <w:pPr>
              <w:pStyle w:val="279"/>
              <w:spacing w:line="400" w:lineRule="exact"/>
              <w:jc w:val="center"/>
              <w:rPr>
                <w:rFonts w:ascii="Times New Roman" w:hAnsi="Times New Roman" w:eastAsia="方正仿宋_GBK" w:cs="Times New Roman"/>
                <w:color w:val="auto"/>
                <w:sz w:val="32"/>
                <w:szCs w:val="32"/>
                <w:lang w:eastAsia="zh-CN"/>
              </w:rPr>
            </w:pPr>
            <w:r>
              <w:rPr>
                <w:rFonts w:hint="eastAsia" w:ascii="Times New Roman" w:hAnsi="Times New Roman" w:eastAsia="方正仿宋_GBK" w:cs="Times New Roman"/>
                <w:color w:val="auto"/>
                <w:sz w:val="32"/>
                <w:szCs w:val="32"/>
                <w:lang w:eastAsia="zh-CN"/>
              </w:rPr>
              <w:t>0.48%</w:t>
            </w:r>
          </w:p>
        </w:tc>
      </w:tr>
      <w:tr w14:paraId="1CDB1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4531" w:type="dxa"/>
            <w:vAlign w:val="center"/>
          </w:tcPr>
          <w:p w14:paraId="2824AF86">
            <w:pPr>
              <w:pStyle w:val="279"/>
              <w:spacing w:line="400" w:lineRule="exact"/>
              <w:jc w:val="center"/>
              <w:rPr>
                <w:rFonts w:hint="eastAsia" w:ascii="方正仿宋_GBK" w:eastAsia="方正仿宋_GBK" w:hAnsiTheme="minorEastAsia" w:cstheme="minorEastAsia"/>
                <w:color w:val="auto"/>
                <w:sz w:val="32"/>
                <w:szCs w:val="32"/>
                <w:lang w:eastAsia="zh-CN"/>
              </w:rPr>
            </w:pPr>
            <w:r>
              <w:rPr>
                <w:rFonts w:hint="eastAsia" w:ascii="Times New Roman" w:hAnsi="Times New Roman" w:eastAsia="方正仿宋_GBK" w:cs="Times New Roman"/>
                <w:color w:val="auto"/>
                <w:sz w:val="32"/>
                <w:szCs w:val="32"/>
                <w:lang w:eastAsia="zh-CN"/>
              </w:rPr>
              <w:t>500—1000</w:t>
            </w:r>
            <w:r>
              <w:rPr>
                <w:rFonts w:hint="eastAsia" w:ascii="方正仿宋_GBK" w:eastAsia="方正仿宋_GBK" w:hAnsiTheme="minorEastAsia" w:cstheme="minorEastAsia"/>
                <w:color w:val="auto"/>
                <w:sz w:val="32"/>
                <w:szCs w:val="32"/>
                <w:lang w:eastAsia="zh-CN"/>
              </w:rPr>
              <w:t>（含）</w:t>
            </w:r>
          </w:p>
        </w:tc>
        <w:tc>
          <w:tcPr>
            <w:tcW w:w="2233" w:type="dxa"/>
            <w:vAlign w:val="center"/>
          </w:tcPr>
          <w:p w14:paraId="11412213">
            <w:pPr>
              <w:pStyle w:val="279"/>
              <w:spacing w:line="400" w:lineRule="exact"/>
              <w:jc w:val="center"/>
              <w:rPr>
                <w:rFonts w:ascii="Times New Roman" w:hAnsi="Times New Roman" w:eastAsia="方正仿宋_GBK" w:cs="Times New Roman"/>
                <w:color w:val="auto"/>
                <w:sz w:val="32"/>
                <w:szCs w:val="32"/>
                <w:lang w:eastAsia="zh-CN"/>
              </w:rPr>
            </w:pPr>
            <w:r>
              <w:rPr>
                <w:rFonts w:hint="eastAsia" w:ascii="Times New Roman" w:hAnsi="Times New Roman" w:eastAsia="方正仿宋_GBK" w:cs="Times New Roman"/>
                <w:color w:val="auto"/>
                <w:sz w:val="32"/>
                <w:szCs w:val="32"/>
                <w:lang w:eastAsia="zh-CN"/>
              </w:rPr>
              <w:t>0.23%</w:t>
            </w:r>
          </w:p>
        </w:tc>
      </w:tr>
    </w:tbl>
    <w:p w14:paraId="6F3CE7D1">
      <w:pPr>
        <w:spacing w:line="580" w:lineRule="exact"/>
        <w:ind w:firstLine="640" w:firstLineChars="20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注：</w:t>
      </w:r>
      <w:r>
        <w:rPr>
          <w:rFonts w:hint="eastAsia" w:ascii="Times New Roman" w:hAnsi="Times New Roman" w:eastAsia="方正仿宋_GBK" w:cs="Times New Roman"/>
          <w:color w:val="auto"/>
          <w:sz w:val="32"/>
          <w:szCs w:val="32"/>
        </w:rPr>
        <w:t>（</w:t>
      </w:r>
      <w:r>
        <w:rPr>
          <w:rFonts w:ascii="Times New Roman" w:hAnsi="Times New Roman" w:eastAsia="方正仿宋_GBK" w:cs="Times New Roman"/>
          <w:color w:val="auto"/>
          <w:sz w:val="32"/>
          <w:szCs w:val="32"/>
        </w:rPr>
        <w:t>1</w:t>
      </w:r>
      <w:r>
        <w:rPr>
          <w:rFonts w:hint="eastAsia" w:ascii="Times New Roman" w:hAnsi="Times New Roman" w:eastAsia="方正仿宋_GBK" w:cs="Times New Roman"/>
          <w:color w:val="auto"/>
          <w:sz w:val="32"/>
          <w:szCs w:val="32"/>
        </w:rPr>
        <w:t>）</w:t>
      </w:r>
      <w:r>
        <w:rPr>
          <w:rFonts w:ascii="Times New Roman" w:hAnsi="Times New Roman" w:eastAsia="方正仿宋_GBK" w:cs="Times New Roman"/>
          <w:color w:val="auto"/>
          <w:sz w:val="32"/>
          <w:szCs w:val="32"/>
        </w:rPr>
        <w:t>招标代理服务费按差额定率分档累进法计算。</w:t>
      </w:r>
    </w:p>
    <w:p w14:paraId="660E9B97">
      <w:pPr>
        <w:pStyle w:val="15"/>
        <w:spacing w:line="580" w:lineRule="exact"/>
        <w:ind w:firstLine="640"/>
        <w:rPr>
          <w:rFonts w:ascii="Times New Roman" w:hAnsi="Times New Roman" w:eastAsia="方正仿宋_GBK" w:cs="Times New Roman"/>
          <w:sz w:val="32"/>
          <w:szCs w:val="32"/>
        </w:rPr>
      </w:pPr>
      <w:r>
        <w:rPr>
          <w:rFonts w:hint="eastAsia" w:ascii="Times New Roman" w:hAnsi="Times New Roman" w:eastAsia="方正仿宋_GBK" w:cs="Times New Roman"/>
          <w:color w:val="auto"/>
          <w:sz w:val="32"/>
          <w:szCs w:val="32"/>
          <w:lang w:val="en-US"/>
        </w:rPr>
        <w:t>（</w:t>
      </w:r>
      <w:r>
        <w:rPr>
          <w:rFonts w:ascii="Times New Roman" w:hAnsi="Times New Roman" w:eastAsia="方正仿宋_GBK" w:cs="Times New Roman"/>
          <w:color w:val="auto"/>
          <w:sz w:val="32"/>
          <w:szCs w:val="32"/>
          <w:lang w:val="en-US"/>
        </w:rPr>
        <w:t>2</w:t>
      </w:r>
      <w:r>
        <w:rPr>
          <w:rFonts w:hint="eastAsia" w:ascii="Times New Roman" w:hAnsi="Times New Roman" w:eastAsia="方正仿宋_GBK" w:cs="Times New Roman"/>
          <w:color w:val="auto"/>
          <w:sz w:val="32"/>
          <w:szCs w:val="32"/>
          <w:lang w:val="en-US"/>
        </w:rPr>
        <w:t>）</w:t>
      </w:r>
      <w:r>
        <w:rPr>
          <w:rFonts w:ascii="Times New Roman" w:hAnsi="Times New Roman" w:eastAsia="方正仿宋_GBK" w:cs="Times New Roman"/>
          <w:color w:val="auto"/>
          <w:sz w:val="32"/>
          <w:szCs w:val="32"/>
          <w:lang w:val="en-US"/>
        </w:rPr>
        <w:t>收费标准的计算基数为中标金额。根据项目实际需要分标段招标的， 按各标段中标金额比例计算各标段招标代理服务费。</w:t>
      </w:r>
    </w:p>
    <w:p w14:paraId="2564B419">
      <w:pPr>
        <w:pStyle w:val="45"/>
        <w:spacing w:before="0" w:after="0" w:line="580" w:lineRule="exact"/>
        <w:ind w:firstLine="640" w:firstLineChars="200"/>
        <w:outlineLvl w:val="9"/>
        <w:rPr>
          <w:rFonts w:ascii="Times New Roman" w:hAnsi="Times New Roman" w:eastAsia="方正仿宋_GBK" w:cs="Times New Roman"/>
          <w:b w:val="0"/>
          <w:color w:val="auto"/>
          <w:sz w:val="32"/>
          <w:szCs w:val="32"/>
        </w:rPr>
      </w:pPr>
      <w:r>
        <w:rPr>
          <w:rFonts w:ascii="Times New Roman" w:hAnsi="Times New Roman" w:eastAsia="方正仿宋_GBK" w:cs="Times New Roman"/>
          <w:b w:val="0"/>
          <w:color w:val="auto"/>
          <w:sz w:val="32"/>
          <w:szCs w:val="32"/>
        </w:rPr>
        <w:t>5．招标文件的约束力</w:t>
      </w:r>
    </w:p>
    <w:p w14:paraId="235DE1A6">
      <w:pPr>
        <w:spacing w:line="580" w:lineRule="exact"/>
        <w:ind w:firstLine="640" w:firstLineChars="20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5.1 投标人一旦参加本项目采购活动，即被认为接受了本招标文件的规定和约束。</w:t>
      </w:r>
    </w:p>
    <w:p w14:paraId="63A66A7B">
      <w:pPr>
        <w:pStyle w:val="195"/>
        <w:spacing w:before="0" w:after="0" w:line="580" w:lineRule="exact"/>
        <w:ind w:firstLine="640" w:firstLineChars="200"/>
        <w:outlineLvl w:val="9"/>
        <w:rPr>
          <w:rFonts w:ascii="Times New Roman" w:hAnsi="Times New Roman" w:eastAsia="方正仿宋_GBK" w:cs="Times New Roman"/>
          <w:b w:val="0"/>
          <w:color w:val="auto"/>
        </w:rPr>
      </w:pPr>
      <w:bookmarkStart w:id="78" w:name="_Toc120614215"/>
      <w:bookmarkEnd w:id="78"/>
      <w:bookmarkStart w:id="79" w:name="_Toc16938525"/>
      <w:bookmarkEnd w:id="79"/>
      <w:bookmarkStart w:id="80" w:name="_Toc513029209"/>
      <w:bookmarkEnd w:id="80"/>
      <w:bookmarkStart w:id="81" w:name="_Toc20823281"/>
      <w:bookmarkEnd w:id="81"/>
      <w:r>
        <w:rPr>
          <w:rFonts w:ascii="Times New Roman" w:hAnsi="Times New Roman" w:eastAsia="方正仿宋_GBK" w:cs="Times New Roman"/>
          <w:b w:val="0"/>
          <w:color w:val="auto"/>
        </w:rPr>
        <w:t>二、招标文件</w:t>
      </w:r>
    </w:p>
    <w:p w14:paraId="024FCDF9">
      <w:pPr>
        <w:pStyle w:val="45"/>
        <w:spacing w:before="0" w:after="0" w:line="580" w:lineRule="exact"/>
        <w:ind w:firstLine="640" w:firstLineChars="200"/>
        <w:outlineLvl w:val="9"/>
        <w:rPr>
          <w:rFonts w:ascii="Times New Roman" w:hAnsi="Times New Roman" w:eastAsia="方正仿宋_GBK" w:cs="Times New Roman"/>
          <w:b w:val="0"/>
          <w:color w:val="auto"/>
          <w:sz w:val="32"/>
          <w:szCs w:val="32"/>
        </w:rPr>
      </w:pPr>
      <w:bookmarkStart w:id="82" w:name="_Toc513029210"/>
      <w:bookmarkEnd w:id="82"/>
      <w:bookmarkStart w:id="83" w:name="_Toc20823282"/>
      <w:bookmarkEnd w:id="83"/>
      <w:bookmarkStart w:id="84" w:name="_Toc16938526"/>
      <w:bookmarkEnd w:id="84"/>
      <w:r>
        <w:rPr>
          <w:rFonts w:ascii="Times New Roman" w:hAnsi="Times New Roman" w:eastAsia="方正仿宋_GBK" w:cs="Times New Roman"/>
          <w:b w:val="0"/>
          <w:color w:val="auto"/>
          <w:sz w:val="32"/>
          <w:szCs w:val="32"/>
        </w:rPr>
        <w:t>6．招标文件构成</w:t>
      </w:r>
    </w:p>
    <w:p w14:paraId="4A9D8267">
      <w:pPr>
        <w:spacing w:line="580" w:lineRule="exact"/>
        <w:ind w:firstLine="640" w:firstLineChars="20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6.1 招标文件由以下部分组成：</w:t>
      </w:r>
    </w:p>
    <w:p w14:paraId="17A0850F">
      <w:pPr>
        <w:spacing w:line="580" w:lineRule="exact"/>
        <w:ind w:firstLine="640" w:firstLineChars="20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（1）投标邀请</w:t>
      </w:r>
    </w:p>
    <w:p w14:paraId="041D608D">
      <w:pPr>
        <w:spacing w:line="580" w:lineRule="exact"/>
        <w:ind w:firstLine="640" w:firstLineChars="20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（2）投标人须知</w:t>
      </w:r>
    </w:p>
    <w:p w14:paraId="760DBB5D">
      <w:pPr>
        <w:spacing w:line="580" w:lineRule="exact"/>
        <w:ind w:firstLine="640" w:firstLineChars="20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（3）合同文本</w:t>
      </w:r>
    </w:p>
    <w:p w14:paraId="07D9DD31">
      <w:pPr>
        <w:spacing w:line="580" w:lineRule="exact"/>
        <w:ind w:firstLine="640" w:firstLineChars="20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（4）采购需求</w:t>
      </w:r>
    </w:p>
    <w:p w14:paraId="4C0764C3">
      <w:pPr>
        <w:spacing w:line="580" w:lineRule="exact"/>
        <w:ind w:firstLine="640" w:firstLineChars="20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（5）评标方法与评标标准</w:t>
      </w:r>
    </w:p>
    <w:p w14:paraId="52B15D03">
      <w:pPr>
        <w:spacing w:line="580" w:lineRule="exact"/>
        <w:ind w:firstLine="640" w:firstLineChars="20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（6）投标文件格式</w:t>
      </w:r>
    </w:p>
    <w:p w14:paraId="794A2390">
      <w:pPr>
        <w:spacing w:line="580" w:lineRule="exact"/>
        <w:ind w:firstLine="640" w:firstLineChars="20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投标人应仔细检查招标文件是否齐全，如有缺漏请立即与采购代理机构联系。</w:t>
      </w:r>
    </w:p>
    <w:p w14:paraId="2C434599">
      <w:pPr>
        <w:spacing w:line="580" w:lineRule="exact"/>
        <w:ind w:firstLine="640" w:firstLineChars="20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2BD1C2D8">
      <w:pPr>
        <w:spacing w:line="580" w:lineRule="exact"/>
        <w:ind w:firstLine="640" w:firstLineChars="20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6.3 本项目招标文件如包括多个合同包，则除非特别说明，招标文件所列各项要求均为各合同包通用要求。</w:t>
      </w:r>
    </w:p>
    <w:p w14:paraId="292C9E27">
      <w:pPr>
        <w:pStyle w:val="45"/>
        <w:spacing w:before="0" w:after="0" w:line="580" w:lineRule="exact"/>
        <w:ind w:firstLine="640" w:firstLineChars="200"/>
        <w:outlineLvl w:val="9"/>
        <w:rPr>
          <w:rFonts w:ascii="Times New Roman" w:hAnsi="Times New Roman" w:eastAsia="方正仿宋_GBK" w:cs="Times New Roman"/>
          <w:b w:val="0"/>
          <w:bCs/>
          <w:color w:val="auto"/>
          <w:sz w:val="32"/>
          <w:szCs w:val="32"/>
        </w:rPr>
      </w:pPr>
      <w:bookmarkStart w:id="85" w:name="_Toc513029211"/>
      <w:bookmarkEnd w:id="85"/>
      <w:bookmarkStart w:id="86" w:name="_Toc16938527"/>
      <w:bookmarkEnd w:id="86"/>
      <w:bookmarkStart w:id="87" w:name="_Toc20823283"/>
      <w:bookmarkEnd w:id="87"/>
      <w:bookmarkStart w:id="88" w:name="_Toc462564070"/>
      <w:bookmarkEnd w:id="88"/>
      <w:r>
        <w:rPr>
          <w:rFonts w:ascii="Times New Roman" w:hAnsi="Times New Roman" w:eastAsia="方正仿宋_GBK" w:cs="Times New Roman"/>
          <w:b w:val="0"/>
          <w:color w:val="auto"/>
          <w:sz w:val="32"/>
          <w:szCs w:val="32"/>
        </w:rPr>
        <w:t>7．</w:t>
      </w:r>
      <w:r>
        <w:rPr>
          <w:rFonts w:ascii="Times New Roman" w:hAnsi="Times New Roman" w:eastAsia="方正仿宋_GBK" w:cs="Times New Roman"/>
          <w:b w:val="0"/>
          <w:bCs/>
          <w:color w:val="auto"/>
          <w:sz w:val="32"/>
          <w:szCs w:val="32"/>
        </w:rPr>
        <w:t>招标文件的澄清</w:t>
      </w:r>
    </w:p>
    <w:p w14:paraId="2FBC1529">
      <w:pPr>
        <w:spacing w:line="580" w:lineRule="exact"/>
        <w:ind w:firstLine="640" w:firstLineChars="200"/>
        <w:rPr>
          <w:rFonts w:ascii="Times New Roman" w:hAnsi="Times New Roman" w:eastAsia="方正仿宋_GBK" w:cs="Times New Roman"/>
          <w:color w:val="auto"/>
          <w:sz w:val="32"/>
          <w:szCs w:val="32"/>
        </w:rPr>
      </w:pPr>
      <w:bookmarkStart w:id="89" w:name="_Toc462564071"/>
      <w:bookmarkEnd w:id="89"/>
      <w:bookmarkStart w:id="90" w:name="_Toc20823284"/>
      <w:bookmarkEnd w:id="90"/>
      <w:bookmarkStart w:id="91" w:name="_Toc513029212"/>
      <w:bookmarkEnd w:id="91"/>
      <w:bookmarkStart w:id="92" w:name="_Toc16938528"/>
      <w:bookmarkEnd w:id="92"/>
      <w:r>
        <w:rPr>
          <w:rFonts w:ascii="Times New Roman" w:hAnsi="Times New Roman" w:eastAsia="方正仿宋_GBK" w:cs="Times New Roman"/>
          <w:color w:val="auto"/>
          <w:sz w:val="32"/>
          <w:szCs w:val="32"/>
        </w:rPr>
        <w:t>7.1 任何要求对招标文件进行澄清的投标人，均应根据相关法律法规规定按招标公告中的通讯地址，以书面形式向采购代理机构提出，逾期不再受理。采购代理机构将对收到的澄清要求予以答复，并在认为有必要时，将澄清答复在原公告媒体上予以公告，答复中包括所问问题（但不包括问题的来源）。</w:t>
      </w:r>
    </w:p>
    <w:p w14:paraId="5D849B50">
      <w:pPr>
        <w:spacing w:line="580" w:lineRule="exact"/>
        <w:ind w:firstLine="640" w:firstLineChars="20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7.2澄清答复内容为招标文件的组成部分，并对投标人具有约束力。澄清内容可能影响投标文件编制的，采购人或者采购代理机构将顺延递交投标文件的截止时间。</w:t>
      </w:r>
    </w:p>
    <w:p w14:paraId="43472899">
      <w:pPr>
        <w:pStyle w:val="45"/>
        <w:spacing w:before="0" w:after="0" w:line="580" w:lineRule="exact"/>
        <w:ind w:firstLine="640" w:firstLineChars="200"/>
        <w:outlineLvl w:val="9"/>
        <w:rPr>
          <w:rFonts w:ascii="Times New Roman" w:hAnsi="Times New Roman" w:eastAsia="方正仿宋_GBK" w:cs="Times New Roman"/>
          <w:b w:val="0"/>
          <w:bCs/>
          <w:color w:val="auto"/>
          <w:sz w:val="32"/>
          <w:szCs w:val="32"/>
        </w:rPr>
      </w:pPr>
      <w:r>
        <w:rPr>
          <w:rFonts w:ascii="Times New Roman" w:hAnsi="Times New Roman" w:eastAsia="方正仿宋_GBK" w:cs="Times New Roman"/>
          <w:b w:val="0"/>
          <w:color w:val="auto"/>
          <w:sz w:val="32"/>
          <w:szCs w:val="32"/>
        </w:rPr>
        <w:t>8．</w:t>
      </w:r>
      <w:r>
        <w:rPr>
          <w:rFonts w:ascii="Times New Roman" w:hAnsi="Times New Roman" w:eastAsia="方正仿宋_GBK" w:cs="Times New Roman"/>
          <w:b w:val="0"/>
          <w:bCs/>
          <w:color w:val="auto"/>
          <w:sz w:val="32"/>
          <w:szCs w:val="32"/>
        </w:rPr>
        <w:t>招标文件的修改</w:t>
      </w:r>
    </w:p>
    <w:p w14:paraId="1BED5BF0">
      <w:pPr>
        <w:spacing w:line="580" w:lineRule="exact"/>
        <w:ind w:firstLine="640" w:firstLineChars="200"/>
        <w:rPr>
          <w:rFonts w:ascii="Times New Roman" w:hAnsi="Times New Roman" w:eastAsia="方正仿宋_GBK" w:cs="Times New Roman"/>
          <w:color w:val="auto"/>
          <w:sz w:val="32"/>
          <w:szCs w:val="32"/>
        </w:rPr>
      </w:pPr>
      <w:bookmarkStart w:id="93" w:name="_Toc16938529"/>
      <w:bookmarkEnd w:id="93"/>
      <w:bookmarkStart w:id="94" w:name="_Toc120614216"/>
      <w:bookmarkEnd w:id="94"/>
      <w:bookmarkStart w:id="95" w:name="_Toc513029213"/>
      <w:bookmarkEnd w:id="95"/>
      <w:bookmarkStart w:id="96" w:name="_Toc462564072"/>
      <w:bookmarkEnd w:id="96"/>
      <w:bookmarkStart w:id="97" w:name="_Toc20823285"/>
      <w:bookmarkEnd w:id="97"/>
      <w:r>
        <w:rPr>
          <w:rFonts w:ascii="Times New Roman" w:hAnsi="Times New Roman" w:eastAsia="方正仿宋_GBK" w:cs="Times New Roman"/>
          <w:color w:val="auto"/>
          <w:sz w:val="32"/>
          <w:szCs w:val="32"/>
        </w:rPr>
        <w:t>8.1 在投标截止时间前，采购代理机构可以对招标文件进行修改。招标文件的修改将在原公告媒体发布更正公告，更正内容将作为招标文件的组成部分，并对投标人具有约束力。</w:t>
      </w:r>
    </w:p>
    <w:p w14:paraId="7BECBE4E">
      <w:pPr>
        <w:spacing w:line="580" w:lineRule="exact"/>
        <w:ind w:firstLine="640" w:firstLineChars="20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8.2 投标人应在提交投标文件截止时间前，关注原公告媒体有关本项目的更正公告，根据更正公告内容自行决定是否需要重新制作和提交投标文件，并承担由此产生的相应责任。</w:t>
      </w:r>
    </w:p>
    <w:p w14:paraId="444DB869">
      <w:pPr>
        <w:spacing w:line="580" w:lineRule="exact"/>
        <w:ind w:firstLine="640" w:firstLineChars="20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8.3 采购代理机构有权按照法定的要求推迟投标截止日期和开标日期，并在原公告媒体发布更正公告。</w:t>
      </w:r>
    </w:p>
    <w:p w14:paraId="74A87A92">
      <w:pPr>
        <w:pStyle w:val="195"/>
        <w:spacing w:before="0" w:after="0" w:line="580" w:lineRule="exact"/>
        <w:ind w:firstLine="640" w:firstLineChars="200"/>
        <w:outlineLvl w:val="9"/>
        <w:rPr>
          <w:rFonts w:ascii="Times New Roman" w:hAnsi="Times New Roman" w:eastAsia="方正仿宋_GBK" w:cs="Times New Roman"/>
          <w:b w:val="0"/>
          <w:color w:val="auto"/>
        </w:rPr>
      </w:pPr>
      <w:r>
        <w:rPr>
          <w:rFonts w:ascii="Times New Roman" w:hAnsi="Times New Roman" w:eastAsia="方正仿宋_GBK" w:cs="Times New Roman"/>
          <w:b w:val="0"/>
          <w:color w:val="auto"/>
        </w:rPr>
        <w:t>三、投标文件的编制</w:t>
      </w:r>
    </w:p>
    <w:p w14:paraId="7E73187D">
      <w:pPr>
        <w:pStyle w:val="45"/>
        <w:spacing w:before="0" w:after="0" w:line="580" w:lineRule="exact"/>
        <w:ind w:firstLine="640" w:firstLineChars="200"/>
        <w:outlineLvl w:val="9"/>
        <w:rPr>
          <w:rFonts w:ascii="Times New Roman" w:hAnsi="Times New Roman" w:eastAsia="方正仿宋_GBK" w:cs="Times New Roman"/>
          <w:b w:val="0"/>
          <w:color w:val="auto"/>
          <w:sz w:val="32"/>
          <w:szCs w:val="32"/>
        </w:rPr>
      </w:pPr>
      <w:bookmarkStart w:id="98" w:name="_Toc16938530"/>
      <w:bookmarkEnd w:id="98"/>
      <w:bookmarkStart w:id="99" w:name="_Toc462564073"/>
      <w:bookmarkEnd w:id="99"/>
      <w:bookmarkStart w:id="100" w:name="_Toc20823286"/>
      <w:bookmarkEnd w:id="100"/>
      <w:bookmarkStart w:id="101" w:name="_Toc513029214"/>
      <w:bookmarkEnd w:id="101"/>
      <w:r>
        <w:rPr>
          <w:rFonts w:ascii="Times New Roman" w:hAnsi="Times New Roman" w:eastAsia="方正仿宋_GBK" w:cs="Times New Roman"/>
          <w:b w:val="0"/>
          <w:color w:val="auto"/>
          <w:sz w:val="32"/>
          <w:szCs w:val="32"/>
        </w:rPr>
        <w:t>9．投标文件的语言及度量衡单位</w:t>
      </w:r>
    </w:p>
    <w:p w14:paraId="207F7184">
      <w:pPr>
        <w:spacing w:line="580" w:lineRule="exact"/>
        <w:ind w:firstLine="640" w:firstLineChars="20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9.1 投标人提交的投标文件以及投标人与采购代理机构就有关投标的所有来往通知、函件和文件均应使用简体中文。</w:t>
      </w:r>
    </w:p>
    <w:p w14:paraId="5432A367">
      <w:pPr>
        <w:spacing w:line="580" w:lineRule="exact"/>
        <w:ind w:firstLine="640" w:firstLineChars="20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9.2 除技术性能另有规定外，投标文件所使用的度量衡单位，均须采用国家法定计量单位。</w:t>
      </w:r>
    </w:p>
    <w:p w14:paraId="35B38714">
      <w:pPr>
        <w:pStyle w:val="45"/>
        <w:spacing w:before="0" w:after="0" w:line="580" w:lineRule="exact"/>
        <w:ind w:firstLine="640" w:firstLineChars="200"/>
        <w:outlineLvl w:val="9"/>
        <w:rPr>
          <w:rFonts w:ascii="Times New Roman" w:hAnsi="Times New Roman" w:eastAsia="方正仿宋_GBK" w:cs="Times New Roman"/>
          <w:b w:val="0"/>
          <w:bCs/>
          <w:color w:val="auto"/>
          <w:sz w:val="32"/>
          <w:szCs w:val="32"/>
        </w:rPr>
      </w:pPr>
      <w:bookmarkStart w:id="102" w:name="_Toc20823287"/>
      <w:bookmarkEnd w:id="102"/>
      <w:bookmarkStart w:id="103" w:name="_Toc513029215"/>
      <w:bookmarkEnd w:id="103"/>
      <w:bookmarkStart w:id="104" w:name="_Toc16938531"/>
      <w:bookmarkEnd w:id="104"/>
      <w:bookmarkStart w:id="105" w:name="_Toc462564074"/>
      <w:bookmarkEnd w:id="105"/>
      <w:r>
        <w:rPr>
          <w:rFonts w:ascii="Times New Roman" w:hAnsi="Times New Roman" w:eastAsia="方正仿宋_GBK" w:cs="Times New Roman"/>
          <w:b w:val="0"/>
          <w:color w:val="auto"/>
          <w:sz w:val="32"/>
          <w:szCs w:val="32"/>
        </w:rPr>
        <w:t>10．</w:t>
      </w:r>
      <w:r>
        <w:rPr>
          <w:rFonts w:ascii="Times New Roman" w:hAnsi="Times New Roman" w:eastAsia="方正仿宋_GBK" w:cs="Times New Roman"/>
          <w:b w:val="0"/>
          <w:bCs/>
          <w:color w:val="auto"/>
          <w:sz w:val="32"/>
          <w:szCs w:val="32"/>
        </w:rPr>
        <w:t>投标文件构成</w:t>
      </w:r>
    </w:p>
    <w:p w14:paraId="4351C9E1">
      <w:pPr>
        <w:spacing w:line="580" w:lineRule="exact"/>
        <w:ind w:firstLine="640" w:firstLineChars="200"/>
        <w:rPr>
          <w:rFonts w:ascii="Times New Roman" w:hAnsi="Times New Roman" w:eastAsia="方正仿宋_GBK" w:cs="Times New Roman"/>
          <w:bCs/>
          <w:color w:val="auto"/>
          <w:sz w:val="32"/>
          <w:szCs w:val="32"/>
        </w:rPr>
      </w:pPr>
      <w:r>
        <w:rPr>
          <w:rFonts w:ascii="Times New Roman" w:hAnsi="Times New Roman" w:eastAsia="方正仿宋_GBK" w:cs="Times New Roman"/>
          <w:color w:val="auto"/>
          <w:sz w:val="32"/>
          <w:szCs w:val="32"/>
        </w:rPr>
        <w:t>10.1</w:t>
      </w:r>
      <w:r>
        <w:rPr>
          <w:rFonts w:ascii="Times New Roman" w:hAnsi="Times New Roman" w:eastAsia="方正仿宋_GBK" w:cs="Times New Roman"/>
          <w:bCs/>
          <w:color w:val="auto"/>
          <w:sz w:val="32"/>
          <w:szCs w:val="32"/>
        </w:rPr>
        <w:t xml:space="preserve"> 投标人编写的投标文件应包括资格证明文件、符合性证明文件、投标分项报价表、响应及偏离表、其他证明文件、投标函、开标一览表等部分。</w:t>
      </w:r>
    </w:p>
    <w:p w14:paraId="33BA9EBF">
      <w:pPr>
        <w:pStyle w:val="15"/>
        <w:spacing w:line="580" w:lineRule="exact"/>
        <w:ind w:firstLine="640"/>
        <w:rPr>
          <w:rFonts w:ascii="Times New Roman" w:hAnsi="Times New Roman" w:eastAsia="方正仿宋_GBK" w:cs="Times New Roman"/>
          <w:bCs/>
          <w:color w:val="auto"/>
          <w:sz w:val="32"/>
          <w:szCs w:val="32"/>
          <w:lang w:val="en-US"/>
        </w:rPr>
      </w:pPr>
      <w:r>
        <w:rPr>
          <w:rFonts w:ascii="Times New Roman" w:hAnsi="Times New Roman" w:eastAsia="方正仿宋_GBK" w:cs="Times New Roman"/>
          <w:color w:val="auto"/>
          <w:sz w:val="32"/>
          <w:szCs w:val="32"/>
          <w:lang w:val="en-US"/>
        </w:rPr>
        <w:t>10.2</w:t>
      </w:r>
      <w:r>
        <w:rPr>
          <w:rFonts w:ascii="Times New Roman" w:hAnsi="Times New Roman" w:eastAsia="方正仿宋_GBK" w:cs="Times New Roman"/>
          <w:bCs/>
          <w:color w:val="auto"/>
          <w:sz w:val="32"/>
          <w:szCs w:val="32"/>
          <w:lang w:val="en-US"/>
        </w:rPr>
        <w:t xml:space="preserve"> 投标人如同时参与多个合同包（如有）招标，则应按合同包分别制作投标文件，否则将视为无效投标文件。</w:t>
      </w:r>
    </w:p>
    <w:p w14:paraId="1968CF58">
      <w:pPr>
        <w:spacing w:line="580" w:lineRule="exact"/>
        <w:ind w:firstLine="640" w:firstLineChars="200"/>
        <w:rPr>
          <w:rFonts w:ascii="Times New Roman" w:hAnsi="Times New Roman" w:eastAsia="方正仿宋_GBK" w:cs="Times New Roman"/>
          <w:bCs/>
          <w:color w:val="auto"/>
          <w:sz w:val="32"/>
          <w:szCs w:val="32"/>
        </w:rPr>
      </w:pPr>
      <w:r>
        <w:rPr>
          <w:rFonts w:ascii="Times New Roman" w:hAnsi="Times New Roman" w:eastAsia="方正仿宋_GBK" w:cs="Times New Roman"/>
          <w:color w:val="auto"/>
          <w:sz w:val="32"/>
          <w:szCs w:val="32"/>
        </w:rPr>
        <w:t>10.3</w:t>
      </w:r>
      <w:r>
        <w:rPr>
          <w:rFonts w:ascii="Times New Roman" w:hAnsi="Times New Roman" w:eastAsia="方正仿宋_GBK" w:cs="Times New Roman"/>
          <w:bCs/>
          <w:color w:val="auto"/>
          <w:sz w:val="32"/>
          <w:szCs w:val="32"/>
        </w:rPr>
        <w:t xml:space="preserve"> 如标书制作工具中格式和内容与</w:t>
      </w:r>
      <w:r>
        <w:rPr>
          <w:rFonts w:hint="eastAsia" w:ascii="Times New Roman" w:hAnsi="Times New Roman" w:eastAsia="方正仿宋_GBK" w:cs="Times New Roman"/>
          <w:bCs/>
          <w:color w:val="auto"/>
          <w:sz w:val="32"/>
          <w:szCs w:val="32"/>
        </w:rPr>
        <w:t>“</w:t>
      </w:r>
      <w:r>
        <w:rPr>
          <w:rFonts w:ascii="Times New Roman" w:hAnsi="Times New Roman" w:eastAsia="方正仿宋_GBK" w:cs="Times New Roman"/>
          <w:bCs/>
          <w:color w:val="auto"/>
          <w:sz w:val="32"/>
          <w:szCs w:val="32"/>
        </w:rPr>
        <w:t>江苏政府采购网</w:t>
      </w:r>
      <w:r>
        <w:rPr>
          <w:rFonts w:hint="eastAsia" w:ascii="Times New Roman" w:hAnsi="Times New Roman" w:eastAsia="方正仿宋_GBK" w:cs="Times New Roman"/>
          <w:bCs/>
          <w:color w:val="auto"/>
          <w:sz w:val="32"/>
          <w:szCs w:val="32"/>
        </w:rPr>
        <w:t>”</w:t>
      </w:r>
      <w:r>
        <w:rPr>
          <w:rFonts w:ascii="Times New Roman" w:hAnsi="Times New Roman" w:eastAsia="方正仿宋_GBK" w:cs="Times New Roman"/>
          <w:bCs/>
          <w:color w:val="auto"/>
          <w:sz w:val="32"/>
          <w:szCs w:val="32"/>
        </w:rPr>
        <w:t>发布的招标文件不一致，以</w:t>
      </w:r>
      <w:r>
        <w:rPr>
          <w:rFonts w:hint="eastAsia" w:ascii="Times New Roman" w:hAnsi="Times New Roman" w:eastAsia="方正仿宋_GBK" w:cs="Times New Roman"/>
          <w:bCs/>
          <w:color w:val="auto"/>
          <w:sz w:val="32"/>
          <w:szCs w:val="32"/>
        </w:rPr>
        <w:t>“</w:t>
      </w:r>
      <w:r>
        <w:rPr>
          <w:rFonts w:ascii="Times New Roman" w:hAnsi="Times New Roman" w:eastAsia="方正仿宋_GBK" w:cs="Times New Roman"/>
          <w:bCs/>
          <w:color w:val="auto"/>
          <w:sz w:val="32"/>
          <w:szCs w:val="32"/>
        </w:rPr>
        <w:t>江苏政府采购网</w:t>
      </w:r>
      <w:r>
        <w:rPr>
          <w:rFonts w:hint="eastAsia" w:ascii="Times New Roman" w:hAnsi="Times New Roman" w:eastAsia="方正仿宋_GBK" w:cs="Times New Roman"/>
          <w:bCs/>
          <w:color w:val="auto"/>
          <w:sz w:val="32"/>
          <w:szCs w:val="32"/>
        </w:rPr>
        <w:t>”</w:t>
      </w:r>
      <w:r>
        <w:rPr>
          <w:rFonts w:ascii="Times New Roman" w:hAnsi="Times New Roman" w:eastAsia="方正仿宋_GBK" w:cs="Times New Roman"/>
          <w:bCs/>
          <w:color w:val="auto"/>
          <w:sz w:val="32"/>
          <w:szCs w:val="32"/>
        </w:rPr>
        <w:t>发布的招标文件为准。</w:t>
      </w:r>
    </w:p>
    <w:p w14:paraId="64E72128">
      <w:pPr>
        <w:pStyle w:val="45"/>
        <w:spacing w:before="0" w:after="0" w:line="580" w:lineRule="exact"/>
        <w:ind w:firstLine="640" w:firstLineChars="200"/>
        <w:outlineLvl w:val="9"/>
        <w:rPr>
          <w:rFonts w:ascii="Times New Roman" w:hAnsi="Times New Roman" w:eastAsia="方正仿宋_GBK" w:cs="Times New Roman"/>
          <w:b w:val="0"/>
          <w:bCs/>
          <w:color w:val="auto"/>
          <w:sz w:val="32"/>
          <w:szCs w:val="32"/>
        </w:rPr>
      </w:pPr>
      <w:bookmarkStart w:id="106" w:name="_Toc513029219"/>
      <w:bookmarkEnd w:id="106"/>
      <w:bookmarkStart w:id="107" w:name="_Toc14577354"/>
      <w:bookmarkEnd w:id="107"/>
      <w:bookmarkStart w:id="108" w:name="_Toc49090507"/>
      <w:bookmarkEnd w:id="108"/>
      <w:bookmarkStart w:id="109" w:name="_Toc14577357"/>
      <w:bookmarkEnd w:id="109"/>
      <w:bookmarkStart w:id="110" w:name="_Hlt26954838"/>
      <w:bookmarkEnd w:id="110"/>
      <w:bookmarkStart w:id="111" w:name="_Toc513029216"/>
      <w:bookmarkEnd w:id="111"/>
      <w:bookmarkStart w:id="112" w:name="_Hlt26670360"/>
      <w:bookmarkEnd w:id="112"/>
      <w:bookmarkStart w:id="113" w:name="_Hlt26668975"/>
      <w:bookmarkEnd w:id="113"/>
      <w:bookmarkStart w:id="114" w:name="_Toc49090509"/>
      <w:bookmarkEnd w:id="114"/>
      <w:r>
        <w:rPr>
          <w:rFonts w:ascii="Times New Roman" w:hAnsi="Times New Roman" w:eastAsia="方正仿宋_GBK" w:cs="Times New Roman"/>
          <w:b w:val="0"/>
          <w:color w:val="auto"/>
          <w:sz w:val="32"/>
          <w:szCs w:val="32"/>
        </w:rPr>
        <w:t>11．</w:t>
      </w:r>
      <w:r>
        <w:rPr>
          <w:rFonts w:ascii="Times New Roman" w:hAnsi="Times New Roman" w:eastAsia="方正仿宋_GBK" w:cs="Times New Roman"/>
          <w:b w:val="0"/>
          <w:bCs/>
          <w:color w:val="auto"/>
          <w:sz w:val="32"/>
          <w:szCs w:val="32"/>
        </w:rPr>
        <w:t>证明投标人及投标标的符合招标文件规定的文件</w:t>
      </w:r>
    </w:p>
    <w:p w14:paraId="11EFF298">
      <w:pPr>
        <w:spacing w:line="580" w:lineRule="exact"/>
        <w:ind w:firstLine="640" w:firstLineChars="200"/>
        <w:rPr>
          <w:rFonts w:ascii="Times New Roman" w:hAnsi="Times New Roman" w:eastAsia="方正仿宋_GBK" w:cs="Times New Roman"/>
          <w:bCs/>
          <w:color w:val="auto"/>
          <w:sz w:val="32"/>
          <w:szCs w:val="32"/>
        </w:rPr>
      </w:pPr>
      <w:bookmarkStart w:id="115" w:name="_Toc49090508"/>
      <w:bookmarkEnd w:id="115"/>
      <w:bookmarkStart w:id="116" w:name="_Toc14577355"/>
      <w:bookmarkEnd w:id="116"/>
      <w:r>
        <w:rPr>
          <w:rFonts w:ascii="Times New Roman" w:hAnsi="Times New Roman" w:eastAsia="方正仿宋_GBK" w:cs="Times New Roman"/>
          <w:color w:val="auto"/>
          <w:sz w:val="32"/>
          <w:szCs w:val="32"/>
        </w:rPr>
        <w:t>11.1</w:t>
      </w:r>
      <w:r>
        <w:rPr>
          <w:rFonts w:ascii="Times New Roman" w:hAnsi="Times New Roman" w:eastAsia="方正仿宋_GBK" w:cs="Times New Roman"/>
          <w:bCs/>
          <w:color w:val="auto"/>
          <w:sz w:val="32"/>
          <w:szCs w:val="32"/>
        </w:rPr>
        <w:t xml:space="preserve"> 投标人应按照法律、法规、规章和规范性文件以及招标文件要求提交证明文件，证明其投标标的符合招标文件规定。</w:t>
      </w:r>
    </w:p>
    <w:p w14:paraId="3D3A7CBF">
      <w:pPr>
        <w:spacing w:line="580" w:lineRule="exact"/>
        <w:ind w:firstLine="640" w:firstLineChars="200"/>
        <w:rPr>
          <w:rFonts w:ascii="Times New Roman" w:hAnsi="Times New Roman" w:eastAsia="方正仿宋_GBK" w:cs="Times New Roman"/>
          <w:bCs/>
          <w:color w:val="auto"/>
          <w:sz w:val="32"/>
          <w:szCs w:val="32"/>
        </w:rPr>
      </w:pPr>
      <w:r>
        <w:rPr>
          <w:rFonts w:ascii="Times New Roman" w:hAnsi="Times New Roman" w:eastAsia="方正仿宋_GBK" w:cs="Times New Roman"/>
          <w:color w:val="auto"/>
          <w:sz w:val="32"/>
          <w:szCs w:val="32"/>
        </w:rPr>
        <w:t xml:space="preserve">11.2 </w:t>
      </w:r>
      <w:r>
        <w:rPr>
          <w:rFonts w:ascii="Times New Roman" w:hAnsi="Times New Roman" w:eastAsia="方正仿宋_GBK" w:cs="Times New Roman"/>
          <w:bCs/>
          <w:color w:val="auto"/>
          <w:sz w:val="32"/>
          <w:szCs w:val="32"/>
        </w:rPr>
        <w:t>招标文件对证明文件无明确形式要求的，证明文件可以以文字资料、图纸和数据等形式提交。</w:t>
      </w:r>
    </w:p>
    <w:p w14:paraId="07D088D3">
      <w:pPr>
        <w:pStyle w:val="45"/>
        <w:spacing w:before="0" w:after="0" w:line="580" w:lineRule="exact"/>
        <w:ind w:firstLine="640" w:firstLineChars="200"/>
        <w:outlineLvl w:val="9"/>
        <w:rPr>
          <w:rFonts w:ascii="Times New Roman" w:hAnsi="Times New Roman" w:eastAsia="方正仿宋_GBK" w:cs="Times New Roman"/>
          <w:b w:val="0"/>
          <w:bCs/>
          <w:color w:val="auto"/>
          <w:sz w:val="32"/>
          <w:szCs w:val="32"/>
        </w:rPr>
      </w:pPr>
      <w:r>
        <w:rPr>
          <w:rFonts w:ascii="Times New Roman" w:hAnsi="Times New Roman" w:eastAsia="方正仿宋_GBK" w:cs="Times New Roman"/>
          <w:b w:val="0"/>
          <w:color w:val="auto"/>
          <w:sz w:val="32"/>
          <w:szCs w:val="32"/>
        </w:rPr>
        <w:t>12．</w:t>
      </w:r>
      <w:r>
        <w:rPr>
          <w:rFonts w:ascii="Times New Roman" w:hAnsi="Times New Roman" w:eastAsia="方正仿宋_GBK" w:cs="Times New Roman"/>
          <w:b w:val="0"/>
          <w:bCs/>
          <w:color w:val="auto"/>
          <w:sz w:val="32"/>
          <w:szCs w:val="32"/>
        </w:rPr>
        <w:t>投标分项报价表</w:t>
      </w:r>
    </w:p>
    <w:p w14:paraId="661DCD88">
      <w:pPr>
        <w:spacing w:line="580" w:lineRule="exact"/>
        <w:ind w:firstLine="640" w:firstLineChars="200"/>
        <w:rPr>
          <w:rFonts w:ascii="Times New Roman" w:hAnsi="Times New Roman" w:eastAsia="方正仿宋_GBK" w:cs="Times New Roman"/>
          <w:bCs/>
          <w:color w:val="auto"/>
          <w:sz w:val="32"/>
          <w:szCs w:val="32"/>
        </w:rPr>
      </w:pPr>
      <w:r>
        <w:rPr>
          <w:rFonts w:ascii="Times New Roman" w:hAnsi="Times New Roman" w:eastAsia="方正仿宋_GBK" w:cs="Times New Roman"/>
          <w:color w:val="auto"/>
          <w:sz w:val="32"/>
          <w:szCs w:val="32"/>
        </w:rPr>
        <w:t>12.1</w:t>
      </w:r>
      <w:r>
        <w:rPr>
          <w:rFonts w:ascii="Times New Roman" w:hAnsi="Times New Roman" w:eastAsia="方正仿宋_GBK" w:cs="Times New Roman"/>
          <w:bCs/>
          <w:color w:val="auto"/>
          <w:sz w:val="32"/>
          <w:szCs w:val="32"/>
        </w:rPr>
        <w:t xml:space="preserve"> 投</w:t>
      </w:r>
      <w:bookmarkStart w:id="117" w:name="_Hlt26954840"/>
      <w:bookmarkEnd w:id="117"/>
      <w:r>
        <w:rPr>
          <w:rFonts w:ascii="Times New Roman" w:hAnsi="Times New Roman" w:eastAsia="方正仿宋_GBK" w:cs="Times New Roman"/>
          <w:bCs/>
          <w:color w:val="auto"/>
          <w:sz w:val="32"/>
          <w:szCs w:val="32"/>
        </w:rPr>
        <w:t>标人应按照招标文件规定格式填报</w:t>
      </w:r>
      <w:bookmarkStart w:id="118" w:name="_Hlt26670399"/>
      <w:bookmarkEnd w:id="118"/>
      <w:r>
        <w:rPr>
          <w:rFonts w:ascii="Times New Roman" w:hAnsi="Times New Roman" w:eastAsia="方正仿宋_GBK" w:cs="Times New Roman"/>
          <w:bCs/>
          <w:color w:val="auto"/>
          <w:sz w:val="32"/>
          <w:szCs w:val="32"/>
        </w:rPr>
        <w:t>投标分项报价表。</w:t>
      </w:r>
    </w:p>
    <w:p w14:paraId="2062D42B">
      <w:pPr>
        <w:spacing w:line="580" w:lineRule="exact"/>
        <w:ind w:firstLine="640" w:firstLineChars="200"/>
        <w:rPr>
          <w:rFonts w:ascii="Times New Roman" w:hAnsi="Times New Roman" w:eastAsia="方正仿宋_GBK" w:cs="Times New Roman"/>
          <w:bCs/>
          <w:color w:val="auto"/>
          <w:sz w:val="32"/>
          <w:szCs w:val="32"/>
        </w:rPr>
      </w:pPr>
      <w:r>
        <w:rPr>
          <w:rFonts w:ascii="Times New Roman" w:hAnsi="Times New Roman" w:eastAsia="方正仿宋_GBK" w:cs="Times New Roman"/>
          <w:color w:val="auto"/>
          <w:sz w:val="32"/>
          <w:szCs w:val="32"/>
        </w:rPr>
        <w:t>12.2</w:t>
      </w:r>
      <w:r>
        <w:rPr>
          <w:rFonts w:ascii="Times New Roman" w:hAnsi="Times New Roman" w:eastAsia="方正仿宋_GBK" w:cs="Times New Roman"/>
          <w:bCs/>
          <w:color w:val="auto"/>
          <w:sz w:val="32"/>
          <w:szCs w:val="32"/>
        </w:rPr>
        <w:t xml:space="preserve"> 投标货币。投标文件中的单价和总价无特殊规定的采用人民币报价，以元为单位标注。招标文件中另有规定的按规定执行。</w:t>
      </w:r>
    </w:p>
    <w:p w14:paraId="0A722F78">
      <w:pPr>
        <w:pStyle w:val="45"/>
        <w:spacing w:before="0" w:after="0" w:line="580" w:lineRule="exact"/>
        <w:ind w:firstLine="640" w:firstLineChars="200"/>
        <w:outlineLvl w:val="9"/>
        <w:rPr>
          <w:rFonts w:ascii="Times New Roman" w:hAnsi="Times New Roman" w:eastAsia="方正仿宋_GBK" w:cs="Times New Roman"/>
          <w:b w:val="0"/>
          <w:bCs/>
          <w:color w:val="auto"/>
          <w:sz w:val="32"/>
          <w:szCs w:val="32"/>
        </w:rPr>
      </w:pPr>
      <w:bookmarkStart w:id="119" w:name="_Hlt26670403"/>
      <w:bookmarkEnd w:id="119"/>
      <w:bookmarkStart w:id="120" w:name="_Hlt26954731"/>
      <w:bookmarkEnd w:id="120"/>
      <w:bookmarkStart w:id="121" w:name="_Hlt26954848"/>
      <w:bookmarkEnd w:id="121"/>
      <w:bookmarkStart w:id="122" w:name="_Hlt26954846"/>
      <w:bookmarkEnd w:id="122"/>
      <w:bookmarkStart w:id="123" w:name="_Hlt26670425"/>
      <w:bookmarkEnd w:id="123"/>
      <w:bookmarkStart w:id="124" w:name="_Hlt26668983"/>
      <w:bookmarkEnd w:id="124"/>
      <w:bookmarkStart w:id="125" w:name="_Hlt26670482"/>
      <w:bookmarkEnd w:id="125"/>
      <w:bookmarkStart w:id="126" w:name="_Hlt26670486"/>
      <w:bookmarkEnd w:id="126"/>
      <w:bookmarkStart w:id="127" w:name="_Hlt26954842"/>
      <w:bookmarkEnd w:id="127"/>
      <w:bookmarkStart w:id="128" w:name="_Hlt26954844"/>
      <w:bookmarkEnd w:id="128"/>
      <w:r>
        <w:rPr>
          <w:rFonts w:ascii="Times New Roman" w:hAnsi="Times New Roman" w:eastAsia="方正仿宋_GBK" w:cs="Times New Roman"/>
          <w:b w:val="0"/>
          <w:color w:val="auto"/>
          <w:sz w:val="32"/>
          <w:szCs w:val="32"/>
        </w:rPr>
        <w:t>13．</w:t>
      </w:r>
      <w:r>
        <w:rPr>
          <w:rFonts w:ascii="Times New Roman" w:hAnsi="Times New Roman" w:eastAsia="方正仿宋_GBK" w:cs="Times New Roman"/>
          <w:b w:val="0"/>
          <w:bCs/>
          <w:color w:val="auto"/>
          <w:sz w:val="32"/>
          <w:szCs w:val="32"/>
        </w:rPr>
        <w:t>响应及偏离表</w:t>
      </w:r>
    </w:p>
    <w:p w14:paraId="5993CAC3">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13.1</w:t>
      </w:r>
      <w:r>
        <w:rPr>
          <w:rFonts w:ascii="Times New Roman" w:hAnsi="Times New Roman" w:eastAsia="方正仿宋_GBK" w:cs="Times New Roman"/>
          <w:color w:val="auto"/>
          <w:sz w:val="32"/>
          <w:szCs w:val="32"/>
          <w:lang w:val="zh-CN"/>
        </w:rPr>
        <w:t xml:space="preserve"> 投标人需对招标文件中的技术要求与商务要求逐项作出响应</w:t>
      </w:r>
      <w:r>
        <w:rPr>
          <w:rFonts w:ascii="Times New Roman" w:hAnsi="Times New Roman" w:eastAsia="方正仿宋_GBK" w:cs="Times New Roman"/>
          <w:color w:val="auto"/>
          <w:sz w:val="32"/>
          <w:szCs w:val="32"/>
        </w:rPr>
        <w:t>或</w:t>
      </w:r>
      <w:r>
        <w:rPr>
          <w:rFonts w:ascii="Times New Roman" w:hAnsi="Times New Roman" w:eastAsia="方正仿宋_GBK" w:cs="Times New Roman"/>
          <w:color w:val="auto"/>
          <w:sz w:val="32"/>
          <w:szCs w:val="32"/>
          <w:lang w:val="zh-CN"/>
        </w:rPr>
        <w:t>偏离说明。</w:t>
      </w:r>
    </w:p>
    <w:p w14:paraId="15D66F36">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13.2</w:t>
      </w:r>
      <w:r>
        <w:rPr>
          <w:rFonts w:ascii="Times New Roman" w:hAnsi="Times New Roman" w:eastAsia="方正仿宋_GBK" w:cs="Times New Roman"/>
          <w:color w:val="auto"/>
          <w:sz w:val="32"/>
          <w:szCs w:val="32"/>
          <w:lang w:val="zh-CN"/>
        </w:rPr>
        <w:t xml:space="preserve"> 投标人可以在投标文件中提供认为需要的其他技术文件或说明。</w:t>
      </w:r>
    </w:p>
    <w:p w14:paraId="5E753252">
      <w:pPr>
        <w:pStyle w:val="45"/>
        <w:spacing w:before="0" w:after="0" w:line="580" w:lineRule="exact"/>
        <w:ind w:firstLine="640" w:firstLineChars="200"/>
        <w:outlineLvl w:val="9"/>
        <w:rPr>
          <w:rFonts w:ascii="Times New Roman" w:hAnsi="Times New Roman" w:eastAsia="方正仿宋_GBK" w:cs="Times New Roman"/>
          <w:b w:val="0"/>
          <w:color w:val="auto"/>
          <w:sz w:val="32"/>
          <w:szCs w:val="32"/>
        </w:rPr>
      </w:pPr>
      <w:bookmarkStart w:id="129" w:name="_Toc14577359"/>
      <w:bookmarkEnd w:id="129"/>
      <w:bookmarkStart w:id="130" w:name="_Toc49090510"/>
      <w:bookmarkEnd w:id="130"/>
      <w:r>
        <w:rPr>
          <w:rFonts w:ascii="Times New Roman" w:hAnsi="Times New Roman" w:eastAsia="方正仿宋_GBK" w:cs="Times New Roman"/>
          <w:b w:val="0"/>
          <w:color w:val="auto"/>
          <w:sz w:val="32"/>
          <w:szCs w:val="32"/>
        </w:rPr>
        <w:t>14．投标函和开标一览表</w:t>
      </w:r>
    </w:p>
    <w:p w14:paraId="51186D79">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14.1</w:t>
      </w:r>
      <w:r>
        <w:rPr>
          <w:rFonts w:ascii="Times New Roman" w:hAnsi="Times New Roman" w:eastAsia="方正仿宋_GBK" w:cs="Times New Roman"/>
          <w:color w:val="auto"/>
          <w:sz w:val="32"/>
          <w:szCs w:val="32"/>
          <w:lang w:val="zh-CN"/>
        </w:rPr>
        <w:t xml:space="preserve"> 投标人应按照招标文件规定格式完整、正确填报投标函、开标一览表。</w:t>
      </w:r>
    </w:p>
    <w:p w14:paraId="312C9433">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14.2</w:t>
      </w:r>
      <w:r>
        <w:rPr>
          <w:rFonts w:ascii="Times New Roman" w:hAnsi="Times New Roman" w:eastAsia="方正仿宋_GBK" w:cs="Times New Roman"/>
          <w:color w:val="auto"/>
          <w:sz w:val="32"/>
          <w:szCs w:val="32"/>
          <w:lang w:val="zh-CN"/>
        </w:rPr>
        <w:t xml:space="preserve"> 对于采用货币报价的项目，开标一览表中的投标总报价应与</w:t>
      </w:r>
      <w:r>
        <w:rPr>
          <w:rFonts w:ascii="Times New Roman" w:hAnsi="Times New Roman" w:eastAsia="方正仿宋_GBK" w:cs="Times New Roman"/>
          <w:color w:val="auto"/>
          <w:sz w:val="32"/>
          <w:szCs w:val="32"/>
        </w:rPr>
        <w:t>投标分项报价表</w:t>
      </w:r>
      <w:r>
        <w:rPr>
          <w:rFonts w:ascii="Times New Roman" w:hAnsi="Times New Roman" w:eastAsia="方正仿宋_GBK" w:cs="Times New Roman"/>
          <w:color w:val="auto"/>
          <w:sz w:val="32"/>
          <w:szCs w:val="32"/>
          <w:lang w:val="zh-CN"/>
        </w:rPr>
        <w:t>中的投标总报价一致，如不一致不作为无效投标处理，评标时以开标一览表中价格为准。</w:t>
      </w:r>
    </w:p>
    <w:p w14:paraId="163E28D2">
      <w:pPr>
        <w:pStyle w:val="45"/>
        <w:spacing w:before="0" w:after="0" w:line="580" w:lineRule="exact"/>
        <w:ind w:firstLine="640" w:firstLineChars="200"/>
        <w:outlineLvl w:val="9"/>
        <w:rPr>
          <w:rFonts w:ascii="Times New Roman" w:hAnsi="Times New Roman" w:eastAsia="方正仿宋_GBK" w:cs="Times New Roman"/>
          <w:b w:val="0"/>
          <w:color w:val="auto"/>
          <w:sz w:val="32"/>
          <w:szCs w:val="32"/>
        </w:rPr>
      </w:pPr>
      <w:bookmarkStart w:id="131" w:name="_Toc49090511"/>
      <w:bookmarkEnd w:id="131"/>
      <w:bookmarkStart w:id="132" w:name="_Hlt26670489"/>
      <w:bookmarkEnd w:id="132"/>
      <w:bookmarkStart w:id="133" w:name="_Toc14577360"/>
      <w:bookmarkEnd w:id="133"/>
      <w:bookmarkStart w:id="134" w:name="_Hlt26954850"/>
      <w:bookmarkEnd w:id="134"/>
      <w:bookmarkStart w:id="135" w:name="_Hlt26954734"/>
      <w:bookmarkEnd w:id="135"/>
      <w:r>
        <w:rPr>
          <w:rFonts w:ascii="Times New Roman" w:hAnsi="Times New Roman" w:eastAsia="方正仿宋_GBK" w:cs="Times New Roman"/>
          <w:b w:val="0"/>
          <w:color w:val="auto"/>
          <w:sz w:val="32"/>
          <w:szCs w:val="32"/>
        </w:rPr>
        <w:t>15．投标有效期</w:t>
      </w:r>
    </w:p>
    <w:p w14:paraId="69B0ADEB">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15.1</w:t>
      </w:r>
      <w:r>
        <w:rPr>
          <w:rFonts w:ascii="Times New Roman" w:hAnsi="Times New Roman" w:eastAsia="方正仿宋_GBK" w:cs="Times New Roman"/>
          <w:color w:val="auto"/>
          <w:sz w:val="32"/>
          <w:szCs w:val="32"/>
          <w:lang w:val="zh-CN"/>
        </w:rPr>
        <w:t xml:space="preserve"> 投标有效期为采购代理机构规定的开标之日后</w:t>
      </w:r>
      <w:r>
        <w:rPr>
          <w:rFonts w:ascii="Times New Roman" w:hAnsi="Times New Roman" w:eastAsia="方正仿宋_GBK" w:cs="Times New Roman"/>
          <w:color w:val="auto"/>
          <w:sz w:val="32"/>
          <w:szCs w:val="32"/>
        </w:rPr>
        <w:t>90</w:t>
      </w:r>
      <w:r>
        <w:rPr>
          <w:rFonts w:ascii="Times New Roman" w:hAnsi="Times New Roman" w:eastAsia="方正仿宋_GBK" w:cs="Times New Roman"/>
          <w:color w:val="auto"/>
          <w:sz w:val="32"/>
          <w:szCs w:val="32"/>
          <w:lang w:val="zh-CN"/>
        </w:rPr>
        <w:t>日历天。投标有效期比规定短的将被视为非响应性投标而予以拒绝。</w:t>
      </w:r>
    </w:p>
    <w:p w14:paraId="3A0D01F7">
      <w:pPr>
        <w:pStyle w:val="45"/>
        <w:spacing w:before="0" w:after="0" w:line="580" w:lineRule="exact"/>
        <w:ind w:firstLine="640" w:firstLineChars="200"/>
        <w:outlineLvl w:val="9"/>
        <w:rPr>
          <w:rFonts w:ascii="Times New Roman" w:hAnsi="Times New Roman" w:eastAsia="方正仿宋_GBK" w:cs="Times New Roman"/>
          <w:b w:val="0"/>
          <w:color w:val="auto"/>
          <w:sz w:val="32"/>
          <w:szCs w:val="32"/>
        </w:rPr>
      </w:pPr>
      <w:r>
        <w:rPr>
          <w:rFonts w:ascii="Times New Roman" w:hAnsi="Times New Roman" w:eastAsia="方正仿宋_GBK" w:cs="Times New Roman"/>
          <w:b w:val="0"/>
          <w:color w:val="auto"/>
          <w:sz w:val="32"/>
          <w:szCs w:val="32"/>
        </w:rPr>
        <w:t>16．投标有效期的延长</w:t>
      </w:r>
    </w:p>
    <w:p w14:paraId="2011224C">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16.1</w:t>
      </w:r>
      <w:r>
        <w:rPr>
          <w:rFonts w:ascii="Times New Roman" w:hAnsi="Times New Roman" w:eastAsia="方正仿宋_GBK" w:cs="Times New Roman"/>
          <w:color w:val="auto"/>
          <w:sz w:val="32"/>
          <w:szCs w:val="32"/>
          <w:lang w:val="zh-CN"/>
        </w:rPr>
        <w:t xml:space="preserve"> 在特殊情况下，采购人或者采购代理机构于原投标有效期满之前，可向投标人提出延长投标有效期的要求。这种要求与答复均应采用书面形式。投标人可以拒绝采购人或者采购代理机构的这一要求而放弃投标。同意延长投标有效期的投标人既不能要求也不允许修改其投标文件，同时受投标有效期约束的所有权利与义务均延长至新的有效期</w:t>
      </w:r>
      <w:r>
        <w:rPr>
          <w:rFonts w:ascii="Times New Roman" w:hAnsi="Times New Roman" w:eastAsia="方正仿宋_GBK" w:cs="Times New Roman"/>
          <w:color w:val="auto"/>
          <w:sz w:val="32"/>
          <w:szCs w:val="32"/>
        </w:rPr>
        <w:t>满</w:t>
      </w:r>
      <w:r>
        <w:rPr>
          <w:rFonts w:ascii="Times New Roman" w:hAnsi="Times New Roman" w:eastAsia="方正仿宋_GBK" w:cs="Times New Roman"/>
          <w:color w:val="auto"/>
          <w:sz w:val="32"/>
          <w:szCs w:val="32"/>
          <w:lang w:val="zh-CN"/>
        </w:rPr>
        <w:t>。</w:t>
      </w:r>
    </w:p>
    <w:p w14:paraId="4C5D6E9D">
      <w:pPr>
        <w:pStyle w:val="195"/>
        <w:spacing w:before="0" w:after="0" w:line="580" w:lineRule="exact"/>
        <w:ind w:firstLine="640" w:firstLineChars="200"/>
        <w:outlineLvl w:val="9"/>
        <w:rPr>
          <w:rFonts w:ascii="Times New Roman" w:hAnsi="Times New Roman" w:eastAsia="方正仿宋_GBK" w:cs="Times New Roman"/>
          <w:b w:val="0"/>
          <w:color w:val="auto"/>
        </w:rPr>
      </w:pPr>
      <w:bookmarkStart w:id="136" w:name="_Toc513029237"/>
      <w:bookmarkEnd w:id="136"/>
      <w:bookmarkStart w:id="137" w:name="_Toc16938540"/>
      <w:bookmarkEnd w:id="137"/>
      <w:bookmarkStart w:id="138" w:name="_Hlt26954852"/>
      <w:bookmarkEnd w:id="138"/>
      <w:bookmarkStart w:id="139" w:name="_Hlt26954739"/>
      <w:bookmarkEnd w:id="139"/>
      <w:bookmarkStart w:id="140" w:name="_Toc120614217"/>
      <w:bookmarkEnd w:id="140"/>
      <w:bookmarkStart w:id="141" w:name="_Toc20823309"/>
      <w:bookmarkEnd w:id="141"/>
      <w:bookmarkStart w:id="142" w:name="_Toc20823296"/>
      <w:bookmarkEnd w:id="142"/>
      <w:bookmarkStart w:id="143" w:name="_Toc513029224"/>
      <w:bookmarkEnd w:id="143"/>
      <w:bookmarkStart w:id="144" w:name="_Toc16938553"/>
      <w:bookmarkEnd w:id="144"/>
      <w:r>
        <w:rPr>
          <w:rFonts w:ascii="Times New Roman" w:hAnsi="Times New Roman" w:eastAsia="方正仿宋_GBK" w:cs="Times New Roman"/>
          <w:b w:val="0"/>
          <w:color w:val="auto"/>
        </w:rPr>
        <w:t>四、投标文件的递交</w:t>
      </w:r>
    </w:p>
    <w:p w14:paraId="37694EEF">
      <w:pPr>
        <w:pStyle w:val="45"/>
        <w:spacing w:before="0" w:after="0" w:line="580" w:lineRule="exact"/>
        <w:ind w:firstLine="640" w:firstLineChars="200"/>
        <w:outlineLvl w:val="9"/>
        <w:rPr>
          <w:rFonts w:ascii="Times New Roman" w:hAnsi="Times New Roman" w:eastAsia="方正仿宋_GBK" w:cs="Times New Roman"/>
          <w:b w:val="0"/>
          <w:color w:val="auto"/>
          <w:sz w:val="32"/>
          <w:szCs w:val="32"/>
        </w:rPr>
      </w:pPr>
      <w:bookmarkStart w:id="145" w:name="_Toc20823297"/>
      <w:bookmarkEnd w:id="145"/>
      <w:bookmarkStart w:id="146" w:name="_Toc513029225"/>
      <w:bookmarkEnd w:id="146"/>
      <w:bookmarkStart w:id="147" w:name="_Toc16938541"/>
      <w:bookmarkEnd w:id="147"/>
      <w:bookmarkStart w:id="148" w:name="_Toc462564084"/>
      <w:bookmarkEnd w:id="148"/>
      <w:r>
        <w:rPr>
          <w:rFonts w:ascii="Times New Roman" w:hAnsi="Times New Roman" w:eastAsia="方正仿宋_GBK" w:cs="Times New Roman"/>
          <w:b w:val="0"/>
          <w:color w:val="auto"/>
          <w:sz w:val="32"/>
          <w:szCs w:val="32"/>
        </w:rPr>
        <w:t>17．投标文件的递交</w:t>
      </w:r>
    </w:p>
    <w:p w14:paraId="5E05EEC1">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17.1</w:t>
      </w:r>
      <w:r>
        <w:rPr>
          <w:rFonts w:ascii="Times New Roman" w:hAnsi="Times New Roman" w:eastAsia="方正仿宋_GBK" w:cs="Times New Roman"/>
          <w:color w:val="auto"/>
          <w:sz w:val="32"/>
          <w:szCs w:val="32"/>
          <w:lang w:val="zh-CN"/>
        </w:rPr>
        <w:t xml:space="preserve"> 投标人应当按照《操作手册》规定，在招标公告规定的投标截止时间前制作并上传电子投标文件。</w:t>
      </w:r>
      <w:bookmarkStart w:id="149" w:name="_Toc16938542"/>
      <w:bookmarkEnd w:id="149"/>
      <w:bookmarkStart w:id="150" w:name="_Toc20823298"/>
      <w:bookmarkEnd w:id="150"/>
      <w:bookmarkStart w:id="151" w:name="_Toc513029226"/>
      <w:bookmarkEnd w:id="151"/>
    </w:p>
    <w:p w14:paraId="24A54A57">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17.2</w:t>
      </w:r>
      <w:r>
        <w:rPr>
          <w:rFonts w:ascii="Times New Roman" w:hAnsi="Times New Roman" w:eastAsia="方正仿宋_GBK" w:cs="Times New Roman"/>
          <w:color w:val="auto"/>
          <w:sz w:val="32"/>
          <w:szCs w:val="32"/>
          <w:lang w:val="zh-CN"/>
        </w:rPr>
        <w:t xml:space="preserve"> 投标人应充分考虑网络环境、网络带宽等因素</w:t>
      </w:r>
      <w:r>
        <w:rPr>
          <w:rFonts w:ascii="Times New Roman" w:hAnsi="Times New Roman" w:eastAsia="方正仿宋_GBK" w:cs="Times New Roman"/>
          <w:color w:val="auto"/>
          <w:sz w:val="32"/>
          <w:szCs w:val="32"/>
        </w:rPr>
        <w:t>可能对投标产生的影响</w:t>
      </w:r>
      <w:r>
        <w:rPr>
          <w:rFonts w:ascii="Times New Roman" w:hAnsi="Times New Roman" w:eastAsia="方正仿宋_GBK" w:cs="Times New Roman"/>
          <w:color w:val="auto"/>
          <w:sz w:val="32"/>
          <w:szCs w:val="32"/>
          <w:lang w:val="zh-CN"/>
        </w:rPr>
        <w:t>，如因投标人自身原因造成的电子投标文件上传不成功的，按照本招标文件第二章第2</w:t>
      </w:r>
      <w:r>
        <w:rPr>
          <w:rFonts w:ascii="Times New Roman" w:hAnsi="Times New Roman" w:eastAsia="方正仿宋_GBK" w:cs="Times New Roman"/>
          <w:color w:val="auto"/>
          <w:sz w:val="32"/>
          <w:szCs w:val="32"/>
        </w:rPr>
        <w:t>5</w:t>
      </w:r>
      <w:r>
        <w:rPr>
          <w:rFonts w:ascii="Times New Roman" w:hAnsi="Times New Roman" w:eastAsia="方正仿宋_GBK" w:cs="Times New Roman"/>
          <w:color w:val="auto"/>
          <w:sz w:val="32"/>
          <w:szCs w:val="32"/>
          <w:lang w:val="zh-CN"/>
        </w:rPr>
        <w:t>.1条规定做无效投标处理。</w:t>
      </w:r>
    </w:p>
    <w:p w14:paraId="7421B87B">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 xml:space="preserve">17.3 </w:t>
      </w:r>
      <w:r>
        <w:rPr>
          <w:rFonts w:ascii="Times New Roman" w:hAnsi="Times New Roman" w:eastAsia="方正仿宋_GBK" w:cs="Times New Roman"/>
          <w:color w:val="auto"/>
          <w:sz w:val="32"/>
          <w:szCs w:val="32"/>
          <w:lang w:val="zh-CN"/>
        </w:rPr>
        <w:t>采购代理机构可以按照规定，通过修改招标文件酌情延长投标截止时间，在此情况下，投标人的所有权利和义务均以延长后新的截止时间为准。</w:t>
      </w:r>
    </w:p>
    <w:p w14:paraId="4CAF2E75">
      <w:pPr>
        <w:pStyle w:val="45"/>
        <w:spacing w:before="0" w:after="0" w:line="580" w:lineRule="exact"/>
        <w:ind w:firstLine="640" w:firstLineChars="200"/>
        <w:outlineLvl w:val="9"/>
        <w:rPr>
          <w:rFonts w:ascii="Times New Roman" w:hAnsi="Times New Roman" w:eastAsia="方正仿宋_GBK" w:cs="Times New Roman"/>
          <w:b w:val="0"/>
          <w:color w:val="auto"/>
          <w:sz w:val="32"/>
          <w:szCs w:val="32"/>
        </w:rPr>
      </w:pPr>
      <w:bookmarkStart w:id="152" w:name="_Toc513029227"/>
      <w:bookmarkEnd w:id="152"/>
      <w:bookmarkStart w:id="153" w:name="_Toc16938543"/>
      <w:bookmarkEnd w:id="153"/>
      <w:bookmarkStart w:id="154" w:name="_Toc20823299"/>
      <w:bookmarkEnd w:id="154"/>
      <w:r>
        <w:rPr>
          <w:rFonts w:ascii="Times New Roman" w:hAnsi="Times New Roman" w:eastAsia="方正仿宋_GBK" w:cs="Times New Roman"/>
          <w:b w:val="0"/>
          <w:color w:val="auto"/>
          <w:sz w:val="32"/>
          <w:szCs w:val="32"/>
        </w:rPr>
        <w:t>18．投标文件的拒收</w:t>
      </w:r>
    </w:p>
    <w:p w14:paraId="77962E5E">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 xml:space="preserve">18.1 </w:t>
      </w:r>
      <w:r>
        <w:rPr>
          <w:rFonts w:ascii="Times New Roman" w:hAnsi="Times New Roman" w:eastAsia="方正仿宋_GBK" w:cs="Times New Roman"/>
          <w:color w:val="auto"/>
          <w:sz w:val="32"/>
          <w:szCs w:val="32"/>
          <w:lang w:val="zh-CN"/>
        </w:rPr>
        <w:t>采购人或者采购代理机构拒绝接收投标截止时间后上传的任何投标文件。</w:t>
      </w:r>
    </w:p>
    <w:p w14:paraId="577DD39E">
      <w:pPr>
        <w:pStyle w:val="45"/>
        <w:spacing w:before="0" w:after="0" w:line="580" w:lineRule="exact"/>
        <w:ind w:firstLine="640" w:firstLineChars="200"/>
        <w:outlineLvl w:val="9"/>
        <w:rPr>
          <w:rFonts w:ascii="Times New Roman" w:hAnsi="Times New Roman" w:eastAsia="方正仿宋_GBK" w:cs="Times New Roman"/>
          <w:b w:val="0"/>
          <w:color w:val="auto"/>
          <w:sz w:val="32"/>
          <w:szCs w:val="32"/>
        </w:rPr>
      </w:pPr>
      <w:bookmarkStart w:id="155" w:name="_Toc20823300"/>
      <w:bookmarkEnd w:id="155"/>
      <w:bookmarkStart w:id="156" w:name="_Toc513029228"/>
      <w:bookmarkEnd w:id="156"/>
      <w:bookmarkStart w:id="157" w:name="_Toc16938544"/>
      <w:bookmarkEnd w:id="157"/>
      <w:r>
        <w:rPr>
          <w:rFonts w:ascii="Times New Roman" w:hAnsi="Times New Roman" w:eastAsia="方正仿宋_GBK" w:cs="Times New Roman"/>
          <w:b w:val="0"/>
          <w:color w:val="auto"/>
          <w:sz w:val="32"/>
          <w:szCs w:val="32"/>
        </w:rPr>
        <w:t>19．投标文件的撤回和修改</w:t>
      </w:r>
    </w:p>
    <w:p w14:paraId="112C3DD3">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19.1</w:t>
      </w:r>
      <w:r>
        <w:rPr>
          <w:rFonts w:ascii="Times New Roman" w:hAnsi="Times New Roman" w:eastAsia="方正仿宋_GBK" w:cs="Times New Roman"/>
          <w:color w:val="auto"/>
          <w:sz w:val="32"/>
          <w:szCs w:val="32"/>
          <w:lang w:val="zh-CN"/>
        </w:rPr>
        <w:t xml:space="preserve"> 投标文件的撤回</w:t>
      </w:r>
    </w:p>
    <w:p w14:paraId="694C90EE">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 xml:space="preserve">19.1.1 </w:t>
      </w:r>
      <w:r>
        <w:rPr>
          <w:rFonts w:ascii="Times New Roman" w:hAnsi="Times New Roman" w:eastAsia="方正仿宋_GBK" w:cs="Times New Roman"/>
          <w:color w:val="auto"/>
          <w:sz w:val="32"/>
          <w:szCs w:val="32"/>
          <w:lang w:val="zh-CN"/>
        </w:rPr>
        <w:t>投标人可在投标截止时间前撤回其电子投标文件，具体操作方法见《操作手册》。</w:t>
      </w:r>
    </w:p>
    <w:p w14:paraId="3960ED07">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 xml:space="preserve">19.1.2 </w:t>
      </w:r>
      <w:r>
        <w:rPr>
          <w:rFonts w:ascii="Times New Roman" w:hAnsi="Times New Roman" w:eastAsia="方正仿宋_GBK" w:cs="Times New Roman"/>
          <w:color w:val="auto"/>
          <w:sz w:val="32"/>
          <w:szCs w:val="32"/>
          <w:lang w:val="zh-CN"/>
        </w:rPr>
        <w:t>投标人撤回电子投标文件，则认为其不再参与本项目投标活动。</w:t>
      </w:r>
    </w:p>
    <w:p w14:paraId="5671F4F7">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19.2</w:t>
      </w:r>
      <w:r>
        <w:rPr>
          <w:rFonts w:ascii="Times New Roman" w:hAnsi="Times New Roman" w:eastAsia="方正仿宋_GBK" w:cs="Times New Roman"/>
          <w:color w:val="auto"/>
          <w:sz w:val="32"/>
          <w:szCs w:val="32"/>
          <w:lang w:val="zh-CN"/>
        </w:rPr>
        <w:t xml:space="preserve"> 投标文件的修改</w:t>
      </w:r>
    </w:p>
    <w:p w14:paraId="6CCF963F">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 xml:space="preserve">19.2.1 </w:t>
      </w:r>
      <w:r>
        <w:rPr>
          <w:rFonts w:ascii="Times New Roman" w:hAnsi="Times New Roman" w:eastAsia="方正仿宋_GBK" w:cs="Times New Roman"/>
          <w:color w:val="auto"/>
          <w:sz w:val="32"/>
          <w:szCs w:val="32"/>
          <w:lang w:val="zh-CN"/>
        </w:rPr>
        <w:t>投标人可在投标截止时间前对其电子投标文件进行修改，具体操作方法见《操作手册》。</w:t>
      </w:r>
    </w:p>
    <w:p w14:paraId="72C3EC04">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 xml:space="preserve">19.2.2 </w:t>
      </w:r>
      <w:r>
        <w:rPr>
          <w:rFonts w:ascii="Times New Roman" w:hAnsi="Times New Roman" w:eastAsia="方正仿宋_GBK" w:cs="Times New Roman"/>
          <w:color w:val="auto"/>
          <w:sz w:val="32"/>
          <w:szCs w:val="32"/>
          <w:lang w:val="zh-CN"/>
        </w:rPr>
        <w:t>投标截止时间之后，投标人不得对其电子投标文件作任何修改。</w:t>
      </w:r>
    </w:p>
    <w:p w14:paraId="61423C7A">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 xml:space="preserve">19.3 </w:t>
      </w:r>
      <w:r>
        <w:rPr>
          <w:rFonts w:ascii="Times New Roman" w:hAnsi="Times New Roman" w:eastAsia="方正仿宋_GBK" w:cs="Times New Roman"/>
          <w:color w:val="auto"/>
          <w:sz w:val="32"/>
          <w:szCs w:val="32"/>
          <w:lang w:val="zh-CN"/>
        </w:rPr>
        <w:t>在投标截止时间至招标文件中规定的投标有效期满之间的这段时间内，投标人不得撤回其投标。</w:t>
      </w:r>
      <w:bookmarkStart w:id="158" w:name="_Toc120614218"/>
      <w:bookmarkEnd w:id="158"/>
      <w:bookmarkStart w:id="159" w:name="_Toc20823301"/>
      <w:bookmarkEnd w:id="159"/>
      <w:bookmarkStart w:id="160" w:name="_Toc513029229"/>
      <w:bookmarkEnd w:id="160"/>
      <w:bookmarkStart w:id="161" w:name="_Toc16938545"/>
      <w:bookmarkEnd w:id="161"/>
    </w:p>
    <w:p w14:paraId="45170B3B">
      <w:pPr>
        <w:pStyle w:val="195"/>
        <w:spacing w:before="0" w:after="0" w:line="580" w:lineRule="exact"/>
        <w:ind w:firstLine="640" w:firstLineChars="200"/>
        <w:outlineLvl w:val="9"/>
        <w:rPr>
          <w:rFonts w:ascii="Times New Roman" w:hAnsi="Times New Roman" w:eastAsia="方正仿宋_GBK" w:cs="Times New Roman"/>
          <w:b w:val="0"/>
          <w:color w:val="auto"/>
        </w:rPr>
      </w:pPr>
      <w:r>
        <w:rPr>
          <w:rFonts w:ascii="Times New Roman" w:hAnsi="Times New Roman" w:eastAsia="方正仿宋_GBK" w:cs="Times New Roman"/>
          <w:b w:val="0"/>
          <w:color w:val="auto"/>
        </w:rPr>
        <w:t>五、开标与评标</w:t>
      </w:r>
    </w:p>
    <w:p w14:paraId="2016BA64">
      <w:pPr>
        <w:pStyle w:val="45"/>
        <w:spacing w:before="0" w:after="0" w:line="580" w:lineRule="exact"/>
        <w:ind w:firstLine="640" w:firstLineChars="200"/>
        <w:outlineLvl w:val="9"/>
        <w:rPr>
          <w:rFonts w:ascii="Times New Roman" w:hAnsi="Times New Roman" w:eastAsia="方正仿宋_GBK" w:cs="Times New Roman"/>
          <w:b w:val="0"/>
          <w:color w:val="auto"/>
          <w:sz w:val="32"/>
          <w:szCs w:val="32"/>
        </w:rPr>
      </w:pPr>
      <w:bookmarkStart w:id="162" w:name="_Toc20823302"/>
      <w:bookmarkEnd w:id="162"/>
      <w:bookmarkStart w:id="163" w:name="_Toc16938546"/>
      <w:bookmarkEnd w:id="163"/>
      <w:bookmarkStart w:id="164" w:name="_Toc513029230"/>
      <w:bookmarkEnd w:id="164"/>
      <w:r>
        <w:rPr>
          <w:rFonts w:ascii="Times New Roman" w:hAnsi="Times New Roman" w:eastAsia="方正仿宋_GBK" w:cs="Times New Roman"/>
          <w:b w:val="0"/>
          <w:color w:val="auto"/>
          <w:sz w:val="32"/>
          <w:szCs w:val="32"/>
        </w:rPr>
        <w:t>20．开标</w:t>
      </w:r>
    </w:p>
    <w:p w14:paraId="22F94DA5">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20.1</w:t>
      </w:r>
      <w:r>
        <w:rPr>
          <w:rFonts w:ascii="Times New Roman" w:hAnsi="Times New Roman" w:eastAsia="方正仿宋_GBK" w:cs="Times New Roman"/>
          <w:color w:val="auto"/>
          <w:sz w:val="32"/>
          <w:szCs w:val="32"/>
          <w:lang w:val="zh-CN"/>
        </w:rPr>
        <w:t xml:space="preserve"> 采购人或者采购代理机构在招标公告中规定的时间和地点组织公开开标。投标人按照《操作手册》规定参加开标活动，并在苏采云系统规定的时间内对投标文件进行解密。苏采云系统公布各投标人名称和投标价格。</w:t>
      </w:r>
    </w:p>
    <w:p w14:paraId="51247913">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 xml:space="preserve">20.2 </w:t>
      </w:r>
      <w:r>
        <w:rPr>
          <w:rFonts w:ascii="Times New Roman" w:hAnsi="Times New Roman" w:eastAsia="方正仿宋_GBK" w:cs="Times New Roman"/>
          <w:color w:val="auto"/>
          <w:sz w:val="32"/>
          <w:szCs w:val="32"/>
          <w:lang w:val="zh-CN"/>
        </w:rPr>
        <w:t>投标人在开标过程中涉及到的投标文件解密、开标结果确认等工作，应按照《操作手册》规定执行。</w:t>
      </w:r>
    </w:p>
    <w:p w14:paraId="7F45A856">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 xml:space="preserve">20.3 </w:t>
      </w:r>
      <w:r>
        <w:rPr>
          <w:rFonts w:ascii="Times New Roman" w:hAnsi="Times New Roman" w:eastAsia="方正仿宋_GBK" w:cs="Times New Roman"/>
          <w:color w:val="auto"/>
          <w:sz w:val="32"/>
          <w:szCs w:val="32"/>
          <w:lang w:val="zh-CN"/>
        </w:rPr>
        <w:t>投标人如果对开标过程和开标结果有疑义，应当根据《操作手册》规定提出，苏采云系统中《开标记录表》公布后5分钟内未提出的，视同认可开标结果。</w:t>
      </w:r>
    </w:p>
    <w:p w14:paraId="2E57F4A9">
      <w:pPr>
        <w:pStyle w:val="45"/>
        <w:spacing w:before="0" w:after="0" w:line="580" w:lineRule="exact"/>
        <w:ind w:firstLine="640" w:firstLineChars="200"/>
        <w:outlineLvl w:val="9"/>
        <w:rPr>
          <w:rFonts w:ascii="Times New Roman" w:hAnsi="Times New Roman" w:eastAsia="方正仿宋_GBK" w:cs="Times New Roman"/>
          <w:b w:val="0"/>
          <w:color w:val="auto"/>
          <w:sz w:val="32"/>
          <w:szCs w:val="32"/>
        </w:rPr>
      </w:pPr>
      <w:bookmarkStart w:id="165" w:name="_Toc513029231"/>
      <w:bookmarkEnd w:id="165"/>
      <w:bookmarkStart w:id="166" w:name="_Toc16938547"/>
      <w:bookmarkEnd w:id="166"/>
      <w:bookmarkStart w:id="167" w:name="_Toc20823303"/>
      <w:bookmarkEnd w:id="167"/>
      <w:r>
        <w:rPr>
          <w:rFonts w:ascii="Times New Roman" w:hAnsi="Times New Roman" w:eastAsia="方正仿宋_GBK" w:cs="Times New Roman"/>
          <w:b w:val="0"/>
          <w:color w:val="auto"/>
          <w:sz w:val="32"/>
          <w:szCs w:val="32"/>
        </w:rPr>
        <w:t>21．评标</w:t>
      </w:r>
    </w:p>
    <w:p w14:paraId="7F51D653">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21.1</w:t>
      </w:r>
      <w:r>
        <w:rPr>
          <w:rFonts w:ascii="Times New Roman" w:hAnsi="Times New Roman" w:eastAsia="方正仿宋_GBK" w:cs="Times New Roman"/>
          <w:color w:val="auto"/>
          <w:sz w:val="32"/>
          <w:szCs w:val="32"/>
          <w:lang w:val="zh-CN"/>
        </w:rPr>
        <w:t xml:space="preserve"> </w:t>
      </w:r>
      <w:r>
        <w:rPr>
          <w:rFonts w:ascii="Times New Roman" w:hAnsi="Times New Roman" w:eastAsia="方正仿宋_GBK" w:cs="Times New Roman"/>
          <w:color w:val="auto"/>
          <w:sz w:val="32"/>
          <w:szCs w:val="32"/>
        </w:rPr>
        <w:t>评标由</w:t>
      </w:r>
      <w:r>
        <w:rPr>
          <w:rFonts w:ascii="Times New Roman" w:hAnsi="Times New Roman" w:eastAsia="方正仿宋_GBK" w:cs="Times New Roman"/>
          <w:color w:val="auto"/>
          <w:sz w:val="32"/>
          <w:szCs w:val="32"/>
          <w:lang w:val="zh-CN"/>
        </w:rPr>
        <w:t>采购人或者采购代理机构组织评标委员会（以下简称</w:t>
      </w:r>
      <w:r>
        <w:rPr>
          <w:rFonts w:hint="eastAsia" w:ascii="Times New Roman" w:hAnsi="Times New Roman" w:eastAsia="方正仿宋_GBK" w:cs="Times New Roman"/>
          <w:color w:val="auto"/>
          <w:sz w:val="32"/>
          <w:szCs w:val="32"/>
          <w:lang w:val="zh-CN"/>
        </w:rPr>
        <w:t>“</w:t>
      </w:r>
      <w:r>
        <w:rPr>
          <w:rFonts w:ascii="Times New Roman" w:hAnsi="Times New Roman" w:eastAsia="方正仿宋_GBK" w:cs="Times New Roman"/>
          <w:color w:val="auto"/>
          <w:sz w:val="32"/>
          <w:szCs w:val="32"/>
          <w:lang w:val="zh-CN"/>
        </w:rPr>
        <w:t>评委会</w:t>
      </w:r>
      <w:r>
        <w:rPr>
          <w:rFonts w:hint="eastAsia" w:ascii="Times New Roman" w:hAnsi="Times New Roman" w:eastAsia="方正仿宋_GBK" w:cs="Times New Roman"/>
          <w:color w:val="auto"/>
          <w:sz w:val="32"/>
          <w:szCs w:val="32"/>
          <w:lang w:val="zh-CN"/>
        </w:rPr>
        <w:t>”</w:t>
      </w:r>
      <w:r>
        <w:rPr>
          <w:rFonts w:ascii="Times New Roman" w:hAnsi="Times New Roman" w:eastAsia="方正仿宋_GBK" w:cs="Times New Roman"/>
          <w:color w:val="auto"/>
          <w:sz w:val="32"/>
          <w:szCs w:val="32"/>
          <w:lang w:val="zh-CN"/>
        </w:rPr>
        <w:t>）进行。</w:t>
      </w:r>
    </w:p>
    <w:p w14:paraId="019833AE">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21.2</w:t>
      </w:r>
      <w:r>
        <w:rPr>
          <w:rFonts w:ascii="Times New Roman" w:hAnsi="Times New Roman" w:eastAsia="方正仿宋_GBK" w:cs="Times New Roman"/>
          <w:color w:val="auto"/>
          <w:sz w:val="32"/>
          <w:szCs w:val="32"/>
          <w:lang w:val="zh-CN"/>
        </w:rPr>
        <w:t xml:space="preserve"> 评委会由采购人代表和有关技术、经济等方面的专家组成，且人员构成符合政府采购有关规定。</w:t>
      </w:r>
    </w:p>
    <w:p w14:paraId="470341B3">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 xml:space="preserve">21.3 </w:t>
      </w:r>
      <w:r>
        <w:rPr>
          <w:rFonts w:ascii="Times New Roman" w:hAnsi="Times New Roman" w:eastAsia="方正仿宋_GBK" w:cs="Times New Roman"/>
          <w:color w:val="auto"/>
          <w:sz w:val="32"/>
          <w:szCs w:val="32"/>
          <w:lang w:val="zh-CN"/>
        </w:rPr>
        <w:t>评委会独立工作，负责评审所有投标文件并</w:t>
      </w:r>
      <w:r>
        <w:rPr>
          <w:rFonts w:ascii="Times New Roman" w:hAnsi="Times New Roman" w:eastAsia="方正仿宋_GBK" w:cs="Times New Roman"/>
          <w:color w:val="auto"/>
          <w:sz w:val="32"/>
          <w:szCs w:val="32"/>
        </w:rPr>
        <w:t>推荐</w:t>
      </w:r>
      <w:r>
        <w:rPr>
          <w:rFonts w:ascii="Times New Roman" w:hAnsi="Times New Roman" w:eastAsia="方正仿宋_GBK" w:cs="Times New Roman"/>
          <w:color w:val="auto"/>
          <w:sz w:val="32"/>
          <w:szCs w:val="32"/>
          <w:lang w:val="zh-CN"/>
        </w:rPr>
        <w:t>中标</w:t>
      </w:r>
      <w:r>
        <w:rPr>
          <w:rFonts w:ascii="Times New Roman" w:hAnsi="Times New Roman" w:eastAsia="方正仿宋_GBK" w:cs="Times New Roman"/>
          <w:color w:val="auto"/>
          <w:sz w:val="32"/>
          <w:szCs w:val="32"/>
        </w:rPr>
        <w:t>候选</w:t>
      </w:r>
      <w:r>
        <w:rPr>
          <w:rFonts w:ascii="Times New Roman" w:hAnsi="Times New Roman" w:eastAsia="方正仿宋_GBK" w:cs="Times New Roman"/>
          <w:color w:val="auto"/>
          <w:sz w:val="32"/>
          <w:szCs w:val="32"/>
          <w:lang w:val="zh-CN"/>
        </w:rPr>
        <w:t>人，</w:t>
      </w:r>
      <w:r>
        <w:rPr>
          <w:rFonts w:ascii="Times New Roman" w:hAnsi="Times New Roman" w:eastAsia="方正仿宋_GBK" w:cs="Times New Roman"/>
          <w:color w:val="auto"/>
          <w:sz w:val="32"/>
          <w:szCs w:val="32"/>
        </w:rPr>
        <w:t>或根据采购人授权直接确定中标人</w:t>
      </w:r>
      <w:r>
        <w:rPr>
          <w:rFonts w:ascii="Times New Roman" w:hAnsi="Times New Roman" w:eastAsia="方正仿宋_GBK" w:cs="Times New Roman"/>
          <w:color w:val="auto"/>
          <w:sz w:val="32"/>
          <w:szCs w:val="32"/>
          <w:lang w:val="zh-CN"/>
        </w:rPr>
        <w:t>。</w:t>
      </w:r>
    </w:p>
    <w:p w14:paraId="62FC3F4D">
      <w:pPr>
        <w:pStyle w:val="45"/>
        <w:spacing w:before="0" w:after="0" w:line="580" w:lineRule="exact"/>
        <w:ind w:firstLine="640" w:firstLineChars="200"/>
        <w:outlineLvl w:val="9"/>
        <w:rPr>
          <w:rFonts w:ascii="Times New Roman" w:hAnsi="Times New Roman" w:eastAsia="方正仿宋_GBK" w:cs="Times New Roman"/>
          <w:b w:val="0"/>
          <w:color w:val="auto"/>
          <w:sz w:val="32"/>
          <w:szCs w:val="32"/>
        </w:rPr>
      </w:pPr>
      <w:r>
        <w:rPr>
          <w:rFonts w:ascii="Times New Roman" w:hAnsi="Times New Roman" w:eastAsia="方正仿宋_GBK" w:cs="Times New Roman"/>
          <w:b w:val="0"/>
          <w:color w:val="auto"/>
          <w:sz w:val="32"/>
          <w:szCs w:val="32"/>
        </w:rPr>
        <w:t>22．评标过程的保密与公正</w:t>
      </w:r>
    </w:p>
    <w:p w14:paraId="02155906">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 xml:space="preserve">22.1 </w:t>
      </w:r>
      <w:r>
        <w:rPr>
          <w:rFonts w:ascii="Times New Roman" w:hAnsi="Times New Roman" w:eastAsia="方正仿宋_GBK" w:cs="Times New Roman"/>
          <w:color w:val="auto"/>
          <w:sz w:val="32"/>
          <w:szCs w:val="32"/>
          <w:lang w:val="zh-CN"/>
        </w:rPr>
        <w:t>凡是与审查、澄清、评价和比较投标的有关资料以及授标建议等，采购人、评委、采购代理机构均不得向投标人或与评标无关的其他人员透露。</w:t>
      </w:r>
    </w:p>
    <w:p w14:paraId="0804EBD0">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 xml:space="preserve">22.2 </w:t>
      </w:r>
      <w:r>
        <w:rPr>
          <w:rFonts w:ascii="Times New Roman" w:hAnsi="Times New Roman" w:eastAsia="方正仿宋_GBK" w:cs="Times New Roman"/>
          <w:color w:val="auto"/>
          <w:sz w:val="32"/>
          <w:szCs w:val="32"/>
          <w:lang w:val="zh-CN"/>
        </w:rPr>
        <w:t>投标人不得以任何方式影响评标，否则其投标文件将被作为无效投标文件。</w:t>
      </w:r>
    </w:p>
    <w:p w14:paraId="3FD7399F">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22.3</w:t>
      </w:r>
      <w:r>
        <w:rPr>
          <w:rFonts w:ascii="Times New Roman" w:hAnsi="Times New Roman" w:eastAsia="方正仿宋_GBK" w:cs="Times New Roman"/>
          <w:color w:val="auto"/>
          <w:sz w:val="32"/>
          <w:szCs w:val="32"/>
          <w:lang w:val="zh-CN"/>
        </w:rPr>
        <w:t xml:space="preserve"> 采购代理机构和评委会不向未中标的投标人解释未中标原因，也不公布评标过程中的相关细节。</w:t>
      </w:r>
    </w:p>
    <w:p w14:paraId="3ECA55EE">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 xml:space="preserve">22.4 </w:t>
      </w:r>
      <w:r>
        <w:rPr>
          <w:rFonts w:ascii="Times New Roman" w:hAnsi="Times New Roman" w:eastAsia="方正仿宋_GBK" w:cs="Times New Roman"/>
          <w:color w:val="auto"/>
          <w:sz w:val="32"/>
          <w:szCs w:val="32"/>
          <w:lang w:val="zh-CN"/>
        </w:rPr>
        <w:t>采用综合评分法的项目，未中标的投标人可于中标结果公告期限届满之日起通过苏采云系统查看本单位的评审得分及排名情况。</w:t>
      </w:r>
    </w:p>
    <w:p w14:paraId="734F5975">
      <w:pPr>
        <w:pStyle w:val="45"/>
        <w:spacing w:before="0" w:after="0" w:line="580" w:lineRule="exact"/>
        <w:ind w:firstLine="640" w:firstLineChars="200"/>
        <w:outlineLvl w:val="9"/>
        <w:rPr>
          <w:rFonts w:ascii="Times New Roman" w:hAnsi="Times New Roman" w:eastAsia="方正仿宋_GBK" w:cs="Times New Roman"/>
          <w:b w:val="0"/>
          <w:color w:val="auto"/>
          <w:sz w:val="32"/>
          <w:szCs w:val="32"/>
        </w:rPr>
      </w:pPr>
      <w:bookmarkStart w:id="168" w:name="_Toc16938548"/>
      <w:bookmarkEnd w:id="168"/>
      <w:bookmarkStart w:id="169" w:name="_Toc513029232"/>
      <w:bookmarkEnd w:id="169"/>
      <w:bookmarkStart w:id="170" w:name="_Toc20823304"/>
      <w:bookmarkEnd w:id="170"/>
      <w:r>
        <w:rPr>
          <w:rFonts w:ascii="Times New Roman" w:hAnsi="Times New Roman" w:eastAsia="方正仿宋_GBK" w:cs="Times New Roman"/>
          <w:b w:val="0"/>
          <w:color w:val="auto"/>
          <w:sz w:val="32"/>
          <w:szCs w:val="32"/>
        </w:rPr>
        <w:t>23．投标文件的澄清</w:t>
      </w:r>
    </w:p>
    <w:p w14:paraId="4627E114">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 xml:space="preserve">23.1 </w:t>
      </w:r>
      <w:r>
        <w:rPr>
          <w:rFonts w:ascii="Times New Roman" w:hAnsi="Times New Roman" w:eastAsia="方正仿宋_GBK" w:cs="Times New Roman"/>
          <w:color w:val="auto"/>
          <w:sz w:val="32"/>
          <w:szCs w:val="32"/>
          <w:lang w:val="zh-CN"/>
        </w:rPr>
        <w:t>评标期间，评委会对投标文件中含义不明确、同类问题表述不一致或者有明显文字和计算错误的内容，有权要求投标人作出必要的澄清、说明或者补正。</w:t>
      </w:r>
    </w:p>
    <w:p w14:paraId="02F2949C">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lang w:val="zh-CN"/>
        </w:rPr>
        <w:t>投标人的澄清、说明或者补正不得超出投标文件的范围或者改变投标文件的实质性内容。</w:t>
      </w:r>
    </w:p>
    <w:p w14:paraId="2F3BDE11">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lang w:val="zh-CN"/>
        </w:rPr>
        <w:t>评委会并非对每个投标人都做澄清要求。</w:t>
      </w:r>
    </w:p>
    <w:p w14:paraId="26C31144">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 xml:space="preserve">23.2 </w:t>
      </w:r>
      <w:r>
        <w:rPr>
          <w:rFonts w:ascii="Times New Roman" w:hAnsi="Times New Roman" w:eastAsia="方正仿宋_GBK" w:cs="Times New Roman"/>
          <w:color w:val="auto"/>
          <w:sz w:val="32"/>
          <w:szCs w:val="32"/>
          <w:lang w:val="zh-CN"/>
        </w:rPr>
        <w:t>需要投标人进行澄清、说明和补正的，评委会将通过苏采云系统向</w:t>
      </w:r>
      <w:r>
        <w:rPr>
          <w:rFonts w:ascii="Times New Roman" w:hAnsi="Times New Roman" w:eastAsia="方正仿宋_GBK" w:cs="Times New Roman"/>
          <w:color w:val="auto"/>
          <w:sz w:val="32"/>
          <w:szCs w:val="32"/>
        </w:rPr>
        <w:t>投标人</w:t>
      </w:r>
      <w:r>
        <w:rPr>
          <w:rFonts w:ascii="Times New Roman" w:hAnsi="Times New Roman" w:eastAsia="方正仿宋_GBK" w:cs="Times New Roman"/>
          <w:color w:val="auto"/>
          <w:sz w:val="32"/>
          <w:szCs w:val="32"/>
          <w:lang w:val="zh-CN"/>
        </w:rPr>
        <w:t>发出《澄清要求函》，接到《澄清要求函》的</w:t>
      </w:r>
      <w:r>
        <w:rPr>
          <w:rFonts w:ascii="Times New Roman" w:hAnsi="Times New Roman" w:eastAsia="方正仿宋_GBK" w:cs="Times New Roman"/>
          <w:color w:val="auto"/>
          <w:sz w:val="32"/>
          <w:szCs w:val="32"/>
        </w:rPr>
        <w:t>投标人</w:t>
      </w:r>
      <w:r>
        <w:rPr>
          <w:rFonts w:ascii="Times New Roman" w:hAnsi="Times New Roman" w:eastAsia="方正仿宋_GBK" w:cs="Times New Roman"/>
          <w:color w:val="auto"/>
          <w:sz w:val="32"/>
          <w:szCs w:val="32"/>
          <w:lang w:val="zh-CN"/>
        </w:rPr>
        <w:t>应当按照要求在苏采云系统中提交《澄清响应函》并加盖电子公章。澄清、说明和补正的内容作为投标文件的补充部分，具体操作方式见《操作手册》。</w:t>
      </w:r>
    </w:p>
    <w:p w14:paraId="247A1514">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23.3</w:t>
      </w:r>
      <w:r>
        <w:rPr>
          <w:rFonts w:ascii="Times New Roman" w:hAnsi="Times New Roman" w:eastAsia="方正仿宋_GBK" w:cs="Times New Roman"/>
          <w:color w:val="auto"/>
          <w:sz w:val="32"/>
          <w:szCs w:val="32"/>
          <w:lang w:val="zh-CN"/>
        </w:rPr>
        <w:t xml:space="preserve"> 接到评委会澄清、说明和补正要求的，投标人如未按规定作出澄清、说明和补正，其风险由投标人自行承担。</w:t>
      </w:r>
    </w:p>
    <w:p w14:paraId="7A875CA8">
      <w:pPr>
        <w:pStyle w:val="45"/>
        <w:spacing w:before="0" w:after="0" w:line="580" w:lineRule="exact"/>
        <w:ind w:firstLine="640" w:firstLineChars="200"/>
        <w:outlineLvl w:val="9"/>
        <w:rPr>
          <w:rFonts w:ascii="Times New Roman" w:hAnsi="Times New Roman" w:eastAsia="方正仿宋_GBK" w:cs="Times New Roman"/>
          <w:b w:val="0"/>
          <w:bCs/>
          <w:color w:val="auto"/>
          <w:sz w:val="32"/>
          <w:szCs w:val="32"/>
        </w:rPr>
      </w:pPr>
      <w:bookmarkStart w:id="171" w:name="_Toc16938549"/>
      <w:bookmarkEnd w:id="171"/>
      <w:bookmarkStart w:id="172" w:name="_Toc20823305"/>
      <w:bookmarkEnd w:id="172"/>
      <w:bookmarkStart w:id="173" w:name="_Toc513029233"/>
      <w:bookmarkEnd w:id="173"/>
      <w:r>
        <w:rPr>
          <w:rFonts w:ascii="Times New Roman" w:hAnsi="Times New Roman" w:eastAsia="方正仿宋_GBK" w:cs="Times New Roman"/>
          <w:b w:val="0"/>
          <w:color w:val="auto"/>
          <w:sz w:val="32"/>
          <w:szCs w:val="32"/>
        </w:rPr>
        <w:t>24．</w:t>
      </w:r>
      <w:r>
        <w:rPr>
          <w:rFonts w:ascii="Times New Roman" w:hAnsi="Times New Roman" w:eastAsia="方正仿宋_GBK" w:cs="Times New Roman"/>
          <w:b w:val="0"/>
          <w:bCs/>
          <w:color w:val="auto"/>
          <w:sz w:val="32"/>
          <w:szCs w:val="32"/>
        </w:rPr>
        <w:t>投标文件的审查</w:t>
      </w:r>
    </w:p>
    <w:p w14:paraId="35FA824E">
      <w:pPr>
        <w:spacing w:line="580" w:lineRule="exact"/>
        <w:ind w:firstLine="640" w:firstLineChars="200"/>
        <w:rPr>
          <w:rFonts w:ascii="Times New Roman" w:hAnsi="Times New Roman" w:eastAsia="方正仿宋_GBK" w:cs="Times New Roman"/>
          <w:bCs/>
          <w:color w:val="auto"/>
          <w:sz w:val="32"/>
          <w:szCs w:val="32"/>
          <w:lang w:val="zh-CN"/>
        </w:rPr>
      </w:pPr>
      <w:r>
        <w:rPr>
          <w:rFonts w:ascii="Times New Roman" w:hAnsi="Times New Roman" w:eastAsia="方正仿宋_GBK" w:cs="Times New Roman"/>
          <w:color w:val="auto"/>
          <w:sz w:val="32"/>
          <w:szCs w:val="32"/>
        </w:rPr>
        <w:t>24.1</w:t>
      </w:r>
      <w:r>
        <w:rPr>
          <w:rFonts w:ascii="Times New Roman" w:hAnsi="Times New Roman" w:eastAsia="方正仿宋_GBK" w:cs="Times New Roman"/>
          <w:bCs/>
          <w:color w:val="auto"/>
          <w:sz w:val="32"/>
          <w:szCs w:val="32"/>
          <w:lang w:val="zh-CN"/>
        </w:rPr>
        <w:t xml:space="preserve"> 投标文件审查分为资格审查和符合性审查。</w:t>
      </w:r>
    </w:p>
    <w:p w14:paraId="6665CC1E">
      <w:pPr>
        <w:spacing w:line="580" w:lineRule="exact"/>
        <w:ind w:firstLine="640" w:firstLineChars="200"/>
        <w:rPr>
          <w:rFonts w:ascii="Times New Roman" w:hAnsi="Times New Roman" w:eastAsia="方正仿宋_GBK" w:cs="Times New Roman"/>
          <w:bCs/>
          <w:color w:val="auto"/>
          <w:sz w:val="32"/>
          <w:szCs w:val="32"/>
          <w:lang w:val="zh-CN"/>
        </w:rPr>
      </w:pPr>
      <w:r>
        <w:rPr>
          <w:rFonts w:ascii="Times New Roman" w:hAnsi="Times New Roman" w:eastAsia="方正仿宋_GBK" w:cs="Times New Roman"/>
          <w:color w:val="auto"/>
          <w:sz w:val="32"/>
          <w:szCs w:val="32"/>
        </w:rPr>
        <w:t>24.1.1</w:t>
      </w:r>
      <w:r>
        <w:rPr>
          <w:rFonts w:ascii="Times New Roman" w:hAnsi="Times New Roman" w:eastAsia="方正仿宋_GBK" w:cs="Times New Roman"/>
          <w:bCs/>
          <w:color w:val="auto"/>
          <w:sz w:val="32"/>
          <w:szCs w:val="32"/>
          <w:lang w:val="zh-CN"/>
        </w:rPr>
        <w:t xml:space="preserve"> 资格审查。依据法律法规和招标文件规定，由采购人或采购代理机构对投标文件中的资格证明文件进行审查，并向评委会反馈审查结论。</w:t>
      </w:r>
    </w:p>
    <w:p w14:paraId="454BA59E">
      <w:pPr>
        <w:spacing w:line="580" w:lineRule="exact"/>
        <w:ind w:firstLine="640" w:firstLineChars="200"/>
        <w:rPr>
          <w:rFonts w:ascii="Times New Roman" w:hAnsi="Times New Roman" w:eastAsia="方正仿宋_GBK" w:cs="Times New Roman"/>
          <w:bCs/>
          <w:color w:val="auto"/>
          <w:sz w:val="32"/>
          <w:szCs w:val="32"/>
          <w:lang w:val="zh-CN"/>
        </w:rPr>
      </w:pPr>
      <w:r>
        <w:rPr>
          <w:rFonts w:ascii="Times New Roman" w:hAnsi="Times New Roman" w:eastAsia="方正仿宋_GBK" w:cs="Times New Roman"/>
          <w:bCs/>
          <w:color w:val="auto"/>
          <w:sz w:val="32"/>
          <w:szCs w:val="32"/>
          <w:lang w:val="zh-CN"/>
        </w:rPr>
        <w:t>采购人或采购代理机构进行资格审查时，将在</w:t>
      </w:r>
      <w:r>
        <w:rPr>
          <w:rFonts w:hint="eastAsia" w:ascii="Times New Roman" w:hAnsi="Times New Roman" w:eastAsia="方正仿宋_GBK" w:cs="Times New Roman"/>
          <w:bCs/>
          <w:color w:val="auto"/>
          <w:sz w:val="32"/>
          <w:szCs w:val="32"/>
          <w:lang w:val="zh-CN"/>
        </w:rPr>
        <w:t>“</w:t>
      </w:r>
      <w:r>
        <w:rPr>
          <w:rFonts w:ascii="Times New Roman" w:hAnsi="Times New Roman" w:eastAsia="方正仿宋_GBK" w:cs="Times New Roman"/>
          <w:bCs/>
          <w:color w:val="auto"/>
          <w:sz w:val="32"/>
          <w:szCs w:val="32"/>
          <w:lang w:val="zh-CN"/>
        </w:rPr>
        <w:t>信用中国</w:t>
      </w:r>
      <w:r>
        <w:rPr>
          <w:rFonts w:hint="eastAsia" w:ascii="Times New Roman" w:hAnsi="Times New Roman" w:eastAsia="方正仿宋_GBK" w:cs="Times New Roman"/>
          <w:bCs/>
          <w:color w:val="auto"/>
          <w:sz w:val="32"/>
          <w:szCs w:val="32"/>
          <w:lang w:val="zh-CN"/>
        </w:rPr>
        <w:t>”</w:t>
      </w:r>
      <w:r>
        <w:rPr>
          <w:rFonts w:ascii="Times New Roman" w:hAnsi="Times New Roman" w:eastAsia="方正仿宋_GBK" w:cs="Times New Roman"/>
          <w:bCs/>
          <w:color w:val="auto"/>
          <w:sz w:val="32"/>
          <w:szCs w:val="32"/>
          <w:lang w:val="zh-CN"/>
        </w:rPr>
        <w:t>网站（</w:t>
      </w:r>
      <w:r>
        <w:rPr>
          <w:rFonts w:ascii="Times New Roman" w:hAnsi="Times New Roman" w:eastAsia="方正仿宋_GBK" w:cs="Times New Roman"/>
          <w:color w:val="auto"/>
          <w:sz w:val="32"/>
          <w:szCs w:val="32"/>
        </w:rPr>
        <w:t>www.creditchina.gov.cn</w:t>
      </w:r>
      <w:r>
        <w:rPr>
          <w:rFonts w:ascii="Times New Roman" w:hAnsi="Times New Roman" w:eastAsia="方正仿宋_GBK" w:cs="Times New Roman"/>
          <w:bCs/>
          <w:color w:val="auto"/>
          <w:sz w:val="32"/>
          <w:szCs w:val="32"/>
          <w:lang w:val="zh-CN"/>
        </w:rPr>
        <w:t>）查询投标人的信用记录，以确定投标人是否具备投标资格，查询结果留存并归档。</w:t>
      </w:r>
    </w:p>
    <w:p w14:paraId="5AB15910">
      <w:pPr>
        <w:spacing w:line="580" w:lineRule="exact"/>
        <w:ind w:firstLine="640" w:firstLineChars="200"/>
        <w:rPr>
          <w:rFonts w:ascii="Times New Roman" w:hAnsi="Times New Roman" w:eastAsia="方正仿宋_GBK" w:cs="Times New Roman"/>
          <w:sz w:val="32"/>
          <w:szCs w:val="32"/>
          <w:lang w:val="zh-CN"/>
        </w:rPr>
      </w:pPr>
      <w:r>
        <w:rPr>
          <w:rFonts w:ascii="Times New Roman" w:hAnsi="Times New Roman" w:eastAsia="方正仿宋_GBK" w:cs="Times New Roman"/>
          <w:bCs/>
          <w:color w:val="auto"/>
          <w:sz w:val="32"/>
          <w:szCs w:val="32"/>
          <w:lang w:val="zh-CN"/>
        </w:rPr>
        <w:t>接受联合体的项目，联合体成员存在不良信用记录的，视同联合体存在不良信用记录。</w:t>
      </w:r>
    </w:p>
    <w:p w14:paraId="021D6DFA">
      <w:pPr>
        <w:spacing w:line="580" w:lineRule="exact"/>
        <w:ind w:firstLine="640" w:firstLineChars="200"/>
        <w:rPr>
          <w:rFonts w:ascii="Times New Roman" w:hAnsi="Times New Roman" w:eastAsia="方正仿宋_GBK" w:cs="Times New Roman"/>
          <w:bCs/>
          <w:color w:val="auto"/>
          <w:sz w:val="32"/>
          <w:szCs w:val="32"/>
          <w:lang w:val="zh-CN"/>
        </w:rPr>
      </w:pPr>
      <w:r>
        <w:rPr>
          <w:rFonts w:ascii="Times New Roman" w:hAnsi="Times New Roman" w:eastAsia="方正仿宋_GBK" w:cs="Times New Roman"/>
          <w:color w:val="auto"/>
          <w:sz w:val="32"/>
          <w:szCs w:val="32"/>
        </w:rPr>
        <w:t>24.1.2</w:t>
      </w:r>
      <w:r>
        <w:rPr>
          <w:rFonts w:ascii="Times New Roman" w:hAnsi="Times New Roman" w:eastAsia="方正仿宋_GBK" w:cs="Times New Roman"/>
          <w:bCs/>
          <w:color w:val="auto"/>
          <w:sz w:val="32"/>
          <w:szCs w:val="32"/>
          <w:lang w:val="zh-CN"/>
        </w:rPr>
        <w:t xml:space="preserve"> 符合性审查。依据招标文件的规定，由评委会从有效性、完整性和对招标文件的响应程度等方面对投标文件进行审查，以确定是否对招标文件的实质性要求作出响应。</w:t>
      </w:r>
    </w:p>
    <w:p w14:paraId="3E10BF8D">
      <w:pPr>
        <w:spacing w:line="580" w:lineRule="exact"/>
        <w:ind w:firstLine="640" w:firstLineChars="200"/>
        <w:rPr>
          <w:rFonts w:ascii="Times New Roman" w:hAnsi="Times New Roman" w:eastAsia="方正仿宋_GBK" w:cs="Times New Roman"/>
          <w:bCs/>
          <w:color w:val="auto"/>
          <w:sz w:val="32"/>
          <w:szCs w:val="32"/>
          <w:lang w:val="zh-CN"/>
        </w:rPr>
      </w:pPr>
      <w:r>
        <w:rPr>
          <w:rFonts w:ascii="Times New Roman" w:hAnsi="Times New Roman" w:eastAsia="方正仿宋_GBK" w:cs="Times New Roman"/>
          <w:color w:val="auto"/>
          <w:sz w:val="32"/>
          <w:szCs w:val="32"/>
        </w:rPr>
        <w:t>24.1.3</w:t>
      </w:r>
      <w:r>
        <w:rPr>
          <w:rFonts w:ascii="Times New Roman" w:hAnsi="Times New Roman" w:eastAsia="方正仿宋_GBK" w:cs="Times New Roman"/>
          <w:bCs/>
          <w:color w:val="auto"/>
          <w:sz w:val="32"/>
          <w:szCs w:val="32"/>
          <w:lang w:val="zh-CN"/>
        </w:rPr>
        <w:t xml:space="preserve"> 未通过资格审查或符合性审查的投标人，采购代理机构将通过苏采云系统告知其具体原因，评标结束后不再接受有关询问。</w:t>
      </w:r>
    </w:p>
    <w:p w14:paraId="239152C0">
      <w:pPr>
        <w:spacing w:line="580" w:lineRule="exact"/>
        <w:ind w:firstLine="640" w:firstLineChars="200"/>
        <w:rPr>
          <w:rFonts w:ascii="Times New Roman" w:hAnsi="Times New Roman" w:eastAsia="方正仿宋_GBK" w:cs="Times New Roman"/>
          <w:bCs/>
          <w:color w:val="auto"/>
          <w:sz w:val="32"/>
          <w:szCs w:val="32"/>
          <w:lang w:val="zh-CN"/>
        </w:rPr>
      </w:pPr>
      <w:r>
        <w:rPr>
          <w:rFonts w:ascii="Times New Roman" w:hAnsi="Times New Roman" w:eastAsia="方正仿宋_GBK" w:cs="Times New Roman"/>
          <w:color w:val="auto"/>
          <w:sz w:val="32"/>
          <w:szCs w:val="32"/>
        </w:rPr>
        <w:t xml:space="preserve">24.2 </w:t>
      </w:r>
      <w:r>
        <w:rPr>
          <w:rFonts w:ascii="Times New Roman" w:hAnsi="Times New Roman" w:eastAsia="方正仿宋_GBK" w:cs="Times New Roman"/>
          <w:bCs/>
          <w:color w:val="auto"/>
          <w:sz w:val="32"/>
          <w:szCs w:val="32"/>
          <w:lang w:val="zh-CN"/>
        </w:rPr>
        <w:t>评委会仅对实质性响应招标文件要求的投标文件进行详细评审。实质性响应的投标文件应该是与招标文件要求的全部条款、条件和规格相符，没有重大偏离或保留的文件。</w:t>
      </w:r>
    </w:p>
    <w:p w14:paraId="19206805">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bCs/>
          <w:color w:val="auto"/>
          <w:sz w:val="32"/>
          <w:szCs w:val="32"/>
          <w:lang w:val="zh-CN"/>
        </w:rPr>
        <w:t>所谓重大偏离或保留是指与招标文件规定的实质性要求存在负偏离，或者在实质上与招标文件不一致，而且限制了合同</w:t>
      </w:r>
      <w:r>
        <w:rPr>
          <w:rFonts w:ascii="Times New Roman" w:hAnsi="Times New Roman" w:eastAsia="方正仿宋_GBK" w:cs="Times New Roman"/>
          <w:color w:val="auto"/>
          <w:sz w:val="32"/>
          <w:szCs w:val="32"/>
          <w:lang w:val="zh-CN"/>
        </w:rPr>
        <w:t>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p>
    <w:p w14:paraId="0B433A3F">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 xml:space="preserve">24.3 </w:t>
      </w:r>
      <w:r>
        <w:rPr>
          <w:rFonts w:ascii="Times New Roman" w:hAnsi="Times New Roman" w:eastAsia="方正仿宋_GBK" w:cs="Times New Roman"/>
          <w:color w:val="auto"/>
          <w:sz w:val="32"/>
          <w:szCs w:val="32"/>
          <w:lang w:val="zh-CN"/>
        </w:rPr>
        <w:t>如果投标文件实质上没有响应招标文件的要求，评委会将予以拒绝，投标人不得通过修改或撤销不合要求的偏离或保留而使其投标成为实质性响应的投标。</w:t>
      </w:r>
    </w:p>
    <w:p w14:paraId="2D1E3FBB">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 xml:space="preserve">24.4 </w:t>
      </w:r>
      <w:r>
        <w:rPr>
          <w:rFonts w:ascii="Times New Roman" w:hAnsi="Times New Roman" w:eastAsia="方正仿宋_GBK" w:cs="Times New Roman"/>
          <w:color w:val="auto"/>
          <w:sz w:val="32"/>
          <w:szCs w:val="32"/>
          <w:lang w:val="zh-CN"/>
        </w:rPr>
        <w:t>评委会将对确定为实质性响应的投标进行进一步审核，确定其是否有计算上或累加上的算术错误。修正错误的原则如下：</w:t>
      </w:r>
    </w:p>
    <w:p w14:paraId="7C7FAF4A">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lang w:val="zh-CN"/>
        </w:rPr>
        <w:t>（</w:t>
      </w:r>
      <w:r>
        <w:rPr>
          <w:rFonts w:ascii="Times New Roman" w:hAnsi="Times New Roman" w:eastAsia="方正仿宋_GBK" w:cs="Times New Roman"/>
          <w:color w:val="auto"/>
          <w:sz w:val="32"/>
          <w:szCs w:val="32"/>
        </w:rPr>
        <w:t>1</w:t>
      </w:r>
      <w:r>
        <w:rPr>
          <w:rFonts w:ascii="Times New Roman" w:hAnsi="Times New Roman" w:eastAsia="方正仿宋_GBK" w:cs="Times New Roman"/>
          <w:color w:val="auto"/>
          <w:sz w:val="32"/>
          <w:szCs w:val="32"/>
          <w:lang w:val="zh-CN"/>
        </w:rPr>
        <w:t>）投标文件中开标一览表内容与投标文件中相应内容不一致的，以开标一览表为准；</w:t>
      </w:r>
    </w:p>
    <w:p w14:paraId="4974993A">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lang w:val="zh-CN"/>
        </w:rPr>
        <w:t>（</w:t>
      </w:r>
      <w:r>
        <w:rPr>
          <w:rFonts w:ascii="Times New Roman" w:hAnsi="Times New Roman" w:eastAsia="方正仿宋_GBK" w:cs="Times New Roman"/>
          <w:color w:val="auto"/>
          <w:sz w:val="32"/>
          <w:szCs w:val="32"/>
        </w:rPr>
        <w:t>2</w:t>
      </w:r>
      <w:r>
        <w:rPr>
          <w:rFonts w:ascii="Times New Roman" w:hAnsi="Times New Roman" w:eastAsia="方正仿宋_GBK" w:cs="Times New Roman"/>
          <w:color w:val="auto"/>
          <w:sz w:val="32"/>
          <w:szCs w:val="32"/>
          <w:lang w:val="zh-CN"/>
        </w:rPr>
        <w:t>）大写金额和小写金额不一致的，以大写金额为准；</w:t>
      </w:r>
    </w:p>
    <w:p w14:paraId="19271CEA">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lang w:val="zh-CN"/>
        </w:rPr>
        <w:t>（</w:t>
      </w:r>
      <w:r>
        <w:rPr>
          <w:rFonts w:ascii="Times New Roman" w:hAnsi="Times New Roman" w:eastAsia="方正仿宋_GBK" w:cs="Times New Roman"/>
          <w:color w:val="auto"/>
          <w:sz w:val="32"/>
          <w:szCs w:val="32"/>
        </w:rPr>
        <w:t>3</w:t>
      </w:r>
      <w:r>
        <w:rPr>
          <w:rFonts w:ascii="Times New Roman" w:hAnsi="Times New Roman" w:eastAsia="方正仿宋_GBK" w:cs="Times New Roman"/>
          <w:color w:val="auto"/>
          <w:sz w:val="32"/>
          <w:szCs w:val="32"/>
          <w:lang w:val="zh-CN"/>
        </w:rPr>
        <w:t>）单价金额小数点或者百分比有明显错位的，以开标一览表的总价为准，并修改单价；</w:t>
      </w:r>
    </w:p>
    <w:p w14:paraId="0C8D047E">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lang w:val="zh-CN"/>
        </w:rPr>
        <w:t>（</w:t>
      </w:r>
      <w:r>
        <w:rPr>
          <w:rFonts w:ascii="Times New Roman" w:hAnsi="Times New Roman" w:eastAsia="方正仿宋_GBK" w:cs="Times New Roman"/>
          <w:color w:val="auto"/>
          <w:sz w:val="32"/>
          <w:szCs w:val="32"/>
        </w:rPr>
        <w:t>4</w:t>
      </w:r>
      <w:r>
        <w:rPr>
          <w:rFonts w:ascii="Times New Roman" w:hAnsi="Times New Roman" w:eastAsia="方正仿宋_GBK" w:cs="Times New Roman"/>
          <w:color w:val="auto"/>
          <w:sz w:val="32"/>
          <w:szCs w:val="32"/>
          <w:lang w:val="zh-CN"/>
        </w:rPr>
        <w:t>）总价金额与按单价汇总金额不一致的，以单价金额计算结果为准。</w:t>
      </w:r>
    </w:p>
    <w:p w14:paraId="18F21431">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lang w:val="zh-CN"/>
        </w:rPr>
        <w:t>同时出现两种以上错误的，按照前款规定的顺序修正。</w:t>
      </w:r>
    </w:p>
    <w:p w14:paraId="19FD5B0B">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24.5</w:t>
      </w:r>
      <w:r>
        <w:rPr>
          <w:rFonts w:ascii="Times New Roman" w:hAnsi="Times New Roman" w:eastAsia="方正仿宋_GBK" w:cs="Times New Roman"/>
          <w:color w:val="auto"/>
          <w:sz w:val="32"/>
          <w:szCs w:val="32"/>
          <w:lang w:val="zh-CN"/>
        </w:rPr>
        <w:t xml:space="preserve"> 评委会将按上述修正错误的方法调整投标文件中的投标报价，并通过苏采云系统告知投标人，调整后的价格对投标人具有约束力。如果投标人不接受修正后的价格，则其投标将被拒绝。</w:t>
      </w:r>
    </w:p>
    <w:p w14:paraId="2995345C">
      <w:pPr>
        <w:spacing w:line="580" w:lineRule="exact"/>
        <w:ind w:firstLine="640" w:firstLineChars="20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24.6政府采购评审过程中出现下列情形之一的，评审委员会应当启动异常低价投标（响应）审查程序：</w:t>
      </w:r>
    </w:p>
    <w:p w14:paraId="3EB0F2B1">
      <w:pPr>
        <w:spacing w:line="580" w:lineRule="exact"/>
        <w:ind w:firstLine="640" w:firstLineChars="20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（1）投标（响应）报价低于全部通过符合性审查供应商投标（响应）报价平均值50%的，即投标（响应）报价&lt;全部通过符合性审查供应商投标（响应）报价平均值×50%；</w:t>
      </w:r>
    </w:p>
    <w:p w14:paraId="463641AF">
      <w:pPr>
        <w:spacing w:line="580" w:lineRule="exact"/>
        <w:ind w:firstLine="640" w:firstLineChars="20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（2）投标（响应）报价低于通过符合性审查的次低报价供应商投标（响应）报价50%的，即投标（响应）报价&lt;通过符合性审查的次低报价供应商投标（响应）报价×50%；</w:t>
      </w:r>
    </w:p>
    <w:p w14:paraId="599D7E5E">
      <w:pPr>
        <w:spacing w:line="580" w:lineRule="exact"/>
        <w:ind w:firstLine="640" w:firstLineChars="20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（3）投标（响应）报价低于采购项目最高限价45%的，即投标（响应）报价&lt;采购项目最高限价×45%；</w:t>
      </w:r>
    </w:p>
    <w:p w14:paraId="6B29C257">
      <w:pPr>
        <w:spacing w:line="580" w:lineRule="exact"/>
        <w:ind w:firstLine="640" w:firstLineChars="20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（4）评审委员会基于专业判断，认为供应商报价过低，有可能影响产品质量或者不能诚信履约的其他情形。</w:t>
      </w:r>
    </w:p>
    <w:p w14:paraId="4E3F5511">
      <w:pPr>
        <w:spacing w:line="580" w:lineRule="exact"/>
        <w:ind w:firstLine="640" w:firstLineChars="20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150C2552">
      <w:pPr>
        <w:spacing w:line="580" w:lineRule="exact"/>
        <w:ind w:firstLine="640" w:firstLineChars="20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79A742A">
      <w:pPr>
        <w:spacing w:line="580" w:lineRule="exact"/>
        <w:ind w:firstLine="640" w:firstLineChars="200"/>
        <w:rPr>
          <w:rFonts w:ascii="Times New Roman" w:hAnsi="Times New Roman" w:eastAsia="方正仿宋_GBK" w:cs="Times New Roman"/>
          <w:color w:val="auto"/>
          <w:sz w:val="32"/>
          <w:szCs w:val="32"/>
          <w:lang w:val="zh-CN"/>
        </w:rPr>
      </w:pPr>
      <w:bookmarkStart w:id="174" w:name="_Toc513029234"/>
      <w:bookmarkEnd w:id="174"/>
      <w:bookmarkStart w:id="175" w:name="_Toc16938550"/>
      <w:bookmarkEnd w:id="175"/>
      <w:bookmarkStart w:id="176" w:name="_Toc20823306"/>
      <w:bookmarkEnd w:id="176"/>
      <w:r>
        <w:rPr>
          <w:rFonts w:ascii="Times New Roman" w:hAnsi="Times New Roman" w:eastAsia="方正仿宋_GBK" w:cs="Times New Roman"/>
          <w:color w:val="auto"/>
          <w:sz w:val="32"/>
          <w:szCs w:val="32"/>
        </w:rPr>
        <w:t xml:space="preserve">24.7 </w:t>
      </w:r>
      <w:r>
        <w:rPr>
          <w:rFonts w:ascii="Times New Roman" w:hAnsi="Times New Roman" w:eastAsia="方正仿宋_GBK" w:cs="Times New Roman"/>
          <w:color w:val="auto"/>
          <w:sz w:val="32"/>
          <w:szCs w:val="32"/>
          <w:lang w:val="zh-CN"/>
        </w:rPr>
        <w:t>投标人在开、评标全过程中应保持通讯畅通，及时登录苏采云系统查阅、答复相关信息，并安排专人与采购代理机构及评委会联系。</w:t>
      </w:r>
    </w:p>
    <w:p w14:paraId="6B672774">
      <w:pPr>
        <w:pStyle w:val="45"/>
        <w:spacing w:before="0" w:after="0" w:line="580" w:lineRule="exact"/>
        <w:ind w:firstLine="640" w:firstLineChars="200"/>
        <w:outlineLvl w:val="9"/>
        <w:rPr>
          <w:rFonts w:ascii="Times New Roman" w:hAnsi="Times New Roman" w:eastAsia="方正仿宋_GBK" w:cs="Times New Roman"/>
          <w:b w:val="0"/>
          <w:bCs/>
          <w:color w:val="auto"/>
          <w:sz w:val="32"/>
          <w:szCs w:val="32"/>
        </w:rPr>
      </w:pPr>
      <w:r>
        <w:rPr>
          <w:rFonts w:ascii="Times New Roman" w:hAnsi="Times New Roman" w:eastAsia="方正仿宋_GBK" w:cs="Times New Roman"/>
          <w:b w:val="0"/>
          <w:color w:val="auto"/>
          <w:sz w:val="32"/>
          <w:szCs w:val="32"/>
        </w:rPr>
        <w:t>25．</w:t>
      </w:r>
      <w:r>
        <w:rPr>
          <w:rFonts w:ascii="Times New Roman" w:hAnsi="Times New Roman" w:eastAsia="方正仿宋_GBK" w:cs="Times New Roman"/>
          <w:b w:val="0"/>
          <w:bCs/>
          <w:color w:val="auto"/>
          <w:sz w:val="32"/>
          <w:szCs w:val="32"/>
        </w:rPr>
        <w:t>无效投标和废标</w:t>
      </w:r>
    </w:p>
    <w:p w14:paraId="6F616FD2">
      <w:pPr>
        <w:spacing w:line="580" w:lineRule="exact"/>
        <w:ind w:firstLine="640" w:firstLineChars="200"/>
        <w:rPr>
          <w:rFonts w:ascii="Times New Roman" w:hAnsi="Times New Roman" w:eastAsia="方正仿宋_GBK" w:cs="Times New Roman"/>
          <w:color w:val="auto"/>
          <w:sz w:val="32"/>
          <w:szCs w:val="32"/>
          <w:lang w:val="zh-CN"/>
        </w:rPr>
      </w:pPr>
      <w:bookmarkStart w:id="177" w:name="_Toc16938551"/>
      <w:bookmarkEnd w:id="177"/>
      <w:bookmarkStart w:id="178" w:name="_Toc513029235"/>
      <w:bookmarkEnd w:id="178"/>
      <w:bookmarkStart w:id="179" w:name="_Toc20823307"/>
      <w:bookmarkEnd w:id="179"/>
      <w:r>
        <w:rPr>
          <w:rFonts w:ascii="Times New Roman" w:hAnsi="Times New Roman" w:eastAsia="方正仿宋_GBK" w:cs="Times New Roman"/>
          <w:color w:val="auto"/>
          <w:sz w:val="32"/>
          <w:szCs w:val="32"/>
        </w:rPr>
        <w:t xml:space="preserve">25.1 </w:t>
      </w:r>
      <w:r>
        <w:rPr>
          <w:rFonts w:ascii="Times New Roman" w:hAnsi="Times New Roman" w:eastAsia="方正仿宋_GBK" w:cs="Times New Roman"/>
          <w:color w:val="auto"/>
          <w:sz w:val="32"/>
          <w:szCs w:val="32"/>
          <w:lang w:val="zh-CN"/>
        </w:rPr>
        <w:t>无效投标条款</w:t>
      </w:r>
    </w:p>
    <w:p w14:paraId="080BADAC">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 xml:space="preserve">25.1.1 </w:t>
      </w:r>
      <w:r>
        <w:rPr>
          <w:rFonts w:ascii="Times New Roman" w:hAnsi="Times New Roman" w:eastAsia="方正仿宋_GBK" w:cs="Times New Roman"/>
          <w:color w:val="auto"/>
          <w:sz w:val="32"/>
          <w:szCs w:val="32"/>
          <w:lang w:val="zh-CN"/>
        </w:rPr>
        <w:t>投标人在苏采云系统规定的时间内未成功解密电子投标文件。</w:t>
      </w:r>
    </w:p>
    <w:p w14:paraId="431265FE">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 xml:space="preserve">25.1.2 </w:t>
      </w:r>
      <w:r>
        <w:rPr>
          <w:rFonts w:ascii="Times New Roman" w:hAnsi="Times New Roman" w:eastAsia="方正仿宋_GBK" w:cs="Times New Roman"/>
          <w:color w:val="auto"/>
          <w:sz w:val="32"/>
          <w:szCs w:val="32"/>
          <w:lang w:val="zh-CN"/>
        </w:rPr>
        <w:t>投标人未按照招标文件要求上传电子投标文件。</w:t>
      </w:r>
    </w:p>
    <w:p w14:paraId="33DF9831">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 xml:space="preserve">25.1.3 </w:t>
      </w:r>
      <w:r>
        <w:rPr>
          <w:rFonts w:ascii="Times New Roman" w:hAnsi="Times New Roman" w:eastAsia="方正仿宋_GBK" w:cs="Times New Roman"/>
          <w:color w:val="auto"/>
          <w:sz w:val="32"/>
          <w:szCs w:val="32"/>
          <w:lang w:val="zh-CN"/>
        </w:rPr>
        <w:t>同一投标人提交两个（含两个）以上不同的投标报价。</w:t>
      </w:r>
    </w:p>
    <w:p w14:paraId="23DE5E41">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 xml:space="preserve">25.1.4 </w:t>
      </w:r>
      <w:r>
        <w:rPr>
          <w:rFonts w:ascii="Times New Roman" w:hAnsi="Times New Roman" w:eastAsia="方正仿宋_GBK" w:cs="Times New Roman"/>
          <w:color w:val="auto"/>
          <w:sz w:val="32"/>
          <w:szCs w:val="32"/>
          <w:lang w:val="zh-CN"/>
        </w:rPr>
        <w:t>投标人不具备招标文件中规定资格要求。</w:t>
      </w:r>
    </w:p>
    <w:p w14:paraId="24D29DE9">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 xml:space="preserve">25.1.5 </w:t>
      </w:r>
      <w:r>
        <w:rPr>
          <w:rFonts w:ascii="Times New Roman" w:hAnsi="Times New Roman" w:eastAsia="方正仿宋_GBK" w:cs="Times New Roman"/>
          <w:color w:val="auto"/>
          <w:sz w:val="32"/>
          <w:szCs w:val="32"/>
          <w:lang w:val="zh-CN"/>
        </w:rPr>
        <w:t>投标人的报价超过了采购预算或最高限价。</w:t>
      </w:r>
    </w:p>
    <w:p w14:paraId="3F00B342">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 xml:space="preserve">25.1.6 </w:t>
      </w:r>
      <w:r>
        <w:rPr>
          <w:rFonts w:ascii="Times New Roman" w:hAnsi="Times New Roman" w:eastAsia="方正仿宋_GBK" w:cs="Times New Roman"/>
          <w:color w:val="auto"/>
          <w:sz w:val="32"/>
          <w:szCs w:val="32"/>
          <w:lang w:val="zh-CN"/>
        </w:rPr>
        <w:t>未通过符合性审查。</w:t>
      </w:r>
    </w:p>
    <w:p w14:paraId="18E9CCFC">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 xml:space="preserve">25.1.7 </w:t>
      </w:r>
      <w:r>
        <w:rPr>
          <w:rFonts w:ascii="Times New Roman" w:hAnsi="Times New Roman" w:eastAsia="方正仿宋_GBK" w:cs="Times New Roman"/>
          <w:color w:val="auto"/>
          <w:sz w:val="32"/>
          <w:szCs w:val="32"/>
          <w:lang w:val="zh-CN"/>
        </w:rPr>
        <w:t>不符合招标文件中实质性要求和条件</w:t>
      </w:r>
      <w:r>
        <w:rPr>
          <w:rFonts w:ascii="Times New Roman" w:hAnsi="Times New Roman" w:eastAsia="方正仿宋_GBK" w:cs="Times New Roman"/>
          <w:iCs/>
          <w:color w:val="auto"/>
          <w:sz w:val="32"/>
          <w:szCs w:val="32"/>
          <w:lang w:val="zh-CN"/>
        </w:rPr>
        <w:t>。</w:t>
      </w:r>
    </w:p>
    <w:p w14:paraId="5C69A980">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 xml:space="preserve">25.1.8 </w:t>
      </w:r>
      <w:r>
        <w:rPr>
          <w:rFonts w:ascii="Times New Roman" w:hAnsi="Times New Roman" w:eastAsia="方正仿宋_GBK" w:cs="Times New Roman"/>
          <w:color w:val="auto"/>
          <w:sz w:val="32"/>
          <w:szCs w:val="32"/>
          <w:lang w:val="zh-CN"/>
        </w:rPr>
        <w:t>投标人被</w:t>
      </w:r>
      <w:r>
        <w:rPr>
          <w:rFonts w:hint="eastAsia" w:ascii="Times New Roman" w:hAnsi="Times New Roman" w:eastAsia="方正仿宋_GBK" w:cs="Times New Roman"/>
          <w:color w:val="auto"/>
          <w:sz w:val="32"/>
          <w:szCs w:val="32"/>
          <w:lang w:val="zh-CN"/>
        </w:rPr>
        <w:t>“</w:t>
      </w:r>
      <w:r>
        <w:rPr>
          <w:rFonts w:ascii="Times New Roman" w:hAnsi="Times New Roman" w:eastAsia="方正仿宋_GBK" w:cs="Times New Roman"/>
          <w:color w:val="auto"/>
          <w:sz w:val="32"/>
          <w:szCs w:val="32"/>
          <w:lang w:val="zh-CN"/>
        </w:rPr>
        <w:t>信用中国</w:t>
      </w:r>
      <w:r>
        <w:rPr>
          <w:rFonts w:hint="eastAsia" w:ascii="Times New Roman" w:hAnsi="Times New Roman" w:eastAsia="方正仿宋_GBK" w:cs="Times New Roman"/>
          <w:color w:val="auto"/>
          <w:sz w:val="32"/>
          <w:szCs w:val="32"/>
          <w:lang w:val="zh-CN"/>
        </w:rPr>
        <w:t>”</w:t>
      </w:r>
      <w:r>
        <w:rPr>
          <w:rFonts w:ascii="Times New Roman" w:hAnsi="Times New Roman" w:eastAsia="方正仿宋_GBK" w:cs="Times New Roman"/>
          <w:color w:val="auto"/>
          <w:sz w:val="32"/>
          <w:szCs w:val="32"/>
          <w:lang w:val="zh-CN"/>
        </w:rPr>
        <w:t>网站</w:t>
      </w:r>
      <w:r>
        <w:rPr>
          <w:rFonts w:ascii="Times New Roman" w:hAnsi="Times New Roman" w:eastAsia="方正仿宋_GBK" w:cs="Times New Roman"/>
          <w:color w:val="auto"/>
          <w:sz w:val="28"/>
          <w:szCs w:val="28"/>
          <w:lang w:val="zh-CN"/>
        </w:rPr>
        <w:t>（</w:t>
      </w:r>
      <w:r>
        <w:rPr>
          <w:rFonts w:ascii="Times New Roman" w:hAnsi="Times New Roman" w:eastAsia="方正仿宋_GBK" w:cs="Times New Roman"/>
          <w:color w:val="auto"/>
          <w:sz w:val="28"/>
          <w:szCs w:val="28"/>
        </w:rPr>
        <w:t>www.creditchina.gov.cn</w:t>
      </w:r>
      <w:r>
        <w:rPr>
          <w:rFonts w:ascii="Times New Roman" w:hAnsi="Times New Roman" w:eastAsia="方正仿宋_GBK" w:cs="Times New Roman"/>
          <w:color w:val="auto"/>
          <w:sz w:val="28"/>
          <w:szCs w:val="28"/>
          <w:lang w:val="zh-CN"/>
        </w:rPr>
        <w:t>）</w:t>
      </w:r>
      <w:r>
        <w:rPr>
          <w:rFonts w:ascii="Times New Roman" w:hAnsi="Times New Roman" w:eastAsia="方正仿宋_GBK" w:cs="Times New Roman"/>
          <w:color w:val="auto"/>
          <w:sz w:val="32"/>
          <w:szCs w:val="32"/>
          <w:lang w:val="zh-CN"/>
        </w:rPr>
        <w:t>列入失信被执行人或重大税收违法案件当事人名单或政府采购严重失信行为记录名单。或查询</w:t>
      </w:r>
      <w:r>
        <w:rPr>
          <w:rFonts w:hint="eastAsia" w:ascii="Times New Roman" w:hAnsi="Times New Roman" w:eastAsia="方正仿宋_GBK" w:cs="Times New Roman"/>
          <w:color w:val="auto"/>
          <w:sz w:val="32"/>
          <w:szCs w:val="32"/>
          <w:lang w:val="zh-CN"/>
        </w:rPr>
        <w:t>“</w:t>
      </w:r>
      <w:r>
        <w:rPr>
          <w:rFonts w:ascii="Times New Roman" w:hAnsi="Times New Roman" w:eastAsia="方正仿宋_GBK" w:cs="Times New Roman"/>
          <w:color w:val="auto"/>
          <w:sz w:val="32"/>
          <w:szCs w:val="32"/>
          <w:lang w:val="zh-CN"/>
        </w:rPr>
        <w:t>信用中国</w:t>
      </w:r>
      <w:r>
        <w:rPr>
          <w:rFonts w:hint="eastAsia" w:ascii="Times New Roman" w:hAnsi="Times New Roman" w:eastAsia="方正仿宋_GBK" w:cs="Times New Roman"/>
          <w:color w:val="auto"/>
          <w:sz w:val="32"/>
          <w:szCs w:val="32"/>
          <w:lang w:val="zh-CN"/>
        </w:rPr>
        <w:t>”</w:t>
      </w:r>
      <w:r>
        <w:rPr>
          <w:rFonts w:ascii="Times New Roman" w:hAnsi="Times New Roman" w:eastAsia="方正仿宋_GBK" w:cs="Times New Roman"/>
          <w:color w:val="auto"/>
          <w:sz w:val="32"/>
          <w:szCs w:val="32"/>
          <w:lang w:val="zh-CN"/>
        </w:rPr>
        <w:t>网站后发现投标人存在其他不符合《中华人民共和国政府采购法》第二十二条规定条件的信用记录。</w:t>
      </w:r>
    </w:p>
    <w:p w14:paraId="5C98780D">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 xml:space="preserve">25.1.9 </w:t>
      </w:r>
      <w:r>
        <w:rPr>
          <w:rFonts w:ascii="Times New Roman" w:hAnsi="Times New Roman" w:eastAsia="方正仿宋_GBK" w:cs="Times New Roman"/>
          <w:color w:val="auto"/>
          <w:sz w:val="32"/>
          <w:szCs w:val="32"/>
          <w:lang w:val="zh-CN"/>
        </w:rPr>
        <w:t>投标文件含有采购人不能接受的附加条件。</w:t>
      </w:r>
    </w:p>
    <w:p w14:paraId="604281C8">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 xml:space="preserve">25.1.10 </w:t>
      </w:r>
      <w:r>
        <w:rPr>
          <w:rFonts w:ascii="Times New Roman" w:hAnsi="Times New Roman" w:eastAsia="方正仿宋_GBK" w:cs="Times New Roman"/>
          <w:color w:val="auto"/>
          <w:sz w:val="32"/>
          <w:szCs w:val="32"/>
          <w:lang w:val="zh-CN"/>
        </w:rPr>
        <w:t>评委会认为投标人的报价明显低于其他通过符合性审查投标人的报价，有可能影响</w:t>
      </w:r>
      <w:r>
        <w:rPr>
          <w:rFonts w:ascii="Times New Roman" w:hAnsi="Times New Roman" w:eastAsia="方正仿宋_GBK" w:cs="Times New Roman"/>
          <w:color w:val="auto"/>
          <w:sz w:val="32"/>
          <w:szCs w:val="32"/>
        </w:rPr>
        <w:t>服务</w:t>
      </w:r>
      <w:r>
        <w:rPr>
          <w:rFonts w:ascii="Times New Roman" w:hAnsi="Times New Roman" w:eastAsia="方正仿宋_GBK" w:cs="Times New Roman"/>
          <w:color w:val="auto"/>
          <w:sz w:val="32"/>
          <w:szCs w:val="32"/>
          <w:lang w:val="zh-CN"/>
        </w:rPr>
        <w:t>质量或者不能诚信履约的，将通过苏采云系统要求其在合理的时间内提供说明，必要时提交相关证明材料。投标人不能证明其报价合理性的，评委会应当将其作为无效投标处理。</w:t>
      </w:r>
    </w:p>
    <w:p w14:paraId="44E9234C">
      <w:pPr>
        <w:spacing w:line="580" w:lineRule="exact"/>
        <w:ind w:firstLine="640" w:firstLineChars="20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25.1.11</w:t>
      </w:r>
      <w:r>
        <w:rPr>
          <w:rFonts w:hint="eastAsia" w:ascii="Times New Roman" w:hAnsi="Times New Roman" w:eastAsia="方正仿宋_GBK" w:cs="Times New Roman"/>
          <w:color w:val="auto"/>
          <w:sz w:val="32"/>
          <w:szCs w:val="32"/>
        </w:rPr>
        <w:t xml:space="preserve"> </w:t>
      </w:r>
      <w:r>
        <w:rPr>
          <w:rFonts w:ascii="Times New Roman" w:hAnsi="Times New Roman" w:eastAsia="方正仿宋_GBK" w:cs="Times New Roman"/>
          <w:color w:val="auto"/>
          <w:sz w:val="32"/>
          <w:szCs w:val="32"/>
          <w:lang w:val="zh-CN"/>
        </w:rPr>
        <w:t>投标文件未按照招标文件要求加盖电子公章。</w:t>
      </w:r>
    </w:p>
    <w:p w14:paraId="3EFBE191">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 xml:space="preserve">25.1.12 </w:t>
      </w:r>
      <w:r>
        <w:rPr>
          <w:rFonts w:ascii="Times New Roman" w:hAnsi="Times New Roman" w:eastAsia="方正仿宋_GBK" w:cs="Times New Roman"/>
          <w:color w:val="auto"/>
          <w:sz w:val="32"/>
          <w:szCs w:val="32"/>
          <w:lang w:val="zh-CN"/>
        </w:rPr>
        <w:t>法律法规及本招标文件规定的</w:t>
      </w:r>
      <w:r>
        <w:rPr>
          <w:rFonts w:ascii="Times New Roman" w:hAnsi="Times New Roman" w:eastAsia="方正仿宋_GBK" w:cs="Times New Roman"/>
          <w:color w:val="auto"/>
          <w:sz w:val="32"/>
          <w:szCs w:val="32"/>
        </w:rPr>
        <w:t>其他</w:t>
      </w:r>
      <w:r>
        <w:rPr>
          <w:rFonts w:ascii="Times New Roman" w:hAnsi="Times New Roman" w:eastAsia="方正仿宋_GBK" w:cs="Times New Roman"/>
          <w:color w:val="auto"/>
          <w:sz w:val="32"/>
          <w:szCs w:val="32"/>
          <w:lang w:val="zh-CN"/>
        </w:rPr>
        <w:t>无效投标情形。</w:t>
      </w:r>
    </w:p>
    <w:p w14:paraId="6009520A">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 xml:space="preserve">25.2 </w:t>
      </w:r>
      <w:r>
        <w:rPr>
          <w:rFonts w:ascii="Times New Roman" w:hAnsi="Times New Roman" w:eastAsia="方正仿宋_GBK" w:cs="Times New Roman"/>
          <w:color w:val="auto"/>
          <w:sz w:val="32"/>
          <w:szCs w:val="32"/>
          <w:lang w:val="zh-CN"/>
        </w:rPr>
        <w:t>废标条款</w:t>
      </w:r>
    </w:p>
    <w:p w14:paraId="609D25B8">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 xml:space="preserve">25.2.1 </w:t>
      </w:r>
      <w:r>
        <w:rPr>
          <w:rFonts w:ascii="Times New Roman" w:hAnsi="Times New Roman" w:eastAsia="方正仿宋_GBK" w:cs="Times New Roman"/>
          <w:color w:val="auto"/>
          <w:sz w:val="32"/>
          <w:szCs w:val="32"/>
          <w:lang w:val="zh-CN"/>
        </w:rPr>
        <w:t>符合资格条件的投标人或者对招标文件作实质响应的投标人不足三家。</w:t>
      </w:r>
    </w:p>
    <w:p w14:paraId="07BCE6C1">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 xml:space="preserve">25.2.2 </w:t>
      </w:r>
      <w:r>
        <w:rPr>
          <w:rFonts w:ascii="Times New Roman" w:hAnsi="Times New Roman" w:eastAsia="方正仿宋_GBK" w:cs="Times New Roman"/>
          <w:color w:val="auto"/>
          <w:sz w:val="32"/>
          <w:szCs w:val="32"/>
          <w:lang w:val="zh-CN"/>
        </w:rPr>
        <w:t>出现影响采购公正的违法、违规行为。</w:t>
      </w:r>
    </w:p>
    <w:p w14:paraId="74ED2498">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 xml:space="preserve">25.2.3 </w:t>
      </w:r>
      <w:r>
        <w:rPr>
          <w:rFonts w:ascii="Times New Roman" w:hAnsi="Times New Roman" w:eastAsia="方正仿宋_GBK" w:cs="Times New Roman"/>
          <w:color w:val="auto"/>
          <w:sz w:val="32"/>
          <w:szCs w:val="32"/>
          <w:lang w:val="zh-CN"/>
        </w:rPr>
        <w:t>因重大变故采购任务取消。</w:t>
      </w:r>
    </w:p>
    <w:p w14:paraId="48A1DB0C">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 xml:space="preserve">25.2.4 </w:t>
      </w:r>
      <w:r>
        <w:rPr>
          <w:rFonts w:ascii="Times New Roman" w:hAnsi="Times New Roman" w:eastAsia="方正仿宋_GBK" w:cs="Times New Roman"/>
          <w:color w:val="auto"/>
          <w:sz w:val="32"/>
          <w:szCs w:val="32"/>
          <w:lang w:val="zh-CN"/>
        </w:rPr>
        <w:t>评委会认定招标文件存在歧义、重大缺陷导致评审工作无法进行。</w:t>
      </w:r>
    </w:p>
    <w:p w14:paraId="045D30B5">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 xml:space="preserve">25.2.5 </w:t>
      </w:r>
      <w:r>
        <w:rPr>
          <w:rFonts w:ascii="Times New Roman" w:hAnsi="Times New Roman" w:eastAsia="方正仿宋_GBK" w:cs="Times New Roman"/>
          <w:color w:val="auto"/>
          <w:sz w:val="32"/>
          <w:szCs w:val="32"/>
          <w:lang w:val="zh-CN"/>
        </w:rPr>
        <w:t>因苏采云系统故障造成开标不成功。</w:t>
      </w:r>
    </w:p>
    <w:p w14:paraId="06223EF6">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25.3</w:t>
      </w:r>
      <w:r>
        <w:rPr>
          <w:rFonts w:ascii="Times New Roman" w:hAnsi="Times New Roman" w:eastAsia="方正仿宋_GBK" w:cs="Times New Roman"/>
          <w:color w:val="auto"/>
          <w:sz w:val="32"/>
          <w:szCs w:val="32"/>
          <w:lang w:val="zh-CN"/>
        </w:rPr>
        <w:t xml:space="preserve"> 如出现投标截止时间后参加投标的投标人或者对招标文件作出实质</w:t>
      </w:r>
      <w:r>
        <w:rPr>
          <w:rFonts w:ascii="Times New Roman" w:hAnsi="Times New Roman" w:eastAsia="方正仿宋_GBK" w:cs="Times New Roman"/>
          <w:color w:val="auto"/>
          <w:sz w:val="32"/>
          <w:szCs w:val="32"/>
        </w:rPr>
        <w:t>性</w:t>
      </w:r>
      <w:r>
        <w:rPr>
          <w:rFonts w:ascii="Times New Roman" w:hAnsi="Times New Roman" w:eastAsia="方正仿宋_GBK" w:cs="Times New Roman"/>
          <w:color w:val="auto"/>
          <w:sz w:val="32"/>
          <w:szCs w:val="32"/>
          <w:lang w:val="zh-CN"/>
        </w:rPr>
        <w:t>响应的投标人不足三家</w:t>
      </w:r>
      <w:r>
        <w:rPr>
          <w:rFonts w:ascii="Times New Roman" w:hAnsi="Times New Roman" w:eastAsia="方正仿宋_GBK" w:cs="Times New Roman"/>
          <w:color w:val="auto"/>
          <w:sz w:val="32"/>
          <w:szCs w:val="32"/>
        </w:rPr>
        <w:t>的</w:t>
      </w:r>
      <w:r>
        <w:rPr>
          <w:rFonts w:ascii="Times New Roman" w:hAnsi="Times New Roman" w:eastAsia="方正仿宋_GBK" w:cs="Times New Roman"/>
          <w:color w:val="auto"/>
          <w:sz w:val="32"/>
          <w:szCs w:val="32"/>
          <w:lang w:val="zh-CN"/>
        </w:rPr>
        <w:t>情况，按政府采购相关规定执行。</w:t>
      </w:r>
    </w:p>
    <w:p w14:paraId="6AD6277A">
      <w:pPr>
        <w:pStyle w:val="195"/>
        <w:spacing w:before="0" w:after="0" w:line="580" w:lineRule="exact"/>
        <w:ind w:firstLine="640" w:firstLineChars="200"/>
        <w:outlineLvl w:val="9"/>
        <w:rPr>
          <w:rFonts w:ascii="Times New Roman" w:hAnsi="Times New Roman" w:eastAsia="方正仿宋_GBK" w:cs="Times New Roman"/>
          <w:b w:val="0"/>
          <w:color w:val="auto"/>
        </w:rPr>
      </w:pPr>
      <w:bookmarkStart w:id="180" w:name="_Toc120614219"/>
      <w:bookmarkEnd w:id="180"/>
      <w:r>
        <w:rPr>
          <w:rFonts w:ascii="Times New Roman" w:hAnsi="Times New Roman" w:eastAsia="方正仿宋_GBK" w:cs="Times New Roman"/>
          <w:b w:val="0"/>
          <w:color w:val="auto"/>
        </w:rPr>
        <w:t>六、定标</w:t>
      </w:r>
    </w:p>
    <w:p w14:paraId="34B5516E">
      <w:pPr>
        <w:pStyle w:val="45"/>
        <w:spacing w:before="0" w:after="0" w:line="580" w:lineRule="exact"/>
        <w:ind w:firstLine="640" w:firstLineChars="200"/>
        <w:outlineLvl w:val="9"/>
        <w:rPr>
          <w:rFonts w:ascii="Times New Roman" w:hAnsi="Times New Roman" w:eastAsia="方正仿宋_GBK" w:cs="Times New Roman"/>
          <w:b w:val="0"/>
          <w:color w:val="auto"/>
          <w:sz w:val="32"/>
          <w:szCs w:val="32"/>
        </w:rPr>
      </w:pPr>
      <w:bookmarkStart w:id="181" w:name="_Toc16938554"/>
      <w:bookmarkEnd w:id="181"/>
      <w:bookmarkStart w:id="182" w:name="_Toc20823310"/>
      <w:bookmarkEnd w:id="182"/>
      <w:bookmarkStart w:id="183" w:name="_Toc513029238"/>
      <w:bookmarkEnd w:id="183"/>
      <w:r>
        <w:rPr>
          <w:rFonts w:ascii="Times New Roman" w:hAnsi="Times New Roman" w:eastAsia="方正仿宋_GBK" w:cs="Times New Roman"/>
          <w:b w:val="0"/>
          <w:color w:val="auto"/>
          <w:sz w:val="32"/>
          <w:szCs w:val="32"/>
        </w:rPr>
        <w:t>26．确定中标单位</w:t>
      </w:r>
    </w:p>
    <w:p w14:paraId="2B01C832">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26.1</w:t>
      </w:r>
      <w:r>
        <w:rPr>
          <w:rFonts w:ascii="Times New Roman" w:hAnsi="Times New Roman" w:eastAsia="方正仿宋_GBK" w:cs="Times New Roman"/>
          <w:color w:val="auto"/>
          <w:sz w:val="32"/>
          <w:szCs w:val="32"/>
          <w:lang w:val="zh-CN"/>
        </w:rPr>
        <w:t>评委会根据本招标文件规定评分办法与评分标准综合打分，并按综合得分由高到低顺序每标包排序。中标人拒绝与采购人签订合同的，采购人可以按照评审报告推荐的中标候选人名单排序，确定下一候选人为中标人，也可以重新开展政府采购活动。</w:t>
      </w:r>
    </w:p>
    <w:p w14:paraId="7E69FAD4">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26.2</w:t>
      </w:r>
      <w:r>
        <w:rPr>
          <w:rFonts w:ascii="Times New Roman" w:hAnsi="Times New Roman" w:eastAsia="方正仿宋_GBK" w:cs="Times New Roman"/>
          <w:color w:val="auto"/>
          <w:sz w:val="32"/>
          <w:szCs w:val="32"/>
          <w:lang w:val="zh-CN"/>
        </w:rPr>
        <w:t xml:space="preserve"> 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p>
    <w:p w14:paraId="42C8A0F5">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 xml:space="preserve">26.3 </w:t>
      </w:r>
      <w:r>
        <w:rPr>
          <w:rFonts w:ascii="Times New Roman" w:hAnsi="Times New Roman" w:eastAsia="方正仿宋_GBK" w:cs="Times New Roman"/>
          <w:color w:val="auto"/>
          <w:sz w:val="32"/>
          <w:szCs w:val="32"/>
          <w:lang w:val="zh-CN"/>
        </w:rPr>
        <w:t>采购代理机构将在</w:t>
      </w:r>
      <w:r>
        <w:rPr>
          <w:rFonts w:hint="eastAsia" w:ascii="Times New Roman" w:hAnsi="Times New Roman" w:eastAsia="方正仿宋_GBK" w:cs="Times New Roman"/>
          <w:color w:val="auto"/>
          <w:sz w:val="32"/>
          <w:szCs w:val="32"/>
          <w:lang w:val="zh-CN"/>
        </w:rPr>
        <w:t>“</w:t>
      </w:r>
      <w:r>
        <w:rPr>
          <w:rFonts w:ascii="Times New Roman" w:hAnsi="Times New Roman" w:eastAsia="方正仿宋_GBK" w:cs="Times New Roman"/>
          <w:color w:val="auto"/>
          <w:sz w:val="32"/>
          <w:szCs w:val="32"/>
          <w:lang w:val="zh-CN"/>
        </w:rPr>
        <w:t>江苏政府采购网</w:t>
      </w:r>
      <w:r>
        <w:rPr>
          <w:rFonts w:hint="eastAsia" w:ascii="Times New Roman" w:hAnsi="Times New Roman" w:eastAsia="方正仿宋_GBK" w:cs="Times New Roman"/>
          <w:color w:val="auto"/>
          <w:sz w:val="32"/>
          <w:szCs w:val="32"/>
          <w:lang w:val="zh-CN"/>
        </w:rPr>
        <w:t>”“</w:t>
      </w:r>
      <w:r>
        <w:rPr>
          <w:rFonts w:ascii="Times New Roman" w:hAnsi="Times New Roman" w:eastAsia="方正仿宋_GBK" w:cs="Times New Roman"/>
          <w:color w:val="auto"/>
          <w:sz w:val="32"/>
          <w:szCs w:val="32"/>
          <w:lang w:val="zh-CN"/>
        </w:rPr>
        <w:t>南京公共采购信息网</w:t>
      </w:r>
      <w:r>
        <w:rPr>
          <w:rFonts w:hint="eastAsia" w:ascii="Times New Roman" w:hAnsi="Times New Roman" w:eastAsia="方正仿宋_GBK" w:cs="Times New Roman"/>
          <w:color w:val="auto"/>
          <w:sz w:val="32"/>
          <w:szCs w:val="32"/>
          <w:lang w:val="zh-CN"/>
        </w:rPr>
        <w:t>”</w:t>
      </w:r>
      <w:r>
        <w:rPr>
          <w:rFonts w:ascii="Times New Roman" w:hAnsi="Times New Roman" w:eastAsia="方正仿宋_GBK" w:cs="Times New Roman"/>
          <w:color w:val="auto"/>
          <w:sz w:val="32"/>
          <w:szCs w:val="32"/>
          <w:lang w:val="zh-CN"/>
        </w:rPr>
        <w:t>发布中标公告，公告期限为</w:t>
      </w:r>
      <w:r>
        <w:rPr>
          <w:rFonts w:ascii="Times New Roman" w:hAnsi="Times New Roman" w:eastAsia="方正仿宋_GBK" w:cs="Times New Roman"/>
          <w:color w:val="auto"/>
          <w:sz w:val="32"/>
          <w:szCs w:val="32"/>
        </w:rPr>
        <w:t>1</w:t>
      </w:r>
      <w:r>
        <w:rPr>
          <w:rFonts w:ascii="Times New Roman" w:hAnsi="Times New Roman" w:eastAsia="方正仿宋_GBK" w:cs="Times New Roman"/>
          <w:color w:val="auto"/>
          <w:sz w:val="32"/>
          <w:szCs w:val="32"/>
          <w:lang w:val="zh-CN"/>
        </w:rPr>
        <w:t>个工作日。</w:t>
      </w:r>
    </w:p>
    <w:p w14:paraId="25D3C048">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 xml:space="preserve">26.4 </w:t>
      </w:r>
      <w:r>
        <w:rPr>
          <w:rFonts w:ascii="Times New Roman" w:hAnsi="Times New Roman" w:eastAsia="方正仿宋_GBK" w:cs="Times New Roman"/>
          <w:color w:val="auto"/>
          <w:sz w:val="32"/>
          <w:szCs w:val="32"/>
          <w:lang w:val="zh-CN"/>
        </w:rPr>
        <w:t>若有充分证据证明中标人</w:t>
      </w:r>
      <w:r>
        <w:rPr>
          <w:rFonts w:ascii="Times New Roman" w:hAnsi="Times New Roman" w:eastAsia="方正仿宋_GBK" w:cs="Times New Roman"/>
          <w:color w:val="auto"/>
          <w:sz w:val="32"/>
          <w:szCs w:val="32"/>
        </w:rPr>
        <w:t>有</w:t>
      </w:r>
      <w:r>
        <w:rPr>
          <w:rFonts w:ascii="Times New Roman" w:hAnsi="Times New Roman" w:eastAsia="方正仿宋_GBK" w:cs="Times New Roman"/>
          <w:color w:val="auto"/>
          <w:sz w:val="32"/>
          <w:szCs w:val="32"/>
          <w:lang w:val="zh-CN"/>
        </w:rPr>
        <w:t>下列情况之一的，一经查实将被取消中标资格：</w:t>
      </w:r>
    </w:p>
    <w:p w14:paraId="47844580">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 xml:space="preserve">26.4.1 </w:t>
      </w:r>
      <w:r>
        <w:rPr>
          <w:rFonts w:ascii="Times New Roman" w:hAnsi="Times New Roman" w:eastAsia="方正仿宋_GBK" w:cs="Times New Roman"/>
          <w:color w:val="auto"/>
          <w:sz w:val="32"/>
          <w:szCs w:val="32"/>
          <w:lang w:val="zh-CN"/>
        </w:rPr>
        <w:t>提供虚假材料谋取中标。</w:t>
      </w:r>
    </w:p>
    <w:p w14:paraId="386B13F2">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 xml:space="preserve">26.4.2 </w:t>
      </w:r>
      <w:r>
        <w:rPr>
          <w:rFonts w:ascii="Times New Roman" w:hAnsi="Times New Roman" w:eastAsia="方正仿宋_GBK" w:cs="Times New Roman"/>
          <w:color w:val="auto"/>
          <w:sz w:val="32"/>
          <w:szCs w:val="32"/>
          <w:lang w:val="zh-CN"/>
        </w:rPr>
        <w:t>向采购人、</w:t>
      </w:r>
      <w:r>
        <w:rPr>
          <w:rFonts w:ascii="Times New Roman" w:hAnsi="Times New Roman" w:eastAsia="方正仿宋_GBK" w:cs="Times New Roman"/>
          <w:color w:val="auto"/>
          <w:sz w:val="32"/>
          <w:szCs w:val="32"/>
        </w:rPr>
        <w:t>代理机构</w:t>
      </w:r>
      <w:r>
        <w:rPr>
          <w:rFonts w:ascii="Times New Roman" w:hAnsi="Times New Roman" w:eastAsia="方正仿宋_GBK" w:cs="Times New Roman"/>
          <w:color w:val="auto"/>
          <w:sz w:val="32"/>
          <w:szCs w:val="32"/>
          <w:lang w:val="zh-CN"/>
        </w:rPr>
        <w:t>行贿或者提供其他不正当利益。</w:t>
      </w:r>
    </w:p>
    <w:p w14:paraId="7EE8F996">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 xml:space="preserve">26.4.3 </w:t>
      </w:r>
      <w:r>
        <w:rPr>
          <w:rFonts w:ascii="Times New Roman" w:hAnsi="Times New Roman" w:eastAsia="方正仿宋_GBK" w:cs="Times New Roman"/>
          <w:color w:val="auto"/>
          <w:sz w:val="32"/>
          <w:szCs w:val="32"/>
          <w:lang w:val="zh-CN"/>
        </w:rPr>
        <w:t>属于本文件规定的无效</w:t>
      </w:r>
      <w:r>
        <w:rPr>
          <w:rFonts w:ascii="Times New Roman" w:hAnsi="Times New Roman" w:eastAsia="方正仿宋_GBK" w:cs="Times New Roman"/>
          <w:color w:val="auto"/>
          <w:sz w:val="32"/>
          <w:szCs w:val="32"/>
        </w:rPr>
        <w:t>投标情形</w:t>
      </w:r>
      <w:r>
        <w:rPr>
          <w:rFonts w:ascii="Times New Roman" w:hAnsi="Times New Roman" w:eastAsia="方正仿宋_GBK" w:cs="Times New Roman"/>
          <w:color w:val="auto"/>
          <w:sz w:val="32"/>
          <w:szCs w:val="32"/>
          <w:lang w:val="zh-CN"/>
        </w:rPr>
        <w:t>，但在评标过程中未被评委会发现。</w:t>
      </w:r>
    </w:p>
    <w:p w14:paraId="4ABBE50E">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 xml:space="preserve">26.4.4 </w:t>
      </w:r>
      <w:r>
        <w:rPr>
          <w:rFonts w:ascii="Times New Roman" w:hAnsi="Times New Roman" w:eastAsia="方正仿宋_GBK" w:cs="Times New Roman"/>
          <w:color w:val="auto"/>
          <w:sz w:val="32"/>
          <w:szCs w:val="32"/>
          <w:lang w:val="zh-CN"/>
        </w:rPr>
        <w:t>与采购人或者其他投标人恶意串通。</w:t>
      </w:r>
    </w:p>
    <w:p w14:paraId="254F23C7">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 xml:space="preserve">26.4.5 </w:t>
      </w:r>
      <w:r>
        <w:rPr>
          <w:rFonts w:ascii="Times New Roman" w:hAnsi="Times New Roman" w:eastAsia="方正仿宋_GBK" w:cs="Times New Roman"/>
          <w:color w:val="auto"/>
          <w:sz w:val="32"/>
          <w:szCs w:val="32"/>
          <w:lang w:val="zh-CN"/>
        </w:rPr>
        <w:t>采取不正当手段诋毁、排挤其他投标人。</w:t>
      </w:r>
    </w:p>
    <w:p w14:paraId="681C4D07">
      <w:pPr>
        <w:spacing w:line="580" w:lineRule="exact"/>
        <w:ind w:firstLine="640" w:firstLineChars="200"/>
        <w:rPr>
          <w:rFonts w:ascii="Times New Roman" w:hAnsi="Times New Roman" w:eastAsia="方正仿宋_GBK" w:cs="Times New Roman"/>
          <w:color w:val="auto"/>
          <w:sz w:val="32"/>
          <w:szCs w:val="32"/>
          <w:lang w:val="zh-CN"/>
        </w:rPr>
      </w:pPr>
      <w:bookmarkStart w:id="184" w:name="_Toc200451960"/>
      <w:bookmarkEnd w:id="184"/>
      <w:r>
        <w:rPr>
          <w:rFonts w:ascii="Times New Roman" w:hAnsi="Times New Roman" w:eastAsia="方正仿宋_GBK" w:cs="Times New Roman"/>
          <w:color w:val="auto"/>
          <w:sz w:val="32"/>
          <w:szCs w:val="32"/>
        </w:rPr>
        <w:t xml:space="preserve">26.5 </w:t>
      </w:r>
      <w:r>
        <w:rPr>
          <w:rFonts w:ascii="Times New Roman" w:hAnsi="Times New Roman" w:eastAsia="方正仿宋_GBK" w:cs="Times New Roman"/>
          <w:color w:val="auto"/>
          <w:sz w:val="32"/>
          <w:szCs w:val="32"/>
          <w:lang w:val="zh-CN"/>
        </w:rPr>
        <w:t>有下列情形之一的视为投标人串通投标，投标无效：</w:t>
      </w:r>
    </w:p>
    <w:p w14:paraId="20C3E72D">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 xml:space="preserve">26.5.1 </w:t>
      </w:r>
      <w:r>
        <w:rPr>
          <w:rFonts w:ascii="Times New Roman" w:hAnsi="Times New Roman" w:eastAsia="方正仿宋_GBK" w:cs="Times New Roman"/>
          <w:color w:val="auto"/>
          <w:sz w:val="32"/>
          <w:szCs w:val="32"/>
          <w:lang w:val="zh-CN"/>
        </w:rPr>
        <w:t>不同投标人的投标文件由同一单位或者个人编制。</w:t>
      </w:r>
    </w:p>
    <w:p w14:paraId="168876D4">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 xml:space="preserve">26.5.2 </w:t>
      </w:r>
      <w:r>
        <w:rPr>
          <w:rFonts w:ascii="Times New Roman" w:hAnsi="Times New Roman" w:eastAsia="方正仿宋_GBK" w:cs="Times New Roman"/>
          <w:color w:val="auto"/>
          <w:sz w:val="32"/>
          <w:szCs w:val="32"/>
          <w:lang w:val="zh-CN"/>
        </w:rPr>
        <w:t>不同投标人委托同一单位或者个人办理投标事宜。</w:t>
      </w:r>
    </w:p>
    <w:p w14:paraId="0C434F74">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 xml:space="preserve">26.5.3 </w:t>
      </w:r>
      <w:r>
        <w:rPr>
          <w:rFonts w:ascii="Times New Roman" w:hAnsi="Times New Roman" w:eastAsia="方正仿宋_GBK" w:cs="Times New Roman"/>
          <w:color w:val="auto"/>
          <w:sz w:val="32"/>
          <w:szCs w:val="32"/>
          <w:lang w:val="zh-CN"/>
        </w:rPr>
        <w:t>不同投标人的投标文件载明的项目管理成员或者联系人员为同一人。</w:t>
      </w:r>
    </w:p>
    <w:p w14:paraId="0D4BBD9B">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 xml:space="preserve">26.5.4 </w:t>
      </w:r>
      <w:r>
        <w:rPr>
          <w:rFonts w:ascii="Times New Roman" w:hAnsi="Times New Roman" w:eastAsia="方正仿宋_GBK" w:cs="Times New Roman"/>
          <w:color w:val="auto"/>
          <w:sz w:val="32"/>
          <w:szCs w:val="32"/>
          <w:lang w:val="zh-CN"/>
        </w:rPr>
        <w:t>不同投标人的投标文件异常一致或者投标报价呈规律性差异。</w:t>
      </w:r>
    </w:p>
    <w:p w14:paraId="2DB59A15">
      <w:pPr>
        <w:pStyle w:val="45"/>
        <w:spacing w:before="0" w:after="0" w:line="580" w:lineRule="exact"/>
        <w:ind w:firstLine="640" w:firstLineChars="200"/>
        <w:outlineLvl w:val="9"/>
        <w:rPr>
          <w:rFonts w:ascii="Times New Roman" w:hAnsi="Times New Roman" w:eastAsia="方正仿宋_GBK" w:cs="Times New Roman"/>
          <w:b w:val="0"/>
          <w:bCs/>
          <w:color w:val="auto"/>
          <w:sz w:val="32"/>
          <w:szCs w:val="32"/>
        </w:rPr>
      </w:pPr>
      <w:r>
        <w:rPr>
          <w:rFonts w:ascii="Times New Roman" w:hAnsi="Times New Roman" w:eastAsia="方正仿宋_GBK" w:cs="Times New Roman"/>
          <w:b w:val="0"/>
          <w:color w:val="auto"/>
          <w:sz w:val="32"/>
          <w:szCs w:val="32"/>
        </w:rPr>
        <w:t>27．</w:t>
      </w:r>
      <w:r>
        <w:rPr>
          <w:rFonts w:ascii="Times New Roman" w:hAnsi="Times New Roman" w:eastAsia="方正仿宋_GBK" w:cs="Times New Roman"/>
          <w:b w:val="0"/>
          <w:bCs/>
          <w:color w:val="auto"/>
          <w:sz w:val="32"/>
          <w:szCs w:val="32"/>
        </w:rPr>
        <w:t>中标通知书</w:t>
      </w:r>
    </w:p>
    <w:p w14:paraId="2AE4E901">
      <w:pPr>
        <w:spacing w:line="580" w:lineRule="exact"/>
        <w:ind w:firstLine="640" w:firstLineChars="200"/>
        <w:rPr>
          <w:rFonts w:ascii="Times New Roman" w:hAnsi="Times New Roman" w:eastAsia="方正仿宋_GBK" w:cs="Times New Roman"/>
          <w:bCs/>
          <w:color w:val="auto"/>
          <w:sz w:val="32"/>
          <w:szCs w:val="32"/>
          <w:lang w:val="zh-CN"/>
        </w:rPr>
      </w:pPr>
      <w:r>
        <w:rPr>
          <w:rFonts w:ascii="Times New Roman" w:hAnsi="Times New Roman" w:eastAsia="方正仿宋_GBK" w:cs="Times New Roman"/>
          <w:color w:val="auto"/>
          <w:sz w:val="32"/>
          <w:szCs w:val="32"/>
        </w:rPr>
        <w:t>27.l</w:t>
      </w:r>
      <w:r>
        <w:rPr>
          <w:rFonts w:ascii="Times New Roman" w:hAnsi="Times New Roman" w:eastAsia="方正仿宋_GBK" w:cs="Times New Roman"/>
          <w:bCs/>
          <w:color w:val="auto"/>
          <w:sz w:val="32"/>
          <w:szCs w:val="32"/>
          <w:lang w:val="zh-CN"/>
        </w:rPr>
        <w:t xml:space="preserve"> 采购代理机构将在中标公告发布的同时向中标人发出中标通知书。</w:t>
      </w:r>
    </w:p>
    <w:p w14:paraId="2ACB88E2">
      <w:pPr>
        <w:spacing w:line="580" w:lineRule="exact"/>
        <w:ind w:firstLine="640" w:firstLineChars="200"/>
        <w:rPr>
          <w:rFonts w:ascii="Times New Roman" w:hAnsi="Times New Roman" w:eastAsia="方正仿宋_GBK" w:cs="Times New Roman"/>
          <w:bCs/>
          <w:color w:val="auto"/>
          <w:sz w:val="32"/>
          <w:szCs w:val="32"/>
          <w:lang w:val="zh-CN"/>
        </w:rPr>
      </w:pPr>
      <w:r>
        <w:rPr>
          <w:rFonts w:ascii="Times New Roman" w:hAnsi="Times New Roman" w:eastAsia="方正仿宋_GBK" w:cs="Times New Roman"/>
          <w:color w:val="auto"/>
          <w:sz w:val="32"/>
          <w:szCs w:val="32"/>
        </w:rPr>
        <w:t>27.2</w:t>
      </w:r>
      <w:r>
        <w:rPr>
          <w:rFonts w:ascii="Times New Roman" w:hAnsi="Times New Roman" w:eastAsia="方正仿宋_GBK" w:cs="Times New Roman"/>
          <w:bCs/>
          <w:color w:val="auto"/>
          <w:sz w:val="32"/>
          <w:szCs w:val="32"/>
        </w:rPr>
        <w:t xml:space="preserve"> </w:t>
      </w:r>
      <w:r>
        <w:rPr>
          <w:rFonts w:ascii="Times New Roman" w:hAnsi="Times New Roman" w:eastAsia="方正仿宋_GBK" w:cs="Times New Roman"/>
          <w:bCs/>
          <w:color w:val="auto"/>
          <w:sz w:val="32"/>
          <w:szCs w:val="32"/>
          <w:lang w:val="zh-CN"/>
        </w:rPr>
        <w:t>中标通知书将是合同的一个组成部分。对采购人和中标人均具有法律效力。中标通知书发出后，采购人改变中标结果的，或者中标人放弃中标项目的，应当依法承担法律责任。</w:t>
      </w:r>
    </w:p>
    <w:p w14:paraId="5D4EFE72">
      <w:pPr>
        <w:pStyle w:val="195"/>
        <w:spacing w:before="0" w:after="0" w:line="580" w:lineRule="exact"/>
        <w:ind w:firstLine="640" w:firstLineChars="200"/>
        <w:outlineLvl w:val="9"/>
        <w:rPr>
          <w:rFonts w:ascii="Times New Roman" w:hAnsi="Times New Roman" w:eastAsia="方正仿宋_GBK" w:cs="Times New Roman"/>
          <w:b w:val="0"/>
          <w:bCs/>
          <w:color w:val="auto"/>
        </w:rPr>
      </w:pPr>
      <w:bookmarkStart w:id="185" w:name="_Toc120614220"/>
      <w:bookmarkEnd w:id="185"/>
      <w:bookmarkStart w:id="186" w:name="_Toc20823308"/>
      <w:bookmarkEnd w:id="186"/>
      <w:bookmarkStart w:id="187" w:name="_Toc513029236"/>
      <w:bookmarkEnd w:id="187"/>
      <w:bookmarkStart w:id="188" w:name="_Toc16938552"/>
      <w:bookmarkEnd w:id="188"/>
      <w:r>
        <w:rPr>
          <w:rFonts w:ascii="Times New Roman" w:hAnsi="Times New Roman" w:eastAsia="方正仿宋_GBK" w:cs="Times New Roman"/>
          <w:b w:val="0"/>
          <w:bCs/>
          <w:color w:val="auto"/>
        </w:rPr>
        <w:t>七、授予合同</w:t>
      </w:r>
    </w:p>
    <w:p w14:paraId="3A844C08">
      <w:pPr>
        <w:pStyle w:val="45"/>
        <w:spacing w:before="0" w:after="0" w:line="580" w:lineRule="exact"/>
        <w:ind w:firstLine="640" w:firstLineChars="200"/>
        <w:outlineLvl w:val="9"/>
        <w:rPr>
          <w:rFonts w:ascii="Times New Roman" w:hAnsi="Times New Roman" w:eastAsia="方正仿宋_GBK" w:cs="Times New Roman"/>
          <w:b w:val="0"/>
          <w:bCs/>
          <w:color w:val="auto"/>
          <w:sz w:val="32"/>
          <w:szCs w:val="32"/>
        </w:rPr>
      </w:pPr>
      <w:r>
        <w:rPr>
          <w:rFonts w:ascii="Times New Roman" w:hAnsi="Times New Roman" w:eastAsia="方正仿宋_GBK" w:cs="Times New Roman"/>
          <w:b w:val="0"/>
          <w:color w:val="auto"/>
          <w:sz w:val="32"/>
          <w:szCs w:val="32"/>
        </w:rPr>
        <w:t>28．</w:t>
      </w:r>
      <w:r>
        <w:rPr>
          <w:rFonts w:ascii="Times New Roman" w:hAnsi="Times New Roman" w:eastAsia="方正仿宋_GBK" w:cs="Times New Roman"/>
          <w:b w:val="0"/>
          <w:bCs/>
          <w:color w:val="auto"/>
          <w:sz w:val="32"/>
          <w:szCs w:val="32"/>
        </w:rPr>
        <w:t>签订合同</w:t>
      </w:r>
    </w:p>
    <w:p w14:paraId="0065A8F9">
      <w:pPr>
        <w:spacing w:line="580" w:lineRule="exact"/>
        <w:ind w:firstLine="640" w:firstLineChars="200"/>
        <w:rPr>
          <w:rFonts w:ascii="Times New Roman" w:hAnsi="Times New Roman" w:eastAsia="方正仿宋_GBK" w:cs="Times New Roman"/>
          <w:bCs/>
          <w:color w:val="auto"/>
          <w:sz w:val="32"/>
          <w:szCs w:val="32"/>
          <w:lang w:val="zh-CN"/>
        </w:rPr>
      </w:pPr>
      <w:r>
        <w:rPr>
          <w:rFonts w:ascii="Times New Roman" w:hAnsi="Times New Roman" w:eastAsia="方正仿宋_GBK" w:cs="Times New Roman"/>
          <w:color w:val="auto"/>
          <w:sz w:val="32"/>
          <w:szCs w:val="32"/>
        </w:rPr>
        <w:t>28.l</w:t>
      </w:r>
      <w:r>
        <w:rPr>
          <w:rFonts w:ascii="Times New Roman" w:hAnsi="Times New Roman" w:eastAsia="方正仿宋_GBK" w:cs="Times New Roman"/>
          <w:bCs/>
          <w:color w:val="auto"/>
          <w:sz w:val="32"/>
          <w:szCs w:val="32"/>
        </w:rPr>
        <w:t xml:space="preserve"> </w:t>
      </w:r>
      <w:r>
        <w:rPr>
          <w:rFonts w:ascii="Times New Roman" w:hAnsi="Times New Roman" w:eastAsia="方正仿宋_GBK" w:cs="Times New Roman"/>
          <w:bCs/>
          <w:color w:val="auto"/>
          <w:sz w:val="32"/>
          <w:szCs w:val="32"/>
          <w:lang w:val="zh-CN"/>
        </w:rPr>
        <w:t>中标人应当</w:t>
      </w:r>
      <w:r>
        <w:rPr>
          <w:rFonts w:ascii="Times New Roman" w:hAnsi="Times New Roman" w:eastAsia="方正仿宋_GBK" w:cs="Times New Roman"/>
          <w:bCs/>
          <w:color w:val="auto"/>
          <w:sz w:val="32"/>
          <w:szCs w:val="32"/>
        </w:rPr>
        <w:t>在《</w:t>
      </w:r>
      <w:r>
        <w:rPr>
          <w:rFonts w:ascii="Times New Roman" w:hAnsi="Times New Roman" w:eastAsia="方正仿宋_GBK" w:cs="Times New Roman"/>
          <w:bCs/>
          <w:color w:val="auto"/>
          <w:sz w:val="32"/>
          <w:szCs w:val="32"/>
          <w:lang w:val="zh-CN"/>
        </w:rPr>
        <w:t>中标通知书</w:t>
      </w:r>
      <w:r>
        <w:rPr>
          <w:rFonts w:ascii="Times New Roman" w:hAnsi="Times New Roman" w:eastAsia="方正仿宋_GBK" w:cs="Times New Roman"/>
          <w:bCs/>
          <w:color w:val="auto"/>
          <w:sz w:val="32"/>
          <w:szCs w:val="32"/>
        </w:rPr>
        <w:t>》</w:t>
      </w:r>
      <w:r>
        <w:rPr>
          <w:rFonts w:ascii="Times New Roman" w:hAnsi="Times New Roman" w:eastAsia="方正仿宋_GBK" w:cs="Times New Roman"/>
          <w:bCs/>
          <w:color w:val="auto"/>
          <w:sz w:val="32"/>
          <w:szCs w:val="32"/>
          <w:lang w:val="zh-CN"/>
        </w:rPr>
        <w:t>发出之日起三十日内，按照招标文件确定的事项与采购人签订政府采购合同。</w:t>
      </w:r>
    </w:p>
    <w:p w14:paraId="571018AB">
      <w:pPr>
        <w:spacing w:line="580" w:lineRule="exact"/>
        <w:ind w:firstLine="640" w:firstLineChars="200"/>
        <w:rPr>
          <w:rFonts w:ascii="Times New Roman" w:hAnsi="Times New Roman" w:eastAsia="方正仿宋_GBK" w:cs="Times New Roman"/>
          <w:bCs/>
          <w:color w:val="auto"/>
          <w:sz w:val="32"/>
          <w:szCs w:val="32"/>
          <w:lang w:val="zh-CN"/>
        </w:rPr>
      </w:pPr>
      <w:r>
        <w:rPr>
          <w:rFonts w:ascii="Times New Roman" w:hAnsi="Times New Roman" w:eastAsia="方正仿宋_GBK" w:cs="Times New Roman"/>
          <w:color w:val="auto"/>
          <w:sz w:val="32"/>
          <w:szCs w:val="32"/>
        </w:rPr>
        <w:t>28.2</w:t>
      </w:r>
      <w:r>
        <w:rPr>
          <w:rFonts w:ascii="Times New Roman" w:hAnsi="Times New Roman" w:eastAsia="方正仿宋_GBK" w:cs="Times New Roman"/>
          <w:bCs/>
          <w:color w:val="auto"/>
          <w:sz w:val="32"/>
          <w:szCs w:val="32"/>
          <w:lang w:val="zh-CN"/>
        </w:rPr>
        <w:t xml:space="preserve"> 招标文件、中标人的投标文件及招标过程中有关澄清、承诺文件均作为合同附件。</w:t>
      </w:r>
    </w:p>
    <w:p w14:paraId="1F8F4B84">
      <w:pPr>
        <w:spacing w:line="580" w:lineRule="exact"/>
        <w:ind w:firstLine="640" w:firstLineChars="200"/>
        <w:rPr>
          <w:rFonts w:ascii="Times New Roman" w:hAnsi="Times New Roman" w:eastAsia="方正仿宋_GBK" w:cs="Times New Roman"/>
          <w:bCs/>
          <w:color w:val="auto"/>
          <w:sz w:val="32"/>
          <w:szCs w:val="32"/>
          <w:lang w:val="zh-CN"/>
        </w:rPr>
      </w:pPr>
      <w:r>
        <w:rPr>
          <w:rFonts w:ascii="Times New Roman" w:hAnsi="Times New Roman" w:eastAsia="方正仿宋_GBK" w:cs="Times New Roman"/>
          <w:color w:val="auto"/>
          <w:sz w:val="32"/>
          <w:szCs w:val="32"/>
        </w:rPr>
        <w:t>28.3</w:t>
      </w:r>
      <w:r>
        <w:rPr>
          <w:rFonts w:ascii="Times New Roman" w:hAnsi="Times New Roman" w:eastAsia="方正仿宋_GBK" w:cs="Times New Roman"/>
          <w:bCs/>
          <w:color w:val="auto"/>
          <w:sz w:val="32"/>
          <w:szCs w:val="32"/>
          <w:lang w:val="zh-CN"/>
        </w:rPr>
        <w:t xml:space="preserve"> 签订合同后，中标人不得将合同标的进行转包。未经采购人同意，中标人也不得采用分包的形式履行合同，否则采购人有权终止合同。转包或分包造成采购人损失的，中标人应承担相应赔偿责任。</w:t>
      </w:r>
    </w:p>
    <w:p w14:paraId="5750BE53">
      <w:pPr>
        <w:spacing w:line="580" w:lineRule="exact"/>
        <w:ind w:firstLine="640" w:firstLineChars="200"/>
        <w:rPr>
          <w:rFonts w:ascii="Times New Roman" w:hAnsi="Times New Roman" w:eastAsia="方正仿宋_GBK" w:cs="Times New Roman"/>
          <w:bCs/>
          <w:color w:val="auto"/>
          <w:sz w:val="32"/>
          <w:szCs w:val="32"/>
          <w:lang w:val="zh-CN"/>
        </w:rPr>
      </w:pPr>
      <w:r>
        <w:rPr>
          <w:rFonts w:ascii="Times New Roman" w:hAnsi="Times New Roman" w:eastAsia="方正仿宋_GBK" w:cs="Times New Roman"/>
          <w:color w:val="auto"/>
          <w:sz w:val="32"/>
          <w:szCs w:val="32"/>
        </w:rPr>
        <w:t>28.4</w:t>
      </w:r>
      <w:r>
        <w:rPr>
          <w:rFonts w:ascii="Times New Roman" w:hAnsi="Times New Roman" w:eastAsia="方正仿宋_GBK" w:cs="Times New Roman"/>
          <w:bCs/>
          <w:color w:val="auto"/>
          <w:sz w:val="32"/>
          <w:szCs w:val="32"/>
          <w:lang w:val="zh-CN"/>
        </w:rPr>
        <w:t xml:space="preserve"> 中标人因自身原因拒绝与采购人签订合同的，不得参加采购人</w:t>
      </w:r>
      <w:r>
        <w:rPr>
          <w:rFonts w:ascii="Times New Roman" w:hAnsi="Times New Roman" w:eastAsia="方正仿宋_GBK" w:cs="Times New Roman"/>
          <w:bCs/>
          <w:color w:val="auto"/>
          <w:sz w:val="32"/>
          <w:szCs w:val="32"/>
        </w:rPr>
        <w:t>重新组织的</w:t>
      </w:r>
      <w:r>
        <w:rPr>
          <w:rFonts w:ascii="Times New Roman" w:hAnsi="Times New Roman" w:eastAsia="方正仿宋_GBK" w:cs="Times New Roman"/>
          <w:bCs/>
          <w:color w:val="auto"/>
          <w:sz w:val="32"/>
          <w:szCs w:val="32"/>
          <w:lang w:val="zh-CN"/>
        </w:rPr>
        <w:t>采购活动</w:t>
      </w:r>
      <w:r>
        <w:rPr>
          <w:rFonts w:ascii="Times New Roman" w:hAnsi="Times New Roman" w:eastAsia="方正仿宋_GBK" w:cs="Times New Roman"/>
          <w:bCs/>
          <w:color w:val="auto"/>
          <w:sz w:val="32"/>
          <w:szCs w:val="32"/>
        </w:rPr>
        <w:t>，且将可能被拒绝参加该采购人</w:t>
      </w:r>
      <w:r>
        <w:rPr>
          <w:rFonts w:ascii="Times New Roman" w:hAnsi="Times New Roman" w:eastAsia="方正仿宋_GBK" w:cs="Times New Roman"/>
          <w:bCs/>
          <w:color w:val="auto"/>
          <w:sz w:val="32"/>
          <w:szCs w:val="32"/>
          <w:lang w:val="zh-CN"/>
        </w:rPr>
        <w:t>一年内</w:t>
      </w:r>
      <w:r>
        <w:rPr>
          <w:rFonts w:ascii="Times New Roman" w:hAnsi="Times New Roman" w:eastAsia="方正仿宋_GBK" w:cs="Times New Roman"/>
          <w:bCs/>
          <w:color w:val="auto"/>
          <w:sz w:val="32"/>
          <w:szCs w:val="32"/>
        </w:rPr>
        <w:t>的其他</w:t>
      </w:r>
      <w:r>
        <w:rPr>
          <w:rFonts w:ascii="Times New Roman" w:hAnsi="Times New Roman" w:eastAsia="方正仿宋_GBK" w:cs="Times New Roman"/>
          <w:bCs/>
          <w:color w:val="auto"/>
          <w:sz w:val="32"/>
          <w:szCs w:val="32"/>
          <w:lang w:val="zh-CN"/>
        </w:rPr>
        <w:t>政府采购活动。</w:t>
      </w:r>
    </w:p>
    <w:p w14:paraId="4FA258E8">
      <w:pPr>
        <w:pStyle w:val="45"/>
        <w:spacing w:before="0" w:after="0" w:line="580" w:lineRule="exact"/>
        <w:ind w:firstLine="640" w:firstLineChars="200"/>
        <w:outlineLvl w:val="9"/>
        <w:rPr>
          <w:rFonts w:ascii="Times New Roman" w:hAnsi="Times New Roman" w:eastAsia="方正仿宋_GBK" w:cs="Times New Roman"/>
          <w:b w:val="0"/>
          <w:bCs/>
          <w:color w:val="auto"/>
          <w:sz w:val="32"/>
          <w:szCs w:val="32"/>
        </w:rPr>
      </w:pPr>
      <w:r>
        <w:rPr>
          <w:rFonts w:ascii="Times New Roman" w:hAnsi="Times New Roman" w:eastAsia="方正仿宋_GBK" w:cs="Times New Roman"/>
          <w:b w:val="0"/>
          <w:color w:val="auto"/>
          <w:sz w:val="32"/>
          <w:szCs w:val="32"/>
        </w:rPr>
        <w:t>29．</w:t>
      </w:r>
      <w:r>
        <w:rPr>
          <w:rFonts w:ascii="Times New Roman" w:hAnsi="Times New Roman" w:eastAsia="方正仿宋_GBK" w:cs="Times New Roman"/>
          <w:b w:val="0"/>
          <w:bCs/>
          <w:color w:val="auto"/>
          <w:sz w:val="32"/>
          <w:szCs w:val="32"/>
        </w:rPr>
        <w:t>服务的追加</w:t>
      </w:r>
    </w:p>
    <w:p w14:paraId="2239A58F">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 xml:space="preserve">29.1 </w:t>
      </w:r>
      <w:r>
        <w:rPr>
          <w:rFonts w:ascii="Times New Roman" w:hAnsi="Times New Roman" w:eastAsia="方正仿宋_GBK" w:cs="Times New Roman"/>
          <w:color w:val="auto"/>
          <w:sz w:val="32"/>
          <w:szCs w:val="32"/>
          <w:lang w:val="zh-CN"/>
        </w:rPr>
        <w:t>合同履行中，采购人需追加与合同标的相同的</w:t>
      </w:r>
      <w:r>
        <w:rPr>
          <w:rFonts w:ascii="Times New Roman" w:hAnsi="Times New Roman" w:eastAsia="方正仿宋_GBK" w:cs="Times New Roman"/>
          <w:color w:val="auto"/>
          <w:sz w:val="32"/>
          <w:szCs w:val="32"/>
        </w:rPr>
        <w:t>服务</w:t>
      </w:r>
      <w:r>
        <w:rPr>
          <w:rFonts w:ascii="Times New Roman" w:hAnsi="Times New Roman" w:eastAsia="方正仿宋_GBK" w:cs="Times New Roman"/>
          <w:color w:val="auto"/>
          <w:sz w:val="32"/>
          <w:szCs w:val="32"/>
          <w:lang w:val="zh-CN"/>
        </w:rPr>
        <w:t>，在不改变合同其他条款的前提下，可以与中标人协商签订补充合同，但所有补充合同的金额不超过原合同金额</w:t>
      </w:r>
      <w:r>
        <w:rPr>
          <w:rFonts w:ascii="Times New Roman" w:hAnsi="Times New Roman" w:eastAsia="方正仿宋_GBK" w:cs="Times New Roman"/>
          <w:color w:val="auto"/>
          <w:sz w:val="32"/>
          <w:szCs w:val="32"/>
        </w:rPr>
        <w:t>的10%</w:t>
      </w:r>
      <w:r>
        <w:rPr>
          <w:rFonts w:ascii="Times New Roman" w:hAnsi="Times New Roman" w:eastAsia="方正仿宋_GBK" w:cs="Times New Roman"/>
          <w:color w:val="auto"/>
          <w:sz w:val="32"/>
          <w:szCs w:val="32"/>
          <w:lang w:val="zh-CN"/>
        </w:rPr>
        <w:t>。</w:t>
      </w:r>
    </w:p>
    <w:p w14:paraId="18911A4C">
      <w:pPr>
        <w:pStyle w:val="195"/>
        <w:spacing w:before="0" w:after="0" w:line="580" w:lineRule="exact"/>
        <w:ind w:firstLine="640" w:firstLineChars="200"/>
        <w:outlineLvl w:val="9"/>
        <w:rPr>
          <w:rFonts w:ascii="Times New Roman" w:hAnsi="Times New Roman" w:eastAsia="方正仿宋_GBK" w:cs="Times New Roman"/>
          <w:b w:val="0"/>
          <w:color w:val="auto"/>
        </w:rPr>
      </w:pPr>
      <w:r>
        <w:rPr>
          <w:rFonts w:ascii="Times New Roman" w:hAnsi="Times New Roman" w:eastAsia="方正仿宋_GBK" w:cs="Times New Roman"/>
          <w:b w:val="0"/>
          <w:color w:val="auto"/>
        </w:rPr>
        <w:t>八、质疑</w:t>
      </w:r>
    </w:p>
    <w:p w14:paraId="11AA83B2">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30．</w:t>
      </w:r>
      <w:r>
        <w:rPr>
          <w:rFonts w:ascii="Times New Roman" w:hAnsi="Times New Roman" w:eastAsia="方正仿宋_GBK" w:cs="Times New Roman"/>
          <w:color w:val="auto"/>
          <w:sz w:val="32"/>
          <w:szCs w:val="32"/>
          <w:lang w:val="zh-CN"/>
        </w:rPr>
        <w:t>提出质疑的投标人应当是参与所质疑项目采购活动的投标人，潜在投标人依法获取其可质疑的采购文件的，可以对采购文件提出质疑。</w:t>
      </w:r>
    </w:p>
    <w:p w14:paraId="558AEBF9">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31．</w:t>
      </w:r>
      <w:r>
        <w:rPr>
          <w:rFonts w:ascii="Times New Roman" w:hAnsi="Times New Roman" w:eastAsia="方正仿宋_GBK" w:cs="Times New Roman"/>
          <w:color w:val="auto"/>
          <w:sz w:val="32"/>
          <w:szCs w:val="32"/>
          <w:lang w:val="zh-CN"/>
        </w:rPr>
        <w:t>投标人认为采购文件、采购过程和采购结果使自己的权益受到损害的，可以在知道或应知其权益受到损害之日起七个工作日内，</w:t>
      </w:r>
      <w:r>
        <w:rPr>
          <w:rFonts w:ascii="Times New Roman" w:hAnsi="Times New Roman" w:eastAsia="方正仿宋_GBK" w:cs="Times New Roman"/>
          <w:color w:val="auto"/>
          <w:sz w:val="32"/>
          <w:szCs w:val="32"/>
        </w:rPr>
        <w:t>按照第34条</w:t>
      </w:r>
      <w:r>
        <w:rPr>
          <w:rFonts w:ascii="Times New Roman" w:hAnsi="Times New Roman" w:eastAsia="方正仿宋_GBK" w:cs="Times New Roman"/>
          <w:color w:val="auto"/>
          <w:sz w:val="32"/>
          <w:szCs w:val="32"/>
          <w:lang w:val="zh-CN"/>
        </w:rPr>
        <w:t>、</w:t>
      </w:r>
      <w:r>
        <w:rPr>
          <w:rFonts w:ascii="Times New Roman" w:hAnsi="Times New Roman" w:eastAsia="方正仿宋_GBK" w:cs="Times New Roman"/>
          <w:color w:val="auto"/>
          <w:sz w:val="32"/>
          <w:szCs w:val="32"/>
        </w:rPr>
        <w:t>第35</w:t>
      </w:r>
      <w:r>
        <w:rPr>
          <w:rFonts w:ascii="Times New Roman" w:hAnsi="Times New Roman" w:eastAsia="方正仿宋_GBK" w:cs="Times New Roman"/>
          <w:color w:val="auto"/>
          <w:sz w:val="32"/>
          <w:szCs w:val="32"/>
          <w:lang w:val="zh-CN"/>
        </w:rPr>
        <w:t>条</w:t>
      </w:r>
      <w:r>
        <w:rPr>
          <w:rFonts w:ascii="Times New Roman" w:hAnsi="Times New Roman" w:eastAsia="方正仿宋_GBK" w:cs="Times New Roman"/>
          <w:color w:val="auto"/>
          <w:sz w:val="32"/>
          <w:szCs w:val="32"/>
        </w:rPr>
        <w:t>之</w:t>
      </w:r>
      <w:r>
        <w:rPr>
          <w:rFonts w:ascii="Times New Roman" w:hAnsi="Times New Roman" w:eastAsia="方正仿宋_GBK" w:cs="Times New Roman"/>
          <w:color w:val="auto"/>
          <w:sz w:val="32"/>
          <w:szCs w:val="32"/>
          <w:lang w:val="zh-CN"/>
        </w:rPr>
        <w:t>规定以书面形式向</w:t>
      </w:r>
      <w:r>
        <w:rPr>
          <w:rFonts w:ascii="Times New Roman" w:hAnsi="Times New Roman" w:eastAsia="方正仿宋_GBK" w:cs="Times New Roman"/>
          <w:color w:val="auto"/>
          <w:sz w:val="32"/>
          <w:szCs w:val="32"/>
        </w:rPr>
        <w:t>代理机构</w:t>
      </w:r>
      <w:r>
        <w:rPr>
          <w:rFonts w:ascii="Times New Roman" w:hAnsi="Times New Roman" w:eastAsia="方正仿宋_GBK" w:cs="Times New Roman"/>
          <w:color w:val="auto"/>
          <w:sz w:val="32"/>
          <w:szCs w:val="32"/>
          <w:lang w:val="zh-CN"/>
        </w:rPr>
        <w:t>或采购人提出质疑。上述应知其权益受到损害之日是指：</w:t>
      </w:r>
    </w:p>
    <w:p w14:paraId="4D8BA505">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 xml:space="preserve">31.1 </w:t>
      </w:r>
      <w:r>
        <w:rPr>
          <w:rFonts w:ascii="Times New Roman" w:hAnsi="Times New Roman" w:eastAsia="方正仿宋_GBK" w:cs="Times New Roman"/>
          <w:color w:val="auto"/>
          <w:sz w:val="32"/>
          <w:szCs w:val="32"/>
          <w:lang w:val="zh-CN"/>
        </w:rPr>
        <w:t>对采购文件提出质疑的，为收到采购文件之日或者采购文件公告期限届满之日。</w:t>
      </w:r>
    </w:p>
    <w:p w14:paraId="01468A6F">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31.2</w:t>
      </w:r>
      <w:r>
        <w:rPr>
          <w:rFonts w:ascii="Times New Roman" w:hAnsi="Times New Roman" w:eastAsia="方正仿宋_GBK" w:cs="Times New Roman"/>
          <w:color w:val="auto"/>
          <w:sz w:val="32"/>
          <w:szCs w:val="32"/>
          <w:lang w:val="zh-CN"/>
        </w:rPr>
        <w:t xml:space="preserve"> 对采购过程提出质疑的，为各采购程序环节结束之日。</w:t>
      </w:r>
    </w:p>
    <w:p w14:paraId="0A398118">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 xml:space="preserve">31.3 </w:t>
      </w:r>
      <w:r>
        <w:rPr>
          <w:rFonts w:ascii="Times New Roman" w:hAnsi="Times New Roman" w:eastAsia="方正仿宋_GBK" w:cs="Times New Roman"/>
          <w:color w:val="auto"/>
          <w:sz w:val="32"/>
          <w:szCs w:val="32"/>
          <w:lang w:val="zh-CN"/>
        </w:rPr>
        <w:t>对中标或者成交结果提出质疑的，为中标或者成交结果公告期限届满之日。</w:t>
      </w:r>
    </w:p>
    <w:p w14:paraId="5B1A351C">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32．</w:t>
      </w:r>
      <w:r>
        <w:rPr>
          <w:rFonts w:ascii="Times New Roman" w:hAnsi="Times New Roman" w:eastAsia="方正仿宋_GBK" w:cs="Times New Roman"/>
          <w:color w:val="auto"/>
          <w:sz w:val="32"/>
          <w:szCs w:val="32"/>
          <w:lang w:val="zh-CN"/>
        </w:rPr>
        <w:t>投标人应当在法定质疑期内一次性提出针对同一采购程序环节的质疑。投标人如在法定期限内对同一采购程序环节提出多次质疑的，</w:t>
      </w:r>
      <w:r>
        <w:rPr>
          <w:rFonts w:ascii="Times New Roman" w:hAnsi="Times New Roman" w:eastAsia="方正仿宋_GBK" w:cs="Times New Roman"/>
          <w:color w:val="auto"/>
          <w:sz w:val="32"/>
          <w:szCs w:val="32"/>
        </w:rPr>
        <w:t>代理机构</w:t>
      </w:r>
      <w:r>
        <w:rPr>
          <w:rFonts w:ascii="Times New Roman" w:hAnsi="Times New Roman" w:eastAsia="方正仿宋_GBK" w:cs="Times New Roman"/>
          <w:color w:val="auto"/>
          <w:sz w:val="32"/>
          <w:szCs w:val="32"/>
          <w:lang w:val="zh-CN"/>
        </w:rPr>
        <w:t>或采购人将只对投标人第一次质疑作出答复。</w:t>
      </w:r>
    </w:p>
    <w:p w14:paraId="17744BC7">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33．</w:t>
      </w:r>
      <w:r>
        <w:rPr>
          <w:rFonts w:ascii="Times New Roman" w:hAnsi="Times New Roman" w:eastAsia="方正仿宋_GBK" w:cs="Times New Roman"/>
          <w:color w:val="auto"/>
          <w:sz w:val="32"/>
          <w:szCs w:val="32"/>
          <w:lang w:val="zh-CN"/>
        </w:rPr>
        <w:t>投标人提出质疑应提交《质疑函》原件</w:t>
      </w:r>
      <w:r>
        <w:rPr>
          <w:rFonts w:hint="eastAsia" w:ascii="Times New Roman" w:hAnsi="Times New Roman" w:eastAsia="方正仿宋_GBK" w:cs="Times New Roman"/>
          <w:color w:val="auto"/>
          <w:sz w:val="32"/>
          <w:szCs w:val="32"/>
          <w:lang w:val="zh-CN"/>
        </w:rPr>
        <w:t>，</w:t>
      </w:r>
      <w:r>
        <w:rPr>
          <w:rFonts w:ascii="Times New Roman" w:hAnsi="Times New Roman" w:eastAsia="方正仿宋_GBK" w:cs="Times New Roman"/>
          <w:color w:val="auto"/>
          <w:sz w:val="32"/>
          <w:szCs w:val="32"/>
          <w:lang w:val="zh-CN"/>
        </w:rPr>
        <w:t>且尽可能通过邮寄方式送达，</w:t>
      </w:r>
      <w:r>
        <w:rPr>
          <w:rFonts w:ascii="Times New Roman" w:hAnsi="Times New Roman" w:eastAsia="方正仿宋_GBK" w:cs="Times New Roman"/>
          <w:color w:val="auto"/>
          <w:sz w:val="32"/>
          <w:szCs w:val="32"/>
        </w:rPr>
        <w:t>代理机构</w:t>
      </w:r>
      <w:r>
        <w:rPr>
          <w:rFonts w:ascii="Times New Roman" w:hAnsi="Times New Roman" w:eastAsia="方正仿宋_GBK" w:cs="Times New Roman"/>
          <w:color w:val="auto"/>
          <w:sz w:val="32"/>
          <w:szCs w:val="32"/>
          <w:lang w:val="zh-CN"/>
        </w:rPr>
        <w:t>和采购人不接受无运单的快件。《质疑函》应按照本招标文件中《质疑函范本》</w:t>
      </w:r>
      <w:r>
        <w:rPr>
          <w:rFonts w:ascii="Times New Roman" w:hAnsi="Times New Roman" w:eastAsia="方正仿宋_GBK" w:cs="Times New Roman"/>
          <w:color w:val="auto"/>
          <w:sz w:val="32"/>
          <w:szCs w:val="32"/>
        </w:rPr>
        <w:t>的</w:t>
      </w:r>
      <w:r>
        <w:rPr>
          <w:rFonts w:ascii="Times New Roman" w:hAnsi="Times New Roman" w:eastAsia="方正仿宋_GBK" w:cs="Times New Roman"/>
          <w:color w:val="auto"/>
          <w:sz w:val="32"/>
          <w:szCs w:val="32"/>
          <w:lang w:val="zh-CN"/>
        </w:rPr>
        <w:t>格式和内容填写。</w:t>
      </w:r>
    </w:p>
    <w:p w14:paraId="2D012E74">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lang w:val="zh-CN"/>
        </w:rPr>
        <w:t>投标人如组成联合体参加投标，《质疑函范本》中要求加盖公章之处，联合体各方均须按要求加盖公章。</w:t>
      </w:r>
    </w:p>
    <w:p w14:paraId="05B4D7F9">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34．</w:t>
      </w:r>
      <w:r>
        <w:rPr>
          <w:rFonts w:ascii="Times New Roman" w:hAnsi="Times New Roman" w:eastAsia="方正仿宋_GBK" w:cs="Times New Roman"/>
          <w:color w:val="auto"/>
          <w:sz w:val="32"/>
          <w:szCs w:val="32"/>
          <w:lang w:val="zh-CN"/>
        </w:rPr>
        <w:t>投标人（含潜在投标人）对采购方式、采购需求、投标人资格条件及审查结果、评标方法和评标标准、合同文本的询问、质疑向采购人或采购代理机构提出，由采购人或采购代理机构负责答复。投标人对除上述事项以外其他事项的询问、质疑向</w:t>
      </w:r>
      <w:r>
        <w:rPr>
          <w:rFonts w:ascii="Times New Roman" w:hAnsi="Times New Roman" w:eastAsia="方正仿宋_GBK" w:cs="Times New Roman"/>
          <w:color w:val="auto"/>
          <w:sz w:val="32"/>
          <w:szCs w:val="32"/>
        </w:rPr>
        <w:t>代理机构</w:t>
      </w:r>
      <w:r>
        <w:rPr>
          <w:rFonts w:ascii="Times New Roman" w:hAnsi="Times New Roman" w:eastAsia="方正仿宋_GBK" w:cs="Times New Roman"/>
          <w:color w:val="auto"/>
          <w:sz w:val="32"/>
          <w:szCs w:val="32"/>
          <w:lang w:val="zh-CN"/>
        </w:rPr>
        <w:t>提出，由</w:t>
      </w:r>
      <w:r>
        <w:rPr>
          <w:rFonts w:ascii="Times New Roman" w:hAnsi="Times New Roman" w:eastAsia="方正仿宋_GBK" w:cs="Times New Roman"/>
          <w:color w:val="auto"/>
          <w:sz w:val="32"/>
          <w:szCs w:val="32"/>
        </w:rPr>
        <w:t>代理机构</w:t>
      </w:r>
      <w:r>
        <w:rPr>
          <w:rFonts w:ascii="Times New Roman" w:hAnsi="Times New Roman" w:eastAsia="方正仿宋_GBK" w:cs="Times New Roman"/>
          <w:color w:val="auto"/>
          <w:sz w:val="32"/>
          <w:szCs w:val="32"/>
          <w:lang w:val="zh-CN"/>
        </w:rPr>
        <w:t>负责答复。</w:t>
      </w:r>
    </w:p>
    <w:p w14:paraId="05CE1E43">
      <w:pPr>
        <w:spacing w:line="580" w:lineRule="exact"/>
        <w:ind w:firstLine="640" w:firstLineChars="20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代理机构</w:t>
      </w:r>
      <w:r>
        <w:rPr>
          <w:rFonts w:ascii="Times New Roman" w:hAnsi="Times New Roman" w:eastAsia="方正仿宋_GBK" w:cs="Times New Roman"/>
          <w:color w:val="auto"/>
          <w:sz w:val="32"/>
          <w:szCs w:val="32"/>
          <w:lang w:val="zh-CN"/>
        </w:rPr>
        <w:t>《质疑</w:t>
      </w:r>
      <w:r>
        <w:rPr>
          <w:rFonts w:ascii="Times New Roman" w:hAnsi="Times New Roman" w:eastAsia="方正仿宋_GBK" w:cs="Times New Roman"/>
          <w:color w:val="auto"/>
          <w:sz w:val="32"/>
          <w:szCs w:val="32"/>
        </w:rPr>
        <w:t>函</w:t>
      </w:r>
      <w:r>
        <w:rPr>
          <w:rFonts w:ascii="Times New Roman" w:hAnsi="Times New Roman" w:eastAsia="方正仿宋_GBK" w:cs="Times New Roman"/>
          <w:color w:val="auto"/>
          <w:sz w:val="32"/>
          <w:szCs w:val="32"/>
          <w:lang w:val="zh-CN"/>
        </w:rPr>
        <w:t>》接收部门为</w:t>
      </w:r>
      <w:r>
        <w:rPr>
          <w:rFonts w:ascii="Times New Roman" w:hAnsi="Times New Roman" w:eastAsia="方正仿宋_GBK" w:cs="Times New Roman"/>
          <w:color w:val="auto"/>
          <w:sz w:val="32"/>
          <w:szCs w:val="32"/>
        </w:rPr>
        <w:t>招标代理事业部</w:t>
      </w:r>
      <w:r>
        <w:rPr>
          <w:rFonts w:ascii="Times New Roman" w:hAnsi="Times New Roman" w:eastAsia="方正仿宋_GBK" w:cs="Times New Roman"/>
          <w:color w:val="auto"/>
          <w:sz w:val="32"/>
          <w:szCs w:val="32"/>
          <w:lang w:val="zh-CN"/>
        </w:rPr>
        <w:t>。收件人：</w:t>
      </w:r>
      <w:r>
        <w:rPr>
          <w:rFonts w:ascii="Times New Roman" w:hAnsi="Times New Roman" w:eastAsia="方正仿宋_GBK" w:cs="Times New Roman"/>
          <w:color w:val="auto"/>
          <w:sz w:val="32"/>
          <w:szCs w:val="32"/>
        </w:rPr>
        <w:t>江苏中博通信有限公司</w:t>
      </w:r>
      <w:r>
        <w:rPr>
          <w:rFonts w:ascii="Times New Roman" w:hAnsi="Times New Roman" w:eastAsia="方正仿宋_GBK" w:cs="Times New Roman"/>
          <w:color w:val="auto"/>
          <w:sz w:val="32"/>
          <w:szCs w:val="32"/>
          <w:lang w:val="zh-CN"/>
        </w:rPr>
        <w:t>，地址：南京市</w:t>
      </w:r>
      <w:r>
        <w:rPr>
          <w:rFonts w:ascii="Times New Roman" w:hAnsi="Times New Roman" w:eastAsia="方正仿宋_GBK" w:cs="Times New Roman"/>
          <w:color w:val="auto"/>
          <w:sz w:val="32"/>
          <w:szCs w:val="32"/>
        </w:rPr>
        <w:t>鼓楼区镇江路13号5号楼</w:t>
      </w:r>
      <w:r>
        <w:rPr>
          <w:rFonts w:ascii="Times New Roman" w:hAnsi="Times New Roman" w:eastAsia="方正仿宋_GBK" w:cs="Times New Roman"/>
          <w:color w:val="auto"/>
          <w:sz w:val="32"/>
          <w:szCs w:val="32"/>
          <w:lang w:val="zh-CN"/>
        </w:rPr>
        <w:t>。</w:t>
      </w:r>
      <w:r>
        <w:rPr>
          <w:rFonts w:ascii="Times New Roman" w:hAnsi="Times New Roman" w:eastAsia="方正仿宋_GBK" w:cs="Times New Roman"/>
          <w:color w:val="auto"/>
          <w:sz w:val="32"/>
          <w:szCs w:val="32"/>
        </w:rPr>
        <w:t xml:space="preserve">  </w:t>
      </w:r>
    </w:p>
    <w:p w14:paraId="4F6BA9A9">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35．</w:t>
      </w:r>
      <w:r>
        <w:rPr>
          <w:rFonts w:ascii="Times New Roman" w:hAnsi="Times New Roman" w:eastAsia="方正仿宋_GBK" w:cs="Times New Roman"/>
          <w:color w:val="auto"/>
          <w:sz w:val="32"/>
          <w:szCs w:val="32"/>
          <w:lang w:val="zh-CN"/>
        </w:rPr>
        <w:t>以下情形的质疑不予受理：</w:t>
      </w:r>
    </w:p>
    <w:p w14:paraId="70589082">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35.1</w:t>
      </w:r>
      <w:r>
        <w:rPr>
          <w:rFonts w:ascii="Times New Roman" w:hAnsi="Times New Roman" w:eastAsia="方正仿宋_GBK" w:cs="Times New Roman"/>
          <w:color w:val="auto"/>
          <w:sz w:val="32"/>
          <w:szCs w:val="32"/>
          <w:lang w:val="zh-CN"/>
        </w:rPr>
        <w:t xml:space="preserve"> 内容不符合《政府采购质疑和投诉办法》第十二条规定的质疑。</w:t>
      </w:r>
    </w:p>
    <w:p w14:paraId="10ACBC72">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35.2</w:t>
      </w:r>
      <w:r>
        <w:rPr>
          <w:rFonts w:ascii="Times New Roman" w:hAnsi="Times New Roman" w:eastAsia="方正仿宋_GBK" w:cs="Times New Roman"/>
          <w:color w:val="auto"/>
          <w:sz w:val="32"/>
          <w:szCs w:val="32"/>
          <w:lang w:val="zh-CN"/>
        </w:rPr>
        <w:t xml:space="preserve"> 超出政府采购法定期限的质疑。</w:t>
      </w:r>
    </w:p>
    <w:p w14:paraId="4DC62693">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35.3</w:t>
      </w:r>
      <w:r>
        <w:rPr>
          <w:rFonts w:ascii="Times New Roman" w:hAnsi="Times New Roman" w:eastAsia="方正仿宋_GBK" w:cs="Times New Roman"/>
          <w:color w:val="auto"/>
          <w:sz w:val="32"/>
          <w:szCs w:val="32"/>
          <w:lang w:val="zh-CN"/>
        </w:rPr>
        <w:t xml:space="preserve"> 以传真、电子邮件等方式递交的非原件形式的质疑。</w:t>
      </w:r>
    </w:p>
    <w:p w14:paraId="56CCE616">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35.4</w:t>
      </w:r>
      <w:r>
        <w:rPr>
          <w:rFonts w:ascii="Times New Roman" w:hAnsi="Times New Roman" w:eastAsia="方正仿宋_GBK" w:cs="Times New Roman"/>
          <w:color w:val="auto"/>
          <w:sz w:val="32"/>
          <w:szCs w:val="32"/>
          <w:lang w:val="zh-CN"/>
        </w:rPr>
        <w:t xml:space="preserve"> 未参加投标活动的投标人或在投标活动中自身权益未受到损害的投标人所提出的质疑。</w:t>
      </w:r>
    </w:p>
    <w:p w14:paraId="252DC323">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35</w:t>
      </w:r>
      <w:r>
        <w:rPr>
          <w:rFonts w:ascii="Times New Roman" w:hAnsi="Times New Roman" w:eastAsia="方正仿宋_GBK" w:cs="Times New Roman"/>
          <w:color w:val="auto"/>
          <w:sz w:val="32"/>
          <w:szCs w:val="32"/>
          <w:lang w:val="zh-CN"/>
        </w:rPr>
        <w:t>.5 投标人组成联合体参加投标，联合体中任何一方或多方未按要求签字</w:t>
      </w:r>
      <w:r>
        <w:rPr>
          <w:rFonts w:ascii="Times New Roman" w:hAnsi="Times New Roman" w:eastAsia="方正仿宋_GBK" w:cs="Times New Roman"/>
          <w:color w:val="auto"/>
          <w:sz w:val="32"/>
          <w:szCs w:val="32"/>
        </w:rPr>
        <w:t>或签章</w:t>
      </w:r>
      <w:r>
        <w:rPr>
          <w:rFonts w:ascii="Times New Roman" w:hAnsi="Times New Roman" w:eastAsia="方正仿宋_GBK" w:cs="Times New Roman"/>
          <w:color w:val="auto"/>
          <w:sz w:val="32"/>
          <w:szCs w:val="32"/>
          <w:lang w:val="zh-CN"/>
        </w:rPr>
        <w:t>、加盖公章的质疑。</w:t>
      </w:r>
    </w:p>
    <w:p w14:paraId="0DA3B3E9">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35.6</w:t>
      </w:r>
      <w:r>
        <w:rPr>
          <w:rFonts w:hint="eastAsia" w:ascii="Times New Roman" w:hAnsi="Times New Roman" w:eastAsia="方正仿宋_GBK" w:cs="Times New Roman"/>
          <w:color w:val="auto"/>
          <w:sz w:val="32"/>
          <w:szCs w:val="32"/>
        </w:rPr>
        <w:t xml:space="preserve"> </w:t>
      </w:r>
      <w:r>
        <w:rPr>
          <w:rFonts w:ascii="Times New Roman" w:hAnsi="Times New Roman" w:eastAsia="方正仿宋_GBK" w:cs="Times New Roman"/>
          <w:color w:val="auto"/>
          <w:sz w:val="32"/>
          <w:szCs w:val="32"/>
          <w:lang w:val="zh-CN"/>
        </w:rPr>
        <w:t>法律法规规定的</w:t>
      </w:r>
      <w:r>
        <w:rPr>
          <w:rFonts w:ascii="Times New Roman" w:hAnsi="Times New Roman" w:eastAsia="方正仿宋_GBK" w:cs="Times New Roman"/>
          <w:color w:val="auto"/>
          <w:sz w:val="32"/>
          <w:szCs w:val="32"/>
        </w:rPr>
        <w:t>其他</w:t>
      </w:r>
      <w:r>
        <w:rPr>
          <w:rFonts w:ascii="Times New Roman" w:hAnsi="Times New Roman" w:eastAsia="方正仿宋_GBK" w:cs="Times New Roman"/>
          <w:color w:val="auto"/>
          <w:sz w:val="32"/>
          <w:szCs w:val="32"/>
          <w:lang w:val="zh-CN"/>
        </w:rPr>
        <w:t>不予受理情形。</w:t>
      </w:r>
    </w:p>
    <w:p w14:paraId="5C39A3EC">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36．</w:t>
      </w:r>
      <w:r>
        <w:rPr>
          <w:rFonts w:ascii="Times New Roman" w:hAnsi="Times New Roman" w:eastAsia="方正仿宋_GBK" w:cs="Times New Roman"/>
          <w:color w:val="auto"/>
          <w:sz w:val="32"/>
          <w:szCs w:val="32"/>
          <w:lang w:val="zh-CN"/>
        </w:rPr>
        <w:t>投标人提出书面质疑必须有理、有据，不得捏造事实、提供虚假材料进行恶意质疑。否则，一经查实，</w:t>
      </w:r>
      <w:r>
        <w:rPr>
          <w:rFonts w:ascii="Times New Roman" w:hAnsi="Times New Roman" w:eastAsia="方正仿宋_GBK" w:cs="Times New Roman"/>
          <w:color w:val="auto"/>
          <w:sz w:val="32"/>
          <w:szCs w:val="32"/>
        </w:rPr>
        <w:t>代理机构</w:t>
      </w:r>
      <w:r>
        <w:rPr>
          <w:rFonts w:ascii="Times New Roman" w:hAnsi="Times New Roman" w:eastAsia="方正仿宋_GBK" w:cs="Times New Roman"/>
          <w:color w:val="auto"/>
          <w:sz w:val="32"/>
          <w:szCs w:val="32"/>
          <w:lang w:val="zh-CN"/>
        </w:rPr>
        <w:t>或采购人有权依据政府采购的有关规定，报请政府采购监管部门对该投标人进行相应的行政处罚和记录该投标人的失信信息。</w:t>
      </w:r>
    </w:p>
    <w:p w14:paraId="2A526A01">
      <w:pPr>
        <w:pStyle w:val="195"/>
        <w:spacing w:before="0" w:after="0" w:line="580" w:lineRule="exact"/>
        <w:ind w:firstLine="640" w:firstLineChars="200"/>
        <w:outlineLvl w:val="9"/>
        <w:rPr>
          <w:rFonts w:ascii="Times New Roman" w:hAnsi="Times New Roman" w:eastAsia="方正仿宋_GBK" w:cs="Times New Roman"/>
          <w:b w:val="0"/>
          <w:color w:val="auto"/>
        </w:rPr>
      </w:pPr>
      <w:r>
        <w:rPr>
          <w:rFonts w:ascii="Times New Roman" w:hAnsi="Times New Roman" w:eastAsia="方正仿宋_GBK" w:cs="Times New Roman"/>
          <w:b w:val="0"/>
          <w:color w:val="auto"/>
        </w:rPr>
        <w:t>九、政策功能落实</w:t>
      </w:r>
    </w:p>
    <w:p w14:paraId="36B976F7">
      <w:pPr>
        <w:pStyle w:val="45"/>
        <w:spacing w:before="0" w:after="0" w:line="580" w:lineRule="exact"/>
        <w:ind w:firstLine="640" w:firstLineChars="200"/>
        <w:outlineLvl w:val="9"/>
        <w:rPr>
          <w:rFonts w:ascii="Times New Roman" w:hAnsi="Times New Roman" w:eastAsia="方正仿宋_GBK" w:cs="Times New Roman"/>
          <w:b w:val="0"/>
          <w:bCs/>
          <w:color w:val="auto"/>
          <w:sz w:val="32"/>
          <w:szCs w:val="32"/>
          <w:lang w:val="zh-CN"/>
        </w:rPr>
      </w:pPr>
      <w:r>
        <w:rPr>
          <w:rFonts w:ascii="Times New Roman" w:hAnsi="Times New Roman" w:eastAsia="方正仿宋_GBK" w:cs="Times New Roman"/>
          <w:b w:val="0"/>
          <w:color w:val="auto"/>
          <w:sz w:val="32"/>
          <w:szCs w:val="32"/>
        </w:rPr>
        <w:t>37．</w:t>
      </w:r>
      <w:r>
        <w:rPr>
          <w:rFonts w:ascii="Times New Roman" w:hAnsi="Times New Roman" w:eastAsia="方正仿宋_GBK" w:cs="Times New Roman"/>
          <w:b w:val="0"/>
          <w:bCs/>
          <w:color w:val="auto"/>
          <w:sz w:val="32"/>
          <w:szCs w:val="32"/>
          <w:lang w:val="zh-CN"/>
        </w:rPr>
        <w:t>促进中小企业发展</w:t>
      </w:r>
    </w:p>
    <w:p w14:paraId="0415A9F7">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 xml:space="preserve">37.1 </w:t>
      </w:r>
      <w:r>
        <w:rPr>
          <w:rFonts w:ascii="Times New Roman" w:hAnsi="Times New Roman" w:eastAsia="方正仿宋_GBK" w:cs="Times New Roman"/>
          <w:color w:val="auto"/>
          <w:sz w:val="32"/>
          <w:szCs w:val="32"/>
          <w:lang w:val="zh-CN"/>
        </w:rPr>
        <w:t>在政府采购活动中，投标人提供的货物或者服务符合下列情形的，享受中小企业扶持政策：</w:t>
      </w:r>
    </w:p>
    <w:p w14:paraId="4E26201A">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lang w:val="zh-CN"/>
        </w:rPr>
        <w:t>（</w:t>
      </w:r>
      <w:r>
        <w:rPr>
          <w:rFonts w:ascii="Times New Roman" w:hAnsi="Times New Roman" w:eastAsia="方正仿宋_GBK" w:cs="Times New Roman"/>
          <w:color w:val="auto"/>
          <w:sz w:val="32"/>
          <w:szCs w:val="32"/>
        </w:rPr>
        <w:t>1</w:t>
      </w:r>
      <w:r>
        <w:rPr>
          <w:rFonts w:ascii="Times New Roman" w:hAnsi="Times New Roman" w:eastAsia="方正仿宋_GBK" w:cs="Times New Roman"/>
          <w:color w:val="auto"/>
          <w:sz w:val="32"/>
          <w:szCs w:val="32"/>
          <w:lang w:val="zh-CN"/>
        </w:rPr>
        <w:t>）在货物</w:t>
      </w:r>
      <w:r>
        <w:rPr>
          <w:rFonts w:ascii="Times New Roman" w:hAnsi="Times New Roman" w:eastAsia="方正仿宋_GBK" w:cs="Times New Roman"/>
          <w:color w:val="auto"/>
          <w:sz w:val="32"/>
          <w:szCs w:val="32"/>
        </w:rPr>
        <w:t>采购</w:t>
      </w:r>
      <w:r>
        <w:rPr>
          <w:rFonts w:ascii="Times New Roman" w:hAnsi="Times New Roman" w:eastAsia="方正仿宋_GBK" w:cs="Times New Roman"/>
          <w:color w:val="auto"/>
          <w:sz w:val="32"/>
          <w:szCs w:val="32"/>
          <w:lang w:val="zh-CN"/>
        </w:rPr>
        <w:t>项目中，</w:t>
      </w:r>
      <w:r>
        <w:rPr>
          <w:rFonts w:ascii="Times New Roman" w:hAnsi="Times New Roman" w:eastAsia="方正仿宋_GBK" w:cs="Times New Roman"/>
          <w:color w:val="auto"/>
          <w:sz w:val="32"/>
          <w:szCs w:val="32"/>
        </w:rPr>
        <w:t>全部</w:t>
      </w:r>
      <w:r>
        <w:rPr>
          <w:rFonts w:ascii="Times New Roman" w:hAnsi="Times New Roman" w:eastAsia="方正仿宋_GBK" w:cs="Times New Roman"/>
          <w:color w:val="auto"/>
          <w:sz w:val="32"/>
          <w:szCs w:val="32"/>
          <w:lang w:val="zh-CN"/>
        </w:rPr>
        <w:t>货物由中小企业制造；</w:t>
      </w:r>
    </w:p>
    <w:p w14:paraId="27AA6834">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lang w:val="zh-CN"/>
        </w:rPr>
        <w:t>（</w:t>
      </w:r>
      <w:r>
        <w:rPr>
          <w:rFonts w:ascii="Times New Roman" w:hAnsi="Times New Roman" w:eastAsia="方正仿宋_GBK" w:cs="Times New Roman"/>
          <w:color w:val="auto"/>
          <w:sz w:val="32"/>
          <w:szCs w:val="32"/>
        </w:rPr>
        <w:t>2</w:t>
      </w:r>
      <w:r>
        <w:rPr>
          <w:rFonts w:ascii="Times New Roman" w:hAnsi="Times New Roman" w:eastAsia="方正仿宋_GBK" w:cs="Times New Roman"/>
          <w:color w:val="auto"/>
          <w:sz w:val="32"/>
          <w:szCs w:val="32"/>
          <w:lang w:val="zh-CN"/>
        </w:rPr>
        <w:t>）在服务</w:t>
      </w:r>
      <w:r>
        <w:rPr>
          <w:rFonts w:ascii="Times New Roman" w:hAnsi="Times New Roman" w:eastAsia="方正仿宋_GBK" w:cs="Times New Roman"/>
          <w:color w:val="auto"/>
          <w:sz w:val="32"/>
          <w:szCs w:val="32"/>
        </w:rPr>
        <w:t>采购</w:t>
      </w:r>
      <w:r>
        <w:rPr>
          <w:rFonts w:ascii="Times New Roman" w:hAnsi="Times New Roman" w:eastAsia="方正仿宋_GBK" w:cs="Times New Roman"/>
          <w:color w:val="auto"/>
          <w:sz w:val="32"/>
          <w:szCs w:val="32"/>
          <w:lang w:val="zh-CN"/>
        </w:rPr>
        <w:t>项目中，服务由中小企业承接。</w:t>
      </w:r>
    </w:p>
    <w:p w14:paraId="4F6C55CD">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 xml:space="preserve">37.2 </w:t>
      </w:r>
      <w:r>
        <w:rPr>
          <w:rFonts w:ascii="Times New Roman" w:hAnsi="Times New Roman" w:eastAsia="方正仿宋_GBK" w:cs="Times New Roman"/>
          <w:color w:val="auto"/>
          <w:sz w:val="32"/>
          <w:szCs w:val="32"/>
          <w:lang w:val="zh-CN"/>
        </w:rPr>
        <w:t>中小企业是指在中华人民共和国境内依法设立，依据国务院批准的中小企业划分标准（详见《关于印发中小企业划型标准规定的通知》（工信部联企业</w:t>
      </w:r>
      <w:r>
        <w:rPr>
          <w:rFonts w:ascii="Times New Roman" w:hAnsi="Times New Roman" w:eastAsia="方正仿宋_GBK" w:cs="Times New Roman"/>
          <w:color w:val="auto"/>
          <w:sz w:val="32"/>
          <w:szCs w:val="32"/>
        </w:rPr>
        <w:t>〔2011〕300</w:t>
      </w:r>
      <w:r>
        <w:rPr>
          <w:rFonts w:ascii="Times New Roman" w:hAnsi="Times New Roman" w:eastAsia="方正仿宋_GBK" w:cs="Times New Roman"/>
          <w:color w:val="auto"/>
          <w:sz w:val="32"/>
          <w:szCs w:val="32"/>
          <w:lang w:val="zh-CN"/>
        </w:rPr>
        <w:t>号）、《国家统计局关于印发&lt;统计上大中小微型企业划分办法（</w:t>
      </w:r>
      <w:r>
        <w:rPr>
          <w:rFonts w:ascii="Times New Roman" w:hAnsi="Times New Roman" w:eastAsia="方正仿宋_GBK" w:cs="Times New Roman"/>
          <w:color w:val="auto"/>
          <w:sz w:val="32"/>
          <w:szCs w:val="32"/>
        </w:rPr>
        <w:t>2017</w:t>
      </w:r>
      <w:r>
        <w:rPr>
          <w:rFonts w:ascii="Times New Roman" w:hAnsi="Times New Roman" w:eastAsia="方正仿宋_GBK" w:cs="Times New Roman"/>
          <w:color w:val="auto"/>
          <w:sz w:val="32"/>
          <w:szCs w:val="32"/>
          <w:lang w:val="zh-CN"/>
        </w:rPr>
        <w:t>）&gt;的通知》（国统字</w:t>
      </w:r>
      <w:r>
        <w:rPr>
          <w:rFonts w:ascii="Times New Roman" w:hAnsi="Times New Roman" w:eastAsia="方正仿宋_GBK" w:cs="Times New Roman"/>
          <w:color w:val="auto"/>
          <w:sz w:val="32"/>
          <w:szCs w:val="32"/>
        </w:rPr>
        <w:t>〔2017〕213</w:t>
      </w:r>
      <w:r>
        <w:rPr>
          <w:rFonts w:ascii="Times New Roman" w:hAnsi="Times New Roman" w:eastAsia="方正仿宋_GBK" w:cs="Times New Roman"/>
          <w:color w:val="auto"/>
          <w:sz w:val="32"/>
          <w:szCs w:val="32"/>
          <w:lang w:val="zh-CN"/>
        </w:rPr>
        <w:t>号））确定的中型企业、小型企业和微型企业，但与大企业的负责人为同一人，或者与大企业存在直接控股、管理关系的除外。符合中小企业划分标准的个体工商户，在政府采购活动中视同中小企业。</w:t>
      </w:r>
    </w:p>
    <w:p w14:paraId="0A247B2F">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 xml:space="preserve">37.3 </w:t>
      </w:r>
      <w:r>
        <w:rPr>
          <w:rFonts w:ascii="Times New Roman" w:hAnsi="Times New Roman" w:eastAsia="方正仿宋_GBK" w:cs="Times New Roman"/>
          <w:color w:val="auto"/>
          <w:sz w:val="32"/>
          <w:szCs w:val="32"/>
          <w:lang w:val="zh-CN"/>
        </w:rPr>
        <w:t>中小企业参加政府采购活动，应当出具《中小企业声明函》，否则不享受相关中小企业</w:t>
      </w:r>
      <w:r>
        <w:rPr>
          <w:rFonts w:ascii="Times New Roman" w:hAnsi="Times New Roman" w:eastAsia="方正仿宋_GBK" w:cs="Times New Roman"/>
          <w:color w:val="auto"/>
          <w:sz w:val="32"/>
          <w:szCs w:val="32"/>
        </w:rPr>
        <w:t>支持</w:t>
      </w:r>
      <w:r>
        <w:rPr>
          <w:rFonts w:ascii="Times New Roman" w:hAnsi="Times New Roman" w:eastAsia="方正仿宋_GBK" w:cs="Times New Roman"/>
          <w:color w:val="auto"/>
          <w:sz w:val="32"/>
          <w:szCs w:val="32"/>
          <w:lang w:val="zh-CN"/>
        </w:rPr>
        <w:t>政策。</w:t>
      </w:r>
    </w:p>
    <w:p w14:paraId="0F1A5E7A">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 xml:space="preserve">37.4 </w:t>
      </w:r>
      <w:r>
        <w:rPr>
          <w:rFonts w:ascii="Times New Roman" w:hAnsi="Times New Roman" w:eastAsia="方正仿宋_GBK" w:cs="Times New Roman"/>
          <w:color w:val="auto"/>
          <w:sz w:val="32"/>
          <w:szCs w:val="32"/>
          <w:lang w:val="zh-CN"/>
        </w:rPr>
        <w:t>以联合体形式参加政府采购活动，联合体各方均为中小企业的，联合体视同中小企业。其中，联合体各方均为小微企业的，联合体视同小微企业。</w:t>
      </w:r>
    </w:p>
    <w:p w14:paraId="09269536">
      <w:pPr>
        <w:spacing w:line="580" w:lineRule="exact"/>
        <w:ind w:firstLine="640" w:firstLineChars="20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37.5监狱和戒毒企业（简称监狱企业）视同小型、微型企业</w:t>
      </w:r>
      <w:r>
        <w:rPr>
          <w:rFonts w:ascii="Times New Roman" w:hAnsi="Times New Roman" w:eastAsia="方正仿宋_GBK" w:cs="Times New Roman"/>
          <w:color w:val="auto"/>
          <w:sz w:val="32"/>
          <w:szCs w:val="32"/>
          <w:lang w:val="zh-CN"/>
        </w:rPr>
        <w:t>。</w:t>
      </w:r>
      <w:r>
        <w:rPr>
          <w:rFonts w:ascii="Times New Roman" w:hAnsi="Times New Roman" w:eastAsia="方正仿宋_GBK" w:cs="Times New Roman"/>
          <w:color w:val="auto"/>
          <w:sz w:val="32"/>
          <w:szCs w:val="32"/>
        </w:rPr>
        <w:t>按照</w:t>
      </w:r>
      <w:r>
        <w:rPr>
          <w:rFonts w:ascii="Times New Roman" w:hAnsi="Times New Roman" w:eastAsia="方正仿宋_GBK" w:cs="Times New Roman"/>
          <w:color w:val="auto"/>
          <w:sz w:val="32"/>
          <w:szCs w:val="32"/>
          <w:lang w:val="zh-CN"/>
        </w:rPr>
        <w:t>《关于政府采购支持监狱企业发展有关问题的通知》（财库</w:t>
      </w:r>
      <w:r>
        <w:rPr>
          <w:rFonts w:ascii="Times New Roman" w:hAnsi="Times New Roman" w:eastAsia="方正仿宋_GBK" w:cs="Times New Roman"/>
          <w:color w:val="auto"/>
          <w:sz w:val="32"/>
          <w:szCs w:val="32"/>
        </w:rPr>
        <w:t>〔2014〕68</w:t>
      </w:r>
      <w:r>
        <w:rPr>
          <w:rFonts w:ascii="Times New Roman" w:hAnsi="Times New Roman" w:eastAsia="方正仿宋_GBK" w:cs="Times New Roman"/>
          <w:color w:val="auto"/>
          <w:sz w:val="32"/>
          <w:szCs w:val="32"/>
          <w:lang w:val="zh-CN"/>
        </w:rPr>
        <w:t>号）</w:t>
      </w:r>
      <w:r>
        <w:rPr>
          <w:rFonts w:ascii="Times New Roman" w:hAnsi="Times New Roman" w:eastAsia="方正仿宋_GBK" w:cs="Times New Roman"/>
          <w:color w:val="auto"/>
          <w:sz w:val="32"/>
          <w:szCs w:val="32"/>
        </w:rPr>
        <w:t>规定，</w:t>
      </w:r>
      <w:r>
        <w:rPr>
          <w:rFonts w:ascii="Times New Roman" w:hAnsi="Times New Roman" w:eastAsia="方正仿宋_GBK" w:cs="Times New Roman"/>
          <w:color w:val="auto"/>
          <w:sz w:val="32"/>
          <w:szCs w:val="32"/>
          <w:lang w:val="zh-CN"/>
        </w:rPr>
        <w:t>监狱企业需提供由省级以上监狱管理局、戒毒管理局</w:t>
      </w:r>
      <w:r>
        <w:rPr>
          <w:rFonts w:hint="eastAsia" w:ascii="Times New Roman" w:hAnsi="Times New Roman" w:eastAsia="方正仿宋_GBK" w:cs="Times New Roman"/>
          <w:color w:val="auto"/>
          <w:sz w:val="32"/>
          <w:szCs w:val="32"/>
          <w:lang w:val="zh-CN"/>
        </w:rPr>
        <w:t>（</w:t>
      </w:r>
      <w:r>
        <w:rPr>
          <w:rFonts w:ascii="Times New Roman" w:hAnsi="Times New Roman" w:eastAsia="方正仿宋_GBK" w:cs="Times New Roman"/>
          <w:color w:val="auto"/>
          <w:sz w:val="32"/>
          <w:szCs w:val="32"/>
          <w:lang w:val="zh-CN"/>
        </w:rPr>
        <w:t>含新疆生产建设兵团</w:t>
      </w:r>
      <w:r>
        <w:rPr>
          <w:rFonts w:hint="eastAsia" w:ascii="Times New Roman" w:hAnsi="Times New Roman" w:eastAsia="方正仿宋_GBK" w:cs="Times New Roman"/>
          <w:color w:val="auto"/>
          <w:sz w:val="32"/>
          <w:szCs w:val="32"/>
          <w:lang w:val="zh-CN"/>
        </w:rPr>
        <w:t>）</w:t>
      </w:r>
      <w:r>
        <w:rPr>
          <w:rFonts w:ascii="Times New Roman" w:hAnsi="Times New Roman" w:eastAsia="方正仿宋_GBK" w:cs="Times New Roman"/>
          <w:color w:val="auto"/>
          <w:sz w:val="32"/>
          <w:szCs w:val="32"/>
          <w:lang w:val="zh-CN"/>
        </w:rPr>
        <w:t>出具的属于监狱企业的证明文件。</w:t>
      </w:r>
    </w:p>
    <w:p w14:paraId="2836E174">
      <w:pPr>
        <w:spacing w:line="580" w:lineRule="exact"/>
        <w:ind w:firstLine="640" w:firstLineChars="200"/>
        <w:rPr>
          <w:rFonts w:ascii="Times New Roman" w:hAnsi="Times New Roman" w:eastAsia="方正仿宋_GBK" w:cs="Times New Roman"/>
          <w:color w:val="auto"/>
          <w:sz w:val="32"/>
          <w:szCs w:val="32"/>
          <w:lang w:val="zh-CN"/>
        </w:rPr>
      </w:pPr>
      <w:r>
        <w:rPr>
          <w:rFonts w:ascii="Times New Roman" w:hAnsi="Times New Roman" w:eastAsia="方正仿宋_GBK" w:cs="Times New Roman"/>
          <w:color w:val="auto"/>
          <w:sz w:val="32"/>
          <w:szCs w:val="32"/>
        </w:rPr>
        <w:t xml:space="preserve">37.6 </w:t>
      </w:r>
      <w:r>
        <w:rPr>
          <w:rFonts w:ascii="Times New Roman" w:hAnsi="Times New Roman" w:eastAsia="方正仿宋_GBK" w:cs="Times New Roman"/>
          <w:color w:val="auto"/>
          <w:sz w:val="32"/>
          <w:szCs w:val="32"/>
          <w:lang w:val="zh-CN"/>
        </w:rPr>
        <w:t>残疾人福利性单位</w:t>
      </w:r>
      <w:r>
        <w:rPr>
          <w:rFonts w:ascii="Times New Roman" w:hAnsi="Times New Roman" w:eastAsia="方正仿宋_GBK" w:cs="Times New Roman"/>
          <w:color w:val="auto"/>
          <w:sz w:val="32"/>
          <w:szCs w:val="32"/>
        </w:rPr>
        <w:t>视同小型、微型企业</w:t>
      </w:r>
      <w:r>
        <w:rPr>
          <w:rFonts w:ascii="Times New Roman" w:hAnsi="Times New Roman" w:eastAsia="方正仿宋_GBK" w:cs="Times New Roman"/>
          <w:color w:val="auto"/>
          <w:sz w:val="32"/>
          <w:szCs w:val="32"/>
          <w:lang w:val="zh-CN"/>
        </w:rPr>
        <w:t>。</w:t>
      </w:r>
      <w:r>
        <w:rPr>
          <w:rFonts w:ascii="Times New Roman" w:hAnsi="Times New Roman" w:eastAsia="方正仿宋_GBK" w:cs="Times New Roman"/>
          <w:color w:val="auto"/>
          <w:sz w:val="32"/>
          <w:szCs w:val="32"/>
        </w:rPr>
        <w:t>按照《关于促进残疾人就业政府采购政策的通知》（财库〔2017〕141号）规定，残疾人福利单位需</w:t>
      </w:r>
      <w:r>
        <w:rPr>
          <w:rFonts w:ascii="Times New Roman" w:hAnsi="Times New Roman" w:eastAsia="方正仿宋_GBK" w:cs="Times New Roman"/>
          <w:color w:val="auto"/>
          <w:sz w:val="32"/>
          <w:szCs w:val="32"/>
          <w:lang w:val="zh-CN"/>
        </w:rPr>
        <w:t>提供《残疾人福利性单位声明函》。</w:t>
      </w:r>
    </w:p>
    <w:p w14:paraId="0C397EA5">
      <w:pPr>
        <w:pStyle w:val="243"/>
        <w:spacing w:line="580" w:lineRule="exact"/>
        <w:ind w:left="0" w:firstLine="640" w:firstLineChars="200"/>
        <w:jc w:val="center"/>
        <w:outlineLvl w:val="0"/>
        <w:rPr>
          <w:rFonts w:hint="eastAsia" w:ascii="方正仿宋_GBK" w:hAnsi="宋体" w:eastAsia="方正仿宋_GBK"/>
          <w:sz w:val="32"/>
          <w:szCs w:val="32"/>
          <w:lang w:bidi="ar"/>
        </w:rPr>
      </w:pPr>
      <w:r>
        <w:rPr>
          <w:rFonts w:hint="eastAsia" w:ascii="方正仿宋_GBK" w:hAnsi="宋体" w:eastAsia="方正仿宋_GBK"/>
          <w:color w:val="auto"/>
          <w:sz w:val="32"/>
          <w:szCs w:val="32"/>
        </w:rPr>
        <w:br w:type="page" w:clear="all"/>
      </w:r>
      <w:bookmarkStart w:id="189" w:name="_Toc178087283"/>
    </w:p>
    <w:p w14:paraId="61DEE307">
      <w:pPr>
        <w:pStyle w:val="278"/>
        <w:spacing w:line="580" w:lineRule="exact"/>
        <w:jc w:val="center"/>
        <w:outlineLvl w:val="0"/>
        <w:rPr>
          <w:rFonts w:hint="eastAsia" w:ascii="方正黑体_GBK" w:eastAsia="方正黑体_GBK" w:cs="Times New Roman"/>
          <w:color w:val="auto"/>
          <w:kern w:val="2"/>
          <w:sz w:val="32"/>
          <w:szCs w:val="32"/>
        </w:rPr>
      </w:pPr>
      <w:r>
        <w:rPr>
          <w:rFonts w:hint="eastAsia" w:ascii="方正黑体_GBK" w:eastAsia="方正黑体_GBK" w:cs="宋体"/>
          <w:color w:val="auto"/>
          <w:sz w:val="32"/>
          <w:szCs w:val="32"/>
        </w:rPr>
        <w:t>第三章  采购需求</w:t>
      </w:r>
      <w:bookmarkEnd w:id="189"/>
      <w:bookmarkStart w:id="190" w:name="_Toc49090575"/>
      <w:bookmarkEnd w:id="190"/>
      <w:bookmarkStart w:id="191" w:name="_Toc26554093"/>
      <w:bookmarkEnd w:id="191"/>
      <w:r>
        <w:rPr>
          <w:rFonts w:hint="eastAsia" w:ascii="方正黑体_GBK" w:eastAsia="方正黑体_GBK" w:cs="Times New Roman"/>
          <w:color w:val="auto"/>
          <w:kern w:val="2"/>
          <w:sz w:val="32"/>
          <w:szCs w:val="32"/>
        </w:rPr>
        <w:t xml:space="preserve"> </w:t>
      </w:r>
    </w:p>
    <w:p w14:paraId="033D1255">
      <w:pPr>
        <w:spacing w:line="580" w:lineRule="exact"/>
        <w:ind w:firstLine="492"/>
        <w:rPr>
          <w:rFonts w:hint="eastAsia" w:ascii="方正仿宋_GBK" w:hAnsi="宋体" w:eastAsia="方正仿宋_GBK" w:cs="宋体"/>
          <w:b/>
          <w:bCs/>
          <w:sz w:val="32"/>
          <w:szCs w:val="32"/>
          <w:lang w:bidi="ar"/>
        </w:rPr>
      </w:pPr>
      <w:bookmarkStart w:id="192" w:name="_Toc282092847"/>
      <w:bookmarkStart w:id="193" w:name="_Toc282418683"/>
      <w:bookmarkStart w:id="194" w:name="_Toc280950156"/>
      <w:bookmarkStart w:id="195" w:name="_Toc178087284"/>
    </w:p>
    <w:p w14:paraId="2528DDFD">
      <w:pPr>
        <w:spacing w:line="580" w:lineRule="exact"/>
        <w:ind w:firstLine="640" w:firstLineChars="200"/>
        <w:rPr>
          <w:rFonts w:ascii="Times New Roman" w:hAnsi="Times New Roman" w:eastAsia="方正仿宋_GBK" w:cs="Times New Roman"/>
          <w:sz w:val="32"/>
          <w:szCs w:val="32"/>
          <w:lang w:bidi="ar"/>
        </w:rPr>
      </w:pPr>
      <w:r>
        <w:rPr>
          <w:rFonts w:ascii="Times New Roman" w:hAnsi="Times New Roman" w:eastAsia="方正仿宋_GBK" w:cs="Times New Roman"/>
          <w:sz w:val="32"/>
          <w:szCs w:val="32"/>
          <w:lang w:bidi="ar"/>
        </w:rPr>
        <w:t>一、项目背景</w:t>
      </w:r>
    </w:p>
    <w:p w14:paraId="48D7009A">
      <w:pPr>
        <w:spacing w:line="58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lang w:bidi="ar"/>
        </w:rPr>
        <w:t>为加强市场调控，保障猪肉市场供应稳定，南京市商务局按照政府采购相关规定对我市2026—2027年度冻猪肉政府性储备项目组织公开采购，确定承储企业承担落实政府储备任务。</w:t>
      </w:r>
    </w:p>
    <w:p w14:paraId="32D9119A">
      <w:pPr>
        <w:spacing w:line="580" w:lineRule="exact"/>
        <w:ind w:firstLine="640" w:firstLineChars="200"/>
        <w:rPr>
          <w:rFonts w:ascii="Times New Roman" w:hAnsi="Times New Roman" w:eastAsia="方正仿宋_GBK" w:cs="Times New Roman"/>
          <w:sz w:val="32"/>
          <w:szCs w:val="32"/>
          <w:lang w:bidi="ar"/>
        </w:rPr>
      </w:pPr>
      <w:r>
        <w:rPr>
          <w:rFonts w:ascii="Times New Roman" w:hAnsi="Times New Roman" w:eastAsia="方正仿宋_GBK" w:cs="Times New Roman"/>
          <w:sz w:val="32"/>
          <w:szCs w:val="32"/>
          <w:lang w:bidi="ar"/>
        </w:rPr>
        <w:t>二、项目概况</w:t>
      </w:r>
    </w:p>
    <w:p w14:paraId="586BEF82">
      <w:pPr>
        <w:spacing w:line="580" w:lineRule="exact"/>
        <w:ind w:firstLine="640" w:firstLineChars="200"/>
        <w:rPr>
          <w:rFonts w:ascii="Times New Roman" w:hAnsi="Times New Roman" w:eastAsia="方正仿宋_GBK" w:cs="Times New Roman"/>
          <w:sz w:val="32"/>
          <w:szCs w:val="32"/>
          <w:lang w:bidi="ar"/>
        </w:rPr>
      </w:pPr>
      <w:r>
        <w:rPr>
          <w:rFonts w:hint="eastAsia" w:ascii="Times New Roman" w:hAnsi="Times New Roman" w:eastAsia="方正仿宋_GBK" w:cs="Times New Roman"/>
          <w:sz w:val="32"/>
          <w:szCs w:val="32"/>
          <w:lang w:bidi="ar"/>
        </w:rPr>
        <w:t>2026—2027年度南京市冻猪肉政府性储备项目按照政府委托、企业承储、财政补贴、企业自负盈亏原则，将承储企业收储的冻猪肉转为政府储备，政府按照不高于</w:t>
      </w:r>
      <w:r>
        <w:rPr>
          <w:rFonts w:hint="eastAsia" w:ascii="Times New Roman" w:hAnsi="Times New Roman" w:eastAsia="方正仿宋_GBK" w:cs="Times New Roman"/>
          <w:sz w:val="32"/>
          <w:szCs w:val="32"/>
          <w:u w:val="single"/>
          <w:lang w:bidi="ar"/>
        </w:rPr>
        <w:t>每年每吨2900元</w:t>
      </w:r>
      <w:r>
        <w:rPr>
          <w:rFonts w:hint="eastAsia" w:ascii="Times New Roman" w:hAnsi="Times New Roman" w:eastAsia="方正仿宋_GBK" w:cs="Times New Roman"/>
          <w:sz w:val="32"/>
          <w:szCs w:val="32"/>
          <w:lang w:bidi="ar"/>
        </w:rPr>
        <w:t>标准给予补贴，</w:t>
      </w:r>
      <w:r>
        <w:rPr>
          <w:rFonts w:hint="eastAsia" w:ascii="Times New Roman" w:hAnsi="Times New Roman" w:eastAsia="方正仿宋_GBK" w:cs="Times New Roman"/>
          <w:sz w:val="32"/>
          <w:szCs w:val="32"/>
          <w:u w:val="single"/>
          <w:lang w:bidi="ar"/>
        </w:rPr>
        <w:t>存储总量3000吨</w:t>
      </w:r>
      <w:r>
        <w:rPr>
          <w:rFonts w:hint="eastAsia" w:ascii="Times New Roman" w:hAnsi="Times New Roman" w:eastAsia="方正仿宋_GBK" w:cs="Times New Roman"/>
          <w:sz w:val="32"/>
          <w:szCs w:val="32"/>
          <w:lang w:bidi="ar"/>
        </w:rPr>
        <w:t>，其中</w:t>
      </w:r>
      <w:r>
        <w:rPr>
          <w:rFonts w:hint="eastAsia" w:ascii="Times New Roman" w:hAnsi="Times New Roman" w:eastAsia="方正仿宋_GBK" w:cs="Times New Roman"/>
          <w:sz w:val="32"/>
          <w:szCs w:val="32"/>
          <w:u w:val="single"/>
          <w:lang w:bidi="ar"/>
        </w:rPr>
        <w:t>包一存储量为1500吨、包二存储量为1000吨、包三存储量为500吨</w:t>
      </w:r>
      <w:r>
        <w:rPr>
          <w:rFonts w:hint="eastAsia" w:ascii="Times New Roman" w:hAnsi="Times New Roman" w:eastAsia="方正仿宋_GBK" w:cs="Times New Roman"/>
          <w:sz w:val="32"/>
          <w:szCs w:val="32"/>
          <w:lang w:bidi="ar"/>
        </w:rPr>
        <w:t>。</w:t>
      </w:r>
      <w:r>
        <w:rPr>
          <w:rFonts w:hint="eastAsia" w:ascii="Times New Roman" w:hAnsi="Times New Roman" w:eastAsia="方正仿宋_GBK" w:cs="Times New Roman"/>
          <w:sz w:val="32"/>
          <w:szCs w:val="32"/>
          <w:u w:val="single"/>
          <w:lang w:bidi="ar"/>
        </w:rPr>
        <w:t>存储期限为2026年5月至2027年5月</w:t>
      </w:r>
      <w:r>
        <w:rPr>
          <w:rFonts w:hint="eastAsia" w:ascii="Times New Roman" w:hAnsi="Times New Roman" w:eastAsia="方正仿宋_GBK" w:cs="Times New Roman"/>
          <w:sz w:val="32"/>
          <w:szCs w:val="32"/>
          <w:lang w:bidi="ar"/>
        </w:rPr>
        <w:t>。</w:t>
      </w:r>
    </w:p>
    <w:p w14:paraId="0CD494EE">
      <w:pPr>
        <w:spacing w:line="580" w:lineRule="exact"/>
        <w:ind w:firstLine="640" w:firstLineChars="200"/>
        <w:rPr>
          <w:rFonts w:ascii="Times New Roman" w:hAnsi="Times New Roman" w:eastAsia="方正仿宋_GBK" w:cs="Times New Roman"/>
          <w:sz w:val="32"/>
          <w:szCs w:val="32"/>
          <w:lang w:bidi="ar"/>
        </w:rPr>
      </w:pPr>
      <w:r>
        <w:rPr>
          <w:rFonts w:ascii="Times New Roman" w:hAnsi="Times New Roman" w:eastAsia="方正仿宋_GBK" w:cs="Times New Roman"/>
          <w:sz w:val="32"/>
          <w:szCs w:val="32"/>
          <w:lang w:bidi="ar"/>
        </w:rPr>
        <w:t>三、储备品种及质量要求</w:t>
      </w:r>
      <w:r>
        <w:rPr>
          <w:rFonts w:ascii="Times New Roman" w:hAnsi="Times New Roman" w:eastAsia="方正仿宋_GBK" w:cs="Times New Roman"/>
          <w:sz w:val="32"/>
          <w:szCs w:val="32"/>
          <w:lang w:bidi="ar"/>
        </w:rPr>
        <w:tab/>
      </w:r>
    </w:p>
    <w:p w14:paraId="199F863C">
      <w:pPr>
        <w:spacing w:line="580" w:lineRule="exact"/>
        <w:ind w:firstLine="640" w:firstLineChars="200"/>
        <w:rPr>
          <w:rFonts w:ascii="Times New Roman" w:hAnsi="Times New Roman" w:eastAsia="方正仿宋_GBK" w:cs="Times New Roman"/>
          <w:sz w:val="32"/>
          <w:szCs w:val="32"/>
          <w:lang w:bidi="ar"/>
        </w:rPr>
      </w:pPr>
      <w:r>
        <w:rPr>
          <w:rFonts w:hint="eastAsia" w:ascii="Times New Roman" w:hAnsi="Times New Roman" w:eastAsia="方正仿宋_GBK" w:cs="Times New Roman"/>
          <w:sz w:val="32"/>
          <w:szCs w:val="32"/>
          <w:lang w:bidi="ar"/>
        </w:rPr>
        <w:t>储备品种主要为</w:t>
      </w:r>
      <w:bookmarkStart w:id="196" w:name="_Hlk226987475"/>
      <w:r>
        <w:rPr>
          <w:rFonts w:hint="eastAsia" w:ascii="Times New Roman" w:hAnsi="Times New Roman" w:eastAsia="方正仿宋_GBK" w:cs="Times New Roman"/>
          <w:sz w:val="32"/>
          <w:szCs w:val="32"/>
          <w:u w:val="single"/>
          <w:lang w:bidi="ar"/>
        </w:rPr>
        <w:t>符合国家标准GB/T 9959.2—2026的国产Ⅱ号肉（前腿肌肉）和Ⅳ号肉（后腿肌肉）分割冻猪瘦肉</w:t>
      </w:r>
      <w:bookmarkEnd w:id="196"/>
      <w:r>
        <w:rPr>
          <w:rFonts w:hint="eastAsia" w:ascii="Times New Roman" w:hAnsi="Times New Roman" w:eastAsia="方正仿宋_GBK" w:cs="Times New Roman"/>
          <w:sz w:val="32"/>
          <w:szCs w:val="32"/>
          <w:lang w:bidi="ar"/>
        </w:rPr>
        <w:t>（参照华储网《关于2026年4月3日中央储备冻猪肉收储竞价交易有关事项的通知》采购标准实施）。</w:t>
      </w:r>
      <w:r>
        <w:rPr>
          <w:rFonts w:hint="eastAsia" w:ascii="Times New Roman" w:hAnsi="Times New Roman" w:eastAsia="方正仿宋_GBK" w:cs="Times New Roman"/>
          <w:sz w:val="32"/>
          <w:szCs w:val="32"/>
          <w:u w:val="single"/>
          <w:lang w:bidi="ar"/>
        </w:rPr>
        <w:t>入储时的国产冻猪肉产品剩余保质期应超过半年</w:t>
      </w:r>
      <w:r>
        <w:rPr>
          <w:rFonts w:hint="eastAsia" w:ascii="Times New Roman" w:hAnsi="Times New Roman" w:eastAsia="方正仿宋_GBK" w:cs="Times New Roman"/>
          <w:sz w:val="32"/>
          <w:szCs w:val="32"/>
          <w:lang w:bidi="ar"/>
        </w:rPr>
        <w:t>，且须符合国家有关卫生质量和食品安全标准，具有国家法律法规所要求的动物检疫合格证明等。</w:t>
      </w:r>
      <w:r>
        <w:rPr>
          <w:rFonts w:hint="eastAsia" w:ascii="Times New Roman" w:hAnsi="Times New Roman" w:eastAsia="方正仿宋_GBK" w:cs="Times New Roman"/>
          <w:sz w:val="32"/>
          <w:szCs w:val="32"/>
          <w:u w:val="single"/>
          <w:lang w:bidi="ar"/>
        </w:rPr>
        <w:t>承储期内，承储企业需配合市商务局及第三方质检机构完成不定期的储备冻猪肉质量抽检</w:t>
      </w:r>
      <w:r>
        <w:rPr>
          <w:rFonts w:hint="eastAsia" w:ascii="Times New Roman" w:hAnsi="Times New Roman" w:eastAsia="方正仿宋_GBK" w:cs="Times New Roman"/>
          <w:sz w:val="32"/>
          <w:szCs w:val="32"/>
          <w:lang w:bidi="ar"/>
        </w:rPr>
        <w:t>。</w:t>
      </w:r>
    </w:p>
    <w:p w14:paraId="2482DC85">
      <w:pPr>
        <w:spacing w:line="580" w:lineRule="exact"/>
        <w:ind w:firstLine="640" w:firstLineChars="200"/>
        <w:rPr>
          <w:rFonts w:ascii="Times New Roman" w:hAnsi="Times New Roman" w:eastAsia="方正仿宋_GBK" w:cs="Times New Roman"/>
          <w:sz w:val="32"/>
          <w:szCs w:val="32"/>
          <w:lang w:bidi="ar"/>
        </w:rPr>
      </w:pPr>
      <w:r>
        <w:rPr>
          <w:rFonts w:ascii="Times New Roman" w:hAnsi="Times New Roman" w:eastAsia="方正仿宋_GBK" w:cs="Times New Roman"/>
          <w:sz w:val="32"/>
          <w:szCs w:val="32"/>
          <w:lang w:bidi="ar"/>
        </w:rPr>
        <w:t>四、储备管理</w:t>
      </w:r>
    </w:p>
    <w:p w14:paraId="01F87B53">
      <w:pPr>
        <w:spacing w:line="58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bCs/>
          <w:sz w:val="32"/>
          <w:szCs w:val="32"/>
          <w:lang w:bidi="ar"/>
        </w:rPr>
        <w:t>1．入储管理。</w:t>
      </w:r>
      <w:r>
        <w:rPr>
          <w:rFonts w:hint="eastAsia" w:ascii="Times New Roman" w:hAnsi="Times New Roman" w:eastAsia="方正仿宋_GBK" w:cs="Times New Roman"/>
          <w:sz w:val="32"/>
          <w:szCs w:val="32"/>
          <w:lang w:bidi="ar"/>
        </w:rPr>
        <w:t>市商务局根据招投标确定的事项与中标的承储企业签订政府采购合同，明确双方的权利、义务和责任等事项，自合同签订之日起，承储企业按承储计划、入库时间等相关要求入储。市发改、商务、财政等部门对企业入储情况进行核查，确保入储冻猪肉数量充足、质量安全。</w:t>
      </w:r>
    </w:p>
    <w:p w14:paraId="4CA62ED9">
      <w:pPr>
        <w:spacing w:line="58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bCs/>
          <w:sz w:val="32"/>
          <w:szCs w:val="32"/>
          <w:lang w:bidi="ar"/>
        </w:rPr>
        <w:t>2．在库管理。</w:t>
      </w:r>
      <w:r>
        <w:rPr>
          <w:rFonts w:hint="eastAsia" w:ascii="Times New Roman" w:hAnsi="Times New Roman" w:eastAsia="方正仿宋_GBK" w:cs="Times New Roman"/>
          <w:sz w:val="32"/>
          <w:szCs w:val="32"/>
          <w:lang w:bidi="ar"/>
        </w:rPr>
        <w:t>承储企业要严格加强对储备冻猪肉的日常管理，建立健全内部各项管理制度。储备冻猪肉实行专库（垛）储存、专人管理、专账记载和挂牌明示，确保质量合格和储存安全。做好台账管理，做到账账相符、账实相符，并按要求及时向市商务局报送相关储备情况。建立商品智慧化管理系统，与政府相关部门监管系统有效对接，提高储备肉现场管理、远程监控、数据汇总、申请报备的信息化水平。</w:t>
      </w:r>
    </w:p>
    <w:p w14:paraId="307C12AB">
      <w:pPr>
        <w:spacing w:line="58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lang w:bidi="ar"/>
        </w:rPr>
        <w:t>市有关部门将组织人员开展不定期的联合检查，承储企业应积极配合，不得拒绝和阻挠，并对存在管理不到位、账实不符等问题要及时整改，整改不到位的，将取消其承储资格，收回补贴资金，并根据《政府采购法》以及财政资金有关规定严肃处理。</w:t>
      </w:r>
    </w:p>
    <w:p w14:paraId="62F7A584">
      <w:pPr>
        <w:spacing w:line="58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bCs/>
          <w:sz w:val="32"/>
          <w:szCs w:val="32"/>
          <w:lang w:bidi="ar"/>
        </w:rPr>
        <w:t>3．轮换管理。</w:t>
      </w:r>
      <w:r>
        <w:rPr>
          <w:rFonts w:hint="eastAsia" w:ascii="Times New Roman" w:hAnsi="Times New Roman" w:eastAsia="方正仿宋_GBK" w:cs="Times New Roman"/>
          <w:sz w:val="32"/>
          <w:szCs w:val="32"/>
          <w:shd w:val="clear" w:color="auto" w:fill="FFFFFF"/>
          <w:lang w:bidi="ar"/>
        </w:rPr>
        <w:t>承储企业在满足储备任务要求的前提下，可以根据储备肉保质期等情况自行轮换出库，每年至少轮换更新1次。轮换应提前7天向甲方递交轮换报批材料。每次轮出数量不得超过储备计划的30%，并于7天内补库到位。</w:t>
      </w:r>
    </w:p>
    <w:p w14:paraId="2ADEC955">
      <w:pPr>
        <w:spacing w:line="580" w:lineRule="exact"/>
        <w:ind w:firstLine="640" w:firstLineChars="200"/>
        <w:rPr>
          <w:rFonts w:ascii="Times New Roman" w:hAnsi="Times New Roman" w:eastAsia="方正仿宋_GBK" w:cs="Times New Roman"/>
          <w:sz w:val="32"/>
          <w:szCs w:val="32"/>
          <w:lang w:bidi="ar"/>
        </w:rPr>
      </w:pPr>
      <w:r>
        <w:rPr>
          <w:rFonts w:ascii="Times New Roman" w:hAnsi="Times New Roman" w:eastAsia="方正仿宋_GBK" w:cs="Times New Roman"/>
          <w:bCs/>
          <w:sz w:val="32"/>
          <w:szCs w:val="32"/>
          <w:lang w:bidi="ar"/>
        </w:rPr>
        <w:t>4．动用管理。</w:t>
      </w:r>
      <w:r>
        <w:rPr>
          <w:rFonts w:hint="eastAsia" w:ascii="Times New Roman" w:hAnsi="Times New Roman" w:eastAsia="方正仿宋_GBK" w:cs="Times New Roman"/>
          <w:sz w:val="32"/>
          <w:szCs w:val="32"/>
          <w:lang w:bidi="ar"/>
        </w:rPr>
        <w:t>在动用投放储备冻猪肉时，各承储企业要根据市政府的指令无条件服从，并于动用投放结束后7天内补足库存。承储企业在储备期内不得擅自动用。</w:t>
      </w:r>
    </w:p>
    <w:p w14:paraId="1543BFA2">
      <w:pPr>
        <w:spacing w:line="58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lang w:bidi="ar"/>
        </w:rPr>
        <w:t>储备冻猪肉出库主要采取承储企业自行销售或者市政府批准的其他方式进行。</w:t>
      </w:r>
    </w:p>
    <w:p w14:paraId="7D6B339B">
      <w:pPr>
        <w:spacing w:line="580" w:lineRule="exact"/>
        <w:ind w:firstLine="640" w:firstLineChars="200"/>
        <w:rPr>
          <w:rFonts w:ascii="Times New Roman" w:hAnsi="Times New Roman" w:eastAsia="方正仿宋_GBK" w:cs="Times New Roman"/>
          <w:sz w:val="32"/>
          <w:szCs w:val="32"/>
          <w:lang w:bidi="ar"/>
        </w:rPr>
      </w:pPr>
      <w:r>
        <w:rPr>
          <w:rFonts w:ascii="Times New Roman" w:hAnsi="Times New Roman" w:eastAsia="方正仿宋_GBK" w:cs="Times New Roman"/>
          <w:sz w:val="32"/>
          <w:szCs w:val="32"/>
          <w:lang w:bidi="ar"/>
        </w:rPr>
        <w:t>五、资金管理</w:t>
      </w:r>
    </w:p>
    <w:p w14:paraId="4A0419C1">
      <w:pPr>
        <w:spacing w:line="58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bCs/>
          <w:sz w:val="32"/>
          <w:szCs w:val="32"/>
          <w:lang w:bidi="ar"/>
        </w:rPr>
        <w:t>1．资金补贴。</w:t>
      </w:r>
      <w:r>
        <w:rPr>
          <w:rFonts w:ascii="Times New Roman" w:hAnsi="Times New Roman" w:eastAsia="方正仿宋_GBK" w:cs="Times New Roman"/>
          <w:sz w:val="32"/>
          <w:szCs w:val="32"/>
          <w:lang w:bidi="ar"/>
        </w:rPr>
        <w:t>市级财政安排专项资金对承储企业给予补贴。补贴标准按中标价核定。</w:t>
      </w:r>
    </w:p>
    <w:p w14:paraId="154D7C57">
      <w:pPr>
        <w:spacing w:line="58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lang w:bidi="ar"/>
        </w:rPr>
        <w:t>储备期间，对储备猪肉轮换、出库以及动用投放所形成的费用和价差损失由承储企业自行承担。</w:t>
      </w:r>
    </w:p>
    <w:p w14:paraId="2E1166CB">
      <w:pPr>
        <w:spacing w:line="580" w:lineRule="exact"/>
        <w:ind w:firstLine="640" w:firstLineChars="200"/>
        <w:rPr>
          <w:rFonts w:ascii="Times New Roman" w:hAnsi="Times New Roman" w:eastAsia="方正仿宋_GBK" w:cs="Times New Roman"/>
          <w:sz w:val="32"/>
          <w:szCs w:val="32"/>
          <w:highlight w:val="yellow"/>
          <w:lang w:bidi="ar"/>
        </w:rPr>
      </w:pPr>
      <w:r>
        <w:rPr>
          <w:rFonts w:ascii="Times New Roman" w:hAnsi="Times New Roman" w:eastAsia="方正仿宋_GBK" w:cs="Times New Roman"/>
          <w:bCs/>
          <w:sz w:val="32"/>
          <w:szCs w:val="32"/>
          <w:lang w:bidi="ar"/>
        </w:rPr>
        <w:t>2．资金拨付。</w:t>
      </w:r>
      <w:r>
        <w:rPr>
          <w:rFonts w:hint="eastAsia" w:ascii="Times New Roman" w:hAnsi="Times New Roman" w:eastAsia="方正仿宋_GBK" w:cs="Times New Roman"/>
          <w:sz w:val="32"/>
          <w:szCs w:val="32"/>
          <w:lang w:bidi="ar"/>
        </w:rPr>
        <w:t>储备猪肉如数入库并通过入储验收，由承储企业向市商务局提出资金拨付申请，提供相关文件资料、财务票据和业务单据，由市财政局支付储备费用首期款；储备期满后，承储企业向市商务局提出资金拨付申请，提供储备猪肉的采购合同、进销存台账、日常储备监测记录等相关材料和票据，并经相关部门进行资料审核和现场验收后，由市财政局支付剩余储备补贴费用。储备期间冻猪肉数量、质量和结构达不到计划任务要求的，按合同约定扣减相应费用并承担相应责任。</w:t>
      </w:r>
    </w:p>
    <w:p w14:paraId="7FB0647C">
      <w:pPr>
        <w:widowControl/>
        <w:spacing w:line="580" w:lineRule="exact"/>
        <w:ind w:firstLine="640" w:firstLineChars="200"/>
        <w:rPr>
          <w:rFonts w:hint="eastAsia" w:ascii="方正仿宋_GBK" w:hAnsi="宋体" w:eastAsia="方正仿宋_GBK" w:cs="Times New Roman"/>
          <w:color w:val="auto"/>
          <w:kern w:val="2"/>
          <w:sz w:val="32"/>
          <w:szCs w:val="32"/>
        </w:rPr>
      </w:pPr>
      <w:r>
        <w:rPr>
          <w:rFonts w:ascii="Times New Roman" w:hAnsi="Times New Roman" w:eastAsia="方正仿宋_GBK" w:cs="Times New Roman"/>
          <w:bCs/>
          <w:sz w:val="32"/>
          <w:szCs w:val="32"/>
          <w:lang w:bidi="ar"/>
        </w:rPr>
        <w:t>3．资金使用。承储企业要按照相关资金管理规定，建立健全储备肉财务会计核算制度及有关管理规章制度，实行专款专用，做到账物、账表相符，确保资金使用规范。市相关部门将对储备补贴资金使用绩效开展评价。</w:t>
      </w:r>
      <w:bookmarkEnd w:id="192"/>
      <w:bookmarkEnd w:id="193"/>
      <w:bookmarkEnd w:id="194"/>
      <w:r>
        <w:rPr>
          <w:rFonts w:hint="eastAsia" w:ascii="方正仿宋_GBK" w:hAnsi="宋体" w:eastAsia="方正仿宋_GBK" w:cs="Times New Roman"/>
          <w:color w:val="auto"/>
          <w:kern w:val="2"/>
          <w:sz w:val="32"/>
          <w:szCs w:val="32"/>
        </w:rPr>
        <w:br w:type="page"/>
      </w:r>
    </w:p>
    <w:p w14:paraId="2D0BF4B7">
      <w:pPr>
        <w:spacing w:line="580" w:lineRule="exact"/>
        <w:jc w:val="center"/>
        <w:outlineLvl w:val="0"/>
        <w:rPr>
          <w:rFonts w:hint="eastAsia" w:ascii="方正黑体_GBK" w:hAnsi="宋体" w:eastAsia="方正黑体_GBK" w:cs="方正舒体"/>
          <w:color w:val="auto"/>
          <w:sz w:val="32"/>
          <w:szCs w:val="32"/>
        </w:rPr>
      </w:pPr>
      <w:r>
        <w:rPr>
          <w:rFonts w:hint="eastAsia" w:ascii="方正黑体_GBK" w:hAnsi="宋体" w:eastAsia="方正黑体_GBK" w:cs="宋体"/>
          <w:color w:val="auto"/>
          <w:sz w:val="32"/>
          <w:szCs w:val="32"/>
        </w:rPr>
        <w:t>第四章  评标方法与评标标准</w:t>
      </w:r>
      <w:bookmarkEnd w:id="195"/>
    </w:p>
    <w:p w14:paraId="4179E065">
      <w:pPr>
        <w:spacing w:line="580" w:lineRule="exact"/>
        <w:ind w:firstLine="640" w:firstLineChars="200"/>
        <w:rPr>
          <w:rFonts w:hint="eastAsia" w:ascii="方正仿宋_GBK" w:hAnsi="宋体" w:eastAsia="方正仿宋_GBK" w:cs="宋体"/>
          <w:b/>
          <w:bCs/>
          <w:color w:val="auto"/>
          <w:sz w:val="32"/>
          <w:szCs w:val="32"/>
        </w:rPr>
      </w:pPr>
    </w:p>
    <w:p w14:paraId="3EB7DA23">
      <w:pPr>
        <w:spacing w:line="580" w:lineRule="exact"/>
        <w:ind w:firstLine="640" w:firstLineChars="200"/>
        <w:rPr>
          <w:rFonts w:hint="eastAsia" w:ascii="方正仿宋_GBK" w:eastAsia="方正仿宋_GBK" w:hAnsiTheme="minorEastAsia" w:cstheme="minorEastAsia"/>
          <w:color w:val="auto"/>
          <w:sz w:val="32"/>
          <w:szCs w:val="32"/>
        </w:rPr>
      </w:pPr>
      <w:r>
        <w:rPr>
          <w:rFonts w:hint="eastAsia" w:ascii="方正仿宋_GBK" w:eastAsia="方正仿宋_GBK" w:hAnsiTheme="minorEastAsia" w:cstheme="minorEastAsia"/>
          <w:color w:val="auto"/>
          <w:sz w:val="32"/>
          <w:szCs w:val="32"/>
        </w:rPr>
        <w:t>一、评标方法</w:t>
      </w:r>
    </w:p>
    <w:p w14:paraId="15BE8FFD">
      <w:pPr>
        <w:spacing w:line="580" w:lineRule="exact"/>
        <w:ind w:firstLine="640" w:firstLineChars="200"/>
        <w:rPr>
          <w:rFonts w:hint="eastAsia" w:ascii="方正仿宋_GBK" w:eastAsia="方正仿宋_GBK" w:hAnsiTheme="minorEastAsia" w:cstheme="minorEastAsia"/>
          <w:b/>
          <w:bCs/>
          <w:sz w:val="32"/>
          <w:szCs w:val="32"/>
        </w:rPr>
      </w:pPr>
      <w:bookmarkStart w:id="197" w:name="_Hlk44577066"/>
      <w:r>
        <w:rPr>
          <w:rFonts w:hint="eastAsia" w:ascii="方正仿宋_GBK" w:eastAsia="方正仿宋_GBK" w:hAnsiTheme="minorEastAsia" w:cstheme="minorEastAsia"/>
          <w:sz w:val="32"/>
          <w:szCs w:val="32"/>
        </w:rPr>
        <w:t>本项目采用综合评分法，评分统计方法将全部评委评分直接进行算术平均，小数点后保留</w:t>
      </w:r>
      <w:r>
        <w:rPr>
          <w:rFonts w:ascii="Times New Roman" w:hAnsi="Times New Roman" w:eastAsia="方正仿宋_GBK" w:cs="Times New Roman"/>
          <w:sz w:val="32"/>
          <w:szCs w:val="32"/>
        </w:rPr>
        <w:t>2</w:t>
      </w:r>
      <w:r>
        <w:rPr>
          <w:rFonts w:hint="eastAsia" w:ascii="方正仿宋_GBK" w:eastAsia="方正仿宋_GBK" w:hAnsiTheme="minorEastAsia" w:cstheme="minorEastAsia"/>
          <w:sz w:val="32"/>
          <w:szCs w:val="32"/>
        </w:rPr>
        <w:t>位。按评审后得分由高到低顺序排列，得分相同的，按投标报价由低到高顺序排列，得分且投标报价相同的，按技术指标优劣顺序排列，由评标委员会确定中标人。</w:t>
      </w:r>
      <w:r>
        <w:rPr>
          <w:rFonts w:hint="eastAsia" w:ascii="方正仿宋_GBK" w:eastAsia="方正仿宋_GBK" w:hAnsiTheme="minorEastAsia" w:cstheme="minorEastAsia"/>
          <w:sz w:val="32"/>
          <w:szCs w:val="32"/>
          <w:u w:val="single"/>
        </w:rPr>
        <w:t>评标顺序为包一、包二、包三，投标人可以参与一个或多个包的投标，但最多只能中标其中一个包。</w:t>
      </w:r>
      <w:bookmarkEnd w:id="197"/>
    </w:p>
    <w:p w14:paraId="3DFEB8E0">
      <w:pPr>
        <w:spacing w:line="580" w:lineRule="exact"/>
        <w:ind w:firstLine="640" w:firstLineChars="200"/>
        <w:rPr>
          <w:rFonts w:hint="eastAsia" w:ascii="方正仿宋_GBK" w:eastAsia="方正仿宋_GBK" w:hAnsiTheme="minorEastAsia" w:cstheme="minorEastAsia"/>
          <w:color w:val="auto"/>
          <w:sz w:val="32"/>
          <w:szCs w:val="32"/>
        </w:rPr>
      </w:pPr>
      <w:r>
        <w:rPr>
          <w:rFonts w:hint="eastAsia" w:ascii="方正仿宋_GBK" w:eastAsia="方正仿宋_GBK" w:hAnsiTheme="minorEastAsia" w:cstheme="minorEastAsia"/>
          <w:color w:val="auto"/>
          <w:sz w:val="32"/>
          <w:szCs w:val="32"/>
        </w:rPr>
        <w:t>二、评标标准</w:t>
      </w:r>
    </w:p>
    <w:tbl>
      <w:tblPr>
        <w:tblStyle w:val="36"/>
        <w:tblW w:w="107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07"/>
        <w:gridCol w:w="1467"/>
        <w:gridCol w:w="7501"/>
        <w:gridCol w:w="910"/>
      </w:tblGrid>
      <w:tr w14:paraId="33ED9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9" w:hRule="atLeast"/>
          <w:tblHeader/>
          <w:jc w:val="center"/>
        </w:trPr>
        <w:tc>
          <w:tcPr>
            <w:tcW w:w="907"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453FD4C2">
            <w:pPr>
              <w:widowControl/>
              <w:spacing w:line="400" w:lineRule="exact"/>
              <w:jc w:val="center"/>
              <w:rPr>
                <w:rFonts w:hint="eastAsia" w:ascii="方正黑体_GBK" w:eastAsia="方正黑体_GBK" w:hAnsiTheme="minorEastAsia" w:cstheme="minorEastAsia"/>
                <w:sz w:val="32"/>
                <w:szCs w:val="32"/>
              </w:rPr>
            </w:pPr>
            <w:r>
              <w:rPr>
                <w:rFonts w:hint="eastAsia" w:ascii="方正黑体_GBK" w:eastAsia="方正黑体_GBK" w:hAnsiTheme="minorEastAsia" w:cstheme="minorEastAsia"/>
                <w:sz w:val="32"/>
                <w:szCs w:val="32"/>
                <w:lang w:bidi="ar"/>
              </w:rPr>
              <w:t>序号</w:t>
            </w:r>
          </w:p>
        </w:tc>
        <w:tc>
          <w:tcPr>
            <w:tcW w:w="1467"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751D606B">
            <w:pPr>
              <w:widowControl/>
              <w:spacing w:line="400" w:lineRule="exact"/>
              <w:jc w:val="center"/>
              <w:rPr>
                <w:rFonts w:hint="eastAsia" w:ascii="方正黑体_GBK" w:eastAsia="方正黑体_GBK" w:hAnsiTheme="minorEastAsia" w:cstheme="minorEastAsia"/>
                <w:sz w:val="32"/>
                <w:szCs w:val="32"/>
              </w:rPr>
            </w:pPr>
            <w:r>
              <w:rPr>
                <w:rFonts w:hint="eastAsia" w:ascii="方正黑体_GBK" w:eastAsia="方正黑体_GBK" w:hAnsiTheme="minorEastAsia" w:cstheme="minorEastAsia"/>
                <w:sz w:val="32"/>
                <w:szCs w:val="32"/>
                <w:lang w:bidi="ar"/>
              </w:rPr>
              <w:t>评审项</w:t>
            </w:r>
          </w:p>
        </w:tc>
        <w:tc>
          <w:tcPr>
            <w:tcW w:w="7501"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38752226">
            <w:pPr>
              <w:widowControl/>
              <w:spacing w:line="400" w:lineRule="exact"/>
              <w:jc w:val="center"/>
              <w:rPr>
                <w:rFonts w:hint="eastAsia" w:ascii="方正黑体_GBK" w:eastAsia="方正黑体_GBK" w:hAnsiTheme="minorEastAsia" w:cstheme="minorEastAsia"/>
                <w:sz w:val="32"/>
                <w:szCs w:val="32"/>
              </w:rPr>
            </w:pPr>
            <w:r>
              <w:rPr>
                <w:rFonts w:hint="eastAsia" w:ascii="方正黑体_GBK" w:eastAsia="方正黑体_GBK" w:hAnsiTheme="minorEastAsia" w:cstheme="minorEastAsia"/>
                <w:sz w:val="32"/>
                <w:szCs w:val="32"/>
                <w:lang w:bidi="ar"/>
              </w:rPr>
              <w:t>评分标准</w:t>
            </w:r>
          </w:p>
        </w:tc>
        <w:tc>
          <w:tcPr>
            <w:tcW w:w="910"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01BA2C9F">
            <w:pPr>
              <w:widowControl/>
              <w:spacing w:line="400" w:lineRule="exact"/>
              <w:jc w:val="center"/>
              <w:rPr>
                <w:rFonts w:hint="eastAsia" w:ascii="方正黑体_GBK" w:eastAsia="方正黑体_GBK" w:hAnsiTheme="minorEastAsia" w:cstheme="minorEastAsia"/>
                <w:sz w:val="32"/>
                <w:szCs w:val="32"/>
              </w:rPr>
            </w:pPr>
            <w:r>
              <w:rPr>
                <w:rFonts w:hint="eastAsia" w:ascii="方正黑体_GBK" w:eastAsia="方正黑体_GBK" w:hAnsiTheme="minorEastAsia" w:cstheme="minorEastAsia"/>
                <w:sz w:val="32"/>
                <w:szCs w:val="32"/>
                <w:lang w:bidi="ar"/>
              </w:rPr>
              <w:t>分值</w:t>
            </w:r>
          </w:p>
        </w:tc>
      </w:tr>
      <w:tr w14:paraId="27165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97" w:hRule="atLeast"/>
          <w:jc w:val="center"/>
        </w:trPr>
        <w:tc>
          <w:tcPr>
            <w:tcW w:w="907"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70F28944">
            <w:pPr>
              <w:widowControl/>
              <w:spacing w:line="400" w:lineRule="exact"/>
              <w:jc w:val="center"/>
              <w:rPr>
                <w:rFonts w:ascii="Times New Roman" w:hAnsi="Times New Roman" w:eastAsia="方正仿宋_GBK" w:cs="Times New Roman"/>
                <w:sz w:val="28"/>
                <w:szCs w:val="28"/>
              </w:rPr>
            </w:pPr>
            <w:r>
              <w:rPr>
                <w:rFonts w:ascii="Times New Roman" w:hAnsi="Times New Roman" w:eastAsia="方正仿宋_GBK" w:cs="Times New Roman"/>
                <w:sz w:val="28"/>
                <w:szCs w:val="28"/>
                <w:lang w:bidi="ar"/>
              </w:rPr>
              <w:t>1</w:t>
            </w:r>
          </w:p>
        </w:tc>
        <w:tc>
          <w:tcPr>
            <w:tcW w:w="1467"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1A0D41F6">
            <w:pPr>
              <w:widowControl/>
              <w:spacing w:line="400" w:lineRule="exact"/>
              <w:jc w:val="center"/>
              <w:rPr>
                <w:rFonts w:ascii="Times New Roman" w:hAnsi="Times New Roman" w:eastAsia="方正仿宋_GBK" w:cs="Times New Roman"/>
                <w:sz w:val="28"/>
                <w:szCs w:val="28"/>
                <w:lang w:bidi="ar"/>
              </w:rPr>
            </w:pPr>
            <w:r>
              <w:rPr>
                <w:rFonts w:ascii="Times New Roman" w:hAnsi="Times New Roman" w:eastAsia="方正仿宋_GBK" w:cs="Times New Roman"/>
                <w:sz w:val="28"/>
                <w:szCs w:val="28"/>
                <w:lang w:bidi="ar"/>
              </w:rPr>
              <w:t>价格</w:t>
            </w:r>
          </w:p>
          <w:p w14:paraId="08603A3A">
            <w:pPr>
              <w:widowControl/>
              <w:spacing w:line="400" w:lineRule="exact"/>
              <w:jc w:val="center"/>
              <w:rPr>
                <w:rFonts w:ascii="Times New Roman" w:hAnsi="Times New Roman" w:eastAsia="方正仿宋_GBK" w:cs="Times New Roman"/>
                <w:sz w:val="28"/>
                <w:szCs w:val="28"/>
              </w:rPr>
            </w:pPr>
            <w:r>
              <w:rPr>
                <w:rFonts w:ascii="Times New Roman" w:hAnsi="Times New Roman" w:eastAsia="方正仿宋_GBK" w:cs="Times New Roman"/>
                <w:sz w:val="28"/>
                <w:szCs w:val="28"/>
                <w:lang w:bidi="ar"/>
              </w:rPr>
              <w:t>（20分）</w:t>
            </w:r>
          </w:p>
        </w:tc>
        <w:tc>
          <w:tcPr>
            <w:tcW w:w="7501"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1B168C0F">
            <w:pPr>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lang w:val="zh-CN" w:bidi="ar"/>
              </w:rPr>
              <w:t>采用低价优先法计算，即满足招标文件要求且投标价格最低的投标报价为评标基准价，其价格分为满分。其他投标人的价格分按照下列公式计算（小数点保留两位）。投标报价得分=</w:t>
            </w:r>
            <w:r>
              <w:rPr>
                <w:rFonts w:hint="eastAsia" w:ascii="Times New Roman" w:hAnsi="Times New Roman" w:eastAsia="方正仿宋_GBK" w:cs="Times New Roman"/>
                <w:sz w:val="28"/>
                <w:szCs w:val="28"/>
                <w:lang w:val="zh-CN" w:bidi="ar"/>
              </w:rPr>
              <w:t>（</w:t>
            </w:r>
            <w:r>
              <w:rPr>
                <w:rFonts w:ascii="Times New Roman" w:hAnsi="Times New Roman" w:eastAsia="方正仿宋_GBK" w:cs="Times New Roman"/>
                <w:sz w:val="28"/>
                <w:szCs w:val="28"/>
                <w:lang w:val="zh-CN" w:bidi="ar"/>
              </w:rPr>
              <w:t>评标基准价／投标报价</w:t>
            </w:r>
            <w:r>
              <w:rPr>
                <w:rFonts w:hint="eastAsia" w:ascii="Times New Roman" w:hAnsi="Times New Roman" w:eastAsia="方正仿宋_GBK" w:cs="Times New Roman"/>
                <w:sz w:val="28"/>
                <w:szCs w:val="28"/>
                <w:lang w:val="zh-CN" w:bidi="ar"/>
              </w:rPr>
              <w:t>）</w:t>
            </w:r>
            <w:r>
              <w:rPr>
                <w:rFonts w:ascii="Times New Roman" w:hAnsi="Times New Roman" w:eastAsia="方正仿宋_GBK" w:cs="Times New Roman"/>
                <w:sz w:val="28"/>
                <w:szCs w:val="28"/>
                <w:lang w:val="zh-CN" w:bidi="ar"/>
              </w:rPr>
              <w:t>×</w:t>
            </w:r>
            <w:r>
              <w:rPr>
                <w:rFonts w:ascii="Times New Roman" w:hAnsi="Times New Roman" w:eastAsia="方正仿宋_GBK" w:cs="Times New Roman"/>
                <w:sz w:val="28"/>
                <w:szCs w:val="28"/>
                <w:lang w:bidi="ar"/>
              </w:rPr>
              <w:t>20</w:t>
            </w:r>
            <w:r>
              <w:rPr>
                <w:rFonts w:ascii="Times New Roman" w:hAnsi="Times New Roman" w:eastAsia="方正仿宋_GBK" w:cs="Times New Roman"/>
                <w:sz w:val="28"/>
                <w:szCs w:val="28"/>
                <w:lang w:val="zh-CN" w:bidi="ar"/>
              </w:rPr>
              <w:t>。</w:t>
            </w:r>
          </w:p>
        </w:tc>
        <w:tc>
          <w:tcPr>
            <w:tcW w:w="910"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54A39C34">
            <w:pPr>
              <w:spacing w:line="400" w:lineRule="exact"/>
              <w:jc w:val="center"/>
              <w:rPr>
                <w:rFonts w:ascii="Times New Roman" w:hAnsi="Times New Roman" w:eastAsia="方正仿宋_GBK" w:cs="Times New Roman"/>
                <w:sz w:val="28"/>
                <w:szCs w:val="28"/>
              </w:rPr>
            </w:pPr>
            <w:r>
              <w:rPr>
                <w:rFonts w:ascii="Times New Roman" w:hAnsi="Times New Roman" w:eastAsia="方正仿宋_GBK" w:cs="Times New Roman"/>
                <w:sz w:val="28"/>
                <w:szCs w:val="28"/>
                <w:lang w:bidi="ar"/>
              </w:rPr>
              <w:t>20</w:t>
            </w:r>
          </w:p>
        </w:tc>
      </w:tr>
      <w:tr w14:paraId="29CB2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40" w:hRule="atLeast"/>
          <w:jc w:val="center"/>
        </w:trPr>
        <w:tc>
          <w:tcPr>
            <w:tcW w:w="907"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74C1095E">
            <w:pPr>
              <w:widowControl/>
              <w:spacing w:line="400" w:lineRule="exact"/>
              <w:jc w:val="center"/>
              <w:rPr>
                <w:rFonts w:ascii="Times New Roman" w:hAnsi="Times New Roman" w:eastAsia="方正仿宋_GBK" w:cs="Times New Roman"/>
                <w:sz w:val="28"/>
                <w:szCs w:val="28"/>
              </w:rPr>
            </w:pPr>
            <w:r>
              <w:rPr>
                <w:rFonts w:ascii="Times New Roman" w:hAnsi="Times New Roman" w:eastAsia="方正仿宋_GBK" w:cs="Times New Roman"/>
                <w:sz w:val="28"/>
                <w:szCs w:val="28"/>
                <w:lang w:bidi="ar"/>
              </w:rPr>
              <w:t>2.1</w:t>
            </w:r>
          </w:p>
        </w:tc>
        <w:tc>
          <w:tcPr>
            <w:tcW w:w="1467" w:type="dxa"/>
            <w:vMerge w:val="restart"/>
            <w:tcBorders>
              <w:top w:val="single" w:color="auto" w:sz="4" w:space="0"/>
              <w:left w:val="single" w:color="auto" w:sz="4" w:space="0"/>
              <w:right w:val="single" w:color="auto" w:sz="4" w:space="0"/>
            </w:tcBorders>
            <w:tcMar>
              <w:left w:w="108" w:type="dxa"/>
              <w:right w:w="108" w:type="dxa"/>
            </w:tcMar>
            <w:vAlign w:val="center"/>
          </w:tcPr>
          <w:p w14:paraId="1AE13D98">
            <w:pPr>
              <w:widowControl/>
              <w:spacing w:line="400" w:lineRule="exact"/>
              <w:jc w:val="center"/>
              <w:rPr>
                <w:rFonts w:ascii="Times New Roman" w:hAnsi="Times New Roman" w:eastAsia="方正仿宋_GBK" w:cs="Times New Roman"/>
                <w:sz w:val="28"/>
                <w:szCs w:val="28"/>
                <w:lang w:bidi="ar"/>
              </w:rPr>
            </w:pPr>
            <w:r>
              <w:rPr>
                <w:rFonts w:ascii="Times New Roman" w:hAnsi="Times New Roman" w:eastAsia="方正仿宋_GBK" w:cs="Times New Roman"/>
                <w:sz w:val="28"/>
                <w:szCs w:val="28"/>
                <w:lang w:bidi="ar"/>
              </w:rPr>
              <w:t>管理方案</w:t>
            </w:r>
          </w:p>
          <w:p w14:paraId="1ACC9945">
            <w:pPr>
              <w:widowControl/>
              <w:spacing w:line="400" w:lineRule="exact"/>
              <w:jc w:val="center"/>
              <w:rPr>
                <w:rFonts w:ascii="Times New Roman" w:hAnsi="Times New Roman" w:eastAsia="方正仿宋_GBK" w:cs="Times New Roman"/>
                <w:sz w:val="28"/>
                <w:szCs w:val="28"/>
              </w:rPr>
            </w:pPr>
            <w:r>
              <w:rPr>
                <w:rFonts w:ascii="Times New Roman" w:hAnsi="Times New Roman" w:eastAsia="方正仿宋_GBK" w:cs="Times New Roman"/>
                <w:sz w:val="28"/>
                <w:szCs w:val="28"/>
                <w:lang w:bidi="ar"/>
              </w:rPr>
              <w:t>（42分）</w:t>
            </w:r>
          </w:p>
        </w:tc>
        <w:tc>
          <w:tcPr>
            <w:tcW w:w="7501"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3C7F9C0E">
            <w:pPr>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lang w:bidi="ar"/>
              </w:rPr>
              <w:t>投标人提供的冷库条件应符合并优于国家冻肉储藏技术规范对冷库要求，实行专库储存、专人管理，仓储设施设备、储备管理制度完善得15分；符合国家相关规范要求，有专人管理，制度有瑕疵和轻微偏差得12分；未能全面按照国家相关规范进行管理，制度、人员有缺失但缺失较少的得9分；未能全面按照国家相关规范进行管理，制度、人员缺失较多的得6分；未提供不得分。</w:t>
            </w:r>
          </w:p>
        </w:tc>
        <w:tc>
          <w:tcPr>
            <w:tcW w:w="910"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452CFA1C">
            <w:pPr>
              <w:widowControl/>
              <w:spacing w:line="400" w:lineRule="exact"/>
              <w:jc w:val="center"/>
              <w:rPr>
                <w:rFonts w:ascii="Times New Roman" w:hAnsi="Times New Roman" w:eastAsia="方正仿宋_GBK" w:cs="Times New Roman"/>
                <w:sz w:val="28"/>
                <w:szCs w:val="28"/>
              </w:rPr>
            </w:pPr>
            <w:r>
              <w:rPr>
                <w:rFonts w:ascii="Times New Roman" w:hAnsi="Times New Roman" w:eastAsia="方正仿宋_GBK" w:cs="Times New Roman"/>
                <w:sz w:val="28"/>
                <w:szCs w:val="28"/>
                <w:lang w:bidi="ar"/>
              </w:rPr>
              <w:t>15</w:t>
            </w:r>
          </w:p>
        </w:tc>
      </w:tr>
      <w:tr w14:paraId="4DEFD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6" w:hRule="atLeast"/>
          <w:jc w:val="center"/>
        </w:trPr>
        <w:tc>
          <w:tcPr>
            <w:tcW w:w="907"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2E48F6C5">
            <w:pPr>
              <w:widowControl/>
              <w:spacing w:line="400" w:lineRule="exact"/>
              <w:jc w:val="center"/>
              <w:rPr>
                <w:rFonts w:ascii="Times New Roman" w:hAnsi="Times New Roman" w:eastAsia="方正仿宋_GBK" w:cs="Times New Roman"/>
                <w:sz w:val="28"/>
                <w:szCs w:val="28"/>
              </w:rPr>
            </w:pPr>
            <w:r>
              <w:rPr>
                <w:rFonts w:ascii="Times New Roman" w:hAnsi="Times New Roman" w:eastAsia="方正仿宋_GBK" w:cs="Times New Roman"/>
                <w:sz w:val="28"/>
                <w:szCs w:val="28"/>
                <w:lang w:bidi="ar"/>
              </w:rPr>
              <w:t>2.2</w:t>
            </w:r>
          </w:p>
        </w:tc>
        <w:tc>
          <w:tcPr>
            <w:tcW w:w="1467" w:type="dxa"/>
            <w:vMerge w:val="continue"/>
            <w:tcBorders>
              <w:left w:val="single" w:color="auto" w:sz="4" w:space="0"/>
              <w:right w:val="single" w:color="auto" w:sz="4" w:space="0"/>
            </w:tcBorders>
            <w:tcMar>
              <w:left w:w="108" w:type="dxa"/>
              <w:right w:w="108" w:type="dxa"/>
            </w:tcMar>
            <w:vAlign w:val="center"/>
          </w:tcPr>
          <w:p w14:paraId="67A586D2">
            <w:pPr>
              <w:spacing w:line="400" w:lineRule="exact"/>
              <w:rPr>
                <w:rFonts w:ascii="Times New Roman" w:hAnsi="Times New Roman" w:eastAsia="方正仿宋_GBK" w:cs="Times New Roman"/>
                <w:sz w:val="28"/>
                <w:szCs w:val="28"/>
              </w:rPr>
            </w:pPr>
          </w:p>
        </w:tc>
        <w:tc>
          <w:tcPr>
            <w:tcW w:w="7501"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13E6CC57">
            <w:pPr>
              <w:widowControl/>
              <w:tabs>
                <w:tab w:val="center" w:pos="4153"/>
                <w:tab w:val="right" w:pos="8306"/>
              </w:tabs>
              <w:spacing w:line="400" w:lineRule="exact"/>
              <w:jc w:val="left"/>
              <w:rPr>
                <w:rFonts w:ascii="Times New Roman" w:hAnsi="Times New Roman" w:eastAsia="方正仿宋_GBK" w:cs="Times New Roman"/>
                <w:sz w:val="28"/>
                <w:szCs w:val="28"/>
              </w:rPr>
            </w:pPr>
            <w:r>
              <w:rPr>
                <w:rFonts w:ascii="Times New Roman" w:hAnsi="Times New Roman" w:eastAsia="方正仿宋_GBK" w:cs="Times New Roman"/>
                <w:sz w:val="28"/>
                <w:szCs w:val="28"/>
                <w:lang w:bidi="ar"/>
              </w:rPr>
              <w:t>投标人能够承担储备冻猪肉的安全责任，确保突发事件发生时能及时发挥市场保供作用，调节稳定市场供应，安全方案完善、应急响应机制全面得13分；安全方案有瑕疵和轻微偏差，能够达到及时响应的要求得10分；安全管理方案有缺失，响应机制不灵活得7分；安全管理方案有缺失，响应机制较差的得4分；未提供的不得分。</w:t>
            </w:r>
          </w:p>
        </w:tc>
        <w:tc>
          <w:tcPr>
            <w:tcW w:w="910"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006B36EF">
            <w:pPr>
              <w:widowControl/>
              <w:spacing w:line="400" w:lineRule="exact"/>
              <w:jc w:val="center"/>
              <w:rPr>
                <w:rFonts w:ascii="Times New Roman" w:hAnsi="Times New Roman" w:eastAsia="方正仿宋_GBK" w:cs="Times New Roman"/>
                <w:sz w:val="28"/>
                <w:szCs w:val="28"/>
              </w:rPr>
            </w:pPr>
            <w:r>
              <w:rPr>
                <w:rFonts w:ascii="Times New Roman" w:hAnsi="Times New Roman" w:eastAsia="方正仿宋_GBK" w:cs="Times New Roman"/>
                <w:sz w:val="28"/>
                <w:szCs w:val="28"/>
                <w:lang w:bidi="ar"/>
              </w:rPr>
              <w:t>13</w:t>
            </w:r>
          </w:p>
        </w:tc>
      </w:tr>
      <w:tr w14:paraId="652D0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44" w:hRule="atLeast"/>
          <w:jc w:val="center"/>
        </w:trPr>
        <w:tc>
          <w:tcPr>
            <w:tcW w:w="907"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634F6103">
            <w:pPr>
              <w:widowControl/>
              <w:spacing w:line="400" w:lineRule="exact"/>
              <w:jc w:val="center"/>
              <w:rPr>
                <w:rFonts w:ascii="Times New Roman" w:hAnsi="Times New Roman" w:eastAsia="方正仿宋_GBK" w:cs="Times New Roman"/>
                <w:sz w:val="28"/>
                <w:szCs w:val="28"/>
              </w:rPr>
            </w:pPr>
            <w:r>
              <w:rPr>
                <w:rFonts w:ascii="Times New Roman" w:hAnsi="Times New Roman" w:eastAsia="方正仿宋_GBK" w:cs="Times New Roman"/>
                <w:sz w:val="28"/>
                <w:szCs w:val="28"/>
                <w:lang w:bidi="ar"/>
              </w:rPr>
              <w:t>2.3</w:t>
            </w:r>
          </w:p>
        </w:tc>
        <w:tc>
          <w:tcPr>
            <w:tcW w:w="1467" w:type="dxa"/>
            <w:vMerge w:val="continue"/>
            <w:tcBorders>
              <w:left w:val="single" w:color="auto" w:sz="4" w:space="0"/>
              <w:right w:val="single" w:color="auto" w:sz="4" w:space="0"/>
            </w:tcBorders>
            <w:tcMar>
              <w:left w:w="108" w:type="dxa"/>
              <w:right w:w="108" w:type="dxa"/>
            </w:tcMar>
            <w:vAlign w:val="center"/>
          </w:tcPr>
          <w:p w14:paraId="47F536B1">
            <w:pPr>
              <w:spacing w:line="400" w:lineRule="exact"/>
              <w:jc w:val="center"/>
              <w:rPr>
                <w:rFonts w:ascii="Times New Roman" w:hAnsi="Times New Roman" w:eastAsia="方正仿宋_GBK" w:cs="Times New Roman"/>
                <w:sz w:val="28"/>
                <w:szCs w:val="28"/>
              </w:rPr>
            </w:pPr>
          </w:p>
        </w:tc>
        <w:tc>
          <w:tcPr>
            <w:tcW w:w="7501"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0DF6EA6C">
            <w:pPr>
              <w:spacing w:line="400" w:lineRule="exact"/>
              <w:rPr>
                <w:rFonts w:ascii="Times New Roman" w:hAnsi="Times New Roman" w:eastAsia="方正仿宋_GBK" w:cs="Times New Roman"/>
                <w:b/>
                <w:sz w:val="28"/>
                <w:szCs w:val="28"/>
              </w:rPr>
            </w:pPr>
            <w:r>
              <w:rPr>
                <w:rFonts w:ascii="Times New Roman" w:hAnsi="Times New Roman" w:eastAsia="方正仿宋_GBK" w:cs="Times New Roman"/>
                <w:sz w:val="28"/>
                <w:szCs w:val="28"/>
                <w:lang w:bidi="ar"/>
              </w:rPr>
              <w:t>评委根据投标人提供的储备管理方案进行综合打分：管理方案能够确保入储冻猪肉数量充足、质量安全，具有健全的各项管理制度得10分；管理方案对于入储冻猪肉数量、质量表述有欠缺，各项管理制度有瑕疵和轻微偏差得7分；管理方案对入储冻猪肉数量、质量表述内容简单、条理不清晰、各项管理制度表述不清晰得4分；管理方案对入储冻猪肉数量、质量表述内容简单、条理不清晰、各项管理制度表述很差的得1分；未提供不得分。</w:t>
            </w:r>
          </w:p>
        </w:tc>
        <w:tc>
          <w:tcPr>
            <w:tcW w:w="910"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5DCFD79D">
            <w:pPr>
              <w:widowControl/>
              <w:spacing w:line="400" w:lineRule="exact"/>
              <w:jc w:val="center"/>
              <w:rPr>
                <w:rFonts w:ascii="Times New Roman" w:hAnsi="Times New Roman" w:eastAsia="方正仿宋_GBK" w:cs="Times New Roman"/>
                <w:sz w:val="28"/>
                <w:szCs w:val="28"/>
              </w:rPr>
            </w:pPr>
            <w:r>
              <w:rPr>
                <w:rFonts w:ascii="Times New Roman" w:hAnsi="Times New Roman" w:eastAsia="方正仿宋_GBK" w:cs="Times New Roman"/>
                <w:sz w:val="28"/>
                <w:szCs w:val="28"/>
                <w:lang w:bidi="ar"/>
              </w:rPr>
              <w:t>10</w:t>
            </w:r>
          </w:p>
        </w:tc>
      </w:tr>
      <w:tr w14:paraId="180BE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06" w:hRule="atLeast"/>
          <w:jc w:val="center"/>
        </w:trPr>
        <w:tc>
          <w:tcPr>
            <w:tcW w:w="907"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44730283">
            <w:pPr>
              <w:widowControl/>
              <w:spacing w:line="400" w:lineRule="exact"/>
              <w:jc w:val="center"/>
              <w:rPr>
                <w:rFonts w:ascii="Times New Roman" w:hAnsi="Times New Roman" w:eastAsia="方正仿宋_GBK" w:cs="Times New Roman"/>
                <w:sz w:val="28"/>
                <w:szCs w:val="28"/>
                <w:lang w:bidi="ar"/>
              </w:rPr>
            </w:pPr>
            <w:r>
              <w:rPr>
                <w:rFonts w:ascii="Times New Roman" w:hAnsi="Times New Roman" w:eastAsia="方正仿宋_GBK" w:cs="Times New Roman"/>
                <w:sz w:val="28"/>
                <w:szCs w:val="28"/>
                <w:lang w:bidi="ar"/>
              </w:rPr>
              <w:t>2.4</w:t>
            </w:r>
          </w:p>
        </w:tc>
        <w:tc>
          <w:tcPr>
            <w:tcW w:w="1467" w:type="dxa"/>
            <w:vMerge w:val="continue"/>
            <w:tcBorders>
              <w:left w:val="single" w:color="auto" w:sz="4" w:space="0"/>
              <w:bottom w:val="single" w:color="auto" w:sz="4" w:space="0"/>
              <w:right w:val="single" w:color="auto" w:sz="4" w:space="0"/>
            </w:tcBorders>
            <w:tcMar>
              <w:left w:w="108" w:type="dxa"/>
              <w:right w:w="108" w:type="dxa"/>
            </w:tcMar>
            <w:vAlign w:val="center"/>
          </w:tcPr>
          <w:p w14:paraId="0B343B94">
            <w:pPr>
              <w:spacing w:line="400" w:lineRule="exact"/>
              <w:jc w:val="center"/>
              <w:rPr>
                <w:rFonts w:ascii="Times New Roman" w:hAnsi="Times New Roman" w:eastAsia="方正仿宋_GBK" w:cs="Times New Roman"/>
                <w:sz w:val="28"/>
                <w:szCs w:val="28"/>
              </w:rPr>
            </w:pPr>
          </w:p>
        </w:tc>
        <w:tc>
          <w:tcPr>
            <w:tcW w:w="7501"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6DDE4407">
            <w:pPr>
              <w:spacing w:line="400" w:lineRule="exact"/>
              <w:rPr>
                <w:rFonts w:ascii="Times New Roman" w:hAnsi="Times New Roman" w:eastAsia="方正仿宋_GBK" w:cs="Times New Roman"/>
                <w:sz w:val="28"/>
                <w:szCs w:val="28"/>
                <w:u w:val="single"/>
                <w:lang w:bidi="ar"/>
              </w:rPr>
            </w:pPr>
            <w:r>
              <w:rPr>
                <w:rFonts w:ascii="Times New Roman" w:hAnsi="Times New Roman" w:eastAsia="方正仿宋_GBK" w:cs="Times New Roman"/>
                <w:sz w:val="28"/>
                <w:szCs w:val="28"/>
                <w:lang w:bidi="ar"/>
              </w:rPr>
              <w:t>配备仓库监控设备，可与政府相关部门监管系统有效对接得2分，否则不得分（若仓库有监控设备的，须提供仓库中含有监控设备的图片并加盖公章，且须承诺中标承储后配合对接监管系统；若仓库没有监控设备的，须提供承诺函并加盖公章，承诺中标后在仓库中安装监控设备且中标承储后配合对接监管系统）。建立商品智慧化管理系统，统计生成企业储备与销售数据，可以完成定期报送任务得2分，否则不得分（提供系统截图及台账报表加盖公章，且须承诺中标后按照采购人要求定期报送数据，提供承诺书并加盖公章，三者缺一不可，否则不得分）。</w:t>
            </w:r>
          </w:p>
        </w:tc>
        <w:tc>
          <w:tcPr>
            <w:tcW w:w="910"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02E4A148">
            <w:pPr>
              <w:widowControl/>
              <w:spacing w:line="400" w:lineRule="exact"/>
              <w:jc w:val="center"/>
              <w:rPr>
                <w:rFonts w:ascii="Times New Roman" w:hAnsi="Times New Roman" w:eastAsia="方正仿宋_GBK" w:cs="Times New Roman"/>
                <w:sz w:val="28"/>
                <w:szCs w:val="28"/>
                <w:lang w:bidi="ar"/>
              </w:rPr>
            </w:pPr>
            <w:r>
              <w:rPr>
                <w:rFonts w:ascii="Times New Roman" w:hAnsi="Times New Roman" w:eastAsia="方正仿宋_GBK" w:cs="Times New Roman"/>
                <w:sz w:val="28"/>
                <w:szCs w:val="28"/>
                <w:lang w:bidi="ar"/>
              </w:rPr>
              <w:t>4</w:t>
            </w:r>
          </w:p>
        </w:tc>
      </w:tr>
      <w:tr w14:paraId="3AD1D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69" w:hRule="atLeast"/>
          <w:jc w:val="center"/>
        </w:trPr>
        <w:tc>
          <w:tcPr>
            <w:tcW w:w="907" w:type="dxa"/>
            <w:tcBorders>
              <w:top w:val="single" w:color="auto" w:sz="4" w:space="0"/>
              <w:left w:val="single" w:color="auto" w:sz="4" w:space="0"/>
              <w:bottom w:val="single" w:color="auto" w:sz="4" w:space="0"/>
              <w:right w:val="single" w:color="auto" w:sz="4" w:space="0"/>
            </w:tcBorders>
            <w:vAlign w:val="center"/>
          </w:tcPr>
          <w:p w14:paraId="5604E905">
            <w:pPr>
              <w:widowControl/>
              <w:spacing w:line="400" w:lineRule="exact"/>
              <w:jc w:val="center"/>
              <w:rPr>
                <w:rFonts w:ascii="Times New Roman" w:hAnsi="Times New Roman" w:eastAsia="方正仿宋_GBK" w:cs="Times New Roman"/>
                <w:sz w:val="28"/>
                <w:szCs w:val="28"/>
              </w:rPr>
            </w:pPr>
            <w:r>
              <w:rPr>
                <w:rFonts w:ascii="Times New Roman" w:hAnsi="Times New Roman" w:eastAsia="方正仿宋_GBK" w:cs="Times New Roman"/>
                <w:sz w:val="28"/>
                <w:szCs w:val="28"/>
                <w:lang w:bidi="ar"/>
              </w:rPr>
              <w:t>3.1</w:t>
            </w:r>
          </w:p>
        </w:tc>
        <w:tc>
          <w:tcPr>
            <w:tcW w:w="1467" w:type="dxa"/>
            <w:vMerge w:val="restart"/>
            <w:tcBorders>
              <w:top w:val="single" w:color="auto" w:sz="4" w:space="0"/>
              <w:left w:val="single" w:color="auto" w:sz="4" w:space="0"/>
              <w:bottom w:val="single" w:color="auto" w:sz="4" w:space="0"/>
              <w:right w:val="single" w:color="auto" w:sz="4" w:space="0"/>
            </w:tcBorders>
            <w:vAlign w:val="center"/>
          </w:tcPr>
          <w:p w14:paraId="750BC9D0">
            <w:pPr>
              <w:widowControl/>
              <w:spacing w:line="400" w:lineRule="exact"/>
              <w:jc w:val="center"/>
              <w:rPr>
                <w:rFonts w:ascii="Times New Roman" w:hAnsi="Times New Roman" w:eastAsia="方正仿宋_GBK" w:cs="Times New Roman"/>
                <w:sz w:val="28"/>
                <w:szCs w:val="28"/>
                <w:lang w:bidi="ar"/>
              </w:rPr>
            </w:pPr>
            <w:r>
              <w:rPr>
                <w:rFonts w:ascii="Times New Roman" w:hAnsi="Times New Roman" w:eastAsia="方正仿宋_GBK" w:cs="Times New Roman"/>
                <w:sz w:val="28"/>
                <w:szCs w:val="28"/>
                <w:lang w:bidi="ar"/>
              </w:rPr>
              <w:t>投放与经营能力</w:t>
            </w:r>
          </w:p>
          <w:p w14:paraId="4E3A98B8">
            <w:pPr>
              <w:widowControl/>
              <w:spacing w:line="400" w:lineRule="exact"/>
              <w:jc w:val="center"/>
              <w:rPr>
                <w:rFonts w:ascii="Times New Roman" w:hAnsi="Times New Roman" w:eastAsia="方正仿宋_GBK" w:cs="Times New Roman"/>
                <w:sz w:val="28"/>
                <w:szCs w:val="28"/>
              </w:rPr>
            </w:pPr>
            <w:r>
              <w:rPr>
                <w:rFonts w:ascii="Times New Roman" w:hAnsi="Times New Roman" w:eastAsia="方正仿宋_GBK" w:cs="Times New Roman"/>
                <w:sz w:val="28"/>
                <w:szCs w:val="28"/>
                <w:lang w:bidi="ar"/>
              </w:rPr>
              <w:t>（32分）</w:t>
            </w:r>
          </w:p>
        </w:tc>
        <w:tc>
          <w:tcPr>
            <w:tcW w:w="7501"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7CE08FC3">
            <w:pPr>
              <w:spacing w:line="400" w:lineRule="exact"/>
              <w:rPr>
                <w:rFonts w:ascii="Times New Roman" w:hAnsi="Times New Roman" w:eastAsia="方正仿宋_GBK" w:cs="Times New Roman"/>
                <w:sz w:val="28"/>
                <w:szCs w:val="28"/>
                <w:lang w:bidi="ar"/>
              </w:rPr>
            </w:pPr>
            <w:r>
              <w:rPr>
                <w:rFonts w:ascii="Times New Roman" w:hAnsi="Times New Roman" w:eastAsia="方正仿宋_GBK" w:cs="Times New Roman"/>
                <w:sz w:val="28"/>
                <w:szCs w:val="28"/>
                <w:lang w:bidi="ar"/>
              </w:rPr>
              <w:t>投标人（含关联企业）在南京市有完整的终端销售网络能够快速推向市场的（根据各包承储规模分别评分如下）：</w:t>
            </w:r>
          </w:p>
          <w:p w14:paraId="0846DEB8">
            <w:pPr>
              <w:spacing w:line="400" w:lineRule="exact"/>
              <w:rPr>
                <w:rFonts w:ascii="Times New Roman" w:hAnsi="Times New Roman" w:eastAsia="方正仿宋_GBK" w:cs="Times New Roman"/>
                <w:sz w:val="28"/>
                <w:szCs w:val="28"/>
                <w:lang w:bidi="ar"/>
              </w:rPr>
            </w:pPr>
            <w:r>
              <w:rPr>
                <w:rFonts w:ascii="Times New Roman" w:hAnsi="Times New Roman" w:eastAsia="方正仿宋_GBK" w:cs="Times New Roman"/>
                <w:sz w:val="28"/>
                <w:szCs w:val="28"/>
                <w:lang w:bidi="ar"/>
              </w:rPr>
              <w:t>包一：具有不少于15个网点得4分，不少于20个网点得7分，30个以上网点的得10分；</w:t>
            </w:r>
          </w:p>
          <w:p w14:paraId="5D14E421">
            <w:pPr>
              <w:spacing w:line="400" w:lineRule="exact"/>
              <w:rPr>
                <w:rFonts w:ascii="Times New Roman" w:hAnsi="Times New Roman" w:eastAsia="方正仿宋_GBK" w:cs="Times New Roman"/>
                <w:sz w:val="28"/>
                <w:szCs w:val="28"/>
                <w:lang w:bidi="ar"/>
              </w:rPr>
            </w:pPr>
            <w:r>
              <w:rPr>
                <w:rFonts w:ascii="Times New Roman" w:hAnsi="Times New Roman" w:eastAsia="方正仿宋_GBK" w:cs="Times New Roman"/>
                <w:sz w:val="28"/>
                <w:szCs w:val="28"/>
                <w:lang w:bidi="ar"/>
              </w:rPr>
              <w:t>包二：具有不少于10个网点得4分，不少于15个网点得7分，20个以上网点的得10分；</w:t>
            </w:r>
          </w:p>
          <w:p w14:paraId="53D02AC5">
            <w:pPr>
              <w:rPr>
                <w:rFonts w:ascii="Times New Roman" w:hAnsi="Times New Roman" w:eastAsia="方正仿宋_GBK" w:cs="Times New Roman"/>
                <w:sz w:val="28"/>
                <w:szCs w:val="28"/>
                <w:lang w:bidi="ar"/>
              </w:rPr>
            </w:pPr>
            <w:r>
              <w:rPr>
                <w:rFonts w:ascii="Times New Roman" w:hAnsi="Times New Roman" w:eastAsia="方正仿宋_GBK" w:cs="Times New Roman"/>
                <w:sz w:val="28"/>
                <w:szCs w:val="28"/>
                <w:lang w:bidi="ar"/>
              </w:rPr>
              <w:t>包三：具有不少于5个网点得4分，不少于10个网点得7分，15个以上网点的得10分。</w:t>
            </w:r>
          </w:p>
          <w:p w14:paraId="443B889E">
            <w:pPr>
              <w:spacing w:line="400" w:lineRule="exact"/>
              <w:rPr>
                <w:rFonts w:ascii="Times New Roman" w:hAnsi="Times New Roman" w:eastAsia="方正仿宋_GBK" w:cs="Times New Roman"/>
                <w:sz w:val="28"/>
                <w:szCs w:val="28"/>
                <w:lang w:bidi="ar"/>
              </w:rPr>
            </w:pPr>
            <w:r>
              <w:rPr>
                <w:rFonts w:ascii="Times New Roman" w:hAnsi="Times New Roman" w:eastAsia="方正仿宋_GBK" w:cs="Times New Roman"/>
                <w:sz w:val="28"/>
                <w:szCs w:val="28"/>
                <w:lang w:bidi="ar"/>
              </w:rPr>
              <w:t>（须提供相关证明材料复印件并加盖公章，未提供不得分）</w:t>
            </w:r>
          </w:p>
        </w:tc>
        <w:tc>
          <w:tcPr>
            <w:tcW w:w="910"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488A26DC">
            <w:pPr>
              <w:widowControl/>
              <w:spacing w:line="400" w:lineRule="exact"/>
              <w:jc w:val="center"/>
              <w:rPr>
                <w:rFonts w:ascii="Times New Roman" w:hAnsi="Times New Roman" w:eastAsia="方正仿宋_GBK" w:cs="Times New Roman"/>
                <w:sz w:val="28"/>
                <w:szCs w:val="28"/>
              </w:rPr>
            </w:pPr>
            <w:r>
              <w:rPr>
                <w:rFonts w:ascii="Times New Roman" w:hAnsi="Times New Roman" w:eastAsia="方正仿宋_GBK" w:cs="Times New Roman"/>
                <w:sz w:val="28"/>
                <w:szCs w:val="28"/>
                <w:lang w:bidi="ar"/>
              </w:rPr>
              <w:t>10</w:t>
            </w:r>
          </w:p>
        </w:tc>
      </w:tr>
      <w:tr w14:paraId="4BDB6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05" w:hRule="atLeast"/>
          <w:jc w:val="center"/>
        </w:trPr>
        <w:tc>
          <w:tcPr>
            <w:tcW w:w="907" w:type="dxa"/>
            <w:tcBorders>
              <w:top w:val="single" w:color="auto" w:sz="4" w:space="0"/>
              <w:left w:val="single" w:color="auto" w:sz="4" w:space="0"/>
              <w:bottom w:val="single" w:color="auto" w:sz="4" w:space="0"/>
              <w:right w:val="single" w:color="auto" w:sz="4" w:space="0"/>
            </w:tcBorders>
            <w:vAlign w:val="center"/>
          </w:tcPr>
          <w:p w14:paraId="67C62657">
            <w:pPr>
              <w:widowControl/>
              <w:spacing w:line="400" w:lineRule="exact"/>
              <w:jc w:val="center"/>
              <w:rPr>
                <w:rFonts w:ascii="Times New Roman" w:hAnsi="Times New Roman" w:eastAsia="方正仿宋_GBK" w:cs="Times New Roman"/>
                <w:sz w:val="28"/>
                <w:szCs w:val="28"/>
              </w:rPr>
            </w:pPr>
            <w:r>
              <w:rPr>
                <w:rFonts w:ascii="Times New Roman" w:hAnsi="Times New Roman" w:eastAsia="方正仿宋_GBK" w:cs="Times New Roman"/>
                <w:sz w:val="28"/>
                <w:szCs w:val="28"/>
                <w:lang w:bidi="ar"/>
              </w:rPr>
              <w:t>3.2</w:t>
            </w:r>
          </w:p>
        </w:tc>
        <w:tc>
          <w:tcPr>
            <w:tcW w:w="1467" w:type="dxa"/>
            <w:vMerge w:val="continue"/>
            <w:tcBorders>
              <w:top w:val="single" w:color="auto" w:sz="4" w:space="0"/>
              <w:left w:val="single" w:color="auto" w:sz="4" w:space="0"/>
              <w:bottom w:val="single" w:color="auto" w:sz="4" w:space="0"/>
              <w:right w:val="single" w:color="auto" w:sz="4" w:space="0"/>
            </w:tcBorders>
            <w:vAlign w:val="center"/>
          </w:tcPr>
          <w:p w14:paraId="4C6386E0">
            <w:pPr>
              <w:spacing w:line="400" w:lineRule="exact"/>
              <w:rPr>
                <w:rFonts w:ascii="Times New Roman" w:hAnsi="Times New Roman" w:eastAsia="方正仿宋_GBK" w:cs="Times New Roman"/>
                <w:sz w:val="28"/>
                <w:szCs w:val="28"/>
              </w:rPr>
            </w:pPr>
          </w:p>
        </w:tc>
        <w:tc>
          <w:tcPr>
            <w:tcW w:w="7501"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4C7C2AAD">
            <w:pPr>
              <w:spacing w:line="400" w:lineRule="exact"/>
              <w:rPr>
                <w:rFonts w:ascii="Times New Roman" w:hAnsi="Times New Roman" w:eastAsia="方正仿宋_GBK" w:cs="Times New Roman"/>
                <w:sz w:val="28"/>
                <w:szCs w:val="28"/>
                <w:lang w:bidi="ar"/>
              </w:rPr>
            </w:pPr>
            <w:r>
              <w:rPr>
                <w:rFonts w:ascii="Times New Roman" w:hAnsi="Times New Roman" w:eastAsia="方正仿宋_GBK" w:cs="Times New Roman"/>
                <w:sz w:val="28"/>
                <w:szCs w:val="28"/>
                <w:lang w:bidi="ar"/>
              </w:rPr>
              <w:t>投标人（含关联企业如销售企业）猪肉年销售量能够达到承储规模（根据各包承储情况分别评分如下）：</w:t>
            </w:r>
          </w:p>
          <w:p w14:paraId="3B02200B">
            <w:pPr>
              <w:spacing w:line="400" w:lineRule="exact"/>
              <w:rPr>
                <w:rFonts w:ascii="Times New Roman" w:hAnsi="Times New Roman" w:eastAsia="方正仿宋_GBK" w:cs="Times New Roman"/>
                <w:sz w:val="28"/>
                <w:szCs w:val="28"/>
                <w:lang w:bidi="ar"/>
              </w:rPr>
            </w:pPr>
            <w:r>
              <w:rPr>
                <w:rFonts w:ascii="Times New Roman" w:hAnsi="Times New Roman" w:eastAsia="方正仿宋_GBK" w:cs="Times New Roman"/>
                <w:sz w:val="28"/>
                <w:szCs w:val="28"/>
                <w:lang w:bidi="ar"/>
              </w:rPr>
              <w:t>即包一投标人年销售量到达2000吨得8分；1500吨得5分；</w:t>
            </w:r>
          </w:p>
          <w:p w14:paraId="26099985">
            <w:pPr>
              <w:spacing w:line="400" w:lineRule="exact"/>
              <w:rPr>
                <w:rFonts w:ascii="Times New Roman" w:hAnsi="Times New Roman" w:eastAsia="方正仿宋_GBK" w:cs="Times New Roman"/>
                <w:sz w:val="28"/>
                <w:szCs w:val="28"/>
                <w:lang w:bidi="ar"/>
              </w:rPr>
            </w:pPr>
            <w:r>
              <w:rPr>
                <w:rFonts w:ascii="Times New Roman" w:hAnsi="Times New Roman" w:eastAsia="方正仿宋_GBK" w:cs="Times New Roman"/>
                <w:sz w:val="28"/>
                <w:szCs w:val="28"/>
                <w:lang w:bidi="ar"/>
              </w:rPr>
              <w:t>即包二投标人年销售量到达1500吨得8分；1000吨得5分；</w:t>
            </w:r>
          </w:p>
          <w:p w14:paraId="0CAC93E1">
            <w:pPr>
              <w:rPr>
                <w:rFonts w:ascii="Times New Roman" w:hAnsi="Times New Roman" w:eastAsia="方正仿宋_GBK" w:cs="Times New Roman"/>
                <w:sz w:val="28"/>
                <w:szCs w:val="28"/>
                <w:lang w:bidi="ar"/>
              </w:rPr>
            </w:pPr>
            <w:r>
              <w:rPr>
                <w:rFonts w:ascii="Times New Roman" w:hAnsi="Times New Roman" w:eastAsia="方正仿宋_GBK" w:cs="Times New Roman"/>
                <w:sz w:val="28"/>
                <w:szCs w:val="28"/>
                <w:lang w:bidi="ar"/>
              </w:rPr>
              <w:t>即包三投标人年销售量到达1000吨得8分；500吨得5分。</w:t>
            </w:r>
          </w:p>
          <w:p w14:paraId="15A9C45C">
            <w:pPr>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lang w:bidi="ar"/>
              </w:rPr>
              <w:t>（须提供相关证明材料复印件并加盖公章，未提供不得分）</w:t>
            </w:r>
          </w:p>
        </w:tc>
        <w:tc>
          <w:tcPr>
            <w:tcW w:w="910"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4F38E88B">
            <w:pPr>
              <w:widowControl/>
              <w:spacing w:line="400" w:lineRule="exact"/>
              <w:jc w:val="center"/>
              <w:rPr>
                <w:rFonts w:ascii="Times New Roman" w:hAnsi="Times New Roman" w:eastAsia="方正仿宋_GBK" w:cs="Times New Roman"/>
                <w:sz w:val="28"/>
                <w:szCs w:val="28"/>
              </w:rPr>
            </w:pPr>
            <w:r>
              <w:rPr>
                <w:rFonts w:ascii="Times New Roman" w:hAnsi="Times New Roman" w:eastAsia="方正仿宋_GBK" w:cs="Times New Roman"/>
                <w:sz w:val="28"/>
                <w:szCs w:val="28"/>
                <w:lang w:bidi="ar"/>
              </w:rPr>
              <w:t>8</w:t>
            </w:r>
          </w:p>
        </w:tc>
      </w:tr>
      <w:tr w14:paraId="1F676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74" w:hRule="atLeast"/>
          <w:jc w:val="center"/>
        </w:trPr>
        <w:tc>
          <w:tcPr>
            <w:tcW w:w="907" w:type="dxa"/>
            <w:tcBorders>
              <w:top w:val="single" w:color="auto" w:sz="4" w:space="0"/>
              <w:left w:val="single" w:color="auto" w:sz="4" w:space="0"/>
              <w:bottom w:val="single" w:color="auto" w:sz="4" w:space="0"/>
              <w:right w:val="single" w:color="auto" w:sz="4" w:space="0"/>
            </w:tcBorders>
            <w:vAlign w:val="center"/>
          </w:tcPr>
          <w:p w14:paraId="36B89672">
            <w:pPr>
              <w:widowControl/>
              <w:spacing w:line="400" w:lineRule="exact"/>
              <w:jc w:val="center"/>
              <w:rPr>
                <w:rFonts w:ascii="Times New Roman" w:hAnsi="Times New Roman" w:eastAsia="方正仿宋_GBK" w:cs="Times New Roman"/>
                <w:sz w:val="28"/>
                <w:szCs w:val="28"/>
              </w:rPr>
            </w:pPr>
            <w:r>
              <w:rPr>
                <w:rFonts w:ascii="Times New Roman" w:hAnsi="Times New Roman" w:eastAsia="方正仿宋_GBK" w:cs="Times New Roman"/>
                <w:sz w:val="28"/>
                <w:szCs w:val="28"/>
                <w:lang w:bidi="ar"/>
              </w:rPr>
              <w:t>3.3</w:t>
            </w:r>
          </w:p>
        </w:tc>
        <w:tc>
          <w:tcPr>
            <w:tcW w:w="1467" w:type="dxa"/>
            <w:vMerge w:val="continue"/>
            <w:tcBorders>
              <w:top w:val="single" w:color="auto" w:sz="4" w:space="0"/>
              <w:left w:val="single" w:color="auto" w:sz="4" w:space="0"/>
              <w:bottom w:val="single" w:color="auto" w:sz="4" w:space="0"/>
              <w:right w:val="single" w:color="auto" w:sz="4" w:space="0"/>
            </w:tcBorders>
            <w:vAlign w:val="center"/>
          </w:tcPr>
          <w:p w14:paraId="6399F1C2">
            <w:pPr>
              <w:spacing w:line="400" w:lineRule="exact"/>
              <w:rPr>
                <w:rFonts w:ascii="Times New Roman" w:hAnsi="Times New Roman" w:eastAsia="方正仿宋_GBK" w:cs="Times New Roman"/>
                <w:sz w:val="28"/>
                <w:szCs w:val="28"/>
              </w:rPr>
            </w:pPr>
          </w:p>
        </w:tc>
        <w:tc>
          <w:tcPr>
            <w:tcW w:w="7501"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0A06693B">
            <w:pPr>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lang w:bidi="ar"/>
              </w:rPr>
              <w:t>投标人具有与承担储备规模、仓库点位相适应的运输投放能力，能够配有一定数量的配送运输车辆，提供拥有自有车辆或租赁车辆证明材料。自有与租赁车辆超过40辆的得10分；超过30辆的得8分；超过20辆的得6分；超过10辆的得4分；少于10辆或未提供的不得分。（须提供相关证明材料复印件并加盖公章，未提供不得分）</w:t>
            </w:r>
          </w:p>
        </w:tc>
        <w:tc>
          <w:tcPr>
            <w:tcW w:w="910"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206F87FD">
            <w:pPr>
              <w:widowControl/>
              <w:spacing w:line="400" w:lineRule="exact"/>
              <w:jc w:val="center"/>
              <w:rPr>
                <w:rFonts w:ascii="Times New Roman" w:hAnsi="Times New Roman" w:eastAsia="方正仿宋_GBK" w:cs="Times New Roman"/>
                <w:sz w:val="28"/>
                <w:szCs w:val="28"/>
              </w:rPr>
            </w:pPr>
            <w:r>
              <w:rPr>
                <w:rFonts w:ascii="Times New Roman" w:hAnsi="Times New Roman" w:eastAsia="方正仿宋_GBK" w:cs="Times New Roman"/>
                <w:sz w:val="28"/>
                <w:szCs w:val="28"/>
                <w:lang w:bidi="ar"/>
              </w:rPr>
              <w:t>10</w:t>
            </w:r>
          </w:p>
        </w:tc>
      </w:tr>
      <w:tr w14:paraId="78DBA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74" w:hRule="atLeast"/>
          <w:jc w:val="center"/>
        </w:trPr>
        <w:tc>
          <w:tcPr>
            <w:tcW w:w="907" w:type="dxa"/>
            <w:tcBorders>
              <w:top w:val="single" w:color="auto" w:sz="4" w:space="0"/>
              <w:left w:val="single" w:color="auto" w:sz="4" w:space="0"/>
              <w:bottom w:val="single" w:color="auto" w:sz="4" w:space="0"/>
              <w:right w:val="single" w:color="auto" w:sz="4" w:space="0"/>
            </w:tcBorders>
            <w:vAlign w:val="center"/>
          </w:tcPr>
          <w:p w14:paraId="4748654F">
            <w:pPr>
              <w:widowControl/>
              <w:spacing w:line="400" w:lineRule="exact"/>
              <w:jc w:val="center"/>
              <w:rPr>
                <w:rFonts w:ascii="Times New Roman" w:hAnsi="Times New Roman" w:eastAsia="方正仿宋_GBK" w:cs="Times New Roman"/>
                <w:sz w:val="28"/>
                <w:szCs w:val="28"/>
              </w:rPr>
            </w:pPr>
            <w:r>
              <w:rPr>
                <w:rFonts w:ascii="Times New Roman" w:hAnsi="Times New Roman" w:eastAsia="方正仿宋_GBK" w:cs="Times New Roman"/>
                <w:sz w:val="28"/>
                <w:szCs w:val="28"/>
                <w:lang w:bidi="ar"/>
              </w:rPr>
              <w:t>3.4</w:t>
            </w:r>
          </w:p>
        </w:tc>
        <w:tc>
          <w:tcPr>
            <w:tcW w:w="1467" w:type="dxa"/>
            <w:vMerge w:val="continue"/>
            <w:tcBorders>
              <w:top w:val="single" w:color="auto" w:sz="4" w:space="0"/>
              <w:left w:val="single" w:color="auto" w:sz="4" w:space="0"/>
              <w:bottom w:val="single" w:color="auto" w:sz="4" w:space="0"/>
              <w:right w:val="single" w:color="auto" w:sz="4" w:space="0"/>
            </w:tcBorders>
            <w:vAlign w:val="center"/>
          </w:tcPr>
          <w:p w14:paraId="559110F2">
            <w:pPr>
              <w:spacing w:line="400" w:lineRule="exact"/>
              <w:rPr>
                <w:rFonts w:ascii="Times New Roman" w:hAnsi="Times New Roman" w:eastAsia="方正仿宋_GBK" w:cs="Times New Roman"/>
                <w:sz w:val="28"/>
                <w:szCs w:val="28"/>
              </w:rPr>
            </w:pPr>
          </w:p>
        </w:tc>
        <w:tc>
          <w:tcPr>
            <w:tcW w:w="7501"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021D503D">
            <w:pPr>
              <w:spacing w:line="400" w:lineRule="exact"/>
              <w:rPr>
                <w:rFonts w:ascii="Times New Roman" w:hAnsi="Times New Roman" w:eastAsia="方正仿宋_GBK" w:cs="Times New Roman"/>
                <w:sz w:val="28"/>
                <w:szCs w:val="28"/>
                <w:lang w:bidi="ar"/>
              </w:rPr>
            </w:pPr>
            <w:r>
              <w:rPr>
                <w:rFonts w:ascii="Times New Roman" w:hAnsi="Times New Roman" w:eastAsia="方正仿宋_GBK" w:cs="Times New Roman"/>
                <w:sz w:val="28"/>
                <w:szCs w:val="28"/>
                <w:lang w:bidi="ar"/>
              </w:rPr>
              <w:t>投标人所销售的肉食产品能够进行追溯的得4分。</w:t>
            </w:r>
          </w:p>
          <w:p w14:paraId="1F894C22">
            <w:pPr>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lang w:bidi="ar"/>
              </w:rPr>
              <w:t>（须提供相关渠道说明或证明材料复印件并加盖公章，未提供不得分）</w:t>
            </w:r>
          </w:p>
        </w:tc>
        <w:tc>
          <w:tcPr>
            <w:tcW w:w="910"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45135852">
            <w:pPr>
              <w:spacing w:line="400" w:lineRule="exact"/>
              <w:jc w:val="center"/>
              <w:rPr>
                <w:rFonts w:ascii="Times New Roman" w:hAnsi="Times New Roman" w:eastAsia="方正仿宋_GBK" w:cs="Times New Roman"/>
                <w:sz w:val="28"/>
                <w:szCs w:val="28"/>
              </w:rPr>
            </w:pPr>
            <w:r>
              <w:rPr>
                <w:rFonts w:ascii="Times New Roman" w:hAnsi="Times New Roman" w:eastAsia="方正仿宋_GBK" w:cs="Times New Roman"/>
                <w:sz w:val="28"/>
                <w:szCs w:val="28"/>
                <w:lang w:bidi="ar"/>
              </w:rPr>
              <w:t>4</w:t>
            </w:r>
          </w:p>
        </w:tc>
      </w:tr>
      <w:tr w14:paraId="32EC0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119" w:hRule="atLeast"/>
          <w:jc w:val="center"/>
        </w:trPr>
        <w:tc>
          <w:tcPr>
            <w:tcW w:w="907" w:type="dxa"/>
            <w:tcBorders>
              <w:top w:val="single" w:color="auto" w:sz="4" w:space="0"/>
              <w:left w:val="single" w:color="auto" w:sz="4" w:space="0"/>
              <w:bottom w:val="single" w:color="auto" w:sz="4" w:space="0"/>
              <w:right w:val="single" w:color="auto" w:sz="4" w:space="0"/>
            </w:tcBorders>
            <w:vAlign w:val="center"/>
          </w:tcPr>
          <w:p w14:paraId="2C5D955B">
            <w:pPr>
              <w:widowControl/>
              <w:spacing w:line="400" w:lineRule="exact"/>
              <w:jc w:val="center"/>
              <w:rPr>
                <w:rFonts w:ascii="Times New Roman" w:hAnsi="Times New Roman" w:eastAsia="方正仿宋_GBK" w:cs="Times New Roman"/>
                <w:sz w:val="28"/>
                <w:szCs w:val="28"/>
              </w:rPr>
            </w:pPr>
            <w:r>
              <w:rPr>
                <w:rFonts w:ascii="Times New Roman" w:hAnsi="Times New Roman" w:eastAsia="方正仿宋_GBK" w:cs="Times New Roman"/>
                <w:sz w:val="28"/>
                <w:szCs w:val="28"/>
                <w:lang w:bidi="ar"/>
              </w:rPr>
              <w:t>4</w:t>
            </w:r>
          </w:p>
        </w:tc>
        <w:tc>
          <w:tcPr>
            <w:tcW w:w="1467" w:type="dxa"/>
            <w:tcBorders>
              <w:top w:val="single" w:color="auto" w:sz="4" w:space="0"/>
              <w:left w:val="single" w:color="auto" w:sz="4" w:space="0"/>
              <w:bottom w:val="single" w:color="auto" w:sz="4" w:space="0"/>
              <w:right w:val="single" w:color="auto" w:sz="4" w:space="0"/>
            </w:tcBorders>
            <w:vAlign w:val="center"/>
          </w:tcPr>
          <w:p w14:paraId="7F27414D">
            <w:pPr>
              <w:widowControl/>
              <w:spacing w:line="400" w:lineRule="exact"/>
              <w:jc w:val="center"/>
              <w:rPr>
                <w:rFonts w:ascii="Times New Roman" w:hAnsi="Times New Roman" w:eastAsia="方正仿宋_GBK" w:cs="Times New Roman"/>
                <w:sz w:val="28"/>
                <w:szCs w:val="28"/>
                <w:lang w:bidi="ar"/>
              </w:rPr>
            </w:pPr>
            <w:r>
              <w:rPr>
                <w:rFonts w:ascii="Times New Roman" w:hAnsi="Times New Roman" w:eastAsia="方正仿宋_GBK" w:cs="Times New Roman"/>
                <w:sz w:val="28"/>
                <w:szCs w:val="28"/>
                <w:lang w:bidi="ar"/>
              </w:rPr>
              <w:t>企业业绩</w:t>
            </w:r>
          </w:p>
          <w:p w14:paraId="6553485A">
            <w:pPr>
              <w:spacing w:line="400" w:lineRule="exact"/>
              <w:jc w:val="center"/>
              <w:rPr>
                <w:rFonts w:ascii="Times New Roman" w:hAnsi="Times New Roman" w:eastAsia="方正仿宋_GBK" w:cs="Times New Roman"/>
                <w:sz w:val="28"/>
                <w:szCs w:val="28"/>
              </w:rPr>
            </w:pPr>
            <w:r>
              <w:rPr>
                <w:rFonts w:ascii="Times New Roman" w:hAnsi="Times New Roman" w:eastAsia="方正仿宋_GBK" w:cs="Times New Roman"/>
                <w:sz w:val="28"/>
                <w:szCs w:val="28"/>
                <w:lang w:bidi="ar"/>
              </w:rPr>
              <w:t>（6分）</w:t>
            </w:r>
          </w:p>
        </w:tc>
        <w:tc>
          <w:tcPr>
            <w:tcW w:w="7501" w:type="dxa"/>
            <w:tcBorders>
              <w:top w:val="single" w:color="auto" w:sz="4" w:space="0"/>
              <w:left w:val="single" w:color="auto" w:sz="4" w:space="0"/>
              <w:bottom w:val="single" w:color="auto" w:sz="4" w:space="0"/>
              <w:right w:val="single" w:color="auto" w:sz="4" w:space="0"/>
            </w:tcBorders>
            <w:tcMar>
              <w:left w:w="108" w:type="dxa"/>
              <w:right w:w="108" w:type="dxa"/>
            </w:tcMar>
          </w:tcPr>
          <w:p w14:paraId="2A6BC869">
            <w:pPr>
              <w:spacing w:line="400" w:lineRule="exact"/>
              <w:rPr>
                <w:rFonts w:ascii="Times New Roman" w:hAnsi="Times New Roman" w:eastAsia="方正仿宋_GBK" w:cs="Times New Roman"/>
                <w:sz w:val="28"/>
                <w:szCs w:val="28"/>
                <w:lang w:bidi="ar"/>
              </w:rPr>
            </w:pPr>
            <w:r>
              <w:rPr>
                <w:rFonts w:ascii="Times New Roman" w:hAnsi="Times New Roman" w:eastAsia="方正仿宋_GBK" w:cs="Times New Roman"/>
                <w:sz w:val="28"/>
                <w:szCs w:val="28"/>
                <w:lang w:bidi="ar"/>
              </w:rPr>
              <w:t>投标人承担过市级及以上猪肉储备任务且存储量不少于500吨的，每个业绩得3分；满分6分。</w:t>
            </w:r>
          </w:p>
          <w:p w14:paraId="5F7D4B7C">
            <w:pPr>
              <w:spacing w:line="400" w:lineRule="exact"/>
              <w:rPr>
                <w:rFonts w:ascii="Times New Roman" w:hAnsi="Times New Roman" w:eastAsia="方正仿宋_GBK" w:cs="Times New Roman"/>
                <w:sz w:val="28"/>
                <w:szCs w:val="28"/>
                <w:lang w:bidi="ar"/>
              </w:rPr>
            </w:pPr>
            <w:r>
              <w:rPr>
                <w:rFonts w:ascii="Times New Roman" w:hAnsi="Times New Roman" w:eastAsia="方正仿宋_GBK" w:cs="Times New Roman"/>
                <w:sz w:val="28"/>
                <w:szCs w:val="28"/>
                <w:lang w:bidi="ar"/>
              </w:rPr>
              <w:t>（须提供合同或中标通知书等相关证明材料复印件并加盖公章，</w:t>
            </w:r>
            <w:r>
              <w:rPr>
                <w:rFonts w:ascii="Times New Roman" w:hAnsi="Times New Roman" w:eastAsia="方正仿宋_GBK" w:cs="Times New Roman"/>
                <w:sz w:val="28"/>
                <w:szCs w:val="28"/>
                <w:lang w:val="zh-CN" w:bidi="ar"/>
              </w:rPr>
              <w:t>提供的证明材料必须能反映出相关数据和内容，否则视为未提供。</w:t>
            </w:r>
            <w:r>
              <w:rPr>
                <w:rFonts w:ascii="Times New Roman" w:hAnsi="Times New Roman" w:eastAsia="方正仿宋_GBK" w:cs="Times New Roman"/>
                <w:sz w:val="28"/>
                <w:szCs w:val="28"/>
                <w:lang w:bidi="ar"/>
              </w:rPr>
              <w:t>未提供不得分）</w:t>
            </w:r>
          </w:p>
        </w:tc>
        <w:tc>
          <w:tcPr>
            <w:tcW w:w="910"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0FE9F6CD">
            <w:pPr>
              <w:widowControl/>
              <w:spacing w:line="400" w:lineRule="exact"/>
              <w:jc w:val="center"/>
              <w:rPr>
                <w:rFonts w:ascii="Times New Roman" w:hAnsi="Times New Roman" w:eastAsia="方正仿宋_GBK" w:cs="Times New Roman"/>
                <w:sz w:val="28"/>
                <w:szCs w:val="28"/>
              </w:rPr>
            </w:pPr>
            <w:r>
              <w:rPr>
                <w:rFonts w:ascii="Times New Roman" w:hAnsi="Times New Roman" w:eastAsia="方正仿宋_GBK" w:cs="Times New Roman"/>
                <w:sz w:val="28"/>
                <w:szCs w:val="28"/>
                <w:lang w:bidi="ar"/>
              </w:rPr>
              <w:t>6</w:t>
            </w:r>
          </w:p>
        </w:tc>
      </w:tr>
      <w:tr w14:paraId="2E333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7" w:hRule="atLeast"/>
          <w:jc w:val="center"/>
        </w:trPr>
        <w:tc>
          <w:tcPr>
            <w:tcW w:w="9875" w:type="dxa"/>
            <w:gridSpan w:val="3"/>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4140BA58">
            <w:pPr>
              <w:spacing w:line="400" w:lineRule="exact"/>
              <w:jc w:val="center"/>
              <w:rPr>
                <w:rFonts w:hint="eastAsia" w:ascii="方正黑体_GBK" w:eastAsia="方正黑体_GBK" w:hAnsiTheme="minorEastAsia" w:cstheme="minorEastAsia"/>
                <w:bCs/>
                <w:sz w:val="24"/>
                <w:szCs w:val="24"/>
              </w:rPr>
            </w:pPr>
            <w:r>
              <w:rPr>
                <w:rFonts w:hint="eastAsia" w:ascii="方正黑体_GBK" w:eastAsia="方正黑体_GBK" w:hAnsiTheme="minorEastAsia" w:cstheme="minorEastAsia"/>
                <w:bCs/>
                <w:sz w:val="32"/>
                <w:szCs w:val="32"/>
                <w:lang w:bidi="ar"/>
              </w:rPr>
              <w:t>合计</w:t>
            </w:r>
          </w:p>
        </w:tc>
        <w:tc>
          <w:tcPr>
            <w:tcW w:w="910"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13AECBE9">
            <w:pPr>
              <w:spacing w:line="400" w:lineRule="exact"/>
              <w:jc w:val="center"/>
              <w:rPr>
                <w:rFonts w:ascii="Times New Roman" w:hAnsi="Times New Roman" w:cs="Times New Roman" w:eastAsiaTheme="minorEastAsia"/>
                <w:sz w:val="32"/>
                <w:szCs w:val="32"/>
              </w:rPr>
            </w:pPr>
            <w:r>
              <w:rPr>
                <w:rFonts w:ascii="Times New Roman" w:hAnsi="Times New Roman" w:cs="Times New Roman" w:eastAsiaTheme="minorEastAsia"/>
                <w:sz w:val="32"/>
                <w:szCs w:val="32"/>
              </w:rPr>
              <w:t>100</w:t>
            </w:r>
          </w:p>
        </w:tc>
      </w:tr>
    </w:tbl>
    <w:p w14:paraId="0969B632">
      <w:pPr>
        <w:spacing w:line="580" w:lineRule="exact"/>
        <w:ind w:firstLine="420"/>
        <w:rPr>
          <w:rFonts w:hint="eastAsia" w:asciiTheme="minorEastAsia" w:hAnsiTheme="minorEastAsia" w:eastAsiaTheme="minorEastAsia" w:cstheme="minorEastAsia"/>
          <w:color w:val="auto"/>
          <w:kern w:val="2"/>
          <w:sz w:val="24"/>
          <w:szCs w:val="24"/>
        </w:rPr>
      </w:pPr>
    </w:p>
    <w:p w14:paraId="7894E17C">
      <w:pPr>
        <w:spacing w:line="580" w:lineRule="exact"/>
        <w:ind w:firstLine="640" w:firstLineChars="200"/>
        <w:rPr>
          <w:rFonts w:ascii="Times New Roman" w:hAnsi="Times New Roman" w:eastAsia="方正仿宋_GBK" w:cs="Times New Roman"/>
          <w:color w:val="auto"/>
          <w:kern w:val="2"/>
          <w:sz w:val="32"/>
          <w:szCs w:val="32"/>
        </w:rPr>
      </w:pPr>
      <w:r>
        <w:rPr>
          <w:rFonts w:ascii="Times New Roman" w:hAnsi="Times New Roman" w:eastAsia="方正仿宋_GBK" w:cs="Times New Roman"/>
          <w:color w:val="auto"/>
          <w:kern w:val="2"/>
          <w:sz w:val="32"/>
          <w:szCs w:val="32"/>
        </w:rPr>
        <w:t>注：1</w:t>
      </w:r>
      <w:r>
        <w:rPr>
          <w:rFonts w:ascii="Times New Roman" w:hAnsi="Times New Roman" w:eastAsia="方正仿宋_GBK" w:cs="Times New Roman"/>
          <w:color w:val="auto"/>
          <w:kern w:val="2"/>
          <w:sz w:val="32"/>
          <w:szCs w:val="32"/>
          <w:lang w:val="zh-TW"/>
        </w:rPr>
        <w:t>．</w:t>
      </w:r>
      <w:r>
        <w:rPr>
          <w:rFonts w:ascii="Times New Roman" w:hAnsi="Times New Roman" w:eastAsia="方正仿宋_GBK" w:cs="Times New Roman"/>
          <w:color w:val="auto"/>
          <w:kern w:val="2"/>
          <w:sz w:val="32"/>
          <w:szCs w:val="32"/>
          <w:lang w:val="zh-TW" w:eastAsia="zh-TW"/>
        </w:rPr>
        <w:t>评审评分标准涉及到的所有证书、认证、证明和业绩等材料均以有效的证明文件的复印件（加盖公章）为依据，需按要求提供相应的证明材料在投标文件中。提供的证明材料必须真实可靠，如发现弄虚作假者，将向政府采购</w:t>
      </w:r>
      <w:r>
        <w:rPr>
          <w:rFonts w:ascii="Times New Roman" w:hAnsi="Times New Roman" w:eastAsia="方正仿宋_GBK" w:cs="Times New Roman"/>
          <w:color w:val="auto"/>
          <w:kern w:val="2"/>
          <w:sz w:val="32"/>
          <w:szCs w:val="32"/>
        </w:rPr>
        <w:t>监管</w:t>
      </w:r>
      <w:r>
        <w:rPr>
          <w:rFonts w:ascii="Times New Roman" w:hAnsi="Times New Roman" w:eastAsia="方正仿宋_GBK" w:cs="Times New Roman"/>
          <w:color w:val="auto"/>
          <w:kern w:val="2"/>
          <w:sz w:val="32"/>
          <w:szCs w:val="32"/>
          <w:lang w:val="zh-TW" w:eastAsia="zh-TW"/>
        </w:rPr>
        <w:t>部门汇报，将</w:t>
      </w:r>
      <w:r>
        <w:rPr>
          <w:rFonts w:ascii="Times New Roman" w:hAnsi="Times New Roman" w:eastAsia="方正仿宋_GBK" w:cs="Times New Roman"/>
          <w:color w:val="auto"/>
          <w:kern w:val="2"/>
          <w:sz w:val="32"/>
          <w:szCs w:val="32"/>
          <w:lang w:val="zh-TW"/>
        </w:rPr>
        <w:t>投标人</w:t>
      </w:r>
      <w:r>
        <w:rPr>
          <w:rFonts w:ascii="Times New Roman" w:hAnsi="Times New Roman" w:eastAsia="方正仿宋_GBK" w:cs="Times New Roman"/>
          <w:color w:val="auto"/>
          <w:kern w:val="2"/>
          <w:sz w:val="32"/>
          <w:szCs w:val="32"/>
          <w:lang w:val="zh-TW" w:eastAsia="zh-TW"/>
        </w:rPr>
        <w:t>列入不良行为记录名单，并依法予以处罚。</w:t>
      </w:r>
    </w:p>
    <w:p w14:paraId="029B58EC">
      <w:pPr>
        <w:spacing w:line="580" w:lineRule="exact"/>
        <w:ind w:firstLine="640" w:firstLineChars="200"/>
        <w:rPr>
          <w:rFonts w:ascii="Times New Roman" w:hAnsi="Times New Roman" w:eastAsia="方正仿宋_GBK" w:cs="Times New Roman"/>
          <w:color w:val="auto"/>
          <w:kern w:val="2"/>
          <w:sz w:val="32"/>
          <w:szCs w:val="32"/>
        </w:rPr>
      </w:pPr>
      <w:r>
        <w:rPr>
          <w:rFonts w:ascii="Times New Roman" w:hAnsi="Times New Roman" w:eastAsia="方正仿宋_GBK" w:cs="Times New Roman"/>
          <w:color w:val="auto"/>
          <w:kern w:val="2"/>
          <w:sz w:val="32"/>
          <w:szCs w:val="32"/>
        </w:rPr>
        <w:t>2</w:t>
      </w:r>
      <w:r>
        <w:rPr>
          <w:rFonts w:ascii="Times New Roman" w:hAnsi="Times New Roman" w:eastAsia="方正仿宋_GBK" w:cs="Times New Roman"/>
          <w:color w:val="auto"/>
          <w:kern w:val="2"/>
          <w:sz w:val="32"/>
          <w:szCs w:val="32"/>
          <w:lang w:val="zh-TW"/>
        </w:rPr>
        <w:t>．</w:t>
      </w:r>
      <w:r>
        <w:rPr>
          <w:rFonts w:ascii="Times New Roman" w:hAnsi="Times New Roman" w:eastAsia="方正仿宋_GBK" w:cs="Times New Roman"/>
          <w:color w:val="auto"/>
          <w:kern w:val="2"/>
          <w:sz w:val="32"/>
          <w:szCs w:val="32"/>
          <w:lang w:val="zh-TW" w:eastAsia="zh-TW"/>
        </w:rPr>
        <w:t>政策功能：</w:t>
      </w:r>
      <w:bookmarkStart w:id="198" w:name="OLE_LINK7"/>
      <w:r>
        <w:rPr>
          <w:rFonts w:ascii="Times New Roman" w:hAnsi="Times New Roman" w:eastAsia="方正仿宋_GBK" w:cs="Times New Roman"/>
          <w:color w:val="auto"/>
          <w:kern w:val="2"/>
          <w:sz w:val="32"/>
          <w:szCs w:val="32"/>
          <w:lang w:val="zh-TW" w:eastAsia="zh-TW"/>
        </w:rPr>
        <w:t>小微企业的价格扣除</w:t>
      </w:r>
      <w:bookmarkEnd w:id="198"/>
    </w:p>
    <w:p w14:paraId="1CAF076A">
      <w:pPr>
        <w:spacing w:line="580" w:lineRule="exact"/>
        <w:ind w:firstLine="640" w:firstLineChars="200"/>
        <w:rPr>
          <w:rFonts w:ascii="Times New Roman" w:hAnsi="Times New Roman" w:eastAsia="方正仿宋_GBK" w:cs="Times New Roman"/>
          <w:color w:val="auto"/>
          <w:kern w:val="2"/>
          <w:sz w:val="32"/>
          <w:szCs w:val="32"/>
        </w:rPr>
      </w:pPr>
      <w:r>
        <w:rPr>
          <w:rFonts w:ascii="Times New Roman" w:hAnsi="Times New Roman" w:eastAsia="方正仿宋_GBK" w:cs="Times New Roman"/>
          <w:color w:val="auto"/>
          <w:kern w:val="2"/>
          <w:sz w:val="32"/>
          <w:szCs w:val="32"/>
        </w:rPr>
        <w:t>2.1</w:t>
      </w:r>
      <w:r>
        <w:rPr>
          <w:rFonts w:ascii="Times New Roman" w:hAnsi="Times New Roman" w:eastAsia="方正仿宋_GBK" w:cs="Times New Roman"/>
          <w:color w:val="auto"/>
          <w:kern w:val="2"/>
          <w:sz w:val="32"/>
          <w:szCs w:val="32"/>
          <w:lang w:val="zh-TW" w:eastAsia="zh-TW"/>
        </w:rPr>
        <w:t>根据</w:t>
      </w:r>
      <w:r>
        <w:rPr>
          <w:rFonts w:hint="eastAsia" w:ascii="Times New Roman" w:hAnsi="Times New Roman" w:eastAsia="方正仿宋_GBK" w:cs="Times New Roman"/>
          <w:color w:val="auto"/>
          <w:kern w:val="2"/>
          <w:sz w:val="32"/>
          <w:szCs w:val="32"/>
        </w:rPr>
        <w:t>《</w:t>
      </w:r>
      <w:r>
        <w:rPr>
          <w:rFonts w:ascii="Times New Roman" w:hAnsi="Times New Roman" w:eastAsia="方正仿宋_GBK" w:cs="Times New Roman"/>
          <w:color w:val="auto"/>
          <w:kern w:val="2"/>
          <w:sz w:val="32"/>
          <w:szCs w:val="32"/>
          <w:lang w:val="zh-TW" w:eastAsia="zh-TW"/>
        </w:rPr>
        <w:t>关于印发</w:t>
      </w:r>
      <w:r>
        <w:rPr>
          <w:rFonts w:hint="eastAsia" w:ascii="Times New Roman" w:hAnsi="Times New Roman" w:eastAsia="方正仿宋_GBK" w:cs="Times New Roman"/>
          <w:color w:val="auto"/>
          <w:kern w:val="2"/>
          <w:sz w:val="32"/>
          <w:szCs w:val="32"/>
          <w:lang w:val="zh-TW"/>
        </w:rPr>
        <w:t>&lt;</w:t>
      </w:r>
      <w:r>
        <w:rPr>
          <w:rFonts w:ascii="Times New Roman" w:hAnsi="Times New Roman" w:eastAsia="方正仿宋_GBK" w:cs="Times New Roman"/>
          <w:color w:val="auto"/>
          <w:kern w:val="2"/>
          <w:sz w:val="32"/>
          <w:szCs w:val="32"/>
          <w:lang w:val="zh-TW" w:eastAsia="zh-TW"/>
        </w:rPr>
        <w:t>政府采购促进中小企业发展管理办法</w:t>
      </w:r>
      <w:r>
        <w:rPr>
          <w:rFonts w:hint="eastAsia" w:ascii="Times New Roman" w:hAnsi="Times New Roman" w:eastAsia="方正仿宋_GBK" w:cs="Times New Roman"/>
          <w:color w:val="auto"/>
          <w:kern w:val="2"/>
          <w:sz w:val="32"/>
          <w:szCs w:val="32"/>
          <w:lang w:val="zh-TW"/>
        </w:rPr>
        <w:t>&gt;</w:t>
      </w:r>
      <w:r>
        <w:rPr>
          <w:rFonts w:ascii="Times New Roman" w:hAnsi="Times New Roman" w:eastAsia="方正仿宋_GBK" w:cs="Times New Roman"/>
          <w:color w:val="auto"/>
          <w:kern w:val="2"/>
          <w:sz w:val="32"/>
          <w:szCs w:val="32"/>
          <w:lang w:val="zh-TW" w:eastAsia="zh-TW"/>
        </w:rPr>
        <w:t>的通知</w:t>
      </w:r>
      <w:r>
        <w:rPr>
          <w:rFonts w:hint="eastAsia" w:ascii="Times New Roman" w:hAnsi="Times New Roman" w:eastAsia="方正仿宋_GBK" w:cs="Times New Roman"/>
          <w:color w:val="auto"/>
          <w:kern w:val="2"/>
          <w:sz w:val="32"/>
          <w:szCs w:val="32"/>
        </w:rPr>
        <w:t>》</w:t>
      </w:r>
      <w:r>
        <w:rPr>
          <w:rFonts w:ascii="Times New Roman" w:hAnsi="Times New Roman" w:eastAsia="方正仿宋_GBK" w:cs="Times New Roman"/>
          <w:color w:val="auto"/>
          <w:kern w:val="2"/>
          <w:sz w:val="32"/>
          <w:szCs w:val="32"/>
          <w:lang w:val="zh-TW" w:eastAsia="zh-TW"/>
        </w:rPr>
        <w:t>（财库</w:t>
      </w:r>
      <w:r>
        <w:rPr>
          <w:rFonts w:ascii="Times New Roman" w:hAnsi="Times New Roman" w:eastAsia="方正仿宋_GBK" w:cs="Times New Roman"/>
          <w:color w:val="auto"/>
          <w:kern w:val="2"/>
          <w:sz w:val="32"/>
          <w:szCs w:val="32"/>
        </w:rPr>
        <w:t xml:space="preserve">〔2020〕46 </w:t>
      </w:r>
      <w:r>
        <w:rPr>
          <w:rFonts w:ascii="Times New Roman" w:hAnsi="Times New Roman" w:eastAsia="方正仿宋_GBK" w:cs="Times New Roman"/>
          <w:color w:val="auto"/>
          <w:kern w:val="2"/>
          <w:sz w:val="32"/>
          <w:szCs w:val="32"/>
          <w:lang w:val="zh-TW" w:eastAsia="zh-TW"/>
        </w:rPr>
        <w:t>号）的规定</w:t>
      </w:r>
      <w:r>
        <w:rPr>
          <w:rFonts w:ascii="Times New Roman" w:hAnsi="Times New Roman" w:eastAsia="方正仿宋_GBK" w:cs="Times New Roman"/>
          <w:color w:val="auto"/>
          <w:kern w:val="2"/>
          <w:sz w:val="32"/>
          <w:szCs w:val="32"/>
        </w:rPr>
        <w:t>，</w:t>
      </w:r>
      <w:r>
        <w:rPr>
          <w:rFonts w:ascii="Times New Roman" w:hAnsi="Times New Roman" w:eastAsia="方正仿宋_GBK" w:cs="Times New Roman"/>
          <w:color w:val="auto"/>
          <w:kern w:val="2"/>
          <w:sz w:val="32"/>
          <w:szCs w:val="32"/>
          <w:lang w:val="zh-TW" w:eastAsia="zh-TW"/>
        </w:rPr>
        <w:t>对符合规定的小微企业报价给予</w:t>
      </w:r>
      <w:r>
        <w:rPr>
          <w:rFonts w:ascii="Times New Roman" w:hAnsi="Times New Roman" w:eastAsia="方正仿宋_GBK" w:cs="Times New Roman"/>
          <w:color w:val="auto"/>
          <w:kern w:val="2"/>
          <w:sz w:val="32"/>
          <w:szCs w:val="32"/>
        </w:rPr>
        <w:t>10%</w:t>
      </w:r>
      <w:r>
        <w:rPr>
          <w:rFonts w:ascii="Times New Roman" w:hAnsi="Times New Roman" w:eastAsia="方正仿宋_GBK" w:cs="Times New Roman"/>
          <w:color w:val="auto"/>
          <w:kern w:val="2"/>
          <w:sz w:val="32"/>
          <w:szCs w:val="32"/>
          <w:lang w:val="zh-TW" w:eastAsia="zh-TW"/>
        </w:rPr>
        <w:t>（工程项目为</w:t>
      </w:r>
      <w:r>
        <w:rPr>
          <w:rFonts w:ascii="Times New Roman" w:hAnsi="Times New Roman" w:eastAsia="方正仿宋_GBK" w:cs="Times New Roman"/>
          <w:color w:val="auto"/>
          <w:kern w:val="2"/>
          <w:sz w:val="32"/>
          <w:szCs w:val="32"/>
        </w:rPr>
        <w:t>5%</w:t>
      </w:r>
      <w:r>
        <w:rPr>
          <w:rFonts w:ascii="Times New Roman" w:hAnsi="Times New Roman" w:eastAsia="方正仿宋_GBK" w:cs="Times New Roman"/>
          <w:color w:val="auto"/>
          <w:kern w:val="2"/>
          <w:sz w:val="32"/>
          <w:szCs w:val="32"/>
          <w:lang w:val="zh-TW" w:eastAsia="zh-TW"/>
        </w:rPr>
        <w:t>）的扣除，用扣除后的价格参加评审。</w:t>
      </w:r>
    </w:p>
    <w:p w14:paraId="2BBFCFE7">
      <w:pPr>
        <w:spacing w:line="580" w:lineRule="exact"/>
        <w:ind w:firstLine="640" w:firstLineChars="200"/>
        <w:rPr>
          <w:rFonts w:ascii="Times New Roman" w:hAnsi="Times New Roman" w:eastAsia="方正仿宋_GBK" w:cs="Times New Roman"/>
          <w:color w:val="auto"/>
          <w:kern w:val="2"/>
          <w:sz w:val="32"/>
          <w:szCs w:val="32"/>
        </w:rPr>
      </w:pPr>
      <w:r>
        <w:rPr>
          <w:rFonts w:ascii="Times New Roman" w:hAnsi="Times New Roman" w:eastAsia="方正仿宋_GBK" w:cs="Times New Roman"/>
          <w:color w:val="auto"/>
          <w:kern w:val="2"/>
          <w:sz w:val="32"/>
          <w:szCs w:val="32"/>
        </w:rPr>
        <w:t>2.2</w:t>
      </w:r>
      <w:r>
        <w:rPr>
          <w:rFonts w:ascii="Times New Roman" w:hAnsi="Times New Roman" w:eastAsia="方正仿宋_GBK" w:cs="Times New Roman"/>
          <w:color w:val="auto"/>
          <w:kern w:val="2"/>
          <w:sz w:val="32"/>
          <w:szCs w:val="32"/>
          <w:lang w:val="zh-TW" w:eastAsia="zh-TW"/>
        </w:rPr>
        <w:t>小企业（含小型、微型企业）应当同时符合以下条件：</w:t>
      </w:r>
    </w:p>
    <w:p w14:paraId="78978D16">
      <w:pPr>
        <w:spacing w:line="580" w:lineRule="exact"/>
        <w:ind w:firstLine="640" w:firstLineChars="200"/>
        <w:rPr>
          <w:rFonts w:ascii="Times New Roman" w:hAnsi="Times New Roman" w:eastAsia="方正仿宋_GBK" w:cs="Times New Roman"/>
          <w:color w:val="auto"/>
          <w:kern w:val="2"/>
          <w:sz w:val="32"/>
          <w:szCs w:val="32"/>
        </w:rPr>
      </w:pPr>
      <w:r>
        <w:rPr>
          <w:rFonts w:ascii="Times New Roman" w:hAnsi="Times New Roman" w:eastAsia="方正仿宋_GBK" w:cs="Times New Roman"/>
          <w:color w:val="auto"/>
          <w:kern w:val="2"/>
          <w:sz w:val="32"/>
          <w:szCs w:val="32"/>
        </w:rPr>
        <w:t>2.2.1</w:t>
      </w:r>
      <w:r>
        <w:rPr>
          <w:rFonts w:ascii="Times New Roman" w:hAnsi="Times New Roman" w:eastAsia="方正仿宋_GBK" w:cs="Times New Roman"/>
          <w:color w:val="auto"/>
          <w:kern w:val="2"/>
          <w:sz w:val="32"/>
          <w:szCs w:val="32"/>
          <w:lang w:val="zh-TW"/>
        </w:rPr>
        <w:t>投标人</w:t>
      </w:r>
      <w:r>
        <w:rPr>
          <w:rFonts w:ascii="Times New Roman" w:hAnsi="Times New Roman" w:eastAsia="方正仿宋_GBK" w:cs="Times New Roman"/>
          <w:color w:val="auto"/>
          <w:kern w:val="2"/>
          <w:sz w:val="32"/>
          <w:szCs w:val="32"/>
          <w:lang w:val="zh-TW" w:eastAsia="zh-TW"/>
        </w:rPr>
        <w:t>为小企业，且符合中小企业划分标准；</w:t>
      </w:r>
    </w:p>
    <w:p w14:paraId="690C705D">
      <w:pPr>
        <w:spacing w:line="580" w:lineRule="exact"/>
        <w:ind w:firstLine="640" w:firstLineChars="200"/>
        <w:rPr>
          <w:rFonts w:ascii="Times New Roman" w:hAnsi="Times New Roman" w:eastAsia="方正仿宋_GBK" w:cs="Times New Roman"/>
          <w:color w:val="auto"/>
          <w:kern w:val="2"/>
          <w:sz w:val="32"/>
          <w:szCs w:val="32"/>
        </w:rPr>
      </w:pPr>
      <w:r>
        <w:rPr>
          <w:rFonts w:ascii="Times New Roman" w:hAnsi="Times New Roman" w:eastAsia="方正仿宋_GBK" w:cs="Times New Roman"/>
          <w:color w:val="auto"/>
          <w:kern w:val="2"/>
          <w:sz w:val="32"/>
          <w:szCs w:val="32"/>
        </w:rPr>
        <w:t>2.2.2</w:t>
      </w:r>
      <w:r>
        <w:rPr>
          <w:rFonts w:ascii="Times New Roman" w:hAnsi="Times New Roman" w:eastAsia="方正仿宋_GBK" w:cs="Times New Roman"/>
          <w:color w:val="auto"/>
          <w:kern w:val="2"/>
          <w:sz w:val="32"/>
          <w:szCs w:val="32"/>
          <w:lang w:val="zh-TW" w:eastAsia="zh-TW"/>
        </w:rPr>
        <w:t>提供本企业制造的货物、承担的工程或者服务，或者提供其他小企业制造的货物。如果提供的货物为大中型企业注册商标的货物，视同大中型企业。</w:t>
      </w:r>
    </w:p>
    <w:p w14:paraId="1D3F84DE">
      <w:pPr>
        <w:spacing w:line="580" w:lineRule="exact"/>
        <w:ind w:firstLine="640" w:firstLineChars="200"/>
        <w:rPr>
          <w:rFonts w:ascii="Times New Roman" w:hAnsi="Times New Roman" w:eastAsia="方正仿宋_GBK" w:cs="Times New Roman"/>
          <w:color w:val="auto"/>
          <w:kern w:val="2"/>
          <w:sz w:val="32"/>
          <w:szCs w:val="32"/>
        </w:rPr>
      </w:pPr>
      <w:r>
        <w:rPr>
          <w:rFonts w:ascii="Times New Roman" w:hAnsi="Times New Roman" w:eastAsia="方正仿宋_GBK" w:cs="Times New Roman"/>
          <w:color w:val="auto"/>
          <w:kern w:val="2"/>
          <w:sz w:val="32"/>
          <w:szCs w:val="32"/>
        </w:rPr>
        <w:t>3</w:t>
      </w:r>
      <w:r>
        <w:rPr>
          <w:rFonts w:ascii="Times New Roman" w:hAnsi="Times New Roman" w:eastAsia="方正仿宋_GBK" w:cs="Times New Roman"/>
          <w:color w:val="auto"/>
          <w:kern w:val="2"/>
          <w:sz w:val="32"/>
          <w:szCs w:val="32"/>
          <w:lang w:val="zh-TW"/>
        </w:rPr>
        <w:t>．</w:t>
      </w:r>
      <w:r>
        <w:rPr>
          <w:rFonts w:ascii="Times New Roman" w:hAnsi="Times New Roman" w:eastAsia="方正仿宋_GBK" w:cs="Times New Roman"/>
          <w:color w:val="auto"/>
          <w:kern w:val="2"/>
          <w:sz w:val="32"/>
          <w:szCs w:val="32"/>
          <w:lang w:val="zh-TW" w:eastAsia="zh-TW"/>
        </w:rPr>
        <w:t xml:space="preserve">监狱和戒毒企业的价格扣除  </w:t>
      </w:r>
    </w:p>
    <w:p w14:paraId="28D8ED66">
      <w:pPr>
        <w:spacing w:line="580" w:lineRule="exact"/>
        <w:ind w:firstLine="640" w:firstLineChars="200"/>
        <w:rPr>
          <w:rFonts w:ascii="Times New Roman" w:hAnsi="Times New Roman" w:eastAsia="方正仿宋_GBK" w:cs="Times New Roman"/>
          <w:color w:val="auto"/>
          <w:kern w:val="2"/>
          <w:sz w:val="32"/>
          <w:szCs w:val="32"/>
        </w:rPr>
      </w:pPr>
      <w:r>
        <w:rPr>
          <w:rFonts w:ascii="Times New Roman" w:hAnsi="Times New Roman" w:eastAsia="方正仿宋_GBK" w:cs="Times New Roman"/>
          <w:color w:val="auto"/>
          <w:kern w:val="2"/>
          <w:sz w:val="32"/>
          <w:szCs w:val="32"/>
        </w:rPr>
        <w:t>3.1</w:t>
      </w:r>
      <w:r>
        <w:rPr>
          <w:rFonts w:ascii="Times New Roman" w:hAnsi="Times New Roman" w:eastAsia="方正仿宋_GBK" w:cs="Times New Roman"/>
          <w:color w:val="auto"/>
          <w:kern w:val="2"/>
          <w:sz w:val="32"/>
          <w:szCs w:val="32"/>
          <w:lang w:val="zh-TW" w:eastAsia="zh-TW"/>
        </w:rPr>
        <w:t xml:space="preserve">本项目对监狱和戒毒企业（简称监狱企业）视同小型、微型企业，给予 </w:t>
      </w:r>
      <w:r>
        <w:rPr>
          <w:rFonts w:ascii="Times New Roman" w:hAnsi="Times New Roman" w:eastAsia="方正仿宋_GBK" w:cs="Times New Roman"/>
          <w:color w:val="auto"/>
          <w:kern w:val="2"/>
          <w:sz w:val="32"/>
          <w:szCs w:val="32"/>
        </w:rPr>
        <w:t>10%</w:t>
      </w:r>
      <w:r>
        <w:rPr>
          <w:rFonts w:ascii="Times New Roman" w:hAnsi="Times New Roman" w:eastAsia="方正仿宋_GBK" w:cs="Times New Roman"/>
          <w:color w:val="auto"/>
          <w:kern w:val="2"/>
          <w:sz w:val="32"/>
          <w:szCs w:val="32"/>
          <w:lang w:val="zh-TW" w:eastAsia="zh-TW"/>
        </w:rPr>
        <w:t xml:space="preserve">的价格扣除，用扣除后的价格参与评审。 </w:t>
      </w:r>
    </w:p>
    <w:p w14:paraId="2518371A">
      <w:pPr>
        <w:spacing w:line="580" w:lineRule="exact"/>
        <w:ind w:firstLine="640" w:firstLineChars="200"/>
        <w:rPr>
          <w:rFonts w:ascii="Times New Roman" w:hAnsi="Times New Roman" w:eastAsia="方正仿宋_GBK" w:cs="Times New Roman"/>
          <w:color w:val="auto"/>
          <w:kern w:val="2"/>
          <w:sz w:val="32"/>
          <w:szCs w:val="32"/>
        </w:rPr>
      </w:pPr>
      <w:r>
        <w:rPr>
          <w:rFonts w:ascii="Times New Roman" w:hAnsi="Times New Roman" w:eastAsia="方正仿宋_GBK" w:cs="Times New Roman"/>
          <w:color w:val="auto"/>
          <w:kern w:val="2"/>
          <w:sz w:val="32"/>
          <w:szCs w:val="32"/>
        </w:rPr>
        <w:t xml:space="preserve">3.2 </w:t>
      </w:r>
      <w:r>
        <w:rPr>
          <w:rFonts w:ascii="Times New Roman" w:hAnsi="Times New Roman" w:eastAsia="方正仿宋_GBK" w:cs="Times New Roman"/>
          <w:color w:val="auto"/>
          <w:kern w:val="2"/>
          <w:sz w:val="32"/>
          <w:szCs w:val="32"/>
          <w:lang w:val="zh-TW" w:eastAsia="zh-TW"/>
        </w:rPr>
        <w:t xml:space="preserve">监狱企业需提供由省级以上监狱管理局、戒毒管理局（含新疆生产建设兵团）出具的属于监狱企业的证明文件。 </w:t>
      </w:r>
    </w:p>
    <w:p w14:paraId="2D069A24">
      <w:pPr>
        <w:spacing w:line="580" w:lineRule="exact"/>
        <w:ind w:firstLine="640" w:firstLineChars="200"/>
        <w:rPr>
          <w:rFonts w:ascii="Times New Roman" w:hAnsi="Times New Roman" w:eastAsia="方正仿宋_GBK" w:cs="Times New Roman"/>
          <w:color w:val="auto"/>
          <w:kern w:val="2"/>
          <w:sz w:val="32"/>
          <w:szCs w:val="32"/>
        </w:rPr>
      </w:pPr>
      <w:r>
        <w:rPr>
          <w:rFonts w:ascii="Times New Roman" w:hAnsi="Times New Roman" w:eastAsia="方正仿宋_GBK" w:cs="Times New Roman"/>
          <w:color w:val="auto"/>
          <w:kern w:val="2"/>
          <w:sz w:val="32"/>
          <w:szCs w:val="32"/>
        </w:rPr>
        <w:t xml:space="preserve">3.3 </w:t>
      </w:r>
      <w:r>
        <w:rPr>
          <w:rFonts w:ascii="Times New Roman" w:hAnsi="Times New Roman" w:eastAsia="方正仿宋_GBK" w:cs="Times New Roman"/>
          <w:color w:val="auto"/>
          <w:kern w:val="2"/>
          <w:sz w:val="32"/>
          <w:szCs w:val="32"/>
          <w:lang w:val="zh-TW" w:eastAsia="zh-TW"/>
        </w:rPr>
        <w:t>监狱企业标准请参照《关于政府采购支持监狱企业发展有关问题的通知》（财库</w:t>
      </w:r>
      <w:r>
        <w:rPr>
          <w:rFonts w:ascii="Times New Roman" w:hAnsi="Times New Roman" w:eastAsia="方正仿宋_GBK" w:cs="Times New Roman"/>
          <w:color w:val="auto"/>
          <w:kern w:val="2"/>
          <w:sz w:val="32"/>
          <w:szCs w:val="32"/>
        </w:rPr>
        <w:t xml:space="preserve">〔2014〕68 </w:t>
      </w:r>
      <w:r>
        <w:rPr>
          <w:rFonts w:ascii="Times New Roman" w:hAnsi="Times New Roman" w:eastAsia="方正仿宋_GBK" w:cs="Times New Roman"/>
          <w:color w:val="auto"/>
          <w:kern w:val="2"/>
          <w:sz w:val="32"/>
          <w:szCs w:val="32"/>
          <w:lang w:val="zh-TW" w:eastAsia="zh-TW"/>
        </w:rPr>
        <w:t>号）。</w:t>
      </w:r>
    </w:p>
    <w:p w14:paraId="71542BAB">
      <w:pPr>
        <w:spacing w:line="580" w:lineRule="exact"/>
        <w:ind w:firstLine="640" w:firstLineChars="200"/>
        <w:rPr>
          <w:rFonts w:ascii="Times New Roman" w:hAnsi="Times New Roman" w:eastAsia="方正仿宋_GBK" w:cs="Times New Roman"/>
          <w:color w:val="auto"/>
          <w:kern w:val="2"/>
          <w:sz w:val="32"/>
          <w:szCs w:val="32"/>
        </w:rPr>
      </w:pPr>
      <w:r>
        <w:rPr>
          <w:rFonts w:ascii="Times New Roman" w:hAnsi="Times New Roman" w:eastAsia="方正仿宋_GBK" w:cs="Times New Roman"/>
          <w:color w:val="auto"/>
          <w:kern w:val="2"/>
          <w:sz w:val="32"/>
          <w:szCs w:val="32"/>
        </w:rPr>
        <w:t>4</w:t>
      </w:r>
      <w:r>
        <w:rPr>
          <w:rFonts w:ascii="Times New Roman" w:hAnsi="Times New Roman" w:eastAsia="方正仿宋_GBK" w:cs="Times New Roman"/>
          <w:color w:val="auto"/>
          <w:kern w:val="2"/>
          <w:sz w:val="32"/>
          <w:szCs w:val="32"/>
          <w:lang w:val="zh-TW"/>
        </w:rPr>
        <w:t>．</w:t>
      </w:r>
      <w:r>
        <w:rPr>
          <w:rFonts w:ascii="Times New Roman" w:hAnsi="Times New Roman" w:eastAsia="方正仿宋_GBK" w:cs="Times New Roman"/>
          <w:color w:val="auto"/>
          <w:kern w:val="2"/>
          <w:sz w:val="32"/>
          <w:szCs w:val="32"/>
          <w:lang w:val="zh-TW" w:eastAsia="zh-TW"/>
        </w:rPr>
        <w:t xml:space="preserve">残疾人福利性单位的价格扣除 </w:t>
      </w:r>
    </w:p>
    <w:p w14:paraId="451C4219">
      <w:pPr>
        <w:spacing w:line="580" w:lineRule="exact"/>
        <w:ind w:firstLine="640" w:firstLineChars="200"/>
        <w:rPr>
          <w:rFonts w:ascii="Times New Roman" w:hAnsi="Times New Roman" w:eastAsia="方正仿宋_GBK" w:cs="Times New Roman"/>
          <w:color w:val="auto"/>
          <w:kern w:val="2"/>
          <w:sz w:val="32"/>
          <w:szCs w:val="32"/>
        </w:rPr>
      </w:pPr>
      <w:r>
        <w:rPr>
          <w:rFonts w:ascii="Times New Roman" w:hAnsi="Times New Roman" w:eastAsia="方正仿宋_GBK" w:cs="Times New Roman"/>
          <w:color w:val="auto"/>
          <w:kern w:val="2"/>
          <w:sz w:val="32"/>
          <w:szCs w:val="32"/>
        </w:rPr>
        <w:t>4.1</w:t>
      </w:r>
      <w:r>
        <w:rPr>
          <w:rFonts w:ascii="Times New Roman" w:hAnsi="Times New Roman" w:eastAsia="方正仿宋_GBK" w:cs="Times New Roman"/>
          <w:color w:val="auto"/>
          <w:kern w:val="2"/>
          <w:sz w:val="32"/>
          <w:szCs w:val="32"/>
          <w:lang w:val="zh-TW" w:eastAsia="zh-TW"/>
        </w:rPr>
        <w:t>本项目对残疾人福利性单位视同小型、微型企业，给予</w:t>
      </w:r>
      <w:r>
        <w:rPr>
          <w:rFonts w:ascii="Times New Roman" w:hAnsi="Times New Roman" w:eastAsia="方正仿宋_GBK" w:cs="Times New Roman"/>
          <w:color w:val="auto"/>
          <w:kern w:val="2"/>
          <w:sz w:val="32"/>
          <w:szCs w:val="32"/>
        </w:rPr>
        <w:t>10%</w:t>
      </w:r>
      <w:r>
        <w:rPr>
          <w:rFonts w:ascii="Times New Roman" w:hAnsi="Times New Roman" w:eastAsia="方正仿宋_GBK" w:cs="Times New Roman"/>
          <w:color w:val="auto"/>
          <w:kern w:val="2"/>
          <w:sz w:val="32"/>
          <w:szCs w:val="32"/>
          <w:lang w:val="zh-TW" w:eastAsia="zh-TW"/>
        </w:rPr>
        <w:t xml:space="preserve">的价格扣除，用扣除后的价格参与评审。 </w:t>
      </w:r>
    </w:p>
    <w:p w14:paraId="68208009">
      <w:pPr>
        <w:spacing w:line="580" w:lineRule="exact"/>
        <w:ind w:firstLine="640" w:firstLineChars="200"/>
        <w:rPr>
          <w:rFonts w:ascii="Times New Roman" w:hAnsi="Times New Roman" w:eastAsia="方正仿宋_GBK" w:cs="Times New Roman"/>
          <w:color w:val="auto"/>
          <w:kern w:val="2"/>
          <w:sz w:val="32"/>
          <w:szCs w:val="32"/>
        </w:rPr>
      </w:pPr>
      <w:r>
        <w:rPr>
          <w:rFonts w:ascii="Times New Roman" w:hAnsi="Times New Roman" w:eastAsia="方正仿宋_GBK" w:cs="Times New Roman"/>
          <w:color w:val="auto"/>
          <w:kern w:val="2"/>
          <w:sz w:val="32"/>
          <w:szCs w:val="32"/>
        </w:rPr>
        <w:t>4.2</w:t>
      </w:r>
      <w:r>
        <w:rPr>
          <w:rFonts w:ascii="Times New Roman" w:hAnsi="Times New Roman" w:eastAsia="方正仿宋_GBK" w:cs="Times New Roman"/>
          <w:color w:val="auto"/>
          <w:kern w:val="2"/>
          <w:sz w:val="32"/>
          <w:szCs w:val="32"/>
          <w:lang w:val="zh-TW" w:eastAsia="zh-TW"/>
        </w:rPr>
        <w:t xml:space="preserve">残疾人福利单位需按照采购文件的要求提供《残疾人福利性单位声明函》。 </w:t>
      </w:r>
    </w:p>
    <w:p w14:paraId="41DCD9FF">
      <w:pPr>
        <w:spacing w:line="580" w:lineRule="exact"/>
        <w:ind w:firstLine="640" w:firstLineChars="200"/>
        <w:rPr>
          <w:rFonts w:ascii="Times New Roman" w:hAnsi="Times New Roman" w:eastAsia="方正仿宋_GBK" w:cs="Times New Roman"/>
          <w:color w:val="auto"/>
          <w:kern w:val="2"/>
          <w:sz w:val="32"/>
          <w:szCs w:val="32"/>
        </w:rPr>
      </w:pPr>
      <w:r>
        <w:rPr>
          <w:rFonts w:ascii="Times New Roman" w:hAnsi="Times New Roman" w:eastAsia="方正仿宋_GBK" w:cs="Times New Roman"/>
          <w:color w:val="auto"/>
          <w:kern w:val="2"/>
          <w:sz w:val="32"/>
          <w:szCs w:val="32"/>
        </w:rPr>
        <w:t>4.3</w:t>
      </w:r>
      <w:r>
        <w:rPr>
          <w:rFonts w:ascii="Times New Roman" w:hAnsi="Times New Roman" w:eastAsia="方正仿宋_GBK" w:cs="Times New Roman"/>
          <w:color w:val="auto"/>
          <w:kern w:val="2"/>
          <w:sz w:val="32"/>
          <w:szCs w:val="32"/>
          <w:lang w:val="zh-TW" w:eastAsia="zh-TW"/>
        </w:rPr>
        <w:t>残疾人福利单位标准请参照《关于促进残疾人就业政府采购政策的通知》（财库</w:t>
      </w:r>
      <w:r>
        <w:rPr>
          <w:rFonts w:ascii="Times New Roman" w:hAnsi="Times New Roman" w:eastAsia="方正仿宋_GBK" w:cs="Times New Roman"/>
          <w:color w:val="auto"/>
          <w:kern w:val="2"/>
          <w:sz w:val="32"/>
          <w:szCs w:val="32"/>
        </w:rPr>
        <w:t xml:space="preserve">〔2017〕141 </w:t>
      </w:r>
      <w:r>
        <w:rPr>
          <w:rFonts w:ascii="Times New Roman" w:hAnsi="Times New Roman" w:eastAsia="方正仿宋_GBK" w:cs="Times New Roman"/>
          <w:color w:val="auto"/>
          <w:kern w:val="2"/>
          <w:sz w:val="32"/>
          <w:szCs w:val="32"/>
          <w:lang w:val="zh-TW" w:eastAsia="zh-TW"/>
        </w:rPr>
        <w:t>号）。</w:t>
      </w:r>
    </w:p>
    <w:p w14:paraId="50A3E7B9">
      <w:pPr>
        <w:spacing w:line="580" w:lineRule="exact"/>
        <w:ind w:firstLine="640" w:firstLineChars="200"/>
        <w:rPr>
          <w:rFonts w:ascii="Times New Roman" w:hAnsi="Times New Roman" w:eastAsia="方正仿宋_GBK" w:cs="Times New Roman"/>
          <w:color w:val="auto"/>
          <w:kern w:val="2"/>
          <w:sz w:val="32"/>
          <w:szCs w:val="32"/>
        </w:rPr>
      </w:pPr>
      <w:r>
        <w:rPr>
          <w:rFonts w:ascii="Times New Roman" w:hAnsi="Times New Roman" w:eastAsia="方正仿宋_GBK" w:cs="Times New Roman"/>
          <w:color w:val="auto"/>
          <w:kern w:val="2"/>
          <w:sz w:val="32"/>
          <w:szCs w:val="32"/>
        </w:rPr>
        <w:t>5</w:t>
      </w:r>
      <w:r>
        <w:rPr>
          <w:rFonts w:ascii="Times New Roman" w:hAnsi="Times New Roman" w:eastAsia="方正仿宋_GBK" w:cs="Times New Roman"/>
          <w:color w:val="auto"/>
          <w:kern w:val="2"/>
          <w:sz w:val="32"/>
          <w:szCs w:val="32"/>
          <w:lang w:val="zh-TW"/>
        </w:rPr>
        <w:t>．</w:t>
      </w:r>
      <w:r>
        <w:rPr>
          <w:rFonts w:ascii="Times New Roman" w:hAnsi="Times New Roman" w:eastAsia="方正仿宋_GBK" w:cs="Times New Roman"/>
          <w:color w:val="auto"/>
          <w:kern w:val="2"/>
          <w:sz w:val="32"/>
          <w:szCs w:val="32"/>
          <w:lang w:val="zh-TW" w:eastAsia="zh-TW"/>
        </w:rPr>
        <w:t>监狱企业、残疾人福利单位属于小型、微型企业的，不重复享受政策。</w:t>
      </w:r>
    </w:p>
    <w:p w14:paraId="3AFD871D">
      <w:pPr>
        <w:spacing w:line="580" w:lineRule="exact"/>
        <w:ind w:firstLine="640" w:firstLineChars="200"/>
        <w:rPr>
          <w:rFonts w:ascii="Times New Roman" w:hAnsi="Times New Roman" w:eastAsia="方正仿宋_GBK" w:cs="Times New Roman"/>
          <w:color w:val="auto"/>
          <w:kern w:val="2"/>
          <w:sz w:val="32"/>
          <w:szCs w:val="32"/>
          <w:lang w:val="zh-TW" w:eastAsia="zh-TW"/>
        </w:rPr>
      </w:pPr>
      <w:r>
        <w:rPr>
          <w:rFonts w:ascii="Times New Roman" w:hAnsi="Times New Roman" w:eastAsia="方正仿宋_GBK" w:cs="Times New Roman"/>
          <w:color w:val="auto"/>
          <w:kern w:val="2"/>
          <w:sz w:val="32"/>
          <w:szCs w:val="32"/>
        </w:rPr>
        <w:t>6</w:t>
      </w:r>
      <w:r>
        <w:rPr>
          <w:rFonts w:ascii="Times New Roman" w:hAnsi="Times New Roman" w:eastAsia="方正仿宋_GBK" w:cs="Times New Roman"/>
          <w:color w:val="auto"/>
          <w:kern w:val="2"/>
          <w:sz w:val="32"/>
          <w:szCs w:val="32"/>
          <w:lang w:val="zh-TW"/>
        </w:rPr>
        <w:t>．</w:t>
      </w:r>
      <w:r>
        <w:rPr>
          <w:rFonts w:ascii="Times New Roman" w:hAnsi="Times New Roman" w:eastAsia="方正仿宋_GBK" w:cs="Times New Roman"/>
          <w:color w:val="auto"/>
          <w:kern w:val="2"/>
          <w:sz w:val="32"/>
          <w:szCs w:val="32"/>
          <w:lang w:val="zh-TW" w:eastAsia="zh-TW"/>
        </w:rPr>
        <w:t>评标结果保留两位小数。</w:t>
      </w:r>
    </w:p>
    <w:p w14:paraId="6E45F76E">
      <w:pPr>
        <w:spacing w:line="580" w:lineRule="exact"/>
        <w:jc w:val="center"/>
        <w:outlineLvl w:val="0"/>
        <w:rPr>
          <w:rFonts w:hint="eastAsia" w:ascii="方正仿宋_GBK" w:hAnsi="宋体" w:eastAsia="方正仿宋_GBK" w:cs="宋体"/>
          <w:b/>
          <w:bCs/>
          <w:color w:val="auto"/>
          <w:sz w:val="32"/>
          <w:szCs w:val="32"/>
        </w:rPr>
      </w:pPr>
      <w:bookmarkStart w:id="199" w:name="_Toc178087285"/>
    </w:p>
    <w:p w14:paraId="5761BBB3">
      <w:pPr>
        <w:spacing w:line="580" w:lineRule="exact"/>
        <w:jc w:val="center"/>
        <w:outlineLvl w:val="0"/>
        <w:rPr>
          <w:rFonts w:hint="eastAsia" w:ascii="方正仿宋_GBK" w:hAnsi="宋体" w:eastAsia="方正仿宋_GBK" w:cs="宋体"/>
          <w:b/>
          <w:bCs/>
          <w:color w:val="auto"/>
          <w:sz w:val="32"/>
          <w:szCs w:val="32"/>
        </w:rPr>
      </w:pPr>
    </w:p>
    <w:p w14:paraId="22DF115A">
      <w:pPr>
        <w:spacing w:line="580" w:lineRule="exact"/>
        <w:jc w:val="center"/>
        <w:outlineLvl w:val="0"/>
        <w:rPr>
          <w:rFonts w:hint="eastAsia" w:ascii="方正仿宋_GBK" w:hAnsi="宋体" w:eastAsia="方正仿宋_GBK" w:cs="宋体"/>
          <w:b/>
          <w:bCs/>
          <w:color w:val="auto"/>
          <w:sz w:val="32"/>
          <w:szCs w:val="32"/>
        </w:rPr>
      </w:pPr>
    </w:p>
    <w:p w14:paraId="16489415">
      <w:pPr>
        <w:spacing w:line="580" w:lineRule="exact"/>
        <w:jc w:val="center"/>
        <w:outlineLvl w:val="0"/>
        <w:rPr>
          <w:rFonts w:hint="eastAsia" w:ascii="方正仿宋_GBK" w:hAnsi="宋体" w:eastAsia="方正仿宋_GBK" w:cs="宋体"/>
          <w:b/>
          <w:bCs/>
          <w:color w:val="auto"/>
          <w:sz w:val="32"/>
          <w:szCs w:val="32"/>
        </w:rPr>
      </w:pPr>
    </w:p>
    <w:p w14:paraId="4B42FB3B">
      <w:pPr>
        <w:spacing w:line="580" w:lineRule="exact"/>
        <w:jc w:val="center"/>
        <w:outlineLvl w:val="0"/>
        <w:rPr>
          <w:rFonts w:hint="eastAsia" w:ascii="方正仿宋_GBK" w:hAnsi="宋体" w:eastAsia="方正仿宋_GBK" w:cs="宋体"/>
          <w:b/>
          <w:bCs/>
          <w:color w:val="auto"/>
          <w:sz w:val="32"/>
          <w:szCs w:val="32"/>
        </w:rPr>
      </w:pPr>
    </w:p>
    <w:p w14:paraId="781986A3">
      <w:pPr>
        <w:spacing w:line="580" w:lineRule="exact"/>
        <w:jc w:val="center"/>
        <w:outlineLvl w:val="0"/>
        <w:rPr>
          <w:rFonts w:hint="eastAsia" w:ascii="方正仿宋_GBK" w:hAnsi="宋体" w:eastAsia="方正仿宋_GBK" w:cs="宋体"/>
          <w:b/>
          <w:bCs/>
          <w:color w:val="auto"/>
          <w:sz w:val="32"/>
          <w:szCs w:val="32"/>
        </w:rPr>
      </w:pPr>
    </w:p>
    <w:p w14:paraId="21354824">
      <w:pPr>
        <w:spacing w:line="580" w:lineRule="exact"/>
        <w:jc w:val="center"/>
        <w:outlineLvl w:val="0"/>
        <w:rPr>
          <w:rFonts w:hint="eastAsia" w:ascii="方正仿宋_GBK" w:hAnsi="宋体" w:eastAsia="方正仿宋_GBK" w:cs="宋体"/>
          <w:b/>
          <w:bCs/>
          <w:color w:val="auto"/>
          <w:sz w:val="32"/>
          <w:szCs w:val="32"/>
        </w:rPr>
      </w:pPr>
    </w:p>
    <w:p w14:paraId="4885E506">
      <w:pPr>
        <w:pStyle w:val="43"/>
        <w:rPr>
          <w:rFonts w:hint="eastAsia" w:ascii="方正仿宋_GBK" w:hAnsi="宋体" w:eastAsia="方正仿宋_GBK" w:cs="宋体"/>
          <w:b/>
          <w:bCs/>
          <w:color w:val="auto"/>
          <w:sz w:val="32"/>
          <w:szCs w:val="32"/>
          <w:lang w:eastAsia="zh-CN"/>
        </w:rPr>
      </w:pPr>
    </w:p>
    <w:p w14:paraId="4178BF86">
      <w:pPr>
        <w:widowControl/>
        <w:jc w:val="left"/>
        <w:rPr>
          <w:rFonts w:hint="eastAsia" w:ascii="方正黑体_GBK" w:hAnsi="宋体" w:eastAsia="方正黑体_GBK" w:cs="宋体"/>
          <w:color w:val="auto"/>
          <w:sz w:val="32"/>
          <w:szCs w:val="32"/>
        </w:rPr>
      </w:pPr>
      <w:bookmarkStart w:id="200" w:name="_Toc178087282"/>
      <w:r>
        <w:rPr>
          <w:rFonts w:hint="eastAsia" w:ascii="方正黑体_GBK" w:hAnsi="宋体" w:eastAsia="方正黑体_GBK"/>
          <w:color w:val="auto"/>
          <w:sz w:val="32"/>
          <w:szCs w:val="32"/>
        </w:rPr>
        <w:br w:type="page"/>
      </w:r>
    </w:p>
    <w:p w14:paraId="2725C43E">
      <w:pPr>
        <w:pStyle w:val="243"/>
        <w:spacing w:line="580" w:lineRule="exact"/>
        <w:ind w:left="0" w:firstLine="640" w:firstLineChars="200"/>
        <w:jc w:val="center"/>
        <w:outlineLvl w:val="0"/>
        <w:rPr>
          <w:rFonts w:hint="eastAsia" w:ascii="方正黑体_GBK" w:hAnsi="宋体" w:eastAsia="方正黑体_GBK" w:cs="方正舒体"/>
          <w:color w:val="auto"/>
          <w:sz w:val="32"/>
          <w:szCs w:val="32"/>
          <w:lang w:val="en-US"/>
        </w:rPr>
      </w:pPr>
      <w:bookmarkStart w:id="201" w:name="_Hlk226533782"/>
      <w:r>
        <w:rPr>
          <w:rFonts w:hint="eastAsia" w:ascii="方正黑体_GBK" w:hAnsi="宋体" w:eastAsia="方正黑体_GBK"/>
          <w:color w:val="auto"/>
          <w:sz w:val="32"/>
          <w:szCs w:val="32"/>
          <w:lang w:val="en-US"/>
        </w:rPr>
        <w:t xml:space="preserve">第五章  </w:t>
      </w:r>
      <w:bookmarkEnd w:id="200"/>
      <w:r>
        <w:rPr>
          <w:rFonts w:hint="eastAsia" w:ascii="方正黑体_GBK" w:hAnsi="宋体" w:eastAsia="方正黑体_GBK"/>
          <w:color w:val="auto"/>
          <w:sz w:val="32"/>
          <w:szCs w:val="32"/>
          <w:lang w:val="en-US"/>
        </w:rPr>
        <w:t>合同主要条款及格式</w:t>
      </w:r>
    </w:p>
    <w:p w14:paraId="6EE64747">
      <w:pPr>
        <w:spacing w:line="580" w:lineRule="exact"/>
        <w:jc w:val="left"/>
        <w:rPr>
          <w:rFonts w:hint="eastAsia" w:ascii="方正仿宋_GBK" w:hAnsi="宋体" w:eastAsia="方正仿宋_GBK" w:cs="宋体"/>
          <w:color w:val="auto"/>
          <w:sz w:val="32"/>
          <w:szCs w:val="32"/>
        </w:rPr>
      </w:pPr>
      <w:bookmarkStart w:id="202" w:name="_Toc20823315"/>
      <w:bookmarkEnd w:id="202"/>
      <w:bookmarkStart w:id="203" w:name="_Toc16938559"/>
      <w:bookmarkEnd w:id="203"/>
      <w:bookmarkStart w:id="204" w:name="_Toc513029243"/>
      <w:bookmarkEnd w:id="204"/>
    </w:p>
    <w:p w14:paraId="134956F2">
      <w:pPr>
        <w:spacing w:line="580" w:lineRule="exact"/>
        <w:ind w:firstLine="640" w:firstLineChars="200"/>
        <w:jc w:val="left"/>
        <w:rPr>
          <w:rFonts w:hint="eastAsia" w:ascii="方正仿宋_GBK" w:eastAsia="方正仿宋_GBK" w:hAnsiTheme="minorEastAsia" w:cstheme="minorEastAsia"/>
          <w:color w:val="auto"/>
          <w:sz w:val="32"/>
          <w:szCs w:val="32"/>
        </w:rPr>
      </w:pPr>
      <w:r>
        <w:rPr>
          <w:rFonts w:hint="eastAsia" w:ascii="方正仿宋_GBK" w:eastAsia="方正仿宋_GBK" w:hAnsiTheme="minorEastAsia" w:cstheme="minorEastAsia"/>
          <w:color w:val="auto"/>
          <w:sz w:val="32"/>
          <w:szCs w:val="32"/>
        </w:rPr>
        <w:t>以下为本项目的合同条款，合同双方不得对招标、投标文件内容作实质性修改。</w:t>
      </w:r>
    </w:p>
    <w:p w14:paraId="7F9947F8">
      <w:pPr>
        <w:pStyle w:val="214"/>
        <w:spacing w:line="580" w:lineRule="exact"/>
        <w:ind w:firstLine="640" w:firstLineChars="200"/>
        <w:jc w:val="left"/>
        <w:rPr>
          <w:rFonts w:hint="eastAsia" w:ascii="方正仿宋_GBK" w:eastAsia="方正仿宋_GBK" w:hAnsiTheme="minorEastAsia" w:cstheme="minorEastAsia"/>
          <w:color w:val="auto"/>
          <w:sz w:val="32"/>
          <w:szCs w:val="32"/>
        </w:rPr>
      </w:pPr>
      <w:r>
        <w:rPr>
          <w:rFonts w:hint="eastAsia" w:ascii="方正仿宋_GBK" w:eastAsia="方正仿宋_GBK" w:hAnsiTheme="minorEastAsia" w:cstheme="minorEastAsia"/>
          <w:color w:val="auto"/>
          <w:sz w:val="32"/>
          <w:szCs w:val="32"/>
        </w:rPr>
        <w:t>如遇招标文件及合同未约定事项，双方可友好协商签订补充协议。</w:t>
      </w:r>
    </w:p>
    <w:p w14:paraId="366AEEEE">
      <w:pPr>
        <w:pStyle w:val="243"/>
        <w:spacing w:line="580" w:lineRule="exact"/>
        <w:ind w:left="0"/>
        <w:rPr>
          <w:rFonts w:hint="eastAsia" w:asciiTheme="minorEastAsia" w:hAnsiTheme="minorEastAsia" w:eastAsiaTheme="minorEastAsia" w:cstheme="minorEastAsia"/>
          <w:color w:val="auto"/>
          <w:sz w:val="24"/>
          <w:szCs w:val="24"/>
        </w:rPr>
      </w:pPr>
    </w:p>
    <w:p w14:paraId="3F5CE16D">
      <w:pPr>
        <w:spacing w:line="580" w:lineRule="exact"/>
        <w:jc w:val="center"/>
        <w:rPr>
          <w:rFonts w:hint="eastAsia" w:ascii="方正仿宋_GBK" w:hAnsi="宋体" w:eastAsia="方正仿宋_GBK" w:cs="Times New Roman"/>
          <w:b/>
          <w:bCs/>
          <w:color w:val="auto"/>
          <w:kern w:val="2"/>
          <w:sz w:val="32"/>
          <w:szCs w:val="32"/>
        </w:rPr>
      </w:pPr>
    </w:p>
    <w:p w14:paraId="6940D894">
      <w:pPr>
        <w:spacing w:line="580" w:lineRule="exact"/>
        <w:jc w:val="center"/>
        <w:rPr>
          <w:rFonts w:hint="eastAsia" w:ascii="方正仿宋_GBK" w:hAnsi="宋体" w:eastAsia="方正仿宋_GBK" w:cs="Times New Roman"/>
          <w:b/>
          <w:bCs/>
          <w:color w:val="auto"/>
          <w:kern w:val="2"/>
          <w:sz w:val="32"/>
          <w:szCs w:val="32"/>
        </w:rPr>
      </w:pPr>
    </w:p>
    <w:p w14:paraId="77C198A1">
      <w:pPr>
        <w:spacing w:line="580" w:lineRule="exact"/>
        <w:jc w:val="center"/>
        <w:rPr>
          <w:rFonts w:hint="eastAsia" w:ascii="方正仿宋_GBK" w:hAnsi="宋体" w:eastAsia="方正仿宋_GBK" w:cs="Times New Roman"/>
          <w:b/>
          <w:bCs/>
          <w:color w:val="auto"/>
          <w:kern w:val="2"/>
          <w:sz w:val="32"/>
          <w:szCs w:val="32"/>
        </w:rPr>
      </w:pPr>
    </w:p>
    <w:p w14:paraId="590943C9">
      <w:pPr>
        <w:pStyle w:val="43"/>
        <w:rPr>
          <w:lang w:eastAsia="zh-CN" w:bidi="ar-SA"/>
        </w:rPr>
      </w:pPr>
    </w:p>
    <w:p w14:paraId="537A540E">
      <w:pPr>
        <w:widowControl/>
        <w:shd w:val="clear" w:color="auto" w:fill="FFFFFF"/>
        <w:spacing w:line="580" w:lineRule="exact"/>
        <w:jc w:val="center"/>
        <w:rPr>
          <w:rFonts w:hint="eastAsia" w:ascii="方正小标宋_GBK" w:hAnsi="宋体" w:eastAsia="方正小标宋_GBK" w:cs="宋体"/>
          <w:sz w:val="44"/>
          <w:szCs w:val="44"/>
        </w:rPr>
      </w:pPr>
    </w:p>
    <w:p w14:paraId="16F7755B">
      <w:pPr>
        <w:widowControl/>
        <w:shd w:val="clear" w:color="auto" w:fill="FFFFFF"/>
        <w:spacing w:line="580" w:lineRule="exact"/>
        <w:jc w:val="center"/>
        <w:rPr>
          <w:rFonts w:hint="eastAsia" w:ascii="方正小标宋_GBK" w:hAnsi="宋体" w:eastAsia="方正小标宋_GBK" w:cs="宋体"/>
          <w:sz w:val="32"/>
          <w:szCs w:val="32"/>
        </w:rPr>
      </w:pPr>
      <w:r>
        <w:rPr>
          <w:rFonts w:hint="eastAsia" w:ascii="方正小标宋_GBK" w:hAnsi="宋体" w:eastAsia="方正小标宋_GBK" w:cs="宋体"/>
          <w:sz w:val="44"/>
          <w:szCs w:val="44"/>
        </w:rPr>
        <w:t>南京市政府采购合同</w:t>
      </w:r>
    </w:p>
    <w:p w14:paraId="2E5DD67D">
      <w:pPr>
        <w:spacing w:line="580" w:lineRule="exact"/>
        <w:rPr>
          <w:rFonts w:hint="eastAsia" w:ascii="方正仿宋_GBK" w:hAnsi="宋体" w:eastAsia="方正仿宋_GBK" w:cs="Times New Roman"/>
          <w:color w:val="auto"/>
          <w:kern w:val="2"/>
          <w:sz w:val="32"/>
          <w:szCs w:val="32"/>
        </w:rPr>
      </w:pPr>
      <w:r>
        <w:rPr>
          <w:rFonts w:hint="eastAsia" w:ascii="方正仿宋_GBK" w:hAnsi="宋体" w:eastAsia="方正仿宋_GBK" w:cs="Times New Roman"/>
          <w:color w:val="auto"/>
          <w:kern w:val="2"/>
          <w:sz w:val="32"/>
          <w:szCs w:val="32"/>
        </w:rPr>
        <w:t xml:space="preserve">                                      </w:t>
      </w:r>
    </w:p>
    <w:p w14:paraId="60FA3640">
      <w:pPr>
        <w:spacing w:line="580" w:lineRule="exact"/>
        <w:ind w:left="1260" w:leftChars="600"/>
        <w:rPr>
          <w:rFonts w:hint="eastAsia" w:ascii="方正仿宋_GBK" w:hAnsi="宋体" w:eastAsia="方正仿宋_GBK" w:cs="宋体"/>
          <w:b/>
          <w:color w:val="auto"/>
          <w:kern w:val="2"/>
          <w:sz w:val="32"/>
          <w:szCs w:val="32"/>
        </w:rPr>
      </w:pPr>
    </w:p>
    <w:p w14:paraId="7A0021F8">
      <w:pPr>
        <w:spacing w:line="580" w:lineRule="exact"/>
        <w:ind w:left="1260" w:leftChars="600"/>
        <w:rPr>
          <w:rFonts w:hint="eastAsia" w:ascii="方正仿宋_GBK" w:hAnsi="宋体" w:eastAsia="方正仿宋_GBK" w:cs="宋体"/>
          <w:b/>
          <w:color w:val="auto"/>
          <w:kern w:val="2"/>
          <w:sz w:val="32"/>
          <w:szCs w:val="32"/>
        </w:rPr>
      </w:pPr>
    </w:p>
    <w:p w14:paraId="7224166F">
      <w:pPr>
        <w:spacing w:line="580" w:lineRule="exact"/>
        <w:ind w:firstLine="1921" w:firstLineChars="600"/>
        <w:rPr>
          <w:rFonts w:hint="eastAsia" w:ascii="方正仿宋_GBK" w:hAnsi="宋体" w:eastAsia="方正仿宋_GBK" w:cs="宋体"/>
          <w:b/>
          <w:color w:val="auto"/>
          <w:kern w:val="2"/>
          <w:sz w:val="32"/>
          <w:szCs w:val="32"/>
        </w:rPr>
      </w:pPr>
    </w:p>
    <w:p w14:paraId="6D7D9D87">
      <w:pPr>
        <w:spacing w:line="580" w:lineRule="exact"/>
        <w:ind w:firstLine="1921" w:firstLineChars="600"/>
        <w:rPr>
          <w:rFonts w:hint="eastAsia" w:ascii="方正仿宋_GBK" w:hAnsi="宋体" w:eastAsia="方正仿宋_GBK" w:cs="宋体"/>
          <w:b/>
          <w:color w:val="auto"/>
          <w:kern w:val="2"/>
          <w:sz w:val="32"/>
          <w:szCs w:val="32"/>
        </w:rPr>
      </w:pPr>
    </w:p>
    <w:p w14:paraId="071131F7">
      <w:pPr>
        <w:spacing w:line="580" w:lineRule="exact"/>
        <w:ind w:firstLine="1600" w:firstLineChars="500"/>
        <w:rPr>
          <w:rFonts w:hint="eastAsia" w:ascii="方正楷体_GBK" w:hAnsi="宋体" w:eastAsia="方正楷体_GBK" w:cs="宋体"/>
          <w:bCs/>
          <w:color w:val="auto"/>
          <w:kern w:val="2"/>
          <w:sz w:val="32"/>
          <w:szCs w:val="32"/>
          <w:u w:val="single"/>
        </w:rPr>
      </w:pPr>
      <w:r>
        <w:rPr>
          <w:rFonts w:hint="eastAsia" w:ascii="方正楷体_GBK" w:hAnsi="宋体" w:eastAsia="方正楷体_GBK" w:cs="宋体"/>
          <w:bCs/>
          <w:color w:val="auto"/>
          <w:kern w:val="2"/>
          <w:sz w:val="32"/>
          <w:szCs w:val="32"/>
        </w:rPr>
        <w:t>项目名称 ：</w:t>
      </w:r>
    </w:p>
    <w:p w14:paraId="39B69631">
      <w:pPr>
        <w:spacing w:line="580" w:lineRule="exact"/>
        <w:ind w:firstLine="1600" w:firstLineChars="500"/>
        <w:rPr>
          <w:rFonts w:hint="eastAsia" w:ascii="方正楷体_GBK" w:hAnsi="宋体" w:eastAsia="方正楷体_GBK" w:cs="宋体"/>
          <w:bCs/>
          <w:color w:val="auto"/>
          <w:kern w:val="2"/>
          <w:sz w:val="32"/>
          <w:szCs w:val="32"/>
        </w:rPr>
      </w:pPr>
      <w:r>
        <w:rPr>
          <w:rFonts w:hint="eastAsia" w:ascii="方正楷体_GBK" w:hAnsi="宋体" w:eastAsia="方正楷体_GBK" w:cs="宋体"/>
          <w:bCs/>
          <w:color w:val="auto"/>
          <w:kern w:val="2"/>
          <w:sz w:val="32"/>
          <w:szCs w:val="32"/>
        </w:rPr>
        <w:t>采购单位 ：</w:t>
      </w:r>
    </w:p>
    <w:p w14:paraId="2CAC97E4">
      <w:pPr>
        <w:spacing w:line="580" w:lineRule="exact"/>
        <w:ind w:firstLine="1600" w:firstLineChars="500"/>
        <w:rPr>
          <w:rFonts w:hint="eastAsia" w:ascii="方正楷体_GBK" w:hAnsi="宋体" w:eastAsia="方正楷体_GBK" w:cs="宋体"/>
          <w:bCs/>
          <w:color w:val="auto"/>
          <w:kern w:val="2"/>
          <w:sz w:val="32"/>
          <w:szCs w:val="32"/>
          <w:u w:val="single"/>
        </w:rPr>
      </w:pPr>
      <w:r>
        <w:rPr>
          <w:rFonts w:hint="eastAsia" w:ascii="方正楷体_GBK" w:hAnsi="宋体" w:eastAsia="方正楷体_GBK" w:cs="宋体"/>
          <w:bCs/>
          <w:color w:val="auto"/>
          <w:kern w:val="2"/>
          <w:sz w:val="32"/>
          <w:szCs w:val="32"/>
        </w:rPr>
        <w:t>中标单位 ：</w:t>
      </w:r>
    </w:p>
    <w:p w14:paraId="744BC13E">
      <w:pPr>
        <w:spacing w:line="580" w:lineRule="exact"/>
        <w:ind w:firstLine="1600" w:firstLineChars="500"/>
        <w:rPr>
          <w:rFonts w:hint="eastAsia" w:ascii="方正楷体_GBK" w:hAnsi="宋体" w:eastAsia="方正楷体_GBK" w:cs="宋体"/>
          <w:bCs/>
          <w:color w:val="auto"/>
          <w:kern w:val="2"/>
          <w:sz w:val="32"/>
          <w:szCs w:val="32"/>
        </w:rPr>
      </w:pPr>
      <w:r>
        <w:rPr>
          <w:rFonts w:hint="eastAsia" w:ascii="方正楷体_GBK" w:hAnsi="宋体" w:eastAsia="方正楷体_GBK" w:cs="宋体"/>
          <w:bCs/>
          <w:color w:val="auto"/>
          <w:kern w:val="2"/>
          <w:sz w:val="32"/>
          <w:szCs w:val="32"/>
        </w:rPr>
        <w:t>签订日期 ：</w:t>
      </w:r>
      <w:r>
        <w:rPr>
          <w:rFonts w:hint="eastAsia" w:ascii="方正楷体_GBK" w:hAnsi="宋体" w:eastAsia="方正楷体_GBK" w:cs="宋体"/>
          <w:bCs/>
          <w:color w:val="auto"/>
          <w:kern w:val="2"/>
          <w:sz w:val="32"/>
          <w:szCs w:val="32"/>
          <w:u w:val="single"/>
        </w:rPr>
        <w:t xml:space="preserve">      </w:t>
      </w:r>
      <w:r>
        <w:rPr>
          <w:rFonts w:hint="eastAsia" w:ascii="方正楷体_GBK" w:hAnsi="宋体" w:eastAsia="方正楷体_GBK" w:cs="宋体"/>
          <w:bCs/>
          <w:color w:val="auto"/>
          <w:kern w:val="2"/>
          <w:sz w:val="32"/>
          <w:szCs w:val="32"/>
        </w:rPr>
        <w:t>年</w:t>
      </w:r>
      <w:r>
        <w:rPr>
          <w:rFonts w:hint="eastAsia" w:ascii="方正楷体_GBK" w:hAnsi="宋体" w:eastAsia="方正楷体_GBK" w:cs="宋体"/>
          <w:bCs/>
          <w:color w:val="auto"/>
          <w:kern w:val="2"/>
          <w:sz w:val="32"/>
          <w:szCs w:val="32"/>
          <w:u w:val="single"/>
        </w:rPr>
        <w:t xml:space="preserve">     </w:t>
      </w:r>
      <w:r>
        <w:rPr>
          <w:rFonts w:hint="eastAsia" w:ascii="方正楷体_GBK" w:hAnsi="宋体" w:eastAsia="方正楷体_GBK" w:cs="宋体"/>
          <w:bCs/>
          <w:color w:val="auto"/>
          <w:kern w:val="2"/>
          <w:sz w:val="32"/>
          <w:szCs w:val="32"/>
        </w:rPr>
        <w:t>月</w:t>
      </w:r>
      <w:r>
        <w:rPr>
          <w:rFonts w:hint="eastAsia" w:ascii="方正楷体_GBK" w:hAnsi="宋体" w:eastAsia="方正楷体_GBK" w:cs="宋体"/>
          <w:bCs/>
          <w:color w:val="auto"/>
          <w:kern w:val="2"/>
          <w:sz w:val="32"/>
          <w:szCs w:val="32"/>
          <w:u w:val="single"/>
        </w:rPr>
        <w:t xml:space="preserve">     </w:t>
      </w:r>
      <w:r>
        <w:rPr>
          <w:rFonts w:hint="eastAsia" w:ascii="方正楷体_GBK" w:hAnsi="宋体" w:eastAsia="方正楷体_GBK" w:cs="宋体"/>
          <w:bCs/>
          <w:color w:val="auto"/>
          <w:kern w:val="2"/>
          <w:sz w:val="32"/>
          <w:szCs w:val="32"/>
        </w:rPr>
        <w:t>日</w:t>
      </w:r>
    </w:p>
    <w:p w14:paraId="1941694D">
      <w:pPr>
        <w:spacing w:line="580" w:lineRule="exact"/>
        <w:rPr>
          <w:rFonts w:hint="eastAsia" w:ascii="方正仿宋_GBK" w:hAnsi="宋体" w:eastAsia="方正仿宋_GBK" w:cs="Times New Roman"/>
          <w:color w:val="auto"/>
          <w:kern w:val="2"/>
          <w:sz w:val="32"/>
          <w:szCs w:val="32"/>
        </w:rPr>
        <w:sectPr>
          <w:pgSz w:w="11906" w:h="16838"/>
          <w:pgMar w:top="2098" w:right="1588" w:bottom="1701" w:left="1588" w:header="851" w:footer="992" w:gutter="0"/>
          <w:cols w:space="720" w:num="1"/>
          <w:docGrid w:linePitch="312" w:charSpace="0"/>
        </w:sectPr>
      </w:pPr>
    </w:p>
    <w:p w14:paraId="054FFF9F">
      <w:pPr>
        <w:widowControl/>
        <w:shd w:val="clear" w:color="auto" w:fill="FFFFFF"/>
        <w:spacing w:line="580" w:lineRule="exact"/>
        <w:rPr>
          <w:rFonts w:ascii="Times New Roman" w:hAnsi="Times New Roman" w:eastAsia="方正仿宋_GBK" w:cs="Times New Roman"/>
          <w:sz w:val="32"/>
          <w:szCs w:val="32"/>
          <w:shd w:val="clear" w:color="auto" w:fill="FFFFFF"/>
        </w:rPr>
      </w:pPr>
      <w:r>
        <w:rPr>
          <w:rFonts w:hint="eastAsia" w:ascii="Times New Roman" w:hAnsi="Times New Roman" w:eastAsia="方正仿宋_GBK" w:cs="Times New Roman"/>
          <w:sz w:val="32"/>
          <w:szCs w:val="32"/>
          <w:shd w:val="clear" w:color="auto" w:fill="FFFFFF"/>
          <w:lang w:bidi="ar"/>
        </w:rPr>
        <w:t>项目</w:t>
      </w:r>
      <w:r>
        <w:rPr>
          <w:rFonts w:ascii="Times New Roman" w:hAnsi="Times New Roman" w:eastAsia="方正仿宋_GBK" w:cs="Times New Roman"/>
          <w:sz w:val="32"/>
          <w:szCs w:val="32"/>
          <w:shd w:val="clear" w:color="auto" w:fill="FFFFFF"/>
          <w:lang w:bidi="ar"/>
        </w:rPr>
        <w:t>编号：</w:t>
      </w:r>
    </w:p>
    <w:p w14:paraId="690E26A4">
      <w:pPr>
        <w:spacing w:line="580" w:lineRule="exact"/>
        <w:ind w:firstLine="413"/>
        <w:rPr>
          <w:rFonts w:ascii="Times New Roman" w:hAnsi="Times New Roman" w:eastAsia="方正仿宋_GBK" w:cs="Times New Roman"/>
          <w:b/>
          <w:sz w:val="32"/>
          <w:szCs w:val="32"/>
        </w:rPr>
      </w:pPr>
    </w:p>
    <w:p w14:paraId="5EED3E0A">
      <w:pPr>
        <w:spacing w:line="58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b/>
          <w:sz w:val="32"/>
          <w:szCs w:val="32"/>
          <w:lang w:bidi="ar"/>
        </w:rPr>
        <w:t>甲方：</w:t>
      </w:r>
      <w:r>
        <w:rPr>
          <w:rFonts w:ascii="Times New Roman" w:hAnsi="Times New Roman" w:eastAsia="方正仿宋_GBK" w:cs="Times New Roman"/>
          <w:sz w:val="32"/>
          <w:szCs w:val="32"/>
          <w:lang w:bidi="ar"/>
        </w:rPr>
        <w:t>南京市商务局</w:t>
      </w:r>
    </w:p>
    <w:p w14:paraId="4E71E504">
      <w:pPr>
        <w:spacing w:line="58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b/>
          <w:sz w:val="32"/>
          <w:szCs w:val="32"/>
          <w:lang w:bidi="ar"/>
        </w:rPr>
        <w:t>乙方：</w:t>
      </w:r>
    </w:p>
    <w:p w14:paraId="026BAD10">
      <w:pPr>
        <w:spacing w:line="58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lang w:bidi="ar"/>
        </w:rPr>
        <w:t>为加强市场调控，提高应急能力，保障市场供应稳定，根据《中华人民共和国民法典》《中华人民共和国政府采购法》等法律法规的规定，</w:t>
      </w:r>
      <w:r>
        <w:rPr>
          <w:rFonts w:hint="eastAsia" w:ascii="Times New Roman" w:hAnsi="Times New Roman" w:eastAsia="方正仿宋_GBK" w:cs="Times New Roman"/>
          <w:sz w:val="32"/>
          <w:szCs w:val="32"/>
          <w:lang w:bidi="ar"/>
        </w:rPr>
        <w:t>甲乙双方按照江苏中博通信有限公司的招标结果签订本合同。</w:t>
      </w:r>
    </w:p>
    <w:p w14:paraId="77DAF3C9">
      <w:pPr>
        <w:widowControl/>
        <w:shd w:val="clear" w:color="auto" w:fill="FFFFFF"/>
        <w:spacing w:line="580" w:lineRule="exact"/>
        <w:ind w:firstLine="640" w:firstLineChars="200"/>
        <w:jc w:val="left"/>
        <w:rPr>
          <w:rFonts w:ascii="方正黑体_GBK" w:hAnsi="Times New Roman" w:eastAsia="方正黑体_GBK" w:cs="Times New Roman"/>
          <w:sz w:val="32"/>
          <w:szCs w:val="32"/>
          <w:shd w:val="clear" w:color="auto" w:fill="FFFFFF"/>
        </w:rPr>
      </w:pPr>
      <w:r>
        <w:rPr>
          <w:rFonts w:hint="eastAsia" w:ascii="方正黑体_GBK" w:hAnsi="Times New Roman" w:eastAsia="方正黑体_GBK" w:cs="Times New Roman"/>
          <w:sz w:val="32"/>
          <w:szCs w:val="32"/>
          <w:shd w:val="clear" w:color="auto" w:fill="FFFFFF"/>
          <w:lang w:bidi="ar"/>
        </w:rPr>
        <w:t>一、储备内容</w:t>
      </w:r>
    </w:p>
    <w:tbl>
      <w:tblPr>
        <w:tblStyle w:val="37"/>
        <w:tblW w:w="87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36"/>
        <w:gridCol w:w="1676"/>
        <w:gridCol w:w="1676"/>
        <w:gridCol w:w="1676"/>
        <w:gridCol w:w="2636"/>
      </w:tblGrid>
      <w:tr w14:paraId="078568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1036" w:type="dxa"/>
            <w:vAlign w:val="center"/>
          </w:tcPr>
          <w:p w14:paraId="28F890A0">
            <w:pPr>
              <w:spacing w:line="400" w:lineRule="exact"/>
              <w:jc w:val="center"/>
              <w:rPr>
                <w:rFonts w:ascii="方正黑体_GBK" w:eastAsia="方正黑体_GBK"/>
                <w:sz w:val="32"/>
                <w:szCs w:val="32"/>
              </w:rPr>
            </w:pPr>
            <w:r>
              <w:rPr>
                <w:rFonts w:hint="eastAsia" w:ascii="方正黑体_GBK" w:eastAsia="方正黑体_GBK"/>
                <w:sz w:val="32"/>
                <w:szCs w:val="32"/>
              </w:rPr>
              <w:t>序号</w:t>
            </w:r>
          </w:p>
        </w:tc>
        <w:tc>
          <w:tcPr>
            <w:tcW w:w="1676" w:type="dxa"/>
            <w:vAlign w:val="center"/>
          </w:tcPr>
          <w:p w14:paraId="62D10CA9">
            <w:pPr>
              <w:spacing w:line="400" w:lineRule="exact"/>
              <w:jc w:val="center"/>
              <w:rPr>
                <w:rFonts w:ascii="方正黑体_GBK" w:eastAsia="方正黑体_GBK"/>
                <w:sz w:val="32"/>
                <w:szCs w:val="32"/>
              </w:rPr>
            </w:pPr>
            <w:r>
              <w:rPr>
                <w:rFonts w:hint="eastAsia" w:ascii="方正黑体_GBK" w:eastAsia="方正黑体_GBK"/>
                <w:sz w:val="32"/>
                <w:szCs w:val="32"/>
              </w:rPr>
              <w:t>冷库名称</w:t>
            </w:r>
          </w:p>
        </w:tc>
        <w:tc>
          <w:tcPr>
            <w:tcW w:w="1676" w:type="dxa"/>
            <w:vAlign w:val="center"/>
          </w:tcPr>
          <w:p w14:paraId="08DF94A0">
            <w:pPr>
              <w:spacing w:line="400" w:lineRule="exact"/>
              <w:jc w:val="center"/>
              <w:rPr>
                <w:rFonts w:ascii="方正黑体_GBK" w:eastAsia="方正黑体_GBK"/>
                <w:sz w:val="32"/>
                <w:szCs w:val="32"/>
              </w:rPr>
            </w:pPr>
            <w:r>
              <w:rPr>
                <w:rFonts w:hint="eastAsia" w:ascii="方正黑体_GBK" w:eastAsia="方正黑体_GBK"/>
                <w:sz w:val="32"/>
                <w:szCs w:val="32"/>
              </w:rPr>
              <w:t>冷库地址</w:t>
            </w:r>
          </w:p>
        </w:tc>
        <w:tc>
          <w:tcPr>
            <w:tcW w:w="1676" w:type="dxa"/>
            <w:vAlign w:val="center"/>
          </w:tcPr>
          <w:p w14:paraId="045580D1">
            <w:pPr>
              <w:spacing w:line="400" w:lineRule="exact"/>
              <w:jc w:val="center"/>
              <w:rPr>
                <w:rFonts w:ascii="方正黑体_GBK" w:eastAsia="方正黑体_GBK"/>
                <w:sz w:val="32"/>
                <w:szCs w:val="32"/>
              </w:rPr>
            </w:pPr>
            <w:r>
              <w:rPr>
                <w:rFonts w:hint="eastAsia" w:ascii="方正黑体_GBK" w:eastAsia="方正黑体_GBK"/>
                <w:sz w:val="32"/>
                <w:szCs w:val="32"/>
              </w:rPr>
              <w:t>储备品种</w:t>
            </w:r>
          </w:p>
        </w:tc>
        <w:tc>
          <w:tcPr>
            <w:tcW w:w="2636" w:type="dxa"/>
            <w:vAlign w:val="center"/>
          </w:tcPr>
          <w:p w14:paraId="5F3B785D">
            <w:pPr>
              <w:spacing w:line="400" w:lineRule="exact"/>
              <w:jc w:val="center"/>
              <w:rPr>
                <w:rFonts w:ascii="方正黑体_GBK" w:eastAsia="方正黑体_GBK"/>
                <w:sz w:val="32"/>
                <w:szCs w:val="32"/>
              </w:rPr>
            </w:pPr>
            <w:r>
              <w:rPr>
                <w:rFonts w:hint="eastAsia" w:ascii="方正黑体_GBK" w:eastAsia="方正黑体_GBK"/>
                <w:sz w:val="32"/>
                <w:szCs w:val="32"/>
              </w:rPr>
              <w:t>储备数量（吨）</w:t>
            </w:r>
          </w:p>
        </w:tc>
      </w:tr>
      <w:tr w14:paraId="35D55F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06" w:hRule="atLeast"/>
          <w:jc w:val="center"/>
        </w:trPr>
        <w:tc>
          <w:tcPr>
            <w:tcW w:w="1036" w:type="dxa"/>
            <w:vAlign w:val="center"/>
          </w:tcPr>
          <w:p w14:paraId="240A5CC6">
            <w:pPr>
              <w:spacing w:line="400" w:lineRule="exact"/>
              <w:jc w:val="center"/>
              <w:rPr>
                <w:sz w:val="28"/>
              </w:rPr>
            </w:pPr>
          </w:p>
        </w:tc>
        <w:tc>
          <w:tcPr>
            <w:tcW w:w="1676" w:type="dxa"/>
            <w:vAlign w:val="center"/>
          </w:tcPr>
          <w:p w14:paraId="3C95CB55">
            <w:pPr>
              <w:spacing w:line="400" w:lineRule="exact"/>
              <w:jc w:val="center"/>
              <w:rPr>
                <w:sz w:val="28"/>
              </w:rPr>
            </w:pPr>
          </w:p>
        </w:tc>
        <w:tc>
          <w:tcPr>
            <w:tcW w:w="1676" w:type="dxa"/>
            <w:vAlign w:val="center"/>
          </w:tcPr>
          <w:p w14:paraId="59A64695">
            <w:pPr>
              <w:spacing w:line="400" w:lineRule="exact"/>
              <w:jc w:val="center"/>
              <w:rPr>
                <w:sz w:val="28"/>
              </w:rPr>
            </w:pPr>
          </w:p>
        </w:tc>
        <w:tc>
          <w:tcPr>
            <w:tcW w:w="1676" w:type="dxa"/>
            <w:vAlign w:val="center"/>
          </w:tcPr>
          <w:p w14:paraId="5AEE9FA3">
            <w:pPr>
              <w:spacing w:line="400" w:lineRule="exact"/>
              <w:jc w:val="center"/>
              <w:rPr>
                <w:sz w:val="28"/>
              </w:rPr>
            </w:pPr>
          </w:p>
        </w:tc>
        <w:tc>
          <w:tcPr>
            <w:tcW w:w="2636" w:type="dxa"/>
            <w:vAlign w:val="center"/>
          </w:tcPr>
          <w:p w14:paraId="0F6F246F">
            <w:pPr>
              <w:spacing w:line="400" w:lineRule="exact"/>
              <w:jc w:val="center"/>
              <w:rPr>
                <w:sz w:val="28"/>
              </w:rPr>
            </w:pPr>
          </w:p>
        </w:tc>
      </w:tr>
      <w:tr w14:paraId="1CEF48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80" w:hRule="atLeast"/>
          <w:jc w:val="center"/>
        </w:trPr>
        <w:tc>
          <w:tcPr>
            <w:tcW w:w="6064" w:type="dxa"/>
            <w:gridSpan w:val="4"/>
            <w:vAlign w:val="center"/>
          </w:tcPr>
          <w:p w14:paraId="55B36161">
            <w:pPr>
              <w:spacing w:line="400" w:lineRule="exact"/>
              <w:jc w:val="center"/>
              <w:rPr>
                <w:rFonts w:ascii="方正黑体_GBK" w:eastAsia="方正黑体_GBK"/>
              </w:rPr>
            </w:pPr>
            <w:r>
              <w:rPr>
                <w:rFonts w:hint="eastAsia" w:ascii="方正黑体_GBK" w:eastAsia="方正黑体_GBK"/>
                <w:sz w:val="32"/>
                <w:szCs w:val="32"/>
              </w:rPr>
              <w:t>合计</w:t>
            </w:r>
          </w:p>
        </w:tc>
        <w:tc>
          <w:tcPr>
            <w:tcW w:w="2636" w:type="dxa"/>
            <w:vAlign w:val="center"/>
          </w:tcPr>
          <w:p w14:paraId="5DABA53F">
            <w:pPr>
              <w:spacing w:line="400" w:lineRule="exact"/>
              <w:jc w:val="center"/>
              <w:rPr>
                <w:rFonts w:ascii="Times New Roman" w:hAnsi="Times New Roman" w:cs="Times New Roman"/>
              </w:rPr>
            </w:pPr>
          </w:p>
        </w:tc>
      </w:tr>
    </w:tbl>
    <w:p w14:paraId="08AFAA86">
      <w:pPr>
        <w:widowControl/>
        <w:shd w:val="clear" w:color="auto" w:fill="FFFFFF"/>
        <w:spacing w:line="580" w:lineRule="exact"/>
        <w:ind w:firstLine="640" w:firstLineChars="200"/>
        <w:jc w:val="left"/>
        <w:rPr>
          <w:rFonts w:ascii="方正黑体_GBK" w:hAnsi="Times New Roman" w:eastAsia="方正黑体_GBK" w:cs="Times New Roman"/>
          <w:sz w:val="32"/>
          <w:szCs w:val="32"/>
          <w:shd w:val="clear" w:color="auto" w:fill="FFFFFF"/>
          <w:lang w:bidi="ar"/>
        </w:rPr>
      </w:pPr>
      <w:r>
        <w:rPr>
          <w:rFonts w:ascii="方正黑体_GBK" w:hAnsi="Times New Roman" w:eastAsia="方正黑体_GBK" w:cs="Times New Roman"/>
          <w:sz w:val="32"/>
          <w:szCs w:val="32"/>
          <w:shd w:val="clear" w:color="auto" w:fill="FFFFFF"/>
          <w:lang w:bidi="ar"/>
        </w:rPr>
        <w:t>二、储备时间</w:t>
      </w:r>
    </w:p>
    <w:p w14:paraId="562D9878">
      <w:pPr>
        <w:widowControl/>
        <w:shd w:val="clear" w:color="auto" w:fill="FFFFFF"/>
        <w:spacing w:line="580" w:lineRule="exact"/>
        <w:ind w:firstLine="640" w:firstLineChars="200"/>
        <w:jc w:val="left"/>
        <w:rPr>
          <w:rFonts w:ascii="Times New Roman" w:hAnsi="Times New Roman" w:eastAsia="方正仿宋_GBK" w:cs="Times New Roman"/>
          <w:sz w:val="32"/>
          <w:szCs w:val="32"/>
          <w:u w:val="single"/>
          <w:shd w:val="clear" w:color="auto" w:fill="FFFFFF"/>
        </w:rPr>
      </w:pPr>
      <w:r>
        <w:rPr>
          <w:rFonts w:ascii="Times New Roman" w:hAnsi="Times New Roman" w:eastAsia="方正仿宋_GBK" w:cs="Times New Roman"/>
          <w:sz w:val="32"/>
          <w:szCs w:val="32"/>
          <w:highlight w:val="none"/>
          <w:u w:val="single"/>
          <w:shd w:val="clear" w:color="auto" w:fill="FFFFFF"/>
          <w:lang w:bidi="ar"/>
        </w:rPr>
        <w:t>2026年5月</w:t>
      </w:r>
      <w:r>
        <w:rPr>
          <w:rFonts w:hint="eastAsia" w:ascii="Times New Roman" w:hAnsi="Times New Roman" w:eastAsia="方正仿宋_GBK" w:cs="Times New Roman"/>
          <w:sz w:val="32"/>
          <w:szCs w:val="32"/>
          <w:highlight w:val="none"/>
          <w:u w:val="single"/>
          <w:shd w:val="clear" w:color="auto" w:fill="FFFFFF"/>
          <w:lang w:bidi="ar"/>
        </w:rPr>
        <w:t xml:space="preserve">  日</w:t>
      </w:r>
      <w:r>
        <w:rPr>
          <w:rFonts w:ascii="Times New Roman" w:hAnsi="Times New Roman" w:eastAsia="方正仿宋_GBK" w:cs="Times New Roman"/>
          <w:sz w:val="32"/>
          <w:szCs w:val="32"/>
          <w:highlight w:val="none"/>
          <w:u w:val="single"/>
          <w:shd w:val="clear" w:color="auto" w:fill="FFFFFF"/>
          <w:lang w:bidi="ar"/>
        </w:rPr>
        <w:t>至2027年</w:t>
      </w:r>
      <w:r>
        <w:rPr>
          <w:rFonts w:hint="eastAsia" w:ascii="Times New Roman" w:hAnsi="Times New Roman" w:eastAsia="方正仿宋_GBK" w:cs="Times New Roman"/>
          <w:sz w:val="32"/>
          <w:szCs w:val="32"/>
          <w:highlight w:val="none"/>
          <w:u w:val="single"/>
          <w:shd w:val="clear" w:color="auto" w:fill="FFFFFF"/>
          <w:lang w:bidi="ar"/>
        </w:rPr>
        <w:t>5</w:t>
      </w:r>
      <w:r>
        <w:rPr>
          <w:rFonts w:ascii="Times New Roman" w:hAnsi="Times New Roman" w:eastAsia="方正仿宋_GBK" w:cs="Times New Roman"/>
          <w:sz w:val="32"/>
          <w:szCs w:val="32"/>
          <w:highlight w:val="none"/>
          <w:u w:val="single"/>
          <w:shd w:val="clear" w:color="auto" w:fill="FFFFFF"/>
          <w:lang w:bidi="ar"/>
        </w:rPr>
        <w:t>月</w:t>
      </w:r>
      <w:r>
        <w:rPr>
          <w:rFonts w:hint="eastAsia" w:ascii="Times New Roman" w:hAnsi="Times New Roman" w:eastAsia="方正仿宋_GBK" w:cs="Times New Roman"/>
          <w:sz w:val="32"/>
          <w:szCs w:val="32"/>
          <w:highlight w:val="none"/>
          <w:u w:val="single"/>
          <w:shd w:val="clear" w:color="auto" w:fill="FFFFFF"/>
          <w:lang w:bidi="ar"/>
        </w:rPr>
        <w:t xml:space="preserve">  日</w:t>
      </w:r>
    </w:p>
    <w:p w14:paraId="2E3F107F">
      <w:pPr>
        <w:widowControl/>
        <w:shd w:val="clear" w:color="auto" w:fill="FFFFFF"/>
        <w:spacing w:line="580" w:lineRule="exact"/>
        <w:ind w:firstLine="640" w:firstLineChars="200"/>
        <w:jc w:val="left"/>
        <w:rPr>
          <w:rFonts w:ascii="方正黑体_GBK" w:hAnsi="Times New Roman" w:eastAsia="方正黑体_GBK" w:cs="Times New Roman"/>
          <w:sz w:val="32"/>
          <w:szCs w:val="32"/>
          <w:shd w:val="clear" w:color="auto" w:fill="FFFFFF"/>
          <w:lang w:bidi="ar"/>
        </w:rPr>
      </w:pPr>
      <w:r>
        <w:rPr>
          <w:rFonts w:hint="eastAsia" w:ascii="方正黑体_GBK" w:hAnsi="Times New Roman" w:eastAsia="方正黑体_GBK" w:cs="Times New Roman"/>
          <w:sz w:val="32"/>
          <w:szCs w:val="32"/>
          <w:shd w:val="clear" w:color="auto" w:fill="FFFFFF"/>
          <w:lang w:bidi="ar"/>
        </w:rPr>
        <w:t>三、储备要求</w:t>
      </w:r>
    </w:p>
    <w:p w14:paraId="3796B5FF">
      <w:pPr>
        <w:spacing w:line="580" w:lineRule="exact"/>
        <w:ind w:firstLine="640" w:firstLineChars="200"/>
        <w:rPr>
          <w:rFonts w:ascii="Times New Roman" w:hAnsi="Times New Roman" w:eastAsia="方正仿宋_GBK" w:cs="Times New Roman"/>
          <w:sz w:val="32"/>
          <w:szCs w:val="32"/>
          <w:shd w:val="clear" w:color="auto" w:fill="FFFFFF"/>
          <w:lang w:bidi="ar"/>
        </w:rPr>
      </w:pPr>
      <w:r>
        <w:rPr>
          <w:rFonts w:hint="eastAsia" w:ascii="Times New Roman" w:hAnsi="Times New Roman" w:eastAsia="方正仿宋_GBK" w:cs="Times New Roman"/>
          <w:sz w:val="32"/>
          <w:szCs w:val="32"/>
          <w:shd w:val="clear" w:color="auto" w:fill="FFFFFF"/>
          <w:lang w:bidi="ar"/>
        </w:rPr>
        <w:t>1．自合同签订之日起即启动冻猪肉储备工作，存储冷库地点须在南京市内，储备冻猪肉须为乙方采购自有，于</w:t>
      </w:r>
      <w:r>
        <w:rPr>
          <w:rFonts w:hint="eastAsia" w:ascii="Times New Roman" w:hAnsi="Times New Roman" w:eastAsia="方正仿宋_GBK" w:cs="Times New Roman"/>
          <w:sz w:val="32"/>
          <w:szCs w:val="32"/>
          <w:highlight w:val="none"/>
          <w:u w:val="single"/>
          <w:shd w:val="clear" w:color="auto" w:fill="FFFFFF"/>
          <w:lang w:bidi="ar"/>
        </w:rPr>
        <w:t>2026年5月  日前</w:t>
      </w:r>
      <w:r>
        <w:rPr>
          <w:rFonts w:hint="eastAsia" w:ascii="Times New Roman" w:hAnsi="Times New Roman" w:eastAsia="方正仿宋_GBK" w:cs="Times New Roman"/>
          <w:sz w:val="32"/>
          <w:szCs w:val="32"/>
          <w:shd w:val="clear" w:color="auto" w:fill="FFFFFF"/>
          <w:lang w:bidi="ar"/>
        </w:rPr>
        <w:t>完成入储。入储完成后乙方须向甲方提供入储冻猪肉采购合同与凭证、质检报告、库存台账等相关资料。</w:t>
      </w:r>
    </w:p>
    <w:p w14:paraId="2BD0BC59">
      <w:pPr>
        <w:spacing w:line="580" w:lineRule="exact"/>
        <w:ind w:firstLine="640" w:firstLineChars="200"/>
        <w:rPr>
          <w:rFonts w:ascii="Times New Roman" w:hAnsi="Times New Roman" w:eastAsia="方正仿宋_GBK" w:cs="Times New Roman"/>
          <w:sz w:val="32"/>
          <w:szCs w:val="32"/>
          <w:shd w:val="clear" w:color="auto" w:fill="FFFFFF"/>
          <w:lang w:bidi="ar"/>
        </w:rPr>
      </w:pPr>
      <w:r>
        <w:rPr>
          <w:rFonts w:hint="eastAsia" w:ascii="Times New Roman" w:hAnsi="Times New Roman" w:eastAsia="方正仿宋_GBK" w:cs="Times New Roman"/>
          <w:sz w:val="32"/>
          <w:szCs w:val="32"/>
          <w:shd w:val="clear" w:color="auto" w:fill="FFFFFF"/>
          <w:lang w:bidi="ar"/>
        </w:rPr>
        <w:t>2．储备期内乙方必须保证冻猪肉承储数量真实，储备品种需为符合国家标准《鲜、冻猪肉及猪副产品第2部分：分割鲜、冻猪瘦肉》（GB/T 9959.2—2026）的国产Ⅱ号肉（前腿肌肉）和Ⅳ号肉（后腿肌肉）分割冻猪瘦肉。入储时国产冻猪肉产品剩余保质期须超过半年，且须符合国家有关卫生质量和食品安全标准，具有国家法律法规所要求的动物检疫合格证明。甲方将适时委托具备专业资质的第三方质检单位对在库冻猪肉进行抽检，质检单位出具质检报告并报送甲方。</w:t>
      </w:r>
    </w:p>
    <w:p w14:paraId="01D66B77">
      <w:pPr>
        <w:spacing w:line="580" w:lineRule="exact"/>
        <w:ind w:firstLine="640" w:firstLineChars="200"/>
        <w:rPr>
          <w:rFonts w:ascii="Times New Roman" w:hAnsi="Times New Roman" w:eastAsia="方正仿宋_GBK" w:cs="Times New Roman"/>
          <w:sz w:val="32"/>
          <w:szCs w:val="32"/>
          <w:shd w:val="clear" w:color="auto" w:fill="FFFFFF"/>
          <w:lang w:bidi="ar"/>
        </w:rPr>
      </w:pPr>
      <w:r>
        <w:rPr>
          <w:rFonts w:hint="eastAsia" w:ascii="Times New Roman" w:hAnsi="Times New Roman" w:eastAsia="方正仿宋_GBK" w:cs="Times New Roman"/>
          <w:sz w:val="32"/>
          <w:szCs w:val="32"/>
          <w:shd w:val="clear" w:color="auto" w:fill="FFFFFF"/>
          <w:lang w:bidi="ar"/>
        </w:rPr>
        <w:t>3．乙方承储的冻猪肉要实行专库（垛）储存、专人管理、专账记载和挂牌明示，确保账账相符、账实相符、质量良好、储存安全，并按要求向甲方及时报送冻猪肉储备任务落实情况。乙方须制定储备冻猪肉应急保供预案。乙方应建立商品智慧化管理系统，配置监控摄像设备与网络环境，与政府相关部门监管系统进行有效对接与数据报送。乙方须向甲方提供所有南京市内经营网点清单信息与半月销售数据。如乙方需委托第三方企业经营网点进行投放，则需提供相关合作协议。</w:t>
      </w:r>
    </w:p>
    <w:p w14:paraId="19E57280">
      <w:pPr>
        <w:spacing w:line="580" w:lineRule="exact"/>
        <w:ind w:firstLine="640" w:firstLineChars="200"/>
        <w:rPr>
          <w:rFonts w:ascii="Times New Roman" w:hAnsi="Times New Roman" w:eastAsia="方正仿宋_GBK" w:cs="Times New Roman"/>
          <w:sz w:val="32"/>
          <w:szCs w:val="32"/>
          <w:shd w:val="clear" w:color="auto" w:fill="FFFFFF"/>
          <w:lang w:bidi="ar"/>
        </w:rPr>
      </w:pPr>
      <w:r>
        <w:rPr>
          <w:rFonts w:hint="eastAsia" w:ascii="Times New Roman" w:hAnsi="Times New Roman" w:eastAsia="方正仿宋_GBK" w:cs="Times New Roman"/>
          <w:sz w:val="32"/>
          <w:szCs w:val="32"/>
          <w:shd w:val="clear" w:color="auto" w:fill="FFFFFF"/>
          <w:lang w:bidi="ar"/>
        </w:rPr>
        <w:t>4．根据《江苏省省级猪肉储备管理办法》及市级储备肉管理相关规定，承储企业在满足储备任务要求的前提下，可以根据储备肉保质期等情况自行轮换，每年至少轮换更新1次。轮换应提前7天向甲方递交书面轮换报批材料。每次轮出数量不得超过储备约定数量的30%，并于7天内补库到位。</w:t>
      </w:r>
    </w:p>
    <w:p w14:paraId="126649CF">
      <w:pPr>
        <w:spacing w:line="580" w:lineRule="exact"/>
        <w:ind w:firstLine="640" w:firstLineChars="200"/>
        <w:rPr>
          <w:rFonts w:ascii="Times New Roman" w:hAnsi="Times New Roman" w:eastAsia="方正仿宋_GBK" w:cs="Times New Roman"/>
          <w:sz w:val="32"/>
          <w:szCs w:val="32"/>
          <w:shd w:val="clear" w:color="auto" w:fill="FFFFFF"/>
          <w:lang w:bidi="ar"/>
        </w:rPr>
      </w:pPr>
      <w:r>
        <w:rPr>
          <w:rFonts w:hint="eastAsia" w:ascii="Times New Roman" w:hAnsi="Times New Roman" w:eastAsia="方正仿宋_GBK" w:cs="Times New Roman"/>
          <w:sz w:val="32"/>
          <w:szCs w:val="32"/>
          <w:shd w:val="clear" w:color="auto" w:fill="FFFFFF"/>
          <w:lang w:bidi="ar"/>
        </w:rPr>
        <w:t>5．储备冻猪肉动用权属于南京市人民政府，乙方不得擅自动用储备肉，不得虚报储备肉数量。不得以储备猪肉对外进行质押、担保或者清偿债务。在动用投放储备冻猪肉时，乙方要根据市政府的指令无条件服从，并于动用投放结束后7天内补足库存。</w:t>
      </w:r>
    </w:p>
    <w:p w14:paraId="792A423E">
      <w:pPr>
        <w:spacing w:line="580" w:lineRule="exact"/>
        <w:ind w:firstLine="640" w:firstLineChars="200"/>
        <w:rPr>
          <w:rFonts w:ascii="Times New Roman" w:hAnsi="Times New Roman" w:eastAsia="方正仿宋_GBK" w:cs="Times New Roman"/>
          <w:sz w:val="32"/>
          <w:szCs w:val="32"/>
          <w:shd w:val="clear" w:color="auto" w:fill="FFFFFF"/>
          <w:lang w:bidi="ar"/>
        </w:rPr>
      </w:pPr>
      <w:r>
        <w:rPr>
          <w:rFonts w:hint="eastAsia" w:ascii="Times New Roman" w:hAnsi="Times New Roman" w:eastAsia="方正仿宋_GBK" w:cs="Times New Roman"/>
          <w:sz w:val="32"/>
          <w:szCs w:val="32"/>
          <w:shd w:val="clear" w:color="auto" w:fill="FFFFFF"/>
          <w:lang w:bidi="ar"/>
        </w:rPr>
        <w:t>6．储备冻猪肉出库由乙方自行销售或者按南京市政府批准的其他方式进行。</w:t>
      </w:r>
    </w:p>
    <w:p w14:paraId="3A06CCE4">
      <w:pPr>
        <w:spacing w:line="58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shd w:val="clear" w:color="auto" w:fill="FFFFFF"/>
          <w:lang w:bidi="ar"/>
        </w:rPr>
        <w:t>7．储备期间，市有关部门将组织人员开展定期联合检查与飞行检查，乙方应积极配合，不得拒绝和阻挠。</w:t>
      </w:r>
    </w:p>
    <w:p w14:paraId="31EF06BE">
      <w:pPr>
        <w:widowControl/>
        <w:shd w:val="clear" w:color="auto" w:fill="FFFFFF"/>
        <w:spacing w:line="580" w:lineRule="exact"/>
        <w:ind w:firstLine="640" w:firstLineChars="200"/>
        <w:jc w:val="left"/>
        <w:rPr>
          <w:rFonts w:ascii="方正黑体_GBK" w:hAnsi="Times New Roman" w:eastAsia="方正黑体_GBK" w:cs="Times New Roman"/>
          <w:sz w:val="32"/>
          <w:szCs w:val="32"/>
          <w:shd w:val="clear" w:color="auto" w:fill="FFFFFF"/>
          <w:lang w:bidi="ar"/>
        </w:rPr>
      </w:pPr>
      <w:r>
        <w:rPr>
          <w:rFonts w:hint="eastAsia" w:ascii="方正黑体_GBK" w:hAnsi="Times New Roman" w:eastAsia="方正黑体_GBK" w:cs="Times New Roman"/>
          <w:sz w:val="32"/>
          <w:szCs w:val="32"/>
          <w:shd w:val="clear" w:color="auto" w:fill="FFFFFF"/>
          <w:lang w:bidi="ar"/>
        </w:rPr>
        <w:t>四、储备补贴</w:t>
      </w:r>
    </w:p>
    <w:p w14:paraId="69DD043B">
      <w:pPr>
        <w:spacing w:line="580" w:lineRule="exact"/>
        <w:ind w:firstLine="640" w:firstLineChars="200"/>
        <w:rPr>
          <w:rFonts w:ascii="Times New Roman" w:hAnsi="Times New Roman" w:eastAsia="方正仿宋_GBK" w:cs="Times New Roman"/>
          <w:sz w:val="32"/>
          <w:szCs w:val="32"/>
          <w:shd w:val="clear" w:color="auto" w:fill="FFFFFF"/>
          <w:lang w:bidi="ar"/>
        </w:rPr>
      </w:pPr>
      <w:r>
        <w:rPr>
          <w:rFonts w:hint="eastAsia" w:ascii="Times New Roman" w:hAnsi="Times New Roman" w:eastAsia="方正仿宋_GBK" w:cs="Times New Roman"/>
          <w:sz w:val="32"/>
          <w:szCs w:val="32"/>
          <w:shd w:val="clear" w:color="auto" w:fill="FFFFFF"/>
          <w:lang w:bidi="ar"/>
        </w:rPr>
        <w:t>1．储备冻猪肉所需采购资金由乙方自行解决。甲方对乙方储备所发生的冷藏、运输、人工、资金利息等费用，按照乙方中标价格给予储备补贴，总计为</w:t>
      </w:r>
      <w:r>
        <w:rPr>
          <w:rFonts w:hint="eastAsia" w:ascii="Times New Roman" w:hAnsi="Times New Roman" w:eastAsia="方正仿宋_GBK" w:cs="Times New Roman"/>
          <w:sz w:val="32"/>
          <w:szCs w:val="32"/>
          <w:highlight w:val="none"/>
          <w:u w:val="single"/>
          <w:shd w:val="clear" w:color="auto" w:fill="FFFFFF"/>
          <w:lang w:bidi="ar"/>
        </w:rPr>
        <w:t xml:space="preserve">   </w:t>
      </w:r>
      <w:r>
        <w:rPr>
          <w:rFonts w:hint="eastAsia" w:ascii="Times New Roman" w:hAnsi="Times New Roman" w:eastAsia="方正仿宋_GBK" w:cs="Times New Roman"/>
          <w:sz w:val="32"/>
          <w:szCs w:val="32"/>
          <w:highlight w:val="none"/>
          <w:shd w:val="clear" w:color="auto" w:fill="FFFFFF"/>
          <w:lang w:bidi="ar"/>
        </w:rPr>
        <w:t>万元</w:t>
      </w:r>
      <w:r>
        <w:rPr>
          <w:rFonts w:hint="eastAsia" w:ascii="Times New Roman" w:hAnsi="Times New Roman" w:eastAsia="方正仿宋_GBK" w:cs="Times New Roman"/>
          <w:sz w:val="32"/>
          <w:szCs w:val="32"/>
          <w:shd w:val="clear" w:color="auto" w:fill="FFFFFF"/>
          <w:lang w:bidi="ar"/>
        </w:rPr>
        <w:t>。储备期不足的，按实际储备时间相应计算补贴。</w:t>
      </w:r>
    </w:p>
    <w:p w14:paraId="5EF8306F">
      <w:pPr>
        <w:spacing w:line="580" w:lineRule="exact"/>
        <w:ind w:firstLine="640" w:firstLineChars="200"/>
        <w:rPr>
          <w:rFonts w:ascii="Times New Roman" w:hAnsi="Times New Roman" w:eastAsia="方正仿宋_GBK" w:cs="Times New Roman"/>
          <w:sz w:val="32"/>
          <w:szCs w:val="32"/>
          <w:shd w:val="clear" w:color="auto" w:fill="FFFFFF"/>
          <w:lang w:bidi="ar"/>
        </w:rPr>
      </w:pPr>
      <w:r>
        <w:rPr>
          <w:rFonts w:hint="eastAsia" w:ascii="Times New Roman" w:hAnsi="Times New Roman" w:eastAsia="方正仿宋_GBK" w:cs="Times New Roman"/>
          <w:sz w:val="32"/>
          <w:szCs w:val="32"/>
          <w:shd w:val="clear" w:color="auto" w:fill="FFFFFF"/>
          <w:lang w:bidi="ar"/>
        </w:rPr>
        <w:t>储备期间，对储备猪肉轮换、出库以及动用投放所形成的费用和价差损失由乙方自行承担。</w:t>
      </w:r>
    </w:p>
    <w:p w14:paraId="72670CD4">
      <w:pPr>
        <w:spacing w:line="580" w:lineRule="exact"/>
        <w:ind w:firstLine="640" w:firstLineChars="200"/>
        <w:rPr>
          <w:rFonts w:ascii="Times New Roman" w:hAnsi="Times New Roman" w:eastAsia="方正仿宋_GBK" w:cs="Times New Roman"/>
          <w:sz w:val="32"/>
          <w:szCs w:val="32"/>
          <w:shd w:val="clear" w:color="auto" w:fill="FFFFFF"/>
          <w:lang w:bidi="ar"/>
        </w:rPr>
      </w:pPr>
      <w:r>
        <w:rPr>
          <w:rFonts w:hint="eastAsia" w:ascii="Times New Roman" w:hAnsi="Times New Roman" w:eastAsia="方正仿宋_GBK" w:cs="Times New Roman"/>
          <w:sz w:val="32"/>
          <w:szCs w:val="32"/>
          <w:shd w:val="clear" w:color="auto" w:fill="FFFFFF"/>
          <w:lang w:bidi="ar"/>
        </w:rPr>
        <w:t>2．储备猪肉如数入库并通过入储验收后，由承储企业向市商务局提出资金拨付申请，同时提供相关文件资料、财务票据和业务单据，由市财政局支付储备费用首期款；储备期满后，承储企业向市商务局提出资金拨付申请，提供储备猪肉的采购合同、进销存台账、日常储备监测记录等相关材料和票据，并经相关部门与第三方审计进行资料审核和现场检查验收后，由市财政局支付剩余储备补贴费用。</w:t>
      </w:r>
    </w:p>
    <w:p w14:paraId="182FB1A2">
      <w:pPr>
        <w:spacing w:line="58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shd w:val="clear" w:color="auto" w:fill="FFFFFF"/>
          <w:lang w:bidi="ar"/>
        </w:rPr>
        <w:t>3．乙方要按照资金管理相关规定，建立健全储备肉财务会计核算制度及有关管理规章制度，专款专用。甲方将对储备补贴资金使用绩效开展评价。</w:t>
      </w:r>
    </w:p>
    <w:p w14:paraId="78BE59AE">
      <w:pPr>
        <w:widowControl/>
        <w:shd w:val="clear" w:color="auto" w:fill="FFFFFF"/>
        <w:spacing w:line="580" w:lineRule="exact"/>
        <w:ind w:firstLine="640" w:firstLineChars="200"/>
        <w:jc w:val="left"/>
        <w:rPr>
          <w:rFonts w:ascii="方正黑体_GBK" w:hAnsi="Times New Roman" w:eastAsia="方正黑体_GBK" w:cs="Times New Roman"/>
          <w:sz w:val="32"/>
          <w:szCs w:val="32"/>
          <w:shd w:val="clear" w:color="auto" w:fill="FFFFFF"/>
          <w:lang w:bidi="ar"/>
        </w:rPr>
      </w:pPr>
      <w:r>
        <w:rPr>
          <w:rFonts w:hint="eastAsia" w:ascii="方正黑体_GBK" w:hAnsi="Times New Roman" w:eastAsia="方正黑体_GBK" w:cs="Times New Roman"/>
          <w:sz w:val="32"/>
          <w:szCs w:val="32"/>
          <w:shd w:val="clear" w:color="auto" w:fill="FFFFFF"/>
          <w:lang w:bidi="ar"/>
        </w:rPr>
        <w:t>五、违约责任</w:t>
      </w:r>
    </w:p>
    <w:p w14:paraId="5BB72418">
      <w:pPr>
        <w:spacing w:line="580" w:lineRule="exact"/>
        <w:ind w:firstLine="640" w:firstLineChars="200"/>
        <w:rPr>
          <w:rFonts w:ascii="Times New Roman" w:hAnsi="Times New Roman" w:eastAsia="方正仿宋_GBK" w:cs="Times New Roman"/>
          <w:sz w:val="32"/>
          <w:szCs w:val="32"/>
          <w:highlight w:val="none"/>
          <w:shd w:val="clear" w:color="auto" w:fill="FFFFFF"/>
          <w:lang w:bidi="ar"/>
        </w:rPr>
      </w:pPr>
      <w:r>
        <w:rPr>
          <w:rFonts w:hint="eastAsia" w:ascii="Times New Roman" w:hAnsi="Times New Roman" w:eastAsia="方正仿宋_GBK" w:cs="Times New Roman"/>
          <w:sz w:val="32"/>
          <w:szCs w:val="32"/>
          <w:shd w:val="clear" w:color="auto" w:fill="FFFFFF"/>
          <w:lang w:bidi="ar"/>
        </w:rPr>
        <w:t>1．甲乙双方均承诺严格按照南京市政府冻猪肉储备招标项目的内容和所签协议执行</w:t>
      </w:r>
      <w:r>
        <w:rPr>
          <w:rFonts w:hint="eastAsia" w:ascii="Times New Roman" w:hAnsi="Times New Roman" w:eastAsia="方正仿宋_GBK" w:cs="Times New Roman"/>
          <w:sz w:val="32"/>
          <w:szCs w:val="32"/>
          <w:highlight w:val="none"/>
          <w:shd w:val="clear" w:color="auto" w:fill="FFFFFF"/>
          <w:lang w:bidi="ar"/>
        </w:rPr>
        <w:t>。乙方不得擅自部分或全部转让其应履行的合同义务。乙方实行法人责任制，如有违反协议的行为，追究法律责任。</w:t>
      </w:r>
    </w:p>
    <w:p w14:paraId="1BF09CF7">
      <w:pPr>
        <w:spacing w:line="580" w:lineRule="exact"/>
        <w:ind w:firstLine="640" w:firstLineChars="200"/>
        <w:rPr>
          <w:rFonts w:ascii="Times New Roman" w:hAnsi="Times New Roman" w:eastAsia="方正仿宋_GBK" w:cs="Times New Roman"/>
          <w:sz w:val="32"/>
          <w:szCs w:val="32"/>
          <w:shd w:val="clear" w:color="auto" w:fill="FFFFFF"/>
          <w:lang w:bidi="ar"/>
        </w:rPr>
      </w:pPr>
      <w:r>
        <w:rPr>
          <w:rFonts w:hint="eastAsia" w:ascii="Times New Roman" w:hAnsi="Times New Roman" w:eastAsia="方正仿宋_GBK" w:cs="Times New Roman"/>
          <w:sz w:val="32"/>
          <w:szCs w:val="32"/>
          <w:shd w:val="clear" w:color="auto" w:fill="FFFFFF"/>
          <w:lang w:bidi="ar"/>
        </w:rPr>
        <w:t>2．储备期内，因市场发生异常变化需要调减或调增储备猪肉数量时，由甲方提前3天书面通知，乙方应认真配合和执行。</w:t>
      </w:r>
    </w:p>
    <w:p w14:paraId="78C266F3">
      <w:pPr>
        <w:spacing w:line="580" w:lineRule="exact"/>
        <w:ind w:firstLine="640" w:firstLineChars="200"/>
        <w:rPr>
          <w:rFonts w:ascii="Times New Roman" w:hAnsi="Times New Roman" w:eastAsia="方正仿宋_GBK" w:cs="Times New Roman"/>
          <w:sz w:val="32"/>
          <w:szCs w:val="32"/>
          <w:shd w:val="clear" w:color="auto" w:fill="FFFFFF"/>
          <w:lang w:bidi="ar"/>
        </w:rPr>
      </w:pPr>
      <w:r>
        <w:rPr>
          <w:rFonts w:hint="eastAsia" w:ascii="Times New Roman" w:hAnsi="Times New Roman" w:eastAsia="方正仿宋_GBK" w:cs="Times New Roman"/>
          <w:sz w:val="32"/>
          <w:szCs w:val="32"/>
          <w:shd w:val="clear" w:color="auto" w:fill="FFFFFF"/>
          <w:lang w:bidi="ar"/>
        </w:rPr>
        <w:t>3．为全面掌握储备工作落实情况，在储备期内，乙方应于每月15日、每月最后一天前向甲方报送储备品种、数量等动态情况，应急状态时启动日报制度。</w:t>
      </w:r>
    </w:p>
    <w:p w14:paraId="54F47375">
      <w:pPr>
        <w:spacing w:line="580" w:lineRule="exact"/>
        <w:ind w:firstLine="640" w:firstLineChars="200"/>
        <w:rPr>
          <w:rFonts w:ascii="Times New Roman" w:hAnsi="Times New Roman" w:eastAsia="方正仿宋_GBK" w:cs="Times New Roman"/>
          <w:sz w:val="32"/>
          <w:szCs w:val="32"/>
          <w:shd w:val="clear" w:color="auto" w:fill="FFFFFF"/>
          <w:lang w:bidi="ar"/>
        </w:rPr>
      </w:pPr>
      <w:r>
        <w:rPr>
          <w:rFonts w:hint="eastAsia" w:ascii="Times New Roman" w:hAnsi="Times New Roman" w:eastAsia="方正仿宋_GBK" w:cs="Times New Roman"/>
          <w:sz w:val="32"/>
          <w:szCs w:val="32"/>
          <w:shd w:val="clear" w:color="auto" w:fill="FFFFFF"/>
          <w:lang w:bidi="ar"/>
        </w:rPr>
        <w:t>4．发生下列情形之一，甲方有权终止协议，扣除部分或全额收回已拨付补贴资金，视情况取消该企业本年度承储资格与今后参与冻猪肉政府性储备项目竞标资格：</w:t>
      </w:r>
    </w:p>
    <w:p w14:paraId="40FE4105">
      <w:pPr>
        <w:spacing w:line="580" w:lineRule="exact"/>
        <w:ind w:firstLine="640" w:firstLineChars="200"/>
        <w:rPr>
          <w:rFonts w:ascii="Times New Roman" w:hAnsi="Times New Roman" w:eastAsia="方正仿宋_GBK" w:cs="Times New Roman"/>
          <w:sz w:val="32"/>
          <w:szCs w:val="32"/>
          <w:shd w:val="clear" w:color="auto" w:fill="FFFFFF"/>
          <w:lang w:bidi="ar"/>
        </w:rPr>
      </w:pPr>
      <w:r>
        <w:rPr>
          <w:rFonts w:hint="eastAsia" w:ascii="Times New Roman" w:hAnsi="Times New Roman" w:eastAsia="方正仿宋_GBK" w:cs="Times New Roman"/>
          <w:sz w:val="32"/>
          <w:szCs w:val="32"/>
          <w:shd w:val="clear" w:color="auto" w:fill="FFFFFF"/>
          <w:lang w:bidi="ar"/>
        </w:rPr>
        <w:t>（1）未按期限要求完成约定数量冻猪肉入储，取消本轮冻猪肉储备承储资格，终止储备协议。</w:t>
      </w:r>
    </w:p>
    <w:p w14:paraId="75113DC5">
      <w:pPr>
        <w:spacing w:line="580" w:lineRule="exact"/>
        <w:ind w:firstLine="640" w:firstLineChars="200"/>
        <w:rPr>
          <w:rFonts w:ascii="Times New Roman" w:hAnsi="Times New Roman" w:eastAsia="方正仿宋_GBK" w:cs="Times New Roman"/>
          <w:sz w:val="32"/>
          <w:szCs w:val="32"/>
          <w:shd w:val="clear" w:color="auto" w:fill="FFFFFF"/>
          <w:lang w:bidi="ar"/>
        </w:rPr>
      </w:pPr>
      <w:r>
        <w:rPr>
          <w:rFonts w:hint="eastAsia" w:ascii="Times New Roman" w:hAnsi="Times New Roman" w:eastAsia="方正仿宋_GBK" w:cs="Times New Roman"/>
          <w:sz w:val="32"/>
          <w:szCs w:val="32"/>
          <w:shd w:val="clear" w:color="auto" w:fill="FFFFFF"/>
          <w:lang w:bidi="ar"/>
        </w:rPr>
        <w:t>（2）储备期间经检查发现存在非自有肉品存储、不在约定地点存储，产品数量不足、质量不良，储备管理不严、账实不符等问题，经提醒警告整改不到位或拒不整改的，收回已拨付补贴资金，取消该企业本年度承储资格与今后参与冻猪肉政府性储备项目竞标资格，并根据《中华人民共和国政府采购法》以及财政资金有关规定严肃处理。</w:t>
      </w:r>
    </w:p>
    <w:p w14:paraId="317BB06B">
      <w:pPr>
        <w:spacing w:line="580" w:lineRule="exact"/>
        <w:ind w:firstLine="640" w:firstLineChars="200"/>
        <w:rPr>
          <w:rFonts w:ascii="Times New Roman" w:hAnsi="Times New Roman" w:eastAsia="方正仿宋_GBK" w:cs="Times New Roman"/>
          <w:sz w:val="32"/>
          <w:szCs w:val="32"/>
          <w:shd w:val="clear" w:color="auto" w:fill="FFFFFF"/>
          <w:lang w:bidi="ar"/>
        </w:rPr>
      </w:pPr>
      <w:r>
        <w:rPr>
          <w:rFonts w:hint="eastAsia" w:ascii="Times New Roman" w:hAnsi="Times New Roman" w:eastAsia="方正仿宋_GBK" w:cs="Times New Roman"/>
          <w:sz w:val="32"/>
          <w:szCs w:val="32"/>
          <w:shd w:val="clear" w:color="auto" w:fill="FFFFFF"/>
          <w:lang w:bidi="ar"/>
        </w:rPr>
        <w:t>（3）储备冻猪肉进行轮换时，超出轮换约定数额或未在7天内补足，则按照【超出/未补足数量（吨）*（补贴标准/365）*天数】扣除补贴资金。</w:t>
      </w:r>
    </w:p>
    <w:p w14:paraId="712BCA77">
      <w:pPr>
        <w:spacing w:line="580" w:lineRule="exact"/>
        <w:ind w:firstLine="640" w:firstLineChars="200"/>
        <w:rPr>
          <w:rFonts w:ascii="Times New Roman" w:hAnsi="Times New Roman" w:eastAsia="方正仿宋_GBK" w:cs="Times New Roman"/>
          <w:sz w:val="32"/>
          <w:szCs w:val="32"/>
          <w:shd w:val="clear" w:color="auto" w:fill="FFFFFF"/>
          <w:lang w:bidi="ar"/>
        </w:rPr>
      </w:pPr>
      <w:r>
        <w:rPr>
          <w:rFonts w:hint="eastAsia" w:ascii="Times New Roman" w:hAnsi="Times New Roman" w:eastAsia="方正仿宋_GBK" w:cs="Times New Roman"/>
          <w:sz w:val="32"/>
          <w:szCs w:val="32"/>
          <w:shd w:val="clear" w:color="auto" w:fill="FFFFFF"/>
          <w:lang w:bidi="ar"/>
        </w:rPr>
        <w:t>（4）如因乙方企业自身原因，导致未能按期按质按量完成冻猪肉政府性储备任务，甲方有权解除政府采购合同并要求乙方赔偿由此造成的损失，甲方采取补救措施所发生的相关费用亦由乙方承担，乙方自行承担由于违约引起的其他法律及经济责任。</w:t>
      </w:r>
    </w:p>
    <w:p w14:paraId="38033004">
      <w:pPr>
        <w:spacing w:line="580" w:lineRule="exact"/>
        <w:ind w:firstLine="640" w:firstLineChars="200"/>
        <w:rPr>
          <w:rFonts w:ascii="Times New Roman" w:hAnsi="Times New Roman" w:eastAsia="方正仿宋_GBK" w:cs="Times New Roman"/>
          <w:sz w:val="32"/>
          <w:szCs w:val="32"/>
          <w:shd w:val="clear" w:color="auto" w:fill="FFFFFF"/>
          <w:lang w:bidi="ar"/>
        </w:rPr>
      </w:pPr>
      <w:r>
        <w:rPr>
          <w:rFonts w:hint="eastAsia" w:ascii="Times New Roman" w:hAnsi="Times New Roman" w:eastAsia="方正仿宋_GBK" w:cs="Times New Roman"/>
          <w:sz w:val="32"/>
          <w:szCs w:val="32"/>
          <w:shd w:val="clear" w:color="auto" w:fill="FFFFFF"/>
          <w:lang w:bidi="ar"/>
        </w:rPr>
        <w:t>5．在动用和投放时，乙方必须按照市政府批准下达的储备冻猪肉动用投放方案和价格要求，在经营网点直接面向消费者组织投放，确保按时、如数、保质完成，不得将储备冻猪肉销售给其他肉类经营单位或个人。投放后若未在7天内补足库存，则按照【未补足数量（吨）*（补贴标准/365）*天数】扣除补贴资金。如不能落实完成任务，则不予支付冻猪肉储备补贴款项，并依法追究企业经济责任。</w:t>
      </w:r>
    </w:p>
    <w:p w14:paraId="5309C965">
      <w:pPr>
        <w:spacing w:line="580" w:lineRule="exact"/>
        <w:ind w:firstLine="640" w:firstLineChars="200"/>
        <w:rPr>
          <w:rFonts w:ascii="Times New Roman" w:hAnsi="Times New Roman" w:eastAsia="方正仿宋_GBK" w:cs="Times New Roman"/>
          <w:sz w:val="32"/>
          <w:szCs w:val="32"/>
          <w:shd w:val="clear" w:color="auto" w:fill="FFFFFF"/>
          <w:lang w:bidi="ar"/>
        </w:rPr>
      </w:pPr>
      <w:r>
        <w:rPr>
          <w:rFonts w:hint="eastAsia" w:ascii="Times New Roman" w:hAnsi="Times New Roman" w:eastAsia="方正仿宋_GBK" w:cs="Times New Roman"/>
          <w:sz w:val="32"/>
          <w:szCs w:val="32"/>
          <w:shd w:val="clear" w:color="auto" w:fill="FFFFFF"/>
          <w:lang w:bidi="ar"/>
        </w:rPr>
        <w:t>六、其他</w:t>
      </w:r>
    </w:p>
    <w:p w14:paraId="6D55DBCC">
      <w:pPr>
        <w:spacing w:line="580" w:lineRule="exact"/>
        <w:ind w:firstLine="640" w:firstLineChars="200"/>
        <w:rPr>
          <w:rFonts w:ascii="Times New Roman" w:hAnsi="Times New Roman" w:eastAsia="方正仿宋_GBK" w:cs="Times New Roman"/>
          <w:sz w:val="32"/>
          <w:szCs w:val="32"/>
          <w:shd w:val="clear" w:color="auto" w:fill="FFFFFF"/>
          <w:lang w:bidi="ar"/>
        </w:rPr>
      </w:pPr>
      <w:r>
        <w:rPr>
          <w:rFonts w:hint="eastAsia" w:ascii="Times New Roman" w:hAnsi="Times New Roman" w:eastAsia="方正仿宋_GBK" w:cs="Times New Roman"/>
          <w:sz w:val="32"/>
          <w:szCs w:val="32"/>
          <w:shd w:val="clear" w:color="auto" w:fill="FFFFFF"/>
          <w:lang w:bidi="ar"/>
        </w:rPr>
        <w:t>1．甲乙双方在履行本协议过程中发生争议的，应当友好协商；协商不成的，可以向甲方所在地人民法院提起诉讼。</w:t>
      </w:r>
    </w:p>
    <w:p w14:paraId="1F6376AD">
      <w:pPr>
        <w:spacing w:line="58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shd w:val="clear" w:color="auto" w:fill="FFFFFF"/>
          <w:lang w:bidi="ar"/>
        </w:rPr>
        <w:t>2．本协议一式肆份（甲、乙双方各执贰份）。</w:t>
      </w:r>
    </w:p>
    <w:p w14:paraId="7EC6DA60">
      <w:pPr>
        <w:spacing w:line="580" w:lineRule="exact"/>
        <w:rPr>
          <w:rFonts w:ascii="Times New Roman" w:hAnsi="Times New Roman" w:eastAsia="方正仿宋_GBK" w:cs="Times New Roman"/>
          <w:sz w:val="32"/>
          <w:szCs w:val="32"/>
        </w:rPr>
      </w:pPr>
    </w:p>
    <w:p w14:paraId="05EA1972">
      <w:pPr>
        <w:spacing w:line="580" w:lineRule="exact"/>
        <w:rPr>
          <w:rFonts w:ascii="Times New Roman" w:hAnsi="Times New Roman" w:eastAsia="方正仿宋_GBK" w:cs="Times New Roman"/>
          <w:sz w:val="32"/>
          <w:szCs w:val="32"/>
        </w:rPr>
      </w:pPr>
    </w:p>
    <w:p w14:paraId="7F91B567">
      <w:pPr>
        <w:spacing w:line="58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（此页无正文）</w:t>
      </w:r>
    </w:p>
    <w:p w14:paraId="752333A6">
      <w:pPr>
        <w:spacing w:line="580" w:lineRule="exact"/>
        <w:rPr>
          <w:rFonts w:ascii="Times New Roman" w:hAnsi="Times New Roman" w:eastAsia="方正仿宋_GBK" w:cs="Times New Roman"/>
          <w:sz w:val="32"/>
          <w:szCs w:val="32"/>
        </w:rPr>
      </w:pPr>
    </w:p>
    <w:p w14:paraId="71780A2C">
      <w:pPr>
        <w:spacing w:line="580" w:lineRule="exact"/>
        <w:rPr>
          <w:rFonts w:ascii="Times New Roman" w:hAnsi="Times New Roman" w:eastAsia="方正仿宋_GBK" w:cs="Times New Roman"/>
          <w:sz w:val="32"/>
          <w:szCs w:val="32"/>
        </w:rPr>
      </w:pPr>
    </w:p>
    <w:p w14:paraId="039E150F">
      <w:pPr>
        <w:spacing w:line="580" w:lineRule="exact"/>
        <w:rPr>
          <w:rFonts w:ascii="Times New Roman" w:hAnsi="Times New Roman" w:eastAsia="方正仿宋_GBK" w:cs="Times New Roman"/>
          <w:sz w:val="32"/>
          <w:szCs w:val="32"/>
        </w:rPr>
      </w:pPr>
    </w:p>
    <w:p w14:paraId="10E2A4E4">
      <w:pPr>
        <w:spacing w:line="580" w:lineRule="exact"/>
        <w:rPr>
          <w:rFonts w:ascii="Times New Roman" w:hAnsi="Times New Roman" w:eastAsia="方正仿宋_GBK" w:cs="Times New Roman"/>
          <w:sz w:val="32"/>
          <w:szCs w:val="32"/>
        </w:rPr>
      </w:pPr>
      <w:r>
        <w:rPr>
          <w:rFonts w:ascii="Times New Roman" w:hAnsi="Times New Roman" w:eastAsia="方正仿宋_GBK" w:cs="Times New Roman"/>
          <w:sz w:val="32"/>
          <w:szCs w:val="32"/>
          <w:lang w:bidi="ar"/>
        </w:rPr>
        <w:t>甲方：（公章）                乙方：（公章）</w:t>
      </w:r>
    </w:p>
    <w:p w14:paraId="61DC669D">
      <w:pPr>
        <w:spacing w:line="580" w:lineRule="exact"/>
        <w:rPr>
          <w:rFonts w:ascii="Times New Roman" w:hAnsi="Times New Roman" w:eastAsia="方正仿宋_GBK" w:cs="Times New Roman"/>
          <w:sz w:val="32"/>
          <w:szCs w:val="32"/>
        </w:rPr>
      </w:pPr>
      <w:r>
        <w:rPr>
          <w:rFonts w:ascii="Times New Roman" w:hAnsi="Times New Roman" w:eastAsia="方正仿宋_GBK" w:cs="Times New Roman"/>
          <w:sz w:val="32"/>
          <w:szCs w:val="32"/>
          <w:lang w:bidi="ar"/>
        </w:rPr>
        <w:t>签字人：                      签字人：</w:t>
      </w:r>
    </w:p>
    <w:p w14:paraId="08A26BE7">
      <w:pPr>
        <w:spacing w:line="580" w:lineRule="exact"/>
        <w:rPr>
          <w:rFonts w:ascii="Times New Roman" w:hAnsi="Times New Roman" w:eastAsia="方正仿宋_GBK" w:cs="Times New Roman"/>
          <w:sz w:val="32"/>
          <w:szCs w:val="32"/>
          <w:lang w:bidi="ar"/>
        </w:rPr>
      </w:pPr>
      <w:r>
        <w:rPr>
          <w:rFonts w:hint="eastAsia" w:ascii="Times New Roman" w:hAnsi="Times New Roman" w:eastAsia="方正仿宋_GBK" w:cs="Times New Roman"/>
          <w:sz w:val="32"/>
          <w:szCs w:val="32"/>
          <w:lang w:bidi="ar"/>
        </w:rPr>
        <w:t>2026</w:t>
      </w:r>
      <w:r>
        <w:rPr>
          <w:rFonts w:ascii="Times New Roman" w:hAnsi="Times New Roman" w:eastAsia="方正仿宋_GBK" w:cs="Times New Roman"/>
          <w:sz w:val="32"/>
          <w:szCs w:val="32"/>
          <w:lang w:bidi="ar"/>
        </w:rPr>
        <w:t>年</w:t>
      </w:r>
      <w:r>
        <w:rPr>
          <w:rFonts w:hint="eastAsia" w:ascii="Times New Roman" w:hAnsi="Times New Roman" w:eastAsia="方正仿宋_GBK" w:cs="Times New Roman"/>
          <w:sz w:val="32"/>
          <w:szCs w:val="32"/>
          <w:lang w:bidi="ar"/>
        </w:rPr>
        <w:t>5</w:t>
      </w:r>
      <w:r>
        <w:rPr>
          <w:rFonts w:ascii="Times New Roman" w:hAnsi="Times New Roman" w:eastAsia="方正仿宋_GBK" w:cs="Times New Roman"/>
          <w:sz w:val="32"/>
          <w:szCs w:val="32"/>
          <w:lang w:bidi="ar"/>
        </w:rPr>
        <w:t xml:space="preserve">月  日                </w:t>
      </w:r>
      <w:r>
        <w:rPr>
          <w:rFonts w:hint="eastAsia" w:ascii="Times New Roman" w:hAnsi="Times New Roman" w:eastAsia="方正仿宋_GBK" w:cs="Times New Roman"/>
          <w:sz w:val="32"/>
          <w:szCs w:val="32"/>
          <w:lang w:bidi="ar"/>
        </w:rPr>
        <w:t>2026</w:t>
      </w:r>
      <w:r>
        <w:rPr>
          <w:rFonts w:ascii="Times New Roman" w:hAnsi="Times New Roman" w:eastAsia="方正仿宋_GBK" w:cs="Times New Roman"/>
          <w:sz w:val="32"/>
          <w:szCs w:val="32"/>
          <w:lang w:bidi="ar"/>
        </w:rPr>
        <w:t>年</w:t>
      </w:r>
      <w:r>
        <w:rPr>
          <w:rFonts w:hint="eastAsia" w:ascii="Times New Roman" w:hAnsi="Times New Roman" w:eastAsia="方正仿宋_GBK" w:cs="Times New Roman"/>
          <w:sz w:val="32"/>
          <w:szCs w:val="32"/>
          <w:lang w:bidi="ar"/>
        </w:rPr>
        <w:t>5</w:t>
      </w:r>
      <w:r>
        <w:rPr>
          <w:rFonts w:ascii="Times New Roman" w:hAnsi="Times New Roman" w:eastAsia="方正仿宋_GBK" w:cs="Times New Roman"/>
          <w:sz w:val="32"/>
          <w:szCs w:val="32"/>
          <w:lang w:bidi="ar"/>
        </w:rPr>
        <w:t>月  日</w:t>
      </w:r>
    </w:p>
    <w:bookmarkEnd w:id="201"/>
    <w:p w14:paraId="5C697C74">
      <w:pPr>
        <w:widowControl/>
        <w:jc w:val="left"/>
        <w:rPr>
          <w:rFonts w:hint="eastAsia" w:ascii="方正黑体_GBK" w:hAnsi="宋体" w:eastAsia="方正黑体_GBK" w:cs="宋体"/>
          <w:color w:val="auto"/>
          <w:sz w:val="32"/>
          <w:szCs w:val="32"/>
        </w:rPr>
      </w:pPr>
      <w:r>
        <w:rPr>
          <w:rFonts w:hint="eastAsia" w:ascii="方正黑体_GBK" w:hAnsi="宋体" w:eastAsia="方正黑体_GBK" w:cs="宋体"/>
          <w:color w:val="auto"/>
          <w:sz w:val="32"/>
          <w:szCs w:val="32"/>
        </w:rPr>
        <w:br w:type="page"/>
      </w:r>
    </w:p>
    <w:p w14:paraId="5084D624">
      <w:pPr>
        <w:spacing w:line="580" w:lineRule="exact"/>
        <w:jc w:val="center"/>
        <w:outlineLvl w:val="0"/>
        <w:rPr>
          <w:rFonts w:hint="eastAsia" w:ascii="方正黑体_GBK" w:hAnsi="宋体" w:eastAsia="方正黑体_GBK" w:cs="宋体"/>
          <w:color w:val="auto"/>
          <w:sz w:val="32"/>
          <w:szCs w:val="32"/>
        </w:rPr>
      </w:pPr>
      <w:r>
        <w:rPr>
          <w:rFonts w:hint="eastAsia" w:ascii="方正黑体_GBK" w:hAnsi="宋体" w:eastAsia="方正黑体_GBK" w:cs="宋体"/>
          <w:color w:val="auto"/>
          <w:sz w:val="32"/>
          <w:szCs w:val="32"/>
        </w:rPr>
        <w:t>第六章  投标文件格式</w:t>
      </w:r>
      <w:bookmarkEnd w:id="199"/>
      <w:r>
        <w:rPr>
          <w:rFonts w:hint="eastAsia" w:ascii="方正黑体_GBK" w:hAnsi="宋体" w:eastAsia="方正黑体_GBK" w:cs="宋体"/>
          <w:color w:val="auto"/>
          <w:sz w:val="32"/>
          <w:szCs w:val="32"/>
        </w:rPr>
        <w:t xml:space="preserve"> </w:t>
      </w:r>
      <w:bookmarkStart w:id="205" w:name="_Toc120614282"/>
      <w:bookmarkEnd w:id="205"/>
      <w:bookmarkStart w:id="206" w:name="_Hlt26671244"/>
      <w:bookmarkEnd w:id="206"/>
      <w:bookmarkStart w:id="207" w:name="_Toc49090576"/>
      <w:bookmarkEnd w:id="207"/>
      <w:bookmarkStart w:id="208" w:name="_Toc26554094"/>
      <w:bookmarkEnd w:id="208"/>
      <w:bookmarkStart w:id="209" w:name="_Hlt26955039"/>
      <w:bookmarkEnd w:id="209"/>
    </w:p>
    <w:p w14:paraId="131815CC">
      <w:pPr>
        <w:spacing w:line="580" w:lineRule="exact"/>
        <w:jc w:val="center"/>
        <w:rPr>
          <w:rFonts w:hint="eastAsia" w:ascii="方正仿宋_GBK" w:hAnsi="宋体" w:eastAsia="方正仿宋_GBK" w:cs="宋体"/>
          <w:bCs/>
          <w:color w:val="auto"/>
          <w:sz w:val="32"/>
          <w:szCs w:val="32"/>
        </w:rPr>
      </w:pPr>
    </w:p>
    <w:p w14:paraId="1E08EA1C">
      <w:pPr>
        <w:spacing w:line="580" w:lineRule="exact"/>
        <w:jc w:val="center"/>
        <w:rPr>
          <w:rFonts w:hint="eastAsia" w:ascii="方正仿宋_GBK" w:hAnsi="宋体" w:eastAsia="方正仿宋_GBK" w:cs="宋体"/>
          <w:bCs/>
          <w:color w:val="auto"/>
          <w:sz w:val="32"/>
          <w:szCs w:val="32"/>
        </w:rPr>
      </w:pPr>
    </w:p>
    <w:p w14:paraId="425AA565">
      <w:pPr>
        <w:jc w:val="center"/>
        <w:rPr>
          <w:rFonts w:ascii="方正仿宋_GBK" w:eastAsia="方正仿宋_GBK"/>
          <w:bCs/>
          <w:sz w:val="32"/>
          <w:szCs w:val="32"/>
        </w:rPr>
      </w:pPr>
    </w:p>
    <w:p w14:paraId="391D0837">
      <w:pPr>
        <w:jc w:val="center"/>
        <w:rPr>
          <w:rFonts w:ascii="方正仿宋_GBK" w:eastAsia="方正仿宋_GBK"/>
          <w:bCs/>
          <w:sz w:val="32"/>
          <w:szCs w:val="32"/>
        </w:rPr>
      </w:pPr>
    </w:p>
    <w:p w14:paraId="5709F416">
      <w:pPr>
        <w:spacing w:line="580" w:lineRule="exact"/>
        <w:jc w:val="center"/>
        <w:rPr>
          <w:rFonts w:hint="eastAsia" w:ascii="方正仿宋_GBK" w:hAnsi="宋体" w:eastAsia="方正仿宋_GBK" w:cs="宋体"/>
          <w:bCs/>
          <w:color w:val="auto"/>
          <w:sz w:val="32"/>
          <w:szCs w:val="32"/>
        </w:rPr>
      </w:pPr>
    </w:p>
    <w:p w14:paraId="5E2AC7EC">
      <w:pPr>
        <w:jc w:val="center"/>
        <w:rPr>
          <w:rFonts w:ascii="方正仿宋_GBK" w:eastAsia="方正仿宋_GBK"/>
          <w:bCs/>
          <w:sz w:val="32"/>
          <w:szCs w:val="32"/>
        </w:rPr>
      </w:pPr>
    </w:p>
    <w:p w14:paraId="33E5C782">
      <w:pPr>
        <w:spacing w:line="580" w:lineRule="exact"/>
        <w:jc w:val="center"/>
        <w:rPr>
          <w:rFonts w:hint="eastAsia" w:ascii="方正仿宋_GBK" w:hAnsi="宋体" w:eastAsia="方正仿宋_GBK" w:cs="宋体"/>
          <w:bCs/>
          <w:color w:val="auto"/>
          <w:sz w:val="32"/>
          <w:szCs w:val="32"/>
        </w:rPr>
      </w:pPr>
    </w:p>
    <w:p w14:paraId="1123A610">
      <w:pPr>
        <w:spacing w:line="580" w:lineRule="exact"/>
        <w:jc w:val="center"/>
        <w:rPr>
          <w:rFonts w:ascii="方正小标宋_GBK" w:hAnsi="Times New Roman" w:eastAsia="方正小标宋_GBK" w:cs="Times New Roman"/>
          <w:bCs/>
          <w:color w:val="auto"/>
          <w:sz w:val="44"/>
          <w:szCs w:val="44"/>
        </w:rPr>
      </w:pPr>
      <w:r>
        <w:rPr>
          <w:rFonts w:hint="eastAsia" w:ascii="方正小标宋_GBK" w:hAnsi="Times New Roman" w:eastAsia="方正小标宋_GBK" w:cs="Times New Roman"/>
          <w:bCs/>
          <w:color w:val="auto"/>
          <w:sz w:val="44"/>
          <w:szCs w:val="44"/>
        </w:rPr>
        <w:t>投  标  文  件</w:t>
      </w:r>
    </w:p>
    <w:p w14:paraId="1FA67381">
      <w:pPr>
        <w:spacing w:line="580" w:lineRule="exact"/>
        <w:jc w:val="center"/>
        <w:rPr>
          <w:rFonts w:hint="eastAsia" w:ascii="方正仿宋_GBK" w:hAnsi="宋体" w:eastAsia="方正仿宋_GBK" w:cs="宋体"/>
          <w:b/>
          <w:color w:val="auto"/>
          <w:sz w:val="32"/>
          <w:szCs w:val="32"/>
        </w:rPr>
      </w:pPr>
    </w:p>
    <w:p w14:paraId="42C8B427">
      <w:pPr>
        <w:spacing w:line="580" w:lineRule="exact"/>
        <w:jc w:val="center"/>
        <w:rPr>
          <w:rFonts w:hint="eastAsia" w:ascii="方正楷体_GBK" w:hAnsi="宋体" w:eastAsia="方正楷体_GBK" w:cs="宋体"/>
          <w:bCs/>
          <w:color w:val="auto"/>
          <w:sz w:val="32"/>
          <w:szCs w:val="32"/>
        </w:rPr>
      </w:pPr>
      <w:r>
        <w:rPr>
          <w:rFonts w:hint="eastAsia" w:ascii="方正楷体_GBK" w:hAnsi="宋体" w:eastAsia="方正楷体_GBK" w:cs="宋体"/>
          <w:bCs/>
          <w:color w:val="auto"/>
          <w:sz w:val="32"/>
          <w:szCs w:val="32"/>
        </w:rPr>
        <w:t>（标包号：  ）</w:t>
      </w:r>
    </w:p>
    <w:p w14:paraId="28B42119">
      <w:pPr>
        <w:spacing w:line="580" w:lineRule="exact"/>
        <w:jc w:val="center"/>
        <w:rPr>
          <w:rFonts w:hint="eastAsia" w:ascii="方正仿宋_GBK" w:hAnsi="宋体" w:eastAsia="方正仿宋_GBK" w:cs="宋体"/>
          <w:bCs/>
          <w:color w:val="auto"/>
          <w:sz w:val="32"/>
          <w:szCs w:val="32"/>
        </w:rPr>
      </w:pPr>
    </w:p>
    <w:p w14:paraId="38F2EBA2">
      <w:pPr>
        <w:jc w:val="center"/>
        <w:rPr>
          <w:rFonts w:ascii="方正仿宋_GBK" w:eastAsia="方正仿宋_GBK"/>
          <w:bCs/>
          <w:sz w:val="32"/>
          <w:szCs w:val="32"/>
        </w:rPr>
      </w:pPr>
    </w:p>
    <w:p w14:paraId="21668943">
      <w:pPr>
        <w:spacing w:line="580" w:lineRule="exact"/>
        <w:jc w:val="center"/>
        <w:rPr>
          <w:rFonts w:hint="eastAsia" w:ascii="方正仿宋_GBK" w:hAnsi="宋体" w:eastAsia="方正仿宋_GBK" w:cs="宋体"/>
          <w:bCs/>
          <w:color w:val="auto"/>
          <w:sz w:val="32"/>
          <w:szCs w:val="32"/>
        </w:rPr>
      </w:pPr>
    </w:p>
    <w:p w14:paraId="4FE204C2">
      <w:pPr>
        <w:jc w:val="center"/>
        <w:rPr>
          <w:rFonts w:ascii="方正仿宋_GBK" w:eastAsia="方正仿宋_GBK"/>
          <w:bCs/>
          <w:sz w:val="32"/>
          <w:szCs w:val="32"/>
        </w:rPr>
      </w:pPr>
    </w:p>
    <w:p w14:paraId="238579BA">
      <w:pPr>
        <w:jc w:val="center"/>
        <w:rPr>
          <w:rFonts w:ascii="方正仿宋_GBK" w:eastAsia="方正仿宋_GBK"/>
          <w:bCs/>
          <w:sz w:val="32"/>
          <w:szCs w:val="32"/>
        </w:rPr>
      </w:pPr>
    </w:p>
    <w:p w14:paraId="75AC8642">
      <w:pPr>
        <w:pStyle w:val="18"/>
        <w:spacing w:line="580" w:lineRule="exact"/>
        <w:jc w:val="center"/>
        <w:rPr>
          <w:rFonts w:hint="eastAsia" w:ascii="方正仿宋_GBK" w:hAnsi="宋体" w:eastAsia="方正仿宋_GBK" w:cs="宋体"/>
          <w:bCs/>
          <w:color w:val="auto"/>
          <w:sz w:val="32"/>
          <w:szCs w:val="32"/>
        </w:rPr>
      </w:pPr>
    </w:p>
    <w:p w14:paraId="76A797A5">
      <w:pPr>
        <w:pStyle w:val="18"/>
        <w:spacing w:line="580" w:lineRule="exact"/>
        <w:jc w:val="center"/>
        <w:rPr>
          <w:rFonts w:hint="eastAsia" w:ascii="方正仿宋_GBK" w:hAnsi="宋体" w:eastAsia="方正仿宋_GBK" w:cs="宋体"/>
          <w:bCs/>
          <w:color w:val="auto"/>
          <w:sz w:val="32"/>
          <w:szCs w:val="32"/>
        </w:rPr>
      </w:pPr>
    </w:p>
    <w:p w14:paraId="167196F2">
      <w:pPr>
        <w:spacing w:line="580" w:lineRule="exact"/>
        <w:jc w:val="center"/>
        <w:rPr>
          <w:rFonts w:hint="eastAsia" w:ascii="方正仿宋_GBK" w:hAnsi="宋体" w:eastAsia="方正仿宋_GBK" w:cs="宋体"/>
          <w:bCs/>
          <w:color w:val="auto"/>
          <w:sz w:val="32"/>
          <w:szCs w:val="32"/>
        </w:rPr>
      </w:pPr>
    </w:p>
    <w:p w14:paraId="1EB87B16">
      <w:pPr>
        <w:spacing w:line="580" w:lineRule="exact"/>
        <w:ind w:firstLine="1920" w:firstLineChars="600"/>
        <w:jc w:val="left"/>
        <w:rPr>
          <w:rFonts w:hint="eastAsia" w:ascii="方正仿宋_GBK" w:hAnsi="宋体" w:eastAsia="方正仿宋_GBK" w:cs="宋体"/>
          <w:bCs/>
          <w:color w:val="auto"/>
          <w:sz w:val="32"/>
          <w:szCs w:val="32"/>
          <w:u w:val="single"/>
        </w:rPr>
      </w:pPr>
      <w:r>
        <w:rPr>
          <w:rFonts w:hint="eastAsia" w:ascii="方正仿宋_GBK" w:hAnsi="宋体" w:eastAsia="方正仿宋_GBK" w:cs="宋体"/>
          <w:bCs/>
          <w:color w:val="auto"/>
          <w:sz w:val="32"/>
          <w:szCs w:val="32"/>
        </w:rPr>
        <w:t>项目名称：</w:t>
      </w:r>
      <w:r>
        <w:rPr>
          <w:rFonts w:hint="eastAsia" w:ascii="方正仿宋_GBK" w:hAnsi="宋体" w:eastAsia="方正仿宋_GBK" w:cs="宋体"/>
          <w:bCs/>
          <w:color w:val="auto"/>
          <w:sz w:val="32"/>
          <w:szCs w:val="32"/>
          <w:u w:val="single"/>
        </w:rPr>
        <w:t xml:space="preserve">                   </w:t>
      </w:r>
    </w:p>
    <w:p w14:paraId="2656C52C">
      <w:pPr>
        <w:spacing w:line="580" w:lineRule="exact"/>
        <w:ind w:firstLine="1920" w:firstLineChars="600"/>
        <w:jc w:val="left"/>
        <w:rPr>
          <w:rFonts w:hint="eastAsia" w:ascii="方正仿宋_GBK" w:hAnsi="宋体" w:eastAsia="方正仿宋_GBK" w:cs="宋体"/>
          <w:bCs/>
          <w:color w:val="auto"/>
          <w:sz w:val="32"/>
          <w:szCs w:val="32"/>
          <w:u w:val="single"/>
        </w:rPr>
      </w:pPr>
      <w:r>
        <w:rPr>
          <w:rFonts w:hint="eastAsia" w:ascii="方正仿宋_GBK" w:hAnsi="宋体" w:eastAsia="方正仿宋_GBK" w:cs="宋体"/>
          <w:bCs/>
          <w:color w:val="auto"/>
          <w:sz w:val="32"/>
          <w:szCs w:val="32"/>
        </w:rPr>
        <w:t>项目编号：</w:t>
      </w:r>
      <w:r>
        <w:rPr>
          <w:rFonts w:hint="eastAsia" w:ascii="方正仿宋_GBK" w:hAnsi="宋体" w:eastAsia="方正仿宋_GBK" w:cs="宋体"/>
          <w:bCs/>
          <w:color w:val="auto"/>
          <w:sz w:val="32"/>
          <w:szCs w:val="32"/>
          <w:u w:val="single"/>
        </w:rPr>
        <w:t xml:space="preserve">                   </w:t>
      </w:r>
    </w:p>
    <w:p w14:paraId="69D6FC14">
      <w:pPr>
        <w:spacing w:line="580" w:lineRule="exact"/>
        <w:ind w:firstLine="1920" w:firstLineChars="600"/>
        <w:rPr>
          <w:rFonts w:hint="eastAsia" w:ascii="方正仿宋_GBK" w:hAnsi="宋体" w:eastAsia="方正仿宋_GBK" w:cs="宋体"/>
          <w:bCs/>
          <w:color w:val="auto"/>
          <w:sz w:val="32"/>
          <w:szCs w:val="32"/>
          <w:u w:val="single"/>
        </w:rPr>
      </w:pPr>
      <w:r>
        <w:rPr>
          <w:rFonts w:hint="eastAsia" w:ascii="方正仿宋_GBK" w:hAnsi="宋体" w:eastAsia="方正仿宋_GBK" w:cs="宋体"/>
          <w:bCs/>
          <w:color w:val="auto"/>
          <w:sz w:val="32"/>
          <w:szCs w:val="32"/>
        </w:rPr>
        <w:t>投标人名称 ：</w:t>
      </w:r>
      <w:r>
        <w:rPr>
          <w:rFonts w:hint="eastAsia" w:ascii="方正仿宋_GBK" w:hAnsi="宋体" w:eastAsia="方正仿宋_GBK" w:cs="宋体"/>
          <w:bCs/>
          <w:color w:val="auto"/>
          <w:sz w:val="32"/>
          <w:szCs w:val="32"/>
          <w:u w:val="single"/>
        </w:rPr>
        <w:t>（加盖电子公章）</w:t>
      </w:r>
    </w:p>
    <w:p w14:paraId="22675162">
      <w:pPr>
        <w:spacing w:line="580" w:lineRule="exact"/>
        <w:ind w:firstLine="1920" w:firstLineChars="600"/>
        <w:jc w:val="left"/>
        <w:rPr>
          <w:rFonts w:hint="eastAsia" w:ascii="方正仿宋_GBK" w:hAnsi="宋体" w:eastAsia="方正仿宋_GBK" w:cs="宋体"/>
          <w:bCs/>
          <w:color w:val="auto"/>
          <w:sz w:val="32"/>
          <w:szCs w:val="32"/>
          <w:u w:val="single"/>
        </w:rPr>
      </w:pPr>
      <w:r>
        <w:rPr>
          <w:rFonts w:hint="eastAsia" w:ascii="方正仿宋_GBK" w:hAnsi="宋体" w:eastAsia="方正仿宋_GBK" w:cs="宋体"/>
          <w:bCs/>
          <w:color w:val="auto"/>
          <w:sz w:val="32"/>
          <w:szCs w:val="32"/>
        </w:rPr>
        <w:t>日期 ：</w:t>
      </w:r>
      <w:r>
        <w:rPr>
          <w:rFonts w:hint="eastAsia" w:ascii="方正仿宋_GBK" w:hAnsi="宋体" w:eastAsia="方正仿宋_GBK" w:cs="宋体"/>
          <w:bCs/>
          <w:color w:val="auto"/>
          <w:sz w:val="32"/>
          <w:szCs w:val="32"/>
          <w:u w:val="single"/>
        </w:rPr>
        <w:t xml:space="preserve">                      </w:t>
      </w:r>
    </w:p>
    <w:p w14:paraId="4257AA9F">
      <w:pPr>
        <w:spacing w:line="580" w:lineRule="exact"/>
        <w:jc w:val="center"/>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color w:val="auto"/>
          <w:kern w:val="2"/>
          <w:sz w:val="24"/>
          <w:szCs w:val="24"/>
        </w:rPr>
        <w:t>评分索引表</w:t>
      </w:r>
    </w:p>
    <w:p w14:paraId="38396ACE">
      <w:pPr>
        <w:spacing w:line="580" w:lineRule="exact"/>
        <w:ind w:firstLine="240" w:firstLineChars="100"/>
        <w:jc w:val="left"/>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color w:val="auto"/>
          <w:kern w:val="2"/>
          <w:sz w:val="24"/>
          <w:szCs w:val="24"/>
        </w:rPr>
        <w:t>投标人名称</w:t>
      </w:r>
      <w:r>
        <w:rPr>
          <w:rFonts w:hint="eastAsia" w:asciiTheme="minorEastAsia" w:hAnsiTheme="minorEastAsia" w:eastAsiaTheme="minorEastAsia" w:cstheme="minorEastAsia"/>
          <w:color w:val="auto"/>
          <w:sz w:val="24"/>
          <w:szCs w:val="24"/>
        </w:rPr>
        <w:t>（加盖电子公章）</w:t>
      </w:r>
      <w:r>
        <w:rPr>
          <w:rFonts w:hint="eastAsia" w:asciiTheme="minorEastAsia" w:hAnsiTheme="minorEastAsia" w:eastAsiaTheme="minorEastAsia" w:cstheme="minorEastAsia"/>
          <w:color w:val="auto"/>
          <w:kern w:val="2"/>
          <w:sz w:val="24"/>
          <w:szCs w:val="24"/>
        </w:rPr>
        <w:t>：</w:t>
      </w:r>
    </w:p>
    <w:tbl>
      <w:tblPr>
        <w:tblStyle w:val="3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939"/>
        <w:gridCol w:w="3377"/>
        <w:gridCol w:w="1630"/>
      </w:tblGrid>
      <w:tr w14:paraId="2B298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8" w:hRule="atLeast"/>
          <w:jc w:val="center"/>
        </w:trPr>
        <w:tc>
          <w:tcPr>
            <w:tcW w:w="2201" w:type="pct"/>
            <w:vAlign w:val="center"/>
          </w:tcPr>
          <w:p w14:paraId="68E89EEA">
            <w:pPr>
              <w:widowControl/>
              <w:shd w:val="clear" w:color="auto" w:fill="FFFFFF"/>
              <w:spacing w:line="400" w:lineRule="exact"/>
              <w:contextualSpacing/>
              <w:jc w:val="center"/>
              <w:rPr>
                <w:rFonts w:hint="eastAsia" w:asciiTheme="minorEastAsia" w:hAnsiTheme="minorEastAsia" w:eastAsiaTheme="minorEastAsia" w:cstheme="minorEastAsia"/>
                <w:color w:val="auto"/>
                <w:kern w:val="2"/>
                <w:sz w:val="24"/>
                <w:szCs w:val="24"/>
                <w:lang w:bidi="en-US"/>
              </w:rPr>
            </w:pPr>
            <w:r>
              <w:rPr>
                <w:rFonts w:hint="eastAsia" w:asciiTheme="minorEastAsia" w:hAnsiTheme="minorEastAsia" w:eastAsiaTheme="minorEastAsia" w:cstheme="minorEastAsia"/>
                <w:color w:val="auto"/>
                <w:kern w:val="2"/>
                <w:sz w:val="24"/>
                <w:szCs w:val="24"/>
                <w:lang w:bidi="en-US"/>
              </w:rPr>
              <w:t>详细评分办法中的</w:t>
            </w:r>
          </w:p>
          <w:p w14:paraId="0DC340E6">
            <w:pPr>
              <w:widowControl/>
              <w:shd w:val="clear" w:color="auto" w:fill="FFFFFF"/>
              <w:spacing w:line="400" w:lineRule="exact"/>
              <w:contextualSpacing/>
              <w:jc w:val="center"/>
              <w:rPr>
                <w:rFonts w:hint="eastAsia" w:asciiTheme="minorEastAsia" w:hAnsiTheme="minorEastAsia" w:eastAsiaTheme="minorEastAsia" w:cstheme="minorEastAsia"/>
                <w:bCs/>
                <w:color w:val="auto"/>
                <w:kern w:val="2"/>
                <w:sz w:val="24"/>
                <w:szCs w:val="24"/>
                <w:lang w:bidi="en-US"/>
              </w:rPr>
            </w:pPr>
            <w:r>
              <w:rPr>
                <w:rFonts w:hint="eastAsia" w:asciiTheme="minorEastAsia" w:hAnsiTheme="minorEastAsia" w:eastAsiaTheme="minorEastAsia" w:cstheme="minorEastAsia"/>
                <w:color w:val="auto"/>
                <w:kern w:val="2"/>
                <w:sz w:val="24"/>
                <w:szCs w:val="24"/>
                <w:lang w:bidi="en-US"/>
              </w:rPr>
              <w:t>各个打分项目</w:t>
            </w:r>
          </w:p>
        </w:tc>
        <w:tc>
          <w:tcPr>
            <w:tcW w:w="1887" w:type="pct"/>
            <w:vAlign w:val="center"/>
          </w:tcPr>
          <w:p w14:paraId="1A33119D">
            <w:pPr>
              <w:spacing w:line="400" w:lineRule="exact"/>
              <w:jc w:val="center"/>
              <w:rPr>
                <w:rFonts w:hint="eastAsia" w:asciiTheme="minorEastAsia" w:hAnsiTheme="minorEastAsia" w:eastAsiaTheme="minorEastAsia" w:cstheme="minorEastAsia"/>
                <w:color w:val="auto"/>
                <w:sz w:val="24"/>
                <w:szCs w:val="24"/>
                <w:lang w:bidi="en-US"/>
              </w:rPr>
            </w:pPr>
            <w:r>
              <w:rPr>
                <w:rFonts w:hint="eastAsia" w:asciiTheme="minorEastAsia" w:hAnsiTheme="minorEastAsia" w:eastAsiaTheme="minorEastAsia" w:cstheme="minorEastAsia"/>
                <w:color w:val="auto"/>
                <w:sz w:val="24"/>
                <w:szCs w:val="24"/>
                <w:lang w:bidi="en-US"/>
              </w:rPr>
              <w:t>在投标文件中的</w:t>
            </w:r>
          </w:p>
          <w:p w14:paraId="169D65CA">
            <w:pPr>
              <w:spacing w:line="400" w:lineRule="exact"/>
              <w:jc w:val="center"/>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color w:val="auto"/>
                <w:sz w:val="24"/>
                <w:szCs w:val="24"/>
                <w:lang w:bidi="en-US"/>
              </w:rPr>
              <w:t>页码位置</w:t>
            </w:r>
          </w:p>
        </w:tc>
        <w:tc>
          <w:tcPr>
            <w:tcW w:w="911" w:type="pct"/>
            <w:vAlign w:val="center"/>
          </w:tcPr>
          <w:p w14:paraId="2F56ACA2">
            <w:pPr>
              <w:spacing w:line="400" w:lineRule="exact"/>
              <w:jc w:val="center"/>
              <w:rPr>
                <w:rFonts w:hint="eastAsia" w:asciiTheme="minorEastAsia" w:hAnsiTheme="minorEastAsia" w:eastAsiaTheme="minorEastAsia" w:cstheme="minorEastAsia"/>
                <w:color w:val="auto"/>
                <w:sz w:val="24"/>
                <w:szCs w:val="24"/>
                <w:lang w:bidi="en-US"/>
              </w:rPr>
            </w:pPr>
            <w:r>
              <w:rPr>
                <w:rFonts w:hint="eastAsia" w:asciiTheme="minorEastAsia" w:hAnsiTheme="minorEastAsia" w:eastAsiaTheme="minorEastAsia" w:cstheme="minorEastAsia"/>
                <w:color w:val="auto"/>
                <w:sz w:val="24"/>
                <w:szCs w:val="24"/>
                <w:lang w:bidi="en-US"/>
              </w:rPr>
              <w:t>备注</w:t>
            </w:r>
          </w:p>
        </w:tc>
      </w:tr>
      <w:tr w14:paraId="1BA75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2201" w:type="pct"/>
            <w:vAlign w:val="center"/>
          </w:tcPr>
          <w:p w14:paraId="7398A48F">
            <w:pPr>
              <w:widowControl/>
              <w:shd w:val="clear" w:color="auto" w:fill="FFFFFF"/>
              <w:spacing w:line="400" w:lineRule="exact"/>
              <w:ind w:left="420"/>
              <w:contextualSpacing/>
              <w:jc w:val="center"/>
              <w:rPr>
                <w:rFonts w:hint="eastAsia" w:asciiTheme="minorEastAsia" w:hAnsiTheme="minorEastAsia" w:eastAsiaTheme="minorEastAsia" w:cstheme="minorEastAsia"/>
                <w:color w:val="auto"/>
                <w:kern w:val="2"/>
                <w:sz w:val="24"/>
                <w:szCs w:val="24"/>
                <w:lang w:bidi="en-US"/>
              </w:rPr>
            </w:pPr>
          </w:p>
        </w:tc>
        <w:tc>
          <w:tcPr>
            <w:tcW w:w="1887" w:type="pct"/>
            <w:vAlign w:val="center"/>
          </w:tcPr>
          <w:p w14:paraId="41EE0466">
            <w:pPr>
              <w:spacing w:line="400" w:lineRule="exact"/>
              <w:jc w:val="center"/>
              <w:rPr>
                <w:rFonts w:hint="eastAsia" w:asciiTheme="minorEastAsia" w:hAnsiTheme="minorEastAsia" w:eastAsiaTheme="minorEastAsia" w:cstheme="minorEastAsia"/>
                <w:color w:val="auto"/>
                <w:sz w:val="24"/>
                <w:szCs w:val="24"/>
                <w:lang w:bidi="en-US"/>
              </w:rPr>
            </w:pPr>
          </w:p>
        </w:tc>
        <w:tc>
          <w:tcPr>
            <w:tcW w:w="911" w:type="pct"/>
            <w:vAlign w:val="center"/>
          </w:tcPr>
          <w:p w14:paraId="632BA008">
            <w:pPr>
              <w:spacing w:line="400" w:lineRule="exact"/>
              <w:jc w:val="center"/>
              <w:rPr>
                <w:rFonts w:hint="eastAsia" w:asciiTheme="minorEastAsia" w:hAnsiTheme="minorEastAsia" w:eastAsiaTheme="minorEastAsia" w:cstheme="minorEastAsia"/>
                <w:color w:val="auto"/>
                <w:sz w:val="24"/>
                <w:szCs w:val="24"/>
                <w:lang w:bidi="en-US"/>
              </w:rPr>
            </w:pPr>
          </w:p>
        </w:tc>
      </w:tr>
      <w:tr w14:paraId="64EE7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2201" w:type="pct"/>
            <w:vAlign w:val="center"/>
          </w:tcPr>
          <w:p w14:paraId="7CDE8E55">
            <w:pPr>
              <w:widowControl/>
              <w:shd w:val="clear" w:color="auto" w:fill="FFFFFF"/>
              <w:spacing w:line="400" w:lineRule="exact"/>
              <w:ind w:left="420"/>
              <w:contextualSpacing/>
              <w:jc w:val="center"/>
              <w:rPr>
                <w:rFonts w:hint="eastAsia" w:asciiTheme="minorEastAsia" w:hAnsiTheme="minorEastAsia" w:eastAsiaTheme="minorEastAsia" w:cstheme="minorEastAsia"/>
                <w:color w:val="auto"/>
                <w:kern w:val="2"/>
                <w:sz w:val="24"/>
                <w:szCs w:val="24"/>
                <w:lang w:bidi="en-US"/>
              </w:rPr>
            </w:pPr>
          </w:p>
        </w:tc>
        <w:tc>
          <w:tcPr>
            <w:tcW w:w="1887" w:type="pct"/>
            <w:vAlign w:val="center"/>
          </w:tcPr>
          <w:p w14:paraId="01074ED1">
            <w:pPr>
              <w:spacing w:line="400" w:lineRule="exact"/>
              <w:jc w:val="center"/>
              <w:rPr>
                <w:rFonts w:hint="eastAsia" w:asciiTheme="minorEastAsia" w:hAnsiTheme="minorEastAsia" w:eastAsiaTheme="minorEastAsia" w:cstheme="minorEastAsia"/>
                <w:color w:val="auto"/>
                <w:kern w:val="2"/>
                <w:sz w:val="24"/>
                <w:szCs w:val="24"/>
              </w:rPr>
            </w:pPr>
          </w:p>
        </w:tc>
        <w:tc>
          <w:tcPr>
            <w:tcW w:w="911" w:type="pct"/>
            <w:vAlign w:val="center"/>
          </w:tcPr>
          <w:p w14:paraId="106745D3">
            <w:pPr>
              <w:spacing w:line="400" w:lineRule="exact"/>
              <w:jc w:val="center"/>
              <w:rPr>
                <w:rFonts w:hint="eastAsia" w:asciiTheme="minorEastAsia" w:hAnsiTheme="minorEastAsia" w:eastAsiaTheme="minorEastAsia" w:cstheme="minorEastAsia"/>
                <w:color w:val="auto"/>
                <w:kern w:val="2"/>
                <w:sz w:val="24"/>
                <w:szCs w:val="24"/>
              </w:rPr>
            </w:pPr>
          </w:p>
        </w:tc>
      </w:tr>
      <w:tr w14:paraId="39873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2201" w:type="pct"/>
            <w:vAlign w:val="center"/>
          </w:tcPr>
          <w:p w14:paraId="2B1846BD">
            <w:pPr>
              <w:widowControl/>
              <w:shd w:val="clear" w:color="auto" w:fill="FFFFFF"/>
              <w:spacing w:line="400" w:lineRule="exact"/>
              <w:ind w:left="420"/>
              <w:contextualSpacing/>
              <w:jc w:val="center"/>
              <w:rPr>
                <w:rFonts w:hint="eastAsia" w:asciiTheme="minorEastAsia" w:hAnsiTheme="minorEastAsia" w:eastAsiaTheme="minorEastAsia" w:cstheme="minorEastAsia"/>
                <w:color w:val="auto"/>
                <w:kern w:val="2"/>
                <w:sz w:val="24"/>
                <w:szCs w:val="24"/>
                <w:lang w:bidi="en-US"/>
              </w:rPr>
            </w:pPr>
          </w:p>
        </w:tc>
        <w:tc>
          <w:tcPr>
            <w:tcW w:w="1887" w:type="pct"/>
            <w:vAlign w:val="center"/>
          </w:tcPr>
          <w:p w14:paraId="5D5E7E66">
            <w:pPr>
              <w:spacing w:line="400" w:lineRule="exact"/>
              <w:jc w:val="center"/>
              <w:rPr>
                <w:rFonts w:hint="eastAsia" w:asciiTheme="minorEastAsia" w:hAnsiTheme="minorEastAsia" w:eastAsiaTheme="minorEastAsia" w:cstheme="minorEastAsia"/>
                <w:color w:val="auto"/>
                <w:kern w:val="2"/>
                <w:sz w:val="24"/>
                <w:szCs w:val="24"/>
              </w:rPr>
            </w:pPr>
          </w:p>
        </w:tc>
        <w:tc>
          <w:tcPr>
            <w:tcW w:w="911" w:type="pct"/>
            <w:vAlign w:val="center"/>
          </w:tcPr>
          <w:p w14:paraId="0D2402AC">
            <w:pPr>
              <w:spacing w:line="400" w:lineRule="exact"/>
              <w:jc w:val="center"/>
              <w:rPr>
                <w:rFonts w:hint="eastAsia" w:asciiTheme="minorEastAsia" w:hAnsiTheme="minorEastAsia" w:eastAsiaTheme="minorEastAsia" w:cstheme="minorEastAsia"/>
                <w:color w:val="auto"/>
                <w:kern w:val="2"/>
                <w:sz w:val="24"/>
                <w:szCs w:val="24"/>
              </w:rPr>
            </w:pPr>
          </w:p>
        </w:tc>
      </w:tr>
      <w:tr w14:paraId="20B2A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2201" w:type="pct"/>
            <w:vAlign w:val="center"/>
          </w:tcPr>
          <w:p w14:paraId="1470C411">
            <w:pPr>
              <w:widowControl/>
              <w:shd w:val="clear" w:color="auto" w:fill="FFFFFF"/>
              <w:spacing w:line="400" w:lineRule="exact"/>
              <w:ind w:left="420"/>
              <w:contextualSpacing/>
              <w:jc w:val="center"/>
              <w:rPr>
                <w:rFonts w:hint="eastAsia" w:asciiTheme="minorEastAsia" w:hAnsiTheme="minorEastAsia" w:eastAsiaTheme="minorEastAsia" w:cstheme="minorEastAsia"/>
                <w:color w:val="auto"/>
                <w:kern w:val="2"/>
                <w:sz w:val="24"/>
                <w:szCs w:val="24"/>
                <w:lang w:bidi="en-US"/>
              </w:rPr>
            </w:pPr>
          </w:p>
        </w:tc>
        <w:tc>
          <w:tcPr>
            <w:tcW w:w="1887" w:type="pct"/>
            <w:vAlign w:val="center"/>
          </w:tcPr>
          <w:p w14:paraId="451E75D3">
            <w:pPr>
              <w:spacing w:line="400" w:lineRule="exact"/>
              <w:jc w:val="center"/>
              <w:rPr>
                <w:rFonts w:hint="eastAsia" w:asciiTheme="minorEastAsia" w:hAnsiTheme="minorEastAsia" w:eastAsiaTheme="minorEastAsia" w:cstheme="minorEastAsia"/>
                <w:color w:val="auto"/>
                <w:kern w:val="2"/>
                <w:sz w:val="24"/>
                <w:szCs w:val="24"/>
              </w:rPr>
            </w:pPr>
          </w:p>
        </w:tc>
        <w:tc>
          <w:tcPr>
            <w:tcW w:w="911" w:type="pct"/>
            <w:vAlign w:val="center"/>
          </w:tcPr>
          <w:p w14:paraId="3C9AFB97">
            <w:pPr>
              <w:spacing w:line="400" w:lineRule="exact"/>
              <w:jc w:val="center"/>
              <w:rPr>
                <w:rFonts w:hint="eastAsia" w:asciiTheme="minorEastAsia" w:hAnsiTheme="minorEastAsia" w:eastAsiaTheme="minorEastAsia" w:cstheme="minorEastAsia"/>
                <w:color w:val="auto"/>
                <w:kern w:val="2"/>
                <w:sz w:val="24"/>
                <w:szCs w:val="24"/>
              </w:rPr>
            </w:pPr>
          </w:p>
        </w:tc>
      </w:tr>
      <w:tr w14:paraId="44E0D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2201" w:type="pct"/>
            <w:vAlign w:val="center"/>
          </w:tcPr>
          <w:p w14:paraId="006A0BBF">
            <w:pPr>
              <w:widowControl/>
              <w:shd w:val="clear" w:color="auto" w:fill="FFFFFF"/>
              <w:spacing w:line="400" w:lineRule="exact"/>
              <w:ind w:left="420"/>
              <w:contextualSpacing/>
              <w:jc w:val="center"/>
              <w:rPr>
                <w:rFonts w:hint="eastAsia" w:asciiTheme="minorEastAsia" w:hAnsiTheme="minorEastAsia" w:eastAsiaTheme="minorEastAsia" w:cstheme="minorEastAsia"/>
                <w:color w:val="auto"/>
                <w:kern w:val="2"/>
                <w:sz w:val="24"/>
                <w:szCs w:val="24"/>
                <w:lang w:bidi="en-US"/>
              </w:rPr>
            </w:pPr>
          </w:p>
        </w:tc>
        <w:tc>
          <w:tcPr>
            <w:tcW w:w="1887" w:type="pct"/>
            <w:vAlign w:val="center"/>
          </w:tcPr>
          <w:p w14:paraId="7F5150BC">
            <w:pPr>
              <w:spacing w:line="400" w:lineRule="exact"/>
              <w:jc w:val="center"/>
              <w:rPr>
                <w:rFonts w:hint="eastAsia" w:asciiTheme="minorEastAsia" w:hAnsiTheme="minorEastAsia" w:eastAsiaTheme="minorEastAsia" w:cstheme="minorEastAsia"/>
                <w:color w:val="auto"/>
                <w:kern w:val="2"/>
                <w:sz w:val="24"/>
                <w:szCs w:val="24"/>
              </w:rPr>
            </w:pPr>
          </w:p>
        </w:tc>
        <w:tc>
          <w:tcPr>
            <w:tcW w:w="911" w:type="pct"/>
            <w:vAlign w:val="center"/>
          </w:tcPr>
          <w:p w14:paraId="6D933EE5">
            <w:pPr>
              <w:spacing w:line="400" w:lineRule="exact"/>
              <w:jc w:val="center"/>
              <w:rPr>
                <w:rFonts w:hint="eastAsia" w:asciiTheme="minorEastAsia" w:hAnsiTheme="minorEastAsia" w:eastAsiaTheme="minorEastAsia" w:cstheme="minorEastAsia"/>
                <w:color w:val="auto"/>
                <w:kern w:val="2"/>
                <w:sz w:val="24"/>
                <w:szCs w:val="24"/>
              </w:rPr>
            </w:pPr>
          </w:p>
        </w:tc>
      </w:tr>
      <w:tr w14:paraId="1D700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2201" w:type="pct"/>
            <w:vAlign w:val="center"/>
          </w:tcPr>
          <w:p w14:paraId="009190FF">
            <w:pPr>
              <w:widowControl/>
              <w:shd w:val="clear" w:color="auto" w:fill="FFFFFF"/>
              <w:spacing w:line="400" w:lineRule="exact"/>
              <w:ind w:left="420"/>
              <w:contextualSpacing/>
              <w:jc w:val="center"/>
              <w:rPr>
                <w:rFonts w:hint="eastAsia" w:asciiTheme="minorEastAsia" w:hAnsiTheme="minorEastAsia" w:eastAsiaTheme="minorEastAsia" w:cstheme="minorEastAsia"/>
                <w:color w:val="auto"/>
                <w:kern w:val="2"/>
                <w:sz w:val="24"/>
                <w:szCs w:val="24"/>
                <w:lang w:bidi="en-US"/>
              </w:rPr>
            </w:pPr>
          </w:p>
        </w:tc>
        <w:tc>
          <w:tcPr>
            <w:tcW w:w="1887" w:type="pct"/>
            <w:vAlign w:val="center"/>
          </w:tcPr>
          <w:p w14:paraId="6B74255B">
            <w:pPr>
              <w:spacing w:line="400" w:lineRule="exact"/>
              <w:jc w:val="center"/>
              <w:rPr>
                <w:rFonts w:hint="eastAsia" w:asciiTheme="minorEastAsia" w:hAnsiTheme="minorEastAsia" w:eastAsiaTheme="minorEastAsia" w:cstheme="minorEastAsia"/>
                <w:color w:val="auto"/>
                <w:kern w:val="2"/>
                <w:sz w:val="24"/>
                <w:szCs w:val="24"/>
              </w:rPr>
            </w:pPr>
          </w:p>
        </w:tc>
        <w:tc>
          <w:tcPr>
            <w:tcW w:w="911" w:type="pct"/>
            <w:vAlign w:val="center"/>
          </w:tcPr>
          <w:p w14:paraId="61CA0008">
            <w:pPr>
              <w:spacing w:line="400" w:lineRule="exact"/>
              <w:jc w:val="center"/>
              <w:rPr>
                <w:rFonts w:hint="eastAsia" w:asciiTheme="minorEastAsia" w:hAnsiTheme="minorEastAsia" w:eastAsiaTheme="minorEastAsia" w:cstheme="minorEastAsia"/>
                <w:color w:val="auto"/>
                <w:kern w:val="2"/>
                <w:sz w:val="24"/>
                <w:szCs w:val="24"/>
              </w:rPr>
            </w:pPr>
          </w:p>
        </w:tc>
      </w:tr>
      <w:tr w14:paraId="3C66A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2201" w:type="pct"/>
            <w:vAlign w:val="center"/>
          </w:tcPr>
          <w:p w14:paraId="6EEAC9F4">
            <w:pPr>
              <w:widowControl/>
              <w:shd w:val="clear" w:color="auto" w:fill="FFFFFF"/>
              <w:spacing w:line="400" w:lineRule="exact"/>
              <w:ind w:left="420"/>
              <w:contextualSpacing/>
              <w:jc w:val="center"/>
              <w:rPr>
                <w:rFonts w:hint="eastAsia" w:asciiTheme="minorEastAsia" w:hAnsiTheme="minorEastAsia" w:eastAsiaTheme="minorEastAsia" w:cstheme="minorEastAsia"/>
                <w:color w:val="auto"/>
                <w:kern w:val="2"/>
                <w:sz w:val="24"/>
                <w:szCs w:val="24"/>
                <w:lang w:bidi="en-US"/>
              </w:rPr>
            </w:pPr>
          </w:p>
        </w:tc>
        <w:tc>
          <w:tcPr>
            <w:tcW w:w="1887" w:type="pct"/>
            <w:vAlign w:val="center"/>
          </w:tcPr>
          <w:p w14:paraId="40527F37">
            <w:pPr>
              <w:spacing w:line="400" w:lineRule="exact"/>
              <w:jc w:val="center"/>
              <w:rPr>
                <w:rFonts w:hint="eastAsia" w:asciiTheme="minorEastAsia" w:hAnsiTheme="minorEastAsia" w:eastAsiaTheme="minorEastAsia" w:cstheme="minorEastAsia"/>
                <w:color w:val="auto"/>
                <w:kern w:val="2"/>
                <w:sz w:val="24"/>
                <w:szCs w:val="24"/>
              </w:rPr>
            </w:pPr>
          </w:p>
        </w:tc>
        <w:tc>
          <w:tcPr>
            <w:tcW w:w="911" w:type="pct"/>
            <w:vAlign w:val="center"/>
          </w:tcPr>
          <w:p w14:paraId="37E73846">
            <w:pPr>
              <w:spacing w:line="400" w:lineRule="exact"/>
              <w:jc w:val="center"/>
              <w:rPr>
                <w:rFonts w:hint="eastAsia" w:asciiTheme="minorEastAsia" w:hAnsiTheme="minorEastAsia" w:eastAsiaTheme="minorEastAsia" w:cstheme="minorEastAsia"/>
                <w:color w:val="auto"/>
                <w:kern w:val="2"/>
                <w:sz w:val="24"/>
                <w:szCs w:val="24"/>
              </w:rPr>
            </w:pPr>
          </w:p>
        </w:tc>
      </w:tr>
      <w:tr w14:paraId="1CC6B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2201" w:type="pct"/>
            <w:vAlign w:val="center"/>
          </w:tcPr>
          <w:p w14:paraId="4822B579">
            <w:pPr>
              <w:widowControl/>
              <w:shd w:val="clear" w:color="auto" w:fill="FFFFFF"/>
              <w:spacing w:line="400" w:lineRule="exact"/>
              <w:ind w:left="420"/>
              <w:contextualSpacing/>
              <w:jc w:val="center"/>
              <w:rPr>
                <w:rFonts w:hint="eastAsia" w:asciiTheme="minorEastAsia" w:hAnsiTheme="minorEastAsia" w:eastAsiaTheme="minorEastAsia" w:cstheme="minorEastAsia"/>
                <w:color w:val="auto"/>
                <w:kern w:val="2"/>
                <w:sz w:val="24"/>
                <w:szCs w:val="24"/>
                <w:lang w:bidi="en-US"/>
              </w:rPr>
            </w:pPr>
          </w:p>
        </w:tc>
        <w:tc>
          <w:tcPr>
            <w:tcW w:w="1887" w:type="pct"/>
            <w:vAlign w:val="center"/>
          </w:tcPr>
          <w:p w14:paraId="7698CACE">
            <w:pPr>
              <w:spacing w:line="400" w:lineRule="exact"/>
              <w:jc w:val="center"/>
              <w:rPr>
                <w:rFonts w:hint="eastAsia" w:asciiTheme="minorEastAsia" w:hAnsiTheme="minorEastAsia" w:eastAsiaTheme="minorEastAsia" w:cstheme="minorEastAsia"/>
                <w:color w:val="auto"/>
                <w:kern w:val="2"/>
                <w:sz w:val="24"/>
                <w:szCs w:val="24"/>
              </w:rPr>
            </w:pPr>
          </w:p>
        </w:tc>
        <w:tc>
          <w:tcPr>
            <w:tcW w:w="911" w:type="pct"/>
            <w:vAlign w:val="center"/>
          </w:tcPr>
          <w:p w14:paraId="5EA93799">
            <w:pPr>
              <w:spacing w:line="400" w:lineRule="exact"/>
              <w:jc w:val="center"/>
              <w:rPr>
                <w:rFonts w:hint="eastAsia" w:asciiTheme="minorEastAsia" w:hAnsiTheme="minorEastAsia" w:eastAsiaTheme="minorEastAsia" w:cstheme="minorEastAsia"/>
                <w:color w:val="auto"/>
                <w:kern w:val="2"/>
                <w:sz w:val="24"/>
                <w:szCs w:val="24"/>
              </w:rPr>
            </w:pPr>
          </w:p>
        </w:tc>
      </w:tr>
      <w:tr w14:paraId="6EE86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2201" w:type="pct"/>
            <w:vAlign w:val="center"/>
          </w:tcPr>
          <w:p w14:paraId="0F8DC160">
            <w:pPr>
              <w:widowControl/>
              <w:shd w:val="clear" w:color="auto" w:fill="FFFFFF"/>
              <w:spacing w:line="400" w:lineRule="exact"/>
              <w:ind w:left="420"/>
              <w:contextualSpacing/>
              <w:jc w:val="center"/>
              <w:rPr>
                <w:rFonts w:hint="eastAsia" w:asciiTheme="minorEastAsia" w:hAnsiTheme="minorEastAsia" w:eastAsiaTheme="minorEastAsia" w:cstheme="minorEastAsia"/>
                <w:color w:val="auto"/>
                <w:kern w:val="2"/>
                <w:sz w:val="24"/>
                <w:szCs w:val="24"/>
                <w:lang w:bidi="en-US"/>
              </w:rPr>
            </w:pPr>
          </w:p>
        </w:tc>
        <w:tc>
          <w:tcPr>
            <w:tcW w:w="1887" w:type="pct"/>
            <w:vAlign w:val="center"/>
          </w:tcPr>
          <w:p w14:paraId="4C404123">
            <w:pPr>
              <w:spacing w:line="400" w:lineRule="exact"/>
              <w:jc w:val="center"/>
              <w:rPr>
                <w:rFonts w:hint="eastAsia" w:asciiTheme="minorEastAsia" w:hAnsiTheme="minorEastAsia" w:eastAsiaTheme="minorEastAsia" w:cstheme="minorEastAsia"/>
                <w:color w:val="auto"/>
                <w:kern w:val="2"/>
                <w:sz w:val="24"/>
                <w:szCs w:val="24"/>
              </w:rPr>
            </w:pPr>
          </w:p>
        </w:tc>
        <w:tc>
          <w:tcPr>
            <w:tcW w:w="911" w:type="pct"/>
            <w:vAlign w:val="center"/>
          </w:tcPr>
          <w:p w14:paraId="580FBD92">
            <w:pPr>
              <w:spacing w:line="400" w:lineRule="exact"/>
              <w:jc w:val="center"/>
              <w:rPr>
                <w:rFonts w:hint="eastAsia" w:asciiTheme="minorEastAsia" w:hAnsiTheme="minorEastAsia" w:eastAsiaTheme="minorEastAsia" w:cstheme="minorEastAsia"/>
                <w:color w:val="auto"/>
                <w:kern w:val="2"/>
                <w:sz w:val="24"/>
                <w:szCs w:val="24"/>
              </w:rPr>
            </w:pPr>
          </w:p>
        </w:tc>
      </w:tr>
      <w:tr w14:paraId="247D4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2201" w:type="pct"/>
            <w:vAlign w:val="center"/>
          </w:tcPr>
          <w:p w14:paraId="659431AA">
            <w:pPr>
              <w:widowControl/>
              <w:shd w:val="clear" w:color="auto" w:fill="FFFFFF"/>
              <w:spacing w:line="400" w:lineRule="exact"/>
              <w:ind w:left="420"/>
              <w:contextualSpacing/>
              <w:jc w:val="center"/>
              <w:rPr>
                <w:rFonts w:hint="eastAsia" w:asciiTheme="minorEastAsia" w:hAnsiTheme="minorEastAsia" w:eastAsiaTheme="minorEastAsia" w:cstheme="minorEastAsia"/>
                <w:color w:val="auto"/>
                <w:kern w:val="2"/>
                <w:sz w:val="24"/>
                <w:szCs w:val="24"/>
                <w:lang w:bidi="en-US"/>
              </w:rPr>
            </w:pPr>
          </w:p>
        </w:tc>
        <w:tc>
          <w:tcPr>
            <w:tcW w:w="1887" w:type="pct"/>
            <w:vAlign w:val="center"/>
          </w:tcPr>
          <w:p w14:paraId="01423D13">
            <w:pPr>
              <w:spacing w:line="400" w:lineRule="exact"/>
              <w:jc w:val="center"/>
              <w:rPr>
                <w:rFonts w:hint="eastAsia" w:asciiTheme="minorEastAsia" w:hAnsiTheme="minorEastAsia" w:eastAsiaTheme="minorEastAsia" w:cstheme="minorEastAsia"/>
                <w:color w:val="auto"/>
                <w:kern w:val="2"/>
                <w:sz w:val="24"/>
                <w:szCs w:val="24"/>
              </w:rPr>
            </w:pPr>
          </w:p>
        </w:tc>
        <w:tc>
          <w:tcPr>
            <w:tcW w:w="911" w:type="pct"/>
            <w:vAlign w:val="center"/>
          </w:tcPr>
          <w:p w14:paraId="652DAE1C">
            <w:pPr>
              <w:spacing w:line="400" w:lineRule="exact"/>
              <w:jc w:val="center"/>
              <w:rPr>
                <w:rFonts w:hint="eastAsia" w:asciiTheme="minorEastAsia" w:hAnsiTheme="minorEastAsia" w:eastAsiaTheme="minorEastAsia" w:cstheme="minorEastAsia"/>
                <w:color w:val="auto"/>
                <w:kern w:val="2"/>
                <w:sz w:val="24"/>
                <w:szCs w:val="24"/>
              </w:rPr>
            </w:pPr>
          </w:p>
        </w:tc>
      </w:tr>
      <w:tr w14:paraId="0CAAB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2201" w:type="pct"/>
            <w:vAlign w:val="center"/>
          </w:tcPr>
          <w:p w14:paraId="75517F1A">
            <w:pPr>
              <w:widowControl/>
              <w:shd w:val="clear" w:color="auto" w:fill="FFFFFF"/>
              <w:spacing w:line="400" w:lineRule="exact"/>
              <w:ind w:left="420"/>
              <w:contextualSpacing/>
              <w:jc w:val="center"/>
              <w:rPr>
                <w:rFonts w:hint="eastAsia" w:asciiTheme="minorEastAsia" w:hAnsiTheme="minorEastAsia" w:eastAsiaTheme="minorEastAsia" w:cstheme="minorEastAsia"/>
                <w:color w:val="auto"/>
                <w:kern w:val="2"/>
                <w:sz w:val="24"/>
                <w:szCs w:val="24"/>
                <w:lang w:bidi="en-US"/>
              </w:rPr>
            </w:pPr>
          </w:p>
        </w:tc>
        <w:tc>
          <w:tcPr>
            <w:tcW w:w="1887" w:type="pct"/>
            <w:vAlign w:val="center"/>
          </w:tcPr>
          <w:p w14:paraId="5285F70A">
            <w:pPr>
              <w:spacing w:line="400" w:lineRule="exact"/>
              <w:jc w:val="center"/>
              <w:rPr>
                <w:rFonts w:hint="eastAsia" w:asciiTheme="minorEastAsia" w:hAnsiTheme="minorEastAsia" w:eastAsiaTheme="minorEastAsia" w:cstheme="minorEastAsia"/>
                <w:color w:val="auto"/>
                <w:kern w:val="2"/>
                <w:sz w:val="24"/>
                <w:szCs w:val="24"/>
              </w:rPr>
            </w:pPr>
          </w:p>
        </w:tc>
        <w:tc>
          <w:tcPr>
            <w:tcW w:w="911" w:type="pct"/>
            <w:vAlign w:val="center"/>
          </w:tcPr>
          <w:p w14:paraId="7863185D">
            <w:pPr>
              <w:spacing w:line="400" w:lineRule="exact"/>
              <w:jc w:val="center"/>
              <w:rPr>
                <w:rFonts w:hint="eastAsia" w:asciiTheme="minorEastAsia" w:hAnsiTheme="minorEastAsia" w:eastAsiaTheme="minorEastAsia" w:cstheme="minorEastAsia"/>
                <w:color w:val="auto"/>
                <w:kern w:val="2"/>
                <w:sz w:val="24"/>
                <w:szCs w:val="24"/>
              </w:rPr>
            </w:pPr>
          </w:p>
        </w:tc>
      </w:tr>
      <w:tr w14:paraId="72BAF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2201" w:type="pct"/>
            <w:vAlign w:val="center"/>
          </w:tcPr>
          <w:p w14:paraId="0B517758">
            <w:pPr>
              <w:widowControl/>
              <w:shd w:val="clear" w:color="auto" w:fill="FFFFFF"/>
              <w:spacing w:line="400" w:lineRule="exact"/>
              <w:ind w:left="420"/>
              <w:contextualSpacing/>
              <w:jc w:val="center"/>
              <w:rPr>
                <w:rFonts w:hint="eastAsia" w:asciiTheme="minorEastAsia" w:hAnsiTheme="minorEastAsia" w:eastAsiaTheme="minorEastAsia" w:cstheme="minorEastAsia"/>
                <w:bCs/>
                <w:color w:val="auto"/>
                <w:kern w:val="2"/>
                <w:sz w:val="24"/>
                <w:szCs w:val="24"/>
                <w:lang w:bidi="en-US"/>
              </w:rPr>
            </w:pPr>
          </w:p>
        </w:tc>
        <w:tc>
          <w:tcPr>
            <w:tcW w:w="1887" w:type="pct"/>
            <w:vAlign w:val="center"/>
          </w:tcPr>
          <w:p w14:paraId="4F5C343F">
            <w:pPr>
              <w:spacing w:line="400" w:lineRule="exact"/>
              <w:jc w:val="center"/>
              <w:rPr>
                <w:rFonts w:hint="eastAsia" w:asciiTheme="minorEastAsia" w:hAnsiTheme="minorEastAsia" w:eastAsiaTheme="minorEastAsia" w:cstheme="minorEastAsia"/>
                <w:color w:val="auto"/>
                <w:kern w:val="2"/>
                <w:sz w:val="24"/>
                <w:szCs w:val="24"/>
              </w:rPr>
            </w:pPr>
          </w:p>
        </w:tc>
        <w:tc>
          <w:tcPr>
            <w:tcW w:w="911" w:type="pct"/>
            <w:vAlign w:val="center"/>
          </w:tcPr>
          <w:p w14:paraId="1F4D4774">
            <w:pPr>
              <w:spacing w:line="400" w:lineRule="exact"/>
              <w:jc w:val="center"/>
              <w:rPr>
                <w:rFonts w:hint="eastAsia" w:asciiTheme="minorEastAsia" w:hAnsiTheme="minorEastAsia" w:eastAsiaTheme="minorEastAsia" w:cstheme="minorEastAsia"/>
                <w:color w:val="auto"/>
                <w:kern w:val="2"/>
                <w:sz w:val="24"/>
                <w:szCs w:val="24"/>
              </w:rPr>
            </w:pPr>
          </w:p>
        </w:tc>
      </w:tr>
      <w:tr w14:paraId="44A57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2201" w:type="pct"/>
            <w:vAlign w:val="center"/>
          </w:tcPr>
          <w:p w14:paraId="0A780ED6">
            <w:pPr>
              <w:widowControl/>
              <w:shd w:val="clear" w:color="auto" w:fill="FFFFFF"/>
              <w:spacing w:line="400" w:lineRule="exact"/>
              <w:ind w:left="420"/>
              <w:contextualSpacing/>
              <w:jc w:val="center"/>
              <w:rPr>
                <w:rFonts w:hint="eastAsia" w:asciiTheme="minorEastAsia" w:hAnsiTheme="minorEastAsia" w:eastAsiaTheme="minorEastAsia" w:cstheme="minorEastAsia"/>
                <w:color w:val="auto"/>
                <w:kern w:val="2"/>
                <w:sz w:val="24"/>
                <w:szCs w:val="24"/>
                <w:lang w:bidi="en-US"/>
              </w:rPr>
            </w:pPr>
          </w:p>
        </w:tc>
        <w:tc>
          <w:tcPr>
            <w:tcW w:w="1887" w:type="pct"/>
            <w:vAlign w:val="center"/>
          </w:tcPr>
          <w:p w14:paraId="3ADDD839">
            <w:pPr>
              <w:spacing w:line="400" w:lineRule="exact"/>
              <w:jc w:val="center"/>
              <w:rPr>
                <w:rFonts w:hint="eastAsia" w:asciiTheme="minorEastAsia" w:hAnsiTheme="minorEastAsia" w:eastAsiaTheme="minorEastAsia" w:cstheme="minorEastAsia"/>
                <w:color w:val="auto"/>
                <w:kern w:val="2"/>
                <w:sz w:val="24"/>
                <w:szCs w:val="24"/>
              </w:rPr>
            </w:pPr>
          </w:p>
        </w:tc>
        <w:tc>
          <w:tcPr>
            <w:tcW w:w="911" w:type="pct"/>
            <w:vAlign w:val="center"/>
          </w:tcPr>
          <w:p w14:paraId="6BBCCA30">
            <w:pPr>
              <w:spacing w:line="400" w:lineRule="exact"/>
              <w:jc w:val="center"/>
              <w:rPr>
                <w:rFonts w:hint="eastAsia" w:asciiTheme="minorEastAsia" w:hAnsiTheme="minorEastAsia" w:eastAsiaTheme="minorEastAsia" w:cstheme="minorEastAsia"/>
                <w:color w:val="auto"/>
                <w:kern w:val="2"/>
                <w:sz w:val="24"/>
                <w:szCs w:val="24"/>
              </w:rPr>
            </w:pPr>
          </w:p>
        </w:tc>
      </w:tr>
      <w:tr w14:paraId="79C13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2201" w:type="pct"/>
            <w:vAlign w:val="center"/>
          </w:tcPr>
          <w:p w14:paraId="1B01BBA9">
            <w:pPr>
              <w:widowControl/>
              <w:shd w:val="clear" w:color="auto" w:fill="FFFFFF"/>
              <w:spacing w:line="400" w:lineRule="exact"/>
              <w:ind w:left="420"/>
              <w:contextualSpacing/>
              <w:jc w:val="center"/>
              <w:rPr>
                <w:rFonts w:hint="eastAsia" w:asciiTheme="minorEastAsia" w:hAnsiTheme="minorEastAsia" w:eastAsiaTheme="minorEastAsia" w:cstheme="minorEastAsia"/>
                <w:bCs/>
                <w:color w:val="auto"/>
                <w:kern w:val="2"/>
                <w:sz w:val="24"/>
                <w:szCs w:val="24"/>
                <w:lang w:bidi="en-US"/>
              </w:rPr>
            </w:pPr>
          </w:p>
        </w:tc>
        <w:tc>
          <w:tcPr>
            <w:tcW w:w="1887" w:type="pct"/>
            <w:vAlign w:val="center"/>
          </w:tcPr>
          <w:p w14:paraId="2C890887">
            <w:pPr>
              <w:spacing w:line="400" w:lineRule="exact"/>
              <w:jc w:val="center"/>
              <w:rPr>
                <w:rFonts w:hint="eastAsia" w:asciiTheme="minorEastAsia" w:hAnsiTheme="minorEastAsia" w:eastAsiaTheme="minorEastAsia" w:cstheme="minorEastAsia"/>
                <w:color w:val="auto"/>
                <w:kern w:val="2"/>
                <w:sz w:val="24"/>
                <w:szCs w:val="24"/>
              </w:rPr>
            </w:pPr>
          </w:p>
        </w:tc>
        <w:tc>
          <w:tcPr>
            <w:tcW w:w="911" w:type="pct"/>
            <w:vAlign w:val="center"/>
          </w:tcPr>
          <w:p w14:paraId="2018FD7C">
            <w:pPr>
              <w:spacing w:line="400" w:lineRule="exact"/>
              <w:jc w:val="center"/>
              <w:rPr>
                <w:rFonts w:hint="eastAsia" w:asciiTheme="minorEastAsia" w:hAnsiTheme="minorEastAsia" w:eastAsiaTheme="minorEastAsia" w:cstheme="minorEastAsia"/>
                <w:color w:val="auto"/>
                <w:kern w:val="2"/>
                <w:sz w:val="24"/>
                <w:szCs w:val="24"/>
              </w:rPr>
            </w:pPr>
          </w:p>
        </w:tc>
      </w:tr>
      <w:tr w14:paraId="63488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2201" w:type="pct"/>
            <w:vAlign w:val="center"/>
          </w:tcPr>
          <w:p w14:paraId="04F74373">
            <w:pPr>
              <w:widowControl/>
              <w:shd w:val="clear" w:color="auto" w:fill="FFFFFF"/>
              <w:spacing w:line="400" w:lineRule="exact"/>
              <w:ind w:firstLine="480" w:firstLineChars="200"/>
              <w:contextualSpacing/>
              <w:jc w:val="center"/>
              <w:rPr>
                <w:rFonts w:hint="eastAsia" w:asciiTheme="minorEastAsia" w:hAnsiTheme="minorEastAsia" w:eastAsiaTheme="minorEastAsia" w:cstheme="minorEastAsia"/>
                <w:color w:val="auto"/>
                <w:kern w:val="2"/>
                <w:sz w:val="24"/>
                <w:szCs w:val="24"/>
                <w:lang w:bidi="en-US"/>
              </w:rPr>
            </w:pPr>
          </w:p>
        </w:tc>
        <w:tc>
          <w:tcPr>
            <w:tcW w:w="1887" w:type="pct"/>
            <w:vAlign w:val="center"/>
          </w:tcPr>
          <w:p w14:paraId="1CE33DB7">
            <w:pPr>
              <w:spacing w:line="400" w:lineRule="exact"/>
              <w:jc w:val="center"/>
              <w:rPr>
                <w:rFonts w:hint="eastAsia" w:asciiTheme="minorEastAsia" w:hAnsiTheme="minorEastAsia" w:eastAsiaTheme="minorEastAsia" w:cstheme="minorEastAsia"/>
                <w:color w:val="auto"/>
                <w:kern w:val="2"/>
                <w:sz w:val="24"/>
                <w:szCs w:val="24"/>
              </w:rPr>
            </w:pPr>
          </w:p>
        </w:tc>
        <w:tc>
          <w:tcPr>
            <w:tcW w:w="911" w:type="pct"/>
            <w:vAlign w:val="center"/>
          </w:tcPr>
          <w:p w14:paraId="54C34C07">
            <w:pPr>
              <w:spacing w:line="400" w:lineRule="exact"/>
              <w:jc w:val="center"/>
              <w:rPr>
                <w:rFonts w:hint="eastAsia" w:asciiTheme="minorEastAsia" w:hAnsiTheme="minorEastAsia" w:eastAsiaTheme="minorEastAsia" w:cstheme="minorEastAsia"/>
                <w:color w:val="auto"/>
                <w:kern w:val="2"/>
                <w:sz w:val="24"/>
                <w:szCs w:val="24"/>
              </w:rPr>
            </w:pPr>
          </w:p>
        </w:tc>
      </w:tr>
      <w:tr w14:paraId="23A40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2201" w:type="pct"/>
            <w:tcBorders>
              <w:bottom w:val="single" w:color="auto" w:sz="4" w:space="0"/>
            </w:tcBorders>
            <w:vAlign w:val="center"/>
          </w:tcPr>
          <w:p w14:paraId="7117ABC0">
            <w:pPr>
              <w:widowControl/>
              <w:shd w:val="clear" w:color="auto" w:fill="FFFFFF"/>
              <w:spacing w:line="400" w:lineRule="exact"/>
              <w:ind w:firstLine="480" w:firstLineChars="200"/>
              <w:contextualSpacing/>
              <w:jc w:val="center"/>
              <w:rPr>
                <w:rFonts w:hint="eastAsia" w:asciiTheme="minorEastAsia" w:hAnsiTheme="minorEastAsia" w:eastAsiaTheme="minorEastAsia" w:cstheme="minorEastAsia"/>
                <w:color w:val="auto"/>
                <w:kern w:val="2"/>
                <w:sz w:val="24"/>
                <w:szCs w:val="24"/>
                <w:lang w:bidi="en-US"/>
              </w:rPr>
            </w:pPr>
          </w:p>
        </w:tc>
        <w:tc>
          <w:tcPr>
            <w:tcW w:w="1887" w:type="pct"/>
            <w:tcBorders>
              <w:bottom w:val="single" w:color="auto" w:sz="4" w:space="0"/>
            </w:tcBorders>
            <w:vAlign w:val="center"/>
          </w:tcPr>
          <w:p w14:paraId="3424E8B3">
            <w:pPr>
              <w:spacing w:line="400" w:lineRule="exact"/>
              <w:jc w:val="center"/>
              <w:rPr>
                <w:rFonts w:hint="eastAsia" w:asciiTheme="minorEastAsia" w:hAnsiTheme="minorEastAsia" w:eastAsiaTheme="minorEastAsia" w:cstheme="minorEastAsia"/>
                <w:color w:val="auto"/>
                <w:kern w:val="2"/>
                <w:sz w:val="24"/>
                <w:szCs w:val="24"/>
              </w:rPr>
            </w:pPr>
          </w:p>
        </w:tc>
        <w:tc>
          <w:tcPr>
            <w:tcW w:w="911" w:type="pct"/>
            <w:tcBorders>
              <w:bottom w:val="single" w:color="auto" w:sz="4" w:space="0"/>
            </w:tcBorders>
            <w:vAlign w:val="center"/>
          </w:tcPr>
          <w:p w14:paraId="06FFEFED">
            <w:pPr>
              <w:spacing w:line="400" w:lineRule="exact"/>
              <w:jc w:val="center"/>
              <w:rPr>
                <w:rFonts w:hint="eastAsia" w:asciiTheme="minorEastAsia" w:hAnsiTheme="minorEastAsia" w:eastAsiaTheme="minorEastAsia" w:cstheme="minorEastAsia"/>
                <w:color w:val="auto"/>
                <w:kern w:val="2"/>
                <w:sz w:val="24"/>
                <w:szCs w:val="24"/>
              </w:rPr>
            </w:pPr>
          </w:p>
        </w:tc>
      </w:tr>
    </w:tbl>
    <w:p w14:paraId="51C7C68D">
      <w:pPr>
        <w:spacing w:line="580" w:lineRule="exact"/>
        <w:jc w:val="left"/>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color w:val="auto"/>
          <w:kern w:val="2"/>
          <w:sz w:val="24"/>
          <w:szCs w:val="24"/>
        </w:rPr>
        <w:t>注：行数应根据实际内容自行增减</w:t>
      </w:r>
    </w:p>
    <w:p w14:paraId="72AB6EB3">
      <w:pPr>
        <w:spacing w:line="580" w:lineRule="exact"/>
        <w:rPr>
          <w:rFonts w:hint="eastAsia" w:asciiTheme="minorEastAsia" w:hAnsiTheme="minorEastAsia" w:eastAsiaTheme="minorEastAsia" w:cstheme="minorEastAsia"/>
          <w:color w:val="auto"/>
          <w:sz w:val="24"/>
          <w:szCs w:val="24"/>
        </w:rPr>
      </w:pPr>
    </w:p>
    <w:p w14:paraId="136D4979"/>
    <w:p w14:paraId="35C2C7BB">
      <w:pPr>
        <w:spacing w:line="580" w:lineRule="exact"/>
        <w:jc w:val="center"/>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color w:val="auto"/>
          <w:sz w:val="24"/>
          <w:szCs w:val="24"/>
        </w:rPr>
        <w:t>投标文件目录</w:t>
      </w:r>
    </w:p>
    <w:p w14:paraId="592004F9">
      <w:pPr>
        <w:spacing w:line="580" w:lineRule="exact"/>
        <w:ind w:firstLine="480" w:firstLineChars="200"/>
        <w:rPr>
          <w:rFonts w:hint="eastAsia" w:asciiTheme="minorEastAsia" w:hAnsiTheme="minorEastAsia" w:eastAsiaTheme="minorEastAsia" w:cstheme="minorEastAsia"/>
          <w:color w:val="auto"/>
          <w:sz w:val="24"/>
          <w:szCs w:val="24"/>
        </w:rPr>
      </w:pPr>
    </w:p>
    <w:p w14:paraId="0C7530C5">
      <w:pPr>
        <w:spacing w:line="580" w:lineRule="exact"/>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一、投标人信用承诺函</w:t>
      </w:r>
    </w:p>
    <w:p w14:paraId="06DCB542">
      <w:pPr>
        <w:spacing w:line="580" w:lineRule="exact"/>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二、满足特定资格要求的证明文件（如有特定资格要求）</w:t>
      </w:r>
    </w:p>
    <w:p w14:paraId="5C226796">
      <w:pPr>
        <w:spacing w:line="580" w:lineRule="exact"/>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三、法人授权书</w:t>
      </w:r>
    </w:p>
    <w:p w14:paraId="2EECD1B1">
      <w:pPr>
        <w:spacing w:line="580" w:lineRule="exact"/>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四、投标函</w:t>
      </w:r>
    </w:p>
    <w:p w14:paraId="4E3531DE">
      <w:pPr>
        <w:spacing w:line="580" w:lineRule="exact"/>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五、开标一览表</w:t>
      </w:r>
    </w:p>
    <w:p w14:paraId="69C6DED3">
      <w:pPr>
        <w:spacing w:line="580" w:lineRule="exact"/>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六、投标分项报价表</w:t>
      </w:r>
    </w:p>
    <w:p w14:paraId="0D5F21F1">
      <w:pPr>
        <w:spacing w:line="580" w:lineRule="exact"/>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七、技术要求响应及偏离表</w:t>
      </w:r>
    </w:p>
    <w:p w14:paraId="15A5D380">
      <w:pPr>
        <w:spacing w:line="580" w:lineRule="exact"/>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八、商务要求响应及偏离表</w:t>
      </w:r>
    </w:p>
    <w:p w14:paraId="15AF8AC7">
      <w:pPr>
        <w:spacing w:line="580" w:lineRule="exact"/>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九、服务方案</w:t>
      </w:r>
    </w:p>
    <w:p w14:paraId="0A6BAD64">
      <w:pPr>
        <w:spacing w:line="580" w:lineRule="exact"/>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十、业绩</w:t>
      </w:r>
    </w:p>
    <w:p w14:paraId="5FE7988A">
      <w:pPr>
        <w:spacing w:line="580" w:lineRule="exact"/>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十一、履约能力</w:t>
      </w:r>
    </w:p>
    <w:p w14:paraId="52D3BD59">
      <w:pPr>
        <w:spacing w:line="580" w:lineRule="exact"/>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十二、中小企业声明函（如有）</w:t>
      </w:r>
    </w:p>
    <w:p w14:paraId="2013E9A8">
      <w:pPr>
        <w:spacing w:line="580" w:lineRule="exact"/>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十三、残疾人福利性单位声明函（如有）</w:t>
      </w:r>
    </w:p>
    <w:p w14:paraId="36F7A235">
      <w:pPr>
        <w:spacing w:line="580" w:lineRule="exact"/>
        <w:ind w:firstLine="480" w:firstLineChars="200"/>
        <w:rPr>
          <w:rFonts w:hint="eastAsia" w:asciiTheme="minorEastAsia" w:hAnsiTheme="minorEastAsia" w:eastAsiaTheme="minorEastAsia" w:cstheme="minorEastAsia"/>
          <w:color w:val="auto"/>
          <w:sz w:val="24"/>
          <w:szCs w:val="24"/>
        </w:rPr>
      </w:pPr>
    </w:p>
    <w:p w14:paraId="55168C5E">
      <w:pPr>
        <w:pStyle w:val="244"/>
        <w:spacing w:line="580" w:lineRule="exact"/>
        <w:rPr>
          <w:rFonts w:hint="eastAsia" w:asciiTheme="minorEastAsia" w:hAnsiTheme="minorEastAsia" w:eastAsiaTheme="minorEastAsia" w:cstheme="minorEastAsia"/>
          <w:color w:val="auto"/>
          <w:sz w:val="24"/>
          <w:szCs w:val="24"/>
        </w:rPr>
      </w:pPr>
    </w:p>
    <w:p w14:paraId="5D13C611">
      <w:pPr>
        <w:pStyle w:val="244"/>
        <w:spacing w:line="580" w:lineRule="exact"/>
        <w:rPr>
          <w:rFonts w:hint="eastAsia" w:asciiTheme="minorEastAsia" w:hAnsiTheme="minorEastAsia" w:eastAsiaTheme="minorEastAsia" w:cstheme="minorEastAsia"/>
          <w:color w:val="auto"/>
          <w:sz w:val="24"/>
          <w:szCs w:val="24"/>
        </w:rPr>
      </w:pPr>
    </w:p>
    <w:p w14:paraId="5AA264CC">
      <w:pPr>
        <w:pStyle w:val="244"/>
        <w:spacing w:line="580" w:lineRule="exact"/>
        <w:rPr>
          <w:rFonts w:hint="eastAsia" w:asciiTheme="minorEastAsia" w:hAnsiTheme="minorEastAsia" w:eastAsiaTheme="minorEastAsia" w:cstheme="minorEastAsia"/>
          <w:color w:val="auto"/>
          <w:sz w:val="24"/>
          <w:szCs w:val="24"/>
        </w:rPr>
      </w:pPr>
    </w:p>
    <w:p w14:paraId="2301D228">
      <w:pPr>
        <w:pStyle w:val="244"/>
        <w:spacing w:line="580" w:lineRule="exact"/>
        <w:rPr>
          <w:rFonts w:hint="eastAsia" w:asciiTheme="minorEastAsia" w:hAnsiTheme="minorEastAsia" w:eastAsiaTheme="minorEastAsia" w:cstheme="minorEastAsia"/>
          <w:color w:val="auto"/>
          <w:sz w:val="24"/>
          <w:szCs w:val="24"/>
        </w:rPr>
      </w:pPr>
    </w:p>
    <w:p w14:paraId="17E81F87">
      <w:pPr>
        <w:pStyle w:val="244"/>
        <w:spacing w:line="580" w:lineRule="exact"/>
        <w:rPr>
          <w:rFonts w:hint="eastAsia" w:asciiTheme="minorEastAsia" w:hAnsiTheme="minorEastAsia" w:eastAsiaTheme="minorEastAsia" w:cstheme="minorEastAsia"/>
          <w:color w:val="auto"/>
          <w:sz w:val="24"/>
          <w:szCs w:val="24"/>
        </w:rPr>
      </w:pPr>
    </w:p>
    <w:p w14:paraId="3F0E2D19">
      <w:pPr>
        <w:spacing w:line="580" w:lineRule="exact"/>
        <w:ind w:firstLine="480"/>
        <w:rPr>
          <w:rFonts w:hint="eastAsia" w:asciiTheme="minorEastAsia" w:hAnsiTheme="minorEastAsia" w:eastAsiaTheme="minorEastAsia" w:cstheme="minorEastAsia"/>
          <w:color w:val="auto"/>
          <w:sz w:val="24"/>
          <w:szCs w:val="24"/>
        </w:rPr>
      </w:pPr>
    </w:p>
    <w:p w14:paraId="67145915">
      <w:pPr>
        <w:spacing w:line="580" w:lineRule="exact"/>
        <w:ind w:firstLine="480" w:firstLineChars="200"/>
        <w:jc w:val="left"/>
        <w:outlineLvl w:val="1"/>
        <w:rPr>
          <w:rFonts w:hint="eastAsia" w:asciiTheme="minorEastAsia" w:hAnsiTheme="minorEastAsia" w:eastAsiaTheme="minorEastAsia" w:cstheme="minorEastAsia"/>
          <w:color w:val="auto"/>
          <w:sz w:val="24"/>
          <w:szCs w:val="24"/>
        </w:rPr>
      </w:pPr>
      <w:bookmarkStart w:id="210" w:name="_Toc120614284"/>
      <w:bookmarkEnd w:id="210"/>
      <w:r>
        <w:rPr>
          <w:rFonts w:hint="eastAsia" w:asciiTheme="minorEastAsia" w:hAnsiTheme="minorEastAsia" w:eastAsiaTheme="minorEastAsia" w:cstheme="minorEastAsia"/>
          <w:color w:val="auto"/>
          <w:sz w:val="24"/>
          <w:szCs w:val="24"/>
        </w:rPr>
        <w:t>一、投标人信用承诺函</w:t>
      </w:r>
    </w:p>
    <w:p w14:paraId="08C40E5A">
      <w:pPr>
        <w:spacing w:line="580" w:lineRule="exact"/>
        <w:jc w:val="center"/>
        <w:rPr>
          <w:rFonts w:hint="eastAsia" w:asciiTheme="minorEastAsia" w:hAnsiTheme="minorEastAsia" w:eastAsiaTheme="minorEastAsia" w:cstheme="minorEastAsia"/>
          <w:color w:val="auto"/>
          <w:sz w:val="24"/>
          <w:szCs w:val="24"/>
        </w:rPr>
      </w:pPr>
    </w:p>
    <w:p w14:paraId="12AA79EF">
      <w:pPr>
        <w:spacing w:line="58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投标人信用承诺函</w:t>
      </w:r>
    </w:p>
    <w:p w14:paraId="2C738971">
      <w:pPr>
        <w:spacing w:line="580" w:lineRule="exact"/>
        <w:rPr>
          <w:rFonts w:hint="eastAsia" w:asciiTheme="minorEastAsia" w:hAnsiTheme="minorEastAsia" w:eastAsiaTheme="minorEastAsia" w:cstheme="minorEastAsia"/>
          <w:color w:val="auto"/>
          <w:sz w:val="24"/>
          <w:szCs w:val="24"/>
        </w:rPr>
      </w:pPr>
    </w:p>
    <w:p w14:paraId="3114909B">
      <w:pPr>
        <w:spacing w:line="58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江苏中博通信有限公司：</w:t>
      </w:r>
    </w:p>
    <w:p w14:paraId="7CFC486C">
      <w:pPr>
        <w:spacing w:line="580" w:lineRule="exact"/>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我公司</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（投标人名称）郑重承诺：</w:t>
      </w:r>
    </w:p>
    <w:p w14:paraId="75734753">
      <w:pPr>
        <w:spacing w:line="580" w:lineRule="exact"/>
        <w:ind w:firstLine="49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我公司符合下列要求：</w:t>
      </w:r>
    </w:p>
    <w:p w14:paraId="6284312A">
      <w:pPr>
        <w:spacing w:line="580" w:lineRule="exact"/>
        <w:ind w:firstLine="49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（一）具有独立承担民事责任的能力；</w:t>
      </w:r>
    </w:p>
    <w:p w14:paraId="045EF566">
      <w:pPr>
        <w:spacing w:line="580" w:lineRule="exact"/>
        <w:ind w:firstLine="49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（二）具有良好的商业信誉和健全的财务会计制度；</w:t>
      </w:r>
    </w:p>
    <w:p w14:paraId="49F8F510">
      <w:pPr>
        <w:spacing w:line="580" w:lineRule="exact"/>
        <w:ind w:firstLine="49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（三）具有履行合同所必需的设备和专业技术能力；</w:t>
      </w:r>
    </w:p>
    <w:p w14:paraId="6EDE4AB0">
      <w:pPr>
        <w:spacing w:line="580" w:lineRule="exact"/>
        <w:ind w:firstLine="49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（四）有依法缴纳税收和社会保障资金的良好记录；</w:t>
      </w:r>
    </w:p>
    <w:p w14:paraId="60E44702">
      <w:pPr>
        <w:spacing w:line="580" w:lineRule="exact"/>
        <w:ind w:firstLine="49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（五）参加政府采购活动前三年内，在经营活动中没有重大违法记录。</w:t>
      </w:r>
    </w:p>
    <w:p w14:paraId="30850858">
      <w:pPr>
        <w:spacing w:line="580" w:lineRule="exact"/>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如果我公司中标，将在中标结果公示后七个工作日内向采购人提供下列材料核验：</w:t>
      </w:r>
    </w:p>
    <w:p w14:paraId="7A9DF208">
      <w:pPr>
        <w:spacing w:line="580" w:lineRule="exact"/>
        <w:ind w:firstLine="49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（一）营业执照副本或事业单位法人登记证书；</w:t>
      </w:r>
    </w:p>
    <w:p w14:paraId="185B037C">
      <w:pPr>
        <w:spacing w:line="580" w:lineRule="exact"/>
        <w:ind w:firstLine="49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（二）参加本次政府采购活动前一年的经审计的财务报告（包括“四表一注”，法人成立满一年的提供）或参加本次政府采购活动前一年内的银行资信证明（法人或其他组织提供）或其他证明材料；</w:t>
      </w:r>
    </w:p>
    <w:p w14:paraId="76A17925">
      <w:pPr>
        <w:spacing w:line="580" w:lineRule="exact"/>
        <w:ind w:firstLine="49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（三）履行合同所必需的设备和专业技术能力证明材料；</w:t>
      </w:r>
    </w:p>
    <w:p w14:paraId="2BB17D20">
      <w:pPr>
        <w:spacing w:line="580" w:lineRule="exact"/>
        <w:ind w:firstLine="49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（四）参加本次政府采购活动前一年内至少一个月依法缴纳税收和社会保障资金的证明材料。</w:t>
      </w:r>
    </w:p>
    <w:p w14:paraId="5319F1B1">
      <w:pPr>
        <w:spacing w:line="580" w:lineRule="exact"/>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本公司对上述承诺内容的真实性、合法性、有效性负责，如有虚假，将依法承担相应责任。</w:t>
      </w:r>
    </w:p>
    <w:p w14:paraId="2559EE91">
      <w:pPr>
        <w:spacing w:line="580" w:lineRule="exact"/>
        <w:ind w:firstLine="49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w:t>
      </w:r>
    </w:p>
    <w:p w14:paraId="0621ED4C">
      <w:pPr>
        <w:pStyle w:val="277"/>
        <w:spacing w:line="580" w:lineRule="exact"/>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w:t>
      </w:r>
    </w:p>
    <w:p w14:paraId="613BE828">
      <w:pPr>
        <w:pStyle w:val="277"/>
        <w:spacing w:line="580" w:lineRule="exact"/>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w:t>
      </w:r>
    </w:p>
    <w:p w14:paraId="5E992E0F">
      <w:pPr>
        <w:spacing w:line="580" w:lineRule="exact"/>
        <w:ind w:right="1780" w:firstLine="360"/>
        <w:jc w:val="righ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投标人名称（加盖电子公章）：</w:t>
      </w:r>
    </w:p>
    <w:p w14:paraId="3588F128">
      <w:pPr>
        <w:spacing w:line="580" w:lineRule="exact"/>
        <w:ind w:firstLine="4488" w:firstLineChars="187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日期：</w:t>
      </w:r>
    </w:p>
    <w:p w14:paraId="61986119">
      <w:pPr>
        <w:spacing w:line="580" w:lineRule="exact"/>
        <w:ind w:firstLine="480"/>
        <w:rPr>
          <w:rFonts w:hint="eastAsia" w:asciiTheme="minorEastAsia" w:hAnsiTheme="minorEastAsia" w:eastAsiaTheme="minorEastAsia" w:cstheme="minorEastAsia"/>
          <w:color w:val="auto"/>
          <w:sz w:val="24"/>
          <w:szCs w:val="24"/>
        </w:rPr>
      </w:pPr>
    </w:p>
    <w:p w14:paraId="2DD1E68E">
      <w:pPr>
        <w:spacing w:line="580" w:lineRule="exact"/>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说明：执行南京市财政局《关于在政府采购活动中推行信用承诺制的通知》（宁财购通</w:t>
      </w:r>
      <w:r>
        <w:rPr>
          <w:rFonts w:hint="eastAsia" w:asciiTheme="minorEastAsia" w:hAnsiTheme="minorEastAsia" w:eastAsiaTheme="minorEastAsia" w:cstheme="minorEastAsia"/>
          <w:color w:val="auto"/>
          <w:sz w:val="24"/>
          <w:szCs w:val="24"/>
          <w:lang w:val="zh-CN"/>
        </w:rPr>
        <w:t>〔202</w:t>
      </w:r>
      <w:r>
        <w:rPr>
          <w:rFonts w:hint="eastAsia" w:asciiTheme="minorEastAsia" w:hAnsiTheme="minorEastAsia" w:eastAsiaTheme="minorEastAsia" w:cstheme="minorEastAsia"/>
          <w:color w:val="auto"/>
          <w:sz w:val="24"/>
          <w:szCs w:val="24"/>
        </w:rPr>
        <w:t>1</w:t>
      </w:r>
      <w:r>
        <w:rPr>
          <w:rFonts w:hint="eastAsia" w:asciiTheme="minorEastAsia" w:hAnsiTheme="minorEastAsia" w:eastAsiaTheme="minorEastAsia" w:cstheme="minorEastAsia"/>
          <w:color w:val="auto"/>
          <w:sz w:val="24"/>
          <w:szCs w:val="24"/>
          <w:lang w:val="zh-CN"/>
        </w:rPr>
        <w:t>〕5号</w:t>
      </w:r>
      <w:r>
        <w:rPr>
          <w:rFonts w:hint="eastAsia" w:asciiTheme="minorEastAsia" w:hAnsiTheme="minorEastAsia" w:eastAsiaTheme="minorEastAsia" w:cstheme="minorEastAsia"/>
          <w:color w:val="auto"/>
          <w:sz w:val="24"/>
          <w:szCs w:val="24"/>
        </w:rPr>
        <w:t>）要求。并提供</w:t>
      </w:r>
      <w:r>
        <w:rPr>
          <w:rFonts w:hint="eastAsia" w:asciiTheme="minorEastAsia" w:hAnsiTheme="minorEastAsia" w:eastAsiaTheme="minorEastAsia" w:cstheme="minorEastAsia"/>
          <w:bCs/>
          <w:color w:val="auto"/>
          <w:sz w:val="24"/>
          <w:szCs w:val="24"/>
        </w:rPr>
        <w:t>《南京市政府采购投标人信用记录表暨信用承诺书》。</w:t>
      </w:r>
    </w:p>
    <w:p w14:paraId="6886B3B2">
      <w:pPr>
        <w:pStyle w:val="44"/>
        <w:spacing w:line="580" w:lineRule="exact"/>
        <w:rPr>
          <w:rFonts w:hint="eastAsia" w:asciiTheme="minorEastAsia" w:hAnsiTheme="minorEastAsia" w:eastAsiaTheme="minorEastAsia" w:cstheme="minorEastAsia"/>
          <w:b/>
          <w:color w:val="auto"/>
          <w:sz w:val="24"/>
          <w:szCs w:val="24"/>
          <w:lang w:eastAsia="zh-CN"/>
        </w:rPr>
      </w:pPr>
    </w:p>
    <w:p w14:paraId="6D3F2335">
      <w:pPr>
        <w:rPr>
          <w:rFonts w:hint="eastAsia" w:asciiTheme="minorEastAsia" w:hAnsiTheme="minorEastAsia" w:eastAsiaTheme="minorEastAsia" w:cstheme="minorEastAsia"/>
          <w:b/>
          <w:color w:val="auto"/>
          <w:sz w:val="24"/>
          <w:szCs w:val="24"/>
        </w:rPr>
      </w:pPr>
    </w:p>
    <w:p w14:paraId="0674B134">
      <w:pPr>
        <w:pStyle w:val="43"/>
        <w:rPr>
          <w:rFonts w:hint="eastAsia" w:asciiTheme="minorEastAsia" w:hAnsiTheme="minorEastAsia" w:eastAsiaTheme="minorEastAsia" w:cstheme="minorEastAsia"/>
          <w:b/>
          <w:color w:val="auto"/>
          <w:lang w:eastAsia="zh-CN"/>
        </w:rPr>
      </w:pPr>
    </w:p>
    <w:p w14:paraId="273DB29B">
      <w:pPr>
        <w:pStyle w:val="43"/>
        <w:rPr>
          <w:rFonts w:hint="eastAsia" w:asciiTheme="minorEastAsia" w:hAnsiTheme="minorEastAsia" w:eastAsiaTheme="minorEastAsia" w:cstheme="minorEastAsia"/>
          <w:b/>
          <w:color w:val="auto"/>
          <w:lang w:eastAsia="zh-CN"/>
        </w:rPr>
      </w:pPr>
    </w:p>
    <w:p w14:paraId="07DB9D0B">
      <w:pPr>
        <w:pStyle w:val="43"/>
        <w:rPr>
          <w:rFonts w:hint="eastAsia" w:asciiTheme="minorEastAsia" w:hAnsiTheme="minorEastAsia" w:eastAsiaTheme="minorEastAsia" w:cstheme="minorEastAsia"/>
          <w:b/>
          <w:color w:val="auto"/>
          <w:lang w:eastAsia="zh-CN"/>
        </w:rPr>
      </w:pPr>
    </w:p>
    <w:p w14:paraId="19BE163F">
      <w:pPr>
        <w:pStyle w:val="43"/>
        <w:rPr>
          <w:rFonts w:hint="eastAsia" w:asciiTheme="minorEastAsia" w:hAnsiTheme="minorEastAsia" w:eastAsiaTheme="minorEastAsia" w:cstheme="minorEastAsia"/>
          <w:b/>
          <w:color w:val="auto"/>
          <w:lang w:eastAsia="zh-CN"/>
        </w:rPr>
      </w:pPr>
    </w:p>
    <w:p w14:paraId="65C5E2D5">
      <w:pPr>
        <w:pStyle w:val="43"/>
        <w:rPr>
          <w:rFonts w:hint="eastAsia" w:asciiTheme="minorEastAsia" w:hAnsiTheme="minorEastAsia" w:eastAsiaTheme="minorEastAsia" w:cstheme="minorEastAsia"/>
          <w:b/>
          <w:color w:val="auto"/>
          <w:lang w:eastAsia="zh-CN"/>
        </w:rPr>
      </w:pPr>
    </w:p>
    <w:p w14:paraId="6B3BEF0B">
      <w:pPr>
        <w:pStyle w:val="43"/>
        <w:rPr>
          <w:rFonts w:hint="eastAsia" w:asciiTheme="minorEastAsia" w:hAnsiTheme="minorEastAsia" w:eastAsiaTheme="minorEastAsia" w:cstheme="minorEastAsia"/>
          <w:b/>
          <w:color w:val="auto"/>
          <w:lang w:eastAsia="zh-CN"/>
        </w:rPr>
      </w:pPr>
    </w:p>
    <w:p w14:paraId="670F4DD1">
      <w:pPr>
        <w:pStyle w:val="43"/>
        <w:rPr>
          <w:rFonts w:hint="eastAsia" w:asciiTheme="minorEastAsia" w:hAnsiTheme="minorEastAsia" w:eastAsiaTheme="minorEastAsia" w:cstheme="minorEastAsia"/>
          <w:b/>
          <w:color w:val="auto"/>
          <w:lang w:eastAsia="zh-CN"/>
        </w:rPr>
      </w:pPr>
    </w:p>
    <w:p w14:paraId="0EC8FD6D">
      <w:pPr>
        <w:pStyle w:val="43"/>
        <w:rPr>
          <w:rFonts w:hint="eastAsia" w:asciiTheme="minorEastAsia" w:hAnsiTheme="minorEastAsia" w:eastAsiaTheme="minorEastAsia" w:cstheme="minorEastAsia"/>
          <w:b/>
          <w:color w:val="auto"/>
          <w:lang w:eastAsia="zh-CN"/>
        </w:rPr>
      </w:pPr>
    </w:p>
    <w:p w14:paraId="1092CC38">
      <w:pPr>
        <w:pStyle w:val="43"/>
        <w:rPr>
          <w:rFonts w:hint="eastAsia" w:asciiTheme="minorEastAsia" w:hAnsiTheme="minorEastAsia" w:eastAsiaTheme="minorEastAsia" w:cstheme="minorEastAsia"/>
          <w:b/>
          <w:color w:val="auto"/>
          <w:lang w:eastAsia="zh-CN"/>
        </w:rPr>
      </w:pPr>
    </w:p>
    <w:p w14:paraId="1DF20AFD">
      <w:pPr>
        <w:pStyle w:val="43"/>
        <w:rPr>
          <w:rFonts w:hint="eastAsia" w:asciiTheme="minorEastAsia" w:hAnsiTheme="minorEastAsia" w:eastAsiaTheme="minorEastAsia" w:cstheme="minorEastAsia"/>
          <w:b/>
          <w:color w:val="auto"/>
          <w:lang w:eastAsia="zh-CN"/>
        </w:rPr>
      </w:pPr>
    </w:p>
    <w:p w14:paraId="50A18398">
      <w:pPr>
        <w:pStyle w:val="43"/>
        <w:rPr>
          <w:rFonts w:hint="eastAsia" w:asciiTheme="minorEastAsia" w:hAnsiTheme="minorEastAsia" w:eastAsiaTheme="minorEastAsia" w:cstheme="minorEastAsia"/>
          <w:b/>
          <w:color w:val="auto"/>
          <w:lang w:eastAsia="zh-CN"/>
        </w:rPr>
      </w:pPr>
    </w:p>
    <w:p w14:paraId="06379766">
      <w:pPr>
        <w:pStyle w:val="43"/>
        <w:rPr>
          <w:rFonts w:hint="eastAsia" w:asciiTheme="minorEastAsia" w:hAnsiTheme="minorEastAsia" w:eastAsiaTheme="minorEastAsia" w:cstheme="minorEastAsia"/>
          <w:b/>
          <w:color w:val="auto"/>
          <w:lang w:eastAsia="zh-CN"/>
        </w:rPr>
      </w:pPr>
    </w:p>
    <w:p w14:paraId="0C36F603">
      <w:pPr>
        <w:pStyle w:val="43"/>
        <w:rPr>
          <w:rFonts w:hint="eastAsia" w:asciiTheme="minorEastAsia" w:hAnsiTheme="minorEastAsia" w:eastAsiaTheme="minorEastAsia" w:cstheme="minorEastAsia"/>
          <w:b/>
          <w:color w:val="auto"/>
          <w:lang w:eastAsia="zh-CN"/>
        </w:rPr>
      </w:pPr>
    </w:p>
    <w:p w14:paraId="78EDC06A">
      <w:pPr>
        <w:pStyle w:val="43"/>
        <w:rPr>
          <w:rFonts w:hint="eastAsia" w:asciiTheme="minorEastAsia" w:hAnsiTheme="minorEastAsia" w:eastAsiaTheme="minorEastAsia" w:cstheme="minorEastAsia"/>
          <w:b/>
          <w:color w:val="auto"/>
          <w:lang w:eastAsia="zh-CN"/>
        </w:rPr>
      </w:pPr>
    </w:p>
    <w:p w14:paraId="47DA4B52">
      <w:pPr>
        <w:pStyle w:val="43"/>
        <w:rPr>
          <w:rFonts w:hint="eastAsia" w:asciiTheme="minorEastAsia" w:hAnsiTheme="minorEastAsia" w:eastAsiaTheme="minorEastAsia" w:cstheme="minorEastAsia"/>
          <w:b/>
          <w:color w:val="auto"/>
          <w:lang w:eastAsia="zh-CN"/>
        </w:rPr>
      </w:pPr>
    </w:p>
    <w:p w14:paraId="6F863F72">
      <w:pPr>
        <w:pStyle w:val="43"/>
        <w:rPr>
          <w:rFonts w:hint="eastAsia" w:asciiTheme="minorEastAsia" w:hAnsiTheme="minorEastAsia" w:eastAsiaTheme="minorEastAsia" w:cstheme="minorEastAsia"/>
          <w:b/>
          <w:color w:val="auto"/>
          <w:lang w:eastAsia="zh-CN"/>
        </w:rPr>
      </w:pPr>
    </w:p>
    <w:p w14:paraId="03DFEF60">
      <w:pPr>
        <w:pStyle w:val="43"/>
        <w:rPr>
          <w:rFonts w:hint="eastAsia" w:asciiTheme="minorEastAsia" w:hAnsiTheme="minorEastAsia" w:eastAsiaTheme="minorEastAsia" w:cstheme="minorEastAsia"/>
          <w:b/>
          <w:color w:val="auto"/>
          <w:lang w:eastAsia="zh-CN"/>
        </w:rPr>
      </w:pPr>
    </w:p>
    <w:p w14:paraId="191F4B7F">
      <w:pPr>
        <w:pStyle w:val="43"/>
        <w:rPr>
          <w:rFonts w:hint="eastAsia" w:asciiTheme="minorEastAsia" w:hAnsiTheme="minorEastAsia" w:eastAsiaTheme="minorEastAsia" w:cstheme="minorEastAsia"/>
          <w:b/>
          <w:color w:val="auto"/>
          <w:lang w:eastAsia="zh-CN"/>
        </w:rPr>
      </w:pPr>
    </w:p>
    <w:p w14:paraId="3F714312">
      <w:pPr>
        <w:pStyle w:val="43"/>
        <w:rPr>
          <w:rFonts w:hint="eastAsia" w:asciiTheme="minorEastAsia" w:hAnsiTheme="minorEastAsia" w:eastAsiaTheme="minorEastAsia" w:cstheme="minorEastAsia"/>
          <w:b/>
          <w:color w:val="auto"/>
          <w:lang w:eastAsia="zh-CN"/>
        </w:rPr>
      </w:pPr>
    </w:p>
    <w:p w14:paraId="68185639">
      <w:pPr>
        <w:spacing w:line="580" w:lineRule="exact"/>
        <w:ind w:firstLine="480" w:firstLineChars="200"/>
        <w:outlineLvl w:val="1"/>
        <w:rPr>
          <w:rFonts w:hint="eastAsia" w:asciiTheme="minorEastAsia" w:hAnsiTheme="minorEastAsia" w:eastAsiaTheme="minorEastAsia" w:cstheme="minorEastAsia"/>
          <w:i/>
          <w:color w:val="auto"/>
          <w:sz w:val="24"/>
          <w:szCs w:val="24"/>
          <w:u w:val="single"/>
        </w:rPr>
      </w:pPr>
      <w:r>
        <w:rPr>
          <w:rFonts w:hint="eastAsia" w:asciiTheme="minorEastAsia" w:hAnsiTheme="minorEastAsia" w:eastAsiaTheme="minorEastAsia" w:cstheme="minorEastAsia"/>
          <w:color w:val="auto"/>
          <w:sz w:val="24"/>
          <w:szCs w:val="24"/>
        </w:rPr>
        <w:t>二、满足特定资格要求的证明文件</w:t>
      </w:r>
    </w:p>
    <w:p w14:paraId="08B0AC4A">
      <w:pPr>
        <w:pStyle w:val="250"/>
        <w:spacing w:line="580" w:lineRule="exact"/>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无。</w:t>
      </w:r>
    </w:p>
    <w:p w14:paraId="7CCE55B7">
      <w:pPr>
        <w:spacing w:line="580" w:lineRule="exact"/>
        <w:rPr>
          <w:rFonts w:hint="eastAsia" w:asciiTheme="minorEastAsia" w:hAnsiTheme="minorEastAsia" w:eastAsiaTheme="minorEastAsia" w:cstheme="minorEastAsia"/>
          <w:i/>
          <w:color w:val="auto"/>
          <w:sz w:val="24"/>
          <w:szCs w:val="24"/>
          <w:u w:val="single"/>
        </w:rPr>
      </w:pPr>
    </w:p>
    <w:p w14:paraId="0C861319">
      <w:pPr>
        <w:spacing w:line="580" w:lineRule="exact"/>
        <w:ind w:firstLine="480" w:firstLineChars="200"/>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三、法人授权书</w:t>
      </w:r>
    </w:p>
    <w:p w14:paraId="2724FA5D">
      <w:pPr>
        <w:spacing w:line="580" w:lineRule="exact"/>
        <w:jc w:val="center"/>
        <w:rPr>
          <w:rFonts w:hint="eastAsia" w:asciiTheme="minorEastAsia" w:hAnsiTheme="minorEastAsia" w:eastAsiaTheme="minorEastAsia" w:cstheme="minorEastAsia"/>
          <w:color w:val="auto"/>
          <w:sz w:val="24"/>
          <w:szCs w:val="24"/>
        </w:rPr>
      </w:pPr>
    </w:p>
    <w:p w14:paraId="0E9768FF">
      <w:pPr>
        <w:spacing w:line="58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法人授权书</w:t>
      </w:r>
    </w:p>
    <w:p w14:paraId="61A3B9FA">
      <w:pPr>
        <w:pStyle w:val="250"/>
        <w:spacing w:line="580" w:lineRule="exact"/>
        <w:ind w:firstLine="480"/>
        <w:rPr>
          <w:rFonts w:hint="eastAsia" w:asciiTheme="minorEastAsia" w:hAnsiTheme="minorEastAsia" w:eastAsiaTheme="minorEastAsia" w:cstheme="minorEastAsia"/>
          <w:color w:val="auto"/>
          <w:sz w:val="24"/>
          <w:szCs w:val="24"/>
        </w:rPr>
      </w:pPr>
    </w:p>
    <w:p w14:paraId="6122A6A0">
      <w:pPr>
        <w:pStyle w:val="250"/>
        <w:spacing w:line="580" w:lineRule="exact"/>
        <w:ind w:firstLine="480" w:firstLineChars="20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本授权书声明：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（投标人名称）授权</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（被授权人姓名）作为我方参加编号为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项目采购活动的合法代理人，以本单位名义全权处理一切与该项目采购有关的事务。</w:t>
      </w:r>
    </w:p>
    <w:p w14:paraId="095F3D2B">
      <w:pPr>
        <w:pStyle w:val="250"/>
        <w:spacing w:line="580" w:lineRule="exact"/>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本授权书自______年____月____日起生效，特此声明。</w:t>
      </w:r>
    </w:p>
    <w:p w14:paraId="25BA4375">
      <w:pPr>
        <w:pStyle w:val="250"/>
        <w:spacing w:line="580" w:lineRule="exact"/>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被授权人身份证号码：</w:t>
      </w:r>
    </w:p>
    <w:p w14:paraId="75BAB91D">
      <w:pPr>
        <w:pStyle w:val="250"/>
        <w:spacing w:line="580" w:lineRule="exact"/>
        <w:ind w:firstLine="480" w:firstLineChars="200"/>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被授权人联系电话：（手机）</w:t>
      </w:r>
    </w:p>
    <w:p w14:paraId="175C9708">
      <w:pPr>
        <w:pStyle w:val="250"/>
        <w:spacing w:line="580" w:lineRule="exact"/>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单位名称（加盖电子公章）：</w:t>
      </w:r>
    </w:p>
    <w:p w14:paraId="561ACD5F">
      <w:pPr>
        <w:pStyle w:val="250"/>
        <w:spacing w:line="580" w:lineRule="exact"/>
        <w:ind w:firstLine="480" w:firstLineChars="200"/>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单位地址：</w:t>
      </w:r>
    </w:p>
    <w:p w14:paraId="5D458994">
      <w:pPr>
        <w:pStyle w:val="250"/>
        <w:spacing w:line="580" w:lineRule="exact"/>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日期：</w:t>
      </w:r>
      <w:bookmarkStart w:id="211" w:name="_Hlt26955070"/>
      <w:bookmarkEnd w:id="211"/>
      <w:bookmarkStart w:id="212" w:name="_格式3__银行出具的资信证明"/>
      <w:bookmarkEnd w:id="212"/>
      <w:bookmarkStart w:id="213" w:name="_Hlt26671380"/>
      <w:bookmarkEnd w:id="213"/>
    </w:p>
    <w:p w14:paraId="4FBBEB53">
      <w:pPr>
        <w:pStyle w:val="194"/>
        <w:spacing w:line="580" w:lineRule="exact"/>
        <w:rPr>
          <w:rFonts w:hint="eastAsia" w:asciiTheme="minorEastAsia" w:hAnsiTheme="minorEastAsia" w:eastAsiaTheme="minorEastAsia" w:cstheme="minorEastAsia"/>
          <w:i/>
          <w:color w:val="auto"/>
          <w:sz w:val="24"/>
          <w:szCs w:val="24"/>
          <w:u w:val="single"/>
        </w:rPr>
      </w:pPr>
    </w:p>
    <w:p w14:paraId="5CC66DD8">
      <w:pPr>
        <w:pStyle w:val="194"/>
        <w:spacing w:line="580" w:lineRule="exact"/>
        <w:rPr>
          <w:rFonts w:hint="eastAsia" w:asciiTheme="minorEastAsia" w:hAnsiTheme="minorEastAsia" w:eastAsiaTheme="minorEastAsia" w:cstheme="minorEastAsia"/>
          <w:i/>
          <w:color w:val="auto"/>
          <w:sz w:val="24"/>
          <w:szCs w:val="24"/>
          <w:u w:val="single"/>
        </w:rPr>
      </w:pPr>
    </w:p>
    <w:p w14:paraId="60FBE40B">
      <w:pPr>
        <w:pStyle w:val="194"/>
        <w:spacing w:line="580" w:lineRule="exact"/>
        <w:rPr>
          <w:rFonts w:hint="eastAsia" w:asciiTheme="minorEastAsia" w:hAnsiTheme="minorEastAsia" w:eastAsiaTheme="minorEastAsia" w:cstheme="minorEastAsia"/>
          <w:i/>
          <w:color w:val="auto"/>
          <w:sz w:val="24"/>
          <w:szCs w:val="24"/>
          <w:u w:val="single"/>
        </w:rPr>
      </w:pPr>
    </w:p>
    <w:p w14:paraId="36AB30C0">
      <w:pPr>
        <w:pStyle w:val="194"/>
        <w:spacing w:line="580" w:lineRule="exact"/>
        <w:rPr>
          <w:rFonts w:hint="eastAsia" w:asciiTheme="minorEastAsia" w:hAnsiTheme="minorEastAsia" w:eastAsiaTheme="minorEastAsia" w:cstheme="minorEastAsia"/>
          <w:i/>
          <w:color w:val="auto"/>
          <w:sz w:val="24"/>
          <w:szCs w:val="24"/>
          <w:u w:val="single"/>
        </w:rPr>
      </w:pPr>
    </w:p>
    <w:p w14:paraId="64C1D2C5">
      <w:pPr>
        <w:pStyle w:val="194"/>
        <w:spacing w:line="580" w:lineRule="exact"/>
        <w:rPr>
          <w:rFonts w:hint="eastAsia" w:asciiTheme="minorEastAsia" w:hAnsiTheme="minorEastAsia" w:eastAsiaTheme="minorEastAsia" w:cstheme="minorEastAsia"/>
          <w:i/>
          <w:color w:val="auto"/>
          <w:sz w:val="24"/>
          <w:szCs w:val="24"/>
          <w:u w:val="single"/>
        </w:rPr>
      </w:pPr>
    </w:p>
    <w:p w14:paraId="593D1C0A">
      <w:pPr>
        <w:pStyle w:val="194"/>
        <w:spacing w:line="580" w:lineRule="exact"/>
        <w:rPr>
          <w:rFonts w:hint="eastAsia" w:asciiTheme="minorEastAsia" w:hAnsiTheme="minorEastAsia" w:eastAsiaTheme="minorEastAsia" w:cstheme="minorEastAsia"/>
          <w:i/>
          <w:color w:val="auto"/>
          <w:sz w:val="24"/>
          <w:szCs w:val="24"/>
          <w:u w:val="single"/>
        </w:rPr>
      </w:pPr>
    </w:p>
    <w:p w14:paraId="1E7BFABF">
      <w:pPr>
        <w:spacing w:line="580" w:lineRule="exact"/>
        <w:ind w:firstLine="480" w:firstLineChars="200"/>
        <w:jc w:val="left"/>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四、投标函</w:t>
      </w:r>
    </w:p>
    <w:p w14:paraId="437D333F">
      <w:pPr>
        <w:spacing w:line="580" w:lineRule="exact"/>
        <w:jc w:val="center"/>
        <w:rPr>
          <w:rFonts w:hint="eastAsia" w:asciiTheme="minorEastAsia" w:hAnsiTheme="minorEastAsia" w:eastAsiaTheme="minorEastAsia" w:cstheme="minorEastAsia"/>
          <w:color w:val="auto"/>
          <w:sz w:val="24"/>
          <w:szCs w:val="24"/>
        </w:rPr>
      </w:pPr>
    </w:p>
    <w:p w14:paraId="154F28D6">
      <w:pPr>
        <w:spacing w:line="58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投标函</w:t>
      </w:r>
    </w:p>
    <w:p w14:paraId="2E18FF37">
      <w:pPr>
        <w:pStyle w:val="252"/>
        <w:spacing w:before="0" w:after="0" w:line="580" w:lineRule="exact"/>
        <w:rPr>
          <w:rFonts w:hint="eastAsia" w:asciiTheme="minorEastAsia" w:hAnsiTheme="minorEastAsia" w:eastAsiaTheme="minorEastAsia" w:cstheme="minorEastAsia"/>
          <w:color w:val="auto"/>
        </w:rPr>
      </w:pPr>
    </w:p>
    <w:p w14:paraId="18DE5D1B">
      <w:pPr>
        <w:pStyle w:val="252"/>
        <w:spacing w:before="0" w:after="0" w:line="580" w:lineRule="exact"/>
        <w:ind w:firstLineChars="20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致：江苏中博通信有限公司</w:t>
      </w:r>
    </w:p>
    <w:p w14:paraId="25A6939A">
      <w:pPr>
        <w:pStyle w:val="252"/>
        <w:spacing w:before="0" w:after="0" w:line="580" w:lineRule="exact"/>
        <w:ind w:firstLineChars="20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根据贵方编号为</w:t>
      </w:r>
      <w:r>
        <w:rPr>
          <w:rFonts w:hint="eastAsia" w:asciiTheme="minorEastAsia" w:hAnsiTheme="minorEastAsia" w:eastAsiaTheme="minorEastAsia" w:cstheme="minorEastAsia"/>
          <w:color w:val="auto"/>
          <w:u w:val="single"/>
        </w:rPr>
        <w:t xml:space="preserve">                             </w:t>
      </w:r>
      <w:r>
        <w:rPr>
          <w:rFonts w:hint="eastAsia" w:asciiTheme="minorEastAsia" w:hAnsiTheme="minorEastAsia" w:eastAsiaTheme="minorEastAsia" w:cstheme="minorEastAsia"/>
          <w:color w:val="auto"/>
        </w:rPr>
        <w:t>的项目招标文件，我方正式提交投标函，并宣布同意如下内容：</w:t>
      </w:r>
    </w:p>
    <w:p w14:paraId="027936AB">
      <w:pPr>
        <w:pStyle w:val="252"/>
        <w:spacing w:before="0" w:after="0" w:line="580" w:lineRule="exact"/>
        <w:ind w:firstLineChars="20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1．按招标文件规定的各项要求，向买方提供所需服务。</w:t>
      </w:r>
    </w:p>
    <w:p w14:paraId="7F32E8AD">
      <w:pPr>
        <w:pStyle w:val="252"/>
        <w:spacing w:before="0" w:after="0" w:line="580" w:lineRule="exact"/>
        <w:ind w:firstLineChars="20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2．我们完全理解贵方不一定将合同授予最低报价的投标人。</w:t>
      </w:r>
    </w:p>
    <w:p w14:paraId="5F153BA5">
      <w:pPr>
        <w:pStyle w:val="252"/>
        <w:spacing w:before="0" w:after="0" w:line="580" w:lineRule="exact"/>
        <w:ind w:firstLineChars="20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3．我们已详细审核全部招标文件及其有效补充文件，我们知道必须放弃提出含糊不清或误解问题的权利。</w:t>
      </w:r>
    </w:p>
    <w:p w14:paraId="4C9E1104">
      <w:pPr>
        <w:pStyle w:val="252"/>
        <w:spacing w:before="0" w:after="0" w:line="580" w:lineRule="exact"/>
        <w:ind w:firstLineChars="20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4．我们同意从规定的开标日期起遵循本投标文件，并在规定的投标有效期期满之前均具有约束力。</w:t>
      </w:r>
    </w:p>
    <w:p w14:paraId="66FFABC1">
      <w:pPr>
        <w:pStyle w:val="252"/>
        <w:spacing w:before="0" w:after="0" w:line="580" w:lineRule="exact"/>
        <w:ind w:firstLineChars="20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5．同意向贵方提供贵方可能另外要求的与投标有关的任何证据或资料，并保证我方已提供和将要提供的文件是真实的、准确的。</w:t>
      </w:r>
    </w:p>
    <w:p w14:paraId="796CFB21">
      <w:pPr>
        <w:pStyle w:val="252"/>
        <w:spacing w:before="0" w:after="0" w:line="580" w:lineRule="exact"/>
        <w:ind w:firstLineChars="20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6．一旦我方中标，我方将根据招标文件的规定，严格履行合同的责任和义务,并保证在招标文件规定的时间完成项目，交付买方验收、使用。</w:t>
      </w:r>
    </w:p>
    <w:p w14:paraId="64EB1008">
      <w:pPr>
        <w:spacing w:line="580" w:lineRule="exact"/>
        <w:ind w:firstLine="480" w:firstLineChars="20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7．我方为：¨大型企业 ¨中型企业 ¨小型企业 ¨微型企业（在对应¨内</w:t>
      </w:r>
      <w:r>
        <w:rPr>
          <w:rFonts w:hint="eastAsia" w:asciiTheme="minorEastAsia" w:hAnsiTheme="minorEastAsia" w:eastAsiaTheme="minorEastAsia" w:cstheme="minorEastAsia"/>
          <w:color w:val="auto"/>
          <w:sz w:val="24"/>
          <w:szCs w:val="24"/>
          <w:lang w:val="zh-CN"/>
        </w:rPr>
        <w:t>打“√”</w:t>
      </w:r>
      <w:r>
        <w:rPr>
          <w:rFonts w:hint="eastAsia" w:asciiTheme="minorEastAsia" w:hAnsiTheme="minorEastAsia" w:eastAsiaTheme="minorEastAsia" w:cstheme="minorEastAsia"/>
          <w:color w:val="auto"/>
          <w:sz w:val="24"/>
          <w:szCs w:val="24"/>
        </w:rPr>
        <w:t>）</w:t>
      </w:r>
    </w:p>
    <w:p w14:paraId="28D2E43D">
      <w:pPr>
        <w:pStyle w:val="252"/>
        <w:spacing w:before="0" w:after="0" w:line="580" w:lineRule="exact"/>
        <w:ind w:firstLineChars="20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8．我方与本次投标有关信息</w:t>
      </w:r>
    </w:p>
    <w:p w14:paraId="3D8AD020">
      <w:pPr>
        <w:pStyle w:val="252"/>
        <w:spacing w:before="0" w:after="0" w:line="580" w:lineRule="exact"/>
        <w:ind w:firstLineChars="20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地址：</w:t>
      </w:r>
    </w:p>
    <w:p w14:paraId="115F3EE8">
      <w:pPr>
        <w:pStyle w:val="252"/>
        <w:spacing w:before="0" w:after="0" w:line="580" w:lineRule="exact"/>
        <w:ind w:firstLineChars="20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邮编：</w:t>
      </w:r>
    </w:p>
    <w:p w14:paraId="0DFD179C">
      <w:pPr>
        <w:pStyle w:val="252"/>
        <w:spacing w:before="0" w:after="0" w:line="580" w:lineRule="exact"/>
        <w:ind w:firstLineChars="200"/>
        <w:rPr>
          <w:rFonts w:hint="eastAsia" w:asciiTheme="minorEastAsia" w:hAnsiTheme="minorEastAsia" w:eastAsiaTheme="minorEastAsia" w:cstheme="minorEastAsia"/>
          <w:color w:val="auto"/>
          <w:u w:val="single"/>
        </w:rPr>
      </w:pPr>
      <w:r>
        <w:rPr>
          <w:rFonts w:hint="eastAsia" w:asciiTheme="minorEastAsia" w:hAnsiTheme="minorEastAsia" w:eastAsiaTheme="minorEastAsia" w:cstheme="minorEastAsia"/>
          <w:color w:val="auto"/>
        </w:rPr>
        <w:t>电话：</w:t>
      </w:r>
    </w:p>
    <w:p w14:paraId="417F8088">
      <w:pPr>
        <w:pStyle w:val="252"/>
        <w:spacing w:before="0" w:after="0" w:line="580" w:lineRule="exact"/>
        <w:ind w:firstLineChars="200"/>
        <w:rPr>
          <w:rFonts w:hint="eastAsia" w:asciiTheme="minorEastAsia" w:hAnsiTheme="minorEastAsia" w:eastAsiaTheme="minorEastAsia" w:cstheme="minorEastAsia"/>
          <w:color w:val="auto"/>
          <w:u w:val="single"/>
        </w:rPr>
      </w:pPr>
      <w:r>
        <w:rPr>
          <w:rFonts w:hint="eastAsia" w:asciiTheme="minorEastAsia" w:hAnsiTheme="minorEastAsia" w:eastAsiaTheme="minorEastAsia" w:cstheme="minorEastAsia"/>
          <w:color w:val="auto"/>
        </w:rPr>
        <w:t>传真：</w:t>
      </w:r>
    </w:p>
    <w:p w14:paraId="5372B879">
      <w:pPr>
        <w:pStyle w:val="252"/>
        <w:spacing w:before="0" w:after="0" w:line="580" w:lineRule="exact"/>
        <w:ind w:firstLineChars="200"/>
        <w:rPr>
          <w:rFonts w:hint="eastAsia" w:asciiTheme="minorEastAsia" w:hAnsiTheme="minorEastAsia" w:eastAsiaTheme="minorEastAsia" w:cstheme="minorEastAsia"/>
          <w:color w:val="auto"/>
          <w:u w:val="single"/>
        </w:rPr>
      </w:pPr>
      <w:r>
        <w:rPr>
          <w:rFonts w:hint="eastAsia" w:asciiTheme="minorEastAsia" w:hAnsiTheme="minorEastAsia" w:eastAsiaTheme="minorEastAsia" w:cstheme="minorEastAsia"/>
          <w:color w:val="auto"/>
        </w:rPr>
        <w:t>开户行：</w:t>
      </w:r>
    </w:p>
    <w:p w14:paraId="731BD657">
      <w:pPr>
        <w:pStyle w:val="252"/>
        <w:spacing w:before="0" w:after="0" w:line="580" w:lineRule="exact"/>
        <w:ind w:firstLineChars="200"/>
        <w:rPr>
          <w:rFonts w:hint="eastAsia" w:asciiTheme="minorEastAsia" w:hAnsiTheme="minorEastAsia" w:eastAsiaTheme="minorEastAsia" w:cstheme="minorEastAsia"/>
          <w:color w:val="auto"/>
          <w:u w:val="single"/>
        </w:rPr>
      </w:pPr>
      <w:r>
        <w:rPr>
          <w:rFonts w:hint="eastAsia" w:asciiTheme="minorEastAsia" w:hAnsiTheme="minorEastAsia" w:eastAsiaTheme="minorEastAsia" w:cstheme="minorEastAsia"/>
          <w:color w:val="auto"/>
        </w:rPr>
        <w:t>账号：</w:t>
      </w:r>
    </w:p>
    <w:p w14:paraId="0DFAC663">
      <w:pPr>
        <w:spacing w:line="580" w:lineRule="exact"/>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投标人名称（加盖电子公章）：</w:t>
      </w:r>
    </w:p>
    <w:p w14:paraId="68998453">
      <w:pPr>
        <w:pStyle w:val="252"/>
        <w:spacing w:before="0" w:after="0" w:line="580" w:lineRule="exact"/>
        <w:ind w:firstLineChars="20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日期：</w:t>
      </w:r>
    </w:p>
    <w:p w14:paraId="6476657A">
      <w:pPr>
        <w:pStyle w:val="252"/>
        <w:spacing w:before="0" w:after="0" w:line="580" w:lineRule="exact"/>
        <w:ind w:left="420"/>
        <w:rPr>
          <w:rFonts w:hint="eastAsia" w:asciiTheme="minorEastAsia" w:hAnsiTheme="minorEastAsia" w:eastAsiaTheme="minorEastAsia" w:cstheme="minorEastAsia"/>
          <w:color w:val="auto"/>
        </w:rPr>
      </w:pPr>
    </w:p>
    <w:p w14:paraId="5A02486D">
      <w:pPr>
        <w:pStyle w:val="252"/>
        <w:spacing w:before="0" w:after="0" w:line="580" w:lineRule="exact"/>
        <w:ind w:left="420"/>
        <w:rPr>
          <w:rFonts w:hint="eastAsia" w:asciiTheme="minorEastAsia" w:hAnsiTheme="minorEastAsia" w:eastAsiaTheme="minorEastAsia" w:cstheme="minorEastAsia"/>
          <w:color w:val="auto"/>
        </w:rPr>
      </w:pPr>
    </w:p>
    <w:p w14:paraId="1AD873DC">
      <w:pPr>
        <w:pStyle w:val="252"/>
        <w:spacing w:before="0" w:after="0" w:line="580" w:lineRule="exact"/>
        <w:ind w:left="420"/>
        <w:rPr>
          <w:rFonts w:hint="eastAsia" w:asciiTheme="minorEastAsia" w:hAnsiTheme="minorEastAsia" w:eastAsiaTheme="minorEastAsia" w:cstheme="minorEastAsia"/>
          <w:color w:val="auto"/>
        </w:rPr>
      </w:pPr>
    </w:p>
    <w:p w14:paraId="71A86B52">
      <w:pPr>
        <w:pStyle w:val="252"/>
        <w:spacing w:before="0" w:after="0" w:line="580" w:lineRule="exact"/>
        <w:ind w:left="420"/>
        <w:rPr>
          <w:rFonts w:hint="eastAsia" w:asciiTheme="minorEastAsia" w:hAnsiTheme="minorEastAsia" w:eastAsiaTheme="minorEastAsia" w:cstheme="minorEastAsia"/>
          <w:color w:val="auto"/>
        </w:rPr>
      </w:pPr>
    </w:p>
    <w:p w14:paraId="63B7E258">
      <w:pPr>
        <w:pStyle w:val="252"/>
        <w:spacing w:before="0" w:after="0" w:line="580" w:lineRule="exact"/>
        <w:ind w:left="420"/>
        <w:rPr>
          <w:rFonts w:hint="eastAsia" w:asciiTheme="minorEastAsia" w:hAnsiTheme="minorEastAsia" w:eastAsiaTheme="minorEastAsia" w:cstheme="minorEastAsia"/>
          <w:color w:val="auto"/>
        </w:rPr>
      </w:pPr>
    </w:p>
    <w:p w14:paraId="6AC63BD9">
      <w:pPr>
        <w:pStyle w:val="252"/>
        <w:spacing w:before="0" w:after="0" w:line="580" w:lineRule="exact"/>
        <w:ind w:left="420"/>
        <w:rPr>
          <w:rFonts w:hint="eastAsia" w:asciiTheme="minorEastAsia" w:hAnsiTheme="minorEastAsia" w:eastAsiaTheme="minorEastAsia" w:cstheme="minorEastAsia"/>
          <w:color w:val="auto"/>
        </w:rPr>
      </w:pPr>
    </w:p>
    <w:p w14:paraId="4E312098">
      <w:pPr>
        <w:pStyle w:val="252"/>
        <w:spacing w:before="0" w:after="0" w:line="580" w:lineRule="exact"/>
        <w:ind w:left="420"/>
        <w:rPr>
          <w:rFonts w:hint="eastAsia" w:asciiTheme="minorEastAsia" w:hAnsiTheme="minorEastAsia" w:eastAsiaTheme="minorEastAsia" w:cstheme="minorEastAsia"/>
          <w:color w:val="auto"/>
        </w:rPr>
      </w:pPr>
    </w:p>
    <w:p w14:paraId="35A1AAF6">
      <w:pPr>
        <w:pStyle w:val="252"/>
        <w:spacing w:before="0" w:after="0" w:line="580" w:lineRule="exact"/>
        <w:ind w:left="420"/>
        <w:rPr>
          <w:rFonts w:hint="eastAsia" w:asciiTheme="minorEastAsia" w:hAnsiTheme="minorEastAsia" w:eastAsiaTheme="minorEastAsia" w:cstheme="minorEastAsia"/>
          <w:color w:val="auto"/>
        </w:rPr>
      </w:pPr>
    </w:p>
    <w:p w14:paraId="2F6EE860">
      <w:pPr>
        <w:pStyle w:val="252"/>
        <w:spacing w:before="0" w:after="0" w:line="580" w:lineRule="exact"/>
        <w:ind w:left="420"/>
        <w:rPr>
          <w:rFonts w:hint="eastAsia" w:asciiTheme="minorEastAsia" w:hAnsiTheme="minorEastAsia" w:eastAsiaTheme="minorEastAsia" w:cstheme="minorEastAsia"/>
          <w:color w:val="auto"/>
        </w:rPr>
      </w:pPr>
    </w:p>
    <w:p w14:paraId="352FD9DB">
      <w:pPr>
        <w:pStyle w:val="252"/>
        <w:spacing w:before="0" w:after="0" w:line="580" w:lineRule="exact"/>
        <w:ind w:left="420"/>
        <w:rPr>
          <w:rFonts w:hint="eastAsia" w:asciiTheme="minorEastAsia" w:hAnsiTheme="minorEastAsia" w:eastAsiaTheme="minorEastAsia" w:cstheme="minorEastAsia"/>
          <w:color w:val="auto"/>
        </w:rPr>
      </w:pPr>
    </w:p>
    <w:p w14:paraId="4D17B6CA">
      <w:pPr>
        <w:pStyle w:val="252"/>
        <w:spacing w:before="0" w:after="0" w:line="580" w:lineRule="exact"/>
        <w:ind w:left="420"/>
        <w:rPr>
          <w:rFonts w:hint="eastAsia" w:asciiTheme="minorEastAsia" w:hAnsiTheme="minorEastAsia" w:eastAsiaTheme="minorEastAsia" w:cstheme="minorEastAsia"/>
          <w:color w:val="auto"/>
        </w:rPr>
      </w:pPr>
    </w:p>
    <w:p w14:paraId="77464FAA">
      <w:pPr>
        <w:pStyle w:val="252"/>
        <w:spacing w:before="0" w:after="0" w:line="580" w:lineRule="exact"/>
        <w:ind w:left="420"/>
        <w:rPr>
          <w:rFonts w:hint="eastAsia" w:asciiTheme="minorEastAsia" w:hAnsiTheme="minorEastAsia" w:eastAsiaTheme="minorEastAsia" w:cstheme="minorEastAsia"/>
          <w:color w:val="auto"/>
        </w:rPr>
      </w:pPr>
    </w:p>
    <w:p w14:paraId="6309FE84">
      <w:pPr>
        <w:pStyle w:val="252"/>
        <w:spacing w:before="0" w:after="0" w:line="580" w:lineRule="exact"/>
        <w:ind w:left="420"/>
        <w:rPr>
          <w:rFonts w:hint="eastAsia" w:asciiTheme="minorEastAsia" w:hAnsiTheme="minorEastAsia" w:eastAsiaTheme="minorEastAsia" w:cstheme="minorEastAsia"/>
          <w:color w:val="auto"/>
        </w:rPr>
      </w:pPr>
    </w:p>
    <w:p w14:paraId="4B067873">
      <w:pPr>
        <w:pStyle w:val="252"/>
        <w:spacing w:before="0" w:after="0" w:line="580" w:lineRule="exact"/>
        <w:ind w:left="420"/>
        <w:rPr>
          <w:rFonts w:hint="eastAsia" w:asciiTheme="minorEastAsia" w:hAnsiTheme="minorEastAsia" w:eastAsiaTheme="minorEastAsia" w:cstheme="minorEastAsia"/>
          <w:color w:val="auto"/>
        </w:rPr>
      </w:pPr>
    </w:p>
    <w:p w14:paraId="346BDA15">
      <w:pPr>
        <w:pStyle w:val="252"/>
        <w:spacing w:before="0" w:after="0" w:line="580" w:lineRule="exact"/>
        <w:ind w:left="420"/>
        <w:rPr>
          <w:rFonts w:hint="eastAsia" w:asciiTheme="minorEastAsia" w:hAnsiTheme="minorEastAsia" w:eastAsiaTheme="minorEastAsia" w:cstheme="minorEastAsia"/>
          <w:color w:val="auto"/>
        </w:rPr>
      </w:pPr>
    </w:p>
    <w:p w14:paraId="11E71A54">
      <w:pPr>
        <w:pStyle w:val="252"/>
        <w:spacing w:before="0" w:after="0" w:line="580" w:lineRule="exact"/>
        <w:ind w:left="420"/>
        <w:rPr>
          <w:rFonts w:hint="eastAsia" w:asciiTheme="minorEastAsia" w:hAnsiTheme="minorEastAsia" w:eastAsiaTheme="minorEastAsia" w:cstheme="minorEastAsia"/>
          <w:color w:val="auto"/>
        </w:rPr>
      </w:pPr>
    </w:p>
    <w:p w14:paraId="6BA97886">
      <w:pPr>
        <w:spacing w:line="580" w:lineRule="exact"/>
        <w:ind w:firstLine="480" w:firstLineChars="200"/>
        <w:jc w:val="left"/>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五、开标一览表</w:t>
      </w:r>
    </w:p>
    <w:p w14:paraId="7F054CAD">
      <w:pPr>
        <w:spacing w:line="580" w:lineRule="exact"/>
        <w:jc w:val="center"/>
        <w:rPr>
          <w:rFonts w:hint="eastAsia" w:asciiTheme="minorEastAsia" w:hAnsiTheme="minorEastAsia" w:eastAsiaTheme="minorEastAsia" w:cstheme="minorEastAsia"/>
          <w:color w:val="auto"/>
          <w:sz w:val="24"/>
          <w:szCs w:val="24"/>
        </w:rPr>
      </w:pPr>
    </w:p>
    <w:p w14:paraId="5F819CFF">
      <w:pPr>
        <w:spacing w:line="58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开标一览表</w:t>
      </w:r>
    </w:p>
    <w:p w14:paraId="0A70C745">
      <w:pPr>
        <w:spacing w:line="58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投标人名称（加盖电子公章）：</w:t>
      </w:r>
    </w:p>
    <w:p w14:paraId="2399535F">
      <w:pPr>
        <w:spacing w:line="580" w:lineRule="exact"/>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项目名称：                  项目编号：                    标包号：             </w:t>
      </w:r>
    </w:p>
    <w:tbl>
      <w:tblPr>
        <w:tblStyle w:val="36"/>
        <w:tblW w:w="9498"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90"/>
        <w:gridCol w:w="968"/>
        <w:gridCol w:w="4781"/>
        <w:gridCol w:w="1559"/>
      </w:tblGrid>
      <w:tr w14:paraId="665CF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9" w:hRule="atLeast"/>
        </w:trPr>
        <w:tc>
          <w:tcPr>
            <w:tcW w:w="2190" w:type="dxa"/>
            <w:vMerge w:val="restart"/>
            <w:vAlign w:val="center"/>
          </w:tcPr>
          <w:p w14:paraId="5901072D">
            <w:pPr>
              <w:pStyle w:val="12"/>
              <w:spacing w:line="400" w:lineRule="exact"/>
              <w:ind w:firstLine="0" w:firstLineChars="0"/>
              <w:jc w:val="center"/>
              <w:rPr>
                <w:rFonts w:hint="eastAsia" w:asciiTheme="minorEastAsia" w:hAnsiTheme="minorEastAsia" w:eastAsiaTheme="minorEastAsia" w:cstheme="minorEastAsia"/>
                <w:bCs/>
                <w:sz w:val="24"/>
                <w:szCs w:val="24"/>
              </w:rPr>
            </w:pPr>
            <w:bookmarkStart w:id="214" w:name="_Hlk44577819"/>
            <w:r>
              <w:rPr>
                <w:rFonts w:hint="eastAsia" w:asciiTheme="minorEastAsia" w:hAnsiTheme="minorEastAsia" w:eastAsiaTheme="minorEastAsia" w:cstheme="minorEastAsia"/>
                <w:bCs/>
                <w:sz w:val="24"/>
                <w:szCs w:val="24"/>
              </w:rPr>
              <w:t>投标报价</w:t>
            </w:r>
          </w:p>
        </w:tc>
        <w:tc>
          <w:tcPr>
            <w:tcW w:w="968" w:type="dxa"/>
            <w:vAlign w:val="center"/>
          </w:tcPr>
          <w:p w14:paraId="6B6042BA">
            <w:pPr>
              <w:pStyle w:val="12"/>
              <w:spacing w:line="400" w:lineRule="exact"/>
              <w:ind w:firstLine="0" w:firstLineChars="0"/>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包一</w:t>
            </w:r>
          </w:p>
        </w:tc>
        <w:tc>
          <w:tcPr>
            <w:tcW w:w="4781" w:type="dxa"/>
            <w:vAlign w:val="center"/>
          </w:tcPr>
          <w:p w14:paraId="10CEC49A">
            <w:pPr>
              <w:widowControl/>
              <w:shd w:val="clear" w:color="auto" w:fill="FFFFFF"/>
              <w:spacing w:line="40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每年每吨：       元；</w:t>
            </w:r>
          </w:p>
          <w:p w14:paraId="501B6AD6">
            <w:pPr>
              <w:widowControl/>
              <w:shd w:val="clear" w:color="auto" w:fill="FFFFFF"/>
              <w:spacing w:line="4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承储吨数：       吨；</w:t>
            </w:r>
          </w:p>
        </w:tc>
        <w:tc>
          <w:tcPr>
            <w:tcW w:w="1559" w:type="dxa"/>
            <w:vAlign w:val="center"/>
          </w:tcPr>
          <w:p w14:paraId="409DFBA6">
            <w:pPr>
              <w:pStyle w:val="12"/>
              <w:spacing w:line="400" w:lineRule="exact"/>
              <w:ind w:firstLine="480"/>
              <w:jc w:val="center"/>
              <w:rPr>
                <w:rFonts w:hint="eastAsia" w:asciiTheme="minorEastAsia" w:hAnsiTheme="minorEastAsia" w:eastAsiaTheme="minorEastAsia" w:cstheme="minorEastAsia"/>
                <w:bCs/>
                <w:sz w:val="24"/>
                <w:szCs w:val="24"/>
              </w:rPr>
            </w:pPr>
          </w:p>
        </w:tc>
      </w:tr>
      <w:tr w14:paraId="50E23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5" w:hRule="atLeast"/>
        </w:trPr>
        <w:tc>
          <w:tcPr>
            <w:tcW w:w="2190" w:type="dxa"/>
            <w:vMerge w:val="continue"/>
            <w:vAlign w:val="center"/>
          </w:tcPr>
          <w:p w14:paraId="1C9A1360">
            <w:pPr>
              <w:pStyle w:val="12"/>
              <w:spacing w:line="400" w:lineRule="exact"/>
              <w:ind w:firstLine="480"/>
              <w:jc w:val="center"/>
              <w:rPr>
                <w:rFonts w:hint="eastAsia" w:asciiTheme="minorEastAsia" w:hAnsiTheme="minorEastAsia" w:eastAsiaTheme="minorEastAsia" w:cstheme="minorEastAsia"/>
                <w:bCs/>
                <w:sz w:val="24"/>
                <w:szCs w:val="24"/>
              </w:rPr>
            </w:pPr>
          </w:p>
        </w:tc>
        <w:tc>
          <w:tcPr>
            <w:tcW w:w="968" w:type="dxa"/>
            <w:vAlign w:val="center"/>
          </w:tcPr>
          <w:p w14:paraId="73FE1D5C">
            <w:pPr>
              <w:pStyle w:val="12"/>
              <w:spacing w:line="400" w:lineRule="exact"/>
              <w:ind w:firstLine="0" w:firstLineChars="0"/>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包二</w:t>
            </w:r>
          </w:p>
        </w:tc>
        <w:tc>
          <w:tcPr>
            <w:tcW w:w="4781" w:type="dxa"/>
            <w:vAlign w:val="center"/>
          </w:tcPr>
          <w:p w14:paraId="2A199335">
            <w:pPr>
              <w:widowControl/>
              <w:shd w:val="clear" w:color="auto" w:fill="FFFFFF"/>
              <w:spacing w:line="40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每年每吨：       元；</w:t>
            </w:r>
          </w:p>
          <w:p w14:paraId="1C8C6E23">
            <w:pPr>
              <w:widowControl/>
              <w:shd w:val="clear" w:color="auto" w:fill="FFFFFF"/>
              <w:spacing w:line="40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承储吨数：       吨；</w:t>
            </w:r>
          </w:p>
        </w:tc>
        <w:tc>
          <w:tcPr>
            <w:tcW w:w="1559" w:type="dxa"/>
            <w:vAlign w:val="center"/>
          </w:tcPr>
          <w:p w14:paraId="02349F89">
            <w:pPr>
              <w:pStyle w:val="12"/>
              <w:spacing w:line="400" w:lineRule="exact"/>
              <w:ind w:firstLine="480"/>
              <w:jc w:val="center"/>
              <w:rPr>
                <w:rFonts w:hint="eastAsia" w:asciiTheme="minorEastAsia" w:hAnsiTheme="minorEastAsia" w:eastAsiaTheme="minorEastAsia" w:cstheme="minorEastAsia"/>
                <w:bCs/>
                <w:sz w:val="24"/>
                <w:szCs w:val="24"/>
              </w:rPr>
            </w:pPr>
          </w:p>
        </w:tc>
      </w:tr>
      <w:tr w14:paraId="3C171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4" w:hRule="atLeast"/>
        </w:trPr>
        <w:tc>
          <w:tcPr>
            <w:tcW w:w="2190" w:type="dxa"/>
            <w:vMerge w:val="continue"/>
            <w:vAlign w:val="center"/>
          </w:tcPr>
          <w:p w14:paraId="398423BE">
            <w:pPr>
              <w:pStyle w:val="12"/>
              <w:spacing w:line="400" w:lineRule="exact"/>
              <w:ind w:firstLine="480"/>
              <w:jc w:val="center"/>
              <w:rPr>
                <w:rFonts w:hint="eastAsia" w:asciiTheme="minorEastAsia" w:hAnsiTheme="minorEastAsia" w:eastAsiaTheme="minorEastAsia" w:cstheme="minorEastAsia"/>
                <w:bCs/>
                <w:sz w:val="24"/>
                <w:szCs w:val="24"/>
              </w:rPr>
            </w:pPr>
          </w:p>
        </w:tc>
        <w:tc>
          <w:tcPr>
            <w:tcW w:w="968" w:type="dxa"/>
            <w:vAlign w:val="center"/>
          </w:tcPr>
          <w:p w14:paraId="1D5C03A5">
            <w:pPr>
              <w:pStyle w:val="12"/>
              <w:spacing w:line="400" w:lineRule="exact"/>
              <w:ind w:firstLine="0" w:firstLineChars="0"/>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包三</w:t>
            </w:r>
          </w:p>
        </w:tc>
        <w:tc>
          <w:tcPr>
            <w:tcW w:w="4781" w:type="dxa"/>
            <w:vAlign w:val="center"/>
          </w:tcPr>
          <w:p w14:paraId="40C5E882">
            <w:pPr>
              <w:widowControl/>
              <w:shd w:val="clear" w:color="auto" w:fill="FFFFFF"/>
              <w:spacing w:line="40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每年每吨：       元；</w:t>
            </w:r>
          </w:p>
          <w:p w14:paraId="6E049FB0">
            <w:pPr>
              <w:widowControl/>
              <w:shd w:val="clear" w:color="auto" w:fill="FFFFFF"/>
              <w:spacing w:line="40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承储吨数：       吨；</w:t>
            </w:r>
          </w:p>
        </w:tc>
        <w:tc>
          <w:tcPr>
            <w:tcW w:w="1559" w:type="dxa"/>
            <w:vAlign w:val="center"/>
          </w:tcPr>
          <w:p w14:paraId="426F1F78">
            <w:pPr>
              <w:pStyle w:val="12"/>
              <w:spacing w:line="400" w:lineRule="exact"/>
              <w:ind w:firstLine="480"/>
              <w:jc w:val="center"/>
              <w:rPr>
                <w:rFonts w:hint="eastAsia" w:asciiTheme="minorEastAsia" w:hAnsiTheme="minorEastAsia" w:eastAsiaTheme="minorEastAsia" w:cstheme="minorEastAsia"/>
                <w:bCs/>
                <w:sz w:val="24"/>
                <w:szCs w:val="24"/>
              </w:rPr>
            </w:pPr>
          </w:p>
        </w:tc>
      </w:tr>
      <w:tr w14:paraId="4367B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trPr>
        <w:tc>
          <w:tcPr>
            <w:tcW w:w="2190" w:type="dxa"/>
            <w:vAlign w:val="center"/>
          </w:tcPr>
          <w:p w14:paraId="07863E4F">
            <w:pPr>
              <w:pStyle w:val="12"/>
              <w:spacing w:line="400" w:lineRule="exact"/>
              <w:ind w:firstLine="0" w:firstLineChars="0"/>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服务时间/</w:t>
            </w:r>
          </w:p>
          <w:p w14:paraId="4D869448">
            <w:pPr>
              <w:pStyle w:val="12"/>
              <w:spacing w:line="400" w:lineRule="exact"/>
              <w:ind w:firstLine="0" w:firstLineChars="0"/>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交付使用时间</w:t>
            </w:r>
          </w:p>
        </w:tc>
        <w:tc>
          <w:tcPr>
            <w:tcW w:w="5749" w:type="dxa"/>
            <w:gridSpan w:val="2"/>
            <w:vAlign w:val="center"/>
          </w:tcPr>
          <w:p w14:paraId="36228833">
            <w:pPr>
              <w:pStyle w:val="12"/>
              <w:tabs>
                <w:tab w:val="left" w:pos="3624"/>
              </w:tabs>
              <w:spacing w:line="400" w:lineRule="exact"/>
              <w:ind w:firstLine="480"/>
              <w:jc w:val="center"/>
              <w:rPr>
                <w:rFonts w:hint="eastAsia" w:asciiTheme="minorEastAsia" w:hAnsiTheme="minorEastAsia" w:eastAsiaTheme="minorEastAsia" w:cstheme="minorEastAsia"/>
                <w:bCs/>
                <w:sz w:val="24"/>
                <w:szCs w:val="24"/>
                <w:u w:val="single"/>
              </w:rPr>
            </w:pPr>
            <w:r>
              <w:rPr>
                <w:rFonts w:hint="eastAsia" w:asciiTheme="minorEastAsia" w:hAnsiTheme="minorEastAsia" w:eastAsiaTheme="minorEastAsia" w:cstheme="minorEastAsia"/>
                <w:bCs/>
                <w:sz w:val="24"/>
                <w:szCs w:val="24"/>
                <w:u w:val="single"/>
              </w:rPr>
              <w:t>满足招标文件要求</w:t>
            </w:r>
          </w:p>
        </w:tc>
        <w:tc>
          <w:tcPr>
            <w:tcW w:w="1559" w:type="dxa"/>
            <w:vAlign w:val="center"/>
          </w:tcPr>
          <w:p w14:paraId="1D57AD07">
            <w:pPr>
              <w:pStyle w:val="12"/>
              <w:spacing w:line="400" w:lineRule="exact"/>
              <w:ind w:firstLine="480"/>
              <w:jc w:val="center"/>
              <w:rPr>
                <w:rFonts w:hint="eastAsia" w:asciiTheme="minorEastAsia" w:hAnsiTheme="minorEastAsia" w:eastAsiaTheme="minorEastAsia" w:cstheme="minorEastAsia"/>
                <w:bCs/>
                <w:sz w:val="24"/>
                <w:szCs w:val="24"/>
              </w:rPr>
            </w:pPr>
          </w:p>
          <w:p w14:paraId="5B21C2C2">
            <w:pPr>
              <w:pStyle w:val="12"/>
              <w:spacing w:line="400" w:lineRule="exact"/>
              <w:ind w:firstLine="480"/>
              <w:jc w:val="center"/>
              <w:rPr>
                <w:rFonts w:hint="eastAsia" w:asciiTheme="minorEastAsia" w:hAnsiTheme="minorEastAsia" w:eastAsiaTheme="minorEastAsia" w:cstheme="minorEastAsia"/>
                <w:bCs/>
                <w:sz w:val="24"/>
                <w:szCs w:val="24"/>
              </w:rPr>
            </w:pPr>
          </w:p>
        </w:tc>
      </w:tr>
      <w:tr w14:paraId="365C6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trPr>
        <w:tc>
          <w:tcPr>
            <w:tcW w:w="2190" w:type="dxa"/>
            <w:vAlign w:val="center"/>
          </w:tcPr>
          <w:p w14:paraId="4BE40469">
            <w:pPr>
              <w:pStyle w:val="12"/>
              <w:spacing w:line="400" w:lineRule="exact"/>
              <w:ind w:firstLine="0" w:firstLineChars="0"/>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投标人是否属于小微型企业</w:t>
            </w:r>
          </w:p>
        </w:tc>
        <w:tc>
          <w:tcPr>
            <w:tcW w:w="5749" w:type="dxa"/>
            <w:gridSpan w:val="2"/>
            <w:vAlign w:val="center"/>
          </w:tcPr>
          <w:p w14:paraId="6573479D">
            <w:pPr>
              <w:pStyle w:val="12"/>
              <w:spacing w:line="400" w:lineRule="exact"/>
              <w:ind w:firstLine="480"/>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w:t>
            </w:r>
            <w:r>
              <w:rPr>
                <w:rFonts w:hint="eastAsia" w:asciiTheme="minorEastAsia" w:hAnsiTheme="minorEastAsia" w:eastAsiaTheme="minorEastAsia" w:cstheme="minorEastAsia"/>
                <w:bCs/>
                <w:sz w:val="24"/>
                <w:szCs w:val="24"/>
                <w:lang w:val="zh-CN"/>
              </w:rPr>
              <w:t>填写“是”或“否</w:t>
            </w:r>
            <w:r>
              <w:rPr>
                <w:rFonts w:hint="eastAsia" w:asciiTheme="minorEastAsia" w:hAnsiTheme="minorEastAsia" w:eastAsiaTheme="minorEastAsia" w:cstheme="minorEastAsia"/>
                <w:bCs/>
                <w:sz w:val="24"/>
                <w:szCs w:val="24"/>
              </w:rPr>
              <w:t>）</w:t>
            </w:r>
          </w:p>
        </w:tc>
        <w:tc>
          <w:tcPr>
            <w:tcW w:w="1559" w:type="dxa"/>
            <w:vAlign w:val="center"/>
          </w:tcPr>
          <w:p w14:paraId="119792B3">
            <w:pPr>
              <w:pStyle w:val="12"/>
              <w:spacing w:line="400" w:lineRule="exact"/>
              <w:ind w:firstLine="480"/>
              <w:jc w:val="center"/>
              <w:rPr>
                <w:rFonts w:hint="eastAsia" w:asciiTheme="minorEastAsia" w:hAnsiTheme="minorEastAsia" w:eastAsiaTheme="minorEastAsia" w:cstheme="minorEastAsia"/>
                <w:bCs/>
                <w:sz w:val="24"/>
                <w:szCs w:val="24"/>
              </w:rPr>
            </w:pPr>
          </w:p>
        </w:tc>
      </w:tr>
      <w:tr w14:paraId="3D93F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6" w:hRule="atLeast"/>
        </w:trPr>
        <w:tc>
          <w:tcPr>
            <w:tcW w:w="2190" w:type="dxa"/>
            <w:vAlign w:val="center"/>
          </w:tcPr>
          <w:p w14:paraId="5BCB559B">
            <w:pPr>
              <w:pStyle w:val="12"/>
              <w:spacing w:line="400" w:lineRule="exact"/>
              <w:ind w:firstLine="0" w:firstLineChars="0"/>
              <w:jc w:val="center"/>
              <w:rPr>
                <w:rFonts w:hint="eastAsia" w:asciiTheme="minorEastAsia" w:hAnsiTheme="minorEastAsia" w:eastAsiaTheme="minorEastAsia" w:cstheme="minorEastAsia"/>
                <w:bCs/>
                <w:sz w:val="24"/>
                <w:szCs w:val="24"/>
              </w:rPr>
            </w:pPr>
            <w:bookmarkStart w:id="215" w:name="_Hlk66805508"/>
            <w:r>
              <w:rPr>
                <w:rFonts w:hint="eastAsia" w:asciiTheme="minorEastAsia" w:hAnsiTheme="minorEastAsia" w:eastAsiaTheme="minorEastAsia" w:cstheme="minorEastAsia"/>
                <w:bCs/>
                <w:sz w:val="24"/>
                <w:szCs w:val="24"/>
              </w:rPr>
              <w:t>投标人是否属于残疾人福利性单位</w:t>
            </w:r>
            <w:bookmarkEnd w:id="215"/>
          </w:p>
        </w:tc>
        <w:tc>
          <w:tcPr>
            <w:tcW w:w="5749" w:type="dxa"/>
            <w:gridSpan w:val="2"/>
            <w:vAlign w:val="center"/>
          </w:tcPr>
          <w:p w14:paraId="5E69F02A">
            <w:pPr>
              <w:pStyle w:val="12"/>
              <w:spacing w:line="400" w:lineRule="exact"/>
              <w:ind w:firstLine="480"/>
              <w:jc w:val="center"/>
              <w:rPr>
                <w:rFonts w:hint="eastAsia" w:asciiTheme="minorEastAsia" w:hAnsiTheme="minorEastAsia" w:eastAsiaTheme="minorEastAsia" w:cstheme="minorEastAsia"/>
                <w:bCs/>
                <w:sz w:val="24"/>
                <w:szCs w:val="24"/>
                <w:u w:val="single"/>
              </w:rPr>
            </w:pPr>
            <w:r>
              <w:rPr>
                <w:rFonts w:hint="eastAsia" w:asciiTheme="minorEastAsia" w:hAnsiTheme="minorEastAsia" w:eastAsiaTheme="minorEastAsia" w:cstheme="minorEastAsia"/>
                <w:bCs/>
                <w:sz w:val="24"/>
                <w:szCs w:val="24"/>
              </w:rPr>
              <w:t>（</w:t>
            </w:r>
            <w:r>
              <w:rPr>
                <w:rFonts w:hint="eastAsia" w:asciiTheme="minorEastAsia" w:hAnsiTheme="minorEastAsia" w:eastAsiaTheme="minorEastAsia" w:cstheme="minorEastAsia"/>
                <w:bCs/>
                <w:sz w:val="24"/>
                <w:szCs w:val="24"/>
                <w:lang w:val="zh-CN"/>
              </w:rPr>
              <w:t>填写“是”或“否</w:t>
            </w:r>
            <w:r>
              <w:rPr>
                <w:rFonts w:hint="eastAsia" w:asciiTheme="minorEastAsia" w:hAnsiTheme="minorEastAsia" w:eastAsiaTheme="minorEastAsia" w:cstheme="minorEastAsia"/>
                <w:bCs/>
                <w:sz w:val="24"/>
                <w:szCs w:val="24"/>
              </w:rPr>
              <w:t>）</w:t>
            </w:r>
          </w:p>
        </w:tc>
        <w:tc>
          <w:tcPr>
            <w:tcW w:w="1559" w:type="dxa"/>
            <w:vAlign w:val="center"/>
          </w:tcPr>
          <w:p w14:paraId="187F0F7B">
            <w:pPr>
              <w:pStyle w:val="12"/>
              <w:spacing w:line="400" w:lineRule="exact"/>
              <w:ind w:firstLine="480"/>
              <w:jc w:val="center"/>
              <w:rPr>
                <w:rFonts w:hint="eastAsia" w:asciiTheme="minorEastAsia" w:hAnsiTheme="minorEastAsia" w:eastAsiaTheme="minorEastAsia" w:cstheme="minorEastAsia"/>
                <w:bCs/>
                <w:sz w:val="24"/>
                <w:szCs w:val="24"/>
              </w:rPr>
            </w:pPr>
          </w:p>
        </w:tc>
      </w:tr>
      <w:tr w14:paraId="49B85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1" w:hRule="atLeast"/>
        </w:trPr>
        <w:tc>
          <w:tcPr>
            <w:tcW w:w="2190" w:type="dxa"/>
            <w:vAlign w:val="center"/>
          </w:tcPr>
          <w:p w14:paraId="3DE16167">
            <w:pPr>
              <w:pStyle w:val="12"/>
              <w:spacing w:line="400" w:lineRule="exact"/>
              <w:ind w:firstLine="0" w:firstLineChars="0"/>
              <w:jc w:val="center"/>
              <w:rPr>
                <w:rFonts w:hint="eastAsia" w:asciiTheme="minorEastAsia" w:hAnsiTheme="minorEastAsia" w:eastAsiaTheme="minorEastAsia" w:cstheme="minorEastAsia"/>
                <w:bCs/>
                <w:sz w:val="24"/>
                <w:szCs w:val="24"/>
              </w:rPr>
            </w:pPr>
            <w:bookmarkStart w:id="216" w:name="_Hlk66805528"/>
            <w:r>
              <w:rPr>
                <w:rFonts w:hint="eastAsia" w:asciiTheme="minorEastAsia" w:hAnsiTheme="minorEastAsia" w:eastAsiaTheme="minorEastAsia" w:cstheme="minorEastAsia"/>
                <w:bCs/>
                <w:sz w:val="24"/>
                <w:szCs w:val="24"/>
              </w:rPr>
              <w:t>投标人是否属于监狱企业</w:t>
            </w:r>
            <w:bookmarkEnd w:id="216"/>
          </w:p>
        </w:tc>
        <w:tc>
          <w:tcPr>
            <w:tcW w:w="5749" w:type="dxa"/>
            <w:gridSpan w:val="2"/>
            <w:vAlign w:val="center"/>
          </w:tcPr>
          <w:p w14:paraId="0CAA8E61">
            <w:pPr>
              <w:pStyle w:val="12"/>
              <w:spacing w:line="400" w:lineRule="exact"/>
              <w:ind w:firstLine="480"/>
              <w:jc w:val="center"/>
              <w:rPr>
                <w:rFonts w:hint="eastAsia" w:asciiTheme="minorEastAsia" w:hAnsiTheme="minorEastAsia" w:eastAsiaTheme="minorEastAsia" w:cstheme="minorEastAsia"/>
                <w:bCs/>
                <w:sz w:val="24"/>
                <w:szCs w:val="24"/>
                <w:u w:val="single"/>
              </w:rPr>
            </w:pPr>
            <w:r>
              <w:rPr>
                <w:rFonts w:hint="eastAsia" w:asciiTheme="minorEastAsia" w:hAnsiTheme="minorEastAsia" w:eastAsiaTheme="minorEastAsia" w:cstheme="minorEastAsia"/>
                <w:bCs/>
                <w:sz w:val="24"/>
                <w:szCs w:val="24"/>
              </w:rPr>
              <w:t>（</w:t>
            </w:r>
            <w:r>
              <w:rPr>
                <w:rFonts w:hint="eastAsia" w:asciiTheme="minorEastAsia" w:hAnsiTheme="minorEastAsia" w:eastAsiaTheme="minorEastAsia" w:cstheme="minorEastAsia"/>
                <w:bCs/>
                <w:sz w:val="24"/>
                <w:szCs w:val="24"/>
                <w:lang w:val="zh-CN"/>
              </w:rPr>
              <w:t>填写“是”或“否</w:t>
            </w:r>
            <w:r>
              <w:rPr>
                <w:rFonts w:hint="eastAsia" w:asciiTheme="minorEastAsia" w:hAnsiTheme="minorEastAsia" w:eastAsiaTheme="minorEastAsia" w:cstheme="minorEastAsia"/>
                <w:bCs/>
                <w:sz w:val="24"/>
                <w:szCs w:val="24"/>
              </w:rPr>
              <w:t>）</w:t>
            </w:r>
          </w:p>
        </w:tc>
        <w:tc>
          <w:tcPr>
            <w:tcW w:w="1559" w:type="dxa"/>
            <w:vAlign w:val="center"/>
          </w:tcPr>
          <w:p w14:paraId="39995D3B">
            <w:pPr>
              <w:pStyle w:val="12"/>
              <w:spacing w:line="400" w:lineRule="exact"/>
              <w:ind w:firstLine="480"/>
              <w:jc w:val="center"/>
              <w:rPr>
                <w:rFonts w:hint="eastAsia" w:asciiTheme="minorEastAsia" w:hAnsiTheme="minorEastAsia" w:eastAsiaTheme="minorEastAsia" w:cstheme="minorEastAsia"/>
                <w:bCs/>
                <w:sz w:val="24"/>
                <w:szCs w:val="24"/>
              </w:rPr>
            </w:pPr>
          </w:p>
        </w:tc>
      </w:tr>
      <w:bookmarkEnd w:id="214"/>
    </w:tbl>
    <w:p w14:paraId="33F94628">
      <w:pPr>
        <w:widowControl/>
        <w:shd w:val="clear" w:color="auto" w:fill="FFFFFF"/>
        <w:spacing w:line="58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投标人</w:t>
      </w:r>
      <w:r>
        <w:rPr>
          <w:rFonts w:hint="eastAsia" w:asciiTheme="minorEastAsia" w:hAnsiTheme="minorEastAsia" w:eastAsiaTheme="minorEastAsia" w:cstheme="minorEastAsia"/>
          <w:color w:val="auto"/>
          <w:sz w:val="24"/>
          <w:szCs w:val="24"/>
        </w:rPr>
        <w:t>（加盖电子公章）</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u w:val="single"/>
        </w:rPr>
        <w:t xml:space="preserve">                                   </w:t>
      </w:r>
    </w:p>
    <w:p w14:paraId="03410B6C">
      <w:pPr>
        <w:widowControl/>
        <w:shd w:val="clear" w:color="auto" w:fill="FFFFFF"/>
        <w:spacing w:line="580" w:lineRule="exact"/>
        <w:jc w:val="left"/>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委托代理人（签字或签章）：</w:t>
      </w:r>
      <w:r>
        <w:rPr>
          <w:rFonts w:hint="eastAsia" w:asciiTheme="minorEastAsia" w:hAnsiTheme="minorEastAsia" w:eastAsiaTheme="minorEastAsia" w:cstheme="minorEastAsia"/>
          <w:sz w:val="24"/>
          <w:szCs w:val="24"/>
          <w:u w:val="single"/>
        </w:rPr>
        <w:t xml:space="preserve">                                   </w:t>
      </w:r>
    </w:p>
    <w:p w14:paraId="37E64918">
      <w:pPr>
        <w:pStyle w:val="43"/>
        <w:shd w:val="clear" w:color="auto" w:fill="FFFFFF"/>
        <w:spacing w:line="580" w:lineRule="exact"/>
        <w:ind w:left="0"/>
        <w:rPr>
          <w:rFonts w:hint="eastAsia" w:asciiTheme="minorEastAsia" w:hAnsiTheme="minorEastAsia" w:eastAsiaTheme="minorEastAsia" w:cstheme="minorEastAsia"/>
          <w:u w:val="single"/>
          <w:lang w:eastAsia="zh-CN"/>
        </w:rPr>
      </w:pPr>
      <w:r>
        <w:rPr>
          <w:rFonts w:hint="eastAsia" w:asciiTheme="minorEastAsia" w:hAnsiTheme="minorEastAsia" w:eastAsiaTheme="minorEastAsia" w:cstheme="minorEastAsia"/>
          <w:color w:val="auto"/>
          <w:lang w:eastAsia="zh-CN"/>
        </w:rPr>
        <w:t>日期</w:t>
      </w:r>
      <w:r>
        <w:rPr>
          <w:rFonts w:hint="eastAsia" w:asciiTheme="minorEastAsia" w:hAnsiTheme="minorEastAsia" w:eastAsiaTheme="minorEastAsia" w:cstheme="minorEastAsia"/>
          <w:lang w:eastAsia="zh-CN"/>
        </w:rPr>
        <w:t>：</w:t>
      </w:r>
      <w:r>
        <w:rPr>
          <w:rFonts w:hint="eastAsia" w:asciiTheme="minorEastAsia" w:hAnsiTheme="minorEastAsia" w:eastAsiaTheme="minorEastAsia" w:cstheme="minorEastAsia"/>
          <w:u w:val="single"/>
          <w:lang w:eastAsia="zh-CN"/>
        </w:rPr>
        <w:t xml:space="preserve">                                                         </w:t>
      </w:r>
    </w:p>
    <w:p w14:paraId="0C082A89">
      <w:pPr>
        <w:pStyle w:val="43"/>
        <w:shd w:val="clear" w:color="auto" w:fill="FFFFFF"/>
        <w:spacing w:line="580" w:lineRule="exact"/>
        <w:ind w:left="0"/>
        <w:rPr>
          <w:rFonts w:hint="eastAsia" w:asciiTheme="minorEastAsia" w:hAnsiTheme="minorEastAsia" w:eastAsiaTheme="minorEastAsia" w:cstheme="minorEastAsia"/>
          <w:b/>
          <w:bCs/>
          <w:lang w:eastAsia="zh-CN"/>
        </w:rPr>
      </w:pPr>
    </w:p>
    <w:p w14:paraId="75C952BC">
      <w:pPr>
        <w:pStyle w:val="43"/>
        <w:shd w:val="clear" w:color="auto" w:fill="FFFFFF"/>
        <w:spacing w:line="500" w:lineRule="exact"/>
        <w:ind w:left="0"/>
        <w:jc w:val="both"/>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注：1．“投标人是否属于小微型企业</w:t>
      </w:r>
      <w:r>
        <w:rPr>
          <w:rFonts w:hint="eastAsia" w:asciiTheme="minorEastAsia" w:hAnsiTheme="minorEastAsia" w:eastAsiaTheme="minorEastAsia" w:cstheme="minorEastAsia"/>
          <w:lang w:val="zh-CN" w:eastAsia="zh-CN"/>
        </w:rPr>
        <w:t>”</w:t>
      </w:r>
      <w:r>
        <w:rPr>
          <w:rFonts w:hint="eastAsia" w:asciiTheme="minorEastAsia" w:hAnsiTheme="minorEastAsia" w:eastAsiaTheme="minorEastAsia" w:cstheme="minorEastAsia"/>
          <w:lang w:eastAsia="zh-CN"/>
        </w:rPr>
        <w:t>“</w:t>
      </w:r>
      <w:r>
        <w:rPr>
          <w:rFonts w:hint="eastAsia" w:asciiTheme="minorEastAsia" w:hAnsiTheme="minorEastAsia" w:eastAsiaTheme="minorEastAsia" w:cstheme="minorEastAsia"/>
          <w:lang w:val="zh-CN" w:eastAsia="zh-CN"/>
        </w:rPr>
        <w:t>投标人是否属于残疾人福利性单位</w:t>
      </w:r>
      <w:r>
        <w:rPr>
          <w:rFonts w:hint="eastAsia" w:asciiTheme="minorEastAsia" w:hAnsiTheme="minorEastAsia" w:eastAsiaTheme="minorEastAsia" w:cstheme="minorEastAsia"/>
          <w:lang w:eastAsia="zh-CN"/>
        </w:rPr>
        <w:t>”“投标人是否属于监狱企业”</w:t>
      </w:r>
      <w:r>
        <w:rPr>
          <w:rFonts w:hint="eastAsia" w:asciiTheme="minorEastAsia" w:hAnsiTheme="minorEastAsia" w:eastAsiaTheme="minorEastAsia" w:cstheme="minorEastAsia"/>
          <w:lang w:val="zh-CN" w:eastAsia="zh-CN"/>
        </w:rPr>
        <w:t>栏内填写“是”或“否”。如填写“是”，</w:t>
      </w:r>
      <w:r>
        <w:rPr>
          <w:rFonts w:hint="eastAsia" w:asciiTheme="minorEastAsia" w:hAnsiTheme="minorEastAsia" w:eastAsiaTheme="minorEastAsia" w:cstheme="minorEastAsia"/>
          <w:lang w:eastAsia="zh-CN"/>
        </w:rPr>
        <w:t>投标人需提供《中小企业声明函》、《残疾人福利性单位声明函》、属于监狱企业的证明文件，如未按要求提供、填写，或相关内容表述不清前后矛盾的，不享受价格扣除。</w:t>
      </w:r>
    </w:p>
    <w:p w14:paraId="20F251BB">
      <w:pPr>
        <w:widowControl/>
        <w:shd w:val="clear" w:color="auto" w:fill="FFFFFF"/>
        <w:spacing w:line="500" w:lineRule="exact"/>
        <w:ind w:firstLine="480" w:firstLineChars="200"/>
        <w:rPr>
          <w:rFonts w:hint="eastAsia" w:asciiTheme="minorEastAsia" w:hAnsiTheme="minorEastAsia" w:eastAsiaTheme="minorEastAsia" w:cstheme="minorEastAsia"/>
          <w:sz w:val="24"/>
          <w:szCs w:val="24"/>
          <w:lang w:bidi="en-US"/>
        </w:rPr>
      </w:pPr>
      <w:r>
        <w:rPr>
          <w:rFonts w:hint="eastAsia" w:asciiTheme="minorEastAsia" w:hAnsiTheme="minorEastAsia" w:eastAsiaTheme="minorEastAsia" w:cstheme="minorEastAsia"/>
          <w:sz w:val="24"/>
          <w:szCs w:val="24"/>
          <w:lang w:bidi="en-US"/>
        </w:rPr>
        <w:t>2</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bidi="en-US"/>
        </w:rPr>
        <w:t>《开标一览表》一式两份，一份装订在投标文件中，一份用封套单独加以密封，并在封套上注明“开标一览表”字样，随投标文件一并递交，以便唱标时使用。</w:t>
      </w:r>
    </w:p>
    <w:p w14:paraId="4929F3E4">
      <w:pPr>
        <w:pStyle w:val="15"/>
        <w:spacing w:line="580" w:lineRule="exact"/>
        <w:ind w:firstLine="480"/>
        <w:rPr>
          <w:rFonts w:hint="eastAsia" w:asciiTheme="minorEastAsia" w:hAnsiTheme="minorEastAsia" w:eastAsiaTheme="minorEastAsia" w:cstheme="minorEastAsia"/>
          <w:color w:val="auto"/>
          <w:sz w:val="24"/>
          <w:lang w:val="en-US"/>
        </w:rPr>
      </w:pPr>
    </w:p>
    <w:p w14:paraId="01408C7F">
      <w:pPr>
        <w:rPr>
          <w:rFonts w:hint="eastAsia" w:asciiTheme="minorEastAsia" w:hAnsiTheme="minorEastAsia" w:eastAsiaTheme="minorEastAsia" w:cstheme="minorEastAsia"/>
          <w:color w:val="auto"/>
          <w:sz w:val="24"/>
          <w:szCs w:val="24"/>
        </w:rPr>
      </w:pPr>
    </w:p>
    <w:p w14:paraId="77F86FBE">
      <w:pPr>
        <w:pStyle w:val="43"/>
        <w:rPr>
          <w:rFonts w:hint="eastAsia" w:asciiTheme="minorEastAsia" w:hAnsiTheme="minorEastAsia" w:eastAsiaTheme="minorEastAsia" w:cstheme="minorEastAsia"/>
          <w:color w:val="auto"/>
          <w:lang w:eastAsia="zh-CN"/>
        </w:rPr>
      </w:pPr>
    </w:p>
    <w:p w14:paraId="1CED0143">
      <w:pPr>
        <w:pStyle w:val="43"/>
        <w:rPr>
          <w:rFonts w:hint="eastAsia" w:asciiTheme="minorEastAsia" w:hAnsiTheme="minorEastAsia" w:eastAsiaTheme="minorEastAsia" w:cstheme="minorEastAsia"/>
          <w:color w:val="auto"/>
          <w:lang w:eastAsia="zh-CN"/>
        </w:rPr>
      </w:pPr>
    </w:p>
    <w:p w14:paraId="354A3381">
      <w:pPr>
        <w:pStyle w:val="43"/>
        <w:rPr>
          <w:rFonts w:hint="eastAsia" w:asciiTheme="minorEastAsia" w:hAnsiTheme="minorEastAsia" w:eastAsiaTheme="minorEastAsia" w:cstheme="minorEastAsia"/>
          <w:color w:val="auto"/>
          <w:lang w:eastAsia="zh-CN"/>
        </w:rPr>
      </w:pPr>
    </w:p>
    <w:p w14:paraId="512A8157">
      <w:pPr>
        <w:pStyle w:val="43"/>
        <w:rPr>
          <w:rFonts w:hint="eastAsia" w:asciiTheme="minorEastAsia" w:hAnsiTheme="minorEastAsia" w:eastAsiaTheme="minorEastAsia" w:cstheme="minorEastAsia"/>
          <w:color w:val="auto"/>
          <w:lang w:eastAsia="zh-CN"/>
        </w:rPr>
      </w:pPr>
    </w:p>
    <w:p w14:paraId="76416D31">
      <w:pPr>
        <w:pStyle w:val="43"/>
        <w:rPr>
          <w:rFonts w:hint="eastAsia" w:asciiTheme="minorEastAsia" w:hAnsiTheme="minorEastAsia" w:eastAsiaTheme="minorEastAsia" w:cstheme="minorEastAsia"/>
          <w:color w:val="auto"/>
          <w:lang w:eastAsia="zh-CN"/>
        </w:rPr>
      </w:pPr>
    </w:p>
    <w:p w14:paraId="2A2D4939">
      <w:pPr>
        <w:pStyle w:val="43"/>
        <w:rPr>
          <w:rFonts w:hint="eastAsia" w:asciiTheme="minorEastAsia" w:hAnsiTheme="minorEastAsia" w:eastAsiaTheme="minorEastAsia" w:cstheme="minorEastAsia"/>
          <w:color w:val="auto"/>
          <w:lang w:eastAsia="zh-CN"/>
        </w:rPr>
      </w:pPr>
    </w:p>
    <w:p w14:paraId="1B02C538">
      <w:pPr>
        <w:pStyle w:val="43"/>
        <w:rPr>
          <w:rFonts w:hint="eastAsia" w:asciiTheme="minorEastAsia" w:hAnsiTheme="minorEastAsia" w:eastAsiaTheme="minorEastAsia" w:cstheme="minorEastAsia"/>
          <w:color w:val="auto"/>
          <w:lang w:eastAsia="zh-CN"/>
        </w:rPr>
      </w:pPr>
    </w:p>
    <w:p w14:paraId="57341E48">
      <w:pPr>
        <w:pStyle w:val="43"/>
        <w:rPr>
          <w:rFonts w:hint="eastAsia" w:asciiTheme="minorEastAsia" w:hAnsiTheme="minorEastAsia" w:eastAsiaTheme="minorEastAsia" w:cstheme="minorEastAsia"/>
          <w:color w:val="auto"/>
          <w:lang w:eastAsia="zh-CN"/>
        </w:rPr>
      </w:pPr>
    </w:p>
    <w:p w14:paraId="7FD64DE1">
      <w:pPr>
        <w:pStyle w:val="43"/>
        <w:rPr>
          <w:rFonts w:hint="eastAsia" w:asciiTheme="minorEastAsia" w:hAnsiTheme="minorEastAsia" w:eastAsiaTheme="minorEastAsia" w:cstheme="minorEastAsia"/>
          <w:color w:val="auto"/>
          <w:lang w:eastAsia="zh-CN"/>
        </w:rPr>
      </w:pPr>
    </w:p>
    <w:p w14:paraId="3FB7D7ED">
      <w:pPr>
        <w:pStyle w:val="43"/>
        <w:rPr>
          <w:rFonts w:hint="eastAsia" w:asciiTheme="minorEastAsia" w:hAnsiTheme="minorEastAsia" w:eastAsiaTheme="minorEastAsia" w:cstheme="minorEastAsia"/>
          <w:color w:val="auto"/>
          <w:lang w:eastAsia="zh-CN"/>
        </w:rPr>
      </w:pPr>
    </w:p>
    <w:p w14:paraId="61533372">
      <w:pPr>
        <w:pStyle w:val="43"/>
        <w:rPr>
          <w:rFonts w:hint="eastAsia" w:asciiTheme="minorEastAsia" w:hAnsiTheme="minorEastAsia" w:eastAsiaTheme="minorEastAsia" w:cstheme="minorEastAsia"/>
          <w:color w:val="auto"/>
          <w:lang w:eastAsia="zh-CN"/>
        </w:rPr>
      </w:pPr>
    </w:p>
    <w:p w14:paraId="48863E8F">
      <w:pPr>
        <w:pStyle w:val="43"/>
        <w:rPr>
          <w:rFonts w:hint="eastAsia" w:asciiTheme="minorEastAsia" w:hAnsiTheme="minorEastAsia" w:eastAsiaTheme="minorEastAsia" w:cstheme="minorEastAsia"/>
          <w:color w:val="auto"/>
          <w:lang w:eastAsia="zh-CN"/>
        </w:rPr>
      </w:pPr>
    </w:p>
    <w:p w14:paraId="22CB4F9C">
      <w:pPr>
        <w:pStyle w:val="43"/>
        <w:rPr>
          <w:rFonts w:hint="eastAsia" w:asciiTheme="minorEastAsia" w:hAnsiTheme="minorEastAsia" w:eastAsiaTheme="minorEastAsia" w:cstheme="minorEastAsia"/>
          <w:color w:val="auto"/>
          <w:lang w:eastAsia="zh-CN"/>
        </w:rPr>
      </w:pPr>
    </w:p>
    <w:p w14:paraId="67555CEA">
      <w:pPr>
        <w:pStyle w:val="43"/>
        <w:rPr>
          <w:rFonts w:hint="eastAsia" w:asciiTheme="minorEastAsia" w:hAnsiTheme="minorEastAsia" w:eastAsiaTheme="minorEastAsia" w:cstheme="minorEastAsia"/>
          <w:color w:val="auto"/>
          <w:lang w:eastAsia="zh-CN"/>
        </w:rPr>
      </w:pPr>
    </w:p>
    <w:p w14:paraId="06D8FAD3">
      <w:pPr>
        <w:pStyle w:val="43"/>
        <w:rPr>
          <w:rFonts w:hint="eastAsia" w:asciiTheme="minorEastAsia" w:hAnsiTheme="minorEastAsia" w:eastAsiaTheme="minorEastAsia" w:cstheme="minorEastAsia"/>
          <w:color w:val="auto"/>
          <w:lang w:eastAsia="zh-CN"/>
        </w:rPr>
      </w:pPr>
    </w:p>
    <w:p w14:paraId="528E3C7A">
      <w:pPr>
        <w:pStyle w:val="43"/>
        <w:rPr>
          <w:rFonts w:hint="eastAsia" w:asciiTheme="minorEastAsia" w:hAnsiTheme="minorEastAsia" w:eastAsiaTheme="minorEastAsia" w:cstheme="minorEastAsia"/>
          <w:color w:val="auto"/>
          <w:lang w:eastAsia="zh-CN"/>
        </w:rPr>
      </w:pPr>
    </w:p>
    <w:p w14:paraId="52412D51">
      <w:pPr>
        <w:pStyle w:val="43"/>
        <w:rPr>
          <w:rFonts w:hint="eastAsia" w:asciiTheme="minorEastAsia" w:hAnsiTheme="minorEastAsia" w:eastAsiaTheme="minorEastAsia" w:cstheme="minorEastAsia"/>
          <w:color w:val="auto"/>
          <w:lang w:eastAsia="zh-CN"/>
        </w:rPr>
      </w:pPr>
    </w:p>
    <w:p w14:paraId="76B8F622">
      <w:pPr>
        <w:pStyle w:val="43"/>
        <w:rPr>
          <w:rFonts w:hint="eastAsia" w:asciiTheme="minorEastAsia" w:hAnsiTheme="minorEastAsia" w:eastAsiaTheme="minorEastAsia" w:cstheme="minorEastAsia"/>
          <w:color w:val="auto"/>
          <w:lang w:eastAsia="zh-CN"/>
        </w:rPr>
      </w:pPr>
    </w:p>
    <w:p w14:paraId="2AB22138">
      <w:pPr>
        <w:pStyle w:val="43"/>
        <w:rPr>
          <w:rFonts w:hint="eastAsia" w:asciiTheme="minorEastAsia" w:hAnsiTheme="minorEastAsia" w:eastAsiaTheme="minorEastAsia" w:cstheme="minorEastAsia"/>
          <w:color w:val="auto"/>
          <w:lang w:eastAsia="zh-CN"/>
        </w:rPr>
      </w:pPr>
    </w:p>
    <w:p w14:paraId="76BA6DF9">
      <w:pPr>
        <w:pStyle w:val="43"/>
        <w:rPr>
          <w:rFonts w:hint="eastAsia" w:asciiTheme="minorEastAsia" w:hAnsiTheme="minorEastAsia" w:eastAsiaTheme="minorEastAsia" w:cstheme="minorEastAsia"/>
          <w:color w:val="auto"/>
          <w:lang w:eastAsia="zh-CN"/>
        </w:rPr>
      </w:pPr>
    </w:p>
    <w:p w14:paraId="0E656E6C">
      <w:pPr>
        <w:pStyle w:val="43"/>
        <w:rPr>
          <w:rFonts w:hint="eastAsia" w:asciiTheme="minorEastAsia" w:hAnsiTheme="minorEastAsia" w:eastAsiaTheme="minorEastAsia" w:cstheme="minorEastAsia"/>
          <w:color w:val="auto"/>
          <w:lang w:eastAsia="zh-CN"/>
        </w:rPr>
      </w:pPr>
    </w:p>
    <w:p w14:paraId="5FACBE1C">
      <w:pPr>
        <w:pStyle w:val="43"/>
        <w:rPr>
          <w:rFonts w:hint="eastAsia" w:asciiTheme="minorEastAsia" w:hAnsiTheme="minorEastAsia" w:eastAsiaTheme="minorEastAsia" w:cstheme="minorEastAsia"/>
          <w:color w:val="auto"/>
          <w:lang w:eastAsia="zh-CN"/>
        </w:rPr>
      </w:pPr>
    </w:p>
    <w:p w14:paraId="1A84DA51">
      <w:pPr>
        <w:pStyle w:val="43"/>
        <w:rPr>
          <w:rFonts w:hint="eastAsia" w:asciiTheme="minorEastAsia" w:hAnsiTheme="minorEastAsia" w:eastAsiaTheme="minorEastAsia" w:cstheme="minorEastAsia"/>
          <w:color w:val="auto"/>
          <w:lang w:eastAsia="zh-CN"/>
        </w:rPr>
      </w:pPr>
    </w:p>
    <w:p w14:paraId="27AADB60">
      <w:pPr>
        <w:pStyle w:val="43"/>
        <w:rPr>
          <w:rFonts w:hint="eastAsia" w:asciiTheme="minorEastAsia" w:hAnsiTheme="minorEastAsia" w:eastAsiaTheme="minorEastAsia" w:cstheme="minorEastAsia"/>
          <w:color w:val="auto"/>
          <w:lang w:eastAsia="zh-CN"/>
        </w:rPr>
      </w:pPr>
    </w:p>
    <w:p w14:paraId="1A480BE6">
      <w:pPr>
        <w:pStyle w:val="43"/>
        <w:ind w:left="0"/>
        <w:rPr>
          <w:rFonts w:hint="eastAsia" w:asciiTheme="minorEastAsia" w:hAnsiTheme="minorEastAsia" w:eastAsiaTheme="minorEastAsia" w:cstheme="minorEastAsia"/>
          <w:color w:val="auto"/>
          <w:lang w:eastAsia="zh-CN"/>
        </w:rPr>
      </w:pPr>
    </w:p>
    <w:p w14:paraId="2FED95A5">
      <w:pPr>
        <w:pStyle w:val="33"/>
        <w:spacing w:line="580" w:lineRule="exact"/>
        <w:ind w:firstLine="480" w:firstLineChars="200"/>
        <w:jc w:val="both"/>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rPr>
        <w:t>六、投标分项报价表</w:t>
      </w:r>
    </w:p>
    <w:p w14:paraId="3C375983">
      <w:pPr>
        <w:spacing w:line="580" w:lineRule="exact"/>
        <w:jc w:val="center"/>
        <w:rPr>
          <w:rFonts w:hint="eastAsia" w:asciiTheme="minorEastAsia" w:hAnsiTheme="minorEastAsia" w:eastAsiaTheme="minorEastAsia" w:cstheme="minorEastAsia"/>
          <w:color w:val="auto"/>
          <w:sz w:val="24"/>
          <w:szCs w:val="24"/>
        </w:rPr>
      </w:pPr>
    </w:p>
    <w:p w14:paraId="48929CBA">
      <w:pPr>
        <w:spacing w:line="58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投标分项报价表</w:t>
      </w:r>
    </w:p>
    <w:p w14:paraId="2B2E28F9">
      <w:pPr>
        <w:widowControl/>
        <w:tabs>
          <w:tab w:val="left" w:pos="4765"/>
        </w:tabs>
        <w:spacing w:line="580" w:lineRule="exact"/>
        <w:ind w:firstLine="84"/>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项目名称：</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t>项目编号：</w:t>
      </w:r>
    </w:p>
    <w:tbl>
      <w:tblPr>
        <w:tblStyle w:val="36"/>
        <w:tblW w:w="86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0"/>
        <w:gridCol w:w="960"/>
        <w:gridCol w:w="960"/>
        <w:gridCol w:w="961"/>
        <w:gridCol w:w="961"/>
        <w:gridCol w:w="961"/>
        <w:gridCol w:w="961"/>
        <w:gridCol w:w="961"/>
        <w:gridCol w:w="961"/>
      </w:tblGrid>
      <w:tr w14:paraId="6F083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960" w:type="dxa"/>
            <w:vAlign w:val="center"/>
          </w:tcPr>
          <w:p w14:paraId="622D6ACC">
            <w:pPr>
              <w:widowControl/>
              <w:spacing w:line="580" w:lineRule="exact"/>
              <w:rPr>
                <w:rFonts w:hint="eastAsia" w:asciiTheme="minorEastAsia" w:hAnsiTheme="minorEastAsia" w:eastAsiaTheme="minorEastAsia" w:cstheme="minorEastAsia"/>
                <w:sz w:val="24"/>
                <w:szCs w:val="24"/>
              </w:rPr>
            </w:pPr>
          </w:p>
        </w:tc>
        <w:tc>
          <w:tcPr>
            <w:tcW w:w="960" w:type="dxa"/>
            <w:vAlign w:val="center"/>
          </w:tcPr>
          <w:p w14:paraId="329DC7FA">
            <w:pPr>
              <w:widowControl/>
              <w:spacing w:line="580" w:lineRule="exact"/>
              <w:rPr>
                <w:rFonts w:hint="eastAsia" w:asciiTheme="minorEastAsia" w:hAnsiTheme="minorEastAsia" w:eastAsiaTheme="minorEastAsia" w:cstheme="minorEastAsia"/>
                <w:sz w:val="24"/>
                <w:szCs w:val="24"/>
              </w:rPr>
            </w:pPr>
          </w:p>
        </w:tc>
        <w:tc>
          <w:tcPr>
            <w:tcW w:w="960" w:type="dxa"/>
            <w:vAlign w:val="center"/>
          </w:tcPr>
          <w:p w14:paraId="71E4013E">
            <w:pPr>
              <w:widowControl/>
              <w:spacing w:line="580" w:lineRule="exact"/>
              <w:jc w:val="center"/>
              <w:rPr>
                <w:rFonts w:hint="eastAsia" w:asciiTheme="minorEastAsia" w:hAnsiTheme="minorEastAsia" w:eastAsiaTheme="minorEastAsia" w:cstheme="minorEastAsia"/>
                <w:sz w:val="24"/>
                <w:szCs w:val="24"/>
              </w:rPr>
            </w:pPr>
          </w:p>
        </w:tc>
        <w:tc>
          <w:tcPr>
            <w:tcW w:w="961" w:type="dxa"/>
            <w:vAlign w:val="center"/>
          </w:tcPr>
          <w:p w14:paraId="25F7044A">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56BE549B">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08CE8FF7">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45F390A1">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45339C3B">
            <w:pPr>
              <w:spacing w:line="580" w:lineRule="exact"/>
              <w:rPr>
                <w:rFonts w:hint="eastAsia" w:asciiTheme="minorEastAsia" w:hAnsiTheme="minorEastAsia" w:eastAsiaTheme="minorEastAsia" w:cstheme="minorEastAsia"/>
                <w:sz w:val="24"/>
                <w:szCs w:val="24"/>
              </w:rPr>
            </w:pPr>
          </w:p>
        </w:tc>
        <w:tc>
          <w:tcPr>
            <w:tcW w:w="961" w:type="dxa"/>
            <w:vAlign w:val="center"/>
          </w:tcPr>
          <w:p w14:paraId="26858F9D">
            <w:pPr>
              <w:widowControl/>
              <w:spacing w:line="580" w:lineRule="exact"/>
              <w:rPr>
                <w:rFonts w:hint="eastAsia" w:asciiTheme="minorEastAsia" w:hAnsiTheme="minorEastAsia" w:eastAsiaTheme="minorEastAsia" w:cstheme="minorEastAsia"/>
                <w:sz w:val="24"/>
                <w:szCs w:val="24"/>
              </w:rPr>
            </w:pPr>
          </w:p>
        </w:tc>
      </w:tr>
      <w:tr w14:paraId="02681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960" w:type="dxa"/>
            <w:vAlign w:val="center"/>
          </w:tcPr>
          <w:p w14:paraId="0E77E533">
            <w:pPr>
              <w:widowControl/>
              <w:spacing w:line="580" w:lineRule="exact"/>
              <w:jc w:val="center"/>
              <w:rPr>
                <w:rFonts w:hint="eastAsia" w:asciiTheme="minorEastAsia" w:hAnsiTheme="minorEastAsia" w:eastAsiaTheme="minorEastAsia" w:cstheme="minorEastAsia"/>
                <w:sz w:val="24"/>
                <w:szCs w:val="24"/>
              </w:rPr>
            </w:pPr>
          </w:p>
        </w:tc>
        <w:tc>
          <w:tcPr>
            <w:tcW w:w="960" w:type="dxa"/>
            <w:vAlign w:val="center"/>
          </w:tcPr>
          <w:p w14:paraId="7E456EDE">
            <w:pPr>
              <w:widowControl/>
              <w:spacing w:line="580" w:lineRule="exact"/>
              <w:rPr>
                <w:rFonts w:hint="eastAsia" w:asciiTheme="minorEastAsia" w:hAnsiTheme="minorEastAsia" w:eastAsiaTheme="minorEastAsia" w:cstheme="minorEastAsia"/>
                <w:sz w:val="24"/>
                <w:szCs w:val="24"/>
              </w:rPr>
            </w:pPr>
          </w:p>
        </w:tc>
        <w:tc>
          <w:tcPr>
            <w:tcW w:w="960" w:type="dxa"/>
            <w:vAlign w:val="center"/>
          </w:tcPr>
          <w:p w14:paraId="68246767">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0D28A30C">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4A2658B9">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2915BA60">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37E5F61E">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34DF39EC">
            <w:pPr>
              <w:spacing w:line="580" w:lineRule="exact"/>
              <w:rPr>
                <w:rFonts w:hint="eastAsia" w:asciiTheme="minorEastAsia" w:hAnsiTheme="minorEastAsia" w:eastAsiaTheme="minorEastAsia" w:cstheme="minorEastAsia"/>
                <w:sz w:val="24"/>
                <w:szCs w:val="24"/>
              </w:rPr>
            </w:pPr>
          </w:p>
        </w:tc>
        <w:tc>
          <w:tcPr>
            <w:tcW w:w="961" w:type="dxa"/>
            <w:vAlign w:val="center"/>
          </w:tcPr>
          <w:p w14:paraId="61BE61D0">
            <w:pPr>
              <w:widowControl/>
              <w:spacing w:line="580" w:lineRule="exact"/>
              <w:rPr>
                <w:rFonts w:hint="eastAsia" w:asciiTheme="minorEastAsia" w:hAnsiTheme="minorEastAsia" w:eastAsiaTheme="minorEastAsia" w:cstheme="minorEastAsia"/>
                <w:sz w:val="24"/>
                <w:szCs w:val="24"/>
              </w:rPr>
            </w:pPr>
          </w:p>
        </w:tc>
      </w:tr>
      <w:tr w14:paraId="08761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960" w:type="dxa"/>
            <w:vAlign w:val="center"/>
          </w:tcPr>
          <w:p w14:paraId="02A143CA">
            <w:pPr>
              <w:widowControl/>
              <w:spacing w:line="580" w:lineRule="exact"/>
              <w:jc w:val="center"/>
              <w:rPr>
                <w:rFonts w:hint="eastAsia" w:asciiTheme="minorEastAsia" w:hAnsiTheme="minorEastAsia" w:eastAsiaTheme="minorEastAsia" w:cstheme="minorEastAsia"/>
                <w:sz w:val="24"/>
                <w:szCs w:val="24"/>
              </w:rPr>
            </w:pPr>
          </w:p>
        </w:tc>
        <w:tc>
          <w:tcPr>
            <w:tcW w:w="960" w:type="dxa"/>
            <w:vAlign w:val="center"/>
          </w:tcPr>
          <w:p w14:paraId="044BCB81">
            <w:pPr>
              <w:widowControl/>
              <w:spacing w:line="580" w:lineRule="exact"/>
              <w:rPr>
                <w:rFonts w:hint="eastAsia" w:asciiTheme="minorEastAsia" w:hAnsiTheme="minorEastAsia" w:eastAsiaTheme="minorEastAsia" w:cstheme="minorEastAsia"/>
                <w:sz w:val="24"/>
                <w:szCs w:val="24"/>
              </w:rPr>
            </w:pPr>
          </w:p>
        </w:tc>
        <w:tc>
          <w:tcPr>
            <w:tcW w:w="960" w:type="dxa"/>
            <w:vAlign w:val="center"/>
          </w:tcPr>
          <w:p w14:paraId="020D19F4">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7B6B1B96">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21503FC0">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2A526ED8">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07D97AF0">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4A302B35">
            <w:pPr>
              <w:spacing w:line="580" w:lineRule="exact"/>
              <w:rPr>
                <w:rFonts w:hint="eastAsia" w:asciiTheme="minorEastAsia" w:hAnsiTheme="minorEastAsia" w:eastAsiaTheme="minorEastAsia" w:cstheme="minorEastAsia"/>
                <w:sz w:val="24"/>
                <w:szCs w:val="24"/>
              </w:rPr>
            </w:pPr>
          </w:p>
        </w:tc>
        <w:tc>
          <w:tcPr>
            <w:tcW w:w="961" w:type="dxa"/>
            <w:vAlign w:val="center"/>
          </w:tcPr>
          <w:p w14:paraId="5282DA4E">
            <w:pPr>
              <w:widowControl/>
              <w:spacing w:line="580" w:lineRule="exact"/>
              <w:rPr>
                <w:rFonts w:hint="eastAsia" w:asciiTheme="minorEastAsia" w:hAnsiTheme="minorEastAsia" w:eastAsiaTheme="minorEastAsia" w:cstheme="minorEastAsia"/>
                <w:sz w:val="24"/>
                <w:szCs w:val="24"/>
              </w:rPr>
            </w:pPr>
          </w:p>
        </w:tc>
      </w:tr>
      <w:tr w14:paraId="4E455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960" w:type="dxa"/>
            <w:vAlign w:val="center"/>
          </w:tcPr>
          <w:p w14:paraId="29009395">
            <w:pPr>
              <w:widowControl/>
              <w:spacing w:line="580" w:lineRule="exact"/>
              <w:jc w:val="center"/>
              <w:rPr>
                <w:rFonts w:hint="eastAsia" w:asciiTheme="minorEastAsia" w:hAnsiTheme="minorEastAsia" w:eastAsiaTheme="minorEastAsia" w:cstheme="minorEastAsia"/>
                <w:sz w:val="24"/>
                <w:szCs w:val="24"/>
              </w:rPr>
            </w:pPr>
          </w:p>
        </w:tc>
        <w:tc>
          <w:tcPr>
            <w:tcW w:w="960" w:type="dxa"/>
            <w:vAlign w:val="center"/>
          </w:tcPr>
          <w:p w14:paraId="2D5BA329">
            <w:pPr>
              <w:widowControl/>
              <w:spacing w:line="580" w:lineRule="exact"/>
              <w:rPr>
                <w:rFonts w:hint="eastAsia" w:asciiTheme="minorEastAsia" w:hAnsiTheme="minorEastAsia" w:eastAsiaTheme="minorEastAsia" w:cstheme="minorEastAsia"/>
                <w:sz w:val="24"/>
                <w:szCs w:val="24"/>
              </w:rPr>
            </w:pPr>
          </w:p>
        </w:tc>
        <w:tc>
          <w:tcPr>
            <w:tcW w:w="960" w:type="dxa"/>
            <w:vAlign w:val="center"/>
          </w:tcPr>
          <w:p w14:paraId="2886C058">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7E249B89">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67D6F7C9">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21C72268">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2289CC04">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1D45C50D">
            <w:pPr>
              <w:spacing w:line="580" w:lineRule="exact"/>
              <w:rPr>
                <w:rFonts w:hint="eastAsia" w:asciiTheme="minorEastAsia" w:hAnsiTheme="minorEastAsia" w:eastAsiaTheme="minorEastAsia" w:cstheme="minorEastAsia"/>
                <w:sz w:val="24"/>
                <w:szCs w:val="24"/>
              </w:rPr>
            </w:pPr>
          </w:p>
        </w:tc>
        <w:tc>
          <w:tcPr>
            <w:tcW w:w="961" w:type="dxa"/>
            <w:vAlign w:val="center"/>
          </w:tcPr>
          <w:p w14:paraId="6CE146D2">
            <w:pPr>
              <w:widowControl/>
              <w:spacing w:line="580" w:lineRule="exact"/>
              <w:rPr>
                <w:rFonts w:hint="eastAsia" w:asciiTheme="minorEastAsia" w:hAnsiTheme="minorEastAsia" w:eastAsiaTheme="minorEastAsia" w:cstheme="minorEastAsia"/>
                <w:sz w:val="24"/>
                <w:szCs w:val="24"/>
              </w:rPr>
            </w:pPr>
          </w:p>
        </w:tc>
      </w:tr>
      <w:tr w14:paraId="53517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960" w:type="dxa"/>
            <w:vAlign w:val="center"/>
          </w:tcPr>
          <w:p w14:paraId="16386179">
            <w:pPr>
              <w:widowControl/>
              <w:spacing w:line="580" w:lineRule="exact"/>
              <w:jc w:val="center"/>
              <w:rPr>
                <w:rFonts w:hint="eastAsia" w:asciiTheme="minorEastAsia" w:hAnsiTheme="minorEastAsia" w:eastAsiaTheme="minorEastAsia" w:cstheme="minorEastAsia"/>
                <w:sz w:val="24"/>
                <w:szCs w:val="24"/>
              </w:rPr>
            </w:pPr>
          </w:p>
        </w:tc>
        <w:tc>
          <w:tcPr>
            <w:tcW w:w="960" w:type="dxa"/>
            <w:vAlign w:val="center"/>
          </w:tcPr>
          <w:p w14:paraId="352CD6CC">
            <w:pPr>
              <w:widowControl/>
              <w:spacing w:line="580" w:lineRule="exact"/>
              <w:rPr>
                <w:rFonts w:hint="eastAsia" w:asciiTheme="minorEastAsia" w:hAnsiTheme="minorEastAsia" w:eastAsiaTheme="minorEastAsia" w:cstheme="minorEastAsia"/>
                <w:sz w:val="24"/>
                <w:szCs w:val="24"/>
              </w:rPr>
            </w:pPr>
          </w:p>
        </w:tc>
        <w:tc>
          <w:tcPr>
            <w:tcW w:w="960" w:type="dxa"/>
            <w:vAlign w:val="center"/>
          </w:tcPr>
          <w:p w14:paraId="651A76FF">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4F066780">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0AF68DA3">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79BCDCF9">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47F17B05">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58921D86">
            <w:pPr>
              <w:spacing w:line="580" w:lineRule="exact"/>
              <w:rPr>
                <w:rFonts w:hint="eastAsia" w:asciiTheme="minorEastAsia" w:hAnsiTheme="minorEastAsia" w:eastAsiaTheme="minorEastAsia" w:cstheme="minorEastAsia"/>
                <w:sz w:val="24"/>
                <w:szCs w:val="24"/>
              </w:rPr>
            </w:pPr>
          </w:p>
        </w:tc>
        <w:tc>
          <w:tcPr>
            <w:tcW w:w="961" w:type="dxa"/>
            <w:vAlign w:val="center"/>
          </w:tcPr>
          <w:p w14:paraId="3B37D568">
            <w:pPr>
              <w:widowControl/>
              <w:spacing w:line="580" w:lineRule="exact"/>
              <w:rPr>
                <w:rFonts w:hint="eastAsia" w:asciiTheme="minorEastAsia" w:hAnsiTheme="minorEastAsia" w:eastAsiaTheme="minorEastAsia" w:cstheme="minorEastAsia"/>
                <w:sz w:val="24"/>
                <w:szCs w:val="24"/>
              </w:rPr>
            </w:pPr>
          </w:p>
        </w:tc>
      </w:tr>
      <w:tr w14:paraId="54EC6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960" w:type="dxa"/>
            <w:vAlign w:val="center"/>
          </w:tcPr>
          <w:p w14:paraId="7399AF94">
            <w:pPr>
              <w:widowControl/>
              <w:spacing w:line="580" w:lineRule="exact"/>
              <w:jc w:val="center"/>
              <w:rPr>
                <w:rFonts w:hint="eastAsia" w:asciiTheme="minorEastAsia" w:hAnsiTheme="minorEastAsia" w:eastAsiaTheme="minorEastAsia" w:cstheme="minorEastAsia"/>
                <w:sz w:val="24"/>
                <w:szCs w:val="24"/>
              </w:rPr>
            </w:pPr>
          </w:p>
        </w:tc>
        <w:tc>
          <w:tcPr>
            <w:tcW w:w="960" w:type="dxa"/>
            <w:vAlign w:val="center"/>
          </w:tcPr>
          <w:p w14:paraId="07375344">
            <w:pPr>
              <w:widowControl/>
              <w:spacing w:line="580" w:lineRule="exact"/>
              <w:rPr>
                <w:rFonts w:hint="eastAsia" w:asciiTheme="minorEastAsia" w:hAnsiTheme="minorEastAsia" w:eastAsiaTheme="minorEastAsia" w:cstheme="minorEastAsia"/>
                <w:sz w:val="24"/>
                <w:szCs w:val="24"/>
              </w:rPr>
            </w:pPr>
          </w:p>
        </w:tc>
        <w:tc>
          <w:tcPr>
            <w:tcW w:w="960" w:type="dxa"/>
            <w:vAlign w:val="center"/>
          </w:tcPr>
          <w:p w14:paraId="13495059">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40EDAA77">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24E85953">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2F324176">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33874CC3">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0FF201B8">
            <w:pPr>
              <w:spacing w:line="580" w:lineRule="exact"/>
              <w:rPr>
                <w:rFonts w:hint="eastAsia" w:asciiTheme="minorEastAsia" w:hAnsiTheme="minorEastAsia" w:eastAsiaTheme="minorEastAsia" w:cstheme="minorEastAsia"/>
                <w:sz w:val="24"/>
                <w:szCs w:val="24"/>
              </w:rPr>
            </w:pPr>
          </w:p>
        </w:tc>
        <w:tc>
          <w:tcPr>
            <w:tcW w:w="961" w:type="dxa"/>
            <w:vAlign w:val="center"/>
          </w:tcPr>
          <w:p w14:paraId="2EC055AF">
            <w:pPr>
              <w:widowControl/>
              <w:spacing w:line="580" w:lineRule="exact"/>
              <w:rPr>
                <w:rFonts w:hint="eastAsia" w:asciiTheme="minorEastAsia" w:hAnsiTheme="minorEastAsia" w:eastAsiaTheme="minorEastAsia" w:cstheme="minorEastAsia"/>
                <w:sz w:val="24"/>
                <w:szCs w:val="24"/>
              </w:rPr>
            </w:pPr>
          </w:p>
        </w:tc>
      </w:tr>
      <w:tr w14:paraId="65F49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960" w:type="dxa"/>
            <w:vAlign w:val="center"/>
          </w:tcPr>
          <w:p w14:paraId="49D4A7F5">
            <w:pPr>
              <w:widowControl/>
              <w:spacing w:line="580" w:lineRule="exact"/>
              <w:jc w:val="center"/>
              <w:rPr>
                <w:rFonts w:hint="eastAsia" w:asciiTheme="minorEastAsia" w:hAnsiTheme="minorEastAsia" w:eastAsiaTheme="minorEastAsia" w:cstheme="minorEastAsia"/>
                <w:sz w:val="24"/>
                <w:szCs w:val="24"/>
              </w:rPr>
            </w:pPr>
          </w:p>
        </w:tc>
        <w:tc>
          <w:tcPr>
            <w:tcW w:w="960" w:type="dxa"/>
            <w:vAlign w:val="center"/>
          </w:tcPr>
          <w:p w14:paraId="5100CA4A">
            <w:pPr>
              <w:widowControl/>
              <w:spacing w:line="580" w:lineRule="exact"/>
              <w:rPr>
                <w:rFonts w:hint="eastAsia" w:asciiTheme="minorEastAsia" w:hAnsiTheme="minorEastAsia" w:eastAsiaTheme="minorEastAsia" w:cstheme="minorEastAsia"/>
                <w:sz w:val="24"/>
                <w:szCs w:val="24"/>
              </w:rPr>
            </w:pPr>
          </w:p>
        </w:tc>
        <w:tc>
          <w:tcPr>
            <w:tcW w:w="960" w:type="dxa"/>
            <w:vAlign w:val="center"/>
          </w:tcPr>
          <w:p w14:paraId="44E577C0">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5719C29F">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54DED18B">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4297550F">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396B8A6F">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225262A6">
            <w:pPr>
              <w:spacing w:line="580" w:lineRule="exact"/>
              <w:rPr>
                <w:rFonts w:hint="eastAsia" w:asciiTheme="minorEastAsia" w:hAnsiTheme="minorEastAsia" w:eastAsiaTheme="minorEastAsia" w:cstheme="minorEastAsia"/>
                <w:sz w:val="24"/>
                <w:szCs w:val="24"/>
              </w:rPr>
            </w:pPr>
          </w:p>
        </w:tc>
        <w:tc>
          <w:tcPr>
            <w:tcW w:w="961" w:type="dxa"/>
            <w:vAlign w:val="center"/>
          </w:tcPr>
          <w:p w14:paraId="5B269931">
            <w:pPr>
              <w:widowControl/>
              <w:spacing w:line="580" w:lineRule="exact"/>
              <w:rPr>
                <w:rFonts w:hint="eastAsia" w:asciiTheme="minorEastAsia" w:hAnsiTheme="minorEastAsia" w:eastAsiaTheme="minorEastAsia" w:cstheme="minorEastAsia"/>
                <w:sz w:val="24"/>
                <w:szCs w:val="24"/>
              </w:rPr>
            </w:pPr>
          </w:p>
        </w:tc>
      </w:tr>
      <w:tr w14:paraId="65CF2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960" w:type="dxa"/>
            <w:vAlign w:val="center"/>
          </w:tcPr>
          <w:p w14:paraId="4E4F2B54">
            <w:pPr>
              <w:widowControl/>
              <w:spacing w:line="580" w:lineRule="exact"/>
              <w:rPr>
                <w:rFonts w:hint="eastAsia" w:asciiTheme="minorEastAsia" w:hAnsiTheme="minorEastAsia" w:eastAsiaTheme="minorEastAsia" w:cstheme="minorEastAsia"/>
                <w:sz w:val="24"/>
                <w:szCs w:val="24"/>
              </w:rPr>
            </w:pPr>
          </w:p>
        </w:tc>
        <w:tc>
          <w:tcPr>
            <w:tcW w:w="960" w:type="dxa"/>
            <w:vAlign w:val="center"/>
          </w:tcPr>
          <w:p w14:paraId="3C068F5B">
            <w:pPr>
              <w:widowControl/>
              <w:spacing w:line="580" w:lineRule="exact"/>
              <w:rPr>
                <w:rFonts w:hint="eastAsia" w:asciiTheme="minorEastAsia" w:hAnsiTheme="minorEastAsia" w:eastAsiaTheme="minorEastAsia" w:cstheme="minorEastAsia"/>
                <w:sz w:val="24"/>
                <w:szCs w:val="24"/>
              </w:rPr>
            </w:pPr>
          </w:p>
        </w:tc>
        <w:tc>
          <w:tcPr>
            <w:tcW w:w="960" w:type="dxa"/>
            <w:vAlign w:val="center"/>
          </w:tcPr>
          <w:p w14:paraId="048706B0">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6169AE7E">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608416D2">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45E24C3D">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75DD6BF6">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170D5AEC">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4F48B5A6">
            <w:pPr>
              <w:widowControl/>
              <w:spacing w:line="580" w:lineRule="exact"/>
              <w:rPr>
                <w:rFonts w:hint="eastAsia" w:asciiTheme="minorEastAsia" w:hAnsiTheme="minorEastAsia" w:eastAsiaTheme="minorEastAsia" w:cstheme="minorEastAsia"/>
                <w:sz w:val="24"/>
                <w:szCs w:val="24"/>
              </w:rPr>
            </w:pPr>
          </w:p>
        </w:tc>
      </w:tr>
      <w:tr w14:paraId="5C95A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1" w:hRule="atLeast"/>
          <w:jc w:val="center"/>
        </w:trPr>
        <w:tc>
          <w:tcPr>
            <w:tcW w:w="960" w:type="dxa"/>
            <w:vAlign w:val="center"/>
          </w:tcPr>
          <w:p w14:paraId="595D8E28">
            <w:pPr>
              <w:widowControl/>
              <w:spacing w:line="580" w:lineRule="exact"/>
              <w:rPr>
                <w:rFonts w:hint="eastAsia" w:asciiTheme="minorEastAsia" w:hAnsiTheme="minorEastAsia" w:eastAsiaTheme="minorEastAsia" w:cstheme="minorEastAsia"/>
                <w:sz w:val="24"/>
                <w:szCs w:val="24"/>
              </w:rPr>
            </w:pPr>
          </w:p>
        </w:tc>
        <w:tc>
          <w:tcPr>
            <w:tcW w:w="960" w:type="dxa"/>
            <w:vAlign w:val="center"/>
          </w:tcPr>
          <w:p w14:paraId="748C6937">
            <w:pPr>
              <w:widowControl/>
              <w:spacing w:line="580" w:lineRule="exact"/>
              <w:rPr>
                <w:rFonts w:hint="eastAsia" w:asciiTheme="minorEastAsia" w:hAnsiTheme="minorEastAsia" w:eastAsiaTheme="minorEastAsia" w:cstheme="minorEastAsia"/>
                <w:sz w:val="24"/>
                <w:szCs w:val="24"/>
              </w:rPr>
            </w:pPr>
          </w:p>
        </w:tc>
        <w:tc>
          <w:tcPr>
            <w:tcW w:w="960" w:type="dxa"/>
            <w:vAlign w:val="center"/>
          </w:tcPr>
          <w:p w14:paraId="0321CCE9">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442A0822">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6C838778">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600D559D">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7AF51743">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5F0D9DE3">
            <w:pPr>
              <w:spacing w:line="580" w:lineRule="exact"/>
              <w:rPr>
                <w:rFonts w:hint="eastAsia" w:asciiTheme="minorEastAsia" w:hAnsiTheme="minorEastAsia" w:eastAsiaTheme="minorEastAsia" w:cstheme="minorEastAsia"/>
                <w:sz w:val="24"/>
                <w:szCs w:val="24"/>
              </w:rPr>
            </w:pPr>
          </w:p>
        </w:tc>
        <w:tc>
          <w:tcPr>
            <w:tcW w:w="961" w:type="dxa"/>
            <w:vAlign w:val="center"/>
          </w:tcPr>
          <w:p w14:paraId="54CFB78B">
            <w:pPr>
              <w:widowControl/>
              <w:spacing w:line="580" w:lineRule="exact"/>
              <w:rPr>
                <w:rFonts w:hint="eastAsia" w:asciiTheme="minorEastAsia" w:hAnsiTheme="minorEastAsia" w:eastAsiaTheme="minorEastAsia" w:cstheme="minorEastAsia"/>
                <w:sz w:val="24"/>
                <w:szCs w:val="24"/>
              </w:rPr>
            </w:pPr>
          </w:p>
        </w:tc>
      </w:tr>
    </w:tbl>
    <w:p w14:paraId="0A2ECDC4">
      <w:pPr>
        <w:widowControl/>
        <w:tabs>
          <w:tab w:val="left" w:pos="4765"/>
        </w:tabs>
        <w:spacing w:line="5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说明：分项报价格式自拟，如果行数不够，请自行增加。</w:t>
      </w:r>
    </w:p>
    <w:p w14:paraId="7E967620">
      <w:pPr>
        <w:widowControl/>
        <w:tabs>
          <w:tab w:val="left" w:pos="4765"/>
        </w:tabs>
        <w:spacing w:line="5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投标人（加盖电子公章）：</w:t>
      </w:r>
      <w:r>
        <w:rPr>
          <w:rFonts w:hint="eastAsia" w:asciiTheme="minorEastAsia" w:hAnsiTheme="minorEastAsia" w:eastAsiaTheme="minorEastAsia" w:cstheme="minorEastAsia"/>
          <w:sz w:val="24"/>
          <w:szCs w:val="24"/>
          <w:u w:val="single"/>
        </w:rPr>
        <w:t xml:space="preserve">                        </w:t>
      </w:r>
    </w:p>
    <w:p w14:paraId="2B2433BB">
      <w:pPr>
        <w:widowControl/>
        <w:tabs>
          <w:tab w:val="left" w:pos="4765"/>
        </w:tabs>
        <w:spacing w:line="5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委托代理人（签字或签章）：</w:t>
      </w:r>
      <w:r>
        <w:rPr>
          <w:rFonts w:hint="eastAsia" w:asciiTheme="minorEastAsia" w:hAnsiTheme="minorEastAsia" w:eastAsiaTheme="minorEastAsia" w:cstheme="minorEastAsia"/>
          <w:sz w:val="24"/>
          <w:szCs w:val="24"/>
          <w:u w:val="single"/>
        </w:rPr>
        <w:t xml:space="preserve">                      </w:t>
      </w:r>
    </w:p>
    <w:p w14:paraId="640B6D58">
      <w:pPr>
        <w:pStyle w:val="33"/>
        <w:spacing w:line="580" w:lineRule="exact"/>
        <w:ind w:firstLine="480" w:firstLineChars="200"/>
        <w:jc w:val="both"/>
        <w:rPr>
          <w:rFonts w:hint="eastAsia" w:asciiTheme="minorEastAsia" w:hAnsiTheme="minorEastAsia" w:eastAsiaTheme="minorEastAsia" w:cstheme="minorEastAsia"/>
          <w:b w:val="0"/>
          <w:bCs w:val="0"/>
          <w:color w:val="auto"/>
          <w:sz w:val="24"/>
          <w:szCs w:val="24"/>
        </w:rPr>
      </w:pPr>
    </w:p>
    <w:p w14:paraId="2F001127">
      <w:pPr>
        <w:pStyle w:val="33"/>
        <w:spacing w:line="580" w:lineRule="exact"/>
        <w:ind w:firstLine="480" w:firstLineChars="200"/>
        <w:jc w:val="both"/>
        <w:rPr>
          <w:rFonts w:hint="eastAsia" w:asciiTheme="minorEastAsia" w:hAnsiTheme="minorEastAsia" w:eastAsiaTheme="minorEastAsia" w:cstheme="minorEastAsia"/>
          <w:b w:val="0"/>
          <w:bCs w:val="0"/>
          <w:color w:val="auto"/>
          <w:sz w:val="24"/>
          <w:szCs w:val="24"/>
        </w:rPr>
      </w:pPr>
    </w:p>
    <w:p w14:paraId="7B4AED77">
      <w:pPr>
        <w:pStyle w:val="33"/>
        <w:spacing w:line="580" w:lineRule="exact"/>
        <w:ind w:firstLine="480" w:firstLineChars="200"/>
        <w:jc w:val="both"/>
        <w:rPr>
          <w:rFonts w:hint="eastAsia" w:asciiTheme="minorEastAsia" w:hAnsiTheme="minorEastAsia" w:eastAsiaTheme="minorEastAsia" w:cstheme="minorEastAsia"/>
          <w:b w:val="0"/>
          <w:bCs w:val="0"/>
          <w:color w:val="auto"/>
          <w:sz w:val="24"/>
          <w:szCs w:val="24"/>
        </w:rPr>
      </w:pPr>
    </w:p>
    <w:p w14:paraId="520F6FBA">
      <w:pPr>
        <w:pStyle w:val="33"/>
        <w:spacing w:line="580" w:lineRule="exact"/>
        <w:ind w:firstLine="480" w:firstLineChars="200"/>
        <w:jc w:val="both"/>
        <w:rPr>
          <w:rFonts w:hint="eastAsia" w:asciiTheme="minorEastAsia" w:hAnsiTheme="minorEastAsia" w:eastAsiaTheme="minorEastAsia" w:cstheme="minorEastAsia"/>
          <w:b w:val="0"/>
          <w:bCs w:val="0"/>
          <w:color w:val="auto"/>
          <w:sz w:val="24"/>
          <w:szCs w:val="24"/>
        </w:rPr>
      </w:pPr>
    </w:p>
    <w:p w14:paraId="7D8663A3">
      <w:pPr>
        <w:pStyle w:val="33"/>
        <w:spacing w:line="580" w:lineRule="exact"/>
        <w:ind w:firstLine="480" w:firstLineChars="200"/>
        <w:jc w:val="both"/>
        <w:rPr>
          <w:rFonts w:hint="eastAsia" w:asciiTheme="minorEastAsia" w:hAnsiTheme="minorEastAsia" w:eastAsiaTheme="minorEastAsia" w:cstheme="minorEastAsia"/>
          <w:b w:val="0"/>
          <w:bCs w:val="0"/>
          <w:color w:val="auto"/>
          <w:sz w:val="24"/>
          <w:szCs w:val="24"/>
        </w:rPr>
      </w:pPr>
    </w:p>
    <w:p w14:paraId="0B5A8532">
      <w:pPr>
        <w:pStyle w:val="33"/>
        <w:spacing w:line="580" w:lineRule="exact"/>
        <w:ind w:firstLine="480" w:firstLineChars="200"/>
        <w:jc w:val="both"/>
        <w:rPr>
          <w:rFonts w:hint="eastAsia" w:asciiTheme="minorEastAsia" w:hAnsiTheme="minorEastAsia" w:eastAsiaTheme="minorEastAsia" w:cstheme="minorEastAsia"/>
          <w:b w:val="0"/>
          <w:bCs w:val="0"/>
          <w:color w:val="auto"/>
          <w:sz w:val="24"/>
          <w:szCs w:val="24"/>
        </w:rPr>
      </w:pPr>
    </w:p>
    <w:p w14:paraId="2516D599">
      <w:pPr>
        <w:pStyle w:val="33"/>
        <w:spacing w:line="580" w:lineRule="exact"/>
        <w:ind w:firstLine="480" w:firstLineChars="200"/>
        <w:jc w:val="both"/>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rPr>
        <w:t>七、技术要求响应及偏离表</w:t>
      </w:r>
    </w:p>
    <w:p w14:paraId="264CCC92">
      <w:pPr>
        <w:spacing w:line="580" w:lineRule="exact"/>
        <w:jc w:val="center"/>
        <w:rPr>
          <w:rFonts w:hint="eastAsia" w:asciiTheme="minorEastAsia" w:hAnsiTheme="minorEastAsia" w:eastAsiaTheme="minorEastAsia" w:cstheme="minorEastAsia"/>
          <w:color w:val="auto"/>
          <w:sz w:val="24"/>
          <w:szCs w:val="24"/>
        </w:rPr>
      </w:pPr>
    </w:p>
    <w:p w14:paraId="780D17C9">
      <w:pPr>
        <w:spacing w:line="58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技术要求响应及偏离表</w:t>
      </w:r>
    </w:p>
    <w:p w14:paraId="148D273A">
      <w:pPr>
        <w:pStyle w:val="43"/>
        <w:spacing w:line="200" w:lineRule="exact"/>
        <w:ind w:left="0"/>
        <w:rPr>
          <w:rFonts w:hint="eastAsia" w:asciiTheme="minorEastAsia" w:hAnsiTheme="minorEastAsia" w:eastAsiaTheme="minorEastAsia" w:cstheme="minorEastAsia"/>
          <w:lang w:eastAsia="zh-CN" w:bidi="ar-SA"/>
        </w:rPr>
      </w:pPr>
    </w:p>
    <w:tbl>
      <w:tblPr>
        <w:tblStyle w:val="36"/>
        <w:tblW w:w="9434" w:type="dxa"/>
        <w:jc w:val="center"/>
        <w:tblLayout w:type="autofit"/>
        <w:tblCellMar>
          <w:top w:w="0" w:type="dxa"/>
          <w:left w:w="108" w:type="dxa"/>
          <w:bottom w:w="0" w:type="dxa"/>
          <w:right w:w="108" w:type="dxa"/>
        </w:tblCellMar>
      </w:tblPr>
      <w:tblGrid>
        <w:gridCol w:w="984"/>
        <w:gridCol w:w="2316"/>
        <w:gridCol w:w="2316"/>
        <w:gridCol w:w="3818"/>
      </w:tblGrid>
      <w:tr w14:paraId="47F96B93">
        <w:tblPrEx>
          <w:tblCellMar>
            <w:top w:w="0" w:type="dxa"/>
            <w:left w:w="108" w:type="dxa"/>
            <w:bottom w:w="0" w:type="dxa"/>
            <w:right w:w="108" w:type="dxa"/>
          </w:tblCellMar>
        </w:tblPrEx>
        <w:trPr>
          <w:cantSplit/>
          <w:trHeight w:val="740" w:hRule="atLeast"/>
          <w:jc w:val="center"/>
        </w:trPr>
        <w:tc>
          <w:tcPr>
            <w:tcW w:w="984" w:type="dxa"/>
            <w:tcBorders>
              <w:top w:val="single" w:color="000000" w:sz="4" w:space="0"/>
              <w:left w:val="single" w:color="000000" w:sz="4" w:space="0"/>
              <w:bottom w:val="single" w:color="000000" w:sz="4" w:space="0"/>
              <w:right w:val="single" w:color="000000" w:sz="4" w:space="0"/>
            </w:tcBorders>
            <w:vAlign w:val="center"/>
          </w:tcPr>
          <w:p w14:paraId="2956659E">
            <w:pPr>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序号</w:t>
            </w:r>
          </w:p>
        </w:tc>
        <w:tc>
          <w:tcPr>
            <w:tcW w:w="2316" w:type="dxa"/>
            <w:tcBorders>
              <w:top w:val="single" w:color="000000" w:sz="4" w:space="0"/>
              <w:left w:val="single" w:color="000000" w:sz="4" w:space="0"/>
              <w:bottom w:val="single" w:color="000000" w:sz="4" w:space="0"/>
              <w:right w:val="single" w:color="000000" w:sz="4" w:space="0"/>
            </w:tcBorders>
            <w:vAlign w:val="center"/>
          </w:tcPr>
          <w:p w14:paraId="728531F1">
            <w:pPr>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招标文件要求</w:t>
            </w:r>
          </w:p>
        </w:tc>
        <w:tc>
          <w:tcPr>
            <w:tcW w:w="2316" w:type="dxa"/>
            <w:tcBorders>
              <w:top w:val="single" w:color="000000" w:sz="4" w:space="0"/>
              <w:left w:val="single" w:color="000000" w:sz="4" w:space="0"/>
              <w:bottom w:val="single" w:color="000000" w:sz="4" w:space="0"/>
              <w:right w:val="single" w:color="000000" w:sz="4" w:space="0"/>
            </w:tcBorders>
            <w:vAlign w:val="center"/>
          </w:tcPr>
          <w:p w14:paraId="7AD9D8B1">
            <w:pPr>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投标响应情况</w:t>
            </w:r>
          </w:p>
        </w:tc>
        <w:tc>
          <w:tcPr>
            <w:tcW w:w="3818" w:type="dxa"/>
            <w:tcBorders>
              <w:top w:val="single" w:color="000000" w:sz="4" w:space="0"/>
              <w:left w:val="single" w:color="000000" w:sz="4" w:space="0"/>
              <w:bottom w:val="single" w:color="000000" w:sz="4" w:space="0"/>
              <w:right w:val="single" w:color="000000" w:sz="4" w:space="0"/>
            </w:tcBorders>
            <w:vAlign w:val="center"/>
          </w:tcPr>
          <w:p w14:paraId="125AFF1B">
            <w:pPr>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正偏离、无偏离或负偏离</w:t>
            </w:r>
          </w:p>
        </w:tc>
      </w:tr>
      <w:tr w14:paraId="0B8FF6FD">
        <w:tblPrEx>
          <w:tblCellMar>
            <w:top w:w="0" w:type="dxa"/>
            <w:left w:w="108" w:type="dxa"/>
            <w:bottom w:w="0" w:type="dxa"/>
            <w:right w:w="108" w:type="dxa"/>
          </w:tblCellMar>
        </w:tblPrEx>
        <w:trPr>
          <w:cantSplit/>
          <w:trHeight w:val="640" w:hRule="atLeast"/>
          <w:jc w:val="center"/>
        </w:trPr>
        <w:tc>
          <w:tcPr>
            <w:tcW w:w="984" w:type="dxa"/>
            <w:tcBorders>
              <w:top w:val="single" w:color="000000" w:sz="4" w:space="0"/>
              <w:left w:val="single" w:color="000000" w:sz="4" w:space="0"/>
              <w:bottom w:val="single" w:color="000000" w:sz="4" w:space="0"/>
              <w:right w:val="single" w:color="000000" w:sz="4" w:space="0"/>
            </w:tcBorders>
          </w:tcPr>
          <w:p w14:paraId="46A0CC28">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21C4E7A2">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19F7082C">
            <w:pPr>
              <w:spacing w:line="400" w:lineRule="exact"/>
              <w:jc w:val="center"/>
              <w:rPr>
                <w:rFonts w:hint="eastAsia" w:asciiTheme="minorEastAsia" w:hAnsiTheme="minorEastAsia" w:eastAsiaTheme="minorEastAsia" w:cstheme="minorEastAsia"/>
                <w:color w:val="auto"/>
                <w:sz w:val="24"/>
                <w:szCs w:val="24"/>
              </w:rPr>
            </w:pPr>
          </w:p>
        </w:tc>
        <w:tc>
          <w:tcPr>
            <w:tcW w:w="3818" w:type="dxa"/>
            <w:tcBorders>
              <w:top w:val="single" w:color="000000" w:sz="4" w:space="0"/>
              <w:left w:val="single" w:color="000000" w:sz="4" w:space="0"/>
              <w:bottom w:val="single" w:color="000000" w:sz="4" w:space="0"/>
              <w:right w:val="single" w:color="000000" w:sz="4" w:space="0"/>
            </w:tcBorders>
          </w:tcPr>
          <w:p w14:paraId="35013D0D">
            <w:pPr>
              <w:spacing w:line="400" w:lineRule="exact"/>
              <w:jc w:val="center"/>
              <w:rPr>
                <w:rFonts w:hint="eastAsia" w:asciiTheme="minorEastAsia" w:hAnsiTheme="minorEastAsia" w:eastAsiaTheme="minorEastAsia" w:cstheme="minorEastAsia"/>
                <w:color w:val="auto"/>
                <w:sz w:val="24"/>
                <w:szCs w:val="24"/>
              </w:rPr>
            </w:pPr>
          </w:p>
        </w:tc>
      </w:tr>
      <w:tr w14:paraId="216F02B1">
        <w:tblPrEx>
          <w:tblCellMar>
            <w:top w:w="0" w:type="dxa"/>
            <w:left w:w="108" w:type="dxa"/>
            <w:bottom w:w="0" w:type="dxa"/>
            <w:right w:w="108" w:type="dxa"/>
          </w:tblCellMar>
        </w:tblPrEx>
        <w:trPr>
          <w:cantSplit/>
          <w:trHeight w:val="640" w:hRule="atLeast"/>
          <w:jc w:val="center"/>
        </w:trPr>
        <w:tc>
          <w:tcPr>
            <w:tcW w:w="984" w:type="dxa"/>
            <w:tcBorders>
              <w:top w:val="single" w:color="000000" w:sz="4" w:space="0"/>
              <w:left w:val="single" w:color="000000" w:sz="4" w:space="0"/>
              <w:bottom w:val="single" w:color="000000" w:sz="4" w:space="0"/>
              <w:right w:val="single" w:color="000000" w:sz="4" w:space="0"/>
            </w:tcBorders>
          </w:tcPr>
          <w:p w14:paraId="2D030487">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67D186DB">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6C2F7B43">
            <w:pPr>
              <w:spacing w:line="400" w:lineRule="exact"/>
              <w:jc w:val="center"/>
              <w:rPr>
                <w:rFonts w:hint="eastAsia" w:asciiTheme="minorEastAsia" w:hAnsiTheme="minorEastAsia" w:eastAsiaTheme="minorEastAsia" w:cstheme="minorEastAsia"/>
                <w:color w:val="auto"/>
                <w:sz w:val="24"/>
                <w:szCs w:val="24"/>
              </w:rPr>
            </w:pPr>
          </w:p>
        </w:tc>
        <w:tc>
          <w:tcPr>
            <w:tcW w:w="3818" w:type="dxa"/>
            <w:tcBorders>
              <w:top w:val="single" w:color="000000" w:sz="4" w:space="0"/>
              <w:left w:val="single" w:color="000000" w:sz="4" w:space="0"/>
              <w:bottom w:val="single" w:color="000000" w:sz="4" w:space="0"/>
              <w:right w:val="single" w:color="000000" w:sz="4" w:space="0"/>
            </w:tcBorders>
          </w:tcPr>
          <w:p w14:paraId="7498B545">
            <w:pPr>
              <w:spacing w:line="400" w:lineRule="exact"/>
              <w:jc w:val="center"/>
              <w:rPr>
                <w:rFonts w:hint="eastAsia" w:asciiTheme="minorEastAsia" w:hAnsiTheme="minorEastAsia" w:eastAsiaTheme="minorEastAsia" w:cstheme="minorEastAsia"/>
                <w:color w:val="auto"/>
                <w:sz w:val="24"/>
                <w:szCs w:val="24"/>
              </w:rPr>
            </w:pPr>
          </w:p>
        </w:tc>
      </w:tr>
      <w:tr w14:paraId="7E83B995">
        <w:tblPrEx>
          <w:tblCellMar>
            <w:top w:w="0" w:type="dxa"/>
            <w:left w:w="108" w:type="dxa"/>
            <w:bottom w:w="0" w:type="dxa"/>
            <w:right w:w="108" w:type="dxa"/>
          </w:tblCellMar>
        </w:tblPrEx>
        <w:trPr>
          <w:cantSplit/>
          <w:trHeight w:val="640" w:hRule="atLeast"/>
          <w:jc w:val="center"/>
        </w:trPr>
        <w:tc>
          <w:tcPr>
            <w:tcW w:w="984" w:type="dxa"/>
            <w:tcBorders>
              <w:top w:val="single" w:color="000000" w:sz="4" w:space="0"/>
              <w:left w:val="single" w:color="000000" w:sz="4" w:space="0"/>
              <w:bottom w:val="single" w:color="000000" w:sz="4" w:space="0"/>
              <w:right w:val="single" w:color="000000" w:sz="4" w:space="0"/>
            </w:tcBorders>
          </w:tcPr>
          <w:p w14:paraId="3AC7060F">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00404B6A">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3D99CC71">
            <w:pPr>
              <w:spacing w:line="400" w:lineRule="exact"/>
              <w:jc w:val="center"/>
              <w:rPr>
                <w:rFonts w:hint="eastAsia" w:asciiTheme="minorEastAsia" w:hAnsiTheme="minorEastAsia" w:eastAsiaTheme="minorEastAsia" w:cstheme="minorEastAsia"/>
                <w:color w:val="auto"/>
                <w:sz w:val="24"/>
                <w:szCs w:val="24"/>
              </w:rPr>
            </w:pPr>
          </w:p>
        </w:tc>
        <w:tc>
          <w:tcPr>
            <w:tcW w:w="3818" w:type="dxa"/>
            <w:tcBorders>
              <w:top w:val="single" w:color="000000" w:sz="4" w:space="0"/>
              <w:left w:val="single" w:color="000000" w:sz="4" w:space="0"/>
              <w:bottom w:val="single" w:color="000000" w:sz="4" w:space="0"/>
              <w:right w:val="single" w:color="000000" w:sz="4" w:space="0"/>
            </w:tcBorders>
          </w:tcPr>
          <w:p w14:paraId="5044E7F6">
            <w:pPr>
              <w:spacing w:line="400" w:lineRule="exact"/>
              <w:jc w:val="center"/>
              <w:rPr>
                <w:rFonts w:hint="eastAsia" w:asciiTheme="minorEastAsia" w:hAnsiTheme="minorEastAsia" w:eastAsiaTheme="minorEastAsia" w:cstheme="minorEastAsia"/>
                <w:color w:val="auto"/>
                <w:sz w:val="24"/>
                <w:szCs w:val="24"/>
              </w:rPr>
            </w:pPr>
          </w:p>
        </w:tc>
      </w:tr>
      <w:tr w14:paraId="2098374A">
        <w:tblPrEx>
          <w:tblCellMar>
            <w:top w:w="0" w:type="dxa"/>
            <w:left w:w="108" w:type="dxa"/>
            <w:bottom w:w="0" w:type="dxa"/>
            <w:right w:w="108" w:type="dxa"/>
          </w:tblCellMar>
        </w:tblPrEx>
        <w:trPr>
          <w:cantSplit/>
          <w:trHeight w:val="640" w:hRule="atLeast"/>
          <w:jc w:val="center"/>
        </w:trPr>
        <w:tc>
          <w:tcPr>
            <w:tcW w:w="984" w:type="dxa"/>
            <w:tcBorders>
              <w:top w:val="single" w:color="000000" w:sz="4" w:space="0"/>
              <w:left w:val="single" w:color="000000" w:sz="4" w:space="0"/>
              <w:bottom w:val="single" w:color="000000" w:sz="4" w:space="0"/>
              <w:right w:val="single" w:color="000000" w:sz="4" w:space="0"/>
            </w:tcBorders>
          </w:tcPr>
          <w:p w14:paraId="1E737494">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4E4C1786">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582F4DA3">
            <w:pPr>
              <w:spacing w:line="400" w:lineRule="exact"/>
              <w:jc w:val="center"/>
              <w:rPr>
                <w:rFonts w:hint="eastAsia" w:asciiTheme="minorEastAsia" w:hAnsiTheme="minorEastAsia" w:eastAsiaTheme="minorEastAsia" w:cstheme="minorEastAsia"/>
                <w:color w:val="auto"/>
                <w:sz w:val="24"/>
                <w:szCs w:val="24"/>
              </w:rPr>
            </w:pPr>
          </w:p>
        </w:tc>
        <w:tc>
          <w:tcPr>
            <w:tcW w:w="3818" w:type="dxa"/>
            <w:tcBorders>
              <w:top w:val="single" w:color="000000" w:sz="4" w:space="0"/>
              <w:left w:val="single" w:color="000000" w:sz="4" w:space="0"/>
              <w:bottom w:val="single" w:color="000000" w:sz="4" w:space="0"/>
              <w:right w:val="single" w:color="000000" w:sz="4" w:space="0"/>
            </w:tcBorders>
          </w:tcPr>
          <w:p w14:paraId="29C25DE1">
            <w:pPr>
              <w:spacing w:line="400" w:lineRule="exact"/>
              <w:jc w:val="center"/>
              <w:rPr>
                <w:rFonts w:hint="eastAsia" w:asciiTheme="minorEastAsia" w:hAnsiTheme="minorEastAsia" w:eastAsiaTheme="minorEastAsia" w:cstheme="minorEastAsia"/>
                <w:color w:val="auto"/>
                <w:sz w:val="24"/>
                <w:szCs w:val="24"/>
              </w:rPr>
            </w:pPr>
          </w:p>
        </w:tc>
      </w:tr>
      <w:tr w14:paraId="5D6246F5">
        <w:tblPrEx>
          <w:tblCellMar>
            <w:top w:w="0" w:type="dxa"/>
            <w:left w:w="108" w:type="dxa"/>
            <w:bottom w:w="0" w:type="dxa"/>
            <w:right w:w="108" w:type="dxa"/>
          </w:tblCellMar>
        </w:tblPrEx>
        <w:trPr>
          <w:cantSplit/>
          <w:trHeight w:val="640" w:hRule="atLeast"/>
          <w:jc w:val="center"/>
        </w:trPr>
        <w:tc>
          <w:tcPr>
            <w:tcW w:w="984" w:type="dxa"/>
            <w:tcBorders>
              <w:top w:val="single" w:color="000000" w:sz="4" w:space="0"/>
              <w:left w:val="single" w:color="000000" w:sz="4" w:space="0"/>
              <w:bottom w:val="single" w:color="000000" w:sz="4" w:space="0"/>
              <w:right w:val="single" w:color="000000" w:sz="4" w:space="0"/>
            </w:tcBorders>
          </w:tcPr>
          <w:p w14:paraId="0A8DCE5B">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7D321C92">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067F10FE">
            <w:pPr>
              <w:spacing w:line="400" w:lineRule="exact"/>
              <w:jc w:val="center"/>
              <w:rPr>
                <w:rFonts w:hint="eastAsia" w:asciiTheme="minorEastAsia" w:hAnsiTheme="minorEastAsia" w:eastAsiaTheme="minorEastAsia" w:cstheme="minorEastAsia"/>
                <w:color w:val="auto"/>
                <w:sz w:val="24"/>
                <w:szCs w:val="24"/>
              </w:rPr>
            </w:pPr>
          </w:p>
        </w:tc>
        <w:tc>
          <w:tcPr>
            <w:tcW w:w="3818" w:type="dxa"/>
            <w:tcBorders>
              <w:top w:val="single" w:color="000000" w:sz="4" w:space="0"/>
              <w:left w:val="single" w:color="000000" w:sz="4" w:space="0"/>
              <w:bottom w:val="single" w:color="000000" w:sz="4" w:space="0"/>
              <w:right w:val="single" w:color="000000" w:sz="4" w:space="0"/>
            </w:tcBorders>
          </w:tcPr>
          <w:p w14:paraId="53BB8ECE">
            <w:pPr>
              <w:spacing w:line="400" w:lineRule="exact"/>
              <w:jc w:val="center"/>
              <w:rPr>
                <w:rFonts w:hint="eastAsia" w:asciiTheme="minorEastAsia" w:hAnsiTheme="minorEastAsia" w:eastAsiaTheme="minorEastAsia" w:cstheme="minorEastAsia"/>
                <w:color w:val="auto"/>
                <w:sz w:val="24"/>
                <w:szCs w:val="24"/>
              </w:rPr>
            </w:pPr>
          </w:p>
        </w:tc>
      </w:tr>
      <w:tr w14:paraId="4899CBAC">
        <w:tblPrEx>
          <w:tblCellMar>
            <w:top w:w="0" w:type="dxa"/>
            <w:left w:w="108" w:type="dxa"/>
            <w:bottom w:w="0" w:type="dxa"/>
            <w:right w:w="108" w:type="dxa"/>
          </w:tblCellMar>
        </w:tblPrEx>
        <w:trPr>
          <w:cantSplit/>
          <w:trHeight w:val="640" w:hRule="atLeast"/>
          <w:jc w:val="center"/>
        </w:trPr>
        <w:tc>
          <w:tcPr>
            <w:tcW w:w="984" w:type="dxa"/>
            <w:tcBorders>
              <w:top w:val="single" w:color="000000" w:sz="4" w:space="0"/>
              <w:left w:val="single" w:color="000000" w:sz="4" w:space="0"/>
              <w:bottom w:val="single" w:color="000000" w:sz="4" w:space="0"/>
              <w:right w:val="single" w:color="000000" w:sz="4" w:space="0"/>
            </w:tcBorders>
          </w:tcPr>
          <w:p w14:paraId="1E4901D8">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71D870F7">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1772A819">
            <w:pPr>
              <w:spacing w:line="400" w:lineRule="exact"/>
              <w:jc w:val="center"/>
              <w:rPr>
                <w:rFonts w:hint="eastAsia" w:asciiTheme="minorEastAsia" w:hAnsiTheme="minorEastAsia" w:eastAsiaTheme="minorEastAsia" w:cstheme="minorEastAsia"/>
                <w:color w:val="auto"/>
                <w:sz w:val="24"/>
                <w:szCs w:val="24"/>
              </w:rPr>
            </w:pPr>
          </w:p>
        </w:tc>
        <w:tc>
          <w:tcPr>
            <w:tcW w:w="3818" w:type="dxa"/>
            <w:tcBorders>
              <w:top w:val="single" w:color="000000" w:sz="4" w:space="0"/>
              <w:left w:val="single" w:color="000000" w:sz="4" w:space="0"/>
              <w:bottom w:val="single" w:color="000000" w:sz="4" w:space="0"/>
              <w:right w:val="single" w:color="000000" w:sz="4" w:space="0"/>
            </w:tcBorders>
          </w:tcPr>
          <w:p w14:paraId="24A77E02">
            <w:pPr>
              <w:spacing w:line="400" w:lineRule="exact"/>
              <w:jc w:val="center"/>
              <w:rPr>
                <w:rFonts w:hint="eastAsia" w:asciiTheme="minorEastAsia" w:hAnsiTheme="minorEastAsia" w:eastAsiaTheme="minorEastAsia" w:cstheme="minorEastAsia"/>
                <w:color w:val="auto"/>
                <w:sz w:val="24"/>
                <w:szCs w:val="24"/>
              </w:rPr>
            </w:pPr>
          </w:p>
        </w:tc>
      </w:tr>
      <w:tr w14:paraId="11C7B752">
        <w:tblPrEx>
          <w:tblCellMar>
            <w:top w:w="0" w:type="dxa"/>
            <w:left w:w="108" w:type="dxa"/>
            <w:bottom w:w="0" w:type="dxa"/>
            <w:right w:w="108" w:type="dxa"/>
          </w:tblCellMar>
        </w:tblPrEx>
        <w:trPr>
          <w:cantSplit/>
          <w:trHeight w:val="640" w:hRule="atLeast"/>
          <w:jc w:val="center"/>
        </w:trPr>
        <w:tc>
          <w:tcPr>
            <w:tcW w:w="984" w:type="dxa"/>
            <w:tcBorders>
              <w:top w:val="single" w:color="000000" w:sz="4" w:space="0"/>
              <w:left w:val="single" w:color="000000" w:sz="4" w:space="0"/>
              <w:bottom w:val="single" w:color="000000" w:sz="4" w:space="0"/>
              <w:right w:val="single" w:color="000000" w:sz="4" w:space="0"/>
            </w:tcBorders>
          </w:tcPr>
          <w:p w14:paraId="4F27611F">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34C5C1B9">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21A5996B">
            <w:pPr>
              <w:spacing w:line="400" w:lineRule="exact"/>
              <w:jc w:val="center"/>
              <w:rPr>
                <w:rFonts w:hint="eastAsia" w:asciiTheme="minorEastAsia" w:hAnsiTheme="minorEastAsia" w:eastAsiaTheme="minorEastAsia" w:cstheme="minorEastAsia"/>
                <w:color w:val="auto"/>
                <w:sz w:val="24"/>
                <w:szCs w:val="24"/>
              </w:rPr>
            </w:pPr>
          </w:p>
        </w:tc>
        <w:tc>
          <w:tcPr>
            <w:tcW w:w="3818" w:type="dxa"/>
            <w:tcBorders>
              <w:top w:val="single" w:color="000000" w:sz="4" w:space="0"/>
              <w:left w:val="single" w:color="000000" w:sz="4" w:space="0"/>
              <w:bottom w:val="single" w:color="000000" w:sz="4" w:space="0"/>
              <w:right w:val="single" w:color="000000" w:sz="4" w:space="0"/>
            </w:tcBorders>
          </w:tcPr>
          <w:p w14:paraId="68FB7516">
            <w:pPr>
              <w:spacing w:line="400" w:lineRule="exact"/>
              <w:jc w:val="center"/>
              <w:rPr>
                <w:rFonts w:hint="eastAsia" w:asciiTheme="minorEastAsia" w:hAnsiTheme="minorEastAsia" w:eastAsiaTheme="minorEastAsia" w:cstheme="minorEastAsia"/>
                <w:color w:val="auto"/>
                <w:sz w:val="24"/>
                <w:szCs w:val="24"/>
              </w:rPr>
            </w:pPr>
          </w:p>
        </w:tc>
      </w:tr>
      <w:tr w14:paraId="235D53B1">
        <w:tblPrEx>
          <w:tblCellMar>
            <w:top w:w="0" w:type="dxa"/>
            <w:left w:w="108" w:type="dxa"/>
            <w:bottom w:w="0" w:type="dxa"/>
            <w:right w:w="108" w:type="dxa"/>
          </w:tblCellMar>
        </w:tblPrEx>
        <w:trPr>
          <w:cantSplit/>
          <w:trHeight w:val="640" w:hRule="atLeast"/>
          <w:jc w:val="center"/>
        </w:trPr>
        <w:tc>
          <w:tcPr>
            <w:tcW w:w="984" w:type="dxa"/>
            <w:tcBorders>
              <w:top w:val="single" w:color="000000" w:sz="4" w:space="0"/>
              <w:left w:val="single" w:color="000000" w:sz="4" w:space="0"/>
              <w:bottom w:val="single" w:color="000000" w:sz="4" w:space="0"/>
              <w:right w:val="single" w:color="000000" w:sz="4" w:space="0"/>
            </w:tcBorders>
          </w:tcPr>
          <w:p w14:paraId="35D06E9A">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182FCB10">
            <w:pPr>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w:t>
            </w:r>
          </w:p>
        </w:tc>
        <w:tc>
          <w:tcPr>
            <w:tcW w:w="2316" w:type="dxa"/>
            <w:tcBorders>
              <w:top w:val="single" w:color="000000" w:sz="4" w:space="0"/>
              <w:left w:val="single" w:color="000000" w:sz="4" w:space="0"/>
              <w:bottom w:val="single" w:color="000000" w:sz="4" w:space="0"/>
              <w:right w:val="single" w:color="000000" w:sz="4" w:space="0"/>
            </w:tcBorders>
          </w:tcPr>
          <w:p w14:paraId="7C8DD25E">
            <w:pPr>
              <w:spacing w:line="400" w:lineRule="exact"/>
              <w:jc w:val="center"/>
              <w:rPr>
                <w:rFonts w:hint="eastAsia" w:asciiTheme="minorEastAsia" w:hAnsiTheme="minorEastAsia" w:eastAsiaTheme="minorEastAsia" w:cstheme="minorEastAsia"/>
                <w:color w:val="auto"/>
                <w:sz w:val="24"/>
                <w:szCs w:val="24"/>
              </w:rPr>
            </w:pPr>
          </w:p>
        </w:tc>
        <w:tc>
          <w:tcPr>
            <w:tcW w:w="3818" w:type="dxa"/>
            <w:tcBorders>
              <w:top w:val="single" w:color="000000" w:sz="4" w:space="0"/>
              <w:left w:val="single" w:color="000000" w:sz="4" w:space="0"/>
              <w:bottom w:val="single" w:color="000000" w:sz="4" w:space="0"/>
              <w:right w:val="single" w:color="000000" w:sz="4" w:space="0"/>
            </w:tcBorders>
          </w:tcPr>
          <w:p w14:paraId="67CC4AC5">
            <w:pPr>
              <w:spacing w:line="400" w:lineRule="exact"/>
              <w:jc w:val="center"/>
              <w:rPr>
                <w:rFonts w:hint="eastAsia" w:asciiTheme="minorEastAsia" w:hAnsiTheme="minorEastAsia" w:eastAsiaTheme="minorEastAsia" w:cstheme="minorEastAsia"/>
                <w:color w:val="auto"/>
                <w:sz w:val="24"/>
                <w:szCs w:val="24"/>
              </w:rPr>
            </w:pPr>
          </w:p>
        </w:tc>
      </w:tr>
    </w:tbl>
    <w:p w14:paraId="630B9CDA">
      <w:pPr>
        <w:spacing w:line="580" w:lineRule="exact"/>
        <w:ind w:right="1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投标人名称（加盖电子公章）：</w:t>
      </w:r>
    </w:p>
    <w:p w14:paraId="4F8D341B">
      <w:pPr>
        <w:spacing w:line="580" w:lineRule="exact"/>
        <w:rPr>
          <w:rFonts w:hint="eastAsia" w:asciiTheme="minorEastAsia" w:hAnsiTheme="minorEastAsia" w:eastAsiaTheme="minorEastAsia" w:cstheme="minorEastAsia"/>
          <w:color w:val="auto"/>
          <w:sz w:val="24"/>
          <w:szCs w:val="24"/>
        </w:rPr>
      </w:pPr>
    </w:p>
    <w:p w14:paraId="74E1A774">
      <w:pPr>
        <w:pStyle w:val="230"/>
        <w:spacing w:before="0" w:beforeAutospacing="0" w:after="0" w:afterAutospacing="0" w:line="500" w:lineRule="exact"/>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注：1．投标人须对招标文件技术要求中的实质性要求做出明确响应，投标人未对实质性要求作出明确响应的，视为完全响应。</w:t>
      </w:r>
    </w:p>
    <w:p w14:paraId="0FE2113E">
      <w:pPr>
        <w:pStyle w:val="230"/>
        <w:spacing w:before="0" w:beforeAutospacing="0" w:after="0" w:afterAutospacing="0" w:line="500" w:lineRule="exact"/>
        <w:ind w:firstLine="480" w:firstLineChars="200"/>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2．行数不够，可自行添加。</w:t>
      </w:r>
    </w:p>
    <w:p w14:paraId="04589DC4">
      <w:pPr>
        <w:spacing w:line="580" w:lineRule="exact"/>
        <w:outlineLvl w:val="1"/>
        <w:rPr>
          <w:rFonts w:hint="eastAsia" w:asciiTheme="minorEastAsia" w:hAnsiTheme="minorEastAsia" w:eastAsiaTheme="minorEastAsia" w:cstheme="minorEastAsia"/>
          <w:b/>
          <w:bCs/>
          <w:color w:val="auto"/>
          <w:sz w:val="24"/>
          <w:szCs w:val="24"/>
        </w:rPr>
      </w:pPr>
    </w:p>
    <w:p w14:paraId="71970669">
      <w:pPr>
        <w:pStyle w:val="33"/>
        <w:spacing w:line="580" w:lineRule="exact"/>
        <w:ind w:firstLine="480" w:firstLineChars="200"/>
        <w:jc w:val="both"/>
        <w:rPr>
          <w:rFonts w:hint="eastAsia" w:asciiTheme="minorEastAsia" w:hAnsiTheme="minorEastAsia" w:eastAsiaTheme="minorEastAsia" w:cstheme="minorEastAsia"/>
          <w:b w:val="0"/>
          <w:bCs w:val="0"/>
          <w:color w:val="auto"/>
          <w:sz w:val="24"/>
          <w:szCs w:val="24"/>
        </w:rPr>
      </w:pPr>
    </w:p>
    <w:p w14:paraId="120C8826">
      <w:pPr>
        <w:pStyle w:val="33"/>
        <w:spacing w:line="580" w:lineRule="exact"/>
        <w:ind w:firstLine="480" w:firstLineChars="200"/>
        <w:jc w:val="both"/>
        <w:rPr>
          <w:rFonts w:hint="eastAsia" w:asciiTheme="minorEastAsia" w:hAnsiTheme="minorEastAsia" w:eastAsiaTheme="minorEastAsia" w:cstheme="minorEastAsia"/>
          <w:b w:val="0"/>
          <w:bCs w:val="0"/>
          <w:color w:val="auto"/>
          <w:sz w:val="24"/>
          <w:szCs w:val="24"/>
        </w:rPr>
      </w:pPr>
    </w:p>
    <w:p w14:paraId="7F277421">
      <w:pPr>
        <w:pStyle w:val="33"/>
        <w:spacing w:line="580" w:lineRule="exact"/>
        <w:ind w:firstLine="480" w:firstLineChars="200"/>
        <w:jc w:val="both"/>
        <w:rPr>
          <w:rFonts w:hint="eastAsia" w:asciiTheme="minorEastAsia" w:hAnsiTheme="minorEastAsia" w:eastAsiaTheme="minorEastAsia" w:cstheme="minorEastAsia"/>
          <w:b w:val="0"/>
          <w:bCs w:val="0"/>
          <w:color w:val="auto"/>
          <w:sz w:val="24"/>
          <w:szCs w:val="24"/>
        </w:rPr>
      </w:pPr>
    </w:p>
    <w:p w14:paraId="41B18100">
      <w:pPr>
        <w:pStyle w:val="33"/>
        <w:spacing w:line="580" w:lineRule="exact"/>
        <w:ind w:firstLine="480" w:firstLineChars="200"/>
        <w:jc w:val="both"/>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rPr>
        <w:t>八、商务要求响应及偏离表</w:t>
      </w:r>
    </w:p>
    <w:p w14:paraId="53F2F383">
      <w:pPr>
        <w:spacing w:line="580" w:lineRule="exact"/>
        <w:jc w:val="center"/>
        <w:rPr>
          <w:rFonts w:hint="eastAsia" w:asciiTheme="minorEastAsia" w:hAnsiTheme="minorEastAsia" w:eastAsiaTheme="minorEastAsia" w:cstheme="minorEastAsia"/>
          <w:color w:val="auto"/>
          <w:sz w:val="24"/>
          <w:szCs w:val="24"/>
        </w:rPr>
      </w:pPr>
    </w:p>
    <w:p w14:paraId="51AEB02B">
      <w:pPr>
        <w:spacing w:line="58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商务要求响应及偏离表</w:t>
      </w:r>
    </w:p>
    <w:tbl>
      <w:tblPr>
        <w:tblStyle w:val="36"/>
        <w:tblW w:w="9486" w:type="dxa"/>
        <w:jc w:val="center"/>
        <w:tblLayout w:type="autofit"/>
        <w:tblCellMar>
          <w:top w:w="0" w:type="dxa"/>
          <w:left w:w="108" w:type="dxa"/>
          <w:bottom w:w="0" w:type="dxa"/>
          <w:right w:w="108" w:type="dxa"/>
        </w:tblCellMar>
      </w:tblPr>
      <w:tblGrid>
        <w:gridCol w:w="1036"/>
        <w:gridCol w:w="2316"/>
        <w:gridCol w:w="2316"/>
        <w:gridCol w:w="3818"/>
      </w:tblGrid>
      <w:tr w14:paraId="7BF5DB5F">
        <w:tblPrEx>
          <w:tblCellMar>
            <w:top w:w="0" w:type="dxa"/>
            <w:left w:w="108" w:type="dxa"/>
            <w:bottom w:w="0" w:type="dxa"/>
            <w:right w:w="108" w:type="dxa"/>
          </w:tblCellMar>
        </w:tblPrEx>
        <w:trPr>
          <w:cantSplit/>
          <w:trHeight w:val="698" w:hRule="atLeast"/>
          <w:jc w:val="center"/>
        </w:trPr>
        <w:tc>
          <w:tcPr>
            <w:tcW w:w="1036" w:type="dxa"/>
            <w:tcBorders>
              <w:top w:val="single" w:color="000000" w:sz="4" w:space="0"/>
              <w:left w:val="single" w:color="000000" w:sz="4" w:space="0"/>
              <w:bottom w:val="single" w:color="000000" w:sz="4" w:space="0"/>
              <w:right w:val="single" w:color="000000" w:sz="4" w:space="0"/>
            </w:tcBorders>
            <w:vAlign w:val="center"/>
          </w:tcPr>
          <w:p w14:paraId="35A9534A">
            <w:pPr>
              <w:spacing w:line="400" w:lineRule="exact"/>
              <w:jc w:val="center"/>
              <w:rPr>
                <w:rFonts w:hint="eastAsia" w:asciiTheme="minorEastAsia" w:hAnsiTheme="minorEastAsia" w:eastAsiaTheme="minorEastAsia" w:cstheme="minorEastAsia"/>
                <w:color w:val="auto"/>
                <w:sz w:val="24"/>
                <w:szCs w:val="24"/>
              </w:rPr>
            </w:pPr>
            <w:bookmarkStart w:id="217" w:name="_Hlt24879081"/>
            <w:bookmarkEnd w:id="217"/>
            <w:bookmarkStart w:id="218" w:name="_Hlt26782999"/>
            <w:bookmarkEnd w:id="218"/>
            <w:bookmarkStart w:id="219" w:name="_Hlt26609391"/>
            <w:bookmarkEnd w:id="219"/>
            <w:bookmarkStart w:id="220" w:name="_Hlt26671372"/>
            <w:bookmarkEnd w:id="220"/>
            <w:bookmarkStart w:id="221" w:name="_Hlt26955064"/>
            <w:bookmarkEnd w:id="221"/>
            <w:bookmarkStart w:id="222" w:name="_Hlt26671343"/>
            <w:bookmarkEnd w:id="222"/>
            <w:bookmarkStart w:id="223" w:name="_Hlt26955056"/>
            <w:bookmarkEnd w:id="223"/>
            <w:bookmarkStart w:id="224" w:name="_Hlt26580838"/>
            <w:bookmarkEnd w:id="224"/>
            <w:r>
              <w:rPr>
                <w:rFonts w:hint="eastAsia" w:asciiTheme="minorEastAsia" w:hAnsiTheme="minorEastAsia" w:eastAsiaTheme="minorEastAsia" w:cstheme="minorEastAsia"/>
                <w:color w:val="auto"/>
                <w:sz w:val="24"/>
                <w:szCs w:val="24"/>
              </w:rPr>
              <w:t>序号</w:t>
            </w:r>
          </w:p>
        </w:tc>
        <w:tc>
          <w:tcPr>
            <w:tcW w:w="2316" w:type="dxa"/>
            <w:tcBorders>
              <w:top w:val="single" w:color="000000" w:sz="4" w:space="0"/>
              <w:left w:val="single" w:color="000000" w:sz="4" w:space="0"/>
              <w:bottom w:val="single" w:color="000000" w:sz="4" w:space="0"/>
              <w:right w:val="single" w:color="000000" w:sz="4" w:space="0"/>
            </w:tcBorders>
            <w:vAlign w:val="center"/>
          </w:tcPr>
          <w:p w14:paraId="3BED066A">
            <w:pPr>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招标文件要求</w:t>
            </w:r>
          </w:p>
        </w:tc>
        <w:tc>
          <w:tcPr>
            <w:tcW w:w="2316" w:type="dxa"/>
            <w:tcBorders>
              <w:top w:val="single" w:color="000000" w:sz="4" w:space="0"/>
              <w:left w:val="single" w:color="000000" w:sz="4" w:space="0"/>
              <w:bottom w:val="single" w:color="000000" w:sz="4" w:space="0"/>
              <w:right w:val="single" w:color="000000" w:sz="4" w:space="0"/>
            </w:tcBorders>
            <w:vAlign w:val="center"/>
          </w:tcPr>
          <w:p w14:paraId="0F1BE3C2">
            <w:pPr>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投标响应情况</w:t>
            </w:r>
          </w:p>
        </w:tc>
        <w:tc>
          <w:tcPr>
            <w:tcW w:w="3818" w:type="dxa"/>
            <w:tcBorders>
              <w:top w:val="single" w:color="000000" w:sz="4" w:space="0"/>
              <w:left w:val="single" w:color="000000" w:sz="4" w:space="0"/>
              <w:bottom w:val="single" w:color="000000" w:sz="4" w:space="0"/>
              <w:right w:val="single" w:color="000000" w:sz="4" w:space="0"/>
            </w:tcBorders>
            <w:vAlign w:val="center"/>
          </w:tcPr>
          <w:p w14:paraId="3BFD3563">
            <w:pPr>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正偏离、无偏离或负偏离</w:t>
            </w:r>
          </w:p>
        </w:tc>
      </w:tr>
      <w:tr w14:paraId="54A86C79">
        <w:tblPrEx>
          <w:tblCellMar>
            <w:top w:w="0" w:type="dxa"/>
            <w:left w:w="108" w:type="dxa"/>
            <w:bottom w:w="0" w:type="dxa"/>
            <w:right w:w="108" w:type="dxa"/>
          </w:tblCellMar>
        </w:tblPrEx>
        <w:trPr>
          <w:cantSplit/>
          <w:trHeight w:val="640" w:hRule="atLeast"/>
          <w:jc w:val="center"/>
        </w:trPr>
        <w:tc>
          <w:tcPr>
            <w:tcW w:w="1036" w:type="dxa"/>
            <w:tcBorders>
              <w:top w:val="single" w:color="000000" w:sz="4" w:space="0"/>
              <w:left w:val="single" w:color="000000" w:sz="4" w:space="0"/>
              <w:bottom w:val="single" w:color="000000" w:sz="4" w:space="0"/>
              <w:right w:val="single" w:color="000000" w:sz="4" w:space="0"/>
            </w:tcBorders>
          </w:tcPr>
          <w:p w14:paraId="21EDC57F">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39BE67E3">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58A445A2">
            <w:pPr>
              <w:spacing w:line="400" w:lineRule="exact"/>
              <w:jc w:val="center"/>
              <w:rPr>
                <w:rFonts w:hint="eastAsia" w:asciiTheme="minorEastAsia" w:hAnsiTheme="minorEastAsia" w:eastAsiaTheme="minorEastAsia" w:cstheme="minorEastAsia"/>
                <w:color w:val="auto"/>
                <w:sz w:val="24"/>
                <w:szCs w:val="24"/>
              </w:rPr>
            </w:pPr>
          </w:p>
        </w:tc>
        <w:tc>
          <w:tcPr>
            <w:tcW w:w="3818" w:type="dxa"/>
            <w:tcBorders>
              <w:top w:val="single" w:color="000000" w:sz="4" w:space="0"/>
              <w:left w:val="single" w:color="000000" w:sz="4" w:space="0"/>
              <w:bottom w:val="single" w:color="000000" w:sz="4" w:space="0"/>
              <w:right w:val="single" w:color="000000" w:sz="4" w:space="0"/>
            </w:tcBorders>
          </w:tcPr>
          <w:p w14:paraId="31102D59">
            <w:pPr>
              <w:spacing w:line="400" w:lineRule="exact"/>
              <w:jc w:val="center"/>
              <w:rPr>
                <w:rFonts w:hint="eastAsia" w:asciiTheme="minorEastAsia" w:hAnsiTheme="minorEastAsia" w:eastAsiaTheme="minorEastAsia" w:cstheme="minorEastAsia"/>
                <w:color w:val="auto"/>
                <w:sz w:val="24"/>
                <w:szCs w:val="24"/>
              </w:rPr>
            </w:pPr>
          </w:p>
        </w:tc>
      </w:tr>
      <w:tr w14:paraId="190C0972">
        <w:tblPrEx>
          <w:tblCellMar>
            <w:top w:w="0" w:type="dxa"/>
            <w:left w:w="108" w:type="dxa"/>
            <w:bottom w:w="0" w:type="dxa"/>
            <w:right w:w="108" w:type="dxa"/>
          </w:tblCellMar>
        </w:tblPrEx>
        <w:trPr>
          <w:cantSplit/>
          <w:trHeight w:val="640" w:hRule="atLeast"/>
          <w:jc w:val="center"/>
        </w:trPr>
        <w:tc>
          <w:tcPr>
            <w:tcW w:w="1036" w:type="dxa"/>
            <w:tcBorders>
              <w:top w:val="single" w:color="000000" w:sz="4" w:space="0"/>
              <w:left w:val="single" w:color="000000" w:sz="4" w:space="0"/>
              <w:bottom w:val="single" w:color="000000" w:sz="4" w:space="0"/>
              <w:right w:val="single" w:color="000000" w:sz="4" w:space="0"/>
            </w:tcBorders>
          </w:tcPr>
          <w:p w14:paraId="5C564030">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73E9504B">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58BA4BCC">
            <w:pPr>
              <w:spacing w:line="400" w:lineRule="exact"/>
              <w:jc w:val="center"/>
              <w:rPr>
                <w:rFonts w:hint="eastAsia" w:asciiTheme="minorEastAsia" w:hAnsiTheme="minorEastAsia" w:eastAsiaTheme="minorEastAsia" w:cstheme="minorEastAsia"/>
                <w:color w:val="auto"/>
                <w:sz w:val="24"/>
                <w:szCs w:val="24"/>
              </w:rPr>
            </w:pPr>
          </w:p>
        </w:tc>
        <w:tc>
          <w:tcPr>
            <w:tcW w:w="3818" w:type="dxa"/>
            <w:tcBorders>
              <w:top w:val="single" w:color="000000" w:sz="4" w:space="0"/>
              <w:left w:val="single" w:color="000000" w:sz="4" w:space="0"/>
              <w:bottom w:val="single" w:color="000000" w:sz="4" w:space="0"/>
              <w:right w:val="single" w:color="000000" w:sz="4" w:space="0"/>
            </w:tcBorders>
          </w:tcPr>
          <w:p w14:paraId="7DFAC95E">
            <w:pPr>
              <w:spacing w:line="400" w:lineRule="exact"/>
              <w:jc w:val="center"/>
              <w:rPr>
                <w:rFonts w:hint="eastAsia" w:asciiTheme="minorEastAsia" w:hAnsiTheme="minorEastAsia" w:eastAsiaTheme="minorEastAsia" w:cstheme="minorEastAsia"/>
                <w:color w:val="auto"/>
                <w:sz w:val="24"/>
                <w:szCs w:val="24"/>
              </w:rPr>
            </w:pPr>
          </w:p>
        </w:tc>
      </w:tr>
      <w:tr w14:paraId="27E7BC9E">
        <w:tblPrEx>
          <w:tblCellMar>
            <w:top w:w="0" w:type="dxa"/>
            <w:left w:w="108" w:type="dxa"/>
            <w:bottom w:w="0" w:type="dxa"/>
            <w:right w:w="108" w:type="dxa"/>
          </w:tblCellMar>
        </w:tblPrEx>
        <w:trPr>
          <w:cantSplit/>
          <w:trHeight w:val="640" w:hRule="atLeast"/>
          <w:jc w:val="center"/>
        </w:trPr>
        <w:tc>
          <w:tcPr>
            <w:tcW w:w="1036" w:type="dxa"/>
            <w:tcBorders>
              <w:top w:val="single" w:color="000000" w:sz="4" w:space="0"/>
              <w:left w:val="single" w:color="000000" w:sz="4" w:space="0"/>
              <w:bottom w:val="single" w:color="000000" w:sz="4" w:space="0"/>
              <w:right w:val="single" w:color="000000" w:sz="4" w:space="0"/>
            </w:tcBorders>
          </w:tcPr>
          <w:p w14:paraId="7DD31C46">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26F09CAC">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77B7340B">
            <w:pPr>
              <w:spacing w:line="400" w:lineRule="exact"/>
              <w:jc w:val="center"/>
              <w:rPr>
                <w:rFonts w:hint="eastAsia" w:asciiTheme="minorEastAsia" w:hAnsiTheme="minorEastAsia" w:eastAsiaTheme="minorEastAsia" w:cstheme="minorEastAsia"/>
                <w:color w:val="auto"/>
                <w:sz w:val="24"/>
                <w:szCs w:val="24"/>
              </w:rPr>
            </w:pPr>
          </w:p>
        </w:tc>
        <w:tc>
          <w:tcPr>
            <w:tcW w:w="3818" w:type="dxa"/>
            <w:tcBorders>
              <w:top w:val="single" w:color="000000" w:sz="4" w:space="0"/>
              <w:left w:val="single" w:color="000000" w:sz="4" w:space="0"/>
              <w:bottom w:val="single" w:color="000000" w:sz="4" w:space="0"/>
              <w:right w:val="single" w:color="000000" w:sz="4" w:space="0"/>
            </w:tcBorders>
          </w:tcPr>
          <w:p w14:paraId="4A5487BA">
            <w:pPr>
              <w:spacing w:line="400" w:lineRule="exact"/>
              <w:jc w:val="center"/>
              <w:rPr>
                <w:rFonts w:hint="eastAsia" w:asciiTheme="minorEastAsia" w:hAnsiTheme="minorEastAsia" w:eastAsiaTheme="minorEastAsia" w:cstheme="minorEastAsia"/>
                <w:color w:val="auto"/>
                <w:sz w:val="24"/>
                <w:szCs w:val="24"/>
              </w:rPr>
            </w:pPr>
          </w:p>
        </w:tc>
      </w:tr>
      <w:tr w14:paraId="4423E72A">
        <w:tblPrEx>
          <w:tblCellMar>
            <w:top w:w="0" w:type="dxa"/>
            <w:left w:w="108" w:type="dxa"/>
            <w:bottom w:w="0" w:type="dxa"/>
            <w:right w:w="108" w:type="dxa"/>
          </w:tblCellMar>
        </w:tblPrEx>
        <w:trPr>
          <w:cantSplit/>
          <w:trHeight w:val="640" w:hRule="atLeast"/>
          <w:jc w:val="center"/>
        </w:trPr>
        <w:tc>
          <w:tcPr>
            <w:tcW w:w="1036" w:type="dxa"/>
            <w:tcBorders>
              <w:top w:val="single" w:color="000000" w:sz="4" w:space="0"/>
              <w:left w:val="single" w:color="000000" w:sz="4" w:space="0"/>
              <w:bottom w:val="single" w:color="000000" w:sz="4" w:space="0"/>
              <w:right w:val="single" w:color="000000" w:sz="4" w:space="0"/>
            </w:tcBorders>
          </w:tcPr>
          <w:p w14:paraId="003BCF45">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118B43B0">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26B08491">
            <w:pPr>
              <w:spacing w:line="400" w:lineRule="exact"/>
              <w:jc w:val="center"/>
              <w:rPr>
                <w:rFonts w:hint="eastAsia" w:asciiTheme="minorEastAsia" w:hAnsiTheme="minorEastAsia" w:eastAsiaTheme="minorEastAsia" w:cstheme="minorEastAsia"/>
                <w:color w:val="auto"/>
                <w:sz w:val="24"/>
                <w:szCs w:val="24"/>
              </w:rPr>
            </w:pPr>
          </w:p>
        </w:tc>
        <w:tc>
          <w:tcPr>
            <w:tcW w:w="3818" w:type="dxa"/>
            <w:tcBorders>
              <w:top w:val="single" w:color="000000" w:sz="4" w:space="0"/>
              <w:left w:val="single" w:color="000000" w:sz="4" w:space="0"/>
              <w:bottom w:val="single" w:color="000000" w:sz="4" w:space="0"/>
              <w:right w:val="single" w:color="000000" w:sz="4" w:space="0"/>
            </w:tcBorders>
          </w:tcPr>
          <w:p w14:paraId="5CDA7769">
            <w:pPr>
              <w:spacing w:line="400" w:lineRule="exact"/>
              <w:jc w:val="center"/>
              <w:rPr>
                <w:rFonts w:hint="eastAsia" w:asciiTheme="minorEastAsia" w:hAnsiTheme="minorEastAsia" w:eastAsiaTheme="minorEastAsia" w:cstheme="minorEastAsia"/>
                <w:color w:val="auto"/>
                <w:sz w:val="24"/>
                <w:szCs w:val="24"/>
              </w:rPr>
            </w:pPr>
          </w:p>
        </w:tc>
      </w:tr>
      <w:tr w14:paraId="7D82DA9B">
        <w:tblPrEx>
          <w:tblCellMar>
            <w:top w:w="0" w:type="dxa"/>
            <w:left w:w="108" w:type="dxa"/>
            <w:bottom w:w="0" w:type="dxa"/>
            <w:right w:w="108" w:type="dxa"/>
          </w:tblCellMar>
        </w:tblPrEx>
        <w:trPr>
          <w:cantSplit/>
          <w:trHeight w:val="640" w:hRule="atLeast"/>
          <w:jc w:val="center"/>
        </w:trPr>
        <w:tc>
          <w:tcPr>
            <w:tcW w:w="1036" w:type="dxa"/>
            <w:tcBorders>
              <w:top w:val="single" w:color="000000" w:sz="4" w:space="0"/>
              <w:left w:val="single" w:color="000000" w:sz="4" w:space="0"/>
              <w:bottom w:val="single" w:color="000000" w:sz="4" w:space="0"/>
              <w:right w:val="single" w:color="000000" w:sz="4" w:space="0"/>
            </w:tcBorders>
          </w:tcPr>
          <w:p w14:paraId="3067FEF1">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20AC1E5F">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0615EC8B">
            <w:pPr>
              <w:spacing w:line="400" w:lineRule="exact"/>
              <w:jc w:val="center"/>
              <w:rPr>
                <w:rFonts w:hint="eastAsia" w:asciiTheme="minorEastAsia" w:hAnsiTheme="minorEastAsia" w:eastAsiaTheme="minorEastAsia" w:cstheme="minorEastAsia"/>
                <w:color w:val="auto"/>
                <w:sz w:val="24"/>
                <w:szCs w:val="24"/>
              </w:rPr>
            </w:pPr>
          </w:p>
        </w:tc>
        <w:tc>
          <w:tcPr>
            <w:tcW w:w="3818" w:type="dxa"/>
            <w:tcBorders>
              <w:top w:val="single" w:color="000000" w:sz="4" w:space="0"/>
              <w:left w:val="single" w:color="000000" w:sz="4" w:space="0"/>
              <w:bottom w:val="single" w:color="000000" w:sz="4" w:space="0"/>
              <w:right w:val="single" w:color="000000" w:sz="4" w:space="0"/>
            </w:tcBorders>
          </w:tcPr>
          <w:p w14:paraId="122055A8">
            <w:pPr>
              <w:spacing w:line="400" w:lineRule="exact"/>
              <w:jc w:val="center"/>
              <w:rPr>
                <w:rFonts w:hint="eastAsia" w:asciiTheme="minorEastAsia" w:hAnsiTheme="minorEastAsia" w:eastAsiaTheme="minorEastAsia" w:cstheme="minorEastAsia"/>
                <w:color w:val="auto"/>
                <w:sz w:val="24"/>
                <w:szCs w:val="24"/>
              </w:rPr>
            </w:pPr>
          </w:p>
        </w:tc>
      </w:tr>
      <w:tr w14:paraId="5EFE7037">
        <w:tblPrEx>
          <w:tblCellMar>
            <w:top w:w="0" w:type="dxa"/>
            <w:left w:w="108" w:type="dxa"/>
            <w:bottom w:w="0" w:type="dxa"/>
            <w:right w:w="108" w:type="dxa"/>
          </w:tblCellMar>
        </w:tblPrEx>
        <w:trPr>
          <w:cantSplit/>
          <w:trHeight w:val="640" w:hRule="atLeast"/>
          <w:jc w:val="center"/>
        </w:trPr>
        <w:tc>
          <w:tcPr>
            <w:tcW w:w="1036" w:type="dxa"/>
            <w:tcBorders>
              <w:top w:val="single" w:color="000000" w:sz="4" w:space="0"/>
              <w:left w:val="single" w:color="000000" w:sz="4" w:space="0"/>
              <w:bottom w:val="single" w:color="000000" w:sz="4" w:space="0"/>
              <w:right w:val="single" w:color="000000" w:sz="4" w:space="0"/>
            </w:tcBorders>
          </w:tcPr>
          <w:p w14:paraId="20095E94">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227E0765">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57EE66EF">
            <w:pPr>
              <w:spacing w:line="400" w:lineRule="exact"/>
              <w:jc w:val="center"/>
              <w:rPr>
                <w:rFonts w:hint="eastAsia" w:asciiTheme="minorEastAsia" w:hAnsiTheme="minorEastAsia" w:eastAsiaTheme="minorEastAsia" w:cstheme="minorEastAsia"/>
                <w:color w:val="auto"/>
                <w:sz w:val="24"/>
                <w:szCs w:val="24"/>
              </w:rPr>
            </w:pPr>
          </w:p>
        </w:tc>
        <w:tc>
          <w:tcPr>
            <w:tcW w:w="3818" w:type="dxa"/>
            <w:tcBorders>
              <w:top w:val="single" w:color="000000" w:sz="4" w:space="0"/>
              <w:left w:val="single" w:color="000000" w:sz="4" w:space="0"/>
              <w:bottom w:val="single" w:color="000000" w:sz="4" w:space="0"/>
              <w:right w:val="single" w:color="000000" w:sz="4" w:space="0"/>
            </w:tcBorders>
          </w:tcPr>
          <w:p w14:paraId="6FEFD655">
            <w:pPr>
              <w:spacing w:line="400" w:lineRule="exact"/>
              <w:jc w:val="center"/>
              <w:rPr>
                <w:rFonts w:hint="eastAsia" w:asciiTheme="minorEastAsia" w:hAnsiTheme="minorEastAsia" w:eastAsiaTheme="minorEastAsia" w:cstheme="minorEastAsia"/>
                <w:color w:val="auto"/>
                <w:sz w:val="24"/>
                <w:szCs w:val="24"/>
              </w:rPr>
            </w:pPr>
          </w:p>
        </w:tc>
      </w:tr>
      <w:tr w14:paraId="39F31CC0">
        <w:tblPrEx>
          <w:tblCellMar>
            <w:top w:w="0" w:type="dxa"/>
            <w:left w:w="108" w:type="dxa"/>
            <w:bottom w:w="0" w:type="dxa"/>
            <w:right w:w="108" w:type="dxa"/>
          </w:tblCellMar>
        </w:tblPrEx>
        <w:trPr>
          <w:cantSplit/>
          <w:trHeight w:val="640" w:hRule="atLeast"/>
          <w:jc w:val="center"/>
        </w:trPr>
        <w:tc>
          <w:tcPr>
            <w:tcW w:w="1036" w:type="dxa"/>
            <w:tcBorders>
              <w:top w:val="single" w:color="000000" w:sz="4" w:space="0"/>
              <w:left w:val="single" w:color="000000" w:sz="4" w:space="0"/>
              <w:bottom w:val="single" w:color="000000" w:sz="4" w:space="0"/>
              <w:right w:val="single" w:color="000000" w:sz="4" w:space="0"/>
            </w:tcBorders>
          </w:tcPr>
          <w:p w14:paraId="6223D933">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145076F6">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6DF07163">
            <w:pPr>
              <w:spacing w:line="400" w:lineRule="exact"/>
              <w:jc w:val="center"/>
              <w:rPr>
                <w:rFonts w:hint="eastAsia" w:asciiTheme="minorEastAsia" w:hAnsiTheme="minorEastAsia" w:eastAsiaTheme="minorEastAsia" w:cstheme="minorEastAsia"/>
                <w:color w:val="auto"/>
                <w:sz w:val="24"/>
                <w:szCs w:val="24"/>
              </w:rPr>
            </w:pPr>
          </w:p>
        </w:tc>
        <w:tc>
          <w:tcPr>
            <w:tcW w:w="3818" w:type="dxa"/>
            <w:tcBorders>
              <w:top w:val="single" w:color="000000" w:sz="4" w:space="0"/>
              <w:left w:val="single" w:color="000000" w:sz="4" w:space="0"/>
              <w:bottom w:val="single" w:color="000000" w:sz="4" w:space="0"/>
              <w:right w:val="single" w:color="000000" w:sz="4" w:space="0"/>
            </w:tcBorders>
          </w:tcPr>
          <w:p w14:paraId="3C3AE1BE">
            <w:pPr>
              <w:spacing w:line="400" w:lineRule="exact"/>
              <w:jc w:val="center"/>
              <w:rPr>
                <w:rFonts w:hint="eastAsia" w:asciiTheme="minorEastAsia" w:hAnsiTheme="minorEastAsia" w:eastAsiaTheme="minorEastAsia" w:cstheme="minorEastAsia"/>
                <w:color w:val="auto"/>
                <w:sz w:val="24"/>
                <w:szCs w:val="24"/>
              </w:rPr>
            </w:pPr>
          </w:p>
        </w:tc>
      </w:tr>
      <w:tr w14:paraId="0CF2E484">
        <w:tblPrEx>
          <w:tblCellMar>
            <w:top w:w="0" w:type="dxa"/>
            <w:left w:w="108" w:type="dxa"/>
            <w:bottom w:w="0" w:type="dxa"/>
            <w:right w:w="108" w:type="dxa"/>
          </w:tblCellMar>
        </w:tblPrEx>
        <w:trPr>
          <w:cantSplit/>
          <w:trHeight w:val="640" w:hRule="atLeast"/>
          <w:jc w:val="center"/>
        </w:trPr>
        <w:tc>
          <w:tcPr>
            <w:tcW w:w="1036" w:type="dxa"/>
            <w:tcBorders>
              <w:top w:val="single" w:color="000000" w:sz="4" w:space="0"/>
              <w:left w:val="single" w:color="000000" w:sz="4" w:space="0"/>
              <w:bottom w:val="single" w:color="000000" w:sz="4" w:space="0"/>
              <w:right w:val="single" w:color="000000" w:sz="4" w:space="0"/>
            </w:tcBorders>
          </w:tcPr>
          <w:p w14:paraId="3EA2CCB7">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06944F97">
            <w:pPr>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w:t>
            </w:r>
          </w:p>
        </w:tc>
        <w:tc>
          <w:tcPr>
            <w:tcW w:w="2316" w:type="dxa"/>
            <w:tcBorders>
              <w:top w:val="single" w:color="000000" w:sz="4" w:space="0"/>
              <w:left w:val="single" w:color="000000" w:sz="4" w:space="0"/>
              <w:bottom w:val="single" w:color="000000" w:sz="4" w:space="0"/>
              <w:right w:val="single" w:color="000000" w:sz="4" w:space="0"/>
            </w:tcBorders>
          </w:tcPr>
          <w:p w14:paraId="02BE15CC">
            <w:pPr>
              <w:spacing w:line="400" w:lineRule="exact"/>
              <w:jc w:val="center"/>
              <w:rPr>
                <w:rFonts w:hint="eastAsia" w:asciiTheme="minorEastAsia" w:hAnsiTheme="minorEastAsia" w:eastAsiaTheme="minorEastAsia" w:cstheme="minorEastAsia"/>
                <w:color w:val="auto"/>
                <w:sz w:val="24"/>
                <w:szCs w:val="24"/>
              </w:rPr>
            </w:pPr>
          </w:p>
        </w:tc>
        <w:tc>
          <w:tcPr>
            <w:tcW w:w="3818" w:type="dxa"/>
            <w:tcBorders>
              <w:top w:val="single" w:color="000000" w:sz="4" w:space="0"/>
              <w:left w:val="single" w:color="000000" w:sz="4" w:space="0"/>
              <w:bottom w:val="single" w:color="000000" w:sz="4" w:space="0"/>
              <w:right w:val="single" w:color="000000" w:sz="4" w:space="0"/>
            </w:tcBorders>
          </w:tcPr>
          <w:p w14:paraId="5156E097">
            <w:pPr>
              <w:spacing w:line="400" w:lineRule="exact"/>
              <w:jc w:val="center"/>
              <w:rPr>
                <w:rFonts w:hint="eastAsia" w:asciiTheme="minorEastAsia" w:hAnsiTheme="minorEastAsia" w:eastAsiaTheme="minorEastAsia" w:cstheme="minorEastAsia"/>
                <w:color w:val="auto"/>
                <w:sz w:val="24"/>
                <w:szCs w:val="24"/>
              </w:rPr>
            </w:pPr>
          </w:p>
        </w:tc>
      </w:tr>
    </w:tbl>
    <w:p w14:paraId="6240549B">
      <w:pPr>
        <w:spacing w:line="580" w:lineRule="exact"/>
        <w:ind w:right="1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投标人名称（加盖电子公章）：</w:t>
      </w:r>
    </w:p>
    <w:p w14:paraId="58FA9812">
      <w:pPr>
        <w:spacing w:line="580" w:lineRule="exact"/>
        <w:rPr>
          <w:rFonts w:hint="eastAsia" w:asciiTheme="minorEastAsia" w:hAnsiTheme="minorEastAsia" w:eastAsiaTheme="minorEastAsia" w:cstheme="minorEastAsia"/>
          <w:color w:val="auto"/>
          <w:sz w:val="24"/>
          <w:szCs w:val="24"/>
        </w:rPr>
      </w:pPr>
    </w:p>
    <w:p w14:paraId="08FDA6D3">
      <w:pPr>
        <w:pStyle w:val="230"/>
        <w:spacing w:before="0" w:beforeAutospacing="0" w:after="0" w:afterAutospacing="0" w:line="500" w:lineRule="exact"/>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注：1．投标人须对招标文件商务要求中的实质性要求做出明确响应，投标人未对实质性要求作出明确响应的，视为完全响应。</w:t>
      </w:r>
    </w:p>
    <w:p w14:paraId="05F59425">
      <w:pPr>
        <w:pStyle w:val="230"/>
        <w:spacing w:before="0" w:beforeAutospacing="0" w:after="0" w:afterAutospacing="0" w:line="500" w:lineRule="exact"/>
        <w:ind w:firstLine="480" w:firstLineChars="200"/>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2．行数不够，可自行添加。</w:t>
      </w:r>
    </w:p>
    <w:p w14:paraId="3940F85A">
      <w:pPr>
        <w:spacing w:line="580" w:lineRule="exact"/>
        <w:rPr>
          <w:rFonts w:hint="eastAsia" w:asciiTheme="minorEastAsia" w:hAnsiTheme="minorEastAsia" w:eastAsiaTheme="minorEastAsia" w:cstheme="minorEastAsia"/>
          <w:color w:val="auto"/>
          <w:sz w:val="24"/>
          <w:szCs w:val="24"/>
        </w:rPr>
      </w:pPr>
    </w:p>
    <w:p w14:paraId="2A64B320">
      <w:pPr>
        <w:pStyle w:val="33"/>
        <w:spacing w:line="580" w:lineRule="exact"/>
        <w:ind w:firstLine="480" w:firstLineChars="200"/>
        <w:jc w:val="both"/>
        <w:rPr>
          <w:rFonts w:hint="eastAsia" w:asciiTheme="minorEastAsia" w:hAnsiTheme="minorEastAsia" w:eastAsiaTheme="minorEastAsia" w:cstheme="minorEastAsia"/>
          <w:b w:val="0"/>
          <w:bCs w:val="0"/>
          <w:color w:val="auto"/>
          <w:sz w:val="24"/>
          <w:szCs w:val="24"/>
        </w:rPr>
      </w:pPr>
    </w:p>
    <w:p w14:paraId="0BA0D727">
      <w:pPr>
        <w:pStyle w:val="33"/>
        <w:spacing w:line="580" w:lineRule="exact"/>
        <w:ind w:firstLine="480" w:firstLineChars="200"/>
        <w:jc w:val="both"/>
        <w:rPr>
          <w:rFonts w:hint="eastAsia" w:asciiTheme="minorEastAsia" w:hAnsiTheme="minorEastAsia" w:eastAsiaTheme="minorEastAsia" w:cstheme="minorEastAsia"/>
          <w:b w:val="0"/>
          <w:bCs w:val="0"/>
          <w:color w:val="auto"/>
          <w:sz w:val="24"/>
          <w:szCs w:val="24"/>
        </w:rPr>
      </w:pPr>
    </w:p>
    <w:p w14:paraId="3AFC8FDD">
      <w:pPr>
        <w:pStyle w:val="33"/>
        <w:spacing w:line="580" w:lineRule="exact"/>
        <w:ind w:firstLine="480" w:firstLineChars="200"/>
        <w:jc w:val="both"/>
        <w:rPr>
          <w:rFonts w:hint="eastAsia" w:asciiTheme="minorEastAsia" w:hAnsiTheme="minorEastAsia" w:eastAsiaTheme="minorEastAsia" w:cstheme="minorEastAsia"/>
          <w:b w:val="0"/>
          <w:bCs w:val="0"/>
          <w:color w:val="auto"/>
          <w:sz w:val="24"/>
          <w:szCs w:val="24"/>
        </w:rPr>
      </w:pPr>
    </w:p>
    <w:p w14:paraId="1FE1AA64">
      <w:pPr>
        <w:pStyle w:val="33"/>
        <w:spacing w:line="580" w:lineRule="exact"/>
        <w:ind w:firstLine="480" w:firstLineChars="200"/>
        <w:jc w:val="both"/>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rPr>
        <w:t>九、服务方案</w:t>
      </w:r>
    </w:p>
    <w:p w14:paraId="2F52885C">
      <w:pPr>
        <w:spacing w:line="580" w:lineRule="exact"/>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服务方案应根据招标人对项目的要求、评标标准的要求及项目本身的特点编写。</w:t>
      </w:r>
    </w:p>
    <w:p w14:paraId="0C45F696">
      <w:pPr>
        <w:spacing w:line="580" w:lineRule="exact"/>
        <w:rPr>
          <w:rFonts w:hint="eastAsia" w:asciiTheme="minorEastAsia" w:hAnsiTheme="minorEastAsia" w:eastAsiaTheme="minorEastAsia" w:cstheme="minorEastAsia"/>
          <w:color w:val="auto"/>
          <w:sz w:val="24"/>
          <w:szCs w:val="24"/>
        </w:rPr>
      </w:pPr>
    </w:p>
    <w:p w14:paraId="0E9BB937">
      <w:pPr>
        <w:pStyle w:val="33"/>
        <w:spacing w:line="580" w:lineRule="exact"/>
        <w:ind w:firstLine="480" w:firstLineChars="200"/>
        <w:jc w:val="both"/>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rPr>
        <w:t>十、业绩</w:t>
      </w:r>
    </w:p>
    <w:p w14:paraId="1C34DFFC">
      <w:pPr>
        <w:pStyle w:val="33"/>
        <w:spacing w:line="580" w:lineRule="exact"/>
        <w:ind w:firstLine="480" w:firstLineChars="200"/>
        <w:jc w:val="both"/>
        <w:rPr>
          <w:rFonts w:hint="eastAsia" w:asciiTheme="minorEastAsia" w:hAnsiTheme="minorEastAsia" w:eastAsiaTheme="minorEastAsia" w:cstheme="minorEastAsia"/>
          <w:b w:val="0"/>
          <w:bCs w:val="0"/>
          <w:color w:val="auto"/>
          <w:sz w:val="24"/>
          <w:szCs w:val="24"/>
        </w:rPr>
      </w:pPr>
    </w:p>
    <w:p w14:paraId="071D378B">
      <w:pPr>
        <w:spacing w:line="58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投标人类似业绩情况表</w:t>
      </w:r>
    </w:p>
    <w:p w14:paraId="1FE0EBA3">
      <w:pPr>
        <w:pStyle w:val="43"/>
        <w:spacing w:line="200" w:lineRule="exact"/>
        <w:ind w:left="0"/>
        <w:rPr>
          <w:rFonts w:hint="eastAsia" w:asciiTheme="minorEastAsia" w:hAnsiTheme="minorEastAsia" w:eastAsiaTheme="minorEastAsia" w:cstheme="minorEastAsia"/>
          <w:lang w:eastAsia="zh-CN" w:bidi="ar-SA"/>
        </w:rPr>
      </w:pPr>
    </w:p>
    <w:tbl>
      <w:tblPr>
        <w:tblStyle w:val="36"/>
        <w:tblW w:w="5658" w:type="pct"/>
        <w:jc w:val="center"/>
        <w:tblLayout w:type="autofit"/>
        <w:tblCellMar>
          <w:top w:w="0" w:type="dxa"/>
          <w:left w:w="108" w:type="dxa"/>
          <w:bottom w:w="0" w:type="dxa"/>
          <w:right w:w="108" w:type="dxa"/>
        </w:tblCellMar>
      </w:tblPr>
      <w:tblGrid>
        <w:gridCol w:w="1041"/>
        <w:gridCol w:w="1682"/>
        <w:gridCol w:w="1654"/>
        <w:gridCol w:w="2865"/>
        <w:gridCol w:w="1719"/>
        <w:gridCol w:w="1162"/>
      </w:tblGrid>
      <w:tr w14:paraId="3FA87279">
        <w:tblPrEx>
          <w:tblCellMar>
            <w:top w:w="0" w:type="dxa"/>
            <w:left w:w="108" w:type="dxa"/>
            <w:bottom w:w="0" w:type="dxa"/>
            <w:right w:w="108" w:type="dxa"/>
          </w:tblCellMar>
        </w:tblPrEx>
        <w:trPr>
          <w:trHeight w:val="692" w:hRule="atLeast"/>
          <w:jc w:val="center"/>
        </w:trPr>
        <w:tc>
          <w:tcPr>
            <w:tcW w:w="5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E88AB1">
            <w:pPr>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序号</w:t>
            </w:r>
          </w:p>
        </w:tc>
        <w:tc>
          <w:tcPr>
            <w:tcW w:w="8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1D6ECF">
            <w:pPr>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项目名称</w:t>
            </w:r>
          </w:p>
        </w:tc>
        <w:tc>
          <w:tcPr>
            <w:tcW w:w="817" w:type="pct"/>
            <w:tcBorders>
              <w:top w:val="single" w:color="000000" w:sz="4" w:space="0"/>
              <w:left w:val="nil"/>
              <w:bottom w:val="single" w:color="000000" w:sz="4" w:space="0"/>
              <w:right w:val="single" w:color="000000" w:sz="4" w:space="0"/>
            </w:tcBorders>
            <w:vAlign w:val="center"/>
          </w:tcPr>
          <w:p w14:paraId="5E30D21D">
            <w:pPr>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业主单位</w:t>
            </w:r>
          </w:p>
        </w:tc>
        <w:tc>
          <w:tcPr>
            <w:tcW w:w="1415" w:type="pct"/>
            <w:tcBorders>
              <w:top w:val="single" w:color="000000" w:sz="4" w:space="0"/>
              <w:left w:val="nil"/>
              <w:bottom w:val="single" w:color="000000" w:sz="4" w:space="0"/>
              <w:right w:val="single" w:color="000000" w:sz="4" w:space="0"/>
            </w:tcBorders>
            <w:shd w:val="clear" w:color="auto" w:fill="auto"/>
            <w:vAlign w:val="center"/>
          </w:tcPr>
          <w:p w14:paraId="11F9975A">
            <w:pPr>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项目内容</w:t>
            </w:r>
          </w:p>
        </w:tc>
        <w:tc>
          <w:tcPr>
            <w:tcW w:w="849" w:type="pct"/>
            <w:tcBorders>
              <w:top w:val="single" w:color="000000" w:sz="4" w:space="0"/>
              <w:left w:val="nil"/>
              <w:bottom w:val="single" w:color="000000" w:sz="4" w:space="0"/>
              <w:right w:val="single" w:color="000000" w:sz="4" w:space="0"/>
            </w:tcBorders>
            <w:vAlign w:val="center"/>
          </w:tcPr>
          <w:p w14:paraId="2F3011FE">
            <w:pPr>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签约时间</w:t>
            </w:r>
          </w:p>
        </w:tc>
        <w:tc>
          <w:tcPr>
            <w:tcW w:w="574" w:type="pct"/>
            <w:tcBorders>
              <w:top w:val="single" w:color="000000" w:sz="4" w:space="0"/>
              <w:left w:val="nil"/>
              <w:bottom w:val="single" w:color="000000" w:sz="4" w:space="0"/>
              <w:right w:val="single" w:color="000000" w:sz="4" w:space="0"/>
            </w:tcBorders>
            <w:vAlign w:val="center"/>
          </w:tcPr>
          <w:p w14:paraId="622EFCE3">
            <w:pPr>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备注</w:t>
            </w:r>
          </w:p>
        </w:tc>
      </w:tr>
      <w:tr w14:paraId="2987E8A1">
        <w:tblPrEx>
          <w:tblCellMar>
            <w:top w:w="0" w:type="dxa"/>
            <w:left w:w="108" w:type="dxa"/>
            <w:bottom w:w="0" w:type="dxa"/>
            <w:right w:w="108" w:type="dxa"/>
          </w:tblCellMar>
        </w:tblPrEx>
        <w:trPr>
          <w:jc w:val="center"/>
        </w:trPr>
        <w:tc>
          <w:tcPr>
            <w:tcW w:w="514" w:type="pct"/>
            <w:tcBorders>
              <w:top w:val="single" w:color="000000" w:sz="4" w:space="0"/>
              <w:left w:val="single" w:color="000000" w:sz="4" w:space="0"/>
              <w:bottom w:val="single" w:color="000000" w:sz="4" w:space="0"/>
              <w:right w:val="single" w:color="000000" w:sz="4" w:space="0"/>
            </w:tcBorders>
            <w:shd w:val="clear" w:color="auto" w:fill="auto"/>
          </w:tcPr>
          <w:p w14:paraId="3C3C55E9">
            <w:pPr>
              <w:widowControl/>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w:t>
            </w:r>
          </w:p>
        </w:tc>
        <w:tc>
          <w:tcPr>
            <w:tcW w:w="831" w:type="pct"/>
            <w:tcBorders>
              <w:top w:val="single" w:color="000000" w:sz="4" w:space="0"/>
              <w:left w:val="single" w:color="000000" w:sz="4" w:space="0"/>
              <w:bottom w:val="single" w:color="000000" w:sz="4" w:space="0"/>
              <w:right w:val="single" w:color="000000" w:sz="4" w:space="0"/>
            </w:tcBorders>
            <w:shd w:val="clear" w:color="auto" w:fill="auto"/>
          </w:tcPr>
          <w:p w14:paraId="71B8B032">
            <w:pPr>
              <w:widowControl/>
              <w:spacing w:line="400" w:lineRule="exact"/>
              <w:jc w:val="center"/>
              <w:rPr>
                <w:rFonts w:hint="eastAsia" w:asciiTheme="minorEastAsia" w:hAnsiTheme="minorEastAsia" w:eastAsiaTheme="minorEastAsia" w:cstheme="minorEastAsia"/>
                <w:color w:val="auto"/>
                <w:sz w:val="24"/>
                <w:szCs w:val="24"/>
              </w:rPr>
            </w:pPr>
          </w:p>
        </w:tc>
        <w:tc>
          <w:tcPr>
            <w:tcW w:w="817" w:type="pct"/>
            <w:tcBorders>
              <w:top w:val="single" w:color="000000" w:sz="4" w:space="0"/>
              <w:left w:val="nil"/>
              <w:bottom w:val="single" w:color="000000" w:sz="4" w:space="0"/>
              <w:right w:val="single" w:color="000000" w:sz="4" w:space="0"/>
            </w:tcBorders>
          </w:tcPr>
          <w:p w14:paraId="554C6539">
            <w:pPr>
              <w:widowControl/>
              <w:spacing w:line="400" w:lineRule="exact"/>
              <w:ind w:firstLine="120"/>
              <w:rPr>
                <w:rFonts w:hint="eastAsia" w:asciiTheme="minorEastAsia" w:hAnsiTheme="minorEastAsia" w:eastAsiaTheme="minorEastAsia" w:cstheme="minorEastAsia"/>
                <w:color w:val="auto"/>
                <w:sz w:val="24"/>
                <w:szCs w:val="24"/>
              </w:rPr>
            </w:pPr>
          </w:p>
        </w:tc>
        <w:tc>
          <w:tcPr>
            <w:tcW w:w="1415" w:type="pct"/>
            <w:tcBorders>
              <w:top w:val="single" w:color="000000" w:sz="4" w:space="0"/>
              <w:left w:val="nil"/>
              <w:bottom w:val="single" w:color="000000" w:sz="4" w:space="0"/>
              <w:right w:val="single" w:color="000000" w:sz="4" w:space="0"/>
            </w:tcBorders>
            <w:shd w:val="clear" w:color="auto" w:fill="auto"/>
          </w:tcPr>
          <w:p w14:paraId="6ED42DAC">
            <w:pPr>
              <w:widowControl/>
              <w:spacing w:line="400" w:lineRule="exact"/>
              <w:jc w:val="center"/>
              <w:rPr>
                <w:rFonts w:hint="eastAsia" w:asciiTheme="minorEastAsia" w:hAnsiTheme="minorEastAsia" w:eastAsiaTheme="minorEastAsia" w:cstheme="minorEastAsia"/>
                <w:color w:val="auto"/>
                <w:sz w:val="24"/>
                <w:szCs w:val="24"/>
              </w:rPr>
            </w:pPr>
          </w:p>
        </w:tc>
        <w:tc>
          <w:tcPr>
            <w:tcW w:w="849" w:type="pct"/>
            <w:tcBorders>
              <w:top w:val="single" w:color="000000" w:sz="4" w:space="0"/>
              <w:left w:val="nil"/>
              <w:bottom w:val="single" w:color="000000" w:sz="4" w:space="0"/>
              <w:right w:val="single" w:color="000000" w:sz="4" w:space="0"/>
            </w:tcBorders>
          </w:tcPr>
          <w:p w14:paraId="5CE903E3">
            <w:pPr>
              <w:widowControl/>
              <w:spacing w:line="400" w:lineRule="exact"/>
              <w:ind w:firstLine="120"/>
              <w:rPr>
                <w:rFonts w:hint="eastAsia" w:asciiTheme="minorEastAsia" w:hAnsiTheme="minorEastAsia" w:eastAsiaTheme="minorEastAsia" w:cstheme="minorEastAsia"/>
                <w:color w:val="auto"/>
                <w:sz w:val="24"/>
                <w:szCs w:val="24"/>
              </w:rPr>
            </w:pPr>
          </w:p>
        </w:tc>
        <w:tc>
          <w:tcPr>
            <w:tcW w:w="574" w:type="pct"/>
            <w:tcBorders>
              <w:top w:val="single" w:color="000000" w:sz="4" w:space="0"/>
              <w:left w:val="nil"/>
              <w:bottom w:val="single" w:color="000000" w:sz="4" w:space="0"/>
              <w:right w:val="single" w:color="000000" w:sz="4" w:space="0"/>
            </w:tcBorders>
          </w:tcPr>
          <w:p w14:paraId="72470496">
            <w:pPr>
              <w:widowControl/>
              <w:spacing w:line="400" w:lineRule="exact"/>
              <w:ind w:firstLine="120"/>
              <w:rPr>
                <w:rFonts w:hint="eastAsia" w:asciiTheme="minorEastAsia" w:hAnsiTheme="minorEastAsia" w:eastAsiaTheme="minorEastAsia" w:cstheme="minorEastAsia"/>
                <w:color w:val="auto"/>
                <w:sz w:val="24"/>
                <w:szCs w:val="24"/>
              </w:rPr>
            </w:pPr>
          </w:p>
        </w:tc>
      </w:tr>
      <w:tr w14:paraId="493FC9BF">
        <w:tblPrEx>
          <w:tblCellMar>
            <w:top w:w="0" w:type="dxa"/>
            <w:left w:w="108" w:type="dxa"/>
            <w:bottom w:w="0" w:type="dxa"/>
            <w:right w:w="108" w:type="dxa"/>
          </w:tblCellMar>
        </w:tblPrEx>
        <w:trPr>
          <w:trHeight w:val="347" w:hRule="atLeast"/>
          <w:jc w:val="center"/>
        </w:trPr>
        <w:tc>
          <w:tcPr>
            <w:tcW w:w="514" w:type="pct"/>
            <w:tcBorders>
              <w:top w:val="single" w:color="000000" w:sz="4" w:space="0"/>
              <w:left w:val="single" w:color="000000" w:sz="4" w:space="0"/>
              <w:bottom w:val="single" w:color="000000" w:sz="4" w:space="0"/>
              <w:right w:val="single" w:color="000000" w:sz="4" w:space="0"/>
            </w:tcBorders>
            <w:shd w:val="clear" w:color="auto" w:fill="auto"/>
          </w:tcPr>
          <w:p w14:paraId="5DF41EF6">
            <w:pPr>
              <w:widowControl/>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w:t>
            </w:r>
          </w:p>
        </w:tc>
        <w:tc>
          <w:tcPr>
            <w:tcW w:w="831" w:type="pct"/>
            <w:tcBorders>
              <w:top w:val="single" w:color="000000" w:sz="4" w:space="0"/>
              <w:left w:val="single" w:color="000000" w:sz="4" w:space="0"/>
              <w:bottom w:val="single" w:color="000000" w:sz="4" w:space="0"/>
              <w:right w:val="single" w:color="000000" w:sz="4" w:space="0"/>
            </w:tcBorders>
            <w:shd w:val="clear" w:color="auto" w:fill="auto"/>
          </w:tcPr>
          <w:p w14:paraId="79549F3A">
            <w:pPr>
              <w:widowControl/>
              <w:spacing w:line="400" w:lineRule="exact"/>
              <w:jc w:val="center"/>
              <w:rPr>
                <w:rFonts w:hint="eastAsia" w:asciiTheme="minorEastAsia" w:hAnsiTheme="minorEastAsia" w:eastAsiaTheme="minorEastAsia" w:cstheme="minorEastAsia"/>
                <w:color w:val="auto"/>
                <w:sz w:val="24"/>
                <w:szCs w:val="24"/>
              </w:rPr>
            </w:pPr>
          </w:p>
        </w:tc>
        <w:tc>
          <w:tcPr>
            <w:tcW w:w="817" w:type="pct"/>
            <w:tcBorders>
              <w:top w:val="single" w:color="000000" w:sz="4" w:space="0"/>
              <w:left w:val="nil"/>
              <w:bottom w:val="single" w:color="000000" w:sz="4" w:space="0"/>
              <w:right w:val="single" w:color="000000" w:sz="4" w:space="0"/>
            </w:tcBorders>
          </w:tcPr>
          <w:p w14:paraId="3E6D686F">
            <w:pPr>
              <w:widowControl/>
              <w:spacing w:line="400" w:lineRule="exact"/>
              <w:jc w:val="center"/>
              <w:rPr>
                <w:rFonts w:hint="eastAsia" w:asciiTheme="minorEastAsia" w:hAnsiTheme="minorEastAsia" w:eastAsiaTheme="minorEastAsia" w:cstheme="minorEastAsia"/>
                <w:color w:val="auto"/>
                <w:sz w:val="24"/>
                <w:szCs w:val="24"/>
              </w:rPr>
            </w:pPr>
          </w:p>
        </w:tc>
        <w:tc>
          <w:tcPr>
            <w:tcW w:w="1415" w:type="pct"/>
            <w:tcBorders>
              <w:top w:val="single" w:color="000000" w:sz="4" w:space="0"/>
              <w:left w:val="nil"/>
              <w:bottom w:val="single" w:color="000000" w:sz="4" w:space="0"/>
              <w:right w:val="single" w:color="000000" w:sz="4" w:space="0"/>
            </w:tcBorders>
            <w:shd w:val="clear" w:color="auto" w:fill="auto"/>
          </w:tcPr>
          <w:p w14:paraId="064C479D">
            <w:pPr>
              <w:widowControl/>
              <w:spacing w:line="400" w:lineRule="exact"/>
              <w:jc w:val="center"/>
              <w:rPr>
                <w:rFonts w:hint="eastAsia" w:asciiTheme="minorEastAsia" w:hAnsiTheme="minorEastAsia" w:eastAsiaTheme="minorEastAsia" w:cstheme="minorEastAsia"/>
                <w:color w:val="auto"/>
                <w:sz w:val="24"/>
                <w:szCs w:val="24"/>
              </w:rPr>
            </w:pPr>
          </w:p>
        </w:tc>
        <w:tc>
          <w:tcPr>
            <w:tcW w:w="849" w:type="pct"/>
            <w:tcBorders>
              <w:top w:val="single" w:color="000000" w:sz="4" w:space="0"/>
              <w:left w:val="nil"/>
              <w:bottom w:val="single" w:color="000000" w:sz="4" w:space="0"/>
              <w:right w:val="single" w:color="000000" w:sz="4" w:space="0"/>
            </w:tcBorders>
          </w:tcPr>
          <w:p w14:paraId="37640AFB">
            <w:pPr>
              <w:widowControl/>
              <w:spacing w:line="400" w:lineRule="exact"/>
              <w:jc w:val="center"/>
              <w:rPr>
                <w:rFonts w:hint="eastAsia" w:asciiTheme="minorEastAsia" w:hAnsiTheme="minorEastAsia" w:eastAsiaTheme="minorEastAsia" w:cstheme="minorEastAsia"/>
                <w:color w:val="auto"/>
                <w:sz w:val="24"/>
                <w:szCs w:val="24"/>
              </w:rPr>
            </w:pPr>
          </w:p>
        </w:tc>
        <w:tc>
          <w:tcPr>
            <w:tcW w:w="574" w:type="pct"/>
            <w:tcBorders>
              <w:top w:val="single" w:color="000000" w:sz="4" w:space="0"/>
              <w:left w:val="nil"/>
              <w:bottom w:val="single" w:color="000000" w:sz="4" w:space="0"/>
              <w:right w:val="single" w:color="000000" w:sz="4" w:space="0"/>
            </w:tcBorders>
          </w:tcPr>
          <w:p w14:paraId="14061AD3">
            <w:pPr>
              <w:widowControl/>
              <w:spacing w:line="400" w:lineRule="exact"/>
              <w:jc w:val="center"/>
              <w:rPr>
                <w:rFonts w:hint="eastAsia" w:asciiTheme="minorEastAsia" w:hAnsiTheme="minorEastAsia" w:eastAsiaTheme="minorEastAsia" w:cstheme="minorEastAsia"/>
                <w:color w:val="auto"/>
                <w:sz w:val="24"/>
                <w:szCs w:val="24"/>
              </w:rPr>
            </w:pPr>
          </w:p>
        </w:tc>
      </w:tr>
      <w:tr w14:paraId="60C91C58">
        <w:tblPrEx>
          <w:tblCellMar>
            <w:top w:w="0" w:type="dxa"/>
            <w:left w:w="108" w:type="dxa"/>
            <w:bottom w:w="0" w:type="dxa"/>
            <w:right w:w="108" w:type="dxa"/>
          </w:tblCellMar>
        </w:tblPrEx>
        <w:trPr>
          <w:jc w:val="center"/>
        </w:trPr>
        <w:tc>
          <w:tcPr>
            <w:tcW w:w="514" w:type="pct"/>
            <w:tcBorders>
              <w:top w:val="single" w:color="000000" w:sz="4" w:space="0"/>
              <w:left w:val="single" w:color="000000" w:sz="4" w:space="0"/>
              <w:bottom w:val="single" w:color="000000" w:sz="4" w:space="0"/>
              <w:right w:val="single" w:color="000000" w:sz="4" w:space="0"/>
            </w:tcBorders>
            <w:shd w:val="clear" w:color="auto" w:fill="auto"/>
          </w:tcPr>
          <w:p w14:paraId="2F2B8DF6">
            <w:pPr>
              <w:widowControl/>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w:t>
            </w:r>
          </w:p>
        </w:tc>
        <w:tc>
          <w:tcPr>
            <w:tcW w:w="831" w:type="pct"/>
            <w:tcBorders>
              <w:top w:val="single" w:color="000000" w:sz="4" w:space="0"/>
              <w:left w:val="single" w:color="000000" w:sz="4" w:space="0"/>
              <w:bottom w:val="single" w:color="000000" w:sz="4" w:space="0"/>
              <w:right w:val="single" w:color="000000" w:sz="4" w:space="0"/>
            </w:tcBorders>
            <w:shd w:val="clear" w:color="auto" w:fill="auto"/>
          </w:tcPr>
          <w:p w14:paraId="34F1ED96">
            <w:pPr>
              <w:widowControl/>
              <w:spacing w:line="400" w:lineRule="exact"/>
              <w:jc w:val="center"/>
              <w:rPr>
                <w:rFonts w:hint="eastAsia" w:asciiTheme="minorEastAsia" w:hAnsiTheme="minorEastAsia" w:eastAsiaTheme="minorEastAsia" w:cstheme="minorEastAsia"/>
                <w:color w:val="auto"/>
                <w:sz w:val="24"/>
                <w:szCs w:val="24"/>
              </w:rPr>
            </w:pPr>
          </w:p>
        </w:tc>
        <w:tc>
          <w:tcPr>
            <w:tcW w:w="817" w:type="pct"/>
            <w:tcBorders>
              <w:top w:val="single" w:color="000000" w:sz="4" w:space="0"/>
              <w:left w:val="nil"/>
              <w:bottom w:val="single" w:color="000000" w:sz="4" w:space="0"/>
              <w:right w:val="single" w:color="000000" w:sz="4" w:space="0"/>
            </w:tcBorders>
          </w:tcPr>
          <w:p w14:paraId="40345774">
            <w:pPr>
              <w:widowControl/>
              <w:spacing w:line="400" w:lineRule="exact"/>
              <w:jc w:val="center"/>
              <w:rPr>
                <w:rFonts w:hint="eastAsia" w:asciiTheme="minorEastAsia" w:hAnsiTheme="minorEastAsia" w:eastAsiaTheme="minorEastAsia" w:cstheme="minorEastAsia"/>
                <w:color w:val="auto"/>
                <w:sz w:val="24"/>
                <w:szCs w:val="24"/>
              </w:rPr>
            </w:pPr>
          </w:p>
        </w:tc>
        <w:tc>
          <w:tcPr>
            <w:tcW w:w="1415" w:type="pct"/>
            <w:tcBorders>
              <w:top w:val="single" w:color="000000" w:sz="4" w:space="0"/>
              <w:left w:val="nil"/>
              <w:bottom w:val="single" w:color="000000" w:sz="4" w:space="0"/>
              <w:right w:val="single" w:color="000000" w:sz="4" w:space="0"/>
            </w:tcBorders>
            <w:shd w:val="clear" w:color="auto" w:fill="auto"/>
          </w:tcPr>
          <w:p w14:paraId="330BCD51">
            <w:pPr>
              <w:widowControl/>
              <w:spacing w:line="400" w:lineRule="exact"/>
              <w:jc w:val="center"/>
              <w:rPr>
                <w:rFonts w:hint="eastAsia" w:asciiTheme="minorEastAsia" w:hAnsiTheme="minorEastAsia" w:eastAsiaTheme="minorEastAsia" w:cstheme="minorEastAsia"/>
                <w:color w:val="auto"/>
                <w:sz w:val="24"/>
                <w:szCs w:val="24"/>
              </w:rPr>
            </w:pPr>
          </w:p>
        </w:tc>
        <w:tc>
          <w:tcPr>
            <w:tcW w:w="849" w:type="pct"/>
            <w:tcBorders>
              <w:top w:val="single" w:color="000000" w:sz="4" w:space="0"/>
              <w:left w:val="nil"/>
              <w:bottom w:val="single" w:color="000000" w:sz="4" w:space="0"/>
              <w:right w:val="single" w:color="000000" w:sz="4" w:space="0"/>
            </w:tcBorders>
          </w:tcPr>
          <w:p w14:paraId="66D05D89">
            <w:pPr>
              <w:widowControl/>
              <w:spacing w:line="400" w:lineRule="exact"/>
              <w:jc w:val="center"/>
              <w:rPr>
                <w:rFonts w:hint="eastAsia" w:asciiTheme="minorEastAsia" w:hAnsiTheme="minorEastAsia" w:eastAsiaTheme="minorEastAsia" w:cstheme="minorEastAsia"/>
                <w:color w:val="auto"/>
                <w:sz w:val="24"/>
                <w:szCs w:val="24"/>
              </w:rPr>
            </w:pPr>
          </w:p>
        </w:tc>
        <w:tc>
          <w:tcPr>
            <w:tcW w:w="574" w:type="pct"/>
            <w:tcBorders>
              <w:top w:val="single" w:color="000000" w:sz="4" w:space="0"/>
              <w:left w:val="nil"/>
              <w:bottom w:val="single" w:color="000000" w:sz="4" w:space="0"/>
              <w:right w:val="single" w:color="000000" w:sz="4" w:space="0"/>
            </w:tcBorders>
          </w:tcPr>
          <w:p w14:paraId="62A14B0D">
            <w:pPr>
              <w:widowControl/>
              <w:spacing w:line="400" w:lineRule="exact"/>
              <w:jc w:val="center"/>
              <w:rPr>
                <w:rFonts w:hint="eastAsia" w:asciiTheme="minorEastAsia" w:hAnsiTheme="minorEastAsia" w:eastAsiaTheme="minorEastAsia" w:cstheme="minorEastAsia"/>
                <w:color w:val="auto"/>
                <w:sz w:val="24"/>
                <w:szCs w:val="24"/>
              </w:rPr>
            </w:pPr>
          </w:p>
        </w:tc>
      </w:tr>
      <w:tr w14:paraId="48FD48E2">
        <w:tblPrEx>
          <w:tblCellMar>
            <w:top w:w="0" w:type="dxa"/>
            <w:left w:w="108" w:type="dxa"/>
            <w:bottom w:w="0" w:type="dxa"/>
            <w:right w:w="108" w:type="dxa"/>
          </w:tblCellMar>
        </w:tblPrEx>
        <w:trPr>
          <w:jc w:val="center"/>
        </w:trPr>
        <w:tc>
          <w:tcPr>
            <w:tcW w:w="514" w:type="pct"/>
            <w:tcBorders>
              <w:top w:val="single" w:color="000000" w:sz="4" w:space="0"/>
              <w:left w:val="single" w:color="000000" w:sz="4" w:space="0"/>
              <w:bottom w:val="single" w:color="000000" w:sz="4" w:space="0"/>
              <w:right w:val="single" w:color="000000" w:sz="4" w:space="0"/>
            </w:tcBorders>
            <w:shd w:val="clear" w:color="auto" w:fill="auto"/>
          </w:tcPr>
          <w:p w14:paraId="1E514805">
            <w:pPr>
              <w:widowControl/>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w:t>
            </w:r>
          </w:p>
        </w:tc>
        <w:tc>
          <w:tcPr>
            <w:tcW w:w="831" w:type="pct"/>
            <w:tcBorders>
              <w:top w:val="single" w:color="000000" w:sz="4" w:space="0"/>
              <w:left w:val="single" w:color="000000" w:sz="4" w:space="0"/>
              <w:bottom w:val="single" w:color="000000" w:sz="4" w:space="0"/>
              <w:right w:val="single" w:color="000000" w:sz="4" w:space="0"/>
            </w:tcBorders>
            <w:shd w:val="clear" w:color="auto" w:fill="auto"/>
          </w:tcPr>
          <w:p w14:paraId="2F449872">
            <w:pPr>
              <w:widowControl/>
              <w:spacing w:line="400" w:lineRule="exact"/>
              <w:jc w:val="center"/>
              <w:rPr>
                <w:rFonts w:hint="eastAsia" w:asciiTheme="minorEastAsia" w:hAnsiTheme="minorEastAsia" w:eastAsiaTheme="minorEastAsia" w:cstheme="minorEastAsia"/>
                <w:color w:val="auto"/>
                <w:sz w:val="24"/>
                <w:szCs w:val="24"/>
              </w:rPr>
            </w:pPr>
          </w:p>
        </w:tc>
        <w:tc>
          <w:tcPr>
            <w:tcW w:w="817" w:type="pct"/>
            <w:tcBorders>
              <w:top w:val="single" w:color="000000" w:sz="4" w:space="0"/>
              <w:left w:val="nil"/>
              <w:bottom w:val="single" w:color="000000" w:sz="4" w:space="0"/>
              <w:right w:val="single" w:color="000000" w:sz="4" w:space="0"/>
            </w:tcBorders>
          </w:tcPr>
          <w:p w14:paraId="759922D4">
            <w:pPr>
              <w:widowControl/>
              <w:spacing w:line="400" w:lineRule="exact"/>
              <w:jc w:val="center"/>
              <w:rPr>
                <w:rFonts w:hint="eastAsia" w:asciiTheme="minorEastAsia" w:hAnsiTheme="minorEastAsia" w:eastAsiaTheme="minorEastAsia" w:cstheme="minorEastAsia"/>
                <w:color w:val="auto"/>
                <w:sz w:val="24"/>
                <w:szCs w:val="24"/>
              </w:rPr>
            </w:pPr>
          </w:p>
        </w:tc>
        <w:tc>
          <w:tcPr>
            <w:tcW w:w="1415" w:type="pct"/>
            <w:tcBorders>
              <w:top w:val="single" w:color="000000" w:sz="4" w:space="0"/>
              <w:left w:val="nil"/>
              <w:bottom w:val="single" w:color="000000" w:sz="4" w:space="0"/>
              <w:right w:val="single" w:color="000000" w:sz="4" w:space="0"/>
            </w:tcBorders>
            <w:shd w:val="clear" w:color="auto" w:fill="auto"/>
          </w:tcPr>
          <w:p w14:paraId="0EDA21EB">
            <w:pPr>
              <w:widowControl/>
              <w:spacing w:line="400" w:lineRule="exact"/>
              <w:jc w:val="center"/>
              <w:rPr>
                <w:rFonts w:hint="eastAsia" w:asciiTheme="minorEastAsia" w:hAnsiTheme="minorEastAsia" w:eastAsiaTheme="minorEastAsia" w:cstheme="minorEastAsia"/>
                <w:color w:val="auto"/>
                <w:sz w:val="24"/>
                <w:szCs w:val="24"/>
              </w:rPr>
            </w:pPr>
          </w:p>
        </w:tc>
        <w:tc>
          <w:tcPr>
            <w:tcW w:w="849" w:type="pct"/>
            <w:tcBorders>
              <w:top w:val="single" w:color="000000" w:sz="4" w:space="0"/>
              <w:left w:val="nil"/>
              <w:bottom w:val="single" w:color="000000" w:sz="4" w:space="0"/>
              <w:right w:val="single" w:color="000000" w:sz="4" w:space="0"/>
            </w:tcBorders>
          </w:tcPr>
          <w:p w14:paraId="6153F46F">
            <w:pPr>
              <w:widowControl/>
              <w:spacing w:line="400" w:lineRule="exact"/>
              <w:jc w:val="center"/>
              <w:rPr>
                <w:rFonts w:hint="eastAsia" w:asciiTheme="minorEastAsia" w:hAnsiTheme="minorEastAsia" w:eastAsiaTheme="minorEastAsia" w:cstheme="minorEastAsia"/>
                <w:color w:val="auto"/>
                <w:sz w:val="24"/>
                <w:szCs w:val="24"/>
              </w:rPr>
            </w:pPr>
          </w:p>
        </w:tc>
        <w:tc>
          <w:tcPr>
            <w:tcW w:w="574" w:type="pct"/>
            <w:tcBorders>
              <w:top w:val="single" w:color="000000" w:sz="4" w:space="0"/>
              <w:left w:val="nil"/>
              <w:bottom w:val="single" w:color="000000" w:sz="4" w:space="0"/>
              <w:right w:val="single" w:color="000000" w:sz="4" w:space="0"/>
            </w:tcBorders>
          </w:tcPr>
          <w:p w14:paraId="6CD52BC6">
            <w:pPr>
              <w:widowControl/>
              <w:spacing w:line="400" w:lineRule="exact"/>
              <w:jc w:val="center"/>
              <w:rPr>
                <w:rFonts w:hint="eastAsia" w:asciiTheme="minorEastAsia" w:hAnsiTheme="minorEastAsia" w:eastAsiaTheme="minorEastAsia" w:cstheme="minorEastAsia"/>
                <w:color w:val="auto"/>
                <w:sz w:val="24"/>
                <w:szCs w:val="24"/>
              </w:rPr>
            </w:pPr>
          </w:p>
        </w:tc>
      </w:tr>
      <w:tr w14:paraId="3671B8DD">
        <w:tblPrEx>
          <w:tblCellMar>
            <w:top w:w="0" w:type="dxa"/>
            <w:left w:w="108" w:type="dxa"/>
            <w:bottom w:w="0" w:type="dxa"/>
            <w:right w:w="108" w:type="dxa"/>
          </w:tblCellMar>
        </w:tblPrEx>
        <w:trPr>
          <w:jc w:val="center"/>
        </w:trPr>
        <w:tc>
          <w:tcPr>
            <w:tcW w:w="514" w:type="pct"/>
            <w:tcBorders>
              <w:top w:val="single" w:color="000000" w:sz="4" w:space="0"/>
              <w:left w:val="single" w:color="000000" w:sz="4" w:space="0"/>
              <w:bottom w:val="single" w:color="000000" w:sz="4" w:space="0"/>
              <w:right w:val="single" w:color="000000" w:sz="4" w:space="0"/>
            </w:tcBorders>
            <w:shd w:val="clear" w:color="auto" w:fill="auto"/>
          </w:tcPr>
          <w:p w14:paraId="37E1ECFB">
            <w:pPr>
              <w:widowControl/>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w:t>
            </w:r>
          </w:p>
        </w:tc>
        <w:tc>
          <w:tcPr>
            <w:tcW w:w="831" w:type="pct"/>
            <w:tcBorders>
              <w:top w:val="single" w:color="000000" w:sz="4" w:space="0"/>
              <w:left w:val="single" w:color="000000" w:sz="4" w:space="0"/>
              <w:bottom w:val="single" w:color="000000" w:sz="4" w:space="0"/>
              <w:right w:val="single" w:color="000000" w:sz="4" w:space="0"/>
            </w:tcBorders>
            <w:shd w:val="clear" w:color="auto" w:fill="auto"/>
          </w:tcPr>
          <w:p w14:paraId="714D1BB8">
            <w:pPr>
              <w:widowControl/>
              <w:spacing w:line="400" w:lineRule="exact"/>
              <w:jc w:val="center"/>
              <w:rPr>
                <w:rFonts w:hint="eastAsia" w:asciiTheme="minorEastAsia" w:hAnsiTheme="minorEastAsia" w:eastAsiaTheme="minorEastAsia" w:cstheme="minorEastAsia"/>
                <w:color w:val="auto"/>
                <w:sz w:val="24"/>
                <w:szCs w:val="24"/>
              </w:rPr>
            </w:pPr>
          </w:p>
        </w:tc>
        <w:tc>
          <w:tcPr>
            <w:tcW w:w="817" w:type="pct"/>
            <w:tcBorders>
              <w:top w:val="single" w:color="000000" w:sz="4" w:space="0"/>
              <w:left w:val="nil"/>
              <w:bottom w:val="single" w:color="000000" w:sz="4" w:space="0"/>
              <w:right w:val="single" w:color="000000" w:sz="4" w:space="0"/>
            </w:tcBorders>
          </w:tcPr>
          <w:p w14:paraId="362D4713">
            <w:pPr>
              <w:widowControl/>
              <w:spacing w:line="400" w:lineRule="exact"/>
              <w:jc w:val="center"/>
              <w:rPr>
                <w:rFonts w:hint="eastAsia" w:asciiTheme="minorEastAsia" w:hAnsiTheme="minorEastAsia" w:eastAsiaTheme="minorEastAsia" w:cstheme="minorEastAsia"/>
                <w:color w:val="auto"/>
                <w:sz w:val="24"/>
                <w:szCs w:val="24"/>
              </w:rPr>
            </w:pPr>
          </w:p>
        </w:tc>
        <w:tc>
          <w:tcPr>
            <w:tcW w:w="1415" w:type="pct"/>
            <w:tcBorders>
              <w:top w:val="single" w:color="000000" w:sz="4" w:space="0"/>
              <w:left w:val="nil"/>
              <w:bottom w:val="single" w:color="000000" w:sz="4" w:space="0"/>
              <w:right w:val="single" w:color="000000" w:sz="4" w:space="0"/>
            </w:tcBorders>
            <w:shd w:val="clear" w:color="auto" w:fill="auto"/>
          </w:tcPr>
          <w:p w14:paraId="020C66AB">
            <w:pPr>
              <w:widowControl/>
              <w:spacing w:line="400" w:lineRule="exact"/>
              <w:jc w:val="center"/>
              <w:rPr>
                <w:rFonts w:hint="eastAsia" w:asciiTheme="minorEastAsia" w:hAnsiTheme="minorEastAsia" w:eastAsiaTheme="minorEastAsia" w:cstheme="minorEastAsia"/>
                <w:color w:val="auto"/>
                <w:sz w:val="24"/>
                <w:szCs w:val="24"/>
              </w:rPr>
            </w:pPr>
          </w:p>
        </w:tc>
        <w:tc>
          <w:tcPr>
            <w:tcW w:w="849" w:type="pct"/>
            <w:tcBorders>
              <w:top w:val="single" w:color="000000" w:sz="4" w:space="0"/>
              <w:left w:val="nil"/>
              <w:bottom w:val="single" w:color="000000" w:sz="4" w:space="0"/>
              <w:right w:val="single" w:color="000000" w:sz="4" w:space="0"/>
            </w:tcBorders>
          </w:tcPr>
          <w:p w14:paraId="30CB5B87">
            <w:pPr>
              <w:widowControl/>
              <w:spacing w:line="400" w:lineRule="exact"/>
              <w:jc w:val="center"/>
              <w:rPr>
                <w:rFonts w:hint="eastAsia" w:asciiTheme="minorEastAsia" w:hAnsiTheme="minorEastAsia" w:eastAsiaTheme="minorEastAsia" w:cstheme="minorEastAsia"/>
                <w:color w:val="auto"/>
                <w:sz w:val="24"/>
                <w:szCs w:val="24"/>
              </w:rPr>
            </w:pPr>
          </w:p>
        </w:tc>
        <w:tc>
          <w:tcPr>
            <w:tcW w:w="574" w:type="pct"/>
            <w:tcBorders>
              <w:top w:val="single" w:color="000000" w:sz="4" w:space="0"/>
              <w:left w:val="nil"/>
              <w:bottom w:val="single" w:color="000000" w:sz="4" w:space="0"/>
              <w:right w:val="single" w:color="000000" w:sz="4" w:space="0"/>
            </w:tcBorders>
          </w:tcPr>
          <w:p w14:paraId="048326BC">
            <w:pPr>
              <w:widowControl/>
              <w:spacing w:line="400" w:lineRule="exact"/>
              <w:jc w:val="center"/>
              <w:rPr>
                <w:rFonts w:hint="eastAsia" w:asciiTheme="minorEastAsia" w:hAnsiTheme="minorEastAsia" w:eastAsiaTheme="minorEastAsia" w:cstheme="minorEastAsia"/>
                <w:color w:val="auto"/>
                <w:sz w:val="24"/>
                <w:szCs w:val="24"/>
              </w:rPr>
            </w:pPr>
          </w:p>
        </w:tc>
      </w:tr>
      <w:tr w14:paraId="63F38157">
        <w:tblPrEx>
          <w:tblCellMar>
            <w:top w:w="0" w:type="dxa"/>
            <w:left w:w="108" w:type="dxa"/>
            <w:bottom w:w="0" w:type="dxa"/>
            <w:right w:w="108" w:type="dxa"/>
          </w:tblCellMar>
        </w:tblPrEx>
        <w:trPr>
          <w:jc w:val="center"/>
        </w:trPr>
        <w:tc>
          <w:tcPr>
            <w:tcW w:w="514" w:type="pct"/>
            <w:tcBorders>
              <w:top w:val="single" w:color="000000" w:sz="4" w:space="0"/>
              <w:left w:val="single" w:color="000000" w:sz="4" w:space="0"/>
              <w:bottom w:val="single" w:color="000000" w:sz="4" w:space="0"/>
              <w:right w:val="single" w:color="000000" w:sz="4" w:space="0"/>
            </w:tcBorders>
            <w:shd w:val="clear" w:color="auto" w:fill="auto"/>
          </w:tcPr>
          <w:p w14:paraId="43CDC376">
            <w:pPr>
              <w:widowControl/>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6</w:t>
            </w:r>
          </w:p>
        </w:tc>
        <w:tc>
          <w:tcPr>
            <w:tcW w:w="831" w:type="pct"/>
            <w:tcBorders>
              <w:top w:val="single" w:color="000000" w:sz="4" w:space="0"/>
              <w:left w:val="single" w:color="000000" w:sz="4" w:space="0"/>
              <w:bottom w:val="single" w:color="000000" w:sz="4" w:space="0"/>
              <w:right w:val="single" w:color="000000" w:sz="4" w:space="0"/>
            </w:tcBorders>
            <w:shd w:val="clear" w:color="auto" w:fill="auto"/>
          </w:tcPr>
          <w:p w14:paraId="47D06327">
            <w:pPr>
              <w:widowControl/>
              <w:spacing w:line="400" w:lineRule="exact"/>
              <w:jc w:val="center"/>
              <w:rPr>
                <w:rFonts w:hint="eastAsia" w:asciiTheme="minorEastAsia" w:hAnsiTheme="minorEastAsia" w:eastAsiaTheme="minorEastAsia" w:cstheme="minorEastAsia"/>
                <w:color w:val="auto"/>
                <w:sz w:val="24"/>
                <w:szCs w:val="24"/>
              </w:rPr>
            </w:pPr>
          </w:p>
        </w:tc>
        <w:tc>
          <w:tcPr>
            <w:tcW w:w="817" w:type="pct"/>
            <w:tcBorders>
              <w:top w:val="single" w:color="000000" w:sz="4" w:space="0"/>
              <w:left w:val="nil"/>
              <w:bottom w:val="single" w:color="000000" w:sz="4" w:space="0"/>
              <w:right w:val="single" w:color="000000" w:sz="4" w:space="0"/>
            </w:tcBorders>
          </w:tcPr>
          <w:p w14:paraId="2078AE7B">
            <w:pPr>
              <w:widowControl/>
              <w:spacing w:line="400" w:lineRule="exact"/>
              <w:jc w:val="center"/>
              <w:rPr>
                <w:rFonts w:hint="eastAsia" w:asciiTheme="minorEastAsia" w:hAnsiTheme="minorEastAsia" w:eastAsiaTheme="minorEastAsia" w:cstheme="minorEastAsia"/>
                <w:color w:val="auto"/>
                <w:sz w:val="24"/>
                <w:szCs w:val="24"/>
              </w:rPr>
            </w:pPr>
          </w:p>
        </w:tc>
        <w:tc>
          <w:tcPr>
            <w:tcW w:w="1415" w:type="pct"/>
            <w:tcBorders>
              <w:top w:val="single" w:color="000000" w:sz="4" w:space="0"/>
              <w:left w:val="nil"/>
              <w:bottom w:val="single" w:color="000000" w:sz="4" w:space="0"/>
              <w:right w:val="single" w:color="000000" w:sz="4" w:space="0"/>
            </w:tcBorders>
            <w:shd w:val="clear" w:color="auto" w:fill="auto"/>
          </w:tcPr>
          <w:p w14:paraId="50CA59F5">
            <w:pPr>
              <w:widowControl/>
              <w:spacing w:line="400" w:lineRule="exact"/>
              <w:jc w:val="center"/>
              <w:rPr>
                <w:rFonts w:hint="eastAsia" w:asciiTheme="minorEastAsia" w:hAnsiTheme="minorEastAsia" w:eastAsiaTheme="minorEastAsia" w:cstheme="minorEastAsia"/>
                <w:color w:val="auto"/>
                <w:sz w:val="24"/>
                <w:szCs w:val="24"/>
              </w:rPr>
            </w:pPr>
          </w:p>
        </w:tc>
        <w:tc>
          <w:tcPr>
            <w:tcW w:w="849" w:type="pct"/>
            <w:tcBorders>
              <w:top w:val="single" w:color="000000" w:sz="4" w:space="0"/>
              <w:left w:val="nil"/>
              <w:bottom w:val="single" w:color="000000" w:sz="4" w:space="0"/>
              <w:right w:val="single" w:color="000000" w:sz="4" w:space="0"/>
            </w:tcBorders>
          </w:tcPr>
          <w:p w14:paraId="7DE9EB76">
            <w:pPr>
              <w:widowControl/>
              <w:spacing w:line="400" w:lineRule="exact"/>
              <w:jc w:val="center"/>
              <w:rPr>
                <w:rFonts w:hint="eastAsia" w:asciiTheme="minorEastAsia" w:hAnsiTheme="minorEastAsia" w:eastAsiaTheme="minorEastAsia" w:cstheme="minorEastAsia"/>
                <w:color w:val="auto"/>
                <w:sz w:val="24"/>
                <w:szCs w:val="24"/>
              </w:rPr>
            </w:pPr>
          </w:p>
        </w:tc>
        <w:tc>
          <w:tcPr>
            <w:tcW w:w="574" w:type="pct"/>
            <w:tcBorders>
              <w:top w:val="single" w:color="000000" w:sz="4" w:space="0"/>
              <w:left w:val="nil"/>
              <w:bottom w:val="single" w:color="000000" w:sz="4" w:space="0"/>
              <w:right w:val="single" w:color="000000" w:sz="4" w:space="0"/>
            </w:tcBorders>
          </w:tcPr>
          <w:p w14:paraId="11FAF772">
            <w:pPr>
              <w:widowControl/>
              <w:spacing w:line="400" w:lineRule="exact"/>
              <w:jc w:val="center"/>
              <w:rPr>
                <w:rFonts w:hint="eastAsia" w:asciiTheme="minorEastAsia" w:hAnsiTheme="minorEastAsia" w:eastAsiaTheme="minorEastAsia" w:cstheme="minorEastAsia"/>
                <w:color w:val="auto"/>
                <w:sz w:val="24"/>
                <w:szCs w:val="24"/>
              </w:rPr>
            </w:pPr>
          </w:p>
        </w:tc>
      </w:tr>
      <w:tr w14:paraId="1ECECD9E">
        <w:tblPrEx>
          <w:tblCellMar>
            <w:top w:w="0" w:type="dxa"/>
            <w:left w:w="108" w:type="dxa"/>
            <w:bottom w:w="0" w:type="dxa"/>
            <w:right w:w="108" w:type="dxa"/>
          </w:tblCellMar>
        </w:tblPrEx>
        <w:trPr>
          <w:jc w:val="center"/>
        </w:trPr>
        <w:tc>
          <w:tcPr>
            <w:tcW w:w="514" w:type="pct"/>
            <w:tcBorders>
              <w:top w:val="single" w:color="000000" w:sz="4" w:space="0"/>
              <w:left w:val="single" w:color="000000" w:sz="4" w:space="0"/>
              <w:bottom w:val="single" w:color="000000" w:sz="4" w:space="0"/>
              <w:right w:val="single" w:color="000000" w:sz="4" w:space="0"/>
            </w:tcBorders>
            <w:shd w:val="clear" w:color="auto" w:fill="auto"/>
          </w:tcPr>
          <w:p w14:paraId="0FB5D7E6">
            <w:pPr>
              <w:widowControl/>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w:t>
            </w:r>
          </w:p>
        </w:tc>
        <w:tc>
          <w:tcPr>
            <w:tcW w:w="831" w:type="pct"/>
            <w:tcBorders>
              <w:top w:val="single" w:color="000000" w:sz="4" w:space="0"/>
              <w:left w:val="single" w:color="000000" w:sz="4" w:space="0"/>
              <w:bottom w:val="single" w:color="000000" w:sz="4" w:space="0"/>
              <w:right w:val="single" w:color="000000" w:sz="4" w:space="0"/>
            </w:tcBorders>
            <w:shd w:val="clear" w:color="auto" w:fill="auto"/>
          </w:tcPr>
          <w:p w14:paraId="4E285E9B">
            <w:pPr>
              <w:widowControl/>
              <w:spacing w:line="400" w:lineRule="exact"/>
              <w:jc w:val="center"/>
              <w:rPr>
                <w:rFonts w:hint="eastAsia" w:asciiTheme="minorEastAsia" w:hAnsiTheme="minorEastAsia" w:eastAsiaTheme="minorEastAsia" w:cstheme="minorEastAsia"/>
                <w:color w:val="auto"/>
                <w:sz w:val="24"/>
                <w:szCs w:val="24"/>
              </w:rPr>
            </w:pPr>
          </w:p>
        </w:tc>
        <w:tc>
          <w:tcPr>
            <w:tcW w:w="817" w:type="pct"/>
            <w:tcBorders>
              <w:top w:val="single" w:color="000000" w:sz="4" w:space="0"/>
              <w:left w:val="nil"/>
              <w:bottom w:val="single" w:color="000000" w:sz="4" w:space="0"/>
              <w:right w:val="single" w:color="000000" w:sz="4" w:space="0"/>
            </w:tcBorders>
          </w:tcPr>
          <w:p w14:paraId="7DC24828">
            <w:pPr>
              <w:widowControl/>
              <w:spacing w:line="400" w:lineRule="exact"/>
              <w:jc w:val="center"/>
              <w:rPr>
                <w:rFonts w:hint="eastAsia" w:asciiTheme="minorEastAsia" w:hAnsiTheme="minorEastAsia" w:eastAsiaTheme="minorEastAsia" w:cstheme="minorEastAsia"/>
                <w:color w:val="auto"/>
                <w:sz w:val="24"/>
                <w:szCs w:val="24"/>
              </w:rPr>
            </w:pPr>
          </w:p>
        </w:tc>
        <w:tc>
          <w:tcPr>
            <w:tcW w:w="1415" w:type="pct"/>
            <w:tcBorders>
              <w:top w:val="single" w:color="000000" w:sz="4" w:space="0"/>
              <w:left w:val="nil"/>
              <w:bottom w:val="single" w:color="000000" w:sz="4" w:space="0"/>
              <w:right w:val="single" w:color="000000" w:sz="4" w:space="0"/>
            </w:tcBorders>
            <w:shd w:val="clear" w:color="auto" w:fill="auto"/>
          </w:tcPr>
          <w:p w14:paraId="21571D4B">
            <w:pPr>
              <w:widowControl/>
              <w:spacing w:line="400" w:lineRule="exact"/>
              <w:jc w:val="center"/>
              <w:rPr>
                <w:rFonts w:hint="eastAsia" w:asciiTheme="minorEastAsia" w:hAnsiTheme="minorEastAsia" w:eastAsiaTheme="minorEastAsia" w:cstheme="minorEastAsia"/>
                <w:color w:val="auto"/>
                <w:sz w:val="24"/>
                <w:szCs w:val="24"/>
              </w:rPr>
            </w:pPr>
          </w:p>
        </w:tc>
        <w:tc>
          <w:tcPr>
            <w:tcW w:w="849" w:type="pct"/>
            <w:tcBorders>
              <w:top w:val="single" w:color="000000" w:sz="4" w:space="0"/>
              <w:left w:val="nil"/>
              <w:bottom w:val="single" w:color="000000" w:sz="4" w:space="0"/>
              <w:right w:val="single" w:color="000000" w:sz="4" w:space="0"/>
            </w:tcBorders>
          </w:tcPr>
          <w:p w14:paraId="260B9C57">
            <w:pPr>
              <w:widowControl/>
              <w:spacing w:line="400" w:lineRule="exact"/>
              <w:jc w:val="center"/>
              <w:rPr>
                <w:rFonts w:hint="eastAsia" w:asciiTheme="minorEastAsia" w:hAnsiTheme="minorEastAsia" w:eastAsiaTheme="minorEastAsia" w:cstheme="minorEastAsia"/>
                <w:color w:val="auto"/>
                <w:sz w:val="24"/>
                <w:szCs w:val="24"/>
              </w:rPr>
            </w:pPr>
          </w:p>
        </w:tc>
        <w:tc>
          <w:tcPr>
            <w:tcW w:w="574" w:type="pct"/>
            <w:tcBorders>
              <w:top w:val="single" w:color="000000" w:sz="4" w:space="0"/>
              <w:left w:val="nil"/>
              <w:bottom w:val="single" w:color="000000" w:sz="4" w:space="0"/>
              <w:right w:val="single" w:color="000000" w:sz="4" w:space="0"/>
            </w:tcBorders>
          </w:tcPr>
          <w:p w14:paraId="26798422">
            <w:pPr>
              <w:widowControl/>
              <w:spacing w:line="400" w:lineRule="exact"/>
              <w:jc w:val="center"/>
              <w:rPr>
                <w:rFonts w:hint="eastAsia" w:asciiTheme="minorEastAsia" w:hAnsiTheme="minorEastAsia" w:eastAsiaTheme="minorEastAsia" w:cstheme="minorEastAsia"/>
                <w:color w:val="auto"/>
                <w:sz w:val="24"/>
                <w:szCs w:val="24"/>
              </w:rPr>
            </w:pPr>
          </w:p>
        </w:tc>
      </w:tr>
    </w:tbl>
    <w:p w14:paraId="106FE707">
      <w:pPr>
        <w:spacing w:line="580" w:lineRule="exact"/>
        <w:ind w:right="1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投标人名称（加盖电子公章）：</w:t>
      </w:r>
    </w:p>
    <w:p w14:paraId="2FFEB237">
      <w:pPr>
        <w:spacing w:line="580" w:lineRule="exact"/>
        <w:rPr>
          <w:rFonts w:hint="eastAsia" w:asciiTheme="minorEastAsia" w:hAnsiTheme="minorEastAsia" w:eastAsiaTheme="minorEastAsia" w:cstheme="minorEastAsia"/>
          <w:color w:val="auto"/>
          <w:sz w:val="24"/>
          <w:szCs w:val="24"/>
        </w:rPr>
      </w:pPr>
    </w:p>
    <w:p w14:paraId="152E3A4E">
      <w:pPr>
        <w:pStyle w:val="230"/>
        <w:spacing w:before="0" w:beforeAutospacing="0" w:after="0" w:afterAutospacing="0" w:line="500" w:lineRule="exact"/>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注：1．投标人结合招标文件第五章评标方法与评标标准，自行填写，需同时提供招标文件中要求的证明材料复印件加盖公章，缺少或不提供不得分。</w:t>
      </w:r>
    </w:p>
    <w:p w14:paraId="297F8E2A">
      <w:pPr>
        <w:pStyle w:val="230"/>
        <w:spacing w:before="0" w:beforeAutospacing="0" w:after="0" w:afterAutospacing="0" w:line="500" w:lineRule="exact"/>
        <w:ind w:firstLine="480" w:firstLineChars="200"/>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2．行数不够，可自行添加。</w:t>
      </w:r>
    </w:p>
    <w:p w14:paraId="7A770BA6">
      <w:pPr>
        <w:spacing w:line="580" w:lineRule="exact"/>
        <w:rPr>
          <w:rFonts w:hint="eastAsia" w:asciiTheme="minorEastAsia" w:hAnsiTheme="minorEastAsia" w:eastAsiaTheme="minorEastAsia" w:cstheme="minorEastAsia"/>
          <w:color w:val="auto"/>
          <w:sz w:val="24"/>
          <w:szCs w:val="24"/>
        </w:rPr>
      </w:pPr>
    </w:p>
    <w:p w14:paraId="16EFBD4D">
      <w:pPr>
        <w:pStyle w:val="33"/>
        <w:spacing w:line="580" w:lineRule="exact"/>
        <w:ind w:firstLine="480" w:firstLineChars="200"/>
        <w:jc w:val="both"/>
        <w:rPr>
          <w:rFonts w:hint="eastAsia" w:asciiTheme="minorEastAsia" w:hAnsiTheme="minorEastAsia" w:eastAsiaTheme="minorEastAsia" w:cstheme="minorEastAsia"/>
          <w:b w:val="0"/>
          <w:bCs w:val="0"/>
          <w:color w:val="auto"/>
          <w:sz w:val="24"/>
          <w:szCs w:val="24"/>
        </w:rPr>
      </w:pPr>
    </w:p>
    <w:p w14:paraId="63E7C93D">
      <w:pPr>
        <w:pStyle w:val="33"/>
        <w:spacing w:line="580" w:lineRule="exact"/>
        <w:ind w:firstLine="480" w:firstLineChars="200"/>
        <w:jc w:val="both"/>
        <w:rPr>
          <w:rFonts w:hint="eastAsia" w:asciiTheme="minorEastAsia" w:hAnsiTheme="minorEastAsia" w:eastAsiaTheme="minorEastAsia" w:cstheme="minorEastAsia"/>
          <w:b w:val="0"/>
          <w:bCs w:val="0"/>
          <w:color w:val="auto"/>
          <w:sz w:val="24"/>
          <w:szCs w:val="24"/>
        </w:rPr>
      </w:pPr>
    </w:p>
    <w:p w14:paraId="362216D1">
      <w:pPr>
        <w:pStyle w:val="33"/>
        <w:spacing w:line="580" w:lineRule="exact"/>
        <w:ind w:firstLine="480" w:firstLineChars="200"/>
        <w:jc w:val="both"/>
        <w:rPr>
          <w:rFonts w:hint="eastAsia" w:asciiTheme="minorEastAsia" w:hAnsiTheme="minorEastAsia" w:eastAsiaTheme="minorEastAsia" w:cstheme="minorEastAsia"/>
          <w:b w:val="0"/>
          <w:bCs w:val="0"/>
          <w:color w:val="auto"/>
          <w:sz w:val="24"/>
          <w:szCs w:val="24"/>
        </w:rPr>
      </w:pPr>
    </w:p>
    <w:p w14:paraId="048CF6F3">
      <w:pPr>
        <w:pStyle w:val="33"/>
        <w:spacing w:line="580" w:lineRule="exact"/>
        <w:ind w:firstLine="480" w:firstLineChars="200"/>
        <w:jc w:val="both"/>
        <w:rPr>
          <w:rFonts w:hint="eastAsia" w:asciiTheme="minorEastAsia" w:hAnsiTheme="minorEastAsia" w:eastAsiaTheme="minorEastAsia" w:cstheme="minorEastAsia"/>
          <w:b w:val="0"/>
          <w:bCs w:val="0"/>
          <w:color w:val="auto"/>
          <w:sz w:val="24"/>
          <w:szCs w:val="24"/>
        </w:rPr>
      </w:pPr>
    </w:p>
    <w:p w14:paraId="4406DA90">
      <w:pPr>
        <w:pStyle w:val="33"/>
        <w:spacing w:line="580" w:lineRule="exact"/>
        <w:ind w:firstLine="480" w:firstLineChars="200"/>
        <w:jc w:val="both"/>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rPr>
        <w:t>十一、拟参与本项目人员一览表</w:t>
      </w:r>
    </w:p>
    <w:p w14:paraId="5658C1F7">
      <w:pPr>
        <w:pStyle w:val="33"/>
        <w:spacing w:line="580" w:lineRule="exact"/>
        <w:ind w:firstLine="480" w:firstLineChars="200"/>
        <w:jc w:val="both"/>
        <w:rPr>
          <w:rFonts w:hint="eastAsia" w:asciiTheme="minorEastAsia" w:hAnsiTheme="minorEastAsia" w:eastAsiaTheme="minorEastAsia" w:cstheme="minorEastAsia"/>
          <w:b w:val="0"/>
          <w:bCs w:val="0"/>
          <w:color w:val="auto"/>
          <w:sz w:val="24"/>
          <w:szCs w:val="24"/>
        </w:rPr>
      </w:pPr>
    </w:p>
    <w:p w14:paraId="55FB9882">
      <w:pPr>
        <w:spacing w:line="58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拟参与本项目人员一览表</w:t>
      </w:r>
    </w:p>
    <w:p w14:paraId="30169708">
      <w:pPr>
        <w:spacing w:line="200" w:lineRule="exact"/>
        <w:rPr>
          <w:rFonts w:hint="eastAsia" w:asciiTheme="minorEastAsia" w:hAnsiTheme="minorEastAsia" w:eastAsiaTheme="minorEastAsia" w:cstheme="minorEastAsia"/>
          <w:color w:val="auto"/>
          <w:sz w:val="24"/>
          <w:szCs w:val="24"/>
        </w:rPr>
      </w:pPr>
    </w:p>
    <w:tbl>
      <w:tblPr>
        <w:tblStyle w:val="37"/>
        <w:tblW w:w="105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6"/>
        <w:gridCol w:w="956"/>
        <w:gridCol w:w="956"/>
        <w:gridCol w:w="956"/>
        <w:gridCol w:w="1077"/>
        <w:gridCol w:w="964"/>
        <w:gridCol w:w="2117"/>
        <w:gridCol w:w="1644"/>
        <w:gridCol w:w="964"/>
      </w:tblGrid>
      <w:tr w14:paraId="48F54B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7" w:hRule="atLeast"/>
          <w:jc w:val="center"/>
        </w:trPr>
        <w:tc>
          <w:tcPr>
            <w:tcW w:w="956" w:type="dxa"/>
            <w:vAlign w:val="center"/>
          </w:tcPr>
          <w:p w14:paraId="6DACE5A5">
            <w:pPr>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序号</w:t>
            </w:r>
          </w:p>
        </w:tc>
        <w:tc>
          <w:tcPr>
            <w:tcW w:w="956" w:type="dxa"/>
            <w:vAlign w:val="center"/>
          </w:tcPr>
          <w:p w14:paraId="1CF2DFAF">
            <w:pPr>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姓名</w:t>
            </w:r>
          </w:p>
        </w:tc>
        <w:tc>
          <w:tcPr>
            <w:tcW w:w="956" w:type="dxa"/>
            <w:vAlign w:val="center"/>
          </w:tcPr>
          <w:p w14:paraId="2C7BF00D">
            <w:pPr>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性别</w:t>
            </w:r>
          </w:p>
        </w:tc>
        <w:tc>
          <w:tcPr>
            <w:tcW w:w="956" w:type="dxa"/>
            <w:vAlign w:val="center"/>
          </w:tcPr>
          <w:p w14:paraId="29B4F465">
            <w:pPr>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年龄</w:t>
            </w:r>
          </w:p>
        </w:tc>
        <w:tc>
          <w:tcPr>
            <w:tcW w:w="1077" w:type="dxa"/>
            <w:vAlign w:val="center"/>
          </w:tcPr>
          <w:p w14:paraId="1E10A015">
            <w:pPr>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学历及专业</w:t>
            </w:r>
          </w:p>
        </w:tc>
        <w:tc>
          <w:tcPr>
            <w:tcW w:w="964" w:type="dxa"/>
            <w:vAlign w:val="center"/>
          </w:tcPr>
          <w:p w14:paraId="7EDA13DA">
            <w:pPr>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技术职称</w:t>
            </w:r>
          </w:p>
        </w:tc>
        <w:tc>
          <w:tcPr>
            <w:tcW w:w="2117" w:type="dxa"/>
            <w:vAlign w:val="center"/>
          </w:tcPr>
          <w:p w14:paraId="0F388450">
            <w:pPr>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相关工作年限及工作经历</w:t>
            </w:r>
          </w:p>
        </w:tc>
        <w:tc>
          <w:tcPr>
            <w:tcW w:w="1644" w:type="dxa"/>
            <w:vAlign w:val="center"/>
          </w:tcPr>
          <w:p w14:paraId="0638BD1E">
            <w:pPr>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拟担任本项目何种工作</w:t>
            </w:r>
          </w:p>
        </w:tc>
        <w:tc>
          <w:tcPr>
            <w:tcW w:w="964" w:type="dxa"/>
            <w:vAlign w:val="center"/>
          </w:tcPr>
          <w:p w14:paraId="49BBE963">
            <w:pPr>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备注</w:t>
            </w:r>
          </w:p>
        </w:tc>
      </w:tr>
      <w:tr w14:paraId="79CFAE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6" w:type="dxa"/>
          </w:tcPr>
          <w:p w14:paraId="055904CF">
            <w:pPr>
              <w:spacing w:line="400" w:lineRule="exact"/>
              <w:rPr>
                <w:rFonts w:hint="eastAsia" w:asciiTheme="minorEastAsia" w:hAnsiTheme="minorEastAsia" w:eastAsiaTheme="minorEastAsia" w:cstheme="minorEastAsia"/>
                <w:color w:val="auto"/>
                <w:sz w:val="24"/>
                <w:szCs w:val="24"/>
              </w:rPr>
            </w:pPr>
          </w:p>
        </w:tc>
        <w:tc>
          <w:tcPr>
            <w:tcW w:w="956" w:type="dxa"/>
          </w:tcPr>
          <w:p w14:paraId="431A1A65">
            <w:pPr>
              <w:spacing w:line="400" w:lineRule="exact"/>
              <w:rPr>
                <w:rFonts w:hint="eastAsia" w:asciiTheme="minorEastAsia" w:hAnsiTheme="minorEastAsia" w:eastAsiaTheme="minorEastAsia" w:cstheme="minorEastAsia"/>
                <w:color w:val="auto"/>
                <w:sz w:val="24"/>
                <w:szCs w:val="24"/>
              </w:rPr>
            </w:pPr>
          </w:p>
        </w:tc>
        <w:tc>
          <w:tcPr>
            <w:tcW w:w="956" w:type="dxa"/>
          </w:tcPr>
          <w:p w14:paraId="5B735A13">
            <w:pPr>
              <w:spacing w:line="400" w:lineRule="exact"/>
              <w:rPr>
                <w:rFonts w:hint="eastAsia" w:asciiTheme="minorEastAsia" w:hAnsiTheme="minorEastAsia" w:eastAsiaTheme="minorEastAsia" w:cstheme="minorEastAsia"/>
                <w:color w:val="auto"/>
                <w:sz w:val="24"/>
                <w:szCs w:val="24"/>
              </w:rPr>
            </w:pPr>
          </w:p>
        </w:tc>
        <w:tc>
          <w:tcPr>
            <w:tcW w:w="956" w:type="dxa"/>
          </w:tcPr>
          <w:p w14:paraId="73536C62">
            <w:pPr>
              <w:spacing w:line="400" w:lineRule="exact"/>
              <w:rPr>
                <w:rFonts w:hint="eastAsia" w:asciiTheme="minorEastAsia" w:hAnsiTheme="minorEastAsia" w:eastAsiaTheme="minorEastAsia" w:cstheme="minorEastAsia"/>
                <w:color w:val="auto"/>
                <w:sz w:val="24"/>
                <w:szCs w:val="24"/>
              </w:rPr>
            </w:pPr>
          </w:p>
        </w:tc>
        <w:tc>
          <w:tcPr>
            <w:tcW w:w="1077" w:type="dxa"/>
          </w:tcPr>
          <w:p w14:paraId="6271D181">
            <w:pPr>
              <w:spacing w:line="400" w:lineRule="exact"/>
              <w:rPr>
                <w:rFonts w:hint="eastAsia" w:asciiTheme="minorEastAsia" w:hAnsiTheme="minorEastAsia" w:eastAsiaTheme="minorEastAsia" w:cstheme="minorEastAsia"/>
                <w:color w:val="auto"/>
                <w:sz w:val="24"/>
                <w:szCs w:val="24"/>
              </w:rPr>
            </w:pPr>
          </w:p>
        </w:tc>
        <w:tc>
          <w:tcPr>
            <w:tcW w:w="964" w:type="dxa"/>
          </w:tcPr>
          <w:p w14:paraId="437F1CE7">
            <w:pPr>
              <w:spacing w:line="400" w:lineRule="exact"/>
              <w:rPr>
                <w:rFonts w:hint="eastAsia" w:asciiTheme="minorEastAsia" w:hAnsiTheme="minorEastAsia" w:eastAsiaTheme="minorEastAsia" w:cstheme="minorEastAsia"/>
                <w:color w:val="auto"/>
                <w:sz w:val="24"/>
                <w:szCs w:val="24"/>
              </w:rPr>
            </w:pPr>
          </w:p>
        </w:tc>
        <w:tc>
          <w:tcPr>
            <w:tcW w:w="2117" w:type="dxa"/>
          </w:tcPr>
          <w:p w14:paraId="7E8497FD">
            <w:pPr>
              <w:spacing w:line="400" w:lineRule="exact"/>
              <w:rPr>
                <w:rFonts w:hint="eastAsia" w:asciiTheme="minorEastAsia" w:hAnsiTheme="minorEastAsia" w:eastAsiaTheme="minorEastAsia" w:cstheme="minorEastAsia"/>
                <w:color w:val="auto"/>
                <w:sz w:val="24"/>
                <w:szCs w:val="24"/>
              </w:rPr>
            </w:pPr>
          </w:p>
        </w:tc>
        <w:tc>
          <w:tcPr>
            <w:tcW w:w="1644" w:type="dxa"/>
          </w:tcPr>
          <w:p w14:paraId="3FC7CF74">
            <w:pPr>
              <w:spacing w:line="400" w:lineRule="exact"/>
              <w:rPr>
                <w:rFonts w:hint="eastAsia" w:asciiTheme="minorEastAsia" w:hAnsiTheme="minorEastAsia" w:eastAsiaTheme="minorEastAsia" w:cstheme="minorEastAsia"/>
                <w:color w:val="auto"/>
                <w:sz w:val="24"/>
                <w:szCs w:val="24"/>
              </w:rPr>
            </w:pPr>
          </w:p>
        </w:tc>
        <w:tc>
          <w:tcPr>
            <w:tcW w:w="964" w:type="dxa"/>
          </w:tcPr>
          <w:p w14:paraId="6F6E696F">
            <w:pPr>
              <w:spacing w:line="400" w:lineRule="exact"/>
              <w:rPr>
                <w:rFonts w:hint="eastAsia" w:asciiTheme="minorEastAsia" w:hAnsiTheme="minorEastAsia" w:eastAsiaTheme="minorEastAsia" w:cstheme="minorEastAsia"/>
                <w:color w:val="auto"/>
                <w:sz w:val="24"/>
                <w:szCs w:val="24"/>
              </w:rPr>
            </w:pPr>
          </w:p>
        </w:tc>
      </w:tr>
      <w:tr w14:paraId="4576F9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6" w:type="dxa"/>
          </w:tcPr>
          <w:p w14:paraId="2F63630A">
            <w:pPr>
              <w:spacing w:line="400" w:lineRule="exact"/>
              <w:rPr>
                <w:rFonts w:hint="eastAsia" w:asciiTheme="minorEastAsia" w:hAnsiTheme="minorEastAsia" w:eastAsiaTheme="minorEastAsia" w:cstheme="minorEastAsia"/>
                <w:color w:val="auto"/>
                <w:sz w:val="24"/>
                <w:szCs w:val="24"/>
              </w:rPr>
            </w:pPr>
          </w:p>
        </w:tc>
        <w:tc>
          <w:tcPr>
            <w:tcW w:w="956" w:type="dxa"/>
          </w:tcPr>
          <w:p w14:paraId="12DB4F93">
            <w:pPr>
              <w:spacing w:line="400" w:lineRule="exact"/>
              <w:rPr>
                <w:rFonts w:hint="eastAsia" w:asciiTheme="minorEastAsia" w:hAnsiTheme="minorEastAsia" w:eastAsiaTheme="minorEastAsia" w:cstheme="minorEastAsia"/>
                <w:color w:val="auto"/>
                <w:sz w:val="24"/>
                <w:szCs w:val="24"/>
              </w:rPr>
            </w:pPr>
          </w:p>
        </w:tc>
        <w:tc>
          <w:tcPr>
            <w:tcW w:w="956" w:type="dxa"/>
          </w:tcPr>
          <w:p w14:paraId="0288852F">
            <w:pPr>
              <w:spacing w:line="400" w:lineRule="exact"/>
              <w:rPr>
                <w:rFonts w:hint="eastAsia" w:asciiTheme="minorEastAsia" w:hAnsiTheme="minorEastAsia" w:eastAsiaTheme="minorEastAsia" w:cstheme="minorEastAsia"/>
                <w:color w:val="auto"/>
                <w:sz w:val="24"/>
                <w:szCs w:val="24"/>
              </w:rPr>
            </w:pPr>
          </w:p>
        </w:tc>
        <w:tc>
          <w:tcPr>
            <w:tcW w:w="956" w:type="dxa"/>
          </w:tcPr>
          <w:p w14:paraId="4A6A1A31">
            <w:pPr>
              <w:spacing w:line="400" w:lineRule="exact"/>
              <w:rPr>
                <w:rFonts w:hint="eastAsia" w:asciiTheme="minorEastAsia" w:hAnsiTheme="minorEastAsia" w:eastAsiaTheme="minorEastAsia" w:cstheme="minorEastAsia"/>
                <w:color w:val="auto"/>
                <w:sz w:val="24"/>
                <w:szCs w:val="24"/>
              </w:rPr>
            </w:pPr>
          </w:p>
        </w:tc>
        <w:tc>
          <w:tcPr>
            <w:tcW w:w="1077" w:type="dxa"/>
          </w:tcPr>
          <w:p w14:paraId="637B9388">
            <w:pPr>
              <w:spacing w:line="400" w:lineRule="exact"/>
              <w:rPr>
                <w:rFonts w:hint="eastAsia" w:asciiTheme="minorEastAsia" w:hAnsiTheme="minorEastAsia" w:eastAsiaTheme="minorEastAsia" w:cstheme="minorEastAsia"/>
                <w:color w:val="auto"/>
                <w:sz w:val="24"/>
                <w:szCs w:val="24"/>
              </w:rPr>
            </w:pPr>
          </w:p>
        </w:tc>
        <w:tc>
          <w:tcPr>
            <w:tcW w:w="964" w:type="dxa"/>
          </w:tcPr>
          <w:p w14:paraId="16D7AF10">
            <w:pPr>
              <w:spacing w:line="400" w:lineRule="exact"/>
              <w:rPr>
                <w:rFonts w:hint="eastAsia" w:asciiTheme="minorEastAsia" w:hAnsiTheme="minorEastAsia" w:eastAsiaTheme="minorEastAsia" w:cstheme="minorEastAsia"/>
                <w:color w:val="auto"/>
                <w:sz w:val="24"/>
                <w:szCs w:val="24"/>
              </w:rPr>
            </w:pPr>
          </w:p>
        </w:tc>
        <w:tc>
          <w:tcPr>
            <w:tcW w:w="2117" w:type="dxa"/>
          </w:tcPr>
          <w:p w14:paraId="6B63A671">
            <w:pPr>
              <w:spacing w:line="400" w:lineRule="exact"/>
              <w:rPr>
                <w:rFonts w:hint="eastAsia" w:asciiTheme="minorEastAsia" w:hAnsiTheme="minorEastAsia" w:eastAsiaTheme="minorEastAsia" w:cstheme="minorEastAsia"/>
                <w:color w:val="auto"/>
                <w:sz w:val="24"/>
                <w:szCs w:val="24"/>
              </w:rPr>
            </w:pPr>
          </w:p>
        </w:tc>
        <w:tc>
          <w:tcPr>
            <w:tcW w:w="1644" w:type="dxa"/>
          </w:tcPr>
          <w:p w14:paraId="68F52EA4">
            <w:pPr>
              <w:spacing w:line="400" w:lineRule="exact"/>
              <w:rPr>
                <w:rFonts w:hint="eastAsia" w:asciiTheme="minorEastAsia" w:hAnsiTheme="minorEastAsia" w:eastAsiaTheme="minorEastAsia" w:cstheme="minorEastAsia"/>
                <w:color w:val="auto"/>
                <w:sz w:val="24"/>
                <w:szCs w:val="24"/>
              </w:rPr>
            </w:pPr>
          </w:p>
        </w:tc>
        <w:tc>
          <w:tcPr>
            <w:tcW w:w="964" w:type="dxa"/>
          </w:tcPr>
          <w:p w14:paraId="210B3182">
            <w:pPr>
              <w:spacing w:line="400" w:lineRule="exact"/>
              <w:rPr>
                <w:rFonts w:hint="eastAsia" w:asciiTheme="minorEastAsia" w:hAnsiTheme="minorEastAsia" w:eastAsiaTheme="minorEastAsia" w:cstheme="minorEastAsia"/>
                <w:color w:val="auto"/>
                <w:sz w:val="24"/>
                <w:szCs w:val="24"/>
              </w:rPr>
            </w:pPr>
          </w:p>
        </w:tc>
      </w:tr>
      <w:tr w14:paraId="6A9F04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6" w:type="dxa"/>
          </w:tcPr>
          <w:p w14:paraId="00441E56">
            <w:pPr>
              <w:spacing w:line="400" w:lineRule="exact"/>
              <w:rPr>
                <w:rFonts w:hint="eastAsia" w:asciiTheme="minorEastAsia" w:hAnsiTheme="minorEastAsia" w:eastAsiaTheme="minorEastAsia" w:cstheme="minorEastAsia"/>
                <w:color w:val="auto"/>
                <w:sz w:val="24"/>
                <w:szCs w:val="24"/>
              </w:rPr>
            </w:pPr>
          </w:p>
        </w:tc>
        <w:tc>
          <w:tcPr>
            <w:tcW w:w="956" w:type="dxa"/>
          </w:tcPr>
          <w:p w14:paraId="504C6ACF">
            <w:pPr>
              <w:spacing w:line="400" w:lineRule="exact"/>
              <w:rPr>
                <w:rFonts w:hint="eastAsia" w:asciiTheme="minorEastAsia" w:hAnsiTheme="minorEastAsia" w:eastAsiaTheme="minorEastAsia" w:cstheme="minorEastAsia"/>
                <w:color w:val="auto"/>
                <w:sz w:val="24"/>
                <w:szCs w:val="24"/>
              </w:rPr>
            </w:pPr>
          </w:p>
        </w:tc>
        <w:tc>
          <w:tcPr>
            <w:tcW w:w="956" w:type="dxa"/>
          </w:tcPr>
          <w:p w14:paraId="1EAA6F6E">
            <w:pPr>
              <w:spacing w:line="400" w:lineRule="exact"/>
              <w:rPr>
                <w:rFonts w:hint="eastAsia" w:asciiTheme="minorEastAsia" w:hAnsiTheme="minorEastAsia" w:eastAsiaTheme="minorEastAsia" w:cstheme="minorEastAsia"/>
                <w:color w:val="auto"/>
                <w:sz w:val="24"/>
                <w:szCs w:val="24"/>
              </w:rPr>
            </w:pPr>
          </w:p>
        </w:tc>
        <w:tc>
          <w:tcPr>
            <w:tcW w:w="956" w:type="dxa"/>
          </w:tcPr>
          <w:p w14:paraId="0B8183DD">
            <w:pPr>
              <w:spacing w:line="400" w:lineRule="exact"/>
              <w:rPr>
                <w:rFonts w:hint="eastAsia" w:asciiTheme="minorEastAsia" w:hAnsiTheme="minorEastAsia" w:eastAsiaTheme="minorEastAsia" w:cstheme="minorEastAsia"/>
                <w:color w:val="auto"/>
                <w:sz w:val="24"/>
                <w:szCs w:val="24"/>
              </w:rPr>
            </w:pPr>
          </w:p>
        </w:tc>
        <w:tc>
          <w:tcPr>
            <w:tcW w:w="1077" w:type="dxa"/>
          </w:tcPr>
          <w:p w14:paraId="02AC71E8">
            <w:pPr>
              <w:spacing w:line="400" w:lineRule="exact"/>
              <w:rPr>
                <w:rFonts w:hint="eastAsia" w:asciiTheme="minorEastAsia" w:hAnsiTheme="minorEastAsia" w:eastAsiaTheme="minorEastAsia" w:cstheme="minorEastAsia"/>
                <w:color w:val="auto"/>
                <w:sz w:val="24"/>
                <w:szCs w:val="24"/>
              </w:rPr>
            </w:pPr>
          </w:p>
        </w:tc>
        <w:tc>
          <w:tcPr>
            <w:tcW w:w="964" w:type="dxa"/>
          </w:tcPr>
          <w:p w14:paraId="2C9A82BC">
            <w:pPr>
              <w:spacing w:line="400" w:lineRule="exact"/>
              <w:rPr>
                <w:rFonts w:hint="eastAsia" w:asciiTheme="minorEastAsia" w:hAnsiTheme="minorEastAsia" w:eastAsiaTheme="minorEastAsia" w:cstheme="minorEastAsia"/>
                <w:color w:val="auto"/>
                <w:sz w:val="24"/>
                <w:szCs w:val="24"/>
              </w:rPr>
            </w:pPr>
          </w:p>
        </w:tc>
        <w:tc>
          <w:tcPr>
            <w:tcW w:w="2117" w:type="dxa"/>
          </w:tcPr>
          <w:p w14:paraId="3E963BA5">
            <w:pPr>
              <w:spacing w:line="400" w:lineRule="exact"/>
              <w:rPr>
                <w:rFonts w:hint="eastAsia" w:asciiTheme="minorEastAsia" w:hAnsiTheme="minorEastAsia" w:eastAsiaTheme="minorEastAsia" w:cstheme="minorEastAsia"/>
                <w:color w:val="auto"/>
                <w:sz w:val="24"/>
                <w:szCs w:val="24"/>
              </w:rPr>
            </w:pPr>
          </w:p>
        </w:tc>
        <w:tc>
          <w:tcPr>
            <w:tcW w:w="1644" w:type="dxa"/>
          </w:tcPr>
          <w:p w14:paraId="247AEF27">
            <w:pPr>
              <w:spacing w:line="400" w:lineRule="exact"/>
              <w:rPr>
                <w:rFonts w:hint="eastAsia" w:asciiTheme="minorEastAsia" w:hAnsiTheme="minorEastAsia" w:eastAsiaTheme="minorEastAsia" w:cstheme="minorEastAsia"/>
                <w:color w:val="auto"/>
                <w:sz w:val="24"/>
                <w:szCs w:val="24"/>
              </w:rPr>
            </w:pPr>
          </w:p>
        </w:tc>
        <w:tc>
          <w:tcPr>
            <w:tcW w:w="964" w:type="dxa"/>
          </w:tcPr>
          <w:p w14:paraId="1B356637">
            <w:pPr>
              <w:spacing w:line="400" w:lineRule="exact"/>
              <w:rPr>
                <w:rFonts w:hint="eastAsia" w:asciiTheme="minorEastAsia" w:hAnsiTheme="minorEastAsia" w:eastAsiaTheme="minorEastAsia" w:cstheme="minorEastAsia"/>
                <w:color w:val="auto"/>
                <w:sz w:val="24"/>
                <w:szCs w:val="24"/>
              </w:rPr>
            </w:pPr>
          </w:p>
        </w:tc>
      </w:tr>
      <w:tr w14:paraId="77C7DC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6" w:type="dxa"/>
          </w:tcPr>
          <w:p w14:paraId="717E7461">
            <w:pPr>
              <w:spacing w:line="400" w:lineRule="exact"/>
              <w:rPr>
                <w:rFonts w:hint="eastAsia" w:asciiTheme="minorEastAsia" w:hAnsiTheme="minorEastAsia" w:eastAsiaTheme="minorEastAsia" w:cstheme="minorEastAsia"/>
                <w:color w:val="auto"/>
                <w:sz w:val="24"/>
                <w:szCs w:val="24"/>
              </w:rPr>
            </w:pPr>
          </w:p>
        </w:tc>
        <w:tc>
          <w:tcPr>
            <w:tcW w:w="956" w:type="dxa"/>
          </w:tcPr>
          <w:p w14:paraId="1B43A14E">
            <w:pPr>
              <w:spacing w:line="400" w:lineRule="exact"/>
              <w:rPr>
                <w:rFonts w:hint="eastAsia" w:asciiTheme="minorEastAsia" w:hAnsiTheme="minorEastAsia" w:eastAsiaTheme="minorEastAsia" w:cstheme="minorEastAsia"/>
                <w:color w:val="auto"/>
                <w:sz w:val="24"/>
                <w:szCs w:val="24"/>
              </w:rPr>
            </w:pPr>
          </w:p>
        </w:tc>
        <w:tc>
          <w:tcPr>
            <w:tcW w:w="956" w:type="dxa"/>
          </w:tcPr>
          <w:p w14:paraId="0C8FEEC0">
            <w:pPr>
              <w:spacing w:line="400" w:lineRule="exact"/>
              <w:rPr>
                <w:rFonts w:hint="eastAsia" w:asciiTheme="minorEastAsia" w:hAnsiTheme="minorEastAsia" w:eastAsiaTheme="minorEastAsia" w:cstheme="minorEastAsia"/>
                <w:color w:val="auto"/>
                <w:sz w:val="24"/>
                <w:szCs w:val="24"/>
              </w:rPr>
            </w:pPr>
          </w:p>
        </w:tc>
        <w:tc>
          <w:tcPr>
            <w:tcW w:w="956" w:type="dxa"/>
          </w:tcPr>
          <w:p w14:paraId="08C7052F">
            <w:pPr>
              <w:spacing w:line="400" w:lineRule="exact"/>
              <w:rPr>
                <w:rFonts w:hint="eastAsia" w:asciiTheme="minorEastAsia" w:hAnsiTheme="minorEastAsia" w:eastAsiaTheme="minorEastAsia" w:cstheme="minorEastAsia"/>
                <w:color w:val="auto"/>
                <w:sz w:val="24"/>
                <w:szCs w:val="24"/>
              </w:rPr>
            </w:pPr>
          </w:p>
        </w:tc>
        <w:tc>
          <w:tcPr>
            <w:tcW w:w="1077" w:type="dxa"/>
          </w:tcPr>
          <w:p w14:paraId="561E8FD9">
            <w:pPr>
              <w:spacing w:line="400" w:lineRule="exact"/>
              <w:rPr>
                <w:rFonts w:hint="eastAsia" w:asciiTheme="minorEastAsia" w:hAnsiTheme="minorEastAsia" w:eastAsiaTheme="minorEastAsia" w:cstheme="minorEastAsia"/>
                <w:color w:val="auto"/>
                <w:sz w:val="24"/>
                <w:szCs w:val="24"/>
              </w:rPr>
            </w:pPr>
          </w:p>
        </w:tc>
        <w:tc>
          <w:tcPr>
            <w:tcW w:w="964" w:type="dxa"/>
          </w:tcPr>
          <w:p w14:paraId="6D816560">
            <w:pPr>
              <w:spacing w:line="400" w:lineRule="exact"/>
              <w:rPr>
                <w:rFonts w:hint="eastAsia" w:asciiTheme="minorEastAsia" w:hAnsiTheme="minorEastAsia" w:eastAsiaTheme="minorEastAsia" w:cstheme="minorEastAsia"/>
                <w:color w:val="auto"/>
                <w:sz w:val="24"/>
                <w:szCs w:val="24"/>
              </w:rPr>
            </w:pPr>
          </w:p>
        </w:tc>
        <w:tc>
          <w:tcPr>
            <w:tcW w:w="2117" w:type="dxa"/>
          </w:tcPr>
          <w:p w14:paraId="181B0325">
            <w:pPr>
              <w:spacing w:line="400" w:lineRule="exact"/>
              <w:rPr>
                <w:rFonts w:hint="eastAsia" w:asciiTheme="minorEastAsia" w:hAnsiTheme="minorEastAsia" w:eastAsiaTheme="minorEastAsia" w:cstheme="minorEastAsia"/>
                <w:color w:val="auto"/>
                <w:sz w:val="24"/>
                <w:szCs w:val="24"/>
              </w:rPr>
            </w:pPr>
          </w:p>
        </w:tc>
        <w:tc>
          <w:tcPr>
            <w:tcW w:w="1644" w:type="dxa"/>
          </w:tcPr>
          <w:p w14:paraId="5F54723D">
            <w:pPr>
              <w:spacing w:line="400" w:lineRule="exact"/>
              <w:rPr>
                <w:rFonts w:hint="eastAsia" w:asciiTheme="minorEastAsia" w:hAnsiTheme="minorEastAsia" w:eastAsiaTheme="minorEastAsia" w:cstheme="minorEastAsia"/>
                <w:color w:val="auto"/>
                <w:sz w:val="24"/>
                <w:szCs w:val="24"/>
              </w:rPr>
            </w:pPr>
          </w:p>
        </w:tc>
        <w:tc>
          <w:tcPr>
            <w:tcW w:w="964" w:type="dxa"/>
          </w:tcPr>
          <w:p w14:paraId="45AF7928">
            <w:pPr>
              <w:spacing w:line="400" w:lineRule="exact"/>
              <w:rPr>
                <w:rFonts w:hint="eastAsia" w:asciiTheme="minorEastAsia" w:hAnsiTheme="minorEastAsia" w:eastAsiaTheme="minorEastAsia" w:cstheme="minorEastAsia"/>
                <w:color w:val="auto"/>
                <w:sz w:val="24"/>
                <w:szCs w:val="24"/>
              </w:rPr>
            </w:pPr>
          </w:p>
        </w:tc>
      </w:tr>
      <w:tr w14:paraId="361886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6" w:type="dxa"/>
          </w:tcPr>
          <w:p w14:paraId="4951EDD6">
            <w:pPr>
              <w:spacing w:line="400" w:lineRule="exact"/>
              <w:rPr>
                <w:rFonts w:hint="eastAsia" w:asciiTheme="minorEastAsia" w:hAnsiTheme="minorEastAsia" w:eastAsiaTheme="minorEastAsia" w:cstheme="minorEastAsia"/>
                <w:color w:val="auto"/>
                <w:sz w:val="24"/>
                <w:szCs w:val="24"/>
              </w:rPr>
            </w:pPr>
          </w:p>
        </w:tc>
        <w:tc>
          <w:tcPr>
            <w:tcW w:w="956" w:type="dxa"/>
          </w:tcPr>
          <w:p w14:paraId="671E022E">
            <w:pPr>
              <w:spacing w:line="400" w:lineRule="exact"/>
              <w:rPr>
                <w:rFonts w:hint="eastAsia" w:asciiTheme="minorEastAsia" w:hAnsiTheme="minorEastAsia" w:eastAsiaTheme="minorEastAsia" w:cstheme="minorEastAsia"/>
                <w:color w:val="auto"/>
                <w:sz w:val="24"/>
                <w:szCs w:val="24"/>
              </w:rPr>
            </w:pPr>
          </w:p>
        </w:tc>
        <w:tc>
          <w:tcPr>
            <w:tcW w:w="956" w:type="dxa"/>
          </w:tcPr>
          <w:p w14:paraId="05469DF1">
            <w:pPr>
              <w:spacing w:line="400" w:lineRule="exact"/>
              <w:rPr>
                <w:rFonts w:hint="eastAsia" w:asciiTheme="minorEastAsia" w:hAnsiTheme="minorEastAsia" w:eastAsiaTheme="minorEastAsia" w:cstheme="minorEastAsia"/>
                <w:color w:val="auto"/>
                <w:sz w:val="24"/>
                <w:szCs w:val="24"/>
              </w:rPr>
            </w:pPr>
          </w:p>
        </w:tc>
        <w:tc>
          <w:tcPr>
            <w:tcW w:w="956" w:type="dxa"/>
          </w:tcPr>
          <w:p w14:paraId="0125EA5D">
            <w:pPr>
              <w:spacing w:line="400" w:lineRule="exact"/>
              <w:rPr>
                <w:rFonts w:hint="eastAsia" w:asciiTheme="minorEastAsia" w:hAnsiTheme="minorEastAsia" w:eastAsiaTheme="minorEastAsia" w:cstheme="minorEastAsia"/>
                <w:color w:val="auto"/>
                <w:sz w:val="24"/>
                <w:szCs w:val="24"/>
              </w:rPr>
            </w:pPr>
          </w:p>
        </w:tc>
        <w:tc>
          <w:tcPr>
            <w:tcW w:w="1077" w:type="dxa"/>
          </w:tcPr>
          <w:p w14:paraId="269CB406">
            <w:pPr>
              <w:spacing w:line="400" w:lineRule="exact"/>
              <w:rPr>
                <w:rFonts w:hint="eastAsia" w:asciiTheme="minorEastAsia" w:hAnsiTheme="minorEastAsia" w:eastAsiaTheme="minorEastAsia" w:cstheme="minorEastAsia"/>
                <w:color w:val="auto"/>
                <w:sz w:val="24"/>
                <w:szCs w:val="24"/>
              </w:rPr>
            </w:pPr>
          </w:p>
        </w:tc>
        <w:tc>
          <w:tcPr>
            <w:tcW w:w="964" w:type="dxa"/>
          </w:tcPr>
          <w:p w14:paraId="64B31389">
            <w:pPr>
              <w:spacing w:line="400" w:lineRule="exact"/>
              <w:rPr>
                <w:rFonts w:hint="eastAsia" w:asciiTheme="minorEastAsia" w:hAnsiTheme="minorEastAsia" w:eastAsiaTheme="minorEastAsia" w:cstheme="minorEastAsia"/>
                <w:color w:val="auto"/>
                <w:sz w:val="24"/>
                <w:szCs w:val="24"/>
              </w:rPr>
            </w:pPr>
          </w:p>
        </w:tc>
        <w:tc>
          <w:tcPr>
            <w:tcW w:w="2117" w:type="dxa"/>
          </w:tcPr>
          <w:p w14:paraId="45014D71">
            <w:pPr>
              <w:spacing w:line="400" w:lineRule="exact"/>
              <w:rPr>
                <w:rFonts w:hint="eastAsia" w:asciiTheme="minorEastAsia" w:hAnsiTheme="minorEastAsia" w:eastAsiaTheme="minorEastAsia" w:cstheme="minorEastAsia"/>
                <w:color w:val="auto"/>
                <w:sz w:val="24"/>
                <w:szCs w:val="24"/>
              </w:rPr>
            </w:pPr>
          </w:p>
        </w:tc>
        <w:tc>
          <w:tcPr>
            <w:tcW w:w="1644" w:type="dxa"/>
          </w:tcPr>
          <w:p w14:paraId="5E04C1F7">
            <w:pPr>
              <w:spacing w:line="400" w:lineRule="exact"/>
              <w:rPr>
                <w:rFonts w:hint="eastAsia" w:asciiTheme="minorEastAsia" w:hAnsiTheme="minorEastAsia" w:eastAsiaTheme="minorEastAsia" w:cstheme="minorEastAsia"/>
                <w:color w:val="auto"/>
                <w:sz w:val="24"/>
                <w:szCs w:val="24"/>
              </w:rPr>
            </w:pPr>
          </w:p>
        </w:tc>
        <w:tc>
          <w:tcPr>
            <w:tcW w:w="964" w:type="dxa"/>
          </w:tcPr>
          <w:p w14:paraId="7791F95E">
            <w:pPr>
              <w:spacing w:line="400" w:lineRule="exact"/>
              <w:rPr>
                <w:rFonts w:hint="eastAsia" w:asciiTheme="minorEastAsia" w:hAnsiTheme="minorEastAsia" w:eastAsiaTheme="minorEastAsia" w:cstheme="minorEastAsia"/>
                <w:color w:val="auto"/>
                <w:sz w:val="24"/>
                <w:szCs w:val="24"/>
              </w:rPr>
            </w:pPr>
          </w:p>
        </w:tc>
      </w:tr>
      <w:tr w14:paraId="5CE644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6" w:type="dxa"/>
          </w:tcPr>
          <w:p w14:paraId="65F77567">
            <w:pPr>
              <w:spacing w:line="400" w:lineRule="exact"/>
              <w:rPr>
                <w:rFonts w:hint="eastAsia" w:asciiTheme="minorEastAsia" w:hAnsiTheme="minorEastAsia" w:eastAsiaTheme="minorEastAsia" w:cstheme="minorEastAsia"/>
                <w:color w:val="auto"/>
                <w:sz w:val="24"/>
                <w:szCs w:val="24"/>
              </w:rPr>
            </w:pPr>
          </w:p>
        </w:tc>
        <w:tc>
          <w:tcPr>
            <w:tcW w:w="956" w:type="dxa"/>
          </w:tcPr>
          <w:p w14:paraId="615FECF2">
            <w:pPr>
              <w:spacing w:line="400" w:lineRule="exact"/>
              <w:rPr>
                <w:rFonts w:hint="eastAsia" w:asciiTheme="minorEastAsia" w:hAnsiTheme="minorEastAsia" w:eastAsiaTheme="minorEastAsia" w:cstheme="minorEastAsia"/>
                <w:color w:val="auto"/>
                <w:sz w:val="24"/>
                <w:szCs w:val="24"/>
              </w:rPr>
            </w:pPr>
          </w:p>
        </w:tc>
        <w:tc>
          <w:tcPr>
            <w:tcW w:w="956" w:type="dxa"/>
          </w:tcPr>
          <w:p w14:paraId="3811FBC5">
            <w:pPr>
              <w:spacing w:line="400" w:lineRule="exact"/>
              <w:rPr>
                <w:rFonts w:hint="eastAsia" w:asciiTheme="minorEastAsia" w:hAnsiTheme="minorEastAsia" w:eastAsiaTheme="minorEastAsia" w:cstheme="minorEastAsia"/>
                <w:color w:val="auto"/>
                <w:sz w:val="24"/>
                <w:szCs w:val="24"/>
              </w:rPr>
            </w:pPr>
          </w:p>
        </w:tc>
        <w:tc>
          <w:tcPr>
            <w:tcW w:w="956" w:type="dxa"/>
          </w:tcPr>
          <w:p w14:paraId="24F49813">
            <w:pPr>
              <w:spacing w:line="400" w:lineRule="exact"/>
              <w:rPr>
                <w:rFonts w:hint="eastAsia" w:asciiTheme="minorEastAsia" w:hAnsiTheme="minorEastAsia" w:eastAsiaTheme="minorEastAsia" w:cstheme="minorEastAsia"/>
                <w:color w:val="auto"/>
                <w:sz w:val="24"/>
                <w:szCs w:val="24"/>
              </w:rPr>
            </w:pPr>
          </w:p>
        </w:tc>
        <w:tc>
          <w:tcPr>
            <w:tcW w:w="1077" w:type="dxa"/>
          </w:tcPr>
          <w:p w14:paraId="567ACCC5">
            <w:pPr>
              <w:spacing w:line="400" w:lineRule="exact"/>
              <w:rPr>
                <w:rFonts w:hint="eastAsia" w:asciiTheme="minorEastAsia" w:hAnsiTheme="minorEastAsia" w:eastAsiaTheme="minorEastAsia" w:cstheme="minorEastAsia"/>
                <w:color w:val="auto"/>
                <w:sz w:val="24"/>
                <w:szCs w:val="24"/>
              </w:rPr>
            </w:pPr>
          </w:p>
        </w:tc>
        <w:tc>
          <w:tcPr>
            <w:tcW w:w="964" w:type="dxa"/>
          </w:tcPr>
          <w:p w14:paraId="400E806D">
            <w:pPr>
              <w:spacing w:line="400" w:lineRule="exact"/>
              <w:rPr>
                <w:rFonts w:hint="eastAsia" w:asciiTheme="minorEastAsia" w:hAnsiTheme="minorEastAsia" w:eastAsiaTheme="minorEastAsia" w:cstheme="minorEastAsia"/>
                <w:color w:val="auto"/>
                <w:sz w:val="24"/>
                <w:szCs w:val="24"/>
              </w:rPr>
            </w:pPr>
          </w:p>
        </w:tc>
        <w:tc>
          <w:tcPr>
            <w:tcW w:w="2117" w:type="dxa"/>
          </w:tcPr>
          <w:p w14:paraId="0761ADCB">
            <w:pPr>
              <w:spacing w:line="400" w:lineRule="exact"/>
              <w:rPr>
                <w:rFonts w:hint="eastAsia" w:asciiTheme="minorEastAsia" w:hAnsiTheme="minorEastAsia" w:eastAsiaTheme="minorEastAsia" w:cstheme="minorEastAsia"/>
                <w:color w:val="auto"/>
                <w:sz w:val="24"/>
                <w:szCs w:val="24"/>
              </w:rPr>
            </w:pPr>
          </w:p>
        </w:tc>
        <w:tc>
          <w:tcPr>
            <w:tcW w:w="1644" w:type="dxa"/>
          </w:tcPr>
          <w:p w14:paraId="4954F034">
            <w:pPr>
              <w:spacing w:line="400" w:lineRule="exact"/>
              <w:rPr>
                <w:rFonts w:hint="eastAsia" w:asciiTheme="minorEastAsia" w:hAnsiTheme="minorEastAsia" w:eastAsiaTheme="minorEastAsia" w:cstheme="minorEastAsia"/>
                <w:color w:val="auto"/>
                <w:sz w:val="24"/>
                <w:szCs w:val="24"/>
              </w:rPr>
            </w:pPr>
          </w:p>
        </w:tc>
        <w:tc>
          <w:tcPr>
            <w:tcW w:w="964" w:type="dxa"/>
          </w:tcPr>
          <w:p w14:paraId="5A8FE237">
            <w:pPr>
              <w:spacing w:line="400" w:lineRule="exact"/>
              <w:rPr>
                <w:rFonts w:hint="eastAsia" w:asciiTheme="minorEastAsia" w:hAnsiTheme="minorEastAsia" w:eastAsiaTheme="minorEastAsia" w:cstheme="minorEastAsia"/>
                <w:color w:val="auto"/>
                <w:sz w:val="24"/>
                <w:szCs w:val="24"/>
              </w:rPr>
            </w:pPr>
          </w:p>
        </w:tc>
      </w:tr>
      <w:tr w14:paraId="7D98B0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6" w:type="dxa"/>
          </w:tcPr>
          <w:p w14:paraId="08D81705">
            <w:pPr>
              <w:spacing w:line="400" w:lineRule="exact"/>
              <w:rPr>
                <w:rFonts w:hint="eastAsia" w:asciiTheme="minorEastAsia" w:hAnsiTheme="minorEastAsia" w:eastAsiaTheme="minorEastAsia" w:cstheme="minorEastAsia"/>
                <w:color w:val="auto"/>
                <w:sz w:val="24"/>
                <w:szCs w:val="24"/>
              </w:rPr>
            </w:pPr>
          </w:p>
        </w:tc>
        <w:tc>
          <w:tcPr>
            <w:tcW w:w="956" w:type="dxa"/>
          </w:tcPr>
          <w:p w14:paraId="64F7DFC0">
            <w:pPr>
              <w:spacing w:line="400" w:lineRule="exact"/>
              <w:rPr>
                <w:rFonts w:hint="eastAsia" w:asciiTheme="minorEastAsia" w:hAnsiTheme="minorEastAsia" w:eastAsiaTheme="minorEastAsia" w:cstheme="minorEastAsia"/>
                <w:color w:val="auto"/>
                <w:sz w:val="24"/>
                <w:szCs w:val="24"/>
              </w:rPr>
            </w:pPr>
          </w:p>
        </w:tc>
        <w:tc>
          <w:tcPr>
            <w:tcW w:w="956" w:type="dxa"/>
          </w:tcPr>
          <w:p w14:paraId="144FA6CA">
            <w:pPr>
              <w:spacing w:line="400" w:lineRule="exact"/>
              <w:rPr>
                <w:rFonts w:hint="eastAsia" w:asciiTheme="minorEastAsia" w:hAnsiTheme="minorEastAsia" w:eastAsiaTheme="minorEastAsia" w:cstheme="minorEastAsia"/>
                <w:color w:val="auto"/>
                <w:sz w:val="24"/>
                <w:szCs w:val="24"/>
              </w:rPr>
            </w:pPr>
          </w:p>
        </w:tc>
        <w:tc>
          <w:tcPr>
            <w:tcW w:w="956" w:type="dxa"/>
          </w:tcPr>
          <w:p w14:paraId="4EBE4549">
            <w:pPr>
              <w:spacing w:line="400" w:lineRule="exact"/>
              <w:rPr>
                <w:rFonts w:hint="eastAsia" w:asciiTheme="minorEastAsia" w:hAnsiTheme="minorEastAsia" w:eastAsiaTheme="minorEastAsia" w:cstheme="minorEastAsia"/>
                <w:color w:val="auto"/>
                <w:sz w:val="24"/>
                <w:szCs w:val="24"/>
              </w:rPr>
            </w:pPr>
          </w:p>
        </w:tc>
        <w:tc>
          <w:tcPr>
            <w:tcW w:w="1077" w:type="dxa"/>
          </w:tcPr>
          <w:p w14:paraId="7474DA4F">
            <w:pPr>
              <w:spacing w:line="400" w:lineRule="exact"/>
              <w:rPr>
                <w:rFonts w:hint="eastAsia" w:asciiTheme="minorEastAsia" w:hAnsiTheme="minorEastAsia" w:eastAsiaTheme="minorEastAsia" w:cstheme="minorEastAsia"/>
                <w:color w:val="auto"/>
                <w:sz w:val="24"/>
                <w:szCs w:val="24"/>
              </w:rPr>
            </w:pPr>
          </w:p>
        </w:tc>
        <w:tc>
          <w:tcPr>
            <w:tcW w:w="964" w:type="dxa"/>
          </w:tcPr>
          <w:p w14:paraId="41E7EBE8">
            <w:pPr>
              <w:spacing w:line="400" w:lineRule="exact"/>
              <w:rPr>
                <w:rFonts w:hint="eastAsia" w:asciiTheme="minorEastAsia" w:hAnsiTheme="minorEastAsia" w:eastAsiaTheme="minorEastAsia" w:cstheme="minorEastAsia"/>
                <w:color w:val="auto"/>
                <w:sz w:val="24"/>
                <w:szCs w:val="24"/>
              </w:rPr>
            </w:pPr>
          </w:p>
        </w:tc>
        <w:tc>
          <w:tcPr>
            <w:tcW w:w="2117" w:type="dxa"/>
          </w:tcPr>
          <w:p w14:paraId="7951E9A3">
            <w:pPr>
              <w:spacing w:line="400" w:lineRule="exact"/>
              <w:rPr>
                <w:rFonts w:hint="eastAsia" w:asciiTheme="minorEastAsia" w:hAnsiTheme="minorEastAsia" w:eastAsiaTheme="minorEastAsia" w:cstheme="minorEastAsia"/>
                <w:color w:val="auto"/>
                <w:sz w:val="24"/>
                <w:szCs w:val="24"/>
              </w:rPr>
            </w:pPr>
          </w:p>
        </w:tc>
        <w:tc>
          <w:tcPr>
            <w:tcW w:w="1644" w:type="dxa"/>
          </w:tcPr>
          <w:p w14:paraId="567D018F">
            <w:pPr>
              <w:spacing w:line="400" w:lineRule="exact"/>
              <w:rPr>
                <w:rFonts w:hint="eastAsia" w:asciiTheme="minorEastAsia" w:hAnsiTheme="minorEastAsia" w:eastAsiaTheme="minorEastAsia" w:cstheme="minorEastAsia"/>
                <w:color w:val="auto"/>
                <w:sz w:val="24"/>
                <w:szCs w:val="24"/>
              </w:rPr>
            </w:pPr>
          </w:p>
        </w:tc>
        <w:tc>
          <w:tcPr>
            <w:tcW w:w="964" w:type="dxa"/>
          </w:tcPr>
          <w:p w14:paraId="14B1A1CB">
            <w:pPr>
              <w:spacing w:line="400" w:lineRule="exact"/>
              <w:rPr>
                <w:rFonts w:hint="eastAsia" w:asciiTheme="minorEastAsia" w:hAnsiTheme="minorEastAsia" w:eastAsiaTheme="minorEastAsia" w:cstheme="minorEastAsia"/>
                <w:color w:val="auto"/>
                <w:sz w:val="24"/>
                <w:szCs w:val="24"/>
              </w:rPr>
            </w:pPr>
          </w:p>
        </w:tc>
      </w:tr>
    </w:tbl>
    <w:p w14:paraId="5689A200">
      <w:pPr>
        <w:pStyle w:val="230"/>
        <w:spacing w:before="0" w:beforeAutospacing="0" w:after="0" w:afterAutospacing="0" w:line="580" w:lineRule="exact"/>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投标人（加盖电子公章）:</w:t>
      </w:r>
      <w:r>
        <w:rPr>
          <w:rFonts w:hint="eastAsia" w:asciiTheme="minorEastAsia" w:hAnsiTheme="minorEastAsia" w:eastAsiaTheme="minorEastAsia" w:cstheme="minorEastAsia"/>
          <w:color w:val="auto"/>
        </w:rPr>
        <w:tab/>
      </w:r>
    </w:p>
    <w:p w14:paraId="63CA56B9">
      <w:pPr>
        <w:pStyle w:val="230"/>
        <w:spacing w:before="0" w:beforeAutospacing="0" w:after="0" w:afterAutospacing="0" w:line="580" w:lineRule="exact"/>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授权代表（签字）：</w:t>
      </w:r>
      <w:r>
        <w:rPr>
          <w:rFonts w:hint="eastAsia" w:asciiTheme="minorEastAsia" w:hAnsiTheme="minorEastAsia" w:eastAsiaTheme="minorEastAsia" w:cstheme="minorEastAsia"/>
          <w:color w:val="auto"/>
        </w:rPr>
        <w:tab/>
      </w:r>
    </w:p>
    <w:p w14:paraId="646DD1A5">
      <w:pPr>
        <w:pStyle w:val="230"/>
        <w:spacing w:before="0" w:beforeAutospacing="0" w:after="0" w:afterAutospacing="0" w:line="580" w:lineRule="exact"/>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日</w:t>
      </w:r>
      <w:r>
        <w:rPr>
          <w:rFonts w:hint="eastAsia" w:asciiTheme="minorEastAsia" w:hAnsiTheme="minorEastAsia" w:eastAsiaTheme="minorEastAsia" w:cstheme="minorEastAsia"/>
          <w:color w:val="auto"/>
        </w:rPr>
        <w:tab/>
      </w:r>
      <w:r>
        <w:rPr>
          <w:rFonts w:hint="eastAsia" w:asciiTheme="minorEastAsia" w:hAnsiTheme="minorEastAsia" w:eastAsiaTheme="minorEastAsia" w:cstheme="minorEastAsia"/>
          <w:color w:val="auto"/>
        </w:rPr>
        <w:t>期：</w:t>
      </w:r>
      <w:r>
        <w:rPr>
          <w:rFonts w:hint="eastAsia" w:asciiTheme="minorEastAsia" w:hAnsiTheme="minorEastAsia" w:eastAsiaTheme="minorEastAsia" w:cstheme="minorEastAsia"/>
          <w:color w:val="auto"/>
        </w:rPr>
        <w:tab/>
      </w:r>
      <w:r>
        <w:rPr>
          <w:rFonts w:hint="eastAsia" w:asciiTheme="minorEastAsia" w:hAnsiTheme="minorEastAsia" w:eastAsiaTheme="minorEastAsia" w:cstheme="minorEastAsia"/>
          <w:color w:val="auto"/>
        </w:rPr>
        <w:t xml:space="preserve">  年</w:t>
      </w:r>
      <w:r>
        <w:rPr>
          <w:rFonts w:hint="eastAsia" w:asciiTheme="minorEastAsia" w:hAnsiTheme="minorEastAsia" w:eastAsiaTheme="minorEastAsia" w:cstheme="minorEastAsia"/>
          <w:color w:val="auto"/>
        </w:rPr>
        <w:tab/>
      </w:r>
      <w:r>
        <w:rPr>
          <w:rFonts w:hint="eastAsia" w:asciiTheme="minorEastAsia" w:hAnsiTheme="minorEastAsia" w:eastAsiaTheme="minorEastAsia" w:cstheme="minorEastAsia"/>
          <w:color w:val="auto"/>
        </w:rPr>
        <w:t xml:space="preserve">  月</w:t>
      </w:r>
      <w:r>
        <w:rPr>
          <w:rFonts w:hint="eastAsia" w:asciiTheme="minorEastAsia" w:hAnsiTheme="minorEastAsia" w:eastAsiaTheme="minorEastAsia" w:cstheme="minorEastAsia"/>
          <w:color w:val="auto"/>
        </w:rPr>
        <w:tab/>
      </w:r>
      <w:r>
        <w:rPr>
          <w:rFonts w:hint="eastAsia" w:asciiTheme="minorEastAsia" w:hAnsiTheme="minorEastAsia" w:eastAsiaTheme="minorEastAsia" w:cstheme="minorEastAsia"/>
          <w:color w:val="auto"/>
        </w:rPr>
        <w:t xml:space="preserve">  日</w:t>
      </w:r>
    </w:p>
    <w:p w14:paraId="641089FF">
      <w:pPr>
        <w:spacing w:line="580" w:lineRule="exact"/>
        <w:rPr>
          <w:rFonts w:hint="eastAsia" w:asciiTheme="minorEastAsia" w:hAnsiTheme="minorEastAsia" w:eastAsiaTheme="minorEastAsia" w:cstheme="minorEastAsia"/>
          <w:color w:val="auto"/>
          <w:sz w:val="24"/>
          <w:szCs w:val="24"/>
        </w:rPr>
      </w:pPr>
    </w:p>
    <w:p w14:paraId="298A8167">
      <w:pPr>
        <w:pStyle w:val="43"/>
        <w:rPr>
          <w:rFonts w:hint="eastAsia" w:asciiTheme="minorEastAsia" w:hAnsiTheme="minorEastAsia" w:eastAsiaTheme="minorEastAsia" w:cstheme="minorEastAsia"/>
          <w:color w:val="auto"/>
          <w:lang w:eastAsia="zh-CN"/>
        </w:rPr>
      </w:pPr>
    </w:p>
    <w:p w14:paraId="6BB4F196">
      <w:pPr>
        <w:pStyle w:val="43"/>
        <w:rPr>
          <w:rFonts w:hint="eastAsia" w:asciiTheme="minorEastAsia" w:hAnsiTheme="minorEastAsia" w:eastAsiaTheme="minorEastAsia" w:cstheme="minorEastAsia"/>
          <w:color w:val="auto"/>
          <w:lang w:eastAsia="zh-CN"/>
        </w:rPr>
      </w:pPr>
    </w:p>
    <w:p w14:paraId="6CF099DA">
      <w:pPr>
        <w:pStyle w:val="43"/>
        <w:rPr>
          <w:rFonts w:hint="eastAsia" w:asciiTheme="minorEastAsia" w:hAnsiTheme="minorEastAsia" w:eastAsiaTheme="minorEastAsia" w:cstheme="minorEastAsia"/>
          <w:color w:val="auto"/>
          <w:lang w:eastAsia="zh-CN"/>
        </w:rPr>
      </w:pPr>
    </w:p>
    <w:p w14:paraId="2CDEB0EC">
      <w:pPr>
        <w:pStyle w:val="43"/>
        <w:rPr>
          <w:rFonts w:hint="eastAsia" w:asciiTheme="minorEastAsia" w:hAnsiTheme="minorEastAsia" w:eastAsiaTheme="minorEastAsia" w:cstheme="minorEastAsia"/>
          <w:color w:val="auto"/>
          <w:lang w:eastAsia="zh-CN"/>
        </w:rPr>
      </w:pPr>
    </w:p>
    <w:p w14:paraId="6BFECA47">
      <w:pPr>
        <w:pStyle w:val="43"/>
        <w:rPr>
          <w:rFonts w:hint="eastAsia" w:asciiTheme="minorEastAsia" w:hAnsiTheme="minorEastAsia" w:eastAsiaTheme="minorEastAsia" w:cstheme="minorEastAsia"/>
          <w:color w:val="auto"/>
          <w:lang w:eastAsia="zh-CN"/>
        </w:rPr>
      </w:pPr>
    </w:p>
    <w:p w14:paraId="67834388">
      <w:pPr>
        <w:pStyle w:val="43"/>
        <w:rPr>
          <w:rFonts w:hint="eastAsia" w:asciiTheme="minorEastAsia" w:hAnsiTheme="minorEastAsia" w:eastAsiaTheme="minorEastAsia" w:cstheme="minorEastAsia"/>
          <w:color w:val="auto"/>
          <w:lang w:eastAsia="zh-CN"/>
        </w:rPr>
      </w:pPr>
    </w:p>
    <w:p w14:paraId="05909209">
      <w:pPr>
        <w:pStyle w:val="43"/>
        <w:rPr>
          <w:rFonts w:hint="eastAsia" w:asciiTheme="minorEastAsia" w:hAnsiTheme="minorEastAsia" w:eastAsiaTheme="minorEastAsia" w:cstheme="minorEastAsia"/>
          <w:color w:val="auto"/>
          <w:lang w:eastAsia="zh-CN"/>
        </w:rPr>
      </w:pPr>
    </w:p>
    <w:p w14:paraId="43E9427A">
      <w:pPr>
        <w:pStyle w:val="43"/>
        <w:rPr>
          <w:rFonts w:hint="eastAsia" w:asciiTheme="minorEastAsia" w:hAnsiTheme="minorEastAsia" w:eastAsiaTheme="minorEastAsia" w:cstheme="minorEastAsia"/>
          <w:color w:val="auto"/>
          <w:lang w:eastAsia="zh-CN"/>
        </w:rPr>
      </w:pPr>
    </w:p>
    <w:p w14:paraId="6C4E3D4C">
      <w:pPr>
        <w:pStyle w:val="43"/>
        <w:rPr>
          <w:rFonts w:hint="eastAsia" w:asciiTheme="minorEastAsia" w:hAnsiTheme="minorEastAsia" w:eastAsiaTheme="minorEastAsia" w:cstheme="minorEastAsia"/>
          <w:color w:val="auto"/>
          <w:lang w:eastAsia="zh-CN"/>
        </w:rPr>
      </w:pPr>
    </w:p>
    <w:p w14:paraId="136886ED">
      <w:pPr>
        <w:pStyle w:val="43"/>
        <w:rPr>
          <w:rFonts w:hint="eastAsia" w:asciiTheme="minorEastAsia" w:hAnsiTheme="minorEastAsia" w:eastAsiaTheme="minorEastAsia" w:cstheme="minorEastAsia"/>
          <w:color w:val="auto"/>
          <w:lang w:eastAsia="zh-CN"/>
        </w:rPr>
      </w:pPr>
    </w:p>
    <w:p w14:paraId="490224A6">
      <w:pPr>
        <w:pStyle w:val="43"/>
        <w:rPr>
          <w:rFonts w:hint="eastAsia" w:asciiTheme="minorEastAsia" w:hAnsiTheme="minorEastAsia" w:eastAsiaTheme="minorEastAsia" w:cstheme="minorEastAsia"/>
          <w:color w:val="auto"/>
          <w:lang w:eastAsia="zh-CN"/>
        </w:rPr>
      </w:pPr>
    </w:p>
    <w:p w14:paraId="05A8DD62">
      <w:pPr>
        <w:pStyle w:val="43"/>
        <w:rPr>
          <w:rFonts w:hint="eastAsia" w:asciiTheme="minorEastAsia" w:hAnsiTheme="minorEastAsia" w:eastAsiaTheme="minorEastAsia" w:cstheme="minorEastAsia"/>
          <w:color w:val="auto"/>
          <w:lang w:eastAsia="zh-CN"/>
        </w:rPr>
      </w:pPr>
    </w:p>
    <w:p w14:paraId="1C6C99F7">
      <w:pPr>
        <w:pStyle w:val="43"/>
        <w:rPr>
          <w:rFonts w:hint="eastAsia" w:asciiTheme="minorEastAsia" w:hAnsiTheme="minorEastAsia" w:eastAsiaTheme="minorEastAsia" w:cstheme="minorEastAsia"/>
          <w:color w:val="auto"/>
          <w:lang w:eastAsia="zh-CN"/>
        </w:rPr>
      </w:pPr>
    </w:p>
    <w:p w14:paraId="54AB9C5A">
      <w:pPr>
        <w:pStyle w:val="43"/>
        <w:rPr>
          <w:rFonts w:hint="eastAsia" w:asciiTheme="minorEastAsia" w:hAnsiTheme="minorEastAsia" w:eastAsiaTheme="minorEastAsia" w:cstheme="minorEastAsia"/>
          <w:color w:val="auto"/>
          <w:lang w:eastAsia="zh-CN"/>
        </w:rPr>
      </w:pPr>
    </w:p>
    <w:p w14:paraId="0EEA3276">
      <w:pPr>
        <w:pStyle w:val="33"/>
        <w:spacing w:line="580" w:lineRule="exact"/>
        <w:ind w:firstLine="480" w:firstLineChars="200"/>
        <w:jc w:val="both"/>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rPr>
        <w:t>十二、中小企业声明函</w:t>
      </w:r>
    </w:p>
    <w:p w14:paraId="27F91CB5">
      <w:pPr>
        <w:spacing w:line="580" w:lineRule="exact"/>
        <w:jc w:val="center"/>
        <w:rPr>
          <w:rFonts w:hint="eastAsia" w:asciiTheme="minorEastAsia" w:hAnsiTheme="minorEastAsia" w:eastAsiaTheme="minorEastAsia" w:cstheme="minorEastAsia"/>
          <w:b/>
          <w:bCs/>
          <w:sz w:val="24"/>
          <w:szCs w:val="24"/>
        </w:rPr>
      </w:pPr>
      <w:bookmarkStart w:id="225" w:name="_Hlk84581158"/>
    </w:p>
    <w:p w14:paraId="0C704464">
      <w:pPr>
        <w:spacing w:line="58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中小企业声明函（服务）</w:t>
      </w:r>
    </w:p>
    <w:p w14:paraId="0CABD0FD">
      <w:pPr>
        <w:widowControl/>
        <w:spacing w:line="580" w:lineRule="exact"/>
        <w:ind w:firstLine="420"/>
        <w:jc w:val="left"/>
        <w:rPr>
          <w:rFonts w:hint="eastAsia" w:asciiTheme="minorEastAsia" w:hAnsiTheme="minorEastAsia" w:eastAsiaTheme="minorEastAsia" w:cstheme="minorEastAsia"/>
          <w:sz w:val="24"/>
          <w:szCs w:val="24"/>
        </w:rPr>
      </w:pPr>
    </w:p>
    <w:p w14:paraId="1B14C653">
      <w:pPr>
        <w:widowControl/>
        <w:spacing w:line="58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本公司（联合体）郑重声明，根据《政府采购促进中小 企业发展管理办法》（财库〔2020〕46号）的规定，本公司 （联合体）参加</w:t>
      </w:r>
      <w:r>
        <w:rPr>
          <w:rFonts w:hint="eastAsia" w:asciiTheme="minorEastAsia" w:hAnsiTheme="minorEastAsia" w:eastAsiaTheme="minorEastAsia" w:cstheme="minorEastAsia"/>
          <w:sz w:val="24"/>
          <w:szCs w:val="24"/>
          <w:u w:val="single"/>
        </w:rPr>
        <w:t>（单位名称）</w:t>
      </w:r>
      <w:r>
        <w:rPr>
          <w:rFonts w:hint="eastAsia" w:asciiTheme="minorEastAsia" w:hAnsiTheme="minorEastAsia" w:eastAsiaTheme="minorEastAsia" w:cstheme="minorEastAsia"/>
          <w:sz w:val="24"/>
          <w:szCs w:val="24"/>
        </w:rPr>
        <w:t>的</w:t>
      </w:r>
      <w:r>
        <w:rPr>
          <w:rFonts w:hint="eastAsia" w:asciiTheme="minorEastAsia" w:hAnsiTheme="minorEastAsia" w:eastAsiaTheme="minorEastAsia" w:cstheme="minorEastAsia"/>
          <w:sz w:val="24"/>
          <w:szCs w:val="24"/>
          <w:u w:val="single"/>
        </w:rPr>
        <w:t>（项目名称）</w:t>
      </w:r>
      <w:r>
        <w:rPr>
          <w:rFonts w:hint="eastAsia" w:asciiTheme="minorEastAsia" w:hAnsiTheme="minorEastAsia" w:eastAsiaTheme="minorEastAsia" w:cstheme="minorEastAsia"/>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14:paraId="133C02C9">
      <w:pPr>
        <w:widowControl/>
        <w:spacing w:line="58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u w:val="single"/>
        </w:rPr>
        <w:t>（标的名称）</w:t>
      </w:r>
      <w:r>
        <w:rPr>
          <w:rFonts w:hint="eastAsia" w:asciiTheme="minorEastAsia" w:hAnsiTheme="minorEastAsia" w:eastAsiaTheme="minorEastAsia" w:cstheme="minorEastAsia"/>
          <w:sz w:val="24"/>
          <w:szCs w:val="24"/>
        </w:rPr>
        <w:t>,属于</w:t>
      </w:r>
      <w:r>
        <w:rPr>
          <w:rFonts w:hint="eastAsia" w:asciiTheme="minorEastAsia" w:hAnsiTheme="minorEastAsia" w:eastAsiaTheme="minorEastAsia" w:cstheme="minorEastAsia"/>
          <w:sz w:val="24"/>
          <w:szCs w:val="24"/>
          <w:u w:val="single"/>
        </w:rPr>
        <w:t>（招标文件中明确的所属行业）</w:t>
      </w:r>
      <w:r>
        <w:rPr>
          <w:rFonts w:hint="eastAsia" w:asciiTheme="minorEastAsia" w:hAnsiTheme="minorEastAsia" w:eastAsiaTheme="minorEastAsia" w:cstheme="minorEastAsia"/>
          <w:sz w:val="24"/>
          <w:szCs w:val="24"/>
        </w:rPr>
        <w:t>, 承建（承接）企业为</w:t>
      </w:r>
      <w:r>
        <w:rPr>
          <w:rFonts w:hint="eastAsia" w:asciiTheme="minorEastAsia" w:hAnsiTheme="minorEastAsia" w:eastAsiaTheme="minorEastAsia" w:cstheme="minorEastAsia"/>
          <w:sz w:val="24"/>
          <w:szCs w:val="24"/>
          <w:u w:val="single"/>
        </w:rPr>
        <w:t>（企业名称）</w:t>
      </w:r>
      <w:r>
        <w:rPr>
          <w:rFonts w:hint="eastAsia" w:asciiTheme="minorEastAsia" w:hAnsiTheme="minorEastAsia" w:eastAsiaTheme="minorEastAsia" w:cstheme="minorEastAsia"/>
          <w:sz w:val="24"/>
          <w:szCs w:val="24"/>
        </w:rPr>
        <w:t>,从业人员</w:t>
      </w:r>
      <w:r>
        <w:rPr>
          <w:rFonts w:hint="eastAsia" w:asciiTheme="minorEastAsia" w:hAnsiTheme="minorEastAsia" w:eastAsiaTheme="minorEastAsia" w:cstheme="minorEastAsia"/>
          <w:sz w:val="24"/>
          <w:szCs w:val="24"/>
          <w:u w:val="single"/>
        </w:rPr>
        <w:tab/>
      </w:r>
      <w:r>
        <w:rPr>
          <w:rFonts w:hint="eastAsia" w:asciiTheme="minorEastAsia" w:hAnsiTheme="minorEastAsia" w:eastAsiaTheme="minorEastAsia" w:cstheme="minorEastAsia"/>
          <w:sz w:val="24"/>
          <w:szCs w:val="24"/>
          <w:u w:val="single"/>
        </w:rPr>
        <w:t xml:space="preserve">   人</w:t>
      </w:r>
      <w:r>
        <w:rPr>
          <w:rFonts w:hint="eastAsia" w:asciiTheme="minorEastAsia" w:hAnsiTheme="minorEastAsia" w:eastAsiaTheme="minorEastAsia" w:cstheme="minorEastAsia"/>
          <w:sz w:val="24"/>
          <w:szCs w:val="24"/>
        </w:rPr>
        <w:t>，营业收入为</w:t>
      </w:r>
      <w:r>
        <w:rPr>
          <w:rFonts w:hint="eastAsia" w:asciiTheme="minorEastAsia" w:hAnsiTheme="minorEastAsia" w:eastAsiaTheme="minorEastAsia" w:cstheme="minorEastAsia"/>
          <w:sz w:val="24"/>
          <w:szCs w:val="24"/>
          <w:u w:val="single"/>
        </w:rPr>
        <w:tab/>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万元，资产总额为</w:t>
      </w:r>
      <w:r>
        <w:rPr>
          <w:rFonts w:hint="eastAsia" w:asciiTheme="minorEastAsia" w:hAnsiTheme="minorEastAsia" w:eastAsiaTheme="minorEastAsia" w:cstheme="minorEastAsia"/>
          <w:sz w:val="24"/>
          <w:szCs w:val="24"/>
          <w:u w:val="single"/>
        </w:rPr>
        <w:tab/>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万元，属于</w:t>
      </w:r>
      <w:r>
        <w:rPr>
          <w:rFonts w:hint="eastAsia" w:asciiTheme="minorEastAsia" w:hAnsiTheme="minorEastAsia" w:eastAsiaTheme="minorEastAsia" w:cstheme="minorEastAsia"/>
          <w:sz w:val="24"/>
          <w:szCs w:val="24"/>
          <w:u w:val="single"/>
        </w:rPr>
        <w:t>（中型企业、小型企业、微型企业）</w:t>
      </w:r>
      <w:r>
        <w:rPr>
          <w:rFonts w:hint="eastAsia" w:asciiTheme="minorEastAsia" w:hAnsiTheme="minorEastAsia" w:eastAsiaTheme="minorEastAsia" w:cstheme="minorEastAsia"/>
          <w:sz w:val="24"/>
          <w:szCs w:val="24"/>
        </w:rPr>
        <w:t>；</w:t>
      </w:r>
    </w:p>
    <w:p w14:paraId="686843B9">
      <w:pPr>
        <w:widowControl/>
        <w:spacing w:line="58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r>
        <w:rPr>
          <w:rFonts w:hint="eastAsia" w:asciiTheme="minorEastAsia" w:hAnsiTheme="minorEastAsia" w:eastAsiaTheme="minorEastAsia" w:cstheme="minorEastAsia"/>
          <w:sz w:val="24"/>
          <w:szCs w:val="24"/>
          <w:u w:val="single"/>
        </w:rPr>
        <w:t>（标的名称）,</w:t>
      </w:r>
      <w:r>
        <w:rPr>
          <w:rFonts w:hint="eastAsia" w:asciiTheme="minorEastAsia" w:hAnsiTheme="minorEastAsia" w:eastAsiaTheme="minorEastAsia" w:cstheme="minorEastAsia"/>
          <w:sz w:val="24"/>
          <w:szCs w:val="24"/>
        </w:rPr>
        <w:t>属于</w:t>
      </w:r>
      <w:r>
        <w:rPr>
          <w:rFonts w:hint="eastAsia" w:asciiTheme="minorEastAsia" w:hAnsiTheme="minorEastAsia" w:eastAsiaTheme="minorEastAsia" w:cstheme="minorEastAsia"/>
          <w:sz w:val="24"/>
          <w:szCs w:val="24"/>
          <w:u w:val="single"/>
        </w:rPr>
        <w:t>（招标文件中明确的所属行业）</w:t>
      </w:r>
      <w:r>
        <w:rPr>
          <w:rFonts w:hint="eastAsia" w:asciiTheme="minorEastAsia" w:hAnsiTheme="minorEastAsia" w:eastAsiaTheme="minorEastAsia" w:cstheme="minorEastAsia"/>
          <w:sz w:val="24"/>
          <w:szCs w:val="24"/>
        </w:rPr>
        <w:t>, 承建（承接）企业为</w:t>
      </w:r>
      <w:r>
        <w:rPr>
          <w:rFonts w:hint="eastAsia" w:asciiTheme="minorEastAsia" w:hAnsiTheme="minorEastAsia" w:eastAsiaTheme="minorEastAsia" w:cstheme="minorEastAsia"/>
          <w:sz w:val="24"/>
          <w:szCs w:val="24"/>
          <w:u w:val="single"/>
        </w:rPr>
        <w:t>（企业名称）</w:t>
      </w:r>
      <w:r>
        <w:rPr>
          <w:rFonts w:hint="eastAsia" w:asciiTheme="minorEastAsia" w:hAnsiTheme="minorEastAsia" w:eastAsiaTheme="minorEastAsia" w:cstheme="minorEastAsia"/>
          <w:sz w:val="24"/>
          <w:szCs w:val="24"/>
        </w:rPr>
        <w:t>,从业人员</w:t>
      </w:r>
      <w:r>
        <w:rPr>
          <w:rFonts w:hint="eastAsia" w:asciiTheme="minorEastAsia" w:hAnsiTheme="minorEastAsia" w:eastAsiaTheme="minorEastAsia" w:cstheme="minorEastAsia"/>
          <w:sz w:val="24"/>
          <w:szCs w:val="24"/>
          <w:u w:val="single"/>
        </w:rPr>
        <w:tab/>
      </w:r>
      <w:r>
        <w:rPr>
          <w:rFonts w:hint="eastAsia" w:asciiTheme="minorEastAsia" w:hAnsiTheme="minorEastAsia" w:eastAsiaTheme="minorEastAsia" w:cstheme="minorEastAsia"/>
          <w:sz w:val="24"/>
          <w:szCs w:val="24"/>
          <w:u w:val="single"/>
        </w:rPr>
        <w:t xml:space="preserve">   人</w:t>
      </w:r>
      <w:r>
        <w:rPr>
          <w:rFonts w:hint="eastAsia" w:asciiTheme="minorEastAsia" w:hAnsiTheme="minorEastAsia" w:eastAsiaTheme="minorEastAsia" w:cstheme="minorEastAsia"/>
          <w:sz w:val="24"/>
          <w:szCs w:val="24"/>
        </w:rPr>
        <w:t>，营业收入为</w:t>
      </w:r>
      <w:r>
        <w:rPr>
          <w:rFonts w:hint="eastAsia" w:asciiTheme="minorEastAsia" w:hAnsiTheme="minorEastAsia" w:eastAsiaTheme="minorEastAsia" w:cstheme="minorEastAsia"/>
          <w:sz w:val="24"/>
          <w:szCs w:val="24"/>
          <w:u w:val="single"/>
        </w:rPr>
        <w:tab/>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万元，资产总额为</w:t>
      </w:r>
      <w:r>
        <w:rPr>
          <w:rFonts w:hint="eastAsia" w:asciiTheme="minorEastAsia" w:hAnsiTheme="minorEastAsia" w:eastAsiaTheme="minorEastAsia" w:cstheme="minorEastAsia"/>
          <w:sz w:val="24"/>
          <w:szCs w:val="24"/>
          <w:u w:val="single"/>
        </w:rPr>
        <w:tab/>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万元，属于</w:t>
      </w:r>
      <w:r>
        <w:rPr>
          <w:rFonts w:hint="eastAsia" w:asciiTheme="minorEastAsia" w:hAnsiTheme="minorEastAsia" w:eastAsiaTheme="minorEastAsia" w:cstheme="minorEastAsia"/>
          <w:sz w:val="24"/>
          <w:szCs w:val="24"/>
          <w:u w:val="single"/>
        </w:rPr>
        <w:t>（中型企业、小型企业、微型企业）</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rPr>
        <w:tab/>
      </w:r>
    </w:p>
    <w:p w14:paraId="357DAA71">
      <w:pPr>
        <w:widowControl/>
        <w:spacing w:line="58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以上企业，不属于大企业的分支机构，不存在控股股东为大企业的情形，也不存在与大企业的负责人为同一人的情形。</w:t>
      </w:r>
    </w:p>
    <w:p w14:paraId="10843596">
      <w:pPr>
        <w:widowControl/>
        <w:spacing w:line="58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本企业对上述声明内容的真实性负责。如有虚假，将依法承担相应责任。</w:t>
      </w:r>
    </w:p>
    <w:bookmarkEnd w:id="225"/>
    <w:p w14:paraId="717E22B4">
      <w:pPr>
        <w:spacing w:line="580" w:lineRule="exact"/>
        <w:ind w:firstLine="3240" w:firstLineChars="1350"/>
        <w:rPr>
          <w:rFonts w:hint="eastAsia" w:asciiTheme="minorEastAsia" w:hAnsiTheme="minorEastAsia" w:eastAsiaTheme="minorEastAsia" w:cstheme="minorEastAsia"/>
          <w:color w:val="auto"/>
          <w:kern w:val="2"/>
          <w:sz w:val="24"/>
          <w:szCs w:val="24"/>
        </w:rPr>
      </w:pPr>
    </w:p>
    <w:p w14:paraId="5611B8B2">
      <w:pPr>
        <w:spacing w:line="580" w:lineRule="exact"/>
        <w:ind w:firstLine="2160" w:firstLineChars="900"/>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color w:val="auto"/>
          <w:kern w:val="2"/>
          <w:sz w:val="24"/>
          <w:szCs w:val="24"/>
        </w:rPr>
        <w:t>企业名称</w:t>
      </w:r>
      <w:r>
        <w:rPr>
          <w:rFonts w:hint="eastAsia" w:asciiTheme="minorEastAsia" w:hAnsiTheme="minorEastAsia" w:eastAsiaTheme="minorEastAsia" w:cstheme="minorEastAsia"/>
          <w:color w:val="auto"/>
          <w:sz w:val="24"/>
          <w:szCs w:val="24"/>
        </w:rPr>
        <w:t>（加盖电子公章）</w:t>
      </w:r>
      <w:r>
        <w:rPr>
          <w:rFonts w:hint="eastAsia" w:asciiTheme="minorEastAsia" w:hAnsiTheme="minorEastAsia" w:eastAsiaTheme="minorEastAsia" w:cstheme="minorEastAsia"/>
          <w:color w:val="auto"/>
          <w:kern w:val="2"/>
          <w:sz w:val="24"/>
          <w:szCs w:val="24"/>
        </w:rPr>
        <w:t>：</w:t>
      </w:r>
    </w:p>
    <w:p w14:paraId="00E77A28">
      <w:pPr>
        <w:spacing w:line="580" w:lineRule="exact"/>
        <w:ind w:firstLine="4560" w:firstLineChars="1900"/>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color w:val="auto"/>
          <w:kern w:val="2"/>
          <w:sz w:val="24"/>
          <w:szCs w:val="24"/>
        </w:rPr>
        <w:t>日期：</w:t>
      </w:r>
    </w:p>
    <w:p w14:paraId="0C1837B7">
      <w:pPr>
        <w:spacing w:line="580" w:lineRule="exact"/>
        <w:rPr>
          <w:rFonts w:hint="eastAsia" w:asciiTheme="minorEastAsia" w:hAnsiTheme="minorEastAsia" w:eastAsiaTheme="minorEastAsia" w:cstheme="minorEastAsia"/>
          <w:color w:val="auto"/>
          <w:kern w:val="2"/>
          <w:sz w:val="24"/>
          <w:szCs w:val="24"/>
        </w:rPr>
      </w:pPr>
    </w:p>
    <w:p w14:paraId="4B45FCD0">
      <w:pPr>
        <w:spacing w:line="500" w:lineRule="exact"/>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color w:val="auto"/>
          <w:kern w:val="2"/>
          <w:sz w:val="24"/>
          <w:szCs w:val="24"/>
        </w:rPr>
        <w:t>注：从业人员、营业收入、资产总额填报上一年度数据，无上一年度数据的新成立企业可不填报。</w:t>
      </w:r>
    </w:p>
    <w:p w14:paraId="73FE1823">
      <w:pPr>
        <w:spacing w:line="500" w:lineRule="exact"/>
        <w:jc w:val="left"/>
        <w:outlineLvl w:val="1"/>
        <w:rPr>
          <w:rFonts w:hint="eastAsia" w:asciiTheme="minorEastAsia" w:hAnsiTheme="minorEastAsia" w:eastAsiaTheme="minorEastAsia" w:cstheme="minorEastAsia"/>
          <w:color w:val="auto"/>
          <w:sz w:val="24"/>
          <w:szCs w:val="24"/>
        </w:rPr>
      </w:pPr>
    </w:p>
    <w:p w14:paraId="53F63AFA">
      <w:pPr>
        <w:pStyle w:val="43"/>
        <w:rPr>
          <w:rFonts w:hint="eastAsia" w:asciiTheme="minorEastAsia" w:hAnsiTheme="minorEastAsia" w:eastAsiaTheme="minorEastAsia" w:cstheme="minorEastAsia"/>
          <w:color w:val="auto"/>
          <w:lang w:eastAsia="zh-CN"/>
        </w:rPr>
      </w:pPr>
    </w:p>
    <w:p w14:paraId="6C3FE5F1">
      <w:pPr>
        <w:pStyle w:val="43"/>
        <w:rPr>
          <w:rFonts w:hint="eastAsia" w:asciiTheme="minorEastAsia" w:hAnsiTheme="minorEastAsia" w:eastAsiaTheme="minorEastAsia" w:cstheme="minorEastAsia"/>
          <w:color w:val="auto"/>
          <w:lang w:eastAsia="zh-CN"/>
        </w:rPr>
      </w:pPr>
    </w:p>
    <w:p w14:paraId="2930CB0B">
      <w:pPr>
        <w:pStyle w:val="43"/>
        <w:rPr>
          <w:rFonts w:hint="eastAsia" w:asciiTheme="minorEastAsia" w:hAnsiTheme="minorEastAsia" w:eastAsiaTheme="minorEastAsia" w:cstheme="minorEastAsia"/>
          <w:color w:val="auto"/>
          <w:lang w:eastAsia="zh-CN"/>
        </w:rPr>
      </w:pPr>
    </w:p>
    <w:p w14:paraId="396CDE46">
      <w:pPr>
        <w:pStyle w:val="43"/>
        <w:rPr>
          <w:rFonts w:hint="eastAsia" w:asciiTheme="minorEastAsia" w:hAnsiTheme="minorEastAsia" w:eastAsiaTheme="minorEastAsia" w:cstheme="minorEastAsia"/>
          <w:color w:val="auto"/>
          <w:lang w:eastAsia="zh-CN"/>
        </w:rPr>
      </w:pPr>
    </w:p>
    <w:p w14:paraId="2171B8EE">
      <w:pPr>
        <w:pStyle w:val="43"/>
        <w:rPr>
          <w:rFonts w:hint="eastAsia" w:asciiTheme="minorEastAsia" w:hAnsiTheme="minorEastAsia" w:eastAsiaTheme="minorEastAsia" w:cstheme="minorEastAsia"/>
          <w:color w:val="auto"/>
          <w:lang w:eastAsia="zh-CN"/>
        </w:rPr>
      </w:pPr>
    </w:p>
    <w:p w14:paraId="324FD26E">
      <w:pPr>
        <w:pStyle w:val="43"/>
        <w:rPr>
          <w:rFonts w:hint="eastAsia" w:asciiTheme="minorEastAsia" w:hAnsiTheme="minorEastAsia" w:eastAsiaTheme="minorEastAsia" w:cstheme="minorEastAsia"/>
          <w:color w:val="auto"/>
          <w:lang w:eastAsia="zh-CN"/>
        </w:rPr>
      </w:pPr>
    </w:p>
    <w:p w14:paraId="557C0326">
      <w:pPr>
        <w:pStyle w:val="43"/>
        <w:rPr>
          <w:rFonts w:hint="eastAsia" w:asciiTheme="minorEastAsia" w:hAnsiTheme="minorEastAsia" w:eastAsiaTheme="minorEastAsia" w:cstheme="minorEastAsia"/>
          <w:color w:val="auto"/>
          <w:lang w:eastAsia="zh-CN"/>
        </w:rPr>
      </w:pPr>
    </w:p>
    <w:p w14:paraId="2C541D8C">
      <w:pPr>
        <w:pStyle w:val="43"/>
        <w:rPr>
          <w:rFonts w:hint="eastAsia" w:asciiTheme="minorEastAsia" w:hAnsiTheme="minorEastAsia" w:eastAsiaTheme="minorEastAsia" w:cstheme="minorEastAsia"/>
          <w:color w:val="auto"/>
          <w:lang w:eastAsia="zh-CN"/>
        </w:rPr>
      </w:pPr>
    </w:p>
    <w:p w14:paraId="36684049">
      <w:pPr>
        <w:pStyle w:val="43"/>
        <w:rPr>
          <w:rFonts w:hint="eastAsia" w:asciiTheme="minorEastAsia" w:hAnsiTheme="minorEastAsia" w:eastAsiaTheme="minorEastAsia" w:cstheme="minorEastAsia"/>
          <w:color w:val="auto"/>
          <w:lang w:eastAsia="zh-CN"/>
        </w:rPr>
      </w:pPr>
    </w:p>
    <w:p w14:paraId="7F48DEF5">
      <w:pPr>
        <w:pStyle w:val="43"/>
        <w:rPr>
          <w:rFonts w:hint="eastAsia" w:asciiTheme="minorEastAsia" w:hAnsiTheme="minorEastAsia" w:eastAsiaTheme="minorEastAsia" w:cstheme="minorEastAsia"/>
          <w:color w:val="auto"/>
          <w:lang w:eastAsia="zh-CN"/>
        </w:rPr>
      </w:pPr>
    </w:p>
    <w:p w14:paraId="524EF252">
      <w:pPr>
        <w:pStyle w:val="43"/>
        <w:rPr>
          <w:rFonts w:hint="eastAsia" w:asciiTheme="minorEastAsia" w:hAnsiTheme="minorEastAsia" w:eastAsiaTheme="minorEastAsia" w:cstheme="minorEastAsia"/>
          <w:color w:val="auto"/>
          <w:lang w:eastAsia="zh-CN"/>
        </w:rPr>
      </w:pPr>
    </w:p>
    <w:p w14:paraId="151BFD67">
      <w:pPr>
        <w:pStyle w:val="43"/>
        <w:rPr>
          <w:rFonts w:hint="eastAsia" w:asciiTheme="minorEastAsia" w:hAnsiTheme="minorEastAsia" w:eastAsiaTheme="minorEastAsia" w:cstheme="minorEastAsia"/>
          <w:color w:val="auto"/>
          <w:lang w:eastAsia="zh-CN"/>
        </w:rPr>
      </w:pPr>
    </w:p>
    <w:p w14:paraId="141235DA">
      <w:pPr>
        <w:pStyle w:val="43"/>
        <w:rPr>
          <w:rFonts w:hint="eastAsia" w:asciiTheme="minorEastAsia" w:hAnsiTheme="minorEastAsia" w:eastAsiaTheme="minorEastAsia" w:cstheme="minorEastAsia"/>
          <w:color w:val="auto"/>
          <w:lang w:eastAsia="zh-CN"/>
        </w:rPr>
      </w:pPr>
    </w:p>
    <w:p w14:paraId="49A2E0A4">
      <w:pPr>
        <w:pStyle w:val="43"/>
        <w:rPr>
          <w:rFonts w:hint="eastAsia" w:asciiTheme="minorEastAsia" w:hAnsiTheme="minorEastAsia" w:eastAsiaTheme="minorEastAsia" w:cstheme="minorEastAsia"/>
          <w:color w:val="auto"/>
          <w:lang w:eastAsia="zh-CN"/>
        </w:rPr>
      </w:pPr>
    </w:p>
    <w:p w14:paraId="28163573">
      <w:pPr>
        <w:pStyle w:val="43"/>
        <w:rPr>
          <w:rFonts w:hint="eastAsia" w:asciiTheme="minorEastAsia" w:hAnsiTheme="minorEastAsia" w:eastAsiaTheme="minorEastAsia" w:cstheme="minorEastAsia"/>
          <w:color w:val="auto"/>
          <w:lang w:eastAsia="zh-CN"/>
        </w:rPr>
      </w:pPr>
    </w:p>
    <w:p w14:paraId="60B3E36F">
      <w:pPr>
        <w:pStyle w:val="43"/>
        <w:rPr>
          <w:rFonts w:hint="eastAsia" w:asciiTheme="minorEastAsia" w:hAnsiTheme="minorEastAsia" w:eastAsiaTheme="minorEastAsia" w:cstheme="minorEastAsia"/>
          <w:color w:val="auto"/>
          <w:lang w:eastAsia="zh-CN"/>
        </w:rPr>
      </w:pPr>
    </w:p>
    <w:p w14:paraId="590BD6F3">
      <w:pPr>
        <w:pStyle w:val="43"/>
        <w:rPr>
          <w:rFonts w:hint="eastAsia" w:asciiTheme="minorEastAsia" w:hAnsiTheme="minorEastAsia" w:eastAsiaTheme="minorEastAsia" w:cstheme="minorEastAsia"/>
          <w:color w:val="auto"/>
          <w:lang w:eastAsia="zh-CN"/>
        </w:rPr>
      </w:pPr>
    </w:p>
    <w:p w14:paraId="325F6482">
      <w:pPr>
        <w:pStyle w:val="43"/>
        <w:rPr>
          <w:rFonts w:hint="eastAsia" w:asciiTheme="minorEastAsia" w:hAnsiTheme="minorEastAsia" w:eastAsiaTheme="minorEastAsia" w:cstheme="minorEastAsia"/>
          <w:color w:val="auto"/>
          <w:lang w:eastAsia="zh-CN"/>
        </w:rPr>
      </w:pPr>
    </w:p>
    <w:p w14:paraId="2B8917C0">
      <w:pPr>
        <w:pStyle w:val="43"/>
        <w:rPr>
          <w:rFonts w:hint="eastAsia" w:asciiTheme="minorEastAsia" w:hAnsiTheme="minorEastAsia" w:eastAsiaTheme="minorEastAsia" w:cstheme="minorEastAsia"/>
          <w:color w:val="auto"/>
          <w:lang w:eastAsia="zh-CN"/>
        </w:rPr>
      </w:pPr>
    </w:p>
    <w:p w14:paraId="5E8F90B6">
      <w:pPr>
        <w:pStyle w:val="43"/>
        <w:rPr>
          <w:rFonts w:hint="eastAsia" w:asciiTheme="minorEastAsia" w:hAnsiTheme="minorEastAsia" w:eastAsiaTheme="minorEastAsia" w:cstheme="minorEastAsia"/>
          <w:color w:val="auto"/>
          <w:lang w:eastAsia="zh-CN"/>
        </w:rPr>
      </w:pPr>
    </w:p>
    <w:p w14:paraId="594E8490">
      <w:pPr>
        <w:pStyle w:val="43"/>
        <w:rPr>
          <w:rFonts w:hint="eastAsia" w:asciiTheme="minorEastAsia" w:hAnsiTheme="minorEastAsia" w:eastAsiaTheme="minorEastAsia" w:cstheme="minorEastAsia"/>
          <w:color w:val="auto"/>
          <w:lang w:eastAsia="zh-CN"/>
        </w:rPr>
      </w:pPr>
    </w:p>
    <w:p w14:paraId="09B84AA1">
      <w:pPr>
        <w:pStyle w:val="43"/>
        <w:rPr>
          <w:rFonts w:hint="eastAsia" w:asciiTheme="minorEastAsia" w:hAnsiTheme="minorEastAsia" w:eastAsiaTheme="minorEastAsia" w:cstheme="minorEastAsia"/>
          <w:color w:val="auto"/>
          <w:lang w:eastAsia="zh-CN"/>
        </w:rPr>
      </w:pPr>
    </w:p>
    <w:p w14:paraId="6B43A6DA">
      <w:pPr>
        <w:pStyle w:val="43"/>
        <w:rPr>
          <w:rFonts w:hint="eastAsia" w:asciiTheme="minorEastAsia" w:hAnsiTheme="minorEastAsia" w:eastAsiaTheme="minorEastAsia" w:cstheme="minorEastAsia"/>
          <w:color w:val="auto"/>
          <w:lang w:eastAsia="zh-CN"/>
        </w:rPr>
      </w:pPr>
    </w:p>
    <w:p w14:paraId="116D58C3">
      <w:pPr>
        <w:pStyle w:val="43"/>
        <w:rPr>
          <w:rFonts w:hint="eastAsia" w:asciiTheme="minorEastAsia" w:hAnsiTheme="minorEastAsia" w:eastAsiaTheme="minorEastAsia" w:cstheme="minorEastAsia"/>
          <w:color w:val="auto"/>
          <w:lang w:eastAsia="zh-CN"/>
        </w:rPr>
      </w:pPr>
    </w:p>
    <w:p w14:paraId="67438235">
      <w:pPr>
        <w:pStyle w:val="43"/>
        <w:rPr>
          <w:rFonts w:hint="eastAsia" w:asciiTheme="minorEastAsia" w:hAnsiTheme="minorEastAsia" w:eastAsiaTheme="minorEastAsia" w:cstheme="minorEastAsia"/>
          <w:color w:val="auto"/>
          <w:lang w:eastAsia="zh-CN"/>
        </w:rPr>
      </w:pPr>
    </w:p>
    <w:p w14:paraId="62F9AA1D">
      <w:pPr>
        <w:pStyle w:val="43"/>
        <w:rPr>
          <w:rFonts w:hint="eastAsia" w:asciiTheme="minorEastAsia" w:hAnsiTheme="minorEastAsia" w:eastAsiaTheme="minorEastAsia" w:cstheme="minorEastAsia"/>
          <w:color w:val="auto"/>
          <w:lang w:eastAsia="zh-CN"/>
        </w:rPr>
      </w:pPr>
    </w:p>
    <w:p w14:paraId="46A0FD76">
      <w:pPr>
        <w:pStyle w:val="43"/>
        <w:rPr>
          <w:rFonts w:hint="eastAsia" w:asciiTheme="minorEastAsia" w:hAnsiTheme="minorEastAsia" w:eastAsiaTheme="minorEastAsia" w:cstheme="minorEastAsia"/>
          <w:color w:val="auto"/>
          <w:lang w:eastAsia="zh-CN"/>
        </w:rPr>
      </w:pPr>
    </w:p>
    <w:p w14:paraId="2A2B8F9E">
      <w:pPr>
        <w:pStyle w:val="43"/>
        <w:rPr>
          <w:rFonts w:hint="eastAsia" w:asciiTheme="minorEastAsia" w:hAnsiTheme="minorEastAsia" w:eastAsiaTheme="minorEastAsia" w:cstheme="minorEastAsia"/>
          <w:color w:val="auto"/>
          <w:lang w:eastAsia="zh-CN"/>
        </w:rPr>
      </w:pPr>
    </w:p>
    <w:p w14:paraId="735E383E">
      <w:pPr>
        <w:pStyle w:val="43"/>
        <w:rPr>
          <w:rFonts w:hint="eastAsia" w:asciiTheme="minorEastAsia" w:hAnsiTheme="minorEastAsia" w:eastAsiaTheme="minorEastAsia" w:cstheme="minorEastAsia"/>
          <w:color w:val="auto"/>
          <w:lang w:eastAsia="zh-CN"/>
        </w:rPr>
      </w:pPr>
    </w:p>
    <w:p w14:paraId="3659F6A0">
      <w:pPr>
        <w:pStyle w:val="43"/>
        <w:rPr>
          <w:rFonts w:hint="eastAsia" w:asciiTheme="minorEastAsia" w:hAnsiTheme="minorEastAsia" w:eastAsiaTheme="minorEastAsia" w:cstheme="minorEastAsia"/>
          <w:color w:val="auto"/>
          <w:lang w:eastAsia="zh-CN"/>
        </w:rPr>
      </w:pPr>
    </w:p>
    <w:p w14:paraId="07724D55">
      <w:pPr>
        <w:pStyle w:val="43"/>
        <w:rPr>
          <w:rFonts w:hint="eastAsia" w:asciiTheme="minorEastAsia" w:hAnsiTheme="minorEastAsia" w:eastAsiaTheme="minorEastAsia" w:cstheme="minorEastAsia"/>
          <w:color w:val="auto"/>
          <w:lang w:eastAsia="zh-CN"/>
        </w:rPr>
      </w:pPr>
    </w:p>
    <w:p w14:paraId="4BCCAD0F">
      <w:pPr>
        <w:pStyle w:val="43"/>
        <w:rPr>
          <w:rFonts w:hint="eastAsia" w:asciiTheme="minorEastAsia" w:hAnsiTheme="minorEastAsia" w:eastAsiaTheme="minorEastAsia" w:cstheme="minorEastAsia"/>
          <w:color w:val="auto"/>
          <w:lang w:eastAsia="zh-CN"/>
        </w:rPr>
      </w:pPr>
    </w:p>
    <w:p w14:paraId="3C9234B3">
      <w:pPr>
        <w:pStyle w:val="43"/>
        <w:rPr>
          <w:rFonts w:hint="eastAsia" w:asciiTheme="minorEastAsia" w:hAnsiTheme="minorEastAsia" w:eastAsiaTheme="minorEastAsia" w:cstheme="minorEastAsia"/>
          <w:color w:val="auto"/>
          <w:lang w:eastAsia="zh-CN"/>
        </w:rPr>
      </w:pPr>
    </w:p>
    <w:p w14:paraId="67458AFE">
      <w:pPr>
        <w:pStyle w:val="43"/>
        <w:rPr>
          <w:rFonts w:hint="eastAsia" w:asciiTheme="minorEastAsia" w:hAnsiTheme="minorEastAsia" w:eastAsiaTheme="minorEastAsia" w:cstheme="minorEastAsia"/>
          <w:color w:val="auto"/>
          <w:lang w:eastAsia="zh-CN"/>
        </w:rPr>
      </w:pPr>
    </w:p>
    <w:p w14:paraId="0C8B5D95">
      <w:pPr>
        <w:pStyle w:val="43"/>
        <w:rPr>
          <w:rFonts w:hint="eastAsia" w:asciiTheme="minorEastAsia" w:hAnsiTheme="minorEastAsia" w:eastAsiaTheme="minorEastAsia" w:cstheme="minorEastAsia"/>
          <w:color w:val="auto"/>
          <w:lang w:eastAsia="zh-CN"/>
        </w:rPr>
      </w:pPr>
    </w:p>
    <w:p w14:paraId="2B48E6EE">
      <w:pPr>
        <w:pStyle w:val="43"/>
        <w:rPr>
          <w:rFonts w:hint="eastAsia" w:asciiTheme="minorEastAsia" w:hAnsiTheme="minorEastAsia" w:eastAsiaTheme="minorEastAsia" w:cstheme="minorEastAsia"/>
          <w:color w:val="auto"/>
          <w:lang w:eastAsia="zh-CN"/>
        </w:rPr>
      </w:pPr>
    </w:p>
    <w:p w14:paraId="57009ED0">
      <w:pPr>
        <w:spacing w:line="500" w:lineRule="exact"/>
        <w:ind w:firstLine="480" w:firstLineChars="200"/>
        <w:jc w:val="left"/>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Cs/>
          <w:color w:val="auto"/>
          <w:sz w:val="24"/>
          <w:szCs w:val="24"/>
        </w:rPr>
        <w:t>十三、</w:t>
      </w:r>
      <w:r>
        <w:rPr>
          <w:rFonts w:hint="eastAsia" w:asciiTheme="minorEastAsia" w:hAnsiTheme="minorEastAsia" w:eastAsiaTheme="minorEastAsia" w:cstheme="minorEastAsia"/>
          <w:color w:val="auto"/>
          <w:sz w:val="24"/>
          <w:szCs w:val="24"/>
        </w:rPr>
        <w:t>残疾人福利性单位声明函</w:t>
      </w:r>
    </w:p>
    <w:p w14:paraId="7E5E4C5A">
      <w:pPr>
        <w:spacing w:line="580" w:lineRule="exact"/>
        <w:jc w:val="center"/>
        <w:rPr>
          <w:rFonts w:hint="eastAsia" w:asciiTheme="minorEastAsia" w:hAnsiTheme="minorEastAsia" w:eastAsiaTheme="minorEastAsia" w:cstheme="minorEastAsia"/>
          <w:color w:val="auto"/>
          <w:sz w:val="24"/>
          <w:szCs w:val="24"/>
        </w:rPr>
      </w:pPr>
    </w:p>
    <w:p w14:paraId="4DD98267">
      <w:pPr>
        <w:spacing w:line="58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残疾人福利性单位声明函</w:t>
      </w:r>
    </w:p>
    <w:p w14:paraId="1C9D4678">
      <w:pPr>
        <w:spacing w:line="580" w:lineRule="exact"/>
        <w:rPr>
          <w:rFonts w:hint="eastAsia" w:asciiTheme="minorEastAsia" w:hAnsiTheme="minorEastAsia" w:eastAsiaTheme="minorEastAsia" w:cstheme="minorEastAsia"/>
          <w:color w:val="auto"/>
          <w:sz w:val="24"/>
          <w:szCs w:val="24"/>
        </w:rPr>
      </w:pPr>
    </w:p>
    <w:p w14:paraId="2C6C9863">
      <w:pPr>
        <w:spacing w:line="580" w:lineRule="exact"/>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本单位郑重声明，根据《财政部 民政部 中国残疾人联合会关于促进残疾人就业政府采购政策的通知》（财库〔2017〕141号）的规定，本单位为符合条件的残疾人福利性单位，参加</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（单位名称）采购编号为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项目（分包号：</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）的采购活动，服务全部由本单位提供。</w:t>
      </w:r>
    </w:p>
    <w:p w14:paraId="05BDFADD">
      <w:pPr>
        <w:spacing w:line="580" w:lineRule="exact"/>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本单位对上述声明的真实性负责，如有虚假，将依法承担相应责任。</w:t>
      </w:r>
    </w:p>
    <w:p w14:paraId="644DB511">
      <w:pPr>
        <w:spacing w:line="580" w:lineRule="exact"/>
        <w:rPr>
          <w:rFonts w:hint="eastAsia" w:asciiTheme="minorEastAsia" w:hAnsiTheme="minorEastAsia" w:eastAsiaTheme="minorEastAsia" w:cstheme="minorEastAsia"/>
          <w:color w:val="auto"/>
          <w:sz w:val="24"/>
          <w:szCs w:val="24"/>
        </w:rPr>
      </w:pPr>
    </w:p>
    <w:p w14:paraId="60E05822">
      <w:pPr>
        <w:spacing w:line="580" w:lineRule="exact"/>
        <w:ind w:right="180" w:firstLine="36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企业名称（加盖电子公章）：</w:t>
      </w:r>
    </w:p>
    <w:p w14:paraId="67B7A4B8">
      <w:pPr>
        <w:spacing w:line="580" w:lineRule="exact"/>
        <w:ind w:right="180" w:firstLine="36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日期：</w:t>
      </w:r>
    </w:p>
    <w:p w14:paraId="0B372540">
      <w:pPr>
        <w:spacing w:line="580" w:lineRule="exact"/>
        <w:ind w:firstLine="480"/>
        <w:rPr>
          <w:rFonts w:hint="eastAsia" w:asciiTheme="minorEastAsia" w:hAnsiTheme="minorEastAsia" w:eastAsiaTheme="minorEastAsia" w:cstheme="minorEastAsia"/>
          <w:color w:val="auto"/>
          <w:sz w:val="24"/>
          <w:szCs w:val="24"/>
        </w:rPr>
      </w:pPr>
    </w:p>
    <w:p w14:paraId="635023EB">
      <w:pPr>
        <w:spacing w:line="500" w:lineRule="exact"/>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color w:val="auto"/>
          <w:kern w:val="2"/>
          <w:sz w:val="24"/>
          <w:szCs w:val="24"/>
        </w:rPr>
        <w:t>注：1．投标人如不提供此声明函，价格将不作相应扣除。</w:t>
      </w:r>
    </w:p>
    <w:p w14:paraId="147ED9F9">
      <w:pPr>
        <w:spacing w:line="500" w:lineRule="exact"/>
        <w:ind w:firstLine="480" w:firstLineChars="200"/>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color w:val="auto"/>
          <w:kern w:val="2"/>
          <w:sz w:val="24"/>
          <w:szCs w:val="24"/>
        </w:rPr>
        <w:t>2．中标人为残疾人福利性单位的，此声明函将随中标结果同时公告，接受社会监督。</w:t>
      </w:r>
    </w:p>
    <w:p w14:paraId="617CD2A3">
      <w:pPr>
        <w:spacing w:line="580" w:lineRule="exact"/>
        <w:ind w:firstLine="480"/>
        <w:rPr>
          <w:rFonts w:hint="eastAsia" w:asciiTheme="minorEastAsia" w:hAnsiTheme="minorEastAsia" w:eastAsiaTheme="minorEastAsia" w:cstheme="minorEastAsia"/>
          <w:color w:val="auto"/>
          <w:sz w:val="24"/>
          <w:szCs w:val="24"/>
        </w:rPr>
      </w:pPr>
    </w:p>
    <w:p w14:paraId="0CA9A55D">
      <w:pPr>
        <w:spacing w:line="580" w:lineRule="exact"/>
        <w:jc w:val="center"/>
        <w:rPr>
          <w:rFonts w:hint="eastAsia" w:asciiTheme="minorEastAsia" w:hAnsiTheme="minorEastAsia" w:eastAsiaTheme="minorEastAsia" w:cstheme="minorEastAsia"/>
          <w:b/>
          <w:color w:val="auto"/>
          <w:sz w:val="24"/>
          <w:szCs w:val="24"/>
        </w:rPr>
      </w:pPr>
    </w:p>
    <w:p w14:paraId="633994B5">
      <w:pPr>
        <w:spacing w:line="580" w:lineRule="exact"/>
        <w:jc w:val="center"/>
        <w:rPr>
          <w:rFonts w:hint="eastAsia" w:asciiTheme="minorEastAsia" w:hAnsiTheme="minorEastAsia" w:eastAsiaTheme="minorEastAsia" w:cstheme="minorEastAsia"/>
          <w:b/>
          <w:color w:val="auto"/>
          <w:sz w:val="24"/>
          <w:szCs w:val="24"/>
        </w:rPr>
      </w:pPr>
    </w:p>
    <w:p w14:paraId="330ADF3D">
      <w:pPr>
        <w:spacing w:line="580" w:lineRule="exact"/>
        <w:jc w:val="center"/>
        <w:rPr>
          <w:rFonts w:hint="eastAsia" w:asciiTheme="minorEastAsia" w:hAnsiTheme="minorEastAsia" w:eastAsiaTheme="minorEastAsia" w:cstheme="minorEastAsia"/>
          <w:b/>
          <w:color w:val="auto"/>
          <w:sz w:val="24"/>
          <w:szCs w:val="24"/>
        </w:rPr>
      </w:pPr>
    </w:p>
    <w:p w14:paraId="4322E7D3">
      <w:pPr>
        <w:spacing w:line="580" w:lineRule="exact"/>
        <w:jc w:val="center"/>
        <w:rPr>
          <w:rFonts w:hint="eastAsia" w:asciiTheme="minorEastAsia" w:hAnsiTheme="minorEastAsia" w:eastAsiaTheme="minorEastAsia" w:cstheme="minorEastAsia"/>
          <w:b/>
          <w:color w:val="auto"/>
          <w:sz w:val="24"/>
          <w:szCs w:val="24"/>
        </w:rPr>
      </w:pPr>
    </w:p>
    <w:p w14:paraId="2D245A20">
      <w:pPr>
        <w:spacing w:line="580" w:lineRule="exact"/>
        <w:jc w:val="center"/>
        <w:rPr>
          <w:rFonts w:hint="eastAsia" w:asciiTheme="minorEastAsia" w:hAnsiTheme="minorEastAsia" w:eastAsiaTheme="minorEastAsia" w:cstheme="minorEastAsia"/>
          <w:b/>
          <w:color w:val="auto"/>
          <w:sz w:val="24"/>
          <w:szCs w:val="24"/>
        </w:rPr>
      </w:pPr>
    </w:p>
    <w:p w14:paraId="5FBEA4B4">
      <w:pPr>
        <w:spacing w:line="580" w:lineRule="exact"/>
        <w:jc w:val="center"/>
        <w:rPr>
          <w:rFonts w:hint="eastAsia" w:asciiTheme="minorEastAsia" w:hAnsiTheme="minorEastAsia" w:eastAsiaTheme="minorEastAsia" w:cstheme="minorEastAsia"/>
          <w:color w:val="auto"/>
          <w:sz w:val="24"/>
          <w:szCs w:val="24"/>
        </w:rPr>
      </w:pPr>
    </w:p>
    <w:p w14:paraId="12D49602">
      <w:pPr>
        <w:spacing w:line="58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质疑函范本</w:t>
      </w:r>
    </w:p>
    <w:p w14:paraId="220BAFA3">
      <w:pPr>
        <w:spacing w:line="580" w:lineRule="exact"/>
        <w:ind w:firstLine="480" w:firstLineChars="200"/>
        <w:rPr>
          <w:rFonts w:hint="eastAsia" w:asciiTheme="minorEastAsia" w:hAnsiTheme="minorEastAsia" w:eastAsiaTheme="minorEastAsia" w:cstheme="minorEastAsia"/>
          <w:color w:val="auto"/>
          <w:sz w:val="24"/>
          <w:szCs w:val="24"/>
        </w:rPr>
      </w:pPr>
    </w:p>
    <w:p w14:paraId="008B8374">
      <w:pPr>
        <w:spacing w:line="580" w:lineRule="exact"/>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一、质疑投标人基本信息</w:t>
      </w:r>
    </w:p>
    <w:p w14:paraId="033E9984">
      <w:pPr>
        <w:spacing w:line="580" w:lineRule="exact"/>
        <w:ind w:firstLine="480" w:firstLineChars="200"/>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投标人名称：</w:t>
      </w:r>
      <w:r>
        <w:rPr>
          <w:rFonts w:hint="eastAsia" w:asciiTheme="minorEastAsia" w:hAnsiTheme="minorEastAsia" w:eastAsiaTheme="minorEastAsia" w:cstheme="minorEastAsia"/>
          <w:color w:val="auto"/>
          <w:sz w:val="24"/>
          <w:szCs w:val="24"/>
          <w:u w:val="single"/>
        </w:rPr>
        <w:t xml:space="preserve">                                                              </w:t>
      </w:r>
    </w:p>
    <w:p w14:paraId="1393FC0D">
      <w:pPr>
        <w:spacing w:line="580" w:lineRule="exact"/>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地址：</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邮编：</w:t>
      </w:r>
      <w:r>
        <w:rPr>
          <w:rFonts w:hint="eastAsia" w:asciiTheme="minorEastAsia" w:hAnsiTheme="minorEastAsia" w:eastAsiaTheme="minorEastAsia" w:cstheme="minorEastAsia"/>
          <w:color w:val="auto"/>
          <w:sz w:val="24"/>
          <w:szCs w:val="24"/>
          <w:u w:val="single"/>
        </w:rPr>
        <w:t xml:space="preserve">                                 </w:t>
      </w:r>
    </w:p>
    <w:p w14:paraId="2F394C4F">
      <w:pPr>
        <w:spacing w:line="580" w:lineRule="exact"/>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联系人：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联系电话：</w:t>
      </w:r>
      <w:r>
        <w:rPr>
          <w:rFonts w:hint="eastAsia" w:asciiTheme="minorEastAsia" w:hAnsiTheme="minorEastAsia" w:eastAsiaTheme="minorEastAsia" w:cstheme="minorEastAsia"/>
          <w:color w:val="auto"/>
          <w:sz w:val="24"/>
          <w:szCs w:val="24"/>
          <w:u w:val="single"/>
        </w:rPr>
        <w:t xml:space="preserve">                                  </w:t>
      </w:r>
    </w:p>
    <w:p w14:paraId="44314C20">
      <w:pPr>
        <w:spacing w:line="580" w:lineRule="exact"/>
        <w:ind w:firstLine="480" w:firstLineChars="200"/>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授权代表：</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联系电话：</w:t>
      </w:r>
      <w:r>
        <w:rPr>
          <w:rFonts w:hint="eastAsia" w:asciiTheme="minorEastAsia" w:hAnsiTheme="minorEastAsia" w:eastAsiaTheme="minorEastAsia" w:cstheme="minorEastAsia"/>
          <w:color w:val="auto"/>
          <w:sz w:val="24"/>
          <w:szCs w:val="24"/>
          <w:u w:val="single"/>
        </w:rPr>
        <w:t xml:space="preserve">                  </w:t>
      </w:r>
    </w:p>
    <w:p w14:paraId="32424C84">
      <w:pPr>
        <w:spacing w:line="580" w:lineRule="exact"/>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二、质疑项目基本情况</w:t>
      </w:r>
    </w:p>
    <w:p w14:paraId="347E40DE">
      <w:pPr>
        <w:spacing w:line="580" w:lineRule="exact"/>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项目名称：</w:t>
      </w:r>
      <w:r>
        <w:rPr>
          <w:rFonts w:hint="eastAsia" w:asciiTheme="minorEastAsia" w:hAnsiTheme="minorEastAsia" w:eastAsiaTheme="minorEastAsia" w:cstheme="minorEastAsia"/>
          <w:color w:val="auto"/>
          <w:sz w:val="24"/>
          <w:szCs w:val="24"/>
          <w:u w:val="single"/>
        </w:rPr>
        <w:t xml:space="preserve">                                                          </w:t>
      </w:r>
    </w:p>
    <w:p w14:paraId="6A8B411D">
      <w:pPr>
        <w:spacing w:line="580" w:lineRule="exact"/>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项目编号：</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分包号：</w:t>
      </w:r>
      <w:r>
        <w:rPr>
          <w:rFonts w:hint="eastAsia" w:asciiTheme="minorEastAsia" w:hAnsiTheme="minorEastAsia" w:eastAsiaTheme="minorEastAsia" w:cstheme="minorEastAsia"/>
          <w:color w:val="auto"/>
          <w:sz w:val="24"/>
          <w:szCs w:val="24"/>
          <w:u w:val="single"/>
        </w:rPr>
        <w:t xml:space="preserve">                   </w:t>
      </w:r>
    </w:p>
    <w:p w14:paraId="7B4DE5C6">
      <w:pPr>
        <w:spacing w:line="580" w:lineRule="exact"/>
        <w:ind w:firstLine="480" w:firstLineChars="200"/>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采购人名称：</w:t>
      </w:r>
      <w:r>
        <w:rPr>
          <w:rFonts w:hint="eastAsia" w:asciiTheme="minorEastAsia" w:hAnsiTheme="minorEastAsia" w:eastAsiaTheme="minorEastAsia" w:cstheme="minorEastAsia"/>
          <w:color w:val="auto"/>
          <w:sz w:val="24"/>
          <w:szCs w:val="24"/>
          <w:u w:val="single"/>
        </w:rPr>
        <w:t xml:space="preserve">                                                              </w:t>
      </w:r>
    </w:p>
    <w:p w14:paraId="7674E0E0">
      <w:pPr>
        <w:spacing w:line="580" w:lineRule="exact"/>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三、质疑事项具体内容</w:t>
      </w:r>
    </w:p>
    <w:p w14:paraId="7CE3ECA1">
      <w:pPr>
        <w:spacing w:line="580" w:lineRule="exact"/>
        <w:ind w:firstLine="480" w:firstLineChars="200"/>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质疑事项1：</w:t>
      </w:r>
      <w:r>
        <w:rPr>
          <w:rFonts w:hint="eastAsia" w:asciiTheme="minorEastAsia" w:hAnsiTheme="minorEastAsia" w:eastAsiaTheme="minorEastAsia" w:cstheme="minorEastAsia"/>
          <w:color w:val="auto"/>
          <w:sz w:val="24"/>
          <w:szCs w:val="24"/>
          <w:u w:val="single"/>
        </w:rPr>
        <w:t xml:space="preserve">                                                              </w:t>
      </w:r>
    </w:p>
    <w:p w14:paraId="4EF9D50C">
      <w:pPr>
        <w:spacing w:line="580" w:lineRule="exact"/>
        <w:ind w:firstLine="480" w:firstLineChars="200"/>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事实依据：</w:t>
      </w:r>
      <w:r>
        <w:rPr>
          <w:rFonts w:hint="eastAsia" w:asciiTheme="minorEastAsia" w:hAnsiTheme="minorEastAsia" w:eastAsiaTheme="minorEastAsia" w:cstheme="minorEastAsia"/>
          <w:color w:val="auto"/>
          <w:sz w:val="24"/>
          <w:szCs w:val="24"/>
          <w:u w:val="single"/>
        </w:rPr>
        <w:t xml:space="preserve">                                                                </w:t>
      </w:r>
    </w:p>
    <w:p w14:paraId="616F113D">
      <w:pPr>
        <w:spacing w:line="580" w:lineRule="exact"/>
        <w:ind w:firstLine="480" w:firstLineChars="200"/>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法律依据：</w:t>
      </w:r>
      <w:r>
        <w:rPr>
          <w:rFonts w:hint="eastAsia" w:asciiTheme="minorEastAsia" w:hAnsiTheme="minorEastAsia" w:eastAsiaTheme="minorEastAsia" w:cstheme="minorEastAsia"/>
          <w:color w:val="auto"/>
          <w:sz w:val="24"/>
          <w:szCs w:val="24"/>
          <w:u w:val="single"/>
        </w:rPr>
        <w:t xml:space="preserve">                                                                </w:t>
      </w:r>
    </w:p>
    <w:p w14:paraId="7CF52FDE">
      <w:pPr>
        <w:spacing w:line="580" w:lineRule="exact"/>
        <w:ind w:firstLine="480" w:firstLineChars="200"/>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质疑事项2：</w:t>
      </w:r>
      <w:r>
        <w:rPr>
          <w:rFonts w:hint="eastAsia" w:asciiTheme="minorEastAsia" w:hAnsiTheme="minorEastAsia" w:eastAsiaTheme="minorEastAsia" w:cstheme="minorEastAsia"/>
          <w:color w:val="auto"/>
          <w:sz w:val="24"/>
          <w:szCs w:val="24"/>
          <w:u w:val="single"/>
        </w:rPr>
        <w:t xml:space="preserve">                                                                </w:t>
      </w:r>
    </w:p>
    <w:p w14:paraId="653A4844">
      <w:pPr>
        <w:spacing w:line="580" w:lineRule="exact"/>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w:t>
      </w:r>
    </w:p>
    <w:p w14:paraId="07F332D8">
      <w:pPr>
        <w:spacing w:line="580" w:lineRule="exact"/>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四、质疑事项相关请求</w:t>
      </w:r>
    </w:p>
    <w:p w14:paraId="17F24FA7">
      <w:pPr>
        <w:spacing w:line="580" w:lineRule="exact"/>
        <w:ind w:firstLine="480" w:firstLineChars="200"/>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请求：</w:t>
      </w:r>
      <w:r>
        <w:rPr>
          <w:rFonts w:hint="eastAsia" w:asciiTheme="minorEastAsia" w:hAnsiTheme="minorEastAsia" w:eastAsiaTheme="minorEastAsia" w:cstheme="minorEastAsia"/>
          <w:color w:val="auto"/>
          <w:sz w:val="24"/>
          <w:szCs w:val="24"/>
          <w:u w:val="single"/>
        </w:rPr>
        <w:t xml:space="preserve">                                                                    </w:t>
      </w:r>
    </w:p>
    <w:p w14:paraId="45E68293">
      <w:pPr>
        <w:spacing w:line="580" w:lineRule="exact"/>
        <w:rPr>
          <w:rFonts w:hint="eastAsia" w:asciiTheme="minorEastAsia" w:hAnsiTheme="minorEastAsia" w:eastAsiaTheme="minorEastAsia" w:cstheme="minorEastAsia"/>
          <w:color w:val="auto"/>
          <w:sz w:val="24"/>
          <w:szCs w:val="24"/>
        </w:rPr>
      </w:pPr>
    </w:p>
    <w:p w14:paraId="372C1120">
      <w:pPr>
        <w:spacing w:line="580" w:lineRule="exact"/>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签字(签章)：                    公章：                      </w:t>
      </w:r>
    </w:p>
    <w:p w14:paraId="3099DCA8">
      <w:pPr>
        <w:spacing w:line="580" w:lineRule="exact"/>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日期：    </w:t>
      </w:r>
    </w:p>
    <w:p w14:paraId="423AEB80">
      <w:pPr>
        <w:spacing w:line="500" w:lineRule="exact"/>
        <w:ind w:firstLine="480" w:firstLineChars="200"/>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color w:val="auto"/>
          <w:kern w:val="2"/>
          <w:sz w:val="24"/>
          <w:szCs w:val="24"/>
        </w:rPr>
        <w:t>相关说明：</w:t>
      </w:r>
    </w:p>
    <w:p w14:paraId="69696D08">
      <w:pPr>
        <w:spacing w:line="500" w:lineRule="exact"/>
        <w:ind w:firstLine="480" w:firstLineChars="200"/>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color w:val="auto"/>
          <w:kern w:val="2"/>
          <w:sz w:val="24"/>
          <w:szCs w:val="24"/>
        </w:rPr>
        <w:t>1．投标人提出质疑，应提交《质疑函》和必要的证明材料。</w:t>
      </w:r>
    </w:p>
    <w:p w14:paraId="0C88BC74">
      <w:pPr>
        <w:spacing w:line="500" w:lineRule="exact"/>
        <w:ind w:firstLine="480" w:firstLineChars="200"/>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color w:val="auto"/>
          <w:kern w:val="2"/>
          <w:sz w:val="24"/>
          <w:szCs w:val="24"/>
        </w:rPr>
        <w:t>2．由授权代表负责质疑事宜的，《质疑函》附件中应提交由质疑投标人法定代表人签署的《授权委托书》。</w:t>
      </w:r>
    </w:p>
    <w:p w14:paraId="74B25ADF">
      <w:pPr>
        <w:spacing w:line="500" w:lineRule="exact"/>
        <w:ind w:firstLine="480" w:firstLineChars="200"/>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color w:val="auto"/>
          <w:kern w:val="2"/>
          <w:sz w:val="24"/>
          <w:szCs w:val="24"/>
        </w:rPr>
        <w:t>3．质疑投标人针对项目的某一分包进行质疑的，《质疑函》中应明确分包号。</w:t>
      </w:r>
    </w:p>
    <w:p w14:paraId="795507B5">
      <w:pPr>
        <w:spacing w:line="500" w:lineRule="exact"/>
        <w:ind w:firstLine="480" w:firstLineChars="200"/>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color w:val="auto"/>
          <w:kern w:val="2"/>
          <w:sz w:val="24"/>
          <w:szCs w:val="24"/>
        </w:rPr>
        <w:t>4．《质疑函》的质疑事项应具体、明确，并有必要的事实依据和法律依据。</w:t>
      </w:r>
    </w:p>
    <w:p w14:paraId="4E159DC5">
      <w:pPr>
        <w:spacing w:line="500" w:lineRule="exact"/>
        <w:ind w:firstLine="480" w:firstLineChars="200"/>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color w:val="auto"/>
          <w:kern w:val="2"/>
          <w:sz w:val="24"/>
          <w:szCs w:val="24"/>
        </w:rPr>
        <w:t>5．《质疑函》的质疑请求应与质疑事项相关。</w:t>
      </w:r>
    </w:p>
    <w:p w14:paraId="2E526183">
      <w:pPr>
        <w:spacing w:line="500" w:lineRule="exact"/>
        <w:ind w:firstLine="480" w:firstLineChars="200"/>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color w:val="auto"/>
          <w:kern w:val="2"/>
          <w:sz w:val="24"/>
          <w:szCs w:val="24"/>
        </w:rPr>
        <w:t>6．质疑投标人为自然人的，《质疑函》应由本人签字；质疑投标人为法人或者其他组织的，《质疑函》应由法定代表人、主要负责人，或者其授权代表签字或者签章，并加盖公章。</w:t>
      </w:r>
    </w:p>
    <w:p w14:paraId="2973BB5A">
      <w:pPr>
        <w:spacing w:line="500" w:lineRule="exact"/>
        <w:ind w:firstLine="480" w:firstLineChars="200"/>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color w:val="auto"/>
          <w:kern w:val="2"/>
          <w:sz w:val="24"/>
          <w:szCs w:val="24"/>
        </w:rPr>
        <w:t>7．质疑投标人为联合体的，则《质疑函》中要求加盖公章之处，联合体各方均须按要求加盖公章。</w:t>
      </w:r>
    </w:p>
    <w:sectPr>
      <w:pgSz w:w="11906" w:h="16838"/>
      <w:pgMar w:top="2098" w:right="1588" w:bottom="1701" w:left="1588" w:header="851" w:footer="850"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Tahoma">
    <w:panose1 w:val="020B0604030504040204"/>
    <w:charset w:val="00"/>
    <w:family w:val="auto"/>
    <w:pitch w:val="default"/>
    <w:sig w:usb0="E1002EFF" w:usb1="C000605B" w:usb2="00000029" w:usb3="00000000" w:csb0="200101FF" w:csb1="20280000"/>
  </w:font>
  <w:font w:name="Arial Unicode MS">
    <w:panose1 w:val="020B0604020202020204"/>
    <w:charset w:val="86"/>
    <w:family w:val="swiss"/>
    <w:pitch w:val="default"/>
    <w:sig w:usb0="FFFFFFFF" w:usb1="E9FFFFFF" w:usb2="0000003F" w:usb3="00000000" w:csb0="603F01FF" w:csb1="FFFF0000"/>
  </w:font>
  <w:font w:name="方正黑体_GBK">
    <w:altName w:val="Arial Unicode MS"/>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方正小标宋_GBK">
    <w:altName w:val="Arial Unicode MS"/>
    <w:panose1 w:val="03000509000000000000"/>
    <w:charset w:val="86"/>
    <w:family w:val="script"/>
    <w:pitch w:val="default"/>
    <w:sig w:usb0="00000000" w:usb1="00000000" w:usb2="00000010" w:usb3="00000000" w:csb0="00040000" w:csb1="00000000"/>
  </w:font>
  <w:font w:name="方正仿宋_GBK">
    <w:altName w:val="Arial Unicode MS"/>
    <w:panose1 w:val="03000509000000000000"/>
    <w:charset w:val="86"/>
    <w:family w:val="script"/>
    <w:pitch w:val="default"/>
    <w:sig w:usb0="00000000" w:usb1="00000000" w:usb2="00000010" w:usb3="00000000" w:csb0="00040000" w:csb1="00000000"/>
  </w:font>
  <w:font w:name="方正舒体">
    <w:panose1 w:val="02010601030101010101"/>
    <w:charset w:val="86"/>
    <w:family w:val="auto"/>
    <w:pitch w:val="default"/>
    <w:sig w:usb0="00000003" w:usb1="080E0000" w:usb2="00000000" w:usb3="00000000" w:csb0="00040000" w:csb1="00000000"/>
  </w:font>
  <w:font w:name="方正楷体_GBK">
    <w:altName w:val="Arial Unicode MS"/>
    <w:panose1 w:val="03000509000000000000"/>
    <w:charset w:val="86"/>
    <w:family w:val="script"/>
    <w:pitch w:val="default"/>
    <w:sig w:usb0="00000000" w:usb1="00000000" w:usb2="00000010" w:usb3="00000000" w:csb0="00040000" w:csb1="00000000"/>
  </w:font>
  <w:font w:name="KSOF51D5AD36">
    <w:panose1 w:val="020B0604020202020204"/>
    <w:charset w:val="86"/>
    <w:family w:val="auto"/>
    <w:pitch w:val="default"/>
    <w:sig w:usb0="00000001" w:usb1="00000000" w:usb2="00000000" w:usb3="00000000" w:csb0="00040001" w:csb1="00000000"/>
  </w:font>
  <w:font w:name="KSOFABDC8F89">
    <w:panose1 w:val="020B0604020202020204"/>
    <w:charset w:val="86"/>
    <w:family w:val="auto"/>
    <w:pitch w:val="default"/>
    <w:sig w:usb0="00000001" w:usb1="00000000" w:usb2="00000000" w:usb3="00000000" w:csb0="00040001" w:csb1="00000000"/>
  </w:font>
  <w:font w:name="KSOFD0355493">
    <w:panose1 w:val="020B0604020202020204"/>
    <w:charset w:val="86"/>
    <w:family w:val="auto"/>
    <w:pitch w:val="default"/>
    <w:sig w:usb0="00000001" w:usb1="00000000" w:usb2="00000000" w:usb3="00000000" w:csb0="00040001" w:csb1="00000000"/>
  </w:font>
  <w:font w:name="KSOF57490D39">
    <w:panose1 w:val="020B0604020202020204"/>
    <w:charset w:val="86"/>
    <w:family w:val="auto"/>
    <w:pitch w:val="default"/>
    <w:sig w:usb0="00000001" w:usb1="00000000" w:usb2="00000000" w:usb3="00000000" w:csb0="00040001" w:csb1="00000000"/>
  </w:font>
  <w:font w:name="Segoe UI">
    <w:panose1 w:val="020B0502040204020203"/>
    <w:charset w:val="00"/>
    <w:family w:val="auto"/>
    <w:pitch w:val="default"/>
    <w:sig w:usb0="E4002EFF" w:usb1="C000E47F" w:usb2="00000009" w:usb3="00000000" w:csb0="200001FF" w:csb1="00000000"/>
  </w:font>
  <w:font w:name="方正仿宋_GBK">
    <w:altName w:val="Arial Unicode MS"/>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7BDB94">
    <w:pPr>
      <w:pStyle w:val="219"/>
      <w:framePr w:wrap="auto" w:vAnchor="text" w:hAnchor="page" w:x="5863" w:y="1"/>
      <w:rPr>
        <w:rFonts w:hint="eastAsia" w:ascii="宋体" w:hAnsi="宋体" w:cs="宋体"/>
      </w:rPr>
    </w:pPr>
    <w:r>
      <w:rPr>
        <w:rFonts w:ascii="宋体" w:hAnsi="宋体" w:cs="宋体"/>
      </w:rPr>
      <w:fldChar w:fldCharType="begin"/>
    </w:r>
    <w:r>
      <w:rPr>
        <w:rFonts w:ascii="宋体" w:hAnsi="宋体" w:cs="宋体"/>
      </w:rPr>
      <w:instrText xml:space="preserve"> PAGE \* Arabic </w:instrText>
    </w:r>
    <w:r>
      <w:rPr>
        <w:rFonts w:ascii="宋体" w:hAnsi="宋体" w:cs="宋体"/>
      </w:rPr>
      <w:fldChar w:fldCharType="separate"/>
    </w:r>
    <w:r>
      <w:rPr>
        <w:rFonts w:ascii="宋体" w:hAnsi="宋体" w:cs="宋体"/>
      </w:rPr>
      <w:t>22</w:t>
    </w:r>
    <w:r>
      <w:rPr>
        <w:rFonts w:ascii="宋体" w:hAnsi="宋体" w:cs="宋体"/>
      </w:rPr>
      <w:fldChar w:fldCharType="end"/>
    </w:r>
  </w:p>
  <w:p w14:paraId="20A3B04F">
    <w:pPr>
      <w:pStyle w:val="219"/>
      <w:jc w:val="center"/>
      <w:rPr>
        <w:b/>
        <w:i/>
      </w:rPr>
    </w:pP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73D037">
    <w:pPr>
      <w:pStyle w:val="24"/>
      <w:jc w:val="center"/>
      <w:rPr>
        <w:rFonts w:ascii="Times New Roman" w:hAnsi="Times New Roman" w:cs="Times New Roman"/>
        <w:sz w:val="28"/>
        <w:szCs w:val="28"/>
      </w:rPr>
    </w:pPr>
    <w:r>
      <w:rPr>
        <w:rFonts w:hint="eastAsia" w:ascii="Times New Roman" w:hAnsi="Times New Roman" w:cs="Times New Roman"/>
        <w:sz w:val="28"/>
        <w:szCs w:val="28"/>
      </w:rPr>
      <w:t xml:space="preserve">— </w:t>
    </w:r>
    <w:r>
      <w:rPr>
        <w:rFonts w:ascii="Times New Roman" w:hAnsi="Times New Roman" w:cs="Times New Roman"/>
        <w:sz w:val="28"/>
        <w:szCs w:val="28"/>
      </w:rPr>
      <w:fldChar w:fldCharType="begin"/>
    </w:r>
    <w:r>
      <w:rPr>
        <w:rFonts w:ascii="Times New Roman" w:hAnsi="Times New Roman" w:cs="Times New Roman"/>
        <w:sz w:val="28"/>
        <w:szCs w:val="28"/>
      </w:rPr>
      <w:instrText xml:space="preserve">PAGE   \* MERGEFORMAT</w:instrText>
    </w:r>
    <w:r>
      <w:rPr>
        <w:rFonts w:ascii="Times New Roman" w:hAnsi="Times New Roman" w:cs="Times New Roman"/>
        <w:sz w:val="28"/>
        <w:szCs w:val="28"/>
      </w:rPr>
      <w:fldChar w:fldCharType="separate"/>
    </w:r>
    <w:r>
      <w:rPr>
        <w:rFonts w:ascii="Times New Roman" w:hAnsi="Times New Roman" w:cs="Times New Roman"/>
        <w:sz w:val="28"/>
        <w:szCs w:val="28"/>
        <w:lang w:val="zh-CN"/>
      </w:rPr>
      <w:t>2</w:t>
    </w:r>
    <w:r>
      <w:rPr>
        <w:rFonts w:ascii="Times New Roman" w:hAnsi="Times New Roman" w:cs="Times New Roman"/>
        <w:sz w:val="28"/>
        <w:szCs w:val="28"/>
      </w:rPr>
      <w:fldChar w:fldCharType="end"/>
    </w:r>
    <w:r>
      <w:rPr>
        <w:rFonts w:hint="eastAsia" w:ascii="Times New Roman" w:hAnsi="Times New Roman" w:cs="Times New Roman"/>
        <w:sz w:val="28"/>
        <w:szCs w:val="28"/>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4BA82E">
    <w:pPr>
      <w:pStyle w:val="2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935316">
    <w:pPr>
      <w:pStyle w:val="220"/>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78DBCF">
    <w:pPr>
      <w:pStyle w:val="219"/>
      <w:jc w:val="center"/>
      <w:rPr>
        <w:b/>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decimal"/>
      <w:suff w:val="nothing"/>
      <w:lvlText w:val="第%1章 "/>
      <w:lvlJc w:val="left"/>
      <w:pPr>
        <w:ind w:left="0" w:firstLine="0"/>
      </w:pPr>
    </w:lvl>
    <w:lvl w:ilvl="1" w:tentative="0">
      <w:start w:val="1"/>
      <w:numFmt w:val="decimal"/>
      <w:suff w:val="nothing"/>
      <w:lvlText w:val="%2、"/>
      <w:lvlJc w:val="left"/>
      <w:pPr>
        <w:ind w:left="0" w:firstLine="0"/>
      </w:pPr>
    </w:lvl>
    <w:lvl w:ilvl="2" w:tentative="0">
      <w:start w:val="1"/>
      <w:numFmt w:val="decimal"/>
      <w:suff w:val="nothing"/>
      <w:lvlText w:val="%2.%3 "/>
      <w:lvlJc w:val="left"/>
      <w:pPr>
        <w:ind w:left="0" w:firstLine="0"/>
      </w:pPr>
    </w:lvl>
    <w:lvl w:ilvl="3" w:tentative="0">
      <w:start w:val="1"/>
      <w:numFmt w:val="decimal"/>
      <w:suff w:val="nothing"/>
      <w:lvlText w:val="%2.%3.%4 "/>
      <w:lvlJc w:val="left"/>
      <w:pPr>
        <w:ind w:left="0" w:firstLine="0"/>
      </w:pPr>
    </w:lvl>
    <w:lvl w:ilvl="4" w:tentative="0">
      <w:start w:val="1"/>
      <w:numFmt w:val="decimal"/>
      <w:suff w:val="nothing"/>
      <w:lvlText w:val="%2.%3.%4.%5 "/>
      <w:lvlJc w:val="left"/>
      <w:pPr>
        <w:ind w:left="0" w:firstLine="0"/>
      </w:pPr>
    </w:lvl>
    <w:lvl w:ilvl="5" w:tentative="0">
      <w:start w:val="1"/>
      <w:numFmt w:val="decimal"/>
      <w:pStyle w:val="197"/>
      <w:suff w:val="nothing"/>
      <w:lvlText w:val=""/>
      <w:lvlJc w:val="left"/>
      <w:pPr>
        <w:ind w:left="0" w:firstLine="0"/>
      </w:pPr>
    </w:lvl>
    <w:lvl w:ilvl="6" w:tentative="0">
      <w:start w:val="1"/>
      <w:numFmt w:val="decimal"/>
      <w:pStyle w:val="198"/>
      <w:suff w:val="nothing"/>
      <w:lvlText w:val=""/>
      <w:lvlJc w:val="left"/>
      <w:pPr>
        <w:ind w:left="0" w:firstLine="0"/>
      </w:pPr>
    </w:lvl>
    <w:lvl w:ilvl="7" w:tentative="0">
      <w:start w:val="1"/>
      <w:numFmt w:val="decimal"/>
      <w:pStyle w:val="199"/>
      <w:suff w:val="nothing"/>
      <w:lvlText w:val=""/>
      <w:lvlJc w:val="left"/>
      <w:pPr>
        <w:ind w:left="0" w:firstLine="0"/>
      </w:pPr>
    </w:lvl>
    <w:lvl w:ilvl="8" w:tentative="0">
      <w:start w:val="1"/>
      <w:numFmt w:val="decimal"/>
      <w:pStyle w:val="200"/>
      <w:suff w:val="nothing"/>
      <w:lvlText w:val=""/>
      <w:lvlJc w:val="left"/>
      <w:pPr>
        <w:ind w:left="0" w:firstLine="0"/>
      </w:pPr>
    </w:lvl>
  </w:abstractNum>
  <w:abstractNum w:abstractNumId="1">
    <w:nsid w:val="00000003"/>
    <w:multiLevelType w:val="multilevel"/>
    <w:tmpl w:val="00000003"/>
    <w:lvl w:ilvl="0" w:tentative="0">
      <w:start w:val="1"/>
      <w:numFmt w:val="decimal"/>
      <w:pStyle w:val="260"/>
      <w:lvlText w:val="%1."/>
      <w:lvlJc w:val="left"/>
      <w:pPr>
        <w:ind w:left="0" w:firstLine="0"/>
      </w:pPr>
    </w:lvl>
    <w:lvl w:ilvl="1" w:tentative="0">
      <w:start w:val="1"/>
      <w:numFmt w:val="decimal"/>
      <w:lvlText w:val="%1.%2"/>
      <w:lvlJc w:val="left"/>
      <w:pPr>
        <w:ind w:left="0" w:firstLine="0"/>
      </w:pPr>
    </w:lvl>
    <w:lvl w:ilvl="2" w:tentative="0">
      <w:start w:val="1"/>
      <w:numFmt w:val="decimal"/>
      <w:lvlText w:val="%1.%2.%3."/>
      <w:lvlJc w:val="left"/>
      <w:pPr>
        <w:ind w:left="0" w:firstLine="0"/>
      </w:pPr>
    </w:lvl>
    <w:lvl w:ilvl="3" w:tentative="0">
      <w:start w:val="1"/>
      <w:numFmt w:val="decimal"/>
      <w:lvlText w:val="%1.%2.%3.%4."/>
      <w:lvlJc w:val="left"/>
      <w:pPr>
        <w:ind w:left="0" w:firstLine="0"/>
      </w:pPr>
    </w:lvl>
    <w:lvl w:ilvl="4" w:tentative="0">
      <w:start w:val="1"/>
      <w:numFmt w:val="decimal"/>
      <w:lvlText w:val="%1.%2.%3.%4.%5."/>
      <w:lvlJc w:val="left"/>
      <w:pPr>
        <w:ind w:left="0" w:firstLine="0"/>
      </w:pPr>
    </w:lvl>
    <w:lvl w:ilvl="5" w:tentative="0">
      <w:start w:val="1"/>
      <w:numFmt w:val="decimal"/>
      <w:lvlText w:val="%1.%2.%3.%4.%5.%6."/>
      <w:lvlJc w:val="left"/>
      <w:pPr>
        <w:ind w:left="0" w:firstLine="0"/>
      </w:pPr>
    </w:lvl>
    <w:lvl w:ilvl="6" w:tentative="0">
      <w:start w:val="1"/>
      <w:numFmt w:val="decimal"/>
      <w:lvlText w:val="%1.%2.%3.%4.%5.%6.%7."/>
      <w:lvlJc w:val="left"/>
      <w:pPr>
        <w:ind w:left="0" w:firstLine="0"/>
      </w:pPr>
    </w:lvl>
    <w:lvl w:ilvl="7" w:tentative="0">
      <w:start w:val="1"/>
      <w:numFmt w:val="decimal"/>
      <w:lvlText w:val="%1.%2.%3.%4.%5.%6.%7.%8."/>
      <w:lvlJc w:val="left"/>
      <w:pPr>
        <w:ind w:left="0" w:firstLine="0"/>
      </w:pPr>
    </w:lvl>
    <w:lvl w:ilvl="8" w:tentative="0">
      <w:start w:val="1"/>
      <w:numFmt w:val="decimal"/>
      <w:lvlText w:val="%1.%2.%3.%4.%5.%6.%7.%8.%9"/>
      <w:lvlJc w:val="left"/>
      <w:pPr>
        <w:ind w:left="0" w:firstLine="0"/>
      </w:pPr>
    </w:lvl>
  </w:abstractNum>
  <w:abstractNum w:abstractNumId="2">
    <w:nsid w:val="40A36C45"/>
    <w:multiLevelType w:val="multilevel"/>
    <w:tmpl w:val="40A36C45"/>
    <w:lvl w:ilvl="0" w:tentative="0">
      <w:start w:val="1"/>
      <w:numFmt w:val="upperLetter"/>
      <w:pStyle w:val="254"/>
      <w:lvlText w:val="附录%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05BA"/>
    <w:rsid w:val="00027BFE"/>
    <w:rsid w:val="0005108F"/>
    <w:rsid w:val="00054810"/>
    <w:rsid w:val="00056064"/>
    <w:rsid w:val="000A7A43"/>
    <w:rsid w:val="000C769E"/>
    <w:rsid w:val="000F23F1"/>
    <w:rsid w:val="00135921"/>
    <w:rsid w:val="00186BF0"/>
    <w:rsid w:val="001A32C5"/>
    <w:rsid w:val="001C418B"/>
    <w:rsid w:val="001D606C"/>
    <w:rsid w:val="0021669B"/>
    <w:rsid w:val="00283EBF"/>
    <w:rsid w:val="002B551B"/>
    <w:rsid w:val="002B6C47"/>
    <w:rsid w:val="002C44CF"/>
    <w:rsid w:val="002C4E5F"/>
    <w:rsid w:val="002E24EF"/>
    <w:rsid w:val="002F6595"/>
    <w:rsid w:val="00300C3F"/>
    <w:rsid w:val="003067C3"/>
    <w:rsid w:val="00310FFF"/>
    <w:rsid w:val="003172FC"/>
    <w:rsid w:val="003205BA"/>
    <w:rsid w:val="00391620"/>
    <w:rsid w:val="003A71CF"/>
    <w:rsid w:val="003D3A8B"/>
    <w:rsid w:val="0041475D"/>
    <w:rsid w:val="004650F6"/>
    <w:rsid w:val="004737E1"/>
    <w:rsid w:val="00475DA5"/>
    <w:rsid w:val="004843E3"/>
    <w:rsid w:val="004D475F"/>
    <w:rsid w:val="004E38F4"/>
    <w:rsid w:val="004F20D9"/>
    <w:rsid w:val="00507586"/>
    <w:rsid w:val="005140B0"/>
    <w:rsid w:val="00524AEF"/>
    <w:rsid w:val="00527CE1"/>
    <w:rsid w:val="005D7BC4"/>
    <w:rsid w:val="005E07B2"/>
    <w:rsid w:val="005F65CD"/>
    <w:rsid w:val="00601EDA"/>
    <w:rsid w:val="00602D0C"/>
    <w:rsid w:val="00605291"/>
    <w:rsid w:val="0061269B"/>
    <w:rsid w:val="00621BCB"/>
    <w:rsid w:val="0063143B"/>
    <w:rsid w:val="006445A8"/>
    <w:rsid w:val="0066313B"/>
    <w:rsid w:val="006D4798"/>
    <w:rsid w:val="006D4FD4"/>
    <w:rsid w:val="006E5DBC"/>
    <w:rsid w:val="00736880"/>
    <w:rsid w:val="0075430D"/>
    <w:rsid w:val="00755DF0"/>
    <w:rsid w:val="0076053C"/>
    <w:rsid w:val="0078297F"/>
    <w:rsid w:val="0078325E"/>
    <w:rsid w:val="007F11B8"/>
    <w:rsid w:val="00861E43"/>
    <w:rsid w:val="008A0E44"/>
    <w:rsid w:val="008D141A"/>
    <w:rsid w:val="008D46F3"/>
    <w:rsid w:val="00971C32"/>
    <w:rsid w:val="0098368C"/>
    <w:rsid w:val="009A0286"/>
    <w:rsid w:val="009E7F40"/>
    <w:rsid w:val="009F07F6"/>
    <w:rsid w:val="009F51E5"/>
    <w:rsid w:val="00A44C90"/>
    <w:rsid w:val="00A566F1"/>
    <w:rsid w:val="00A7661C"/>
    <w:rsid w:val="00A86076"/>
    <w:rsid w:val="00A93C6B"/>
    <w:rsid w:val="00AA07C6"/>
    <w:rsid w:val="00AB65EE"/>
    <w:rsid w:val="00B23CFD"/>
    <w:rsid w:val="00B4331D"/>
    <w:rsid w:val="00B44109"/>
    <w:rsid w:val="00B55B80"/>
    <w:rsid w:val="00B75AFA"/>
    <w:rsid w:val="00B83EFC"/>
    <w:rsid w:val="00BC6D12"/>
    <w:rsid w:val="00C60E3A"/>
    <w:rsid w:val="00CD79DA"/>
    <w:rsid w:val="00CF42EB"/>
    <w:rsid w:val="00D37067"/>
    <w:rsid w:val="00D55A36"/>
    <w:rsid w:val="00D6104F"/>
    <w:rsid w:val="00D70085"/>
    <w:rsid w:val="00D71C5E"/>
    <w:rsid w:val="00E05652"/>
    <w:rsid w:val="00E15234"/>
    <w:rsid w:val="00E250AD"/>
    <w:rsid w:val="00E50726"/>
    <w:rsid w:val="00E84D6C"/>
    <w:rsid w:val="00EA1173"/>
    <w:rsid w:val="00EA559A"/>
    <w:rsid w:val="00EE6785"/>
    <w:rsid w:val="00EF00C4"/>
    <w:rsid w:val="00F15420"/>
    <w:rsid w:val="00F57032"/>
    <w:rsid w:val="00F91FA5"/>
    <w:rsid w:val="00FC0154"/>
    <w:rsid w:val="00FF463B"/>
    <w:rsid w:val="0119677B"/>
    <w:rsid w:val="013D4B60"/>
    <w:rsid w:val="019B7612"/>
    <w:rsid w:val="01F80A87"/>
    <w:rsid w:val="022E26FA"/>
    <w:rsid w:val="03084CFA"/>
    <w:rsid w:val="03597303"/>
    <w:rsid w:val="03922815"/>
    <w:rsid w:val="03B15391"/>
    <w:rsid w:val="04137DFA"/>
    <w:rsid w:val="04545D1C"/>
    <w:rsid w:val="047D34C5"/>
    <w:rsid w:val="04B769D7"/>
    <w:rsid w:val="04EE7F1F"/>
    <w:rsid w:val="05290F57"/>
    <w:rsid w:val="053A3164"/>
    <w:rsid w:val="054D10EA"/>
    <w:rsid w:val="054F6C10"/>
    <w:rsid w:val="05685F23"/>
    <w:rsid w:val="05CB2336"/>
    <w:rsid w:val="05EF0E73"/>
    <w:rsid w:val="060043AE"/>
    <w:rsid w:val="063858F6"/>
    <w:rsid w:val="066E37A6"/>
    <w:rsid w:val="06A116ED"/>
    <w:rsid w:val="07097292"/>
    <w:rsid w:val="07A20257"/>
    <w:rsid w:val="07AD5E6F"/>
    <w:rsid w:val="07DE071F"/>
    <w:rsid w:val="082A0E29"/>
    <w:rsid w:val="08F71A98"/>
    <w:rsid w:val="093920B1"/>
    <w:rsid w:val="099C43EE"/>
    <w:rsid w:val="09CA1120"/>
    <w:rsid w:val="09CB082F"/>
    <w:rsid w:val="0A171CC6"/>
    <w:rsid w:val="0A60541B"/>
    <w:rsid w:val="0A6D18E6"/>
    <w:rsid w:val="0A742C74"/>
    <w:rsid w:val="0A8530D4"/>
    <w:rsid w:val="0A9D21CB"/>
    <w:rsid w:val="0B2C17A1"/>
    <w:rsid w:val="0B48482D"/>
    <w:rsid w:val="0B837613"/>
    <w:rsid w:val="0BED7182"/>
    <w:rsid w:val="0C7D0506"/>
    <w:rsid w:val="0CC71781"/>
    <w:rsid w:val="0D417786"/>
    <w:rsid w:val="0D7511DD"/>
    <w:rsid w:val="0DAF4EAC"/>
    <w:rsid w:val="0DBF36E5"/>
    <w:rsid w:val="0DD71E98"/>
    <w:rsid w:val="0DEE2D3E"/>
    <w:rsid w:val="0E8536A2"/>
    <w:rsid w:val="0EC7371A"/>
    <w:rsid w:val="0F135152"/>
    <w:rsid w:val="0F706100"/>
    <w:rsid w:val="101822F4"/>
    <w:rsid w:val="105570A4"/>
    <w:rsid w:val="10A06571"/>
    <w:rsid w:val="10AB3293"/>
    <w:rsid w:val="10C5609D"/>
    <w:rsid w:val="10EB3949"/>
    <w:rsid w:val="115D4462"/>
    <w:rsid w:val="120945EA"/>
    <w:rsid w:val="12137217"/>
    <w:rsid w:val="12185ED5"/>
    <w:rsid w:val="124243B3"/>
    <w:rsid w:val="127E7A3B"/>
    <w:rsid w:val="12B72298"/>
    <w:rsid w:val="131330B4"/>
    <w:rsid w:val="13197D2C"/>
    <w:rsid w:val="131E40C5"/>
    <w:rsid w:val="136A2E67"/>
    <w:rsid w:val="136C3083"/>
    <w:rsid w:val="136C5266"/>
    <w:rsid w:val="13854144"/>
    <w:rsid w:val="140C05C1"/>
    <w:rsid w:val="141C0605"/>
    <w:rsid w:val="142160A0"/>
    <w:rsid w:val="146B3971"/>
    <w:rsid w:val="15317171"/>
    <w:rsid w:val="153E0A4F"/>
    <w:rsid w:val="15485429"/>
    <w:rsid w:val="16365331"/>
    <w:rsid w:val="16797F90"/>
    <w:rsid w:val="16C62AAA"/>
    <w:rsid w:val="1720665E"/>
    <w:rsid w:val="173B3498"/>
    <w:rsid w:val="173C2D6C"/>
    <w:rsid w:val="174F0CF1"/>
    <w:rsid w:val="17A032FB"/>
    <w:rsid w:val="17A4103D"/>
    <w:rsid w:val="17E07B9B"/>
    <w:rsid w:val="183D3240"/>
    <w:rsid w:val="19324427"/>
    <w:rsid w:val="199B1FCC"/>
    <w:rsid w:val="1A177AC0"/>
    <w:rsid w:val="1A2308F8"/>
    <w:rsid w:val="1A4A57A0"/>
    <w:rsid w:val="1AD66EC9"/>
    <w:rsid w:val="1AE90236"/>
    <w:rsid w:val="1B2304CB"/>
    <w:rsid w:val="1B252495"/>
    <w:rsid w:val="1BA535D6"/>
    <w:rsid w:val="1BB92388"/>
    <w:rsid w:val="1BCC0B62"/>
    <w:rsid w:val="1BF754B3"/>
    <w:rsid w:val="1C126ABF"/>
    <w:rsid w:val="1C280465"/>
    <w:rsid w:val="1C2C33AF"/>
    <w:rsid w:val="1C35495A"/>
    <w:rsid w:val="1C4921B3"/>
    <w:rsid w:val="1CC7132A"/>
    <w:rsid w:val="1D211006"/>
    <w:rsid w:val="1DB4365C"/>
    <w:rsid w:val="1DD27F86"/>
    <w:rsid w:val="1F264A2D"/>
    <w:rsid w:val="1F3D38E6"/>
    <w:rsid w:val="201523AC"/>
    <w:rsid w:val="20270A5D"/>
    <w:rsid w:val="2043516B"/>
    <w:rsid w:val="2078600D"/>
    <w:rsid w:val="20AE4CDA"/>
    <w:rsid w:val="20CF69FF"/>
    <w:rsid w:val="20DB53A4"/>
    <w:rsid w:val="212136FE"/>
    <w:rsid w:val="2158537E"/>
    <w:rsid w:val="216063F4"/>
    <w:rsid w:val="21BE4571"/>
    <w:rsid w:val="21CE02A8"/>
    <w:rsid w:val="21E77118"/>
    <w:rsid w:val="21F7445F"/>
    <w:rsid w:val="22547B29"/>
    <w:rsid w:val="226C5206"/>
    <w:rsid w:val="22BB723B"/>
    <w:rsid w:val="22E5075C"/>
    <w:rsid w:val="230706D2"/>
    <w:rsid w:val="23441CCB"/>
    <w:rsid w:val="236E0751"/>
    <w:rsid w:val="23D34A58"/>
    <w:rsid w:val="240510B5"/>
    <w:rsid w:val="244D0366"/>
    <w:rsid w:val="24877D1C"/>
    <w:rsid w:val="248B0E8F"/>
    <w:rsid w:val="248F3D6A"/>
    <w:rsid w:val="25214496"/>
    <w:rsid w:val="253F23A5"/>
    <w:rsid w:val="25BD08DC"/>
    <w:rsid w:val="26034DAC"/>
    <w:rsid w:val="26437C73"/>
    <w:rsid w:val="267047E0"/>
    <w:rsid w:val="26804A23"/>
    <w:rsid w:val="268C786C"/>
    <w:rsid w:val="26B4291F"/>
    <w:rsid w:val="26CC7C68"/>
    <w:rsid w:val="26EC5081"/>
    <w:rsid w:val="271E423C"/>
    <w:rsid w:val="273E5401"/>
    <w:rsid w:val="27932534"/>
    <w:rsid w:val="279462AC"/>
    <w:rsid w:val="281E2746"/>
    <w:rsid w:val="28800981"/>
    <w:rsid w:val="28904CC6"/>
    <w:rsid w:val="28BE7A85"/>
    <w:rsid w:val="294F4B81"/>
    <w:rsid w:val="29691C77"/>
    <w:rsid w:val="2A07545B"/>
    <w:rsid w:val="2AAA4765"/>
    <w:rsid w:val="2AFB6D6E"/>
    <w:rsid w:val="2B7E174D"/>
    <w:rsid w:val="2BB62D59"/>
    <w:rsid w:val="2C444745"/>
    <w:rsid w:val="2C844B41"/>
    <w:rsid w:val="2C8E776E"/>
    <w:rsid w:val="2CA638F0"/>
    <w:rsid w:val="2CEB696E"/>
    <w:rsid w:val="2CF27CFD"/>
    <w:rsid w:val="2D151C3D"/>
    <w:rsid w:val="2D3E2F42"/>
    <w:rsid w:val="2D6F57F1"/>
    <w:rsid w:val="2D8079FF"/>
    <w:rsid w:val="2DA336ED"/>
    <w:rsid w:val="2DD13DB6"/>
    <w:rsid w:val="2E24482E"/>
    <w:rsid w:val="2E366468"/>
    <w:rsid w:val="2E652F92"/>
    <w:rsid w:val="2E7A26A0"/>
    <w:rsid w:val="2E870919"/>
    <w:rsid w:val="2EE30245"/>
    <w:rsid w:val="2F8F3F29"/>
    <w:rsid w:val="2FD302BA"/>
    <w:rsid w:val="305D6F7F"/>
    <w:rsid w:val="30BF25EC"/>
    <w:rsid w:val="30D64643"/>
    <w:rsid w:val="30F229C1"/>
    <w:rsid w:val="317653A0"/>
    <w:rsid w:val="317C228B"/>
    <w:rsid w:val="317E24A7"/>
    <w:rsid w:val="323808A8"/>
    <w:rsid w:val="323E642A"/>
    <w:rsid w:val="325D3E6B"/>
    <w:rsid w:val="327864CE"/>
    <w:rsid w:val="328E04C8"/>
    <w:rsid w:val="32C24615"/>
    <w:rsid w:val="32E00C87"/>
    <w:rsid w:val="33491AF4"/>
    <w:rsid w:val="3355548A"/>
    <w:rsid w:val="33863895"/>
    <w:rsid w:val="33CD6DCE"/>
    <w:rsid w:val="33D3107B"/>
    <w:rsid w:val="344D6B74"/>
    <w:rsid w:val="34B10D56"/>
    <w:rsid w:val="354D6418"/>
    <w:rsid w:val="357716E7"/>
    <w:rsid w:val="357A4D33"/>
    <w:rsid w:val="359D4169"/>
    <w:rsid w:val="363C0689"/>
    <w:rsid w:val="364F61C0"/>
    <w:rsid w:val="36B129D7"/>
    <w:rsid w:val="37620175"/>
    <w:rsid w:val="3768578B"/>
    <w:rsid w:val="38675A43"/>
    <w:rsid w:val="394C2E8B"/>
    <w:rsid w:val="39C12F31"/>
    <w:rsid w:val="39C62C3D"/>
    <w:rsid w:val="39D114EA"/>
    <w:rsid w:val="39E44E71"/>
    <w:rsid w:val="39F11FAC"/>
    <w:rsid w:val="39FF7EFD"/>
    <w:rsid w:val="3A462D59"/>
    <w:rsid w:val="3A571AE7"/>
    <w:rsid w:val="3AD604B2"/>
    <w:rsid w:val="3AE27603"/>
    <w:rsid w:val="3B1479D8"/>
    <w:rsid w:val="3BB83F2C"/>
    <w:rsid w:val="3BFC64A2"/>
    <w:rsid w:val="3C1F6635"/>
    <w:rsid w:val="3C3A521C"/>
    <w:rsid w:val="3C3D3B2D"/>
    <w:rsid w:val="3C4A1903"/>
    <w:rsid w:val="3C4B0D65"/>
    <w:rsid w:val="3C597D99"/>
    <w:rsid w:val="3C88242C"/>
    <w:rsid w:val="3CE33B06"/>
    <w:rsid w:val="3D8126C0"/>
    <w:rsid w:val="3DA66681"/>
    <w:rsid w:val="3DB334D8"/>
    <w:rsid w:val="3E2E7003"/>
    <w:rsid w:val="3E391C30"/>
    <w:rsid w:val="3E7346AA"/>
    <w:rsid w:val="3EA352FB"/>
    <w:rsid w:val="3EB72B54"/>
    <w:rsid w:val="3F054910"/>
    <w:rsid w:val="3F450160"/>
    <w:rsid w:val="3F780536"/>
    <w:rsid w:val="3F9E5AC2"/>
    <w:rsid w:val="3FCF3ECE"/>
    <w:rsid w:val="3FEF631E"/>
    <w:rsid w:val="404D19C2"/>
    <w:rsid w:val="4076741A"/>
    <w:rsid w:val="40C94DC1"/>
    <w:rsid w:val="414B6979"/>
    <w:rsid w:val="4185309F"/>
    <w:rsid w:val="418F600A"/>
    <w:rsid w:val="419929E5"/>
    <w:rsid w:val="41B01BE8"/>
    <w:rsid w:val="41E21304"/>
    <w:rsid w:val="421F2EEA"/>
    <w:rsid w:val="422624CB"/>
    <w:rsid w:val="42B23D5F"/>
    <w:rsid w:val="42F36125"/>
    <w:rsid w:val="43021F9F"/>
    <w:rsid w:val="43284021"/>
    <w:rsid w:val="435629F7"/>
    <w:rsid w:val="43650DD1"/>
    <w:rsid w:val="43AF4742"/>
    <w:rsid w:val="445D2BF8"/>
    <w:rsid w:val="447339C1"/>
    <w:rsid w:val="44F71EFD"/>
    <w:rsid w:val="451A208F"/>
    <w:rsid w:val="454A1AA6"/>
    <w:rsid w:val="45790B64"/>
    <w:rsid w:val="45B002FD"/>
    <w:rsid w:val="46095A4C"/>
    <w:rsid w:val="46E464B1"/>
    <w:rsid w:val="46E57892"/>
    <w:rsid w:val="47631ACB"/>
    <w:rsid w:val="47B42327"/>
    <w:rsid w:val="48006E83"/>
    <w:rsid w:val="482C010F"/>
    <w:rsid w:val="48584F9E"/>
    <w:rsid w:val="4871646A"/>
    <w:rsid w:val="48E7672C"/>
    <w:rsid w:val="4924528A"/>
    <w:rsid w:val="49293F73"/>
    <w:rsid w:val="496A2D5C"/>
    <w:rsid w:val="49C12A19"/>
    <w:rsid w:val="49EF3AEA"/>
    <w:rsid w:val="4A1672C9"/>
    <w:rsid w:val="4A205A52"/>
    <w:rsid w:val="4A4C6847"/>
    <w:rsid w:val="4A565917"/>
    <w:rsid w:val="4AB60164"/>
    <w:rsid w:val="4B6202EC"/>
    <w:rsid w:val="4B62209A"/>
    <w:rsid w:val="4BA34B8C"/>
    <w:rsid w:val="4BA41C4F"/>
    <w:rsid w:val="4BA6467C"/>
    <w:rsid w:val="4BCB40E3"/>
    <w:rsid w:val="4C343A36"/>
    <w:rsid w:val="4C404189"/>
    <w:rsid w:val="4C4407C8"/>
    <w:rsid w:val="4C6A7458"/>
    <w:rsid w:val="4C9F663F"/>
    <w:rsid w:val="4CD148B2"/>
    <w:rsid w:val="4D021D86"/>
    <w:rsid w:val="4D2717ED"/>
    <w:rsid w:val="4D2A1E9B"/>
    <w:rsid w:val="4DCD4142"/>
    <w:rsid w:val="4E6B0ACB"/>
    <w:rsid w:val="4E791BD4"/>
    <w:rsid w:val="4E9407BC"/>
    <w:rsid w:val="4ECB4475"/>
    <w:rsid w:val="4EEF633A"/>
    <w:rsid w:val="4F8922EB"/>
    <w:rsid w:val="4FC82E13"/>
    <w:rsid w:val="501E3056"/>
    <w:rsid w:val="5025275C"/>
    <w:rsid w:val="50342257"/>
    <w:rsid w:val="50487AB0"/>
    <w:rsid w:val="50500771"/>
    <w:rsid w:val="5052092F"/>
    <w:rsid w:val="50770396"/>
    <w:rsid w:val="507D6E7C"/>
    <w:rsid w:val="50EC48E0"/>
    <w:rsid w:val="51226553"/>
    <w:rsid w:val="51A60F32"/>
    <w:rsid w:val="51B573C7"/>
    <w:rsid w:val="51C70EA9"/>
    <w:rsid w:val="51D3784E"/>
    <w:rsid w:val="52216F54"/>
    <w:rsid w:val="52506890"/>
    <w:rsid w:val="525F10E1"/>
    <w:rsid w:val="52DC5653"/>
    <w:rsid w:val="53182782"/>
    <w:rsid w:val="539D6365"/>
    <w:rsid w:val="53A72D40"/>
    <w:rsid w:val="54696247"/>
    <w:rsid w:val="555111B5"/>
    <w:rsid w:val="555D5520"/>
    <w:rsid w:val="55B31E70"/>
    <w:rsid w:val="55F67FAE"/>
    <w:rsid w:val="56224EDE"/>
    <w:rsid w:val="562543F0"/>
    <w:rsid w:val="56617B1E"/>
    <w:rsid w:val="56DC53F6"/>
    <w:rsid w:val="56ED13B1"/>
    <w:rsid w:val="56ED3255"/>
    <w:rsid w:val="57081D47"/>
    <w:rsid w:val="57315C98"/>
    <w:rsid w:val="574A6804"/>
    <w:rsid w:val="57A777B2"/>
    <w:rsid w:val="57CA34A1"/>
    <w:rsid w:val="57DE6F4C"/>
    <w:rsid w:val="582901C7"/>
    <w:rsid w:val="586B6A32"/>
    <w:rsid w:val="58726012"/>
    <w:rsid w:val="58923DF8"/>
    <w:rsid w:val="58EA204C"/>
    <w:rsid w:val="58F9524E"/>
    <w:rsid w:val="59573D7A"/>
    <w:rsid w:val="596D0E3B"/>
    <w:rsid w:val="59713960"/>
    <w:rsid w:val="59B85CA7"/>
    <w:rsid w:val="59E27887"/>
    <w:rsid w:val="5A403EEE"/>
    <w:rsid w:val="5A706581"/>
    <w:rsid w:val="5AD20FEA"/>
    <w:rsid w:val="5AEE0773"/>
    <w:rsid w:val="5AFC6067"/>
    <w:rsid w:val="5B6531E7"/>
    <w:rsid w:val="5B7420A1"/>
    <w:rsid w:val="5BBE50CA"/>
    <w:rsid w:val="5C1967A5"/>
    <w:rsid w:val="5C245875"/>
    <w:rsid w:val="5C741C2D"/>
    <w:rsid w:val="5C7D4F86"/>
    <w:rsid w:val="5CDF6725"/>
    <w:rsid w:val="5CE768A3"/>
    <w:rsid w:val="5CF848FE"/>
    <w:rsid w:val="5D1E583C"/>
    <w:rsid w:val="5D7E7207"/>
    <w:rsid w:val="5D7F6ADB"/>
    <w:rsid w:val="5DF11787"/>
    <w:rsid w:val="5E053485"/>
    <w:rsid w:val="5E18345C"/>
    <w:rsid w:val="5E875C48"/>
    <w:rsid w:val="5EE949D8"/>
    <w:rsid w:val="5EFF1C82"/>
    <w:rsid w:val="5F42509B"/>
    <w:rsid w:val="5F4973A1"/>
    <w:rsid w:val="5FA240F7"/>
    <w:rsid w:val="5FC92290"/>
    <w:rsid w:val="5FE5531C"/>
    <w:rsid w:val="5FF94A51"/>
    <w:rsid w:val="5FFB4B3F"/>
    <w:rsid w:val="60807BFF"/>
    <w:rsid w:val="60BC29F1"/>
    <w:rsid w:val="60CC2038"/>
    <w:rsid w:val="60FF41BB"/>
    <w:rsid w:val="61534507"/>
    <w:rsid w:val="6166423A"/>
    <w:rsid w:val="61677179"/>
    <w:rsid w:val="61D75138"/>
    <w:rsid w:val="620F1AC2"/>
    <w:rsid w:val="62381851"/>
    <w:rsid w:val="62516C98"/>
    <w:rsid w:val="626C3A00"/>
    <w:rsid w:val="6297421E"/>
    <w:rsid w:val="62BE3C02"/>
    <w:rsid w:val="62C0164B"/>
    <w:rsid w:val="630E4B89"/>
    <w:rsid w:val="639B04FC"/>
    <w:rsid w:val="63DA2CBD"/>
    <w:rsid w:val="63FD6F73"/>
    <w:rsid w:val="64B11C70"/>
    <w:rsid w:val="64BA096A"/>
    <w:rsid w:val="64D4595F"/>
    <w:rsid w:val="64D92F75"/>
    <w:rsid w:val="65206DF6"/>
    <w:rsid w:val="65A17F37"/>
    <w:rsid w:val="65B4446B"/>
    <w:rsid w:val="65C47B38"/>
    <w:rsid w:val="65D327C2"/>
    <w:rsid w:val="65DD6180"/>
    <w:rsid w:val="65F067C8"/>
    <w:rsid w:val="66636F9A"/>
    <w:rsid w:val="66723681"/>
    <w:rsid w:val="668F4233"/>
    <w:rsid w:val="66AC6C42"/>
    <w:rsid w:val="66BC48FC"/>
    <w:rsid w:val="66BE68C6"/>
    <w:rsid w:val="66DC6D4D"/>
    <w:rsid w:val="6716225F"/>
    <w:rsid w:val="6747066A"/>
    <w:rsid w:val="67786A75"/>
    <w:rsid w:val="681A5D7E"/>
    <w:rsid w:val="684853FD"/>
    <w:rsid w:val="68B47F81"/>
    <w:rsid w:val="68E343C2"/>
    <w:rsid w:val="68EF720B"/>
    <w:rsid w:val="68F77E6E"/>
    <w:rsid w:val="694B0821"/>
    <w:rsid w:val="698536CB"/>
    <w:rsid w:val="69BB70ED"/>
    <w:rsid w:val="69BD10B7"/>
    <w:rsid w:val="69C77840"/>
    <w:rsid w:val="69D00DEB"/>
    <w:rsid w:val="69FB730E"/>
    <w:rsid w:val="6A3D7B02"/>
    <w:rsid w:val="6A8E65B0"/>
    <w:rsid w:val="6B5275DD"/>
    <w:rsid w:val="6B560E7C"/>
    <w:rsid w:val="6C0F54CE"/>
    <w:rsid w:val="6C172D01"/>
    <w:rsid w:val="6C180827"/>
    <w:rsid w:val="6C4933FE"/>
    <w:rsid w:val="6C64581A"/>
    <w:rsid w:val="6C97799E"/>
    <w:rsid w:val="6CDE381E"/>
    <w:rsid w:val="6D0668D1"/>
    <w:rsid w:val="6D0A63C2"/>
    <w:rsid w:val="6DB427D1"/>
    <w:rsid w:val="6DBA30B1"/>
    <w:rsid w:val="6F030F56"/>
    <w:rsid w:val="6F525DFE"/>
    <w:rsid w:val="6F71097A"/>
    <w:rsid w:val="6FEA072C"/>
    <w:rsid w:val="6FF944CB"/>
    <w:rsid w:val="70473489"/>
    <w:rsid w:val="704F233D"/>
    <w:rsid w:val="70853FB1"/>
    <w:rsid w:val="70AD3C34"/>
    <w:rsid w:val="70F77CFF"/>
    <w:rsid w:val="71333A0D"/>
    <w:rsid w:val="716F2C97"/>
    <w:rsid w:val="71A36DE5"/>
    <w:rsid w:val="71AE4710"/>
    <w:rsid w:val="71CB1E97"/>
    <w:rsid w:val="7284250C"/>
    <w:rsid w:val="7298621E"/>
    <w:rsid w:val="72D354A8"/>
    <w:rsid w:val="73090EC9"/>
    <w:rsid w:val="73155AC0"/>
    <w:rsid w:val="733777E5"/>
    <w:rsid w:val="7346211D"/>
    <w:rsid w:val="735013B2"/>
    <w:rsid w:val="7420296E"/>
    <w:rsid w:val="748C1DB2"/>
    <w:rsid w:val="749173C8"/>
    <w:rsid w:val="74FC0CE6"/>
    <w:rsid w:val="75306BE1"/>
    <w:rsid w:val="75AF5D58"/>
    <w:rsid w:val="762322A2"/>
    <w:rsid w:val="76277FE4"/>
    <w:rsid w:val="76373F9F"/>
    <w:rsid w:val="765E152C"/>
    <w:rsid w:val="76780840"/>
    <w:rsid w:val="77513BD8"/>
    <w:rsid w:val="776668EA"/>
    <w:rsid w:val="77F2017E"/>
    <w:rsid w:val="77F35CA4"/>
    <w:rsid w:val="780E2ADE"/>
    <w:rsid w:val="78294913"/>
    <w:rsid w:val="788039DC"/>
    <w:rsid w:val="78F16688"/>
    <w:rsid w:val="7924080B"/>
    <w:rsid w:val="7956403C"/>
    <w:rsid w:val="795A422D"/>
    <w:rsid w:val="79FE72AE"/>
    <w:rsid w:val="7B220D7A"/>
    <w:rsid w:val="7BC10593"/>
    <w:rsid w:val="7C1D0250"/>
    <w:rsid w:val="7C296138"/>
    <w:rsid w:val="7C8617DD"/>
    <w:rsid w:val="7C961A20"/>
    <w:rsid w:val="7C977546"/>
    <w:rsid w:val="7CB4634A"/>
    <w:rsid w:val="7D5B587B"/>
    <w:rsid w:val="7D777A3E"/>
    <w:rsid w:val="7DBF6B2A"/>
    <w:rsid w:val="7DD62F81"/>
    <w:rsid w:val="7DE1316F"/>
    <w:rsid w:val="7DEB7B49"/>
    <w:rsid w:val="7DFC1D56"/>
    <w:rsid w:val="7E2D0162"/>
    <w:rsid w:val="7E307C52"/>
    <w:rsid w:val="7E3A462D"/>
    <w:rsid w:val="7E525E1A"/>
    <w:rsid w:val="7EA36676"/>
    <w:rsid w:val="7F0A2251"/>
    <w:rsid w:val="7F1906E6"/>
    <w:rsid w:val="7F435763"/>
    <w:rsid w:val="7F5B7AA5"/>
    <w:rsid w:val="7F5D6825"/>
    <w:rsid w:val="7F8A5140"/>
    <w:rsid w:val="7F983D01"/>
    <w:rsid w:val="7FB67D78"/>
    <w:rsid w:val="7FBB354B"/>
    <w:rsid w:val="7FE5681A"/>
    <w:rsid w:val="7FFD1D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99"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35" w:semiHidden="0" w:name="caption"/>
    <w:lsdException w:qFormat="1" w:unhideWhenUsed="0" w:uiPriority="99" w:semiHidden="0" w:name="table of figures"/>
    <w:lsdException w:uiPriority="99" w:name="envelope address"/>
    <w:lsdException w:qFormat="1" w:unhideWhenUsed="0" w:uiPriority="0" w:semiHidden="0" w:name="envelope return"/>
    <w:lsdException w:qFormat="1" w:unhideWhenUsed="0" w:uiPriority="99" w:semiHidden="0" w:name="footnote reference"/>
    <w:lsdException w:qFormat="1" w:unhideWhenUsed="0" w:uiPriority="99" w:semiHidden="0" w:name="annotation reference"/>
    <w:lsdException w:uiPriority="99" w:name="line number"/>
    <w:lsdException w:uiPriority="99" w:name="page number"/>
    <w:lsdException w:qFormat="1" w:unhideWhenUsed="0" w:uiPriority="99" w:semiHidden="0" w:name="endnote reference"/>
    <w:lsdException w:qFormat="1" w:unhideWhenUsed="0"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99" w:semiHidden="0"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2"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7"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Arial" w:hAnsi="Arial" w:eastAsia="宋体" w:cs="Arial"/>
      <w:color w:val="000000"/>
      <w:sz w:val="21"/>
      <w:szCs w:val="21"/>
      <w:lang w:val="en-US" w:eastAsia="zh-CN" w:bidi="ar-SA"/>
    </w:rPr>
  </w:style>
  <w:style w:type="paragraph" w:styleId="2">
    <w:name w:val="heading 1"/>
    <w:basedOn w:val="1"/>
    <w:next w:val="1"/>
    <w:link w:val="46"/>
    <w:qFormat/>
    <w:uiPriority w:val="9"/>
    <w:pPr>
      <w:keepNext/>
      <w:keepLines/>
      <w:spacing w:before="480" w:after="200"/>
      <w:outlineLvl w:val="0"/>
    </w:pPr>
    <w:rPr>
      <w:rFonts w:eastAsia="Arial"/>
      <w:sz w:val="40"/>
      <w:szCs w:val="40"/>
    </w:rPr>
  </w:style>
  <w:style w:type="paragraph" w:styleId="3">
    <w:name w:val="heading 2"/>
    <w:basedOn w:val="1"/>
    <w:next w:val="1"/>
    <w:link w:val="47"/>
    <w:semiHidden/>
    <w:unhideWhenUsed/>
    <w:qFormat/>
    <w:uiPriority w:val="9"/>
    <w:pPr>
      <w:keepNext/>
      <w:keepLines/>
      <w:spacing w:before="360" w:after="200"/>
      <w:outlineLvl w:val="1"/>
    </w:pPr>
    <w:rPr>
      <w:rFonts w:eastAsia="Arial"/>
      <w:sz w:val="34"/>
    </w:rPr>
  </w:style>
  <w:style w:type="paragraph" w:styleId="4">
    <w:name w:val="heading 3"/>
    <w:basedOn w:val="1"/>
    <w:next w:val="1"/>
    <w:link w:val="48"/>
    <w:semiHidden/>
    <w:unhideWhenUsed/>
    <w:qFormat/>
    <w:uiPriority w:val="9"/>
    <w:pPr>
      <w:keepNext/>
      <w:keepLines/>
      <w:spacing w:before="320" w:after="200"/>
      <w:outlineLvl w:val="2"/>
    </w:pPr>
    <w:rPr>
      <w:rFonts w:eastAsia="Arial"/>
      <w:sz w:val="30"/>
      <w:szCs w:val="30"/>
    </w:rPr>
  </w:style>
  <w:style w:type="paragraph" w:styleId="5">
    <w:name w:val="heading 4"/>
    <w:basedOn w:val="1"/>
    <w:next w:val="1"/>
    <w:link w:val="49"/>
    <w:semiHidden/>
    <w:unhideWhenUsed/>
    <w:qFormat/>
    <w:uiPriority w:val="9"/>
    <w:pPr>
      <w:keepNext/>
      <w:keepLines/>
      <w:spacing w:before="320" w:after="200"/>
      <w:outlineLvl w:val="3"/>
    </w:pPr>
    <w:rPr>
      <w:rFonts w:eastAsia="Arial"/>
      <w:b/>
      <w:bCs/>
      <w:sz w:val="26"/>
      <w:szCs w:val="26"/>
    </w:rPr>
  </w:style>
  <w:style w:type="paragraph" w:styleId="6">
    <w:name w:val="heading 5"/>
    <w:basedOn w:val="1"/>
    <w:next w:val="1"/>
    <w:link w:val="50"/>
    <w:semiHidden/>
    <w:unhideWhenUsed/>
    <w:qFormat/>
    <w:uiPriority w:val="9"/>
    <w:pPr>
      <w:keepNext/>
      <w:keepLines/>
      <w:spacing w:before="320" w:after="200"/>
      <w:outlineLvl w:val="4"/>
    </w:pPr>
    <w:rPr>
      <w:rFonts w:eastAsia="Arial"/>
      <w:b/>
      <w:bCs/>
      <w:sz w:val="24"/>
      <w:szCs w:val="24"/>
    </w:rPr>
  </w:style>
  <w:style w:type="paragraph" w:styleId="7">
    <w:name w:val="heading 6"/>
    <w:basedOn w:val="1"/>
    <w:next w:val="1"/>
    <w:link w:val="51"/>
    <w:semiHidden/>
    <w:unhideWhenUsed/>
    <w:qFormat/>
    <w:uiPriority w:val="9"/>
    <w:pPr>
      <w:keepNext/>
      <w:keepLines/>
      <w:spacing w:before="320" w:after="200"/>
      <w:outlineLvl w:val="5"/>
    </w:pPr>
    <w:rPr>
      <w:rFonts w:eastAsia="Arial"/>
      <w:b/>
      <w:bCs/>
      <w:sz w:val="22"/>
      <w:szCs w:val="22"/>
    </w:rPr>
  </w:style>
  <w:style w:type="paragraph" w:styleId="8">
    <w:name w:val="heading 7"/>
    <w:basedOn w:val="1"/>
    <w:next w:val="1"/>
    <w:link w:val="52"/>
    <w:qFormat/>
    <w:uiPriority w:val="9"/>
    <w:pPr>
      <w:keepNext/>
      <w:keepLines/>
      <w:spacing w:before="320" w:after="200"/>
      <w:outlineLvl w:val="6"/>
    </w:pPr>
    <w:rPr>
      <w:rFonts w:eastAsia="Arial"/>
      <w:b/>
      <w:bCs/>
      <w:i/>
      <w:iCs/>
      <w:sz w:val="22"/>
      <w:szCs w:val="22"/>
    </w:rPr>
  </w:style>
  <w:style w:type="paragraph" w:styleId="9">
    <w:name w:val="heading 8"/>
    <w:basedOn w:val="1"/>
    <w:next w:val="1"/>
    <w:link w:val="53"/>
    <w:qFormat/>
    <w:uiPriority w:val="9"/>
    <w:pPr>
      <w:keepNext/>
      <w:keepLines/>
      <w:spacing w:before="320" w:after="200"/>
      <w:outlineLvl w:val="7"/>
    </w:pPr>
    <w:rPr>
      <w:rFonts w:eastAsia="Arial"/>
      <w:i/>
      <w:iCs/>
      <w:sz w:val="22"/>
      <w:szCs w:val="22"/>
    </w:rPr>
  </w:style>
  <w:style w:type="paragraph" w:styleId="10">
    <w:name w:val="heading 9"/>
    <w:basedOn w:val="1"/>
    <w:next w:val="1"/>
    <w:link w:val="54"/>
    <w:qFormat/>
    <w:uiPriority w:val="9"/>
    <w:pPr>
      <w:keepNext/>
      <w:keepLines/>
      <w:spacing w:before="320" w:after="200"/>
      <w:outlineLvl w:val="8"/>
    </w:pPr>
    <w:rPr>
      <w:rFonts w:eastAsia="Arial"/>
      <w:i/>
      <w:iCs/>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spacing w:after="57"/>
      <w:ind w:left="1701"/>
    </w:pPr>
  </w:style>
  <w:style w:type="paragraph" w:styleId="12">
    <w:name w:val="Normal Indent"/>
    <w:basedOn w:val="1"/>
    <w:qFormat/>
    <w:uiPriority w:val="0"/>
    <w:pPr>
      <w:ind w:firstLine="420" w:firstLineChars="200"/>
    </w:pPr>
  </w:style>
  <w:style w:type="paragraph" w:styleId="13">
    <w:name w:val="caption"/>
    <w:basedOn w:val="1"/>
    <w:next w:val="1"/>
    <w:qFormat/>
    <w:uiPriority w:val="35"/>
    <w:pPr>
      <w:spacing w:line="276" w:lineRule="auto"/>
    </w:pPr>
    <w:rPr>
      <w:b/>
      <w:bCs/>
      <w:color w:val="4F81BD"/>
      <w:sz w:val="18"/>
      <w:szCs w:val="18"/>
    </w:rPr>
  </w:style>
  <w:style w:type="paragraph" w:styleId="14">
    <w:name w:val="annotation text"/>
    <w:basedOn w:val="1"/>
    <w:link w:val="314"/>
    <w:qFormat/>
    <w:uiPriority w:val="99"/>
    <w:pPr>
      <w:jc w:val="left"/>
    </w:pPr>
  </w:style>
  <w:style w:type="paragraph" w:styleId="15">
    <w:name w:val="Body Text"/>
    <w:basedOn w:val="1"/>
    <w:next w:val="16"/>
    <w:qFormat/>
    <w:uiPriority w:val="0"/>
    <w:pPr>
      <w:ind w:firstLine="482" w:firstLineChars="200"/>
    </w:pPr>
    <w:rPr>
      <w:rFonts w:hAnsi="宋体"/>
      <w:szCs w:val="24"/>
      <w:lang w:val="zh-CN"/>
    </w:rPr>
  </w:style>
  <w:style w:type="paragraph" w:styleId="16">
    <w:name w:val="toc 2"/>
    <w:basedOn w:val="1"/>
    <w:next w:val="1"/>
    <w:qFormat/>
    <w:uiPriority w:val="39"/>
    <w:pPr>
      <w:spacing w:after="57"/>
      <w:ind w:left="283"/>
    </w:pPr>
  </w:style>
  <w:style w:type="paragraph" w:styleId="17">
    <w:name w:val="Body Text Indent"/>
    <w:basedOn w:val="1"/>
    <w:next w:val="18"/>
    <w:qFormat/>
    <w:uiPriority w:val="0"/>
    <w:pPr>
      <w:spacing w:after="120"/>
      <w:ind w:left="420" w:leftChars="200"/>
    </w:pPr>
    <w:rPr>
      <w:rFonts w:ascii="Times New Roman" w:hAnsi="Times New Roman" w:cs="Times New Roman"/>
      <w:b/>
      <w:position w:val="-10"/>
      <w:sz w:val="24"/>
      <w:szCs w:val="20"/>
    </w:rPr>
  </w:style>
  <w:style w:type="paragraph" w:styleId="18">
    <w:name w:val="envelope return"/>
    <w:basedOn w:val="1"/>
    <w:qFormat/>
    <w:uiPriority w:val="0"/>
    <w:pPr>
      <w:snapToGrid w:val="0"/>
    </w:pPr>
  </w:style>
  <w:style w:type="paragraph" w:styleId="19">
    <w:name w:val="toc 5"/>
    <w:basedOn w:val="1"/>
    <w:next w:val="1"/>
    <w:qFormat/>
    <w:uiPriority w:val="39"/>
    <w:pPr>
      <w:spacing w:after="57"/>
      <w:ind w:left="1134"/>
    </w:pPr>
  </w:style>
  <w:style w:type="paragraph" w:styleId="20">
    <w:name w:val="toc 3"/>
    <w:basedOn w:val="1"/>
    <w:next w:val="1"/>
    <w:qFormat/>
    <w:uiPriority w:val="39"/>
    <w:pPr>
      <w:spacing w:after="57"/>
      <w:ind w:left="567"/>
    </w:pPr>
  </w:style>
  <w:style w:type="paragraph" w:styleId="21">
    <w:name w:val="toc 8"/>
    <w:basedOn w:val="1"/>
    <w:next w:val="1"/>
    <w:qFormat/>
    <w:uiPriority w:val="39"/>
    <w:pPr>
      <w:spacing w:after="57"/>
      <w:ind w:left="1984"/>
    </w:pPr>
  </w:style>
  <w:style w:type="paragraph" w:styleId="22">
    <w:name w:val="Body Text Indent 2"/>
    <w:basedOn w:val="1"/>
    <w:link w:val="317"/>
    <w:qFormat/>
    <w:uiPriority w:val="99"/>
    <w:pPr>
      <w:spacing w:after="120" w:line="480" w:lineRule="auto"/>
      <w:ind w:left="420" w:leftChars="200"/>
    </w:pPr>
  </w:style>
  <w:style w:type="paragraph" w:styleId="23">
    <w:name w:val="endnote text"/>
    <w:basedOn w:val="1"/>
    <w:link w:val="190"/>
    <w:qFormat/>
    <w:uiPriority w:val="99"/>
    <w:rPr>
      <w:sz w:val="20"/>
    </w:rPr>
  </w:style>
  <w:style w:type="paragraph" w:styleId="24">
    <w:name w:val="footer"/>
    <w:basedOn w:val="1"/>
    <w:link w:val="63"/>
    <w:qFormat/>
    <w:uiPriority w:val="99"/>
    <w:pPr>
      <w:tabs>
        <w:tab w:val="center" w:pos="7143"/>
        <w:tab w:val="right" w:pos="14287"/>
      </w:tabs>
    </w:pPr>
  </w:style>
  <w:style w:type="paragraph" w:styleId="25">
    <w:name w:val="header"/>
    <w:basedOn w:val="1"/>
    <w:link w:val="61"/>
    <w:qFormat/>
    <w:uiPriority w:val="99"/>
    <w:pPr>
      <w:tabs>
        <w:tab w:val="center" w:pos="7143"/>
        <w:tab w:val="right" w:pos="14287"/>
      </w:tabs>
    </w:pPr>
  </w:style>
  <w:style w:type="paragraph" w:styleId="26">
    <w:name w:val="toc 1"/>
    <w:basedOn w:val="1"/>
    <w:next w:val="1"/>
    <w:qFormat/>
    <w:uiPriority w:val="39"/>
    <w:pPr>
      <w:spacing w:after="57"/>
    </w:pPr>
  </w:style>
  <w:style w:type="paragraph" w:styleId="27">
    <w:name w:val="toc 4"/>
    <w:basedOn w:val="1"/>
    <w:next w:val="1"/>
    <w:qFormat/>
    <w:uiPriority w:val="39"/>
    <w:pPr>
      <w:spacing w:after="57"/>
      <w:ind w:left="850"/>
    </w:pPr>
  </w:style>
  <w:style w:type="paragraph" w:styleId="28">
    <w:name w:val="Subtitle"/>
    <w:basedOn w:val="1"/>
    <w:next w:val="1"/>
    <w:link w:val="56"/>
    <w:qFormat/>
    <w:uiPriority w:val="11"/>
    <w:pPr>
      <w:spacing w:before="200" w:after="200"/>
    </w:pPr>
    <w:rPr>
      <w:sz w:val="24"/>
      <w:szCs w:val="24"/>
    </w:rPr>
  </w:style>
  <w:style w:type="paragraph" w:styleId="29">
    <w:name w:val="footnote text"/>
    <w:basedOn w:val="1"/>
    <w:link w:val="189"/>
    <w:qFormat/>
    <w:uiPriority w:val="99"/>
    <w:pPr>
      <w:spacing w:after="40"/>
    </w:pPr>
    <w:rPr>
      <w:sz w:val="18"/>
    </w:rPr>
  </w:style>
  <w:style w:type="paragraph" w:styleId="30">
    <w:name w:val="toc 6"/>
    <w:basedOn w:val="1"/>
    <w:next w:val="1"/>
    <w:qFormat/>
    <w:uiPriority w:val="39"/>
    <w:pPr>
      <w:spacing w:after="57"/>
      <w:ind w:left="1417"/>
    </w:pPr>
  </w:style>
  <w:style w:type="paragraph" w:styleId="31">
    <w:name w:val="table of figures"/>
    <w:basedOn w:val="1"/>
    <w:next w:val="1"/>
    <w:qFormat/>
    <w:uiPriority w:val="99"/>
  </w:style>
  <w:style w:type="paragraph" w:styleId="32">
    <w:name w:val="toc 9"/>
    <w:basedOn w:val="1"/>
    <w:next w:val="1"/>
    <w:qFormat/>
    <w:uiPriority w:val="39"/>
    <w:pPr>
      <w:spacing w:after="57"/>
      <w:ind w:left="2268"/>
    </w:pPr>
  </w:style>
  <w:style w:type="paragraph" w:styleId="33">
    <w:name w:val="Body Text 2"/>
    <w:basedOn w:val="1"/>
    <w:qFormat/>
    <w:uiPriority w:val="0"/>
    <w:pPr>
      <w:jc w:val="center"/>
    </w:pPr>
    <w:rPr>
      <w:rFonts w:ascii="Times New Roman" w:hAnsi="Times New Roman" w:cs="Times New Roman"/>
      <w:b/>
      <w:bCs/>
      <w:sz w:val="72"/>
      <w:szCs w:val="20"/>
    </w:rPr>
  </w:style>
  <w:style w:type="paragraph" w:styleId="34">
    <w:name w:val="Title"/>
    <w:basedOn w:val="1"/>
    <w:next w:val="1"/>
    <w:link w:val="55"/>
    <w:qFormat/>
    <w:uiPriority w:val="10"/>
    <w:pPr>
      <w:spacing w:before="300" w:after="200"/>
      <w:contextualSpacing/>
    </w:pPr>
    <w:rPr>
      <w:sz w:val="48"/>
      <w:szCs w:val="48"/>
    </w:rPr>
  </w:style>
  <w:style w:type="paragraph" w:styleId="35">
    <w:name w:val="annotation subject"/>
    <w:basedOn w:val="14"/>
    <w:next w:val="14"/>
    <w:link w:val="315"/>
    <w:qFormat/>
    <w:uiPriority w:val="99"/>
    <w:rPr>
      <w:b/>
      <w:bCs/>
    </w:rPr>
  </w:style>
  <w:style w:type="table" w:styleId="37">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endnote reference"/>
    <w:qFormat/>
    <w:uiPriority w:val="99"/>
    <w:rPr>
      <w:vertAlign w:val="superscript"/>
    </w:rPr>
  </w:style>
  <w:style w:type="character" w:styleId="40">
    <w:name w:val="Hyperlink"/>
    <w:qFormat/>
    <w:uiPriority w:val="99"/>
    <w:rPr>
      <w:color w:val="0000FF"/>
      <w:u w:val="single"/>
    </w:rPr>
  </w:style>
  <w:style w:type="character" w:styleId="41">
    <w:name w:val="annotation reference"/>
    <w:basedOn w:val="38"/>
    <w:qFormat/>
    <w:uiPriority w:val="99"/>
    <w:rPr>
      <w:sz w:val="21"/>
      <w:szCs w:val="21"/>
    </w:rPr>
  </w:style>
  <w:style w:type="character" w:styleId="42">
    <w:name w:val="footnote reference"/>
    <w:qFormat/>
    <w:uiPriority w:val="99"/>
    <w:rPr>
      <w:vertAlign w:val="superscript"/>
    </w:rPr>
  </w:style>
  <w:style w:type="paragraph" w:styleId="43">
    <w:name w:val="List Paragraph"/>
    <w:basedOn w:val="1"/>
    <w:qFormat/>
    <w:uiPriority w:val="7"/>
    <w:pPr>
      <w:widowControl/>
      <w:ind w:left="720"/>
      <w:contextualSpacing/>
      <w:jc w:val="left"/>
    </w:pPr>
    <w:rPr>
      <w:rFonts w:ascii="Calibri" w:hAnsi="Calibri" w:cs="Calibri"/>
      <w:sz w:val="24"/>
      <w:szCs w:val="24"/>
      <w:lang w:eastAsia="en-US" w:bidi="en-US"/>
    </w:rPr>
  </w:style>
  <w:style w:type="paragraph" w:customStyle="1" w:styleId="44">
    <w:name w:val="正文文本1"/>
    <w:basedOn w:val="1"/>
    <w:next w:val="1"/>
    <w:qFormat/>
    <w:uiPriority w:val="0"/>
    <w:rPr>
      <w:rFonts w:eastAsia="Arial"/>
      <w:lang w:eastAsia="en-US"/>
    </w:rPr>
  </w:style>
  <w:style w:type="paragraph" w:customStyle="1" w:styleId="45">
    <w:name w:val="标题 41"/>
    <w:basedOn w:val="1"/>
    <w:next w:val="1"/>
    <w:qFormat/>
    <w:uiPriority w:val="6"/>
    <w:pPr>
      <w:keepNext/>
      <w:keepLines/>
      <w:spacing w:before="280" w:after="290" w:line="374" w:lineRule="auto"/>
      <w:outlineLvl w:val="3"/>
    </w:pPr>
    <w:rPr>
      <w:rFonts w:eastAsia="黑体"/>
      <w:b/>
      <w:sz w:val="28"/>
      <w:szCs w:val="28"/>
    </w:rPr>
  </w:style>
  <w:style w:type="character" w:customStyle="1" w:styleId="46">
    <w:name w:val="标题 1 字符"/>
    <w:link w:val="2"/>
    <w:qFormat/>
    <w:uiPriority w:val="9"/>
    <w:rPr>
      <w:rFonts w:ascii="Arial" w:hAnsi="Arial" w:eastAsia="Arial" w:cs="Arial"/>
      <w:sz w:val="40"/>
      <w:szCs w:val="40"/>
    </w:rPr>
  </w:style>
  <w:style w:type="character" w:customStyle="1" w:styleId="47">
    <w:name w:val="标题 2 字符"/>
    <w:link w:val="3"/>
    <w:qFormat/>
    <w:uiPriority w:val="9"/>
    <w:rPr>
      <w:rFonts w:ascii="Arial" w:hAnsi="Arial" w:eastAsia="Arial" w:cs="Arial"/>
      <w:sz w:val="34"/>
    </w:rPr>
  </w:style>
  <w:style w:type="character" w:customStyle="1" w:styleId="48">
    <w:name w:val="标题 3 字符"/>
    <w:link w:val="4"/>
    <w:qFormat/>
    <w:uiPriority w:val="9"/>
    <w:rPr>
      <w:rFonts w:ascii="Arial" w:hAnsi="Arial" w:eastAsia="Arial" w:cs="Arial"/>
      <w:sz w:val="30"/>
      <w:szCs w:val="30"/>
    </w:rPr>
  </w:style>
  <w:style w:type="character" w:customStyle="1" w:styleId="49">
    <w:name w:val="标题 4 字符"/>
    <w:link w:val="5"/>
    <w:qFormat/>
    <w:uiPriority w:val="9"/>
    <w:rPr>
      <w:rFonts w:ascii="Arial" w:hAnsi="Arial" w:eastAsia="Arial" w:cs="Arial"/>
      <w:b/>
      <w:bCs/>
      <w:sz w:val="26"/>
      <w:szCs w:val="26"/>
    </w:rPr>
  </w:style>
  <w:style w:type="character" w:customStyle="1" w:styleId="50">
    <w:name w:val="标题 5 字符"/>
    <w:link w:val="6"/>
    <w:qFormat/>
    <w:uiPriority w:val="9"/>
    <w:rPr>
      <w:rFonts w:ascii="Arial" w:hAnsi="Arial" w:eastAsia="Arial" w:cs="Arial"/>
      <w:b/>
      <w:bCs/>
      <w:sz w:val="24"/>
      <w:szCs w:val="24"/>
    </w:rPr>
  </w:style>
  <w:style w:type="character" w:customStyle="1" w:styleId="51">
    <w:name w:val="标题 6 字符"/>
    <w:link w:val="7"/>
    <w:qFormat/>
    <w:uiPriority w:val="9"/>
    <w:rPr>
      <w:rFonts w:ascii="Arial" w:hAnsi="Arial" w:eastAsia="Arial" w:cs="Arial"/>
      <w:b/>
      <w:bCs/>
      <w:sz w:val="22"/>
      <w:szCs w:val="22"/>
    </w:rPr>
  </w:style>
  <w:style w:type="character" w:customStyle="1" w:styleId="52">
    <w:name w:val="标题 7 字符"/>
    <w:link w:val="8"/>
    <w:qFormat/>
    <w:uiPriority w:val="9"/>
    <w:rPr>
      <w:rFonts w:ascii="Arial" w:hAnsi="Arial" w:eastAsia="Arial" w:cs="Arial"/>
      <w:b/>
      <w:bCs/>
      <w:i/>
      <w:iCs/>
      <w:sz w:val="22"/>
      <w:szCs w:val="22"/>
    </w:rPr>
  </w:style>
  <w:style w:type="character" w:customStyle="1" w:styleId="53">
    <w:name w:val="标题 8 字符"/>
    <w:link w:val="9"/>
    <w:qFormat/>
    <w:uiPriority w:val="9"/>
    <w:rPr>
      <w:rFonts w:ascii="Arial" w:hAnsi="Arial" w:eastAsia="Arial" w:cs="Arial"/>
      <w:i/>
      <w:iCs/>
      <w:sz w:val="22"/>
      <w:szCs w:val="22"/>
    </w:rPr>
  </w:style>
  <w:style w:type="character" w:customStyle="1" w:styleId="54">
    <w:name w:val="标题 9 字符"/>
    <w:link w:val="10"/>
    <w:qFormat/>
    <w:uiPriority w:val="9"/>
    <w:rPr>
      <w:rFonts w:ascii="Arial" w:hAnsi="Arial" w:eastAsia="Arial" w:cs="Arial"/>
      <w:i/>
      <w:iCs/>
      <w:sz w:val="21"/>
      <w:szCs w:val="21"/>
    </w:rPr>
  </w:style>
  <w:style w:type="character" w:customStyle="1" w:styleId="55">
    <w:name w:val="标题 字符"/>
    <w:link w:val="34"/>
    <w:qFormat/>
    <w:uiPriority w:val="10"/>
    <w:rPr>
      <w:sz w:val="48"/>
      <w:szCs w:val="48"/>
    </w:rPr>
  </w:style>
  <w:style w:type="character" w:customStyle="1" w:styleId="56">
    <w:name w:val="副标题 字符"/>
    <w:link w:val="28"/>
    <w:qFormat/>
    <w:uiPriority w:val="11"/>
    <w:rPr>
      <w:sz w:val="24"/>
      <w:szCs w:val="24"/>
    </w:rPr>
  </w:style>
  <w:style w:type="paragraph" w:styleId="57">
    <w:name w:val="Quote"/>
    <w:basedOn w:val="1"/>
    <w:next w:val="1"/>
    <w:link w:val="58"/>
    <w:qFormat/>
    <w:uiPriority w:val="29"/>
    <w:pPr>
      <w:ind w:left="720" w:right="720"/>
    </w:pPr>
    <w:rPr>
      <w:i/>
    </w:rPr>
  </w:style>
  <w:style w:type="character" w:customStyle="1" w:styleId="58">
    <w:name w:val="引用 字符"/>
    <w:link w:val="57"/>
    <w:qFormat/>
    <w:uiPriority w:val="29"/>
    <w:rPr>
      <w:i/>
    </w:rPr>
  </w:style>
  <w:style w:type="paragraph" w:styleId="59">
    <w:name w:val="Intense Quote"/>
    <w:basedOn w:val="1"/>
    <w:next w:val="1"/>
    <w:link w:val="6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0">
    <w:name w:val="明显引用 字符"/>
    <w:link w:val="59"/>
    <w:qFormat/>
    <w:uiPriority w:val="30"/>
    <w:rPr>
      <w:i/>
    </w:rPr>
  </w:style>
  <w:style w:type="character" w:customStyle="1" w:styleId="61">
    <w:name w:val="页眉 字符"/>
    <w:link w:val="25"/>
    <w:qFormat/>
    <w:uiPriority w:val="99"/>
  </w:style>
  <w:style w:type="character" w:customStyle="1" w:styleId="62">
    <w:name w:val="Footer Char_5e549a93-614b-443b-8f73-6b92859bb937"/>
    <w:qFormat/>
    <w:uiPriority w:val="99"/>
  </w:style>
  <w:style w:type="character" w:customStyle="1" w:styleId="63">
    <w:name w:val="页脚 字符"/>
    <w:link w:val="24"/>
    <w:qFormat/>
    <w:uiPriority w:val="99"/>
  </w:style>
  <w:style w:type="table" w:customStyle="1" w:styleId="64">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65">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2F2F2" w:fill="F2F2F2"/>
      </w:tcPr>
    </w:tblStylePr>
    <w:tblStylePr w:type="band1Horz">
      <w:tcPr>
        <w:shd w:val="clear" w:color="F2F2F2" w:fill="F2F2F2"/>
      </w:tcPr>
    </w:tblStylePr>
  </w:style>
  <w:style w:type="table" w:customStyle="1" w:styleId="66">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sz="4" w:space="0"/>
          <w:bottom w:val="single" w:color="000000"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band1Horz">
      <w:tcPr>
        <w:tcBorders>
          <w:top w:val="single" w:color="000000" w:sz="4" w:space="0"/>
          <w:bottom w:val="single" w:color="000000" w:sz="4" w:space="0"/>
        </w:tcBorders>
      </w:tcPr>
    </w:tblStylePr>
  </w:style>
  <w:style w:type="table" w:customStyle="1" w:styleId="67">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68">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69">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70">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tblStylePr w:type="firstRow">
      <w:rPr>
        <w:b/>
        <w:color w:val="404040"/>
      </w:rPr>
      <w:tcPr>
        <w:tcBorders>
          <w:bottom w:val="single" w:color="6A6A6A"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style>
  <w:style w:type="table" w:customStyle="1" w:styleId="71">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tblStylePr w:type="firstRow">
      <w:rPr>
        <w:b/>
        <w:color w:val="404040"/>
      </w:rPr>
      <w:tcPr>
        <w:tcBorders>
          <w:bottom w:val="single" w:color="97B4D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style>
  <w:style w:type="table" w:customStyle="1" w:styleId="72">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tblStylePr w:type="firstRow">
      <w:rPr>
        <w:b/>
        <w:color w:val="404040"/>
      </w:rPr>
      <w:tcPr>
        <w:tcBorders>
          <w:bottom w:val="single" w:color="DA9896"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style>
  <w:style w:type="table" w:customStyle="1" w:styleId="73">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b/>
        <w:color w:val="404040"/>
      </w:rPr>
      <w:tcPr>
        <w:tcBorders>
          <w:bottom w:val="single" w:color="C4D79D"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74">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b/>
        <w:color w:val="404040"/>
      </w:rPr>
      <w:tcPr>
        <w:tcBorders>
          <w:bottom w:val="single" w:color="B4A4C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75">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tblStylePr w:type="firstRow">
      <w:rPr>
        <w:b/>
        <w:color w:val="404040"/>
      </w:rPr>
      <w:tcPr>
        <w:tcBorders>
          <w:bottom w:val="single" w:color="95CEDD"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style>
  <w:style w:type="table" w:customStyle="1" w:styleId="76">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b/>
        <w:color w:val="404040"/>
      </w:rPr>
      <w:tcPr>
        <w:tcBorders>
          <w:bottom w:val="single" w:color="FAC192"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table" w:customStyle="1" w:styleId="77">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tblStylePr w:type="firstRow">
      <w:rPr>
        <w:b/>
        <w:color w:val="404040"/>
      </w:rPr>
      <w:tcPr>
        <w:tcBorders>
          <w:top w:val="nil"/>
          <w:left w:val="nil"/>
          <w:bottom w:val="single" w:color="6A6A6A" w:sz="12" w:space="0"/>
          <w:right w:val="nil"/>
        </w:tcBorders>
        <w:shd w:val="clear" w:color="FFFFFF" w:fill="auto"/>
      </w:tcPr>
    </w:tblStylePr>
    <w:tblStylePr w:type="lastRow">
      <w:rPr>
        <w:b/>
        <w:color w:val="404040"/>
      </w:rPr>
      <w:tcPr>
        <w:tcBorders>
          <w:top w:val="single" w:color="6A6A6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78">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tblStylePr w:type="firstRow">
      <w:rPr>
        <w:b/>
        <w:color w:val="404040"/>
      </w:rPr>
      <w:tcPr>
        <w:tcBorders>
          <w:top w:val="nil"/>
          <w:left w:val="nil"/>
          <w:bottom w:val="single" w:color="5D8AC2" w:sz="12" w:space="0"/>
          <w:right w:val="nil"/>
        </w:tcBorders>
        <w:shd w:val="clear" w:color="FFFFFF" w:fill="auto"/>
      </w:tcPr>
    </w:tblStylePr>
    <w:tblStylePr w:type="lastRow">
      <w:rPr>
        <w:b/>
        <w:color w:val="404040"/>
      </w:rPr>
      <w:tcPr>
        <w:tcBorders>
          <w:top w:val="single" w:color="5D8AC2"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5F1" w:fill="DAE5F1"/>
      </w:tcPr>
    </w:tblStylePr>
    <w:tblStylePr w:type="band1Horz">
      <w:rPr>
        <w:rFonts w:ascii="Arial" w:hAnsi="Arial"/>
        <w:color w:val="404040"/>
        <w:sz w:val="22"/>
      </w:rPr>
      <w:tcPr>
        <w:shd w:val="clear" w:color="DAE5F1" w:fill="DAE5F1"/>
      </w:tcPr>
    </w:tblStylePr>
  </w:style>
  <w:style w:type="table" w:customStyle="1" w:styleId="79">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b/>
        <w:color w:val="404040"/>
      </w:rPr>
      <w:tcPr>
        <w:tcBorders>
          <w:top w:val="nil"/>
          <w:left w:val="nil"/>
          <w:bottom w:val="single" w:color="D99695" w:sz="12" w:space="0"/>
          <w:right w:val="nil"/>
        </w:tcBorders>
        <w:shd w:val="clear" w:color="FFFFFF" w:fill="auto"/>
      </w:tcPr>
    </w:tblStylePr>
    <w:tblStylePr w:type="lastRow">
      <w:rPr>
        <w:b/>
        <w:color w:val="404040"/>
      </w:rPr>
      <w:tcPr>
        <w:tcBorders>
          <w:top w:val="single" w:color="D996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80">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b/>
        <w:color w:val="404040"/>
      </w:rPr>
      <w:tcPr>
        <w:tcBorders>
          <w:top w:val="nil"/>
          <w:left w:val="nil"/>
          <w:bottom w:val="single" w:color="9ABB59" w:sz="12" w:space="0"/>
          <w:right w:val="nil"/>
        </w:tcBorders>
        <w:shd w:val="clear" w:color="FFFFFF" w:fill="auto"/>
      </w:tcPr>
    </w:tblStylePr>
    <w:tblStylePr w:type="lastRow">
      <w:rPr>
        <w:b/>
        <w:color w:val="404040"/>
      </w:rPr>
      <w:tcPr>
        <w:tcBorders>
          <w:top w:val="single" w:color="9ABB5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C" w:fill="EAF1DC"/>
      </w:tcPr>
    </w:tblStylePr>
    <w:tblStylePr w:type="band1Horz">
      <w:rPr>
        <w:rFonts w:ascii="Arial" w:hAnsi="Arial"/>
        <w:color w:val="404040"/>
        <w:sz w:val="22"/>
      </w:rPr>
      <w:tcPr>
        <w:shd w:val="clear" w:color="EAF1DC" w:fill="EAF1DC"/>
      </w:tcPr>
    </w:tblStylePr>
  </w:style>
  <w:style w:type="table" w:customStyle="1" w:styleId="81">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single" w:color="B2A1C6" w:sz="12" w:space="0"/>
          <w:right w:val="nil"/>
        </w:tcBorders>
        <w:shd w:val="clear" w:color="FFFFFF" w:fill="auto"/>
      </w:tcPr>
    </w:tblStylePr>
    <w:tblStylePr w:type="lastRow">
      <w:rPr>
        <w:b/>
        <w:color w:val="404040"/>
      </w:rPr>
      <w:tcPr>
        <w:tcBorders>
          <w:top w:val="single" w:color="B2A1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82">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single" w:color="4BACC6" w:sz="12" w:space="0"/>
          <w:right w:val="nil"/>
        </w:tcBorders>
        <w:shd w:val="clear" w:color="FFFFFF" w:fill="auto"/>
      </w:tcPr>
    </w:tblStylePr>
    <w:tblStylePr w:type="lastRow">
      <w:rPr>
        <w:b/>
        <w:color w:val="404040"/>
      </w:rPr>
      <w:tcPr>
        <w:tcBorders>
          <w:top w:val="single" w:color="4BAC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83">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single" w:color="F79646" w:sz="12" w:space="0"/>
          <w:right w:val="nil"/>
        </w:tcBorders>
        <w:shd w:val="clear" w:color="FFFFFF" w:fill="auto"/>
      </w:tcPr>
    </w:tblStylePr>
    <w:tblStylePr w:type="lastRow">
      <w:rPr>
        <w:b/>
        <w:color w:val="404040"/>
      </w:rPr>
      <w:tcPr>
        <w:tcBorders>
          <w:top w:val="single" w:color="F7964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8" w:fill="FDE9D8"/>
      </w:tcPr>
    </w:tblStylePr>
    <w:tblStylePr w:type="band1Horz">
      <w:rPr>
        <w:rFonts w:ascii="Arial" w:hAnsi="Arial"/>
        <w:color w:val="404040"/>
        <w:sz w:val="22"/>
      </w:rPr>
      <w:tcPr>
        <w:shd w:val="clear" w:color="FDE9D8" w:fill="FDE9D8"/>
      </w:tcPr>
    </w:tblStylePr>
  </w:style>
  <w:style w:type="table" w:customStyle="1" w:styleId="84">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85">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5F1" w:fill="DAE5F1"/>
      </w:tcPr>
    </w:tblStylePr>
    <w:tblStylePr w:type="band1Horz">
      <w:rPr>
        <w:rFonts w:ascii="Arial" w:hAnsi="Arial"/>
        <w:color w:val="404040"/>
        <w:sz w:val="22"/>
      </w:rPr>
      <w:tcPr>
        <w:shd w:val="clear" w:color="DAE5F1" w:fill="DAE5F1"/>
      </w:tcPr>
    </w:tblStylePr>
  </w:style>
  <w:style w:type="table" w:customStyle="1" w:styleId="86">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87">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C" w:fill="EAF1DC"/>
      </w:tcPr>
    </w:tblStylePr>
    <w:tblStylePr w:type="band1Horz">
      <w:rPr>
        <w:rFonts w:ascii="Arial" w:hAnsi="Arial"/>
        <w:color w:val="404040"/>
        <w:sz w:val="22"/>
      </w:rPr>
      <w:tcPr>
        <w:shd w:val="clear" w:color="EAF1DC" w:fill="EAF1DC"/>
      </w:tcPr>
    </w:tblStylePr>
  </w:style>
  <w:style w:type="table" w:customStyle="1" w:styleId="88">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89">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90">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8" w:fill="FDE9D8"/>
      </w:tcPr>
    </w:tblStylePr>
    <w:tblStylePr w:type="band1Horz">
      <w:rPr>
        <w:rFonts w:ascii="Arial" w:hAnsi="Arial"/>
        <w:color w:val="404040"/>
        <w:sz w:val="22"/>
      </w:rPr>
      <w:tcPr>
        <w:shd w:val="clear" w:color="FDE9D8" w:fill="FDE9D8"/>
      </w:tcPr>
    </w:tblStylePr>
  </w:style>
  <w:style w:type="table" w:customStyle="1" w:styleId="91">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sz="4" w:space="0"/>
          <w:left w:val="single" w:color="000000" w:sz="4" w:space="0"/>
          <w:bottom w:val="single" w:color="000000" w:sz="4" w:space="0"/>
          <w:right w:val="single" w:color="000000" w:sz="4" w:space="0"/>
        </w:tcBorders>
        <w:shd w:val="clear" w:color="000000" w:fill="000000"/>
      </w:tcPr>
    </w:tblStylePr>
    <w:tblStylePr w:type="lastRow">
      <w:rPr>
        <w:b/>
        <w:color w:val="404040"/>
      </w:rPr>
      <w:tcPr>
        <w:tcBorders>
          <w:top w:val="single" w:color="000000"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92">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tblStylePr w:type="firstRow">
      <w:rPr>
        <w:rFonts w:ascii="Arial" w:hAnsi="Arial"/>
        <w:b/>
        <w:color w:val="FFFFFF"/>
        <w:sz w:val="22"/>
      </w:rPr>
      <w:tcPr>
        <w:tcBorders>
          <w:top w:val="single" w:color="5D8AC2" w:sz="4" w:space="0"/>
          <w:left w:val="single" w:color="5D8AC2" w:sz="4" w:space="0"/>
          <w:bottom w:val="single" w:color="5D8AC2" w:sz="4" w:space="0"/>
          <w:right w:val="single" w:color="5D8AC2" w:sz="4" w:space="0"/>
        </w:tcBorders>
        <w:shd w:val="clear" w:color="5D8AC2" w:fill="5D8AC2"/>
      </w:tcPr>
    </w:tblStylePr>
    <w:tblStylePr w:type="lastRow">
      <w:rPr>
        <w:b/>
        <w:color w:val="404040"/>
      </w:rPr>
      <w:tcPr>
        <w:tcBorders>
          <w:top w:val="single" w:color="5D8AC2"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fill="DCE6F2"/>
      </w:tcPr>
    </w:tblStylePr>
    <w:tblStylePr w:type="band1Horz">
      <w:rPr>
        <w:rFonts w:ascii="Arial" w:hAnsi="Arial"/>
        <w:color w:val="404040"/>
        <w:sz w:val="22"/>
      </w:rPr>
      <w:tcPr>
        <w:shd w:val="clear" w:color="DCE6F2" w:fill="DCE6F2"/>
      </w:tcPr>
    </w:tblStylePr>
  </w:style>
  <w:style w:type="table" w:customStyle="1" w:styleId="93">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tblStylePr w:type="firstRow">
      <w:rPr>
        <w:rFonts w:ascii="Arial" w:hAnsi="Arial"/>
        <w:b/>
        <w:color w:val="FFFFFF"/>
        <w:sz w:val="22"/>
      </w:rPr>
      <w:tcPr>
        <w:tcBorders>
          <w:top w:val="single" w:color="D99695" w:sz="4" w:space="0"/>
          <w:left w:val="single" w:color="D99695" w:sz="4" w:space="0"/>
          <w:bottom w:val="single" w:color="D99695" w:sz="4" w:space="0"/>
          <w:right w:val="single" w:color="D99695" w:sz="4" w:space="0"/>
        </w:tcBorders>
        <w:shd w:val="clear" w:color="D99695" w:fill="D99695"/>
      </w:tcPr>
    </w:tblStylePr>
    <w:tblStylePr w:type="lastRow">
      <w:rPr>
        <w:b/>
        <w:color w:val="404040"/>
      </w:rPr>
      <w:tcPr>
        <w:tcBorders>
          <w:top w:val="single" w:color="D9969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94">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tblStylePr w:type="firstRow">
      <w:rPr>
        <w:rFonts w:ascii="Arial" w:hAnsi="Arial"/>
        <w:b/>
        <w:color w:val="FFFFFF"/>
        <w:sz w:val="22"/>
      </w:rPr>
      <w:tcPr>
        <w:tcBorders>
          <w:top w:val="single" w:color="9ABB59" w:sz="4" w:space="0"/>
          <w:left w:val="single" w:color="9ABB59" w:sz="4" w:space="0"/>
          <w:bottom w:val="single" w:color="9ABB59" w:sz="4" w:space="0"/>
          <w:right w:val="single" w:color="9ABB59" w:sz="4" w:space="0"/>
        </w:tcBorders>
        <w:shd w:val="clear" w:color="9ABB59" w:fill="9ABB59"/>
      </w:tcPr>
    </w:tblStylePr>
    <w:tblStylePr w:type="lastRow">
      <w:rPr>
        <w:b/>
        <w:color w:val="404040"/>
      </w:rPr>
      <w:tcPr>
        <w:tcBorders>
          <w:top w:val="single" w:color="9ABB59"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C" w:fill="EAF1DC"/>
      </w:tcPr>
    </w:tblStylePr>
    <w:tblStylePr w:type="band1Horz">
      <w:rPr>
        <w:rFonts w:ascii="Arial" w:hAnsi="Arial"/>
        <w:color w:val="404040"/>
        <w:sz w:val="22"/>
      </w:rPr>
      <w:tcPr>
        <w:shd w:val="clear" w:color="EAF1DC" w:fill="EAF1DC"/>
      </w:tcPr>
    </w:tblStylePr>
  </w:style>
  <w:style w:type="table" w:customStyle="1" w:styleId="95">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sz="4" w:space="0"/>
          <w:left w:val="single" w:color="B2A1C6" w:sz="4" w:space="0"/>
          <w:bottom w:val="single" w:color="B2A1C6" w:sz="4" w:space="0"/>
          <w:right w:val="single" w:color="B2A1C6" w:sz="4" w:space="0"/>
        </w:tcBorders>
        <w:shd w:val="clear" w:color="B2A1C6" w:fill="B2A1C6"/>
      </w:tcPr>
    </w:tblStylePr>
    <w:tblStylePr w:type="lastRow">
      <w:rPr>
        <w:b/>
        <w:color w:val="404040"/>
      </w:rPr>
      <w:tcPr>
        <w:tcBorders>
          <w:top w:val="single" w:color="B2A1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96">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sz="4" w:space="0"/>
          <w:left w:val="single" w:color="4BACC6" w:sz="4" w:space="0"/>
          <w:bottom w:val="single" w:color="4BACC6" w:sz="4" w:space="0"/>
          <w:right w:val="single" w:color="4BACC6" w:sz="4" w:space="0"/>
        </w:tcBorders>
        <w:shd w:val="clear" w:color="4BACC6" w:fill="4BACC6"/>
      </w:tcPr>
    </w:tblStylePr>
    <w:tblStylePr w:type="lastRow">
      <w:rPr>
        <w:b/>
        <w:color w:val="404040"/>
      </w:rPr>
      <w:tcPr>
        <w:tcBorders>
          <w:top w:val="single" w:color="4BAC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97">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sz="4" w:space="0"/>
          <w:left w:val="single" w:color="F79646" w:sz="4" w:space="0"/>
          <w:bottom w:val="single" w:color="F79646" w:sz="4" w:space="0"/>
          <w:right w:val="single" w:color="F79646" w:sz="4" w:space="0"/>
        </w:tcBorders>
        <w:shd w:val="clear" w:color="F79646" w:fill="F79646"/>
      </w:tcPr>
    </w:tblStylePr>
    <w:tblStylePr w:type="lastRow">
      <w:rPr>
        <w:b/>
        <w:color w:val="404040"/>
      </w:rPr>
      <w:tcPr>
        <w:tcBorders>
          <w:top w:val="single" w:color="F7964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8" w:fill="FDE9D8"/>
      </w:tcPr>
    </w:tblStylePr>
    <w:tblStylePr w:type="band1Horz">
      <w:rPr>
        <w:rFonts w:ascii="Arial" w:hAnsi="Arial"/>
        <w:color w:val="404040"/>
        <w:sz w:val="22"/>
      </w:rPr>
      <w:tcPr>
        <w:shd w:val="clear" w:color="FDE9D8" w:fill="FDE9D8"/>
      </w:tcPr>
    </w:tblStylePr>
  </w:style>
  <w:style w:type="table" w:customStyle="1" w:styleId="98">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rFonts w:ascii="Arial" w:hAnsi="Arial"/>
        <w:b/>
        <w:color w:val="FFFFFF"/>
        <w:sz w:val="22"/>
      </w:rPr>
      <w:tcPr>
        <w:tcBorders>
          <w:top w:val="single" w:color="FFFFFF" w:sz="4" w:space="0"/>
        </w:tcBorders>
        <w:shd w:val="clear" w:color="000000" w:fill="000000"/>
      </w:tcPr>
    </w:tblStylePr>
    <w:tblStylePr w:type="firstCol">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band1Vert">
      <w:tcPr>
        <w:shd w:val="clear" w:color="8A8A8A" w:fill="8A8A8A"/>
      </w:tcPr>
    </w:tblStylePr>
    <w:tblStylePr w:type="band1Horz">
      <w:tcPr>
        <w:shd w:val="clear" w:color="8A8A8A" w:fill="8A8A8A"/>
      </w:tcPr>
    </w:tblStylePr>
  </w:style>
  <w:style w:type="table" w:customStyle="1" w:styleId="99">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rFonts w:ascii="Arial" w:hAnsi="Arial"/>
        <w:b/>
        <w:color w:val="FFFFFF"/>
        <w:sz w:val="22"/>
      </w:rPr>
      <w:tcPr>
        <w:tcBorders>
          <w:top w:val="single" w:color="FFFFFF" w:sz="4" w:space="0"/>
        </w:tcBorders>
        <w:shd w:val="clear" w:color="4F81BD" w:fill="4F81BD"/>
      </w:tcPr>
    </w:tblStylePr>
    <w:tblStylePr w:type="firstCol">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band1Vert">
      <w:tcPr>
        <w:shd w:val="clear" w:color="AEC4E0" w:fill="AEC4E0"/>
      </w:tcPr>
    </w:tblStylePr>
    <w:tblStylePr w:type="band1Horz">
      <w:tcPr>
        <w:shd w:val="clear" w:color="AEC4E0" w:fill="AEC4E0"/>
      </w:tcPr>
    </w:tblStylePr>
  </w:style>
  <w:style w:type="table" w:customStyle="1" w:styleId="100">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rFonts w:ascii="Arial" w:hAnsi="Arial"/>
        <w:b/>
        <w:color w:val="FFFFFF"/>
        <w:sz w:val="22"/>
      </w:rPr>
      <w:tcPr>
        <w:tcBorders>
          <w:top w:val="single" w:color="FFFFFF" w:sz="4" w:space="0"/>
        </w:tcBorders>
        <w:shd w:val="clear" w:color="C0504D" w:fill="C0504D"/>
      </w:tcPr>
    </w:tblStylePr>
    <w:tblStylePr w:type="firstCol">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band1Vert">
      <w:tcPr>
        <w:shd w:val="clear" w:color="E2AEAD" w:fill="E2AEAD"/>
      </w:tcPr>
    </w:tblStylePr>
    <w:tblStylePr w:type="band1Horz">
      <w:tcPr>
        <w:shd w:val="clear" w:color="E2AEAD" w:fill="E2AEAD"/>
      </w:tcPr>
    </w:tblStylePr>
  </w:style>
  <w:style w:type="table" w:customStyle="1" w:styleId="101">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rFonts w:ascii="Arial" w:hAnsi="Arial"/>
        <w:b/>
        <w:color w:val="FFFFFF"/>
        <w:sz w:val="22"/>
      </w:rPr>
      <w:tcPr>
        <w:tcBorders>
          <w:top w:val="single" w:color="FFFFFF" w:sz="4" w:space="0"/>
        </w:tcBorders>
        <w:shd w:val="clear" w:color="9BBB59" w:fill="9BBB59"/>
      </w:tcPr>
    </w:tblStylePr>
    <w:tblStylePr w:type="firstCol">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band1Vert">
      <w:tcPr>
        <w:shd w:val="clear" w:color="D0DFB2" w:fill="D0DFB2"/>
      </w:tcPr>
    </w:tblStylePr>
    <w:tblStylePr w:type="band1Horz">
      <w:tcPr>
        <w:shd w:val="clear" w:color="D0DFB2" w:fill="D0DFB2"/>
      </w:tcPr>
    </w:tblStylePr>
  </w:style>
  <w:style w:type="table" w:customStyle="1" w:styleId="102">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rFonts w:ascii="Arial" w:hAnsi="Arial"/>
        <w:b/>
        <w:color w:val="FFFFFF"/>
        <w:sz w:val="22"/>
      </w:rPr>
      <w:tcPr>
        <w:tcBorders>
          <w:top w:val="single" w:color="FFFFFF" w:sz="4" w:space="0"/>
        </w:tcBorders>
        <w:shd w:val="clear" w:color="8064A2" w:fill="8064A2"/>
      </w:tcPr>
    </w:tblStylePr>
    <w:tblStylePr w:type="firstCol">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band1Vert">
      <w:tcPr>
        <w:shd w:val="clear" w:color="C4B7D4" w:fill="C4B7D4"/>
      </w:tcPr>
    </w:tblStylePr>
    <w:tblStylePr w:type="band1Horz">
      <w:tcPr>
        <w:shd w:val="clear" w:color="C4B7D4" w:fill="C4B7D4"/>
      </w:tcPr>
    </w:tblStylePr>
  </w:style>
  <w:style w:type="table" w:customStyle="1" w:styleId="103">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rFonts w:ascii="Arial" w:hAnsi="Arial"/>
        <w:b/>
        <w:color w:val="FFFFFF"/>
        <w:sz w:val="22"/>
      </w:rPr>
      <w:tcPr>
        <w:tcBorders>
          <w:top w:val="single" w:color="FFFFFF" w:sz="4" w:space="0"/>
        </w:tcBorders>
        <w:shd w:val="clear" w:color="4BACC6" w:fill="4BACC6"/>
      </w:tcPr>
    </w:tblStylePr>
    <w:tblStylePr w:type="firstCol">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band1Vert">
      <w:tcPr>
        <w:shd w:val="clear" w:color="ACD8E4" w:fill="ACD8E4"/>
      </w:tcPr>
    </w:tblStylePr>
    <w:tblStylePr w:type="band1Horz">
      <w:tcPr>
        <w:shd w:val="clear" w:color="ACD8E4" w:fill="ACD8E4"/>
      </w:tcPr>
    </w:tblStylePr>
  </w:style>
  <w:style w:type="table" w:customStyle="1" w:styleId="104">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rFonts w:ascii="Arial" w:hAnsi="Arial"/>
        <w:b/>
        <w:color w:val="FFFFFF"/>
        <w:sz w:val="22"/>
      </w:rPr>
      <w:tcPr>
        <w:tcBorders>
          <w:top w:val="single" w:color="FFFFFF" w:sz="4" w:space="0"/>
        </w:tcBorders>
        <w:shd w:val="clear" w:color="F79646" w:fill="F79646"/>
      </w:tcPr>
    </w:tblStylePr>
    <w:tblStylePr w:type="firstCol">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band1Vert">
      <w:tcPr>
        <w:shd w:val="clear" w:color="FBCEAA" w:fill="FBCEAA"/>
      </w:tcPr>
    </w:tblStylePr>
    <w:tblStylePr w:type="band1Horz">
      <w:tcPr>
        <w:shd w:val="clear" w:color="FBCEAA" w:fill="FBCEAA"/>
      </w:tcPr>
    </w:tblStylePr>
  </w:style>
  <w:style w:type="table" w:customStyle="1" w:styleId="105">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tblStylePr w:type="firstRow">
      <w:rPr>
        <w:b/>
        <w:color w:val="7F7F7F"/>
      </w:rPr>
      <w:tcPr>
        <w:tcBorders>
          <w:bottom w:val="single" w:color="7F7F7F" w:sz="12" w:space="0"/>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BCBCB" w:fill="CBCBCB"/>
      </w:tcPr>
    </w:tblStylePr>
    <w:tblStylePr w:type="band1Horz">
      <w:rPr>
        <w:rFonts w:ascii="Arial" w:hAnsi="Arial"/>
        <w:color w:val="7F7F7F"/>
        <w:sz w:val="22"/>
      </w:rPr>
      <w:tcPr>
        <w:shd w:val="clear" w:color="CBCBCB" w:fill="CBCBCB"/>
      </w:tcPr>
    </w:tblStylePr>
    <w:tblStylePr w:type="band2Horz">
      <w:rPr>
        <w:rFonts w:ascii="Arial" w:hAnsi="Arial"/>
        <w:color w:val="7F7F7F"/>
        <w:sz w:val="22"/>
      </w:rPr>
    </w:tblStylePr>
  </w:style>
  <w:style w:type="table" w:customStyle="1" w:styleId="106">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b/>
        <w:color w:val="A6BFDD"/>
      </w:rPr>
      <w:tcPr>
        <w:tcBorders>
          <w:bottom w:val="single" w:color="A6BFDD" w:sz="12" w:space="0"/>
        </w:tcBorders>
      </w:tcPr>
    </w:tblStylePr>
    <w:tblStylePr w:type="lastRow">
      <w:rPr>
        <w:b/>
        <w:color w:val="A6BFDD"/>
      </w:rPr>
    </w:tblStylePr>
    <w:tblStylePr w:type="firstCol">
      <w:rPr>
        <w:b/>
        <w:color w:val="A6BFDD"/>
      </w:rPr>
    </w:tblStylePr>
    <w:tblStylePr w:type="lastCol">
      <w:rPr>
        <w:b/>
        <w:color w:val="A6BFDD"/>
      </w:rPr>
    </w:tblStylePr>
    <w:tblStylePr w:type="band1Vert">
      <w:tcPr>
        <w:shd w:val="clear" w:color="DAE5F1" w:fill="DAE5F1"/>
      </w:tcPr>
    </w:tblStylePr>
    <w:tblStylePr w:type="band1Horz">
      <w:rPr>
        <w:rFonts w:ascii="Arial" w:hAnsi="Arial"/>
        <w:color w:val="A6BFDD"/>
        <w:sz w:val="22"/>
      </w:rPr>
      <w:tcPr>
        <w:shd w:val="clear" w:color="DAE5F1" w:fill="DAE5F1"/>
      </w:tcPr>
    </w:tblStylePr>
    <w:tblStylePr w:type="band2Horz">
      <w:rPr>
        <w:rFonts w:ascii="Arial" w:hAnsi="Arial"/>
        <w:color w:val="A6BFDD"/>
        <w:sz w:val="22"/>
      </w:rPr>
    </w:tblStylePr>
  </w:style>
  <w:style w:type="table" w:customStyle="1" w:styleId="107">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b/>
        <w:color w:val="DA9796"/>
      </w:rPr>
      <w:tcPr>
        <w:tcBorders>
          <w:bottom w:val="single" w:color="D99695" w:sz="12" w:space="0"/>
        </w:tcBorders>
      </w:tcPr>
    </w:tblStylePr>
    <w:tblStylePr w:type="lastRow">
      <w:rPr>
        <w:b/>
        <w:color w:val="DA9796"/>
      </w:rPr>
    </w:tblStylePr>
    <w:tblStylePr w:type="firstCol">
      <w:rPr>
        <w:b/>
        <w:color w:val="DA9796"/>
      </w:rPr>
    </w:tblStylePr>
    <w:tblStylePr w:type="lastCol">
      <w:rPr>
        <w:b/>
        <w:color w:val="DA9796"/>
      </w:rPr>
    </w:tblStylePr>
    <w:tblStylePr w:type="band1Vert">
      <w:tcPr>
        <w:shd w:val="clear" w:color="F2DCDC" w:fill="F2DCDC"/>
      </w:tcPr>
    </w:tblStylePr>
    <w:tblStylePr w:type="band1Horz">
      <w:rPr>
        <w:rFonts w:ascii="Arial" w:hAnsi="Arial"/>
        <w:color w:val="DA9796"/>
        <w:sz w:val="22"/>
      </w:rPr>
      <w:tcPr>
        <w:shd w:val="clear" w:color="F2DCDC" w:fill="F2DCDC"/>
      </w:tcPr>
    </w:tblStylePr>
    <w:tblStylePr w:type="band2Horz">
      <w:rPr>
        <w:rFonts w:ascii="Arial" w:hAnsi="Arial"/>
        <w:color w:val="DA9796"/>
        <w:sz w:val="22"/>
      </w:rPr>
    </w:tblStylePr>
  </w:style>
  <w:style w:type="table" w:customStyle="1" w:styleId="108">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b/>
        <w:color w:val="9BBB59"/>
      </w:rPr>
      <w:tcPr>
        <w:tcBorders>
          <w:bottom w:val="single" w:color="9ABB59" w:sz="12" w:space="0"/>
        </w:tcBorders>
      </w:tcPr>
    </w:tblStylePr>
    <w:tblStylePr w:type="lastRow">
      <w:rPr>
        <w:b/>
        <w:color w:val="9BBB59"/>
      </w:rPr>
    </w:tblStylePr>
    <w:tblStylePr w:type="firstCol">
      <w:rPr>
        <w:b/>
        <w:color w:val="9BBB59"/>
      </w:rPr>
    </w:tblStylePr>
    <w:tblStylePr w:type="lastCol">
      <w:rPr>
        <w:b/>
        <w:color w:val="9BBB59"/>
      </w:rPr>
    </w:tblStylePr>
    <w:tblStylePr w:type="band1Vert">
      <w:tcPr>
        <w:shd w:val="clear" w:color="EAF1DC" w:fill="EAF1DC"/>
      </w:tcPr>
    </w:tblStylePr>
    <w:tblStylePr w:type="band1Horz">
      <w:rPr>
        <w:rFonts w:ascii="Arial" w:hAnsi="Arial"/>
        <w:color w:val="9BBB59"/>
        <w:sz w:val="22"/>
      </w:rPr>
      <w:tcPr>
        <w:shd w:val="clear" w:color="EAF1DC" w:fill="EAF1DC"/>
      </w:tcPr>
    </w:tblStylePr>
    <w:tblStylePr w:type="band2Horz">
      <w:rPr>
        <w:rFonts w:ascii="Arial" w:hAnsi="Arial"/>
        <w:color w:val="9BBB59"/>
        <w:sz w:val="22"/>
      </w:rPr>
    </w:tblStylePr>
  </w:style>
  <w:style w:type="table" w:customStyle="1" w:styleId="109">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B2A1C7"/>
      </w:rPr>
      <w:tcPr>
        <w:tcBorders>
          <w:bottom w:val="single" w:color="B2A1C6" w:sz="12" w:space="0"/>
        </w:tcBorders>
      </w:tcPr>
    </w:tblStylePr>
    <w:tblStylePr w:type="lastRow">
      <w:rPr>
        <w:b/>
        <w:color w:val="B2A1C7"/>
      </w:rPr>
    </w:tblStylePr>
    <w:tblStylePr w:type="firstCol">
      <w:rPr>
        <w:b/>
        <w:color w:val="B2A1C7"/>
      </w:rPr>
    </w:tblStylePr>
    <w:tblStylePr w:type="lastCol">
      <w:rPr>
        <w:b/>
        <w:color w:val="B2A1C7"/>
      </w:r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110">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266678"/>
      </w:rPr>
      <w:tcPr>
        <w:tcBorders>
          <w:bottom w:val="single" w:color="4BACC6" w:sz="12" w:space="0"/>
        </w:tcBorders>
      </w:tcPr>
    </w:tblStylePr>
    <w:tblStylePr w:type="lastRow">
      <w:rPr>
        <w:b/>
        <w:color w:val="266678"/>
      </w:rPr>
    </w:tblStylePr>
    <w:tblStylePr w:type="firstCol">
      <w:rPr>
        <w:b/>
        <w:color w:val="266678"/>
      </w:rPr>
    </w:tblStylePr>
    <w:tblStylePr w:type="lastCol">
      <w:rPr>
        <w:b/>
        <w:color w:val="266678"/>
      </w:rPr>
    </w:tblStylePr>
    <w:tblStylePr w:type="band1Vert">
      <w:tcPr>
        <w:shd w:val="clear" w:color="DAEEF3" w:fill="DAEEF3"/>
      </w:tcPr>
    </w:tblStylePr>
    <w:tblStylePr w:type="band1Horz">
      <w:rPr>
        <w:rFonts w:ascii="Arial" w:hAnsi="Arial"/>
        <w:color w:val="266678"/>
        <w:sz w:val="22"/>
      </w:rPr>
      <w:tcPr>
        <w:shd w:val="clear" w:color="DAEEF3" w:fill="DAEEF3"/>
      </w:tcPr>
    </w:tblStylePr>
    <w:tblStylePr w:type="band2Horz">
      <w:rPr>
        <w:rFonts w:ascii="Arial" w:hAnsi="Arial"/>
        <w:color w:val="266678"/>
        <w:sz w:val="22"/>
      </w:rPr>
    </w:tblStylePr>
  </w:style>
  <w:style w:type="table" w:customStyle="1" w:styleId="111">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266678"/>
      </w:rPr>
      <w:tcPr>
        <w:tcBorders>
          <w:bottom w:val="single" w:color="F79646" w:sz="12" w:space="0"/>
        </w:tcBorders>
      </w:tcPr>
    </w:tblStylePr>
    <w:tblStylePr w:type="lastRow">
      <w:rPr>
        <w:b/>
        <w:color w:val="266678"/>
      </w:rPr>
    </w:tblStylePr>
    <w:tblStylePr w:type="firstCol">
      <w:rPr>
        <w:b/>
        <w:color w:val="266678"/>
      </w:rPr>
    </w:tblStylePr>
    <w:tblStylePr w:type="lastCol">
      <w:rPr>
        <w:b/>
        <w:color w:val="266678"/>
      </w:rPr>
    </w:tblStylePr>
    <w:tblStylePr w:type="band1Vert">
      <w:tcPr>
        <w:shd w:val="clear" w:color="FDE9D8" w:fill="FDE9D8"/>
      </w:tcPr>
    </w:tblStylePr>
    <w:tblStylePr w:type="band1Horz">
      <w:rPr>
        <w:rFonts w:ascii="Arial" w:hAnsi="Arial"/>
        <w:color w:val="266678"/>
        <w:sz w:val="22"/>
      </w:rPr>
      <w:tcPr>
        <w:shd w:val="clear" w:color="FDE9D8" w:fill="FDE9D8"/>
      </w:tcPr>
    </w:tblStylePr>
    <w:tblStylePr w:type="band2Horz">
      <w:rPr>
        <w:rFonts w:ascii="Arial" w:hAnsi="Arial"/>
        <w:color w:val="266678"/>
        <w:sz w:val="22"/>
      </w:rPr>
    </w:tblStylePr>
  </w:style>
  <w:style w:type="table" w:customStyle="1" w:styleId="112">
    <w:name w:val="网格表 7 彩色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tblStylePr w:type="firstRow">
      <w:rPr>
        <w:rFonts w:ascii="Arial" w:hAnsi="Arial"/>
        <w:b/>
        <w:color w:val="7F7F7F"/>
        <w:sz w:val="22"/>
      </w:rPr>
      <w:tcPr>
        <w:tcBorders>
          <w:top w:val="nil"/>
          <w:left w:val="nil"/>
          <w:bottom w:val="single" w:color="7F7F7F" w:sz="4" w:space="0"/>
          <w:right w:val="nil"/>
        </w:tcBorders>
        <w:shd w:val="clear" w:color="FFFFFF" w:fill="FFFFFF"/>
      </w:tcPr>
    </w:tblStylePr>
    <w:tblStylePr w:type="lastRow">
      <w:rPr>
        <w:rFonts w:ascii="Arial" w:hAnsi="Arial"/>
        <w:b/>
        <w:color w:val="7F7F7F"/>
        <w:sz w:val="22"/>
      </w:rPr>
      <w:tcPr>
        <w:tcBorders>
          <w:top w:val="single" w:color="7F7F7F"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F7F7F" w:sz="4" w:space="0"/>
        </w:tcBorders>
        <w:shd w:val="clear" w:color="FFFFFF" w:fill="auto"/>
      </w:tcPr>
    </w:tblStylePr>
    <w:tblStylePr w:type="lastCol">
      <w:rPr>
        <w:rFonts w:ascii="Arial" w:hAnsi="Arial"/>
        <w:i/>
        <w:color w:val="7F7F7F"/>
        <w:sz w:val="22"/>
      </w:rPr>
      <w:tcPr>
        <w:tcBorders>
          <w:top w:val="nil"/>
          <w:left w:val="single" w:color="7F7F7F" w:sz="4" w:space="0"/>
          <w:bottom w:val="nil"/>
          <w:right w:val="nil"/>
        </w:tcBorders>
        <w:shd w:val="clear" w:color="FFFFFF" w:fill="auto"/>
      </w:tcPr>
    </w:tblStylePr>
    <w:tblStylePr w:type="band1Vert">
      <w:tcPr>
        <w:shd w:val="clear" w:color="F2F2F2" w:fill="F2F2F2"/>
      </w:tcPr>
    </w:tblStylePr>
    <w:tblStylePr w:type="band1Horz">
      <w:rPr>
        <w:rFonts w:ascii="Arial" w:hAnsi="Arial"/>
        <w:color w:val="7F7F7F"/>
        <w:sz w:val="22"/>
      </w:rPr>
      <w:tcPr>
        <w:shd w:val="clear" w:color="F2F2F2" w:fill="F2F2F2"/>
      </w:tcPr>
    </w:tblStylePr>
    <w:tblStylePr w:type="band2Horz">
      <w:rPr>
        <w:rFonts w:ascii="Arial" w:hAnsi="Arial"/>
        <w:color w:val="7F7F7F"/>
        <w:sz w:val="22"/>
      </w:rPr>
    </w:tblStylePr>
  </w:style>
  <w:style w:type="table" w:customStyle="1" w:styleId="113">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rFonts w:ascii="Arial" w:hAnsi="Arial"/>
        <w:b/>
        <w:color w:val="A6BFDD"/>
        <w:sz w:val="22"/>
      </w:rPr>
      <w:tcPr>
        <w:tcBorders>
          <w:top w:val="nil"/>
          <w:left w:val="nil"/>
          <w:bottom w:val="single" w:color="A6BFDD" w:sz="4" w:space="0"/>
          <w:right w:val="nil"/>
        </w:tcBorders>
        <w:shd w:val="clear" w:color="FFFFFF" w:fill="FFFFFF"/>
      </w:tcPr>
    </w:tblStylePr>
    <w:tblStylePr w:type="lastRow">
      <w:rPr>
        <w:rFonts w:ascii="Arial" w:hAnsi="Arial"/>
        <w:b/>
        <w:color w:val="A6BFDD"/>
        <w:sz w:val="22"/>
      </w:rPr>
      <w:tcPr>
        <w:tcBorders>
          <w:top w:val="single" w:color="A6BFDD" w:sz="4" w:space="0"/>
          <w:left w:val="nil"/>
          <w:bottom w:val="nil"/>
          <w:right w:val="nil"/>
        </w:tcBorders>
        <w:shd w:val="clear" w:color="FFFFFF" w:fill="FFFFFF"/>
      </w:tcPr>
    </w:tblStylePr>
    <w:tblStylePr w:type="firstCol">
      <w:pPr>
        <w:jc w:val="right"/>
      </w:pPr>
      <w:rPr>
        <w:rFonts w:ascii="Arial" w:hAnsi="Arial"/>
        <w:i/>
        <w:color w:val="A6BFDD"/>
        <w:sz w:val="22"/>
      </w:rPr>
      <w:tcPr>
        <w:tcBorders>
          <w:top w:val="nil"/>
          <w:left w:val="nil"/>
          <w:bottom w:val="nil"/>
          <w:right w:val="single" w:color="A6BFDD" w:sz="4" w:space="0"/>
        </w:tcBorders>
        <w:shd w:val="clear" w:color="FFFFFF" w:fill="auto"/>
      </w:tcPr>
    </w:tblStylePr>
    <w:tblStylePr w:type="lastCol">
      <w:rPr>
        <w:rFonts w:ascii="Arial" w:hAnsi="Arial"/>
        <w:i/>
        <w:color w:val="A6BFDD"/>
        <w:sz w:val="22"/>
      </w:rPr>
      <w:tcPr>
        <w:tcBorders>
          <w:top w:val="nil"/>
          <w:left w:val="single" w:color="A6BFDD" w:sz="4" w:space="0"/>
          <w:bottom w:val="nil"/>
          <w:right w:val="nil"/>
        </w:tcBorders>
        <w:shd w:val="clear" w:color="FFFFFF" w:fill="auto"/>
      </w:tcPr>
    </w:tblStylePr>
    <w:tblStylePr w:type="band1Vert">
      <w:tcPr>
        <w:shd w:val="clear" w:color="DAE5F1" w:fill="DAE5F1"/>
      </w:tcPr>
    </w:tblStylePr>
    <w:tblStylePr w:type="band1Horz">
      <w:rPr>
        <w:rFonts w:ascii="Arial" w:hAnsi="Arial"/>
        <w:color w:val="A6BFDD"/>
        <w:sz w:val="22"/>
      </w:rPr>
      <w:tcPr>
        <w:shd w:val="clear" w:color="DAE5F1" w:fill="DAE5F1"/>
      </w:tcPr>
    </w:tblStylePr>
    <w:tblStylePr w:type="band2Horz">
      <w:rPr>
        <w:rFonts w:ascii="Arial" w:hAnsi="Arial"/>
        <w:color w:val="A6BFDD"/>
        <w:sz w:val="22"/>
      </w:rPr>
    </w:tblStylePr>
  </w:style>
  <w:style w:type="table" w:customStyle="1" w:styleId="114">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rFonts w:ascii="Arial" w:hAnsi="Arial"/>
        <w:b/>
        <w:color w:val="DA9796"/>
        <w:sz w:val="22"/>
      </w:rPr>
      <w:tcPr>
        <w:tcBorders>
          <w:top w:val="nil"/>
          <w:left w:val="nil"/>
          <w:bottom w:val="single" w:color="D99695" w:sz="4" w:space="0"/>
          <w:right w:val="nil"/>
        </w:tcBorders>
        <w:shd w:val="clear" w:color="FFFFFF" w:fill="FFFFFF"/>
      </w:tcPr>
    </w:tblStylePr>
    <w:tblStylePr w:type="lastRow">
      <w:rPr>
        <w:rFonts w:ascii="Arial" w:hAnsi="Arial"/>
        <w:b/>
        <w:color w:val="DA9796"/>
        <w:sz w:val="22"/>
      </w:rPr>
      <w:tcPr>
        <w:tcBorders>
          <w:top w:val="single" w:color="D99695" w:sz="4" w:space="0"/>
          <w:left w:val="nil"/>
          <w:bottom w:val="nil"/>
          <w:right w:val="nil"/>
        </w:tcBorders>
        <w:shd w:val="clear" w:color="FFFFFF" w:fill="FFFFFF"/>
      </w:tcPr>
    </w:tblStylePr>
    <w:tblStylePr w:type="firstCol">
      <w:pPr>
        <w:jc w:val="right"/>
      </w:pPr>
      <w:rPr>
        <w:rFonts w:ascii="Arial" w:hAnsi="Arial"/>
        <w:i/>
        <w:color w:val="DA9796"/>
        <w:sz w:val="22"/>
      </w:rPr>
      <w:tcPr>
        <w:tcBorders>
          <w:top w:val="nil"/>
          <w:left w:val="nil"/>
          <w:bottom w:val="nil"/>
          <w:right w:val="single" w:color="D99695" w:sz="4" w:space="0"/>
        </w:tcBorders>
        <w:shd w:val="clear" w:color="FFFFFF" w:fill="auto"/>
      </w:tcPr>
    </w:tblStylePr>
    <w:tblStylePr w:type="lastCol">
      <w:rPr>
        <w:rFonts w:ascii="Arial" w:hAnsi="Arial"/>
        <w:i/>
        <w:color w:val="DA9796"/>
        <w:sz w:val="22"/>
      </w:rPr>
      <w:tcPr>
        <w:tcBorders>
          <w:top w:val="nil"/>
          <w:left w:val="single" w:color="D99695" w:sz="4" w:space="0"/>
          <w:bottom w:val="nil"/>
          <w:right w:val="nil"/>
        </w:tcBorders>
        <w:shd w:val="clear" w:color="FFFFFF" w:fill="auto"/>
      </w:tcPr>
    </w:tblStylePr>
    <w:tblStylePr w:type="band1Vert">
      <w:tcPr>
        <w:shd w:val="clear" w:color="F2DCDC" w:fill="F2DCDC"/>
      </w:tcPr>
    </w:tblStylePr>
    <w:tblStylePr w:type="band1Horz">
      <w:rPr>
        <w:rFonts w:ascii="Arial" w:hAnsi="Arial"/>
        <w:color w:val="DA9796"/>
        <w:sz w:val="22"/>
      </w:rPr>
      <w:tcPr>
        <w:shd w:val="clear" w:color="F2DCDC" w:fill="F2DCDC"/>
      </w:tcPr>
    </w:tblStylePr>
    <w:tblStylePr w:type="band2Horz">
      <w:rPr>
        <w:rFonts w:ascii="Arial" w:hAnsi="Arial"/>
        <w:color w:val="DA9796"/>
        <w:sz w:val="22"/>
      </w:rPr>
    </w:tblStylePr>
  </w:style>
  <w:style w:type="table" w:customStyle="1" w:styleId="115">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rFonts w:ascii="Arial" w:hAnsi="Arial"/>
        <w:b/>
        <w:color w:val="9BBB59"/>
        <w:sz w:val="22"/>
      </w:rPr>
      <w:tcPr>
        <w:tcBorders>
          <w:top w:val="nil"/>
          <w:left w:val="nil"/>
          <w:bottom w:val="single" w:color="9ABB59" w:sz="4" w:space="0"/>
          <w:right w:val="nil"/>
        </w:tcBorders>
        <w:shd w:val="clear" w:color="FFFFFF" w:fill="FFFFFF"/>
      </w:tcPr>
    </w:tblStylePr>
    <w:tblStylePr w:type="lastRow">
      <w:rPr>
        <w:rFonts w:ascii="Arial" w:hAnsi="Arial"/>
        <w:b/>
        <w:color w:val="9BBB59"/>
        <w:sz w:val="22"/>
      </w:rPr>
      <w:tcPr>
        <w:tcBorders>
          <w:top w:val="single" w:color="9ABB59" w:sz="4" w:space="0"/>
          <w:left w:val="nil"/>
          <w:bottom w:val="nil"/>
          <w:right w:val="nil"/>
        </w:tcBorders>
        <w:shd w:val="clear" w:color="FFFFFF" w:fill="FFFFFF"/>
      </w:tcPr>
    </w:tblStylePr>
    <w:tblStylePr w:type="firstCol">
      <w:pPr>
        <w:jc w:val="right"/>
      </w:pPr>
      <w:rPr>
        <w:rFonts w:ascii="Arial" w:hAnsi="Arial"/>
        <w:i/>
        <w:color w:val="9BBB59"/>
        <w:sz w:val="22"/>
      </w:rPr>
      <w:tcPr>
        <w:tcBorders>
          <w:top w:val="nil"/>
          <w:left w:val="nil"/>
          <w:bottom w:val="nil"/>
          <w:right w:val="single" w:color="9ABB59" w:sz="4" w:space="0"/>
        </w:tcBorders>
        <w:shd w:val="clear" w:color="FFFFFF" w:fill="auto"/>
      </w:tcPr>
    </w:tblStylePr>
    <w:tblStylePr w:type="lastCol">
      <w:rPr>
        <w:rFonts w:ascii="Arial" w:hAnsi="Arial"/>
        <w:i/>
        <w:color w:val="9BBB59"/>
        <w:sz w:val="22"/>
      </w:rPr>
      <w:tcPr>
        <w:tcBorders>
          <w:top w:val="nil"/>
          <w:left w:val="single" w:color="9ABB59" w:sz="4" w:space="0"/>
          <w:bottom w:val="nil"/>
          <w:right w:val="nil"/>
        </w:tcBorders>
        <w:shd w:val="clear" w:color="FFFFFF" w:fill="auto"/>
      </w:tcPr>
    </w:tblStylePr>
    <w:tblStylePr w:type="band1Vert">
      <w:tcPr>
        <w:shd w:val="clear" w:color="EAF1DC" w:fill="EAF1DC"/>
      </w:tcPr>
    </w:tblStylePr>
    <w:tblStylePr w:type="band1Horz">
      <w:rPr>
        <w:rFonts w:ascii="Arial" w:hAnsi="Arial"/>
        <w:color w:val="9BBB59"/>
        <w:sz w:val="22"/>
      </w:rPr>
      <w:tcPr>
        <w:shd w:val="clear" w:color="EAF1DC" w:fill="EAF1DC"/>
      </w:tcPr>
    </w:tblStylePr>
    <w:tblStylePr w:type="band2Horz">
      <w:rPr>
        <w:rFonts w:ascii="Arial" w:hAnsi="Arial"/>
        <w:color w:val="9BBB59"/>
        <w:sz w:val="22"/>
      </w:rPr>
    </w:tblStylePr>
  </w:style>
  <w:style w:type="table" w:customStyle="1" w:styleId="116">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rFonts w:ascii="Arial" w:hAnsi="Arial"/>
        <w:b/>
        <w:color w:val="B2A1C7"/>
        <w:sz w:val="22"/>
      </w:rPr>
      <w:tcPr>
        <w:tcBorders>
          <w:top w:val="nil"/>
          <w:left w:val="nil"/>
          <w:bottom w:val="single" w:color="B2A1C6" w:sz="4" w:space="0"/>
          <w:right w:val="nil"/>
        </w:tcBorders>
        <w:shd w:val="clear" w:color="FFFFFF" w:fill="FFFFFF"/>
      </w:tcPr>
    </w:tblStylePr>
    <w:tblStylePr w:type="lastRow">
      <w:rPr>
        <w:rFonts w:ascii="Arial" w:hAnsi="Arial"/>
        <w:b/>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117">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266678"/>
        <w:sz w:val="22"/>
      </w:rPr>
      <w:tcPr>
        <w:tcBorders>
          <w:top w:val="nil"/>
          <w:left w:val="nil"/>
          <w:bottom w:val="single" w:color="99D0DE" w:sz="4" w:space="0"/>
          <w:right w:val="nil"/>
        </w:tcBorders>
        <w:shd w:val="clear" w:color="FFFFFF" w:fill="FFFFFF"/>
      </w:tcPr>
    </w:tblStylePr>
    <w:tblStylePr w:type="lastRow">
      <w:rPr>
        <w:rFonts w:ascii="Arial" w:hAnsi="Arial"/>
        <w:b/>
        <w:color w:val="266678"/>
        <w:sz w:val="22"/>
      </w:rPr>
      <w:tcPr>
        <w:tcBorders>
          <w:top w:val="single" w:color="99D0DE" w:sz="4" w:space="0"/>
          <w:left w:val="nil"/>
          <w:bottom w:val="nil"/>
          <w:right w:val="nil"/>
        </w:tcBorders>
        <w:shd w:val="clear" w:color="FFFFFF" w:fill="FFFFFF"/>
      </w:tcPr>
    </w:tblStylePr>
    <w:tblStylePr w:type="firstCol">
      <w:pPr>
        <w:jc w:val="right"/>
      </w:pPr>
      <w:rPr>
        <w:rFonts w:ascii="Arial" w:hAnsi="Arial"/>
        <w:i/>
        <w:color w:val="266678"/>
        <w:sz w:val="22"/>
      </w:rPr>
      <w:tcPr>
        <w:tcBorders>
          <w:top w:val="nil"/>
          <w:left w:val="nil"/>
          <w:bottom w:val="nil"/>
          <w:right w:val="single" w:color="99D0DE" w:sz="4" w:space="0"/>
        </w:tcBorders>
        <w:shd w:val="clear" w:color="FFFFFF" w:fill="auto"/>
      </w:tcPr>
    </w:tblStylePr>
    <w:tblStylePr w:type="lastCol">
      <w:rPr>
        <w:rFonts w:ascii="Arial" w:hAnsi="Arial"/>
        <w:i/>
        <w:color w:val="266678"/>
        <w:sz w:val="22"/>
      </w:rPr>
      <w:tcPr>
        <w:tcBorders>
          <w:top w:val="nil"/>
          <w:left w:val="single" w:color="99D0DE" w:sz="4" w:space="0"/>
          <w:bottom w:val="nil"/>
          <w:right w:val="nil"/>
        </w:tcBorders>
        <w:shd w:val="clear" w:color="FFFFFF" w:fill="auto"/>
      </w:tcPr>
    </w:tblStylePr>
    <w:tblStylePr w:type="band1Vert">
      <w:tcPr>
        <w:shd w:val="clear" w:color="DAEEF3" w:fill="DAEEF3"/>
      </w:tcPr>
    </w:tblStylePr>
    <w:tblStylePr w:type="band1Horz">
      <w:rPr>
        <w:rFonts w:ascii="Arial" w:hAnsi="Arial"/>
        <w:color w:val="266678"/>
        <w:sz w:val="22"/>
      </w:rPr>
      <w:tcPr>
        <w:shd w:val="clear" w:color="DAEEF3" w:fill="DAEEF3"/>
      </w:tcPr>
    </w:tblStylePr>
    <w:tblStylePr w:type="band2Horz">
      <w:rPr>
        <w:rFonts w:ascii="Arial" w:hAnsi="Arial"/>
        <w:color w:val="266678"/>
        <w:sz w:val="22"/>
      </w:rPr>
    </w:tblStylePr>
  </w:style>
  <w:style w:type="table" w:customStyle="1" w:styleId="118">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B05307"/>
        <w:sz w:val="22"/>
      </w:rPr>
      <w:tcPr>
        <w:tcBorders>
          <w:top w:val="nil"/>
          <w:left w:val="nil"/>
          <w:bottom w:val="single" w:color="FAC396" w:sz="4" w:space="0"/>
          <w:right w:val="nil"/>
        </w:tcBorders>
        <w:shd w:val="clear" w:color="FFFFFF" w:fill="FFFFFF"/>
      </w:tcPr>
    </w:tblStylePr>
    <w:tblStylePr w:type="lastRow">
      <w:rPr>
        <w:rFonts w:ascii="Arial" w:hAnsi="Arial"/>
        <w:b/>
        <w:color w:val="B05307"/>
        <w:sz w:val="22"/>
      </w:rPr>
      <w:tcPr>
        <w:tcBorders>
          <w:top w:val="single" w:color="FAC396" w:sz="4" w:space="0"/>
          <w:left w:val="nil"/>
          <w:bottom w:val="nil"/>
          <w:right w:val="nil"/>
        </w:tcBorders>
        <w:shd w:val="clear" w:color="FFFFFF" w:fill="FFFFFF"/>
      </w:tcPr>
    </w:tblStylePr>
    <w:tblStylePr w:type="firstCol">
      <w:pPr>
        <w:jc w:val="right"/>
      </w:pPr>
      <w:rPr>
        <w:rFonts w:ascii="Arial" w:hAnsi="Arial"/>
        <w:i/>
        <w:color w:val="B05307"/>
        <w:sz w:val="22"/>
      </w:rPr>
      <w:tcPr>
        <w:tcBorders>
          <w:top w:val="nil"/>
          <w:left w:val="nil"/>
          <w:bottom w:val="nil"/>
          <w:right w:val="single" w:color="FAC396" w:sz="4" w:space="0"/>
        </w:tcBorders>
        <w:shd w:val="clear" w:color="FFFFFF" w:fill="auto"/>
      </w:tcPr>
    </w:tblStylePr>
    <w:tblStylePr w:type="lastCol">
      <w:rPr>
        <w:rFonts w:ascii="Arial" w:hAnsi="Arial"/>
        <w:i/>
        <w:color w:val="B05307"/>
        <w:sz w:val="22"/>
      </w:rPr>
      <w:tcPr>
        <w:tcBorders>
          <w:top w:val="nil"/>
          <w:left w:val="single" w:color="FAC396" w:sz="4" w:space="0"/>
          <w:bottom w:val="nil"/>
          <w:right w:val="nil"/>
        </w:tcBorders>
        <w:shd w:val="clear" w:color="FFFFFF" w:fill="auto"/>
      </w:tcPr>
    </w:tblStylePr>
    <w:tblStylePr w:type="band1Vert">
      <w:tcPr>
        <w:shd w:val="clear" w:color="FDE9D8" w:fill="FDE9D8"/>
      </w:tcPr>
    </w:tblStylePr>
    <w:tblStylePr w:type="band1Horz">
      <w:rPr>
        <w:rFonts w:ascii="Arial" w:hAnsi="Arial"/>
        <w:color w:val="B05307"/>
        <w:sz w:val="22"/>
      </w:rPr>
      <w:tcPr>
        <w:shd w:val="clear" w:color="FDE9D8" w:fill="FDE9D8"/>
      </w:tcPr>
    </w:tblStylePr>
    <w:tblStylePr w:type="band2Horz">
      <w:rPr>
        <w:rFonts w:ascii="Arial" w:hAnsi="Arial"/>
        <w:color w:val="B05307"/>
        <w:sz w:val="22"/>
      </w:rPr>
    </w:tblStylePr>
  </w:style>
  <w:style w:type="table" w:customStyle="1" w:styleId="119">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sz="4" w:space="0"/>
          <w:right w:val="nil"/>
        </w:tcBorders>
      </w:tcPr>
    </w:tblStylePr>
    <w:tblStylePr w:type="lastRow">
      <w:rPr>
        <w:b/>
        <w:color w:val="404040"/>
      </w:rPr>
      <w:tcPr>
        <w:tcBorders>
          <w:top w:val="single" w:color="000000"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FBFBF" w:fill="BFBFBF"/>
      </w:tcPr>
    </w:tblStylePr>
    <w:tblStylePr w:type="band1Horz">
      <w:tcPr>
        <w:shd w:val="clear" w:color="BFBFBF" w:fill="BFBFBF"/>
      </w:tcPr>
    </w:tblStylePr>
  </w:style>
  <w:style w:type="table" w:customStyle="1" w:styleId="120">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sz="4" w:space="0"/>
          <w:right w:val="nil"/>
        </w:tcBorders>
      </w:tcPr>
    </w:tblStylePr>
    <w:tblStylePr w:type="lastRow">
      <w:rPr>
        <w:b/>
        <w:color w:val="404040"/>
      </w:rPr>
      <w:tcPr>
        <w:tcBorders>
          <w:top w:val="single" w:color="4F81B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fill="D2DFEE"/>
      </w:tcPr>
    </w:tblStylePr>
    <w:tblStylePr w:type="band1Horz">
      <w:tcPr>
        <w:shd w:val="clear" w:color="D2DFEE" w:fill="D2DFEE"/>
      </w:tcPr>
    </w:tblStylePr>
  </w:style>
  <w:style w:type="table" w:customStyle="1" w:styleId="121">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sz="4" w:space="0"/>
          <w:right w:val="nil"/>
        </w:tcBorders>
      </w:tcPr>
    </w:tblStylePr>
    <w:tblStylePr w:type="lastRow">
      <w:rPr>
        <w:b/>
        <w:color w:val="404040"/>
      </w:rPr>
      <w:tcPr>
        <w:tcBorders>
          <w:top w:val="single" w:color="C0504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2D2" w:fill="EFD2D2"/>
      </w:tcPr>
    </w:tblStylePr>
    <w:tblStylePr w:type="band1Horz">
      <w:tcPr>
        <w:shd w:val="clear" w:color="EFD2D2" w:fill="EFD2D2"/>
      </w:tcPr>
    </w:tblStylePr>
  </w:style>
  <w:style w:type="table" w:customStyle="1" w:styleId="122">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sz="4" w:space="0"/>
          <w:right w:val="nil"/>
        </w:tcBorders>
      </w:tcPr>
    </w:tblStylePr>
    <w:tblStylePr w:type="lastRow">
      <w:rPr>
        <w:b/>
        <w:color w:val="404040"/>
      </w:rPr>
      <w:tcPr>
        <w:tcBorders>
          <w:top w:val="single" w:color="9BBB59"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ED5" w:fill="E5EED5"/>
      </w:tcPr>
    </w:tblStylePr>
    <w:tblStylePr w:type="band1Horz">
      <w:tcPr>
        <w:shd w:val="clear" w:color="E5EED5" w:fill="E5EED5"/>
      </w:tcPr>
    </w:tblStylePr>
  </w:style>
  <w:style w:type="table" w:customStyle="1" w:styleId="123">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sz="4" w:space="0"/>
          <w:right w:val="nil"/>
        </w:tcBorders>
      </w:tcPr>
    </w:tblStylePr>
    <w:tblStylePr w:type="lastRow">
      <w:rPr>
        <w:b/>
        <w:color w:val="404040"/>
      </w:rPr>
      <w:tcPr>
        <w:tcBorders>
          <w:top w:val="single" w:color="8064A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fill="DFD8E7"/>
      </w:tcPr>
    </w:tblStylePr>
    <w:tblStylePr w:type="band1Horz">
      <w:tcPr>
        <w:shd w:val="clear" w:color="DFD8E7" w:fill="DFD8E7"/>
      </w:tcPr>
    </w:tblStylePr>
  </w:style>
  <w:style w:type="table" w:customStyle="1" w:styleId="124">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sz="4" w:space="0"/>
          <w:right w:val="nil"/>
        </w:tcBorders>
      </w:tcPr>
    </w:tblStylePr>
    <w:tblStylePr w:type="lastRow">
      <w:rPr>
        <w:b/>
        <w:color w:val="404040"/>
      </w:rPr>
      <w:tcPr>
        <w:tcBorders>
          <w:top w:val="single" w:color="4BACC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fill="D1EAF0"/>
      </w:tcPr>
    </w:tblStylePr>
    <w:tblStylePr w:type="band1Horz">
      <w:tcPr>
        <w:shd w:val="clear" w:color="D1EAF0" w:fill="D1EAF0"/>
      </w:tcPr>
    </w:tblStylePr>
  </w:style>
  <w:style w:type="table" w:customStyle="1" w:styleId="125">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sz="4" w:space="0"/>
          <w:right w:val="nil"/>
        </w:tcBorders>
      </w:tcPr>
    </w:tblStylePr>
    <w:tblStylePr w:type="lastRow">
      <w:rPr>
        <w:b/>
        <w:color w:val="404040"/>
      </w:rPr>
      <w:tcPr>
        <w:tcBorders>
          <w:top w:val="single" w:color="F7964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DE4D0" w:fill="FDE4D0"/>
      </w:tcPr>
    </w:tblStylePr>
    <w:tblStylePr w:type="band1Horz">
      <w:tcPr>
        <w:shd w:val="clear" w:color="FDE4D0" w:fill="FDE4D0"/>
      </w:tcPr>
    </w:tblStylePr>
  </w:style>
  <w:style w:type="table" w:customStyle="1" w:styleId="126">
    <w:name w:val="清单表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tblStylePr w:type="firstRow">
      <w:rPr>
        <w:rFonts w:ascii="Arial" w:hAnsi="Arial"/>
        <w:b/>
        <w:color w:val="404040"/>
        <w:sz w:val="22"/>
      </w:rPr>
      <w:tcPr>
        <w:tcBorders>
          <w:top w:val="single" w:color="6F6F6F" w:sz="4" w:space="0"/>
          <w:left w:val="nil"/>
          <w:bottom w:val="single" w:color="6F6F6F" w:sz="4" w:space="0"/>
          <w:right w:val="nil"/>
        </w:tcBorders>
      </w:tcPr>
    </w:tblStylePr>
    <w:tblStylePr w:type="lastRow">
      <w:rPr>
        <w:rFonts w:ascii="Arial" w:hAnsi="Arial"/>
        <w:b/>
        <w:color w:val="404040"/>
        <w:sz w:val="22"/>
      </w:rPr>
      <w:tcPr>
        <w:tcBorders>
          <w:top w:val="single" w:color="6F6F6F" w:sz="4" w:space="0"/>
          <w:left w:val="nil"/>
          <w:bottom w:val="single" w:color="6F6F6F"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FBFBF" w:fill="BFBFBF"/>
      </w:tcPr>
    </w:tblStylePr>
    <w:tblStylePr w:type="band1Horz">
      <w:rPr>
        <w:rFonts w:ascii="Arial" w:hAnsi="Arial"/>
        <w:color w:val="404040"/>
        <w:sz w:val="22"/>
      </w:rPr>
      <w:tcPr>
        <w:shd w:val="clear" w:color="BFBFBF" w:fill="BFBFBF"/>
      </w:tcPr>
    </w:tblStylePr>
  </w:style>
  <w:style w:type="table" w:customStyle="1" w:styleId="127">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sz="4" w:space="0"/>
          <w:left w:val="nil"/>
          <w:bottom w:val="single" w:color="9BB7D9" w:sz="4" w:space="0"/>
          <w:right w:val="nil"/>
        </w:tcBorders>
      </w:tcPr>
    </w:tblStylePr>
    <w:tblStylePr w:type="lastRow">
      <w:rPr>
        <w:rFonts w:ascii="Arial" w:hAnsi="Arial"/>
        <w:b/>
        <w:color w:val="404040"/>
        <w:sz w:val="22"/>
      </w:rPr>
      <w:tcPr>
        <w:tcBorders>
          <w:top w:val="single" w:color="9BB7D9" w:sz="4" w:space="0"/>
          <w:left w:val="nil"/>
          <w:bottom w:val="single" w:color="9BB7D9"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28">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tblStylePr w:type="firstRow">
      <w:rPr>
        <w:rFonts w:ascii="Arial" w:hAnsi="Arial"/>
        <w:b/>
        <w:color w:val="404040"/>
        <w:sz w:val="22"/>
      </w:rPr>
      <w:tcPr>
        <w:tcBorders>
          <w:top w:val="single" w:color="DB9B9A" w:sz="4" w:space="0"/>
          <w:left w:val="nil"/>
          <w:bottom w:val="single" w:color="DB9B9A" w:sz="4" w:space="0"/>
          <w:right w:val="nil"/>
        </w:tcBorders>
      </w:tcPr>
    </w:tblStylePr>
    <w:tblStylePr w:type="lastRow">
      <w:rPr>
        <w:rFonts w:ascii="Arial" w:hAnsi="Arial"/>
        <w:b/>
        <w:color w:val="404040"/>
        <w:sz w:val="22"/>
      </w:rPr>
      <w:tcPr>
        <w:tcBorders>
          <w:top w:val="single" w:color="DB9B9A" w:sz="4" w:space="0"/>
          <w:left w:val="nil"/>
          <w:bottom w:val="single" w:color="DB9B9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2D2" w:fill="EFD2D2"/>
      </w:tcPr>
    </w:tblStylePr>
    <w:tblStylePr w:type="band1Horz">
      <w:rPr>
        <w:rFonts w:ascii="Arial" w:hAnsi="Arial"/>
        <w:color w:val="404040"/>
        <w:sz w:val="22"/>
      </w:rPr>
      <w:tcPr>
        <w:shd w:val="clear" w:color="EFD2D2" w:fill="EFD2D2"/>
      </w:tcPr>
    </w:tblStylePr>
  </w:style>
  <w:style w:type="table" w:customStyle="1" w:styleId="129">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sz="4" w:space="0"/>
          <w:left w:val="nil"/>
          <w:bottom w:val="single" w:color="C6D8A1" w:sz="4" w:space="0"/>
          <w:right w:val="nil"/>
        </w:tcBorders>
      </w:tcPr>
    </w:tblStylePr>
    <w:tblStylePr w:type="lastRow">
      <w:rPr>
        <w:rFonts w:ascii="Arial" w:hAnsi="Arial"/>
        <w:b/>
        <w:color w:val="404040"/>
        <w:sz w:val="22"/>
      </w:rPr>
      <w:tcPr>
        <w:tcBorders>
          <w:top w:val="single" w:color="C6D8A1" w:sz="4" w:space="0"/>
          <w:left w:val="nil"/>
          <w:bottom w:val="single" w:color="C6D8A1"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ED5" w:fill="E5EED5"/>
      </w:tcPr>
    </w:tblStylePr>
    <w:tblStylePr w:type="band1Horz">
      <w:rPr>
        <w:rFonts w:ascii="Arial" w:hAnsi="Arial"/>
        <w:color w:val="404040"/>
        <w:sz w:val="22"/>
      </w:rPr>
      <w:tcPr>
        <w:shd w:val="clear" w:color="E5EED5" w:fill="E5EED5"/>
      </w:tcPr>
    </w:tblStylePr>
  </w:style>
  <w:style w:type="table" w:customStyle="1" w:styleId="130">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sz="4" w:space="0"/>
          <w:left w:val="nil"/>
          <w:bottom w:val="single" w:color="B7A7CA" w:sz="4" w:space="0"/>
          <w:right w:val="nil"/>
        </w:tcBorders>
      </w:tcPr>
    </w:tblStylePr>
    <w:tblStylePr w:type="lastRow">
      <w:rPr>
        <w:rFonts w:ascii="Arial" w:hAnsi="Arial"/>
        <w:b/>
        <w:color w:val="404040"/>
        <w:sz w:val="22"/>
      </w:rPr>
      <w:tcPr>
        <w:tcBorders>
          <w:top w:val="single" w:color="B7A7CA" w:sz="4" w:space="0"/>
          <w:left w:val="nil"/>
          <w:bottom w:val="single" w:color="B7A7C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131">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sz="4" w:space="0"/>
          <w:left w:val="nil"/>
          <w:bottom w:val="single" w:color="99D0DE" w:sz="4" w:space="0"/>
          <w:right w:val="nil"/>
        </w:tcBorders>
      </w:tcPr>
    </w:tblStylePr>
    <w:tblStylePr w:type="lastRow">
      <w:rPr>
        <w:rFonts w:ascii="Arial" w:hAnsi="Arial"/>
        <w:b/>
        <w:color w:val="404040"/>
        <w:sz w:val="22"/>
      </w:rPr>
      <w:tcPr>
        <w:tcBorders>
          <w:top w:val="single" w:color="99D0DE" w:sz="4" w:space="0"/>
          <w:left w:val="nil"/>
          <w:bottom w:val="single" w:color="99D0DE"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32">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sz="4" w:space="0"/>
          <w:left w:val="nil"/>
          <w:bottom w:val="single" w:color="FAC396" w:sz="4" w:space="0"/>
          <w:right w:val="nil"/>
        </w:tcBorders>
      </w:tcPr>
    </w:tblStylePr>
    <w:tblStylePr w:type="lastRow">
      <w:rPr>
        <w:rFonts w:ascii="Arial" w:hAnsi="Arial"/>
        <w:b/>
        <w:color w:val="404040"/>
        <w:sz w:val="22"/>
      </w:rPr>
      <w:tcPr>
        <w:tcBorders>
          <w:top w:val="single" w:color="FAC396" w:sz="4" w:space="0"/>
          <w:left w:val="nil"/>
          <w:bottom w:val="single" w:color="FAC396"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DE4D0" w:fill="FDE4D0"/>
      </w:tcPr>
    </w:tblStylePr>
    <w:tblStylePr w:type="band1Horz">
      <w:rPr>
        <w:rFonts w:ascii="Arial" w:hAnsi="Arial"/>
        <w:color w:val="404040"/>
        <w:sz w:val="22"/>
      </w:rPr>
      <w:tcPr>
        <w:shd w:val="clear" w:color="FDE4D0" w:fill="FDE4D0"/>
      </w:tcPr>
    </w:tblStylePr>
  </w:style>
  <w:style w:type="table" w:customStyle="1" w:styleId="133">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sz="4" w:space="0"/>
          <w:right w:val="single" w:color="000000" w:sz="4" w:space="0"/>
        </w:tcBorders>
      </w:tcPr>
    </w:tblStylePr>
    <w:tblStylePr w:type="band1Horz">
      <w:rPr>
        <w:rFonts w:ascii="Arial" w:hAnsi="Arial"/>
        <w:color w:val="404040"/>
        <w:sz w:val="22"/>
      </w:rPr>
      <w:tcPr>
        <w:tcBorders>
          <w:top w:val="single" w:color="000000" w:sz="4" w:space="0"/>
          <w:bottom w:val="single" w:color="000000" w:sz="4" w:space="0"/>
        </w:tcBorders>
      </w:tcPr>
    </w:tblStylePr>
  </w:style>
  <w:style w:type="table" w:customStyle="1" w:styleId="134">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sz="4" w:space="0"/>
          <w:right w:val="single" w:color="4F81BD" w:sz="4" w:space="0"/>
        </w:tcBorders>
      </w:tcPr>
    </w:tblStylePr>
    <w:tblStylePr w:type="band1Horz">
      <w:rPr>
        <w:rFonts w:ascii="Arial" w:hAnsi="Arial"/>
        <w:color w:val="404040"/>
        <w:sz w:val="22"/>
      </w:rPr>
      <w:tcPr>
        <w:tcBorders>
          <w:top w:val="single" w:color="4F81BD" w:sz="4" w:space="0"/>
          <w:bottom w:val="single" w:color="4F81BD" w:sz="4" w:space="0"/>
        </w:tcBorders>
      </w:tcPr>
    </w:tblStylePr>
  </w:style>
  <w:style w:type="table" w:customStyle="1" w:styleId="135">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tblStylePr w:type="firstRow">
      <w:rPr>
        <w:rFonts w:ascii="Arial" w:hAnsi="Arial"/>
        <w:b/>
        <w:color w:val="FFFFFF"/>
        <w:sz w:val="22"/>
      </w:r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695" w:sz="4" w:space="0"/>
          <w:right w:val="single" w:color="D99695" w:sz="4" w:space="0"/>
        </w:tcBorders>
      </w:tcPr>
    </w:tblStylePr>
    <w:tblStylePr w:type="band1Horz">
      <w:rPr>
        <w:rFonts w:ascii="Arial" w:hAnsi="Arial"/>
        <w:color w:val="404040"/>
        <w:sz w:val="22"/>
      </w:rPr>
      <w:tcPr>
        <w:tcBorders>
          <w:top w:val="single" w:color="D99695" w:sz="4" w:space="0"/>
          <w:bottom w:val="single" w:color="D99695" w:sz="4" w:space="0"/>
        </w:tcBorders>
      </w:tcPr>
    </w:tblStylePr>
  </w:style>
  <w:style w:type="table" w:customStyle="1" w:styleId="136">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tblStylePr w:type="firstRow">
      <w:rPr>
        <w:rFonts w:ascii="Arial" w:hAnsi="Arial"/>
        <w:b/>
        <w:color w:val="FFFFFF"/>
        <w:sz w:val="22"/>
      </w:r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B" w:sz="4" w:space="0"/>
          <w:right w:val="single" w:color="C3D69B" w:sz="4" w:space="0"/>
        </w:tcBorders>
      </w:tcPr>
    </w:tblStylePr>
    <w:tblStylePr w:type="band1Horz">
      <w:rPr>
        <w:rFonts w:ascii="Arial" w:hAnsi="Arial"/>
        <w:color w:val="404040"/>
        <w:sz w:val="22"/>
      </w:rPr>
      <w:tcPr>
        <w:tcBorders>
          <w:top w:val="single" w:color="C3D69B" w:sz="4" w:space="0"/>
          <w:bottom w:val="single" w:color="C3D69B" w:sz="4" w:space="0"/>
        </w:tcBorders>
      </w:tcPr>
    </w:tblStylePr>
  </w:style>
  <w:style w:type="table" w:customStyle="1" w:styleId="137">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tblStylePr w:type="firstRow">
      <w:rPr>
        <w:rFonts w:ascii="Arial" w:hAnsi="Arial"/>
        <w:b/>
        <w:color w:val="FFFFFF"/>
        <w:sz w:val="22"/>
      </w:r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sz="4" w:space="0"/>
          <w:right w:val="single" w:color="B2A1C6" w:sz="4" w:space="0"/>
        </w:tcBorders>
      </w:tcPr>
    </w:tblStylePr>
    <w:tblStylePr w:type="band1Horz">
      <w:rPr>
        <w:rFonts w:ascii="Arial" w:hAnsi="Arial"/>
        <w:color w:val="404040"/>
        <w:sz w:val="22"/>
      </w:rPr>
      <w:tcPr>
        <w:tcBorders>
          <w:top w:val="single" w:color="B2A1C6" w:sz="4" w:space="0"/>
          <w:bottom w:val="single" w:color="B2A1C6" w:sz="4" w:space="0"/>
        </w:tcBorders>
      </w:tcPr>
    </w:tblStylePr>
  </w:style>
  <w:style w:type="table" w:customStyle="1" w:styleId="138">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tblStylePr w:type="firstRow">
      <w:rPr>
        <w:rFonts w:ascii="Arial" w:hAnsi="Arial"/>
        <w:b/>
        <w:color w:val="FFFFFF"/>
        <w:sz w:val="22"/>
      </w:r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sz="4" w:space="0"/>
          <w:right w:val="single" w:color="92CCDC" w:sz="4" w:space="0"/>
        </w:tcBorders>
      </w:tcPr>
    </w:tblStylePr>
    <w:tblStylePr w:type="band1Horz">
      <w:rPr>
        <w:rFonts w:ascii="Arial" w:hAnsi="Arial"/>
        <w:color w:val="404040"/>
        <w:sz w:val="22"/>
      </w:rPr>
      <w:tcPr>
        <w:tcBorders>
          <w:top w:val="single" w:color="92CCDC" w:sz="4" w:space="0"/>
          <w:bottom w:val="single" w:color="92CCDC" w:sz="4" w:space="0"/>
        </w:tcBorders>
      </w:tcPr>
    </w:tblStylePr>
  </w:style>
  <w:style w:type="table" w:customStyle="1" w:styleId="139">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tblStylePr w:type="firstRow">
      <w:rPr>
        <w:rFonts w:ascii="Arial" w:hAnsi="Arial"/>
        <w:b/>
        <w:color w:val="FFFFFF"/>
        <w:sz w:val="22"/>
      </w:r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sz="4" w:space="0"/>
          <w:right w:val="single" w:color="FAC090" w:sz="4" w:space="0"/>
        </w:tcBorders>
      </w:tcPr>
    </w:tblStylePr>
    <w:tblStylePr w:type="band1Horz">
      <w:rPr>
        <w:rFonts w:ascii="Arial" w:hAnsi="Arial"/>
        <w:color w:val="404040"/>
        <w:sz w:val="22"/>
      </w:rPr>
      <w:tcPr>
        <w:tcBorders>
          <w:top w:val="single" w:color="FAC090" w:sz="4" w:space="0"/>
          <w:bottom w:val="single" w:color="FAC090" w:sz="4" w:space="0"/>
        </w:tcBorders>
      </w:tcPr>
    </w:tblStylePr>
  </w:style>
  <w:style w:type="table" w:customStyle="1" w:styleId="140">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FBFBF" w:fill="BFBFBF"/>
      </w:tcPr>
    </w:tblStylePr>
    <w:tblStylePr w:type="band1Horz">
      <w:rPr>
        <w:rFonts w:ascii="Arial" w:hAnsi="Arial"/>
        <w:color w:val="404040"/>
        <w:sz w:val="22"/>
      </w:rPr>
      <w:tcPr>
        <w:shd w:val="clear" w:color="BFBFBF" w:fill="BFBFBF"/>
      </w:tcPr>
    </w:tblStylePr>
  </w:style>
  <w:style w:type="table" w:customStyle="1" w:styleId="141">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42">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2D2" w:fill="EFD2D2"/>
      </w:tcPr>
    </w:tblStylePr>
    <w:tblStylePr w:type="band1Horz">
      <w:rPr>
        <w:rFonts w:ascii="Arial" w:hAnsi="Arial"/>
        <w:color w:val="404040"/>
        <w:sz w:val="22"/>
      </w:rPr>
      <w:tcPr>
        <w:shd w:val="clear" w:color="EFD2D2" w:fill="EFD2D2"/>
      </w:tcPr>
    </w:tblStylePr>
  </w:style>
  <w:style w:type="table" w:customStyle="1" w:styleId="143">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ED5" w:fill="E5EED5"/>
      </w:tcPr>
    </w:tblStylePr>
    <w:tblStylePr w:type="band1Horz">
      <w:rPr>
        <w:rFonts w:ascii="Arial" w:hAnsi="Arial"/>
        <w:color w:val="404040"/>
        <w:sz w:val="22"/>
      </w:rPr>
      <w:tcPr>
        <w:shd w:val="clear" w:color="E5EED5" w:fill="E5EED5"/>
      </w:tcPr>
    </w:tblStylePr>
  </w:style>
  <w:style w:type="table" w:customStyle="1" w:styleId="144">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145">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46">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4D0" w:fill="FDE4D0"/>
      </w:tcPr>
    </w:tblStylePr>
    <w:tblStylePr w:type="band1Horz">
      <w:rPr>
        <w:rFonts w:ascii="Arial" w:hAnsi="Arial"/>
        <w:color w:val="404040"/>
        <w:sz w:val="22"/>
      </w:rPr>
      <w:tcPr>
        <w:shd w:val="clear" w:color="FDE4D0" w:fill="FDE4D0"/>
      </w:tcPr>
    </w:tblStylePr>
  </w:style>
  <w:style w:type="table" w:customStyle="1" w:styleId="147">
    <w:name w:val="清单表 5 深色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tblStylePr w:type="firstRow">
      <w:rPr>
        <w:rFonts w:ascii="Arial" w:hAnsi="Arial"/>
        <w:b/>
        <w:color w:val="FFFFFF"/>
        <w:sz w:val="22"/>
      </w:rPr>
      <w:tcPr>
        <w:tcBorders>
          <w:top w:val="single" w:color="7F7F7F" w:sz="32" w:space="0"/>
          <w:bottom w:val="single" w:color="FFFFFF" w:sz="12" w:space="0"/>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cPr>
        <w:tcBorders>
          <w:left w:val="single" w:color="7F7F7F" w:sz="32" w:space="0"/>
          <w:right w:val="single" w:color="FFFFFF" w:sz="4" w:space="0"/>
        </w:tcBorders>
      </w:tcPr>
    </w:tblStylePr>
    <w:tblStylePr w:type="lastCol">
      <w:tcPr>
        <w:tcBorders>
          <w:left w:val="single" w:color="FFFFFF" w:sz="4" w:space="0"/>
          <w:right w:val="single" w:color="7F7F7F" w:sz="32" w:space="0"/>
        </w:tcBorders>
      </w:tcPr>
    </w:tblStylePr>
    <w:tblStylePr w:type="band1Vert">
      <w:tcPr>
        <w:tcBorders>
          <w:left w:val="single" w:color="FFFFFF" w:sz="4" w:space="0"/>
          <w:right w:val="single" w:color="FFFFFF" w:sz="4" w:space="0"/>
        </w:tcBorders>
        <w:shd w:val="clear" w:color="7F7F7F" w:fill="7F7F7F"/>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7F7F7F" w:fill="7F7F7F"/>
      </w:tcPr>
    </w:tblStylePr>
    <w:tblStylePr w:type="band2Horz">
      <w:tcPr>
        <w:tcBorders>
          <w:top w:val="single" w:color="FFFFFF" w:sz="4" w:space="0"/>
          <w:bottom w:val="single" w:color="FFFFFF" w:sz="4" w:space="0"/>
        </w:tcBorders>
        <w:shd w:val="clear" w:color="7F7F7F" w:fill="7F7F7F"/>
      </w:tcPr>
    </w:tblStylePr>
  </w:style>
  <w:style w:type="table" w:customStyle="1" w:styleId="148">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tblStylePr w:type="firstRow">
      <w:rPr>
        <w:rFonts w:ascii="Arial" w:hAnsi="Arial"/>
        <w:b/>
        <w:color w:val="FFFFFF"/>
        <w:sz w:val="22"/>
      </w:rPr>
      <w:tcPr>
        <w:tcBorders>
          <w:top w:val="single" w:color="4F81BD" w:sz="32" w:space="0"/>
          <w:bottom w:val="single" w:color="FFFFFF" w:sz="12" w:space="0"/>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cPr>
        <w:tcBorders>
          <w:left w:val="single" w:color="4F81BD" w:sz="32" w:space="0"/>
          <w:right w:val="single" w:color="FFFFFF" w:sz="4" w:space="0"/>
        </w:tcBorders>
      </w:tcPr>
    </w:tblStylePr>
    <w:tblStylePr w:type="lastCol">
      <w:tcPr>
        <w:tcBorders>
          <w:left w:val="single" w:color="FFFFFF" w:sz="4" w:space="0"/>
          <w:right w:val="single" w:color="4F81BD" w:sz="32" w:space="0"/>
        </w:tcBorders>
      </w:tcPr>
    </w:tblStylePr>
    <w:tblStylePr w:type="band1Vert">
      <w:tcPr>
        <w:tcBorders>
          <w:left w:val="single" w:color="FFFFFF" w:sz="4" w:space="0"/>
          <w:right w:val="single" w:color="FFFFFF" w:sz="4" w:space="0"/>
        </w:tcBorders>
        <w:shd w:val="clear" w:color="4F81BD" w:fill="4F81BD"/>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4F81BD" w:fill="4F81BD"/>
      </w:tcPr>
    </w:tblStylePr>
    <w:tblStylePr w:type="band2Horz">
      <w:tcPr>
        <w:tcBorders>
          <w:top w:val="single" w:color="FFFFFF" w:sz="4" w:space="0"/>
          <w:bottom w:val="single" w:color="FFFFFF" w:sz="4" w:space="0"/>
        </w:tcBorders>
        <w:shd w:val="clear" w:color="4F81BD" w:fill="4F81BD"/>
      </w:tcPr>
    </w:tblStylePr>
  </w:style>
  <w:style w:type="table" w:customStyle="1" w:styleId="149">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tblStylePr w:type="firstRow">
      <w:rPr>
        <w:rFonts w:ascii="Arial" w:hAnsi="Arial"/>
        <w:b/>
        <w:color w:val="FFFFFF"/>
        <w:sz w:val="22"/>
      </w:rPr>
      <w:tcPr>
        <w:tcBorders>
          <w:top w:val="single" w:color="D99695" w:sz="32" w:space="0"/>
          <w:bottom w:val="single" w:color="FFFFFF" w:sz="12" w:space="0"/>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cPr>
        <w:tcBorders>
          <w:left w:val="single" w:color="D99695" w:sz="32" w:space="0"/>
          <w:right w:val="single" w:color="FFFFFF" w:sz="4" w:space="0"/>
        </w:tcBorders>
      </w:tcPr>
    </w:tblStylePr>
    <w:tblStylePr w:type="lastCol">
      <w:tcPr>
        <w:tcBorders>
          <w:left w:val="single" w:color="FFFFFF" w:sz="4" w:space="0"/>
          <w:right w:val="single" w:color="D99695" w:sz="32" w:space="0"/>
        </w:tcBorders>
      </w:tcPr>
    </w:tblStylePr>
    <w:tblStylePr w:type="band1Vert">
      <w:tcPr>
        <w:tcBorders>
          <w:left w:val="single" w:color="FFFFFF" w:sz="4" w:space="0"/>
          <w:right w:val="single" w:color="FFFFFF" w:sz="4" w:space="0"/>
        </w:tcBorders>
        <w:shd w:val="clear" w:color="D99695" w:fill="D99695"/>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D99695" w:fill="D99695"/>
      </w:tcPr>
    </w:tblStylePr>
    <w:tblStylePr w:type="band2Horz">
      <w:tcPr>
        <w:tcBorders>
          <w:top w:val="single" w:color="FFFFFF" w:sz="4" w:space="0"/>
          <w:bottom w:val="single" w:color="FFFFFF" w:sz="4" w:space="0"/>
        </w:tcBorders>
        <w:shd w:val="clear" w:color="D99695" w:fill="D99695"/>
      </w:tcPr>
    </w:tblStylePr>
  </w:style>
  <w:style w:type="table" w:customStyle="1" w:styleId="150">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tblStylePr w:type="firstRow">
      <w:rPr>
        <w:rFonts w:ascii="Arial" w:hAnsi="Arial"/>
        <w:b/>
        <w:color w:val="FFFFFF"/>
        <w:sz w:val="22"/>
      </w:rPr>
      <w:tcPr>
        <w:tcBorders>
          <w:top w:val="single" w:color="C3D69B" w:sz="32" w:space="0"/>
          <w:bottom w:val="single" w:color="FFFFFF" w:sz="12" w:space="0"/>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cPr>
        <w:tcBorders>
          <w:left w:val="single" w:color="C3D69B" w:sz="32" w:space="0"/>
          <w:right w:val="single" w:color="FFFFFF" w:sz="4" w:space="0"/>
        </w:tcBorders>
      </w:tcPr>
    </w:tblStylePr>
    <w:tblStylePr w:type="lastCol">
      <w:tcPr>
        <w:tcBorders>
          <w:left w:val="single" w:color="FFFFFF" w:sz="4" w:space="0"/>
          <w:right w:val="single" w:color="C3D69B" w:sz="32" w:space="0"/>
        </w:tcBorders>
      </w:tcPr>
    </w:tblStylePr>
    <w:tblStylePr w:type="band1Vert">
      <w:tcPr>
        <w:tcBorders>
          <w:left w:val="single" w:color="FFFFFF" w:sz="4" w:space="0"/>
          <w:right w:val="single" w:color="FFFFFF" w:sz="4" w:space="0"/>
        </w:tcBorders>
        <w:shd w:val="clear" w:color="C3D69B" w:fill="C3D69B"/>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C3D69B" w:fill="C3D69B"/>
      </w:tcPr>
    </w:tblStylePr>
    <w:tblStylePr w:type="band2Horz">
      <w:tcPr>
        <w:tcBorders>
          <w:top w:val="single" w:color="FFFFFF" w:sz="4" w:space="0"/>
          <w:bottom w:val="single" w:color="FFFFFF" w:sz="4" w:space="0"/>
        </w:tcBorders>
        <w:shd w:val="clear" w:color="C3D69B" w:fill="C3D69B"/>
      </w:tcPr>
    </w:tblStylePr>
  </w:style>
  <w:style w:type="table" w:customStyle="1" w:styleId="151">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tblStylePr w:type="firstRow">
      <w:rPr>
        <w:rFonts w:ascii="Arial" w:hAnsi="Arial"/>
        <w:b/>
        <w:color w:val="FFFFFF"/>
        <w:sz w:val="22"/>
      </w:rPr>
      <w:tcPr>
        <w:tcBorders>
          <w:top w:val="single" w:color="B2A1C6" w:sz="32" w:space="0"/>
          <w:bottom w:val="single" w:color="FFFFFF" w:sz="12" w:space="0"/>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cPr>
        <w:tcBorders>
          <w:left w:val="single" w:color="B2A1C6" w:sz="32" w:space="0"/>
          <w:right w:val="single" w:color="FFFFFF" w:sz="4" w:space="0"/>
        </w:tcBorders>
      </w:tcPr>
    </w:tblStylePr>
    <w:tblStylePr w:type="lastCol">
      <w:tcPr>
        <w:tcBorders>
          <w:left w:val="single" w:color="FFFFFF" w:sz="4" w:space="0"/>
          <w:right w:val="single" w:color="B2A1C6" w:sz="32" w:space="0"/>
        </w:tcBorders>
      </w:tcPr>
    </w:tblStylePr>
    <w:tblStylePr w:type="band1Vert">
      <w:tcPr>
        <w:tcBorders>
          <w:left w:val="single" w:color="FFFFFF" w:sz="4" w:space="0"/>
          <w:right w:val="single" w:color="FFFFFF" w:sz="4" w:space="0"/>
        </w:tcBorders>
        <w:shd w:val="clear" w:color="B2A1C6" w:fill="B2A1C6"/>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B2A1C6" w:fill="B2A1C6"/>
      </w:tcPr>
    </w:tblStylePr>
    <w:tblStylePr w:type="band2Horz">
      <w:tcPr>
        <w:tcBorders>
          <w:top w:val="single" w:color="FFFFFF" w:sz="4" w:space="0"/>
          <w:bottom w:val="single" w:color="FFFFFF" w:sz="4" w:space="0"/>
        </w:tcBorders>
        <w:shd w:val="clear" w:color="B2A1C6" w:fill="B2A1C6"/>
      </w:tcPr>
    </w:tblStylePr>
  </w:style>
  <w:style w:type="table" w:customStyle="1" w:styleId="152">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tblStylePr w:type="firstRow">
      <w:rPr>
        <w:rFonts w:ascii="Arial" w:hAnsi="Arial"/>
        <w:b/>
        <w:color w:val="FFFFFF"/>
        <w:sz w:val="22"/>
      </w:rPr>
      <w:tcPr>
        <w:tcBorders>
          <w:top w:val="single" w:color="92CCDC" w:sz="32" w:space="0"/>
          <w:bottom w:val="single" w:color="FFFFFF" w:sz="12" w:space="0"/>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cPr>
        <w:tcBorders>
          <w:left w:val="single" w:color="92CCDC" w:sz="32" w:space="0"/>
          <w:right w:val="single" w:color="FFFFFF" w:sz="4" w:space="0"/>
        </w:tcBorders>
      </w:tcPr>
    </w:tblStylePr>
    <w:tblStylePr w:type="lastCol">
      <w:tcPr>
        <w:tcBorders>
          <w:left w:val="single" w:color="FFFFFF" w:sz="4" w:space="0"/>
          <w:right w:val="single" w:color="92CCDC" w:sz="32" w:space="0"/>
        </w:tcBorders>
      </w:tcPr>
    </w:tblStylePr>
    <w:tblStylePr w:type="band1Vert">
      <w:tcPr>
        <w:tcBorders>
          <w:left w:val="single" w:color="FFFFFF" w:sz="4" w:space="0"/>
          <w:right w:val="single" w:color="FFFFFF" w:sz="4" w:space="0"/>
        </w:tcBorders>
        <w:shd w:val="clear" w:color="92CCDC" w:fill="92CCDC"/>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92CCDC" w:fill="92CCDC"/>
      </w:tcPr>
    </w:tblStylePr>
    <w:tblStylePr w:type="band2Horz">
      <w:tcPr>
        <w:tcBorders>
          <w:top w:val="single" w:color="FFFFFF" w:sz="4" w:space="0"/>
          <w:bottom w:val="single" w:color="FFFFFF" w:sz="4" w:space="0"/>
        </w:tcBorders>
        <w:shd w:val="clear" w:color="92CCDC" w:fill="92CCDC"/>
      </w:tcPr>
    </w:tblStylePr>
  </w:style>
  <w:style w:type="table" w:customStyle="1" w:styleId="153">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tblStylePr w:type="firstRow">
      <w:rPr>
        <w:rFonts w:ascii="Arial" w:hAnsi="Arial"/>
        <w:b/>
        <w:color w:val="FFFFFF"/>
        <w:sz w:val="22"/>
      </w:rPr>
      <w:tcPr>
        <w:tcBorders>
          <w:top w:val="single" w:color="FAC090" w:sz="32" w:space="0"/>
          <w:bottom w:val="single" w:color="FFFFFF" w:sz="12" w:space="0"/>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cPr>
        <w:tcBorders>
          <w:left w:val="single" w:color="FAC090" w:sz="32" w:space="0"/>
          <w:right w:val="single" w:color="FFFFFF" w:sz="4" w:space="0"/>
        </w:tcBorders>
      </w:tcPr>
    </w:tblStylePr>
    <w:tblStylePr w:type="lastCol">
      <w:tcPr>
        <w:tcBorders>
          <w:left w:val="single" w:color="FFFFFF" w:sz="4" w:space="0"/>
          <w:right w:val="single" w:color="FAC090" w:sz="32" w:space="0"/>
        </w:tcBorders>
      </w:tcPr>
    </w:tblStylePr>
    <w:tblStylePr w:type="band1Vert">
      <w:tcPr>
        <w:tcBorders>
          <w:left w:val="single" w:color="FFFFFF" w:sz="4" w:space="0"/>
          <w:right w:val="single" w:color="FFFFFF" w:sz="4" w:space="0"/>
        </w:tcBorders>
        <w:shd w:val="clear" w:color="FAC090" w:fill="FAC090"/>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FAC090" w:fill="FAC090"/>
      </w:tcPr>
    </w:tblStylePr>
    <w:tblStylePr w:type="band2Horz">
      <w:tcPr>
        <w:tcBorders>
          <w:top w:val="single" w:color="FFFFFF" w:sz="4" w:space="0"/>
          <w:bottom w:val="single" w:color="FFFFFF" w:sz="4" w:space="0"/>
        </w:tcBorders>
        <w:shd w:val="clear" w:color="FAC090" w:fill="FAC090"/>
      </w:tcPr>
    </w:tblStylePr>
  </w:style>
  <w:style w:type="table" w:customStyle="1" w:styleId="154">
    <w:name w:val="清单表 6 彩色1"/>
    <w:qFormat/>
    <w:uiPriority w:val="99"/>
    <w:tblPr>
      <w:tblBorders>
        <w:top w:val="single" w:color="7F7F7F" w:sz="4" w:space="0"/>
        <w:bottom w:val="single" w:color="7F7F7F" w:sz="4" w:space="0"/>
      </w:tblBorders>
      <w:tblCellMar>
        <w:top w:w="0" w:type="dxa"/>
        <w:left w:w="0" w:type="dxa"/>
        <w:bottom w:w="0" w:type="dxa"/>
        <w:right w:w="0" w:type="dxa"/>
      </w:tblCellMar>
    </w:tblPr>
    <w:tblStylePr w:type="firstRow">
      <w:rPr>
        <w:b/>
        <w:color w:val="000000"/>
      </w:rPr>
      <w:tcPr>
        <w:tcBorders>
          <w:bottom w:val="single" w:color="7F7F7F" w:sz="4" w:space="0"/>
        </w:tcBorders>
      </w:tcPr>
    </w:tblStylePr>
    <w:tblStylePr w:type="lastRow">
      <w:rPr>
        <w:b/>
        <w:color w:val="000000"/>
      </w:rPr>
      <w:tcPr>
        <w:tcBorders>
          <w:top w:val="single" w:color="7F7F7F" w:sz="4" w:space="0"/>
        </w:tcBorders>
      </w:tcPr>
    </w:tblStylePr>
    <w:tblStylePr w:type="firstCol">
      <w:rPr>
        <w:b/>
        <w:color w:val="000000"/>
      </w:rPr>
    </w:tblStylePr>
    <w:tblStylePr w:type="lastCol">
      <w:rPr>
        <w:b/>
        <w:color w:val="000000"/>
      </w:rPr>
    </w:tblStylePr>
    <w:tblStylePr w:type="band1Vert">
      <w:tcPr>
        <w:shd w:val="clear" w:color="BFBFBF" w:fill="BFBFBF"/>
      </w:tcPr>
    </w:tblStylePr>
    <w:tblStylePr w:type="band1Horz">
      <w:rPr>
        <w:rFonts w:ascii="Arial" w:hAnsi="Arial"/>
        <w:color w:val="000000"/>
        <w:sz w:val="22"/>
      </w:rPr>
      <w:tcPr>
        <w:shd w:val="clear" w:color="BFBFBF" w:fill="BFBFBF"/>
      </w:tcPr>
    </w:tblStylePr>
    <w:tblStylePr w:type="band2Horz">
      <w:rPr>
        <w:rFonts w:ascii="Arial" w:hAnsi="Arial"/>
        <w:color w:val="000000"/>
        <w:sz w:val="22"/>
      </w:rPr>
    </w:tblStylePr>
  </w:style>
  <w:style w:type="table" w:customStyle="1" w:styleId="155">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tblStylePr w:type="firstRow">
      <w:rPr>
        <w:b/>
        <w:color w:val="2A4A70"/>
      </w:rPr>
      <w:tcPr>
        <w:tcBorders>
          <w:bottom w:val="single" w:color="4F81BD" w:sz="4" w:space="0"/>
        </w:tcBorders>
      </w:tcPr>
    </w:tblStylePr>
    <w:tblStylePr w:type="lastRow">
      <w:rPr>
        <w:b/>
        <w:color w:val="2A4A70"/>
      </w:rPr>
      <w:tcPr>
        <w:tcBorders>
          <w:top w:val="single" w:color="4F81BD" w:sz="4" w:space="0"/>
        </w:tcBorders>
      </w:tcPr>
    </w:tblStylePr>
    <w:tblStylePr w:type="firstCol">
      <w:rPr>
        <w:b/>
        <w:color w:val="2A4A70"/>
      </w:rPr>
    </w:tblStylePr>
    <w:tblStylePr w:type="lastCol">
      <w:rPr>
        <w:b/>
        <w:color w:val="2A4A70"/>
      </w:rPr>
    </w:tblStylePr>
    <w:tblStylePr w:type="band1Vert">
      <w:tcPr>
        <w:shd w:val="clear" w:color="D2DFEE" w:fill="D2DFEE"/>
      </w:tcPr>
    </w:tblStylePr>
    <w:tblStylePr w:type="band1Horz">
      <w:rPr>
        <w:rFonts w:ascii="Arial" w:hAnsi="Arial"/>
        <w:color w:val="2A4A70"/>
        <w:sz w:val="22"/>
      </w:rPr>
      <w:tcPr>
        <w:shd w:val="clear" w:color="D2DFEE" w:fill="D2DFEE"/>
      </w:tcPr>
    </w:tblStylePr>
    <w:tblStylePr w:type="band2Horz">
      <w:rPr>
        <w:rFonts w:ascii="Arial" w:hAnsi="Arial"/>
        <w:color w:val="2A4A70"/>
        <w:sz w:val="22"/>
      </w:rPr>
    </w:tblStylePr>
  </w:style>
  <w:style w:type="table" w:customStyle="1" w:styleId="156">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tblStylePr w:type="firstRow">
      <w:rPr>
        <w:b/>
        <w:color w:val="DA9796"/>
      </w:rPr>
      <w:tcPr>
        <w:tcBorders>
          <w:bottom w:val="single" w:color="D99695" w:sz="4" w:space="0"/>
        </w:tcBorders>
      </w:tcPr>
    </w:tblStylePr>
    <w:tblStylePr w:type="lastRow">
      <w:rPr>
        <w:b/>
        <w:color w:val="DA9796"/>
      </w:rPr>
      <w:tcPr>
        <w:tcBorders>
          <w:top w:val="single" w:color="D99695" w:sz="4" w:space="0"/>
        </w:tcBorders>
      </w:tcPr>
    </w:tblStylePr>
    <w:tblStylePr w:type="firstCol">
      <w:rPr>
        <w:b/>
        <w:color w:val="DA9796"/>
      </w:rPr>
    </w:tblStylePr>
    <w:tblStylePr w:type="lastCol">
      <w:rPr>
        <w:b/>
        <w:color w:val="DA9796"/>
      </w:rPr>
    </w:tblStylePr>
    <w:tblStylePr w:type="band1Vert">
      <w:tcPr>
        <w:shd w:val="clear" w:color="EFD2D2" w:fill="EFD2D2"/>
      </w:tcPr>
    </w:tblStylePr>
    <w:tblStylePr w:type="band1Horz">
      <w:rPr>
        <w:rFonts w:ascii="Arial" w:hAnsi="Arial"/>
        <w:color w:val="DA9796"/>
        <w:sz w:val="22"/>
      </w:rPr>
      <w:tcPr>
        <w:shd w:val="clear" w:color="EFD2D2" w:fill="EFD2D2"/>
      </w:tcPr>
    </w:tblStylePr>
    <w:tblStylePr w:type="band2Horz">
      <w:rPr>
        <w:rFonts w:ascii="Arial" w:hAnsi="Arial"/>
        <w:color w:val="DA9796"/>
        <w:sz w:val="22"/>
      </w:rPr>
    </w:tblStylePr>
  </w:style>
  <w:style w:type="table" w:customStyle="1" w:styleId="157">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tblStylePr w:type="firstRow">
      <w:rPr>
        <w:b/>
        <w:color w:val="C2D69B"/>
      </w:rPr>
      <w:tcPr>
        <w:tcBorders>
          <w:bottom w:val="single" w:color="C3D69B" w:sz="4" w:space="0"/>
        </w:tcBorders>
      </w:tcPr>
    </w:tblStylePr>
    <w:tblStylePr w:type="lastRow">
      <w:rPr>
        <w:b/>
        <w:color w:val="C2D69B"/>
      </w:rPr>
      <w:tcPr>
        <w:tcBorders>
          <w:top w:val="single" w:color="C3D69B" w:sz="4" w:space="0"/>
        </w:tcBorders>
      </w:tcPr>
    </w:tblStylePr>
    <w:tblStylePr w:type="firstCol">
      <w:rPr>
        <w:b/>
        <w:color w:val="C2D69B"/>
      </w:rPr>
    </w:tblStylePr>
    <w:tblStylePr w:type="lastCol">
      <w:rPr>
        <w:b/>
        <w:color w:val="C2D69B"/>
      </w:rPr>
    </w:tblStylePr>
    <w:tblStylePr w:type="band1Vert">
      <w:tcPr>
        <w:shd w:val="clear" w:color="E5EED5" w:fill="E5EED5"/>
      </w:tcPr>
    </w:tblStylePr>
    <w:tblStylePr w:type="band1Horz">
      <w:rPr>
        <w:rFonts w:ascii="Arial" w:hAnsi="Arial"/>
        <w:color w:val="C2D69B"/>
        <w:sz w:val="22"/>
      </w:rPr>
      <w:tcPr>
        <w:shd w:val="clear" w:color="E5EED5" w:fill="E5EED5"/>
      </w:tcPr>
    </w:tblStylePr>
    <w:tblStylePr w:type="band2Horz">
      <w:rPr>
        <w:rFonts w:ascii="Arial" w:hAnsi="Arial"/>
        <w:color w:val="C2D69B"/>
        <w:sz w:val="22"/>
      </w:rPr>
    </w:tblStylePr>
  </w:style>
  <w:style w:type="table" w:customStyle="1" w:styleId="158">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tblStylePr w:type="firstRow">
      <w:rPr>
        <w:b/>
        <w:color w:val="B2A1C7"/>
      </w:rPr>
      <w:tcPr>
        <w:tcBorders>
          <w:bottom w:val="single" w:color="B2A1C6" w:sz="4" w:space="0"/>
        </w:tcBorders>
      </w:tcPr>
    </w:tblStylePr>
    <w:tblStylePr w:type="lastRow">
      <w:rPr>
        <w:b/>
        <w:color w:val="B2A1C7"/>
      </w:rPr>
      <w:tcPr>
        <w:tcBorders>
          <w:top w:val="single" w:color="B2A1C6" w:sz="4" w:space="0"/>
        </w:tcBorders>
      </w:tcPr>
    </w:tblStylePr>
    <w:tblStylePr w:type="firstCol">
      <w:rPr>
        <w:b/>
        <w:color w:val="B2A1C7"/>
      </w:rPr>
    </w:tblStylePr>
    <w:tblStylePr w:type="lastCol">
      <w:rPr>
        <w:b/>
        <w:color w:val="B2A1C7"/>
      </w:r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159">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tblStylePr w:type="firstRow">
      <w:rPr>
        <w:b/>
        <w:color w:val="92CDDC"/>
      </w:rPr>
      <w:tcPr>
        <w:tcBorders>
          <w:bottom w:val="single" w:color="92CCDC" w:sz="4" w:space="0"/>
        </w:tcBorders>
      </w:tcPr>
    </w:tblStylePr>
    <w:tblStylePr w:type="lastRow">
      <w:rPr>
        <w:b/>
        <w:color w:val="92CDDC"/>
      </w:rPr>
      <w:tcPr>
        <w:tcBorders>
          <w:top w:val="single" w:color="92CCDC" w:sz="4" w:space="0"/>
        </w:tcBorders>
      </w:tcPr>
    </w:tblStylePr>
    <w:tblStylePr w:type="firstCol">
      <w:rPr>
        <w:b/>
        <w:color w:val="92CDDC"/>
      </w:rPr>
    </w:tblStylePr>
    <w:tblStylePr w:type="lastCol">
      <w:rPr>
        <w:b/>
        <w:color w:val="92CDDC"/>
      </w:rPr>
    </w:tblStylePr>
    <w:tblStylePr w:type="band1Vert">
      <w:tcPr>
        <w:shd w:val="clear" w:color="D1EAF0" w:fill="D1EAF0"/>
      </w:tcPr>
    </w:tblStylePr>
    <w:tblStylePr w:type="band1Horz">
      <w:rPr>
        <w:rFonts w:ascii="Arial" w:hAnsi="Arial"/>
        <w:color w:val="92CDDC"/>
        <w:sz w:val="22"/>
      </w:rPr>
      <w:tcPr>
        <w:shd w:val="clear" w:color="D1EAF0" w:fill="D1EAF0"/>
      </w:tcPr>
    </w:tblStylePr>
    <w:tblStylePr w:type="band2Horz">
      <w:rPr>
        <w:rFonts w:ascii="Arial" w:hAnsi="Arial"/>
        <w:color w:val="92CDDC"/>
        <w:sz w:val="22"/>
      </w:rPr>
    </w:tblStylePr>
  </w:style>
  <w:style w:type="table" w:customStyle="1" w:styleId="160">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tblStylePr w:type="firstRow">
      <w:rPr>
        <w:b/>
        <w:color w:val="FABF8F"/>
      </w:rPr>
      <w:tcPr>
        <w:tcBorders>
          <w:bottom w:val="single" w:color="FAC090" w:sz="4" w:space="0"/>
        </w:tcBorders>
      </w:tcPr>
    </w:tblStylePr>
    <w:tblStylePr w:type="lastRow">
      <w:rPr>
        <w:b/>
        <w:color w:val="FABF8F"/>
      </w:rPr>
      <w:tcPr>
        <w:tcBorders>
          <w:top w:val="single" w:color="FAC090" w:sz="4" w:space="0"/>
        </w:tcBorders>
      </w:tcPr>
    </w:tblStylePr>
    <w:tblStylePr w:type="firstCol">
      <w:rPr>
        <w:b/>
        <w:color w:val="FABF8F"/>
      </w:rPr>
    </w:tblStylePr>
    <w:tblStylePr w:type="lastCol">
      <w:rPr>
        <w:b/>
        <w:color w:val="FABF8F"/>
      </w:rPr>
    </w:tblStylePr>
    <w:tblStylePr w:type="band1Vert">
      <w:tcPr>
        <w:shd w:val="clear" w:color="FDE4D0" w:fill="FDE4D0"/>
      </w:tcPr>
    </w:tblStylePr>
    <w:tblStylePr w:type="band1Horz">
      <w:rPr>
        <w:rFonts w:ascii="Arial" w:hAnsi="Arial"/>
        <w:color w:val="FABF8F"/>
        <w:sz w:val="22"/>
      </w:rPr>
      <w:tcPr>
        <w:shd w:val="clear" w:color="FDE4D0" w:fill="FDE4D0"/>
      </w:tcPr>
    </w:tblStylePr>
    <w:tblStylePr w:type="band2Horz">
      <w:rPr>
        <w:rFonts w:ascii="Arial" w:hAnsi="Arial"/>
        <w:color w:val="FABF8F"/>
        <w:sz w:val="22"/>
      </w:rPr>
    </w:tblStylePr>
  </w:style>
  <w:style w:type="table" w:customStyle="1" w:styleId="161">
    <w:name w:val="清单表 7 彩色1"/>
    <w:qFormat/>
    <w:uiPriority w:val="99"/>
    <w:tblPr>
      <w:tblBorders>
        <w:right w:val="single" w:color="7F7F7F" w:sz="4" w:space="0"/>
      </w:tblBorders>
      <w:tblCellMar>
        <w:top w:w="0" w:type="dxa"/>
        <w:left w:w="0" w:type="dxa"/>
        <w:bottom w:w="0" w:type="dxa"/>
        <w:right w:w="0" w:type="dxa"/>
      </w:tblCellMar>
    </w:tblPr>
    <w:tblStylePr w:type="firstRow">
      <w:rPr>
        <w:rFonts w:ascii="Arial" w:hAnsi="Arial"/>
        <w:i/>
        <w:color w:val="7F7F7F"/>
        <w:sz w:val="22"/>
      </w:rPr>
      <w:tcPr>
        <w:tcBorders>
          <w:top w:val="nil"/>
          <w:left w:val="nil"/>
          <w:bottom w:val="single" w:color="7F7F7F" w:sz="4" w:space="0"/>
          <w:right w:val="nil"/>
        </w:tcBorders>
        <w:shd w:val="clear" w:color="FFFFFF" w:fill="FFFFFF"/>
      </w:tcPr>
    </w:tblStylePr>
    <w:tblStylePr w:type="lastRow">
      <w:rPr>
        <w:rFonts w:ascii="Arial" w:hAnsi="Arial"/>
        <w:i/>
        <w:color w:val="7F7F7F"/>
        <w:sz w:val="22"/>
      </w:rPr>
      <w:tcPr>
        <w:tcBorders>
          <w:top w:val="single" w:color="7F7F7F"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F7F7F" w:sz="4" w:space="0"/>
        </w:tcBorders>
        <w:shd w:val="clear" w:color="FFFFFF" w:fill="auto"/>
      </w:tcPr>
    </w:tblStylePr>
    <w:tblStylePr w:type="lastCol">
      <w:rPr>
        <w:rFonts w:ascii="Arial" w:hAnsi="Arial"/>
        <w:i/>
        <w:color w:val="7F7F7F"/>
        <w:sz w:val="22"/>
      </w:rPr>
      <w:tcPr>
        <w:tcBorders>
          <w:top w:val="nil"/>
          <w:left w:val="single" w:color="7F7F7F" w:sz="4" w:space="0"/>
          <w:bottom w:val="nil"/>
          <w:right w:val="nil"/>
        </w:tcBorders>
        <w:shd w:val="clear" w:color="FFFFFF" w:fill="auto"/>
      </w:tcPr>
    </w:tblStylePr>
    <w:tblStylePr w:type="band1Vert">
      <w:tcPr>
        <w:shd w:val="clear" w:color="BFBFBF" w:fill="BFBFBF"/>
      </w:tcPr>
    </w:tblStylePr>
    <w:tblStylePr w:type="band1Horz">
      <w:rPr>
        <w:rFonts w:ascii="Arial" w:hAnsi="Arial"/>
        <w:color w:val="7F7F7F"/>
        <w:sz w:val="22"/>
      </w:rPr>
      <w:tcPr>
        <w:shd w:val="clear" w:color="BFBFBF" w:fill="BFBFBF"/>
      </w:tcPr>
    </w:tblStylePr>
    <w:tblStylePr w:type="band2Horz">
      <w:rPr>
        <w:rFonts w:ascii="Arial" w:hAnsi="Arial"/>
        <w:color w:val="7F7F7F"/>
        <w:sz w:val="22"/>
      </w:rPr>
    </w:tblStylePr>
  </w:style>
  <w:style w:type="table" w:customStyle="1" w:styleId="162">
    <w:name w:val="List Table 7 Colorful - Accent 1"/>
    <w:qFormat/>
    <w:uiPriority w:val="99"/>
    <w:tblPr>
      <w:tblBorders>
        <w:right w:val="single" w:color="4F81BD" w:sz="4" w:space="0"/>
      </w:tblBorders>
      <w:tblCellMar>
        <w:top w:w="0" w:type="dxa"/>
        <w:left w:w="0" w:type="dxa"/>
        <w:bottom w:w="0" w:type="dxa"/>
        <w:right w:w="0" w:type="dxa"/>
      </w:tblCellMar>
    </w:tblPr>
    <w:tblStylePr w:type="firstRow">
      <w:rPr>
        <w:rFonts w:ascii="Arial" w:hAnsi="Arial"/>
        <w:i/>
        <w:color w:val="2A4A70"/>
        <w:sz w:val="22"/>
      </w:rPr>
      <w:tcPr>
        <w:tcBorders>
          <w:top w:val="nil"/>
          <w:left w:val="nil"/>
          <w:bottom w:val="single" w:color="4F81BD" w:sz="4" w:space="0"/>
          <w:right w:val="nil"/>
        </w:tcBorders>
        <w:shd w:val="clear" w:color="FFFFFF" w:fill="FFFFFF"/>
      </w:tcPr>
    </w:tblStylePr>
    <w:tblStylePr w:type="lastRow">
      <w:rPr>
        <w:rFonts w:ascii="Arial" w:hAnsi="Arial"/>
        <w:i/>
        <w:color w:val="2A4A70"/>
        <w:sz w:val="22"/>
      </w:rPr>
      <w:tcPr>
        <w:tcBorders>
          <w:top w:val="single" w:color="4F81BD" w:sz="4" w:space="0"/>
          <w:left w:val="nil"/>
          <w:bottom w:val="nil"/>
          <w:right w:val="nil"/>
        </w:tcBorders>
        <w:shd w:val="clear" w:color="FFFFFF" w:fill="FFFFFF"/>
      </w:tcPr>
    </w:tblStylePr>
    <w:tblStylePr w:type="firstCol">
      <w:pPr>
        <w:jc w:val="right"/>
      </w:pPr>
      <w:rPr>
        <w:rFonts w:ascii="Arial" w:hAnsi="Arial"/>
        <w:i/>
        <w:color w:val="2A4A70"/>
        <w:sz w:val="22"/>
      </w:rPr>
      <w:tcPr>
        <w:tcBorders>
          <w:top w:val="nil"/>
          <w:left w:val="nil"/>
          <w:bottom w:val="nil"/>
          <w:right w:val="single" w:color="4F81BD" w:sz="4" w:space="0"/>
        </w:tcBorders>
        <w:shd w:val="clear" w:color="FFFFFF" w:fill="auto"/>
      </w:tcPr>
    </w:tblStylePr>
    <w:tblStylePr w:type="lastCol">
      <w:rPr>
        <w:rFonts w:ascii="Arial" w:hAnsi="Arial"/>
        <w:i/>
        <w:color w:val="2A4A70"/>
        <w:sz w:val="22"/>
      </w:rPr>
      <w:tcPr>
        <w:tcBorders>
          <w:top w:val="nil"/>
          <w:left w:val="single" w:color="4F81BD" w:sz="4" w:space="0"/>
          <w:bottom w:val="nil"/>
          <w:right w:val="nil"/>
        </w:tcBorders>
        <w:shd w:val="clear" w:color="FFFFFF" w:fill="auto"/>
      </w:tcPr>
    </w:tblStylePr>
    <w:tblStylePr w:type="band1Vert">
      <w:tcPr>
        <w:shd w:val="clear" w:color="D2DFEE" w:fill="D2DFEE"/>
      </w:tcPr>
    </w:tblStylePr>
    <w:tblStylePr w:type="band1Horz">
      <w:rPr>
        <w:rFonts w:ascii="Arial" w:hAnsi="Arial"/>
        <w:color w:val="2A4A70"/>
        <w:sz w:val="22"/>
      </w:rPr>
      <w:tcPr>
        <w:shd w:val="clear" w:color="D2DFEE" w:fill="D2DFEE"/>
      </w:tcPr>
    </w:tblStylePr>
    <w:tblStylePr w:type="band2Horz">
      <w:rPr>
        <w:rFonts w:ascii="Arial" w:hAnsi="Arial"/>
        <w:color w:val="2A4A70"/>
        <w:sz w:val="22"/>
      </w:rPr>
    </w:tblStylePr>
  </w:style>
  <w:style w:type="table" w:customStyle="1" w:styleId="163">
    <w:name w:val="List Table 7 Colorful - Accent 2"/>
    <w:qFormat/>
    <w:uiPriority w:val="99"/>
    <w:tblPr>
      <w:tblBorders>
        <w:right w:val="single" w:color="D99695" w:sz="4" w:space="0"/>
      </w:tblBorders>
      <w:tblCellMar>
        <w:top w:w="0" w:type="dxa"/>
        <w:left w:w="0" w:type="dxa"/>
        <w:bottom w:w="0" w:type="dxa"/>
        <w:right w:w="0" w:type="dxa"/>
      </w:tblCellMar>
    </w:tblPr>
    <w:tblStylePr w:type="firstRow">
      <w:rPr>
        <w:rFonts w:ascii="Arial" w:hAnsi="Arial"/>
        <w:i/>
        <w:color w:val="DA9796"/>
        <w:sz w:val="22"/>
      </w:rPr>
      <w:tcPr>
        <w:tcBorders>
          <w:top w:val="nil"/>
          <w:left w:val="nil"/>
          <w:bottom w:val="single" w:color="D99695" w:sz="4" w:space="0"/>
          <w:right w:val="nil"/>
        </w:tcBorders>
        <w:shd w:val="clear" w:color="FFFFFF" w:fill="FFFFFF"/>
      </w:tcPr>
    </w:tblStylePr>
    <w:tblStylePr w:type="lastRow">
      <w:rPr>
        <w:rFonts w:ascii="Arial" w:hAnsi="Arial"/>
        <w:i/>
        <w:color w:val="DA9796"/>
        <w:sz w:val="22"/>
      </w:rPr>
      <w:tcPr>
        <w:tcBorders>
          <w:top w:val="single" w:color="D99695" w:sz="4" w:space="0"/>
          <w:left w:val="nil"/>
          <w:bottom w:val="nil"/>
          <w:right w:val="nil"/>
        </w:tcBorders>
        <w:shd w:val="clear" w:color="FFFFFF" w:fill="FFFFFF"/>
      </w:tcPr>
    </w:tblStylePr>
    <w:tblStylePr w:type="firstCol">
      <w:pPr>
        <w:jc w:val="right"/>
      </w:pPr>
      <w:rPr>
        <w:rFonts w:ascii="Arial" w:hAnsi="Arial"/>
        <w:i/>
        <w:color w:val="DA9796"/>
        <w:sz w:val="22"/>
      </w:rPr>
      <w:tcPr>
        <w:tcBorders>
          <w:top w:val="nil"/>
          <w:left w:val="nil"/>
          <w:bottom w:val="nil"/>
          <w:right w:val="single" w:color="D99695" w:sz="4" w:space="0"/>
        </w:tcBorders>
        <w:shd w:val="clear" w:color="FFFFFF" w:fill="auto"/>
      </w:tcPr>
    </w:tblStylePr>
    <w:tblStylePr w:type="lastCol">
      <w:rPr>
        <w:rFonts w:ascii="Arial" w:hAnsi="Arial"/>
        <w:i/>
        <w:color w:val="DA9796"/>
        <w:sz w:val="22"/>
      </w:rPr>
      <w:tcPr>
        <w:tcBorders>
          <w:top w:val="nil"/>
          <w:left w:val="single" w:color="D99695" w:sz="4" w:space="0"/>
          <w:bottom w:val="nil"/>
          <w:right w:val="nil"/>
        </w:tcBorders>
        <w:shd w:val="clear" w:color="FFFFFF" w:fill="auto"/>
      </w:tcPr>
    </w:tblStylePr>
    <w:tblStylePr w:type="band1Vert">
      <w:tcPr>
        <w:shd w:val="clear" w:color="EFD2D2" w:fill="EFD2D2"/>
      </w:tcPr>
    </w:tblStylePr>
    <w:tblStylePr w:type="band1Horz">
      <w:rPr>
        <w:rFonts w:ascii="Arial" w:hAnsi="Arial"/>
        <w:color w:val="DA9796"/>
        <w:sz w:val="22"/>
      </w:rPr>
      <w:tcPr>
        <w:shd w:val="clear" w:color="EFD2D2" w:fill="EFD2D2"/>
      </w:tcPr>
    </w:tblStylePr>
    <w:tblStylePr w:type="band2Horz">
      <w:rPr>
        <w:rFonts w:ascii="Arial" w:hAnsi="Arial"/>
        <w:color w:val="DA9796"/>
        <w:sz w:val="22"/>
      </w:rPr>
    </w:tblStylePr>
  </w:style>
  <w:style w:type="table" w:customStyle="1" w:styleId="164">
    <w:name w:val="List Table 7 Colorful - Accent 3"/>
    <w:qFormat/>
    <w:uiPriority w:val="99"/>
    <w:tblPr>
      <w:tblBorders>
        <w:right w:val="single" w:color="C3D69B" w:sz="4" w:space="0"/>
      </w:tblBorders>
      <w:tblCellMar>
        <w:top w:w="0" w:type="dxa"/>
        <w:left w:w="0" w:type="dxa"/>
        <w:bottom w:w="0" w:type="dxa"/>
        <w:right w:w="0" w:type="dxa"/>
      </w:tblCellMar>
    </w:tblPr>
    <w:tblStylePr w:type="firstRow">
      <w:rPr>
        <w:rFonts w:ascii="Arial" w:hAnsi="Arial"/>
        <w:i/>
        <w:color w:val="C2D69B"/>
        <w:sz w:val="22"/>
      </w:rPr>
      <w:tcPr>
        <w:tcBorders>
          <w:top w:val="nil"/>
          <w:left w:val="nil"/>
          <w:bottom w:val="single" w:color="C3D69B" w:sz="4" w:space="0"/>
          <w:right w:val="nil"/>
        </w:tcBorders>
        <w:shd w:val="clear" w:color="FFFFFF" w:fill="FFFFFF"/>
      </w:tcPr>
    </w:tblStylePr>
    <w:tblStylePr w:type="lastRow">
      <w:rPr>
        <w:rFonts w:ascii="Arial" w:hAnsi="Arial"/>
        <w:i/>
        <w:color w:val="C2D69B"/>
        <w:sz w:val="22"/>
      </w:rPr>
      <w:tcPr>
        <w:tcBorders>
          <w:top w:val="single" w:color="C3D69B" w:sz="4" w:space="0"/>
          <w:left w:val="nil"/>
          <w:bottom w:val="nil"/>
          <w:right w:val="nil"/>
        </w:tcBorders>
        <w:shd w:val="clear" w:color="FFFFFF" w:fill="FFFFFF"/>
      </w:tcPr>
    </w:tblStylePr>
    <w:tblStylePr w:type="firstCol">
      <w:pPr>
        <w:jc w:val="right"/>
      </w:pPr>
      <w:rPr>
        <w:rFonts w:ascii="Arial" w:hAnsi="Arial"/>
        <w:i/>
        <w:color w:val="C2D69B"/>
        <w:sz w:val="22"/>
      </w:rPr>
      <w:tcPr>
        <w:tcBorders>
          <w:top w:val="nil"/>
          <w:left w:val="nil"/>
          <w:bottom w:val="nil"/>
          <w:right w:val="single" w:color="C3D69B" w:sz="4" w:space="0"/>
        </w:tcBorders>
        <w:shd w:val="clear" w:color="FFFFFF" w:fill="auto"/>
      </w:tcPr>
    </w:tblStylePr>
    <w:tblStylePr w:type="lastCol">
      <w:rPr>
        <w:rFonts w:ascii="Arial" w:hAnsi="Arial"/>
        <w:i/>
        <w:color w:val="C2D69B"/>
        <w:sz w:val="22"/>
      </w:rPr>
      <w:tcPr>
        <w:tcBorders>
          <w:top w:val="nil"/>
          <w:left w:val="single" w:color="C3D69B" w:sz="4" w:space="0"/>
          <w:bottom w:val="nil"/>
          <w:right w:val="nil"/>
        </w:tcBorders>
        <w:shd w:val="clear" w:color="FFFFFF" w:fill="auto"/>
      </w:tcPr>
    </w:tblStylePr>
    <w:tblStylePr w:type="band1Vert">
      <w:tcPr>
        <w:shd w:val="clear" w:color="E5EED5" w:fill="E5EED5"/>
      </w:tcPr>
    </w:tblStylePr>
    <w:tblStylePr w:type="band1Horz">
      <w:rPr>
        <w:rFonts w:ascii="Arial" w:hAnsi="Arial"/>
        <w:color w:val="C2D69B"/>
        <w:sz w:val="22"/>
      </w:rPr>
      <w:tcPr>
        <w:shd w:val="clear" w:color="E5EED5" w:fill="E5EED5"/>
      </w:tcPr>
    </w:tblStylePr>
    <w:tblStylePr w:type="band2Horz">
      <w:rPr>
        <w:rFonts w:ascii="Arial" w:hAnsi="Arial"/>
        <w:color w:val="C2D69B"/>
        <w:sz w:val="22"/>
      </w:rPr>
    </w:tblStylePr>
  </w:style>
  <w:style w:type="table" w:customStyle="1" w:styleId="165">
    <w:name w:val="List Table 7 Colorful - Accent 4"/>
    <w:qFormat/>
    <w:uiPriority w:val="99"/>
    <w:tblPr>
      <w:tblBorders>
        <w:right w:val="single" w:color="B2A1C6" w:sz="4" w:space="0"/>
      </w:tblBorders>
      <w:tblCellMar>
        <w:top w:w="0" w:type="dxa"/>
        <w:left w:w="0" w:type="dxa"/>
        <w:bottom w:w="0" w:type="dxa"/>
        <w:right w:w="0" w:type="dxa"/>
      </w:tblCellMar>
    </w:tblPr>
    <w:tblStylePr w:type="firstRow">
      <w:rPr>
        <w:rFonts w:ascii="Arial" w:hAnsi="Arial"/>
        <w:i/>
        <w:color w:val="B2A1C7"/>
        <w:sz w:val="22"/>
      </w:rPr>
      <w:tcPr>
        <w:tcBorders>
          <w:top w:val="nil"/>
          <w:left w:val="nil"/>
          <w:bottom w:val="single" w:color="B2A1C6" w:sz="4" w:space="0"/>
          <w:right w:val="nil"/>
        </w:tcBorders>
        <w:shd w:val="clear" w:color="FFFFFF" w:fill="FFFFFF"/>
      </w:tcPr>
    </w:tblStylePr>
    <w:tblStylePr w:type="lastRow">
      <w:rPr>
        <w:rFonts w:ascii="Arial" w:hAnsi="Arial"/>
        <w:i/>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166">
    <w:name w:val="List Table 7 Colorful - Accent 5"/>
    <w:qFormat/>
    <w:uiPriority w:val="99"/>
    <w:tblPr>
      <w:tblBorders>
        <w:right w:val="single" w:color="92CCDC" w:sz="4" w:space="0"/>
      </w:tblBorders>
      <w:tblCellMar>
        <w:top w:w="0" w:type="dxa"/>
        <w:left w:w="0" w:type="dxa"/>
        <w:bottom w:w="0" w:type="dxa"/>
        <w:right w:w="0" w:type="dxa"/>
      </w:tblCellMar>
    </w:tblPr>
    <w:tblStylePr w:type="firstRow">
      <w:rPr>
        <w:rFonts w:ascii="Arial" w:hAnsi="Arial"/>
        <w:i/>
        <w:color w:val="92CDDC"/>
        <w:sz w:val="22"/>
      </w:rPr>
      <w:tcPr>
        <w:tcBorders>
          <w:top w:val="nil"/>
          <w:left w:val="nil"/>
          <w:bottom w:val="single" w:color="92CCDC" w:sz="4" w:space="0"/>
          <w:right w:val="nil"/>
        </w:tcBorders>
        <w:shd w:val="clear" w:color="FFFFFF" w:fill="FFFFFF"/>
      </w:tcPr>
    </w:tblStylePr>
    <w:tblStylePr w:type="lastRow">
      <w:rPr>
        <w:rFonts w:ascii="Arial" w:hAnsi="Arial"/>
        <w:i/>
        <w:color w:val="92CDDC"/>
        <w:sz w:val="22"/>
      </w:rPr>
      <w:tcPr>
        <w:tcBorders>
          <w:top w:val="single" w:color="92CCDC" w:sz="4" w:space="0"/>
          <w:left w:val="nil"/>
          <w:bottom w:val="nil"/>
          <w:right w:val="nil"/>
        </w:tcBorders>
        <w:shd w:val="clear" w:color="FFFFFF" w:fill="FFFFFF"/>
      </w:tcPr>
    </w:tblStylePr>
    <w:tblStylePr w:type="firstCol">
      <w:pPr>
        <w:jc w:val="right"/>
      </w:pPr>
      <w:rPr>
        <w:rFonts w:ascii="Arial" w:hAnsi="Arial"/>
        <w:i/>
        <w:color w:val="92CDDC"/>
        <w:sz w:val="22"/>
      </w:rPr>
      <w:tcPr>
        <w:tcBorders>
          <w:top w:val="nil"/>
          <w:left w:val="nil"/>
          <w:bottom w:val="nil"/>
          <w:right w:val="single" w:color="92CCDC" w:sz="4" w:space="0"/>
        </w:tcBorders>
        <w:shd w:val="clear" w:color="FFFFFF" w:fill="auto"/>
      </w:tcPr>
    </w:tblStylePr>
    <w:tblStylePr w:type="lastCol">
      <w:rPr>
        <w:rFonts w:ascii="Arial" w:hAnsi="Arial"/>
        <w:i/>
        <w:color w:val="92CDDC"/>
        <w:sz w:val="22"/>
      </w:rPr>
      <w:tcPr>
        <w:tcBorders>
          <w:top w:val="nil"/>
          <w:left w:val="single" w:color="92CCDC" w:sz="4" w:space="0"/>
          <w:bottom w:val="nil"/>
          <w:right w:val="nil"/>
        </w:tcBorders>
        <w:shd w:val="clear" w:color="FFFFFF" w:fill="auto"/>
      </w:tcPr>
    </w:tblStylePr>
    <w:tblStylePr w:type="band1Vert">
      <w:tcPr>
        <w:shd w:val="clear" w:color="D1EAF0" w:fill="D1EAF0"/>
      </w:tcPr>
    </w:tblStylePr>
    <w:tblStylePr w:type="band1Horz">
      <w:rPr>
        <w:rFonts w:ascii="Arial" w:hAnsi="Arial"/>
        <w:color w:val="92CDDC"/>
        <w:sz w:val="22"/>
      </w:rPr>
      <w:tcPr>
        <w:shd w:val="clear" w:color="D1EAF0" w:fill="D1EAF0"/>
      </w:tcPr>
    </w:tblStylePr>
    <w:tblStylePr w:type="band2Horz">
      <w:rPr>
        <w:rFonts w:ascii="Arial" w:hAnsi="Arial"/>
        <w:color w:val="92CDDC"/>
        <w:sz w:val="22"/>
      </w:rPr>
    </w:tblStylePr>
  </w:style>
  <w:style w:type="table" w:customStyle="1" w:styleId="167">
    <w:name w:val="List Table 7 Colorful - Accent 6"/>
    <w:qFormat/>
    <w:uiPriority w:val="99"/>
    <w:tblPr>
      <w:tblBorders>
        <w:right w:val="single" w:color="FAC090" w:sz="4" w:space="0"/>
      </w:tblBorders>
      <w:tblCellMar>
        <w:top w:w="0" w:type="dxa"/>
        <w:left w:w="0" w:type="dxa"/>
        <w:bottom w:w="0" w:type="dxa"/>
        <w:right w:w="0" w:type="dxa"/>
      </w:tblCellMar>
    </w:tblPr>
    <w:tblStylePr w:type="firstRow">
      <w:rPr>
        <w:rFonts w:ascii="Arial" w:hAnsi="Arial"/>
        <w:i/>
        <w:color w:val="FABF8F"/>
        <w:sz w:val="22"/>
      </w:rPr>
      <w:tcPr>
        <w:tcBorders>
          <w:top w:val="nil"/>
          <w:left w:val="nil"/>
          <w:bottom w:val="single" w:color="FAC090" w:sz="4" w:space="0"/>
          <w:right w:val="nil"/>
        </w:tcBorders>
        <w:shd w:val="clear" w:color="FFFFFF" w:fill="FFFFFF"/>
      </w:tcPr>
    </w:tblStylePr>
    <w:tblStylePr w:type="lastRow">
      <w:rPr>
        <w:rFonts w:ascii="Arial" w:hAnsi="Arial"/>
        <w:i/>
        <w:color w:val="FABF8F"/>
        <w:sz w:val="22"/>
      </w:rPr>
      <w:tcPr>
        <w:tcBorders>
          <w:top w:val="single" w:color="FAC090" w:sz="4" w:space="0"/>
          <w:left w:val="nil"/>
          <w:bottom w:val="nil"/>
          <w:right w:val="nil"/>
        </w:tcBorders>
        <w:shd w:val="clear" w:color="FFFFFF" w:fill="FFFFFF"/>
      </w:tcPr>
    </w:tblStylePr>
    <w:tblStylePr w:type="firstCol">
      <w:pPr>
        <w:jc w:val="right"/>
      </w:pPr>
      <w:rPr>
        <w:rFonts w:ascii="Arial" w:hAnsi="Arial"/>
        <w:i/>
        <w:color w:val="FABF8F"/>
        <w:sz w:val="22"/>
      </w:rPr>
      <w:tcPr>
        <w:tcBorders>
          <w:top w:val="nil"/>
          <w:left w:val="nil"/>
          <w:bottom w:val="nil"/>
          <w:right w:val="single" w:color="FAC090" w:sz="4" w:space="0"/>
        </w:tcBorders>
        <w:shd w:val="clear" w:color="FFFFFF" w:fill="auto"/>
      </w:tcPr>
    </w:tblStylePr>
    <w:tblStylePr w:type="lastCol">
      <w:rPr>
        <w:rFonts w:ascii="Arial" w:hAnsi="Arial"/>
        <w:i/>
        <w:color w:val="FABF8F"/>
        <w:sz w:val="22"/>
      </w:rPr>
      <w:tcPr>
        <w:tcBorders>
          <w:top w:val="nil"/>
          <w:left w:val="single" w:color="FAC090" w:sz="4" w:space="0"/>
          <w:bottom w:val="nil"/>
          <w:right w:val="nil"/>
        </w:tcBorders>
        <w:shd w:val="clear" w:color="FFFFFF" w:fill="auto"/>
      </w:tcPr>
    </w:tblStylePr>
    <w:tblStylePr w:type="band1Vert">
      <w:tcPr>
        <w:shd w:val="clear" w:color="FDE4D0" w:fill="FDE4D0"/>
      </w:tcPr>
    </w:tblStylePr>
    <w:tblStylePr w:type="band1Horz">
      <w:rPr>
        <w:rFonts w:ascii="Arial" w:hAnsi="Arial"/>
        <w:color w:val="FABF8F"/>
        <w:sz w:val="22"/>
      </w:rPr>
      <w:tcPr>
        <w:shd w:val="clear" w:color="FDE4D0" w:fill="FDE4D0"/>
      </w:tcPr>
    </w:tblStylePr>
    <w:tblStylePr w:type="band2Horz">
      <w:rPr>
        <w:rFonts w:ascii="Arial" w:hAnsi="Arial"/>
        <w:color w:val="FABF8F"/>
        <w:sz w:val="22"/>
      </w:rPr>
    </w:tblStylePr>
  </w:style>
  <w:style w:type="table" w:customStyle="1" w:styleId="168">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tblStylePr w:type="firstCol">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band1Vert">
      <w:rPr>
        <w:rFonts w:ascii="Arial" w:hAnsi="Arial"/>
        <w:color w:val="404040"/>
        <w:sz w:val="22"/>
      </w:rPr>
    </w:tblStylePr>
    <w:tblStylePr w:type="band2Vert">
      <w:rPr>
        <w:rFonts w:ascii="Arial" w:hAnsi="Arial"/>
        <w:color w:val="404040"/>
        <w:sz w:val="22"/>
      </w:rPr>
      <w:tcPr>
        <w:shd w:val="clear" w:color="F2F2F2" w:fill="F2F2F2"/>
      </w:tcPr>
    </w:tblStylePr>
    <w:tblStylePr w:type="band1Horz">
      <w:rPr>
        <w:rFonts w:ascii="Arial" w:hAnsi="Arial"/>
        <w:color w:val="404040"/>
        <w:sz w:val="22"/>
      </w:rPr>
    </w:tblStylePr>
    <w:tblStylePr w:type="band2Horz">
      <w:rPr>
        <w:rFonts w:ascii="Arial" w:hAnsi="Arial"/>
        <w:color w:val="404040"/>
        <w:sz w:val="22"/>
      </w:rPr>
      <w:tcPr>
        <w:shd w:val="clear" w:color="F2F2F2" w:fill="F2F2F2"/>
      </w:tcPr>
    </w:tblStylePr>
  </w:style>
  <w:style w:type="table" w:customStyle="1" w:styleId="169">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tblStylePr w:type="firstCol">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170">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tblStylePr w:type="firstCol">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171">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tblStylePr w:type="firstCol">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band1Vert">
      <w:rPr>
        <w:rFonts w:ascii="Arial" w:hAnsi="Arial"/>
        <w:color w:val="404040"/>
        <w:sz w:val="22"/>
      </w:rPr>
    </w:tblStylePr>
    <w:tblStylePr w:type="band2Vert">
      <w:rPr>
        <w:rFonts w:ascii="Arial" w:hAnsi="Arial"/>
        <w:color w:val="404040"/>
        <w:sz w:val="22"/>
      </w:rPr>
      <w:tcPr>
        <w:shd w:val="clear" w:color="EAF1DC" w:fill="EAF1DC"/>
      </w:tcPr>
    </w:tblStylePr>
    <w:tblStylePr w:type="band1Horz">
      <w:rPr>
        <w:rFonts w:ascii="Arial" w:hAnsi="Arial"/>
        <w:color w:val="404040"/>
        <w:sz w:val="22"/>
      </w:rPr>
    </w:tblStylePr>
    <w:tblStylePr w:type="band2Horz">
      <w:rPr>
        <w:rFonts w:ascii="Arial" w:hAnsi="Arial"/>
        <w:color w:val="404040"/>
        <w:sz w:val="22"/>
      </w:rPr>
      <w:tcPr>
        <w:shd w:val="clear" w:color="EAF1DC" w:fill="EAF1DC"/>
      </w:tcPr>
    </w:tblStylePr>
  </w:style>
  <w:style w:type="table" w:customStyle="1" w:styleId="172">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173">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174">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8" w:fill="FDE9D8"/>
      </w:tcPr>
    </w:tblStylePr>
    <w:tblStylePr w:type="band1Horz">
      <w:rPr>
        <w:rFonts w:ascii="Arial" w:hAnsi="Arial"/>
        <w:color w:val="404040"/>
        <w:sz w:val="22"/>
      </w:rPr>
    </w:tblStylePr>
    <w:tblStylePr w:type="band2Horz">
      <w:rPr>
        <w:rFonts w:ascii="Arial" w:hAnsi="Arial"/>
        <w:color w:val="404040"/>
        <w:sz w:val="22"/>
      </w:rPr>
      <w:tcPr>
        <w:shd w:val="clear" w:color="FDE9D8" w:fill="FDE9D8"/>
      </w:tcPr>
    </w:tblStylePr>
  </w:style>
  <w:style w:type="table" w:customStyle="1" w:styleId="175">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tblStylePr w:type="firstRow">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tblStylePr w:type="firstCol">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band1Vert">
      <w:rPr>
        <w:rFonts w:ascii="Arial" w:hAnsi="Arial"/>
        <w:color w:val="404040"/>
        <w:sz w:val="22"/>
      </w:rPr>
    </w:tblStylePr>
    <w:tblStylePr w:type="band2Vert">
      <w:rPr>
        <w:rFonts w:ascii="Arial" w:hAnsi="Arial"/>
        <w:color w:val="404040"/>
        <w:sz w:val="22"/>
      </w:rPr>
      <w:tcPr>
        <w:shd w:val="clear" w:color="F2F2F2" w:fill="F2F2F2"/>
      </w:tcPr>
    </w:tblStylePr>
    <w:tblStylePr w:type="band1Horz">
      <w:rPr>
        <w:rFonts w:ascii="Arial" w:hAnsi="Arial"/>
        <w:color w:val="404040"/>
        <w:sz w:val="22"/>
      </w:rPr>
    </w:tblStylePr>
    <w:tblStylePr w:type="band2Horz">
      <w:rPr>
        <w:rFonts w:ascii="Arial" w:hAnsi="Arial"/>
        <w:color w:val="404040"/>
        <w:sz w:val="22"/>
      </w:rPr>
      <w:tcPr>
        <w:shd w:val="clear" w:color="F2F2F2" w:fill="F2F2F2"/>
      </w:tcPr>
    </w:tblStylePr>
  </w:style>
  <w:style w:type="table" w:customStyle="1" w:styleId="176">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tblStylePr w:type="firstRow">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tblStylePr w:type="firstCol">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177">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tblStylePr w:type="firstRow">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tblStylePr w:type="firstCol">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178">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tblStylePr w:type="firstRow">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tblStylePr w:type="firstCol">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band1Vert">
      <w:rPr>
        <w:rFonts w:ascii="Arial" w:hAnsi="Arial"/>
        <w:color w:val="404040"/>
        <w:sz w:val="22"/>
      </w:rPr>
    </w:tblStylePr>
    <w:tblStylePr w:type="band2Vert">
      <w:rPr>
        <w:rFonts w:ascii="Arial" w:hAnsi="Arial"/>
        <w:color w:val="404040"/>
        <w:sz w:val="22"/>
      </w:rPr>
      <w:tcPr>
        <w:shd w:val="clear" w:color="EAF1DC" w:fill="EAF1DC"/>
      </w:tcPr>
    </w:tblStylePr>
    <w:tblStylePr w:type="band1Horz">
      <w:rPr>
        <w:rFonts w:ascii="Arial" w:hAnsi="Arial"/>
        <w:color w:val="404040"/>
        <w:sz w:val="22"/>
      </w:rPr>
    </w:tblStylePr>
    <w:tblStylePr w:type="band2Horz">
      <w:rPr>
        <w:rFonts w:ascii="Arial" w:hAnsi="Arial"/>
        <w:color w:val="404040"/>
        <w:sz w:val="22"/>
      </w:rPr>
      <w:tcPr>
        <w:shd w:val="clear" w:color="EAF1DC" w:fill="EAF1DC"/>
      </w:tcPr>
    </w:tblStylePr>
  </w:style>
  <w:style w:type="table" w:customStyle="1" w:styleId="179">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180">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181">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8" w:fill="FDE9D8"/>
      </w:tcPr>
    </w:tblStylePr>
    <w:tblStylePr w:type="band1Horz">
      <w:rPr>
        <w:rFonts w:ascii="Arial" w:hAnsi="Arial"/>
        <w:color w:val="404040"/>
        <w:sz w:val="22"/>
      </w:rPr>
    </w:tblStylePr>
    <w:tblStylePr w:type="band2Horz">
      <w:rPr>
        <w:rFonts w:ascii="Arial" w:hAnsi="Arial"/>
        <w:color w:val="404040"/>
        <w:sz w:val="22"/>
      </w:rPr>
      <w:tcPr>
        <w:shd w:val="clear" w:color="FDE9D8" w:fill="FDE9D8"/>
      </w:tcPr>
    </w:tblStylePr>
  </w:style>
  <w:style w:type="table" w:customStyle="1" w:styleId="182">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tblStylePr w:type="firstRow">
      <w:rPr>
        <w:rFonts w:ascii="Arial" w:hAnsi="Arial"/>
        <w:color w:val="404040"/>
        <w:sz w:val="22"/>
      </w:rPr>
      <w:tcPr>
        <w:tcBorders>
          <w:bottom w:val="single" w:color="7F7F7F" w:sz="12" w:space="0"/>
        </w:tcBorders>
      </w:tcPr>
    </w:tblStylePr>
    <w:tblStylePr w:type="lastRow">
      <w:rPr>
        <w:rFonts w:ascii="Arial" w:hAnsi="Arial"/>
        <w:color w:val="404040"/>
        <w:sz w:val="22"/>
      </w:rPr>
      <w:tcPr>
        <w:tcBorders>
          <w:top w:val="single" w:color="7F7F7F"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F7F7F" w:sz="12" w:space="0"/>
        </w:tcBorders>
      </w:tcPr>
    </w:tblStyle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style>
  <w:style w:type="table" w:customStyle="1" w:styleId="183">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sz="12" w:space="0"/>
        </w:tcBorders>
      </w:tcPr>
    </w:tblStylePr>
    <w:tblStylePr w:type="lastRow">
      <w:rPr>
        <w:rFonts w:ascii="Arial" w:hAnsi="Arial"/>
        <w:color w:val="404040"/>
        <w:sz w:val="22"/>
      </w:rPr>
      <w:tcPr>
        <w:tcBorders>
          <w:top w:val="single" w:color="4F81BD"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sz="12" w:space="0"/>
        </w:tcBorders>
      </w:tcPr>
    </w:tblStyle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style>
  <w:style w:type="table" w:customStyle="1" w:styleId="184">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tblStylePr w:type="firstRow">
      <w:rPr>
        <w:rFonts w:ascii="Arial" w:hAnsi="Arial"/>
        <w:color w:val="404040"/>
        <w:sz w:val="22"/>
      </w:rPr>
      <w:tcPr>
        <w:tcBorders>
          <w:bottom w:val="single" w:color="D99695" w:sz="12" w:space="0"/>
        </w:tcBorders>
      </w:tcPr>
    </w:tblStylePr>
    <w:tblStylePr w:type="lastRow">
      <w:rPr>
        <w:rFonts w:ascii="Arial" w:hAnsi="Arial"/>
        <w:color w:val="404040"/>
        <w:sz w:val="22"/>
      </w:rPr>
      <w:tcPr>
        <w:tcBorders>
          <w:top w:val="single" w:color="D99695"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695" w:sz="12" w:space="0"/>
        </w:tcBorders>
      </w:tcPr>
    </w:tblStyle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style>
  <w:style w:type="table" w:customStyle="1" w:styleId="185">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rFonts w:ascii="Arial" w:hAnsi="Arial"/>
        <w:color w:val="404040"/>
        <w:sz w:val="22"/>
      </w:rPr>
      <w:tcPr>
        <w:tcBorders>
          <w:bottom w:val="single" w:color="C3D69B" w:sz="12" w:space="0"/>
        </w:tcBorders>
      </w:tcPr>
    </w:tblStylePr>
    <w:tblStylePr w:type="lastRow">
      <w:rPr>
        <w:rFonts w:ascii="Arial" w:hAnsi="Arial"/>
        <w:color w:val="404040"/>
        <w:sz w:val="22"/>
      </w:rPr>
      <w:tcPr>
        <w:tcBorders>
          <w:top w:val="single" w:color="C3D69B"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B" w:sz="12" w:space="0"/>
        </w:tcBorders>
      </w:tc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186">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sz="12" w:space="0"/>
        </w:tcBorders>
      </w:tcPr>
    </w:tblStylePr>
    <w:tblStylePr w:type="lastRow">
      <w:rPr>
        <w:rFonts w:ascii="Arial" w:hAnsi="Arial"/>
        <w:color w:val="404040"/>
        <w:sz w:val="22"/>
      </w:rPr>
      <w:tcPr>
        <w:tcBorders>
          <w:top w:val="single" w:color="B2A1C6"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sz="12" w:space="0"/>
        </w:tcBorders>
      </w:tc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187">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sz="12" w:space="0"/>
        </w:tcBorders>
      </w:tcPr>
    </w:tblStylePr>
    <w:tblStylePr w:type="lastRow">
      <w:rPr>
        <w:rFonts w:ascii="Arial" w:hAnsi="Arial"/>
        <w:color w:val="404040"/>
        <w:sz w:val="22"/>
      </w:rPr>
      <w:tcPr>
        <w:tcBorders>
          <w:top w:val="single" w:color="92CCDC"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sz="12" w:space="0"/>
        </w:tcBorders>
      </w:tcPr>
    </w:tblStyle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style>
  <w:style w:type="table" w:customStyle="1" w:styleId="188">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sz="12" w:space="0"/>
        </w:tcBorders>
      </w:tcPr>
    </w:tblStylePr>
    <w:tblStylePr w:type="lastRow">
      <w:rPr>
        <w:rFonts w:ascii="Arial" w:hAnsi="Arial"/>
        <w:color w:val="404040"/>
        <w:sz w:val="22"/>
      </w:rPr>
      <w:tcPr>
        <w:tcBorders>
          <w:top w:val="single" w:color="FAC09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sz="12" w:space="0"/>
        </w:tcBorders>
      </w:tc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character" w:customStyle="1" w:styleId="189">
    <w:name w:val="脚注文本 字符"/>
    <w:link w:val="29"/>
    <w:qFormat/>
    <w:uiPriority w:val="99"/>
    <w:rPr>
      <w:sz w:val="18"/>
    </w:rPr>
  </w:style>
  <w:style w:type="character" w:customStyle="1" w:styleId="190">
    <w:name w:val="尾注文本 字符"/>
    <w:link w:val="23"/>
    <w:qFormat/>
    <w:uiPriority w:val="99"/>
    <w:rPr>
      <w:sz w:val="20"/>
    </w:rPr>
  </w:style>
  <w:style w:type="paragraph" w:customStyle="1" w:styleId="191">
    <w:name w:val="TOC 标题1"/>
    <w:qFormat/>
    <w:uiPriority w:val="39"/>
    <w:rPr>
      <w:rFonts w:ascii="Arial" w:hAnsi="Arial" w:eastAsia="宋体" w:cs="Arial"/>
      <w:sz w:val="21"/>
      <w:szCs w:val="22"/>
      <w:lang w:val="en-US" w:eastAsia="zh-CN" w:bidi="ar-SA"/>
    </w:rPr>
  </w:style>
  <w:style w:type="paragraph" w:customStyle="1" w:styleId="192">
    <w:name w:val="标题 11"/>
    <w:basedOn w:val="1"/>
    <w:next w:val="1"/>
    <w:qFormat/>
    <w:uiPriority w:val="6"/>
    <w:pPr>
      <w:keepNext/>
      <w:jc w:val="center"/>
      <w:outlineLvl w:val="0"/>
    </w:pPr>
    <w:rPr>
      <w:rFonts w:ascii="楷体_GB2312" w:hAnsi="楷体_GB2312" w:eastAsia="楷体"/>
      <w:sz w:val="28"/>
      <w:szCs w:val="28"/>
    </w:rPr>
  </w:style>
  <w:style w:type="paragraph" w:customStyle="1" w:styleId="193">
    <w:name w:val="标题 21"/>
    <w:basedOn w:val="1"/>
    <w:next w:val="194"/>
    <w:qFormat/>
    <w:uiPriority w:val="6"/>
    <w:pPr>
      <w:keepNext/>
      <w:keepLines/>
      <w:spacing w:before="260" w:after="260" w:line="415" w:lineRule="auto"/>
      <w:jc w:val="center"/>
      <w:outlineLvl w:val="1"/>
    </w:pPr>
    <w:rPr>
      <w:rFonts w:eastAsia="幼圆"/>
      <w:b/>
      <w:sz w:val="44"/>
      <w:szCs w:val="44"/>
    </w:rPr>
  </w:style>
  <w:style w:type="paragraph" w:customStyle="1" w:styleId="194">
    <w:name w:val="正文缩进1"/>
    <w:basedOn w:val="1"/>
    <w:qFormat/>
    <w:uiPriority w:val="7"/>
    <w:pPr>
      <w:ind w:firstLine="420"/>
    </w:pPr>
  </w:style>
  <w:style w:type="paragraph" w:customStyle="1" w:styleId="195">
    <w:name w:val="标题 31"/>
    <w:basedOn w:val="1"/>
    <w:next w:val="194"/>
    <w:qFormat/>
    <w:uiPriority w:val="6"/>
    <w:pPr>
      <w:keepNext/>
      <w:keepLines/>
      <w:spacing w:before="260" w:after="260" w:line="415" w:lineRule="auto"/>
      <w:outlineLvl w:val="2"/>
    </w:pPr>
    <w:rPr>
      <w:b/>
      <w:sz w:val="32"/>
      <w:szCs w:val="32"/>
    </w:rPr>
  </w:style>
  <w:style w:type="paragraph" w:customStyle="1" w:styleId="196">
    <w:name w:val="标题 51"/>
    <w:basedOn w:val="1"/>
    <w:next w:val="194"/>
    <w:qFormat/>
    <w:uiPriority w:val="6"/>
    <w:pPr>
      <w:keepNext/>
      <w:outlineLvl w:val="4"/>
    </w:pPr>
    <w:rPr>
      <w:rFonts w:ascii="宋体" w:hAnsi="宋体"/>
      <w:sz w:val="28"/>
      <w:szCs w:val="28"/>
    </w:rPr>
  </w:style>
  <w:style w:type="paragraph" w:customStyle="1" w:styleId="197">
    <w:name w:val="标题 61"/>
    <w:basedOn w:val="1"/>
    <w:next w:val="1"/>
    <w:qFormat/>
    <w:uiPriority w:val="6"/>
    <w:pPr>
      <w:keepNext/>
      <w:keepLines/>
      <w:numPr>
        <w:ilvl w:val="5"/>
        <w:numId w:val="1"/>
      </w:numPr>
      <w:spacing w:before="240" w:after="64" w:line="319" w:lineRule="auto"/>
      <w:outlineLvl w:val="5"/>
    </w:pPr>
    <w:rPr>
      <w:rFonts w:eastAsia="黑体"/>
      <w:b/>
      <w:sz w:val="24"/>
      <w:szCs w:val="24"/>
    </w:rPr>
  </w:style>
  <w:style w:type="paragraph" w:customStyle="1" w:styleId="198">
    <w:name w:val="标题 71"/>
    <w:basedOn w:val="1"/>
    <w:next w:val="1"/>
    <w:qFormat/>
    <w:uiPriority w:val="6"/>
    <w:pPr>
      <w:keepNext/>
      <w:keepLines/>
      <w:numPr>
        <w:ilvl w:val="6"/>
        <w:numId w:val="1"/>
      </w:numPr>
      <w:spacing w:before="240" w:after="64" w:line="319" w:lineRule="auto"/>
      <w:outlineLvl w:val="6"/>
    </w:pPr>
    <w:rPr>
      <w:b/>
      <w:sz w:val="24"/>
      <w:szCs w:val="24"/>
    </w:rPr>
  </w:style>
  <w:style w:type="paragraph" w:customStyle="1" w:styleId="199">
    <w:name w:val="标题 81"/>
    <w:basedOn w:val="1"/>
    <w:next w:val="1"/>
    <w:qFormat/>
    <w:uiPriority w:val="6"/>
    <w:pPr>
      <w:keepNext/>
      <w:keepLines/>
      <w:numPr>
        <w:ilvl w:val="7"/>
        <w:numId w:val="1"/>
      </w:numPr>
      <w:spacing w:before="240" w:after="64" w:line="319" w:lineRule="auto"/>
      <w:outlineLvl w:val="7"/>
    </w:pPr>
    <w:rPr>
      <w:rFonts w:eastAsia="黑体"/>
      <w:sz w:val="24"/>
      <w:szCs w:val="24"/>
    </w:rPr>
  </w:style>
  <w:style w:type="paragraph" w:customStyle="1" w:styleId="200">
    <w:name w:val="标题 91"/>
    <w:basedOn w:val="1"/>
    <w:next w:val="1"/>
    <w:qFormat/>
    <w:uiPriority w:val="6"/>
    <w:pPr>
      <w:keepNext/>
      <w:keepLines/>
      <w:numPr>
        <w:ilvl w:val="8"/>
        <w:numId w:val="1"/>
      </w:numPr>
      <w:spacing w:before="240" w:after="64" w:line="319" w:lineRule="auto"/>
      <w:outlineLvl w:val="8"/>
    </w:pPr>
    <w:rPr>
      <w:rFonts w:eastAsia="黑体"/>
    </w:rPr>
  </w:style>
  <w:style w:type="character" w:customStyle="1" w:styleId="201">
    <w:name w:val="默认段落字体1"/>
    <w:qFormat/>
    <w:uiPriority w:val="6"/>
  </w:style>
  <w:style w:type="table" w:customStyle="1" w:styleId="202">
    <w:name w:val="普通表格1"/>
    <w:qFormat/>
    <w:uiPriority w:val="0"/>
    <w:tblPr>
      <w:tblCellMar>
        <w:top w:w="0" w:type="dxa"/>
        <w:left w:w="0" w:type="dxa"/>
        <w:bottom w:w="0" w:type="dxa"/>
        <w:right w:w="0" w:type="dxa"/>
      </w:tblCellMar>
    </w:tblPr>
  </w:style>
  <w:style w:type="paragraph" w:customStyle="1" w:styleId="203">
    <w:name w:val="列表 31"/>
    <w:basedOn w:val="1"/>
    <w:qFormat/>
    <w:uiPriority w:val="7"/>
    <w:pPr>
      <w:ind w:left="100" w:hanging="200"/>
    </w:pPr>
  </w:style>
  <w:style w:type="paragraph" w:customStyle="1" w:styleId="204">
    <w:name w:val="目录 71"/>
    <w:basedOn w:val="1"/>
    <w:next w:val="1"/>
    <w:qFormat/>
    <w:uiPriority w:val="4"/>
    <w:pPr>
      <w:ind w:left="1260"/>
      <w:jc w:val="left"/>
    </w:pPr>
  </w:style>
  <w:style w:type="paragraph" w:customStyle="1" w:styleId="205">
    <w:name w:val="文档结构图1"/>
    <w:basedOn w:val="1"/>
    <w:qFormat/>
    <w:uiPriority w:val="6"/>
    <w:pPr>
      <w:shd w:val="clear" w:color="000000" w:fill="00007F"/>
    </w:pPr>
  </w:style>
  <w:style w:type="paragraph" w:customStyle="1" w:styleId="206">
    <w:name w:val="批注文字1"/>
    <w:basedOn w:val="1"/>
    <w:qFormat/>
    <w:uiPriority w:val="6"/>
    <w:pPr>
      <w:jc w:val="left"/>
    </w:pPr>
  </w:style>
  <w:style w:type="paragraph" w:customStyle="1" w:styleId="207">
    <w:name w:val="正文文本 31"/>
    <w:basedOn w:val="1"/>
    <w:qFormat/>
    <w:uiPriority w:val="6"/>
    <w:rPr>
      <w:rFonts w:ascii="仿宋_GB2312" w:hAnsi="仿宋_GB2312" w:eastAsia="仿宋"/>
      <w:sz w:val="32"/>
      <w:szCs w:val="32"/>
    </w:rPr>
  </w:style>
  <w:style w:type="paragraph" w:customStyle="1" w:styleId="208">
    <w:name w:val="正文文本11"/>
    <w:basedOn w:val="1"/>
    <w:qFormat/>
    <w:uiPriority w:val="6"/>
    <w:rPr>
      <w:rFonts w:ascii="楷体_GB2312" w:hAnsi="楷体_GB2312" w:eastAsia="楷体"/>
      <w:sz w:val="28"/>
      <w:szCs w:val="28"/>
    </w:rPr>
  </w:style>
  <w:style w:type="paragraph" w:customStyle="1" w:styleId="209">
    <w:name w:val="正文文本缩进11"/>
    <w:basedOn w:val="1"/>
    <w:next w:val="210"/>
    <w:qFormat/>
    <w:uiPriority w:val="6"/>
    <w:pPr>
      <w:ind w:firstLine="645"/>
    </w:pPr>
    <w:rPr>
      <w:rFonts w:ascii="楷体_GB2312" w:hAnsi="楷体_GB2312" w:eastAsia="楷体"/>
      <w:sz w:val="32"/>
      <w:szCs w:val="32"/>
    </w:rPr>
  </w:style>
  <w:style w:type="paragraph" w:customStyle="1" w:styleId="210">
    <w:name w:val="寄信人地址11"/>
    <w:basedOn w:val="1"/>
    <w:qFormat/>
    <w:uiPriority w:val="7"/>
    <w:rPr>
      <w:rFonts w:cs="宋体"/>
    </w:rPr>
  </w:style>
  <w:style w:type="paragraph" w:customStyle="1" w:styleId="211">
    <w:name w:val="列表 21"/>
    <w:basedOn w:val="1"/>
    <w:qFormat/>
    <w:uiPriority w:val="7"/>
    <w:pPr>
      <w:ind w:left="100" w:hanging="200"/>
    </w:pPr>
  </w:style>
  <w:style w:type="paragraph" w:customStyle="1" w:styleId="212">
    <w:name w:val="目录 51"/>
    <w:basedOn w:val="1"/>
    <w:next w:val="1"/>
    <w:qFormat/>
    <w:uiPriority w:val="4"/>
    <w:pPr>
      <w:ind w:left="840"/>
      <w:jc w:val="left"/>
    </w:pPr>
  </w:style>
  <w:style w:type="paragraph" w:customStyle="1" w:styleId="213">
    <w:name w:val="目录 31"/>
    <w:basedOn w:val="1"/>
    <w:next w:val="1"/>
    <w:qFormat/>
    <w:uiPriority w:val="4"/>
    <w:pPr>
      <w:ind w:left="420"/>
      <w:jc w:val="left"/>
    </w:pPr>
    <w:rPr>
      <w:i/>
      <w:szCs w:val="24"/>
    </w:rPr>
  </w:style>
  <w:style w:type="paragraph" w:customStyle="1" w:styleId="214">
    <w:name w:val="纯文本111"/>
    <w:basedOn w:val="1"/>
    <w:qFormat/>
    <w:uiPriority w:val="6"/>
    <w:rPr>
      <w:rFonts w:ascii="宋体" w:hAnsi="宋体" w:cs="Courier New"/>
    </w:rPr>
  </w:style>
  <w:style w:type="paragraph" w:customStyle="1" w:styleId="215">
    <w:name w:val="目录 81"/>
    <w:basedOn w:val="1"/>
    <w:next w:val="1"/>
    <w:qFormat/>
    <w:uiPriority w:val="4"/>
    <w:pPr>
      <w:ind w:left="1470"/>
      <w:jc w:val="left"/>
    </w:pPr>
  </w:style>
  <w:style w:type="paragraph" w:customStyle="1" w:styleId="216">
    <w:name w:val="日期1"/>
    <w:basedOn w:val="1"/>
    <w:next w:val="1"/>
    <w:qFormat/>
    <w:uiPriority w:val="7"/>
    <w:rPr>
      <w:sz w:val="24"/>
      <w:szCs w:val="24"/>
    </w:rPr>
  </w:style>
  <w:style w:type="paragraph" w:customStyle="1" w:styleId="217">
    <w:name w:val="正文文本缩进 21"/>
    <w:basedOn w:val="1"/>
    <w:qFormat/>
    <w:uiPriority w:val="6"/>
    <w:pPr>
      <w:ind w:left="630" w:firstLine="645"/>
    </w:pPr>
    <w:rPr>
      <w:rFonts w:eastAsia="仿宋"/>
      <w:sz w:val="32"/>
      <w:szCs w:val="32"/>
    </w:rPr>
  </w:style>
  <w:style w:type="paragraph" w:customStyle="1" w:styleId="218">
    <w:name w:val="批注框文本1"/>
    <w:basedOn w:val="1"/>
    <w:qFormat/>
    <w:uiPriority w:val="6"/>
    <w:rPr>
      <w:sz w:val="18"/>
      <w:szCs w:val="18"/>
    </w:rPr>
  </w:style>
  <w:style w:type="paragraph" w:customStyle="1" w:styleId="219">
    <w:name w:val="页脚1"/>
    <w:basedOn w:val="1"/>
    <w:qFormat/>
    <w:uiPriority w:val="6"/>
    <w:pPr>
      <w:tabs>
        <w:tab w:val="center" w:pos="4153"/>
        <w:tab w:val="right" w:pos="8306"/>
      </w:tabs>
      <w:jc w:val="left"/>
    </w:pPr>
    <w:rPr>
      <w:sz w:val="18"/>
      <w:szCs w:val="18"/>
    </w:rPr>
  </w:style>
  <w:style w:type="paragraph" w:customStyle="1" w:styleId="220">
    <w:name w:val="页眉1"/>
    <w:basedOn w:val="1"/>
    <w:qFormat/>
    <w:uiPriority w:val="6"/>
    <w:pPr>
      <w:pBdr>
        <w:bottom w:val="single" w:color="000000" w:sz="6" w:space="1"/>
      </w:pBdr>
      <w:tabs>
        <w:tab w:val="center" w:pos="4153"/>
        <w:tab w:val="right" w:pos="8306"/>
      </w:tabs>
      <w:jc w:val="center"/>
    </w:pPr>
    <w:rPr>
      <w:sz w:val="18"/>
      <w:szCs w:val="18"/>
    </w:rPr>
  </w:style>
  <w:style w:type="paragraph" w:customStyle="1" w:styleId="221">
    <w:name w:val="目录 11"/>
    <w:basedOn w:val="1"/>
    <w:next w:val="1"/>
    <w:qFormat/>
    <w:uiPriority w:val="4"/>
    <w:pPr>
      <w:tabs>
        <w:tab w:val="right" w:leader="dot" w:pos="8720"/>
      </w:tabs>
      <w:spacing w:before="120" w:after="120" w:line="400" w:lineRule="exact"/>
      <w:jc w:val="left"/>
    </w:pPr>
    <w:rPr>
      <w:rFonts w:ascii="宋体" w:hAnsi="宋体" w:cs="宋体"/>
      <w:caps/>
      <w:sz w:val="24"/>
      <w:szCs w:val="24"/>
    </w:rPr>
  </w:style>
  <w:style w:type="paragraph" w:customStyle="1" w:styleId="222">
    <w:name w:val="目录 41"/>
    <w:basedOn w:val="1"/>
    <w:next w:val="1"/>
    <w:qFormat/>
    <w:uiPriority w:val="4"/>
    <w:pPr>
      <w:ind w:left="630"/>
      <w:jc w:val="left"/>
    </w:pPr>
  </w:style>
  <w:style w:type="paragraph" w:customStyle="1" w:styleId="223">
    <w:name w:val="列表1"/>
    <w:basedOn w:val="1"/>
    <w:qFormat/>
    <w:uiPriority w:val="7"/>
    <w:pPr>
      <w:ind w:left="200" w:hanging="200"/>
    </w:pPr>
  </w:style>
  <w:style w:type="paragraph" w:customStyle="1" w:styleId="224">
    <w:name w:val="目录 61"/>
    <w:basedOn w:val="1"/>
    <w:next w:val="1"/>
    <w:qFormat/>
    <w:uiPriority w:val="4"/>
    <w:pPr>
      <w:ind w:left="1050"/>
      <w:jc w:val="left"/>
    </w:pPr>
  </w:style>
  <w:style w:type="paragraph" w:customStyle="1" w:styleId="225">
    <w:name w:val="正文文本缩进 31"/>
    <w:basedOn w:val="1"/>
    <w:qFormat/>
    <w:uiPriority w:val="6"/>
    <w:pPr>
      <w:ind w:left="645" w:firstLine="645"/>
    </w:pPr>
    <w:rPr>
      <w:rFonts w:eastAsia="仿宋"/>
      <w:color w:val="FFFF00"/>
      <w:sz w:val="32"/>
      <w:szCs w:val="32"/>
    </w:rPr>
  </w:style>
  <w:style w:type="paragraph" w:customStyle="1" w:styleId="226">
    <w:name w:val="图表目录1"/>
    <w:basedOn w:val="1"/>
    <w:next w:val="1"/>
    <w:qFormat/>
    <w:uiPriority w:val="6"/>
    <w:pPr>
      <w:ind w:left="840" w:hanging="420"/>
    </w:pPr>
  </w:style>
  <w:style w:type="paragraph" w:customStyle="1" w:styleId="227">
    <w:name w:val="目录 21"/>
    <w:basedOn w:val="1"/>
    <w:next w:val="1"/>
    <w:qFormat/>
    <w:uiPriority w:val="4"/>
    <w:pPr>
      <w:ind w:left="210"/>
      <w:jc w:val="left"/>
    </w:pPr>
    <w:rPr>
      <w:smallCaps/>
      <w:szCs w:val="24"/>
    </w:rPr>
  </w:style>
  <w:style w:type="paragraph" w:customStyle="1" w:styleId="228">
    <w:name w:val="目录 91"/>
    <w:basedOn w:val="1"/>
    <w:next w:val="1"/>
    <w:qFormat/>
    <w:uiPriority w:val="4"/>
    <w:pPr>
      <w:ind w:left="1680"/>
      <w:jc w:val="left"/>
    </w:pPr>
  </w:style>
  <w:style w:type="paragraph" w:customStyle="1" w:styleId="229">
    <w:name w:val="正文文本 21"/>
    <w:basedOn w:val="1"/>
    <w:qFormat/>
    <w:uiPriority w:val="6"/>
    <w:pPr>
      <w:widowControl/>
      <w:jc w:val="center"/>
    </w:pPr>
    <w:rPr>
      <w:rFonts w:ascii="楷体_GB2312" w:hAnsi="楷体_GB2312" w:eastAsia="楷体"/>
      <w:sz w:val="28"/>
      <w:szCs w:val="28"/>
    </w:rPr>
  </w:style>
  <w:style w:type="paragraph" w:customStyle="1" w:styleId="230">
    <w:name w:val="普通(网站)1"/>
    <w:basedOn w:val="1"/>
    <w:qFormat/>
    <w:uiPriority w:val="7"/>
    <w:pPr>
      <w:widowControl/>
      <w:spacing w:before="100" w:beforeAutospacing="1" w:after="100" w:afterAutospacing="1"/>
      <w:jc w:val="left"/>
    </w:pPr>
    <w:rPr>
      <w:rFonts w:ascii="宋体" w:hAnsi="宋体" w:cs="宋体"/>
      <w:sz w:val="24"/>
      <w:szCs w:val="24"/>
    </w:rPr>
  </w:style>
  <w:style w:type="paragraph" w:customStyle="1" w:styleId="231">
    <w:name w:val="索引 11"/>
    <w:basedOn w:val="1"/>
    <w:next w:val="1"/>
    <w:qFormat/>
    <w:uiPriority w:val="6"/>
    <w:pPr>
      <w:spacing w:line="240" w:lineRule="atLeast"/>
    </w:pPr>
    <w:rPr>
      <w:b/>
    </w:rPr>
  </w:style>
  <w:style w:type="paragraph" w:customStyle="1" w:styleId="232">
    <w:name w:val="批注主题1"/>
    <w:basedOn w:val="206"/>
    <w:next w:val="206"/>
    <w:qFormat/>
    <w:uiPriority w:val="6"/>
    <w:rPr>
      <w:b/>
    </w:rPr>
  </w:style>
  <w:style w:type="paragraph" w:customStyle="1" w:styleId="233">
    <w:name w:val="正文首行缩进1"/>
    <w:basedOn w:val="1"/>
    <w:qFormat/>
    <w:uiPriority w:val="6"/>
    <w:pPr>
      <w:spacing w:line="360" w:lineRule="auto"/>
      <w:ind w:firstLine="200"/>
    </w:pPr>
    <w:rPr>
      <w:rFonts w:ascii="仿宋_GB2312" w:hAnsi="仿宋_GB2312" w:eastAsia="仿宋"/>
      <w:sz w:val="30"/>
      <w:szCs w:val="30"/>
    </w:rPr>
  </w:style>
  <w:style w:type="paragraph" w:customStyle="1" w:styleId="234">
    <w:name w:val="正文首行缩进 211"/>
    <w:basedOn w:val="209"/>
    <w:next w:val="1"/>
    <w:qFormat/>
    <w:uiPriority w:val="6"/>
    <w:pPr>
      <w:spacing w:line="360" w:lineRule="auto"/>
      <w:ind w:firstLine="420"/>
    </w:pPr>
    <w:rPr>
      <w:rFonts w:ascii="宋体" w:hAnsi="宋体" w:eastAsia="宋体" w:cs="宋体"/>
      <w:sz w:val="21"/>
      <w:szCs w:val="20"/>
    </w:rPr>
  </w:style>
  <w:style w:type="character" w:customStyle="1" w:styleId="235">
    <w:name w:val="要点1"/>
    <w:basedOn w:val="201"/>
    <w:qFormat/>
    <w:uiPriority w:val="7"/>
    <w:rPr>
      <w:b/>
    </w:rPr>
  </w:style>
  <w:style w:type="character" w:customStyle="1" w:styleId="236">
    <w:name w:val="页码1"/>
    <w:basedOn w:val="201"/>
    <w:qFormat/>
    <w:uiPriority w:val="6"/>
  </w:style>
  <w:style w:type="character" w:customStyle="1" w:styleId="237">
    <w:name w:val="已访问的超链接1"/>
    <w:basedOn w:val="201"/>
    <w:qFormat/>
    <w:uiPriority w:val="6"/>
    <w:rPr>
      <w:color w:val="7F007F"/>
      <w:u w:val="single"/>
    </w:rPr>
  </w:style>
  <w:style w:type="character" w:customStyle="1" w:styleId="238">
    <w:name w:val="超链接1"/>
    <w:basedOn w:val="201"/>
    <w:qFormat/>
    <w:uiPriority w:val="7"/>
    <w:rPr>
      <w:color w:val="0000FF"/>
      <w:u w:val="single"/>
    </w:rPr>
  </w:style>
  <w:style w:type="character" w:customStyle="1" w:styleId="239">
    <w:name w:val="批注引用1"/>
    <w:basedOn w:val="201"/>
    <w:qFormat/>
    <w:uiPriority w:val="6"/>
    <w:rPr>
      <w:sz w:val="21"/>
      <w:szCs w:val="21"/>
    </w:rPr>
  </w:style>
  <w:style w:type="paragraph" w:customStyle="1" w:styleId="240">
    <w:name w:val="正文首行缩进 21"/>
    <w:basedOn w:val="241"/>
    <w:next w:val="1"/>
    <w:qFormat/>
    <w:uiPriority w:val="0"/>
    <w:pPr>
      <w:spacing w:line="360" w:lineRule="auto"/>
      <w:ind w:firstLine="420"/>
    </w:pPr>
    <w:rPr>
      <w:rFonts w:ascii="宋体" w:hAnsi="宋体" w:eastAsia="宋体" w:cs="宋体"/>
      <w:sz w:val="21"/>
      <w:szCs w:val="20"/>
    </w:rPr>
  </w:style>
  <w:style w:type="paragraph" w:customStyle="1" w:styleId="241">
    <w:name w:val="正文文本缩进1"/>
    <w:basedOn w:val="1"/>
    <w:next w:val="242"/>
    <w:qFormat/>
    <w:uiPriority w:val="0"/>
    <w:pPr>
      <w:ind w:firstLine="645"/>
    </w:pPr>
    <w:rPr>
      <w:rFonts w:ascii="楷体_GB2312" w:hAnsi="楷体_GB2312" w:eastAsia="楷体"/>
      <w:sz w:val="32"/>
      <w:szCs w:val="32"/>
    </w:rPr>
  </w:style>
  <w:style w:type="paragraph" w:customStyle="1" w:styleId="242">
    <w:name w:val="寄信人地址1"/>
    <w:basedOn w:val="1"/>
    <w:qFormat/>
    <w:uiPriority w:val="0"/>
    <w:rPr>
      <w:rFonts w:cs="宋体"/>
    </w:rPr>
  </w:style>
  <w:style w:type="paragraph" w:customStyle="1" w:styleId="243">
    <w:name w:val="索引 41"/>
    <w:basedOn w:val="1"/>
    <w:next w:val="1"/>
    <w:qFormat/>
    <w:uiPriority w:val="2"/>
    <w:pPr>
      <w:ind w:left="1260"/>
    </w:pPr>
    <w:rPr>
      <w:rFonts w:ascii="Calibri" w:hAnsi="Calibri" w:eastAsia="Calibri" w:cs="宋体"/>
      <w:sz w:val="20"/>
      <w:lang w:val="zh-CN"/>
    </w:rPr>
  </w:style>
  <w:style w:type="paragraph" w:customStyle="1" w:styleId="244">
    <w:name w:val="正文文本12"/>
    <w:basedOn w:val="1"/>
    <w:qFormat/>
    <w:uiPriority w:val="0"/>
    <w:pPr>
      <w:ind w:left="120"/>
    </w:pPr>
    <w:rPr>
      <w:rFonts w:ascii="宋体" w:hAnsi="宋体" w:cs="宋体"/>
      <w:lang w:val="zh-CN" w:bidi="zh-CN"/>
    </w:rPr>
  </w:style>
  <w:style w:type="paragraph" w:customStyle="1" w:styleId="245">
    <w:name w:val="二级目录"/>
    <w:next w:val="1"/>
    <w:qFormat/>
    <w:uiPriority w:val="0"/>
    <w:pPr>
      <w:tabs>
        <w:tab w:val="left" w:pos="907"/>
        <w:tab w:val="left" w:pos="1145"/>
      </w:tabs>
      <w:ind w:left="907" w:hanging="907"/>
      <w:outlineLvl w:val="1"/>
    </w:pPr>
    <w:rPr>
      <w:rFonts w:ascii="Arial" w:hAnsi="Arial" w:eastAsia="宋体" w:cs="Arial"/>
      <w:b/>
      <w:color w:val="000000"/>
      <w:sz w:val="30"/>
      <w:szCs w:val="28"/>
      <w:lang w:val="en-US" w:eastAsia="zh-CN" w:bidi="ar-SA"/>
    </w:rPr>
  </w:style>
  <w:style w:type="paragraph" w:customStyle="1" w:styleId="246">
    <w:name w:val="列出段落1"/>
    <w:basedOn w:val="1"/>
    <w:qFormat/>
    <w:uiPriority w:val="0"/>
    <w:pPr>
      <w:widowControl/>
      <w:ind w:left="720"/>
      <w:contextualSpacing/>
      <w:jc w:val="left"/>
    </w:pPr>
    <w:rPr>
      <w:rFonts w:ascii="Calibri" w:hAnsi="Calibri"/>
      <w:sz w:val="24"/>
      <w:szCs w:val="24"/>
      <w:lang w:eastAsia="en-US" w:bidi="en-US"/>
    </w:rPr>
  </w:style>
  <w:style w:type="paragraph" w:customStyle="1" w:styleId="247">
    <w:name w:val="Body Text(ch)"/>
    <w:basedOn w:val="1"/>
    <w:next w:val="208"/>
    <w:qFormat/>
    <w:uiPriority w:val="6"/>
    <w:pPr>
      <w:spacing w:after="120"/>
    </w:pPr>
    <w:rPr>
      <w:rFonts w:ascii="宋体" w:hAnsi="宋体"/>
      <w:szCs w:val="24"/>
    </w:rPr>
  </w:style>
  <w:style w:type="paragraph" w:customStyle="1" w:styleId="248">
    <w:name w:val="xl27"/>
    <w:basedOn w:val="1"/>
    <w:qFormat/>
    <w:uiPriority w:val="3"/>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szCs w:val="24"/>
    </w:rPr>
  </w:style>
  <w:style w:type="paragraph" w:customStyle="1" w:styleId="249">
    <w:name w:val="xl26"/>
    <w:basedOn w:val="1"/>
    <w:qFormat/>
    <w:uiPriority w:val="3"/>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szCs w:val="24"/>
    </w:rPr>
  </w:style>
  <w:style w:type="paragraph" w:customStyle="1" w:styleId="250">
    <w:name w:val="Char"/>
    <w:basedOn w:val="1"/>
    <w:qFormat/>
    <w:uiPriority w:val="6"/>
    <w:pPr>
      <w:tabs>
        <w:tab w:val="left" w:pos="360"/>
      </w:tabs>
      <w:ind w:firstLine="200"/>
    </w:pPr>
    <w:rPr>
      <w:sz w:val="28"/>
      <w:szCs w:val="30"/>
    </w:rPr>
  </w:style>
  <w:style w:type="paragraph" w:customStyle="1" w:styleId="251">
    <w:name w:val="Char1"/>
    <w:basedOn w:val="205"/>
    <w:qFormat/>
    <w:uiPriority w:val="6"/>
    <w:rPr>
      <w:rFonts w:ascii="Tahoma" w:hAnsi="Tahoma" w:cs="Tahoma"/>
      <w:sz w:val="24"/>
      <w:szCs w:val="24"/>
    </w:rPr>
  </w:style>
  <w:style w:type="paragraph" w:customStyle="1" w:styleId="252">
    <w:name w:val="普通正文"/>
    <w:basedOn w:val="1"/>
    <w:qFormat/>
    <w:uiPriority w:val="0"/>
    <w:pPr>
      <w:spacing w:before="120" w:after="120" w:line="360" w:lineRule="auto"/>
      <w:ind w:firstLine="480"/>
      <w:jc w:val="left"/>
    </w:pPr>
    <w:rPr>
      <w:sz w:val="24"/>
      <w:szCs w:val="24"/>
    </w:rPr>
  </w:style>
  <w:style w:type="paragraph" w:customStyle="1" w:styleId="253">
    <w:name w:val="table_lines"/>
    <w:basedOn w:val="1"/>
    <w:qFormat/>
    <w:uiPriority w:val="6"/>
    <w:pPr>
      <w:widowControl/>
      <w:jc w:val="left"/>
    </w:pPr>
    <w:rPr>
      <w:sz w:val="20"/>
      <w:szCs w:val="20"/>
      <w:lang w:val="de-DE" w:eastAsia="de-DE"/>
    </w:rPr>
  </w:style>
  <w:style w:type="paragraph" w:customStyle="1" w:styleId="254">
    <w:name w:val="附录1"/>
    <w:qFormat/>
    <w:uiPriority w:val="3"/>
    <w:pPr>
      <w:numPr>
        <w:ilvl w:val="0"/>
        <w:numId w:val="2"/>
      </w:numPr>
      <w:tabs>
        <w:tab w:val="left" w:pos="907"/>
      </w:tabs>
      <w:spacing w:before="240" w:line="600" w:lineRule="atLeast"/>
      <w:ind w:left="907" w:hanging="907"/>
    </w:pPr>
    <w:rPr>
      <w:rFonts w:ascii="Arial" w:hAnsi="Arial" w:eastAsia="宋体" w:cs="Arial"/>
      <w:b/>
      <w:i/>
      <w:color w:val="000000"/>
      <w:sz w:val="28"/>
      <w:szCs w:val="22"/>
      <w:lang w:val="en-US" w:eastAsia="zh-CN" w:bidi="ar-SA"/>
    </w:rPr>
  </w:style>
  <w:style w:type="paragraph" w:customStyle="1" w:styleId="255">
    <w:name w:val="font7"/>
    <w:basedOn w:val="1"/>
    <w:qFormat/>
    <w:uiPriority w:val="6"/>
    <w:pPr>
      <w:widowControl/>
      <w:spacing w:before="100" w:beforeAutospacing="1" w:after="100" w:afterAutospacing="1"/>
      <w:jc w:val="left"/>
    </w:pPr>
    <w:rPr>
      <w:rFonts w:ascii="宋体" w:hAnsi="宋体" w:cs="宋体"/>
      <w:sz w:val="18"/>
      <w:szCs w:val="18"/>
    </w:rPr>
  </w:style>
  <w:style w:type="paragraph" w:customStyle="1" w:styleId="256">
    <w:name w:val="Char Char Char Char"/>
    <w:basedOn w:val="205"/>
    <w:qFormat/>
    <w:uiPriority w:val="6"/>
    <w:pPr>
      <w:spacing w:line="360" w:lineRule="auto"/>
    </w:pPr>
    <w:rPr>
      <w:rFonts w:ascii="Tahoma" w:hAnsi="Tahoma" w:cs="Tahoma"/>
      <w:sz w:val="24"/>
      <w:szCs w:val="24"/>
    </w:rPr>
  </w:style>
  <w:style w:type="paragraph" w:customStyle="1" w:styleId="257">
    <w:name w:val="4"/>
    <w:basedOn w:val="1"/>
    <w:next w:val="225"/>
    <w:qFormat/>
    <w:uiPriority w:val="1"/>
    <w:pPr>
      <w:spacing w:line="360" w:lineRule="auto"/>
      <w:ind w:firstLine="420"/>
    </w:pPr>
    <w:rPr>
      <w:color w:val="FF0000"/>
      <w:sz w:val="24"/>
      <w:szCs w:val="24"/>
    </w:rPr>
  </w:style>
  <w:style w:type="paragraph" w:customStyle="1" w:styleId="258">
    <w:name w:val="普通 (Web)"/>
    <w:basedOn w:val="1"/>
    <w:qFormat/>
    <w:uiPriority w:val="2"/>
    <w:pPr>
      <w:widowControl/>
      <w:spacing w:before="100" w:beforeAutospacing="1" w:after="100" w:afterAutospacing="1"/>
      <w:jc w:val="left"/>
    </w:pPr>
    <w:rPr>
      <w:rFonts w:ascii="宋体" w:hAnsi="宋体" w:cs="宋体"/>
      <w:sz w:val="24"/>
      <w:szCs w:val="24"/>
    </w:rPr>
  </w:style>
  <w:style w:type="paragraph" w:customStyle="1" w:styleId="259">
    <w:name w:val="Char Char Char Char Char Char Char Char Char Char"/>
    <w:basedOn w:val="1"/>
    <w:qFormat/>
    <w:uiPriority w:val="6"/>
    <w:pPr>
      <w:spacing w:line="360" w:lineRule="auto"/>
    </w:pPr>
    <w:rPr>
      <w:sz w:val="24"/>
      <w:szCs w:val="20"/>
    </w:rPr>
  </w:style>
  <w:style w:type="paragraph" w:customStyle="1" w:styleId="260">
    <w:name w:val="样式1"/>
    <w:basedOn w:val="1"/>
    <w:qFormat/>
    <w:uiPriority w:val="3"/>
    <w:pPr>
      <w:numPr>
        <w:ilvl w:val="0"/>
        <w:numId w:val="3"/>
      </w:numPr>
      <w:tabs>
        <w:tab w:val="left" w:pos="709"/>
      </w:tabs>
      <w:ind w:left="709" w:hanging="709"/>
    </w:pPr>
    <w:rPr>
      <w:rFonts w:ascii="宋体" w:hAnsi="宋体" w:cs="宋体"/>
    </w:rPr>
  </w:style>
  <w:style w:type="paragraph" w:customStyle="1" w:styleId="261">
    <w:name w:val="font6"/>
    <w:basedOn w:val="1"/>
    <w:qFormat/>
    <w:uiPriority w:val="6"/>
    <w:pPr>
      <w:widowControl/>
      <w:spacing w:before="100" w:beforeAutospacing="1" w:after="100" w:afterAutospacing="1"/>
      <w:jc w:val="left"/>
    </w:pPr>
    <w:rPr>
      <w:rFonts w:ascii="宋体" w:hAnsi="宋体" w:cs="宋体"/>
      <w:sz w:val="28"/>
      <w:szCs w:val="28"/>
      <w:u w:val="single"/>
    </w:rPr>
  </w:style>
  <w:style w:type="paragraph" w:customStyle="1" w:styleId="262">
    <w:name w:val="xl25"/>
    <w:basedOn w:val="1"/>
    <w:qFormat/>
    <w:uiPriority w:val="3"/>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63">
    <w:name w:val="图标"/>
    <w:basedOn w:val="1"/>
    <w:next w:val="1"/>
    <w:qFormat/>
    <w:uiPriority w:val="0"/>
    <w:pPr>
      <w:tabs>
        <w:tab w:val="left" w:pos="567"/>
        <w:tab w:val="left" w:pos="840"/>
      </w:tabs>
      <w:spacing w:before="120" w:after="120" w:line="320" w:lineRule="atLeast"/>
      <w:ind w:left="840" w:hanging="420"/>
      <w:jc w:val="center"/>
    </w:pPr>
    <w:rPr>
      <w:rFonts w:eastAsia="仿宋"/>
      <w:sz w:val="24"/>
      <w:szCs w:val="20"/>
    </w:rPr>
  </w:style>
  <w:style w:type="paragraph" w:customStyle="1" w:styleId="264">
    <w:name w:val="标题3"/>
    <w:basedOn w:val="1"/>
    <w:next w:val="1"/>
    <w:qFormat/>
    <w:uiPriority w:val="3"/>
    <w:pPr>
      <w:spacing w:line="590" w:lineRule="atLeast"/>
      <w:ind w:firstLine="624"/>
    </w:pPr>
    <w:rPr>
      <w:rFonts w:ascii="方正黑体_GBK" w:hAnsi="方正黑体_GBK" w:eastAsia="微软雅黑"/>
      <w:sz w:val="32"/>
      <w:szCs w:val="32"/>
    </w:rPr>
  </w:style>
  <w:style w:type="paragraph" w:customStyle="1" w:styleId="265">
    <w:name w:val="xl24"/>
    <w:basedOn w:val="1"/>
    <w:qFormat/>
    <w:uiPriority w:val="3"/>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szCs w:val="24"/>
    </w:rPr>
  </w:style>
  <w:style w:type="paragraph" w:customStyle="1" w:styleId="266">
    <w:name w:val="xl29"/>
    <w:basedOn w:val="1"/>
    <w:qFormat/>
    <w:uiPriority w:val="3"/>
    <w:pPr>
      <w:widowControl/>
      <w:pBdr>
        <w:left w:val="single" w:color="000000" w:sz="4" w:space="0"/>
        <w:bottom w:val="single" w:color="000000" w:sz="4" w:space="0"/>
      </w:pBdr>
      <w:spacing w:before="100" w:beforeAutospacing="1" w:after="100" w:afterAutospacing="1"/>
      <w:jc w:val="left"/>
    </w:pPr>
    <w:rPr>
      <w:rFonts w:ascii="宋体" w:hAnsi="宋体" w:cs="宋体"/>
      <w:sz w:val="24"/>
      <w:szCs w:val="24"/>
    </w:rPr>
  </w:style>
  <w:style w:type="paragraph" w:customStyle="1" w:styleId="267">
    <w:name w:val="Char Char Char Char Char Char Char Char"/>
    <w:basedOn w:val="1"/>
    <w:qFormat/>
    <w:uiPriority w:val="6"/>
    <w:pPr>
      <w:widowControl/>
      <w:spacing w:after="160" w:line="240" w:lineRule="exact"/>
      <w:jc w:val="left"/>
    </w:pPr>
    <w:rPr>
      <w:rFonts w:ascii="Verdana" w:hAnsi="Verdana" w:cs="Verdana"/>
      <w:sz w:val="20"/>
      <w:szCs w:val="20"/>
      <w:lang w:eastAsia="en-US"/>
    </w:rPr>
  </w:style>
  <w:style w:type="paragraph" w:customStyle="1" w:styleId="268">
    <w:name w:val="xl28"/>
    <w:basedOn w:val="1"/>
    <w:qFormat/>
    <w:uiPriority w:val="3"/>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cs="宋体"/>
      <w:sz w:val="24"/>
      <w:szCs w:val="24"/>
    </w:rPr>
  </w:style>
  <w:style w:type="paragraph" w:customStyle="1" w:styleId="269">
    <w:name w:val="Char Char Char Char Char Char Char Char1"/>
    <w:basedOn w:val="1"/>
    <w:qFormat/>
    <w:uiPriority w:val="6"/>
    <w:pPr>
      <w:widowControl/>
      <w:spacing w:after="160" w:line="240" w:lineRule="exact"/>
      <w:jc w:val="left"/>
    </w:pPr>
    <w:rPr>
      <w:rFonts w:ascii="Verdana" w:hAnsi="Verdana" w:cs="Verdana"/>
      <w:sz w:val="20"/>
      <w:szCs w:val="20"/>
      <w:lang w:eastAsia="en-US"/>
    </w:rPr>
  </w:style>
  <w:style w:type="paragraph" w:customStyle="1" w:styleId="270">
    <w:name w:val="xl30"/>
    <w:basedOn w:val="1"/>
    <w:qFormat/>
    <w:uiPriority w:val="3"/>
    <w:pPr>
      <w:widowControl/>
      <w:spacing w:before="100" w:beforeAutospacing="1" w:after="100" w:afterAutospacing="1"/>
      <w:jc w:val="center"/>
    </w:pPr>
    <w:rPr>
      <w:rFonts w:ascii="宋体" w:hAnsi="宋体" w:cs="宋体"/>
      <w:b/>
      <w:sz w:val="36"/>
      <w:szCs w:val="36"/>
    </w:rPr>
  </w:style>
  <w:style w:type="paragraph" w:customStyle="1" w:styleId="271">
    <w:name w:val="Char Char Char Char1"/>
    <w:basedOn w:val="205"/>
    <w:qFormat/>
    <w:uiPriority w:val="6"/>
    <w:pPr>
      <w:spacing w:line="360" w:lineRule="auto"/>
    </w:pPr>
    <w:rPr>
      <w:rFonts w:ascii="Tahoma" w:hAnsi="Tahoma" w:cs="Tahoma"/>
      <w:sz w:val="24"/>
      <w:szCs w:val="24"/>
    </w:rPr>
  </w:style>
  <w:style w:type="paragraph" w:customStyle="1" w:styleId="272">
    <w:name w:val="table_1stline"/>
    <w:basedOn w:val="1"/>
    <w:qFormat/>
    <w:uiPriority w:val="6"/>
    <w:pPr>
      <w:widowControl/>
      <w:spacing w:before="120"/>
      <w:jc w:val="left"/>
    </w:pPr>
    <w:rPr>
      <w:sz w:val="20"/>
      <w:szCs w:val="20"/>
      <w:lang w:val="de-DE" w:eastAsia="de-DE"/>
    </w:rPr>
  </w:style>
  <w:style w:type="paragraph" w:customStyle="1" w:styleId="273">
    <w:name w:val="font5"/>
    <w:basedOn w:val="1"/>
    <w:qFormat/>
    <w:uiPriority w:val="6"/>
    <w:pPr>
      <w:widowControl/>
      <w:spacing w:before="100" w:beforeAutospacing="1" w:after="100" w:afterAutospacing="1"/>
      <w:jc w:val="left"/>
    </w:pPr>
    <w:rPr>
      <w:rFonts w:ascii="宋体" w:hAnsi="宋体" w:cs="宋体"/>
      <w:sz w:val="28"/>
      <w:szCs w:val="28"/>
    </w:rPr>
  </w:style>
  <w:style w:type="paragraph" w:customStyle="1" w:styleId="274">
    <w:name w:val="标题1"/>
    <w:basedOn w:val="1"/>
    <w:next w:val="1"/>
    <w:qFormat/>
    <w:uiPriority w:val="3"/>
    <w:pPr>
      <w:tabs>
        <w:tab w:val="left" w:pos="9193"/>
        <w:tab w:val="left" w:pos="9745"/>
      </w:tabs>
      <w:spacing w:line="700" w:lineRule="atLeast"/>
      <w:jc w:val="center"/>
    </w:pPr>
    <w:rPr>
      <w:rFonts w:ascii="方正小标宋_GBK" w:hAnsi="方正小标宋_GBK" w:eastAsia="微软雅黑"/>
      <w:sz w:val="44"/>
      <w:szCs w:val="20"/>
    </w:rPr>
  </w:style>
  <w:style w:type="paragraph" w:customStyle="1" w:styleId="275">
    <w:name w:val="修订1"/>
    <w:qFormat/>
    <w:uiPriority w:val="0"/>
    <w:rPr>
      <w:rFonts w:ascii="Arial" w:hAnsi="Arial" w:eastAsia="宋体" w:cs="Arial"/>
      <w:color w:val="000000"/>
      <w:sz w:val="21"/>
      <w:szCs w:val="21"/>
      <w:lang w:val="en-US" w:eastAsia="zh-CN" w:bidi="ar-SA"/>
    </w:rPr>
  </w:style>
  <w:style w:type="paragraph" w:styleId="276">
    <w:name w:val="No Spacing"/>
    <w:qFormat/>
    <w:uiPriority w:val="2"/>
    <w:pPr>
      <w:widowControl w:val="0"/>
      <w:jc w:val="both"/>
    </w:pPr>
    <w:rPr>
      <w:rFonts w:ascii="Arial" w:hAnsi="Arial" w:eastAsia="宋体" w:cs="Arial"/>
      <w:color w:val="000000"/>
      <w:sz w:val="21"/>
      <w:szCs w:val="21"/>
      <w:lang w:val="en-US" w:eastAsia="zh-CN" w:bidi="ar-SA"/>
    </w:rPr>
  </w:style>
  <w:style w:type="paragraph" w:customStyle="1" w:styleId="277">
    <w:name w:val="正文文本 211"/>
    <w:basedOn w:val="1"/>
    <w:qFormat/>
    <w:uiPriority w:val="0"/>
    <w:pPr>
      <w:jc w:val="center"/>
    </w:pPr>
    <w:rPr>
      <w:b/>
      <w:sz w:val="20"/>
      <w:szCs w:val="20"/>
    </w:rPr>
  </w:style>
  <w:style w:type="paragraph" w:customStyle="1" w:styleId="278">
    <w:name w:val="纯文本1"/>
    <w:basedOn w:val="1"/>
    <w:qFormat/>
    <w:uiPriority w:val="0"/>
    <w:rPr>
      <w:rFonts w:ascii="宋体" w:hAnsi="宋体" w:cs="Courier New"/>
    </w:rPr>
  </w:style>
  <w:style w:type="paragraph" w:customStyle="1" w:styleId="279">
    <w:name w:val="Table Text"/>
    <w:basedOn w:val="1"/>
    <w:qFormat/>
    <w:uiPriority w:val="6"/>
    <w:pPr>
      <w:widowControl/>
      <w:jc w:val="left"/>
    </w:pPr>
    <w:rPr>
      <w:rFonts w:ascii="宋体" w:hAnsi="宋体" w:cs="宋体"/>
      <w:lang w:eastAsia="en-US"/>
    </w:rPr>
  </w:style>
  <w:style w:type="paragraph" w:customStyle="1" w:styleId="280">
    <w:name w:val="纯文本11"/>
    <w:basedOn w:val="1"/>
    <w:qFormat/>
    <w:uiPriority w:val="0"/>
    <w:rPr>
      <w:rFonts w:ascii="宋体" w:hAnsi="宋体" w:cs="Courier New"/>
    </w:rPr>
  </w:style>
  <w:style w:type="character" w:customStyle="1" w:styleId="281">
    <w:name w:val="标题 1 Char"/>
    <w:basedOn w:val="201"/>
    <w:qFormat/>
    <w:uiPriority w:val="2"/>
    <w:rPr>
      <w:rFonts w:ascii="楷体_GB2312" w:hAnsi="楷体_GB2312" w:eastAsia="楷体" w:cs="Times New Roman"/>
      <w:sz w:val="28"/>
      <w:szCs w:val="28"/>
    </w:rPr>
  </w:style>
  <w:style w:type="character" w:customStyle="1" w:styleId="282">
    <w:name w:val="标题 2 Char"/>
    <w:basedOn w:val="201"/>
    <w:qFormat/>
    <w:uiPriority w:val="2"/>
    <w:rPr>
      <w:rFonts w:ascii="Arial" w:hAnsi="Arial" w:eastAsia="幼圆" w:cs="Arial"/>
      <w:b/>
      <w:sz w:val="44"/>
      <w:szCs w:val="44"/>
    </w:rPr>
  </w:style>
  <w:style w:type="character" w:customStyle="1" w:styleId="283">
    <w:name w:val="正文缩进 Char"/>
    <w:basedOn w:val="201"/>
    <w:qFormat/>
    <w:uiPriority w:val="0"/>
    <w:rPr>
      <w:rFonts w:ascii="Times New Roman" w:hAnsi="Times New Roman" w:eastAsia="宋体" w:cs="Times New Roman"/>
      <w:szCs w:val="21"/>
    </w:rPr>
  </w:style>
  <w:style w:type="character" w:customStyle="1" w:styleId="284">
    <w:name w:val="标题 3 Char"/>
    <w:basedOn w:val="201"/>
    <w:qFormat/>
    <w:uiPriority w:val="2"/>
    <w:rPr>
      <w:rFonts w:ascii="Times New Roman" w:hAnsi="Times New Roman" w:eastAsia="宋体" w:cs="Times New Roman"/>
      <w:b/>
      <w:sz w:val="32"/>
      <w:szCs w:val="32"/>
    </w:rPr>
  </w:style>
  <w:style w:type="character" w:customStyle="1" w:styleId="285">
    <w:name w:val="标题 4 Char"/>
    <w:basedOn w:val="201"/>
    <w:qFormat/>
    <w:uiPriority w:val="2"/>
    <w:rPr>
      <w:rFonts w:ascii="Arial" w:hAnsi="Arial" w:eastAsia="黑体" w:cs="Arial"/>
      <w:b/>
      <w:sz w:val="28"/>
      <w:szCs w:val="28"/>
    </w:rPr>
  </w:style>
  <w:style w:type="character" w:customStyle="1" w:styleId="286">
    <w:name w:val="标题 5 Char"/>
    <w:basedOn w:val="201"/>
    <w:qFormat/>
    <w:uiPriority w:val="2"/>
    <w:rPr>
      <w:rFonts w:ascii="宋体" w:hAnsi="宋体" w:eastAsia="宋体" w:cs="Times New Roman"/>
      <w:color w:val="000000"/>
      <w:sz w:val="28"/>
      <w:szCs w:val="28"/>
    </w:rPr>
  </w:style>
  <w:style w:type="character" w:customStyle="1" w:styleId="287">
    <w:name w:val="标题 6 Char"/>
    <w:basedOn w:val="201"/>
    <w:qFormat/>
    <w:uiPriority w:val="2"/>
    <w:rPr>
      <w:rFonts w:ascii="Arial" w:hAnsi="Arial" w:eastAsia="黑体" w:cs="Times New Roman"/>
      <w:b/>
      <w:sz w:val="24"/>
      <w:szCs w:val="24"/>
    </w:rPr>
  </w:style>
  <w:style w:type="character" w:customStyle="1" w:styleId="288">
    <w:name w:val="标题 7 Char"/>
    <w:basedOn w:val="201"/>
    <w:qFormat/>
    <w:uiPriority w:val="2"/>
    <w:rPr>
      <w:rFonts w:ascii="Times New Roman" w:hAnsi="Times New Roman" w:eastAsia="宋体" w:cs="Times New Roman"/>
      <w:b/>
      <w:sz w:val="24"/>
      <w:szCs w:val="24"/>
    </w:rPr>
  </w:style>
  <w:style w:type="character" w:customStyle="1" w:styleId="289">
    <w:name w:val="标题 8 Char"/>
    <w:basedOn w:val="201"/>
    <w:qFormat/>
    <w:uiPriority w:val="2"/>
    <w:rPr>
      <w:rFonts w:ascii="Arial" w:hAnsi="Arial" w:eastAsia="黑体" w:cs="Times New Roman"/>
      <w:sz w:val="24"/>
      <w:szCs w:val="24"/>
    </w:rPr>
  </w:style>
  <w:style w:type="character" w:customStyle="1" w:styleId="290">
    <w:name w:val="标题 9 Char"/>
    <w:basedOn w:val="201"/>
    <w:qFormat/>
    <w:uiPriority w:val="2"/>
    <w:rPr>
      <w:rFonts w:ascii="Arial" w:hAnsi="Arial" w:eastAsia="黑体" w:cs="Times New Roman"/>
      <w:szCs w:val="21"/>
    </w:rPr>
  </w:style>
  <w:style w:type="character" w:customStyle="1" w:styleId="291">
    <w:name w:val="文档结构图 Char"/>
    <w:basedOn w:val="201"/>
    <w:qFormat/>
    <w:uiPriority w:val="0"/>
    <w:rPr>
      <w:rFonts w:ascii="Times New Roman" w:hAnsi="Times New Roman" w:eastAsia="宋体" w:cs="Times New Roman"/>
      <w:szCs w:val="21"/>
      <w:shd w:val="clear" w:color="auto" w:fill="00007F"/>
    </w:rPr>
  </w:style>
  <w:style w:type="character" w:customStyle="1" w:styleId="292">
    <w:name w:val="批注文字 Char"/>
    <w:basedOn w:val="201"/>
    <w:qFormat/>
    <w:uiPriority w:val="0"/>
    <w:rPr>
      <w:rFonts w:ascii="Times New Roman" w:hAnsi="Times New Roman" w:eastAsia="宋体" w:cs="Times New Roman"/>
      <w:szCs w:val="21"/>
    </w:rPr>
  </w:style>
  <w:style w:type="character" w:customStyle="1" w:styleId="293">
    <w:name w:val="正文文本 3 Char"/>
    <w:basedOn w:val="201"/>
    <w:qFormat/>
    <w:uiPriority w:val="0"/>
    <w:rPr>
      <w:rFonts w:ascii="仿宋_GB2312" w:hAnsi="仿宋_GB2312" w:eastAsia="仿宋" w:cs="Times New Roman"/>
      <w:sz w:val="32"/>
      <w:szCs w:val="32"/>
    </w:rPr>
  </w:style>
  <w:style w:type="character" w:customStyle="1" w:styleId="294">
    <w:name w:val="正文文本 Char"/>
    <w:basedOn w:val="201"/>
    <w:qFormat/>
    <w:uiPriority w:val="0"/>
    <w:rPr>
      <w:rFonts w:ascii="楷体_GB2312" w:hAnsi="楷体_GB2312" w:eastAsia="楷体" w:cs="Times New Roman"/>
      <w:sz w:val="28"/>
      <w:szCs w:val="28"/>
    </w:rPr>
  </w:style>
  <w:style w:type="character" w:customStyle="1" w:styleId="295">
    <w:name w:val="正文文本缩进 Char"/>
    <w:basedOn w:val="201"/>
    <w:qFormat/>
    <w:uiPriority w:val="0"/>
    <w:rPr>
      <w:rFonts w:ascii="楷体_GB2312" w:hAnsi="楷体_GB2312" w:eastAsia="楷体" w:cs="Times New Roman"/>
      <w:sz w:val="32"/>
      <w:szCs w:val="32"/>
    </w:rPr>
  </w:style>
  <w:style w:type="character" w:customStyle="1" w:styleId="296">
    <w:name w:val="纯文本 Char"/>
    <w:basedOn w:val="201"/>
    <w:qFormat/>
    <w:uiPriority w:val="0"/>
    <w:rPr>
      <w:rFonts w:ascii="宋体" w:hAnsi="宋体" w:eastAsia="宋体" w:cs="Courier New"/>
      <w:szCs w:val="21"/>
    </w:rPr>
  </w:style>
  <w:style w:type="character" w:customStyle="1" w:styleId="297">
    <w:name w:val="日期 Char"/>
    <w:basedOn w:val="201"/>
    <w:qFormat/>
    <w:uiPriority w:val="2"/>
    <w:rPr>
      <w:rFonts w:ascii="Times New Roman" w:hAnsi="Times New Roman" w:eastAsia="宋体" w:cs="Times New Roman"/>
      <w:sz w:val="24"/>
      <w:szCs w:val="24"/>
    </w:rPr>
  </w:style>
  <w:style w:type="character" w:customStyle="1" w:styleId="298">
    <w:name w:val="正文文本缩进 2 Char"/>
    <w:basedOn w:val="201"/>
    <w:qFormat/>
    <w:uiPriority w:val="0"/>
    <w:rPr>
      <w:rFonts w:ascii="Arial" w:hAnsi="Arial" w:eastAsia="仿宋" w:cs="Arial"/>
      <w:sz w:val="32"/>
      <w:szCs w:val="32"/>
    </w:rPr>
  </w:style>
  <w:style w:type="character" w:customStyle="1" w:styleId="299">
    <w:name w:val="批注框文本 Char"/>
    <w:basedOn w:val="201"/>
    <w:qFormat/>
    <w:uiPriority w:val="0"/>
    <w:rPr>
      <w:rFonts w:ascii="Times New Roman" w:hAnsi="Times New Roman" w:eastAsia="宋体" w:cs="Times New Roman"/>
      <w:sz w:val="18"/>
      <w:szCs w:val="18"/>
    </w:rPr>
  </w:style>
  <w:style w:type="character" w:customStyle="1" w:styleId="300">
    <w:name w:val="页脚 Char"/>
    <w:basedOn w:val="201"/>
    <w:qFormat/>
    <w:uiPriority w:val="2"/>
    <w:rPr>
      <w:rFonts w:ascii="Times New Roman" w:hAnsi="Times New Roman" w:eastAsia="宋体" w:cs="Times New Roman"/>
      <w:sz w:val="18"/>
      <w:szCs w:val="18"/>
    </w:rPr>
  </w:style>
  <w:style w:type="character" w:customStyle="1" w:styleId="301">
    <w:name w:val="页眉 Char"/>
    <w:basedOn w:val="201"/>
    <w:qFormat/>
    <w:uiPriority w:val="2"/>
    <w:rPr>
      <w:rFonts w:ascii="Times New Roman" w:hAnsi="Times New Roman" w:eastAsia="宋体" w:cs="Times New Roman"/>
      <w:sz w:val="18"/>
      <w:szCs w:val="18"/>
    </w:rPr>
  </w:style>
  <w:style w:type="character" w:customStyle="1" w:styleId="302">
    <w:name w:val="正文文本缩进 3 Char"/>
    <w:basedOn w:val="201"/>
    <w:qFormat/>
    <w:uiPriority w:val="0"/>
    <w:rPr>
      <w:rFonts w:ascii="Arial" w:hAnsi="Arial" w:eastAsia="仿宋" w:cs="Arial"/>
      <w:color w:val="FFFF00"/>
      <w:sz w:val="32"/>
      <w:szCs w:val="32"/>
    </w:rPr>
  </w:style>
  <w:style w:type="character" w:customStyle="1" w:styleId="303">
    <w:name w:val="正文文本 2 Char"/>
    <w:basedOn w:val="201"/>
    <w:qFormat/>
    <w:uiPriority w:val="0"/>
    <w:rPr>
      <w:rFonts w:ascii="楷体_GB2312" w:hAnsi="楷体_GB2312" w:eastAsia="楷体" w:cs="Times New Roman"/>
      <w:sz w:val="28"/>
      <w:szCs w:val="28"/>
    </w:rPr>
  </w:style>
  <w:style w:type="character" w:customStyle="1" w:styleId="304">
    <w:name w:val="批注主题 Char"/>
    <w:basedOn w:val="201"/>
    <w:qFormat/>
    <w:uiPriority w:val="0"/>
    <w:rPr>
      <w:rFonts w:ascii="Times New Roman" w:hAnsi="Times New Roman" w:eastAsia="宋体" w:cs="Times New Roman"/>
      <w:b/>
      <w:szCs w:val="21"/>
    </w:rPr>
  </w:style>
  <w:style w:type="character" w:customStyle="1" w:styleId="305">
    <w:name w:val="正文首行缩进 Char"/>
    <w:basedOn w:val="201"/>
    <w:qFormat/>
    <w:uiPriority w:val="0"/>
    <w:rPr>
      <w:rFonts w:ascii="仿宋_GB2312" w:hAnsi="仿宋_GB2312" w:eastAsia="仿宋" w:cs="Times New Roman"/>
      <w:sz w:val="30"/>
      <w:szCs w:val="30"/>
    </w:rPr>
  </w:style>
  <w:style w:type="character" w:customStyle="1" w:styleId="306">
    <w:name w:val="正文首行缩进 2 Char"/>
    <w:basedOn w:val="201"/>
    <w:qFormat/>
    <w:uiPriority w:val="0"/>
    <w:rPr>
      <w:rFonts w:ascii="宋体" w:hAnsi="宋体" w:eastAsia="宋体" w:cs="Times New Roman"/>
      <w:sz w:val="32"/>
      <w:szCs w:val="20"/>
    </w:rPr>
  </w:style>
  <w:style w:type="character" w:customStyle="1" w:styleId="307">
    <w:name w:val="font5 Char"/>
    <w:basedOn w:val="201"/>
    <w:qFormat/>
    <w:uiPriority w:val="6"/>
    <w:rPr>
      <w:rFonts w:ascii="宋体" w:hAnsi="宋体" w:eastAsia="宋体"/>
      <w:sz w:val="28"/>
      <w:szCs w:val="28"/>
      <w:lang w:val="en-US" w:eastAsia="zh-CN" w:bidi="ar-SA"/>
    </w:rPr>
  </w:style>
  <w:style w:type="character" w:customStyle="1" w:styleId="308">
    <w:name w:val="二级目录 Char"/>
    <w:basedOn w:val="201"/>
    <w:qFormat/>
    <w:uiPriority w:val="0"/>
    <w:rPr>
      <w:b/>
      <w:sz w:val="30"/>
      <w:szCs w:val="28"/>
    </w:rPr>
  </w:style>
  <w:style w:type="character" w:customStyle="1" w:styleId="309">
    <w:name w:val="列出段落 Char"/>
    <w:basedOn w:val="201"/>
    <w:qFormat/>
    <w:uiPriority w:val="0"/>
    <w:rPr>
      <w:rFonts w:ascii="Calibri" w:hAnsi="Calibri"/>
      <w:sz w:val="24"/>
      <w:szCs w:val="24"/>
      <w:lang w:eastAsia="en-US" w:bidi="en-US"/>
    </w:rPr>
  </w:style>
  <w:style w:type="paragraph" w:customStyle="1" w:styleId="310">
    <w:name w:val="列表段落1"/>
    <w:basedOn w:val="1"/>
    <w:next w:val="1"/>
    <w:qFormat/>
    <w:uiPriority w:val="1"/>
    <w:pPr>
      <w:ind w:left="323" w:firstLine="420"/>
      <w:jc w:val="left"/>
    </w:pPr>
    <w:rPr>
      <w:rFonts w:ascii="宋体" w:hAnsi="宋体" w:cs="宋体"/>
      <w:sz w:val="22"/>
      <w:szCs w:val="22"/>
      <w:lang w:val="zh-CN" w:bidi="zh-CN"/>
    </w:rPr>
  </w:style>
  <w:style w:type="paragraph" w:customStyle="1" w:styleId="311">
    <w:name w:val="列出段落3"/>
    <w:basedOn w:val="1"/>
    <w:qFormat/>
    <w:uiPriority w:val="0"/>
    <w:pPr>
      <w:ind w:firstLine="420" w:firstLineChars="200"/>
    </w:pPr>
    <w:rPr>
      <w:rFonts w:ascii="Tahoma" w:hAnsi="Tahoma"/>
    </w:rPr>
  </w:style>
  <w:style w:type="character" w:customStyle="1" w:styleId="312">
    <w:name w:val="15"/>
    <w:basedOn w:val="201"/>
    <w:qFormat/>
    <w:uiPriority w:val="0"/>
    <w:rPr>
      <w:rFonts w:hint="eastAsia" w:ascii="宋体" w:hAnsi="宋体" w:eastAsia="宋体" w:cs="宋体"/>
      <w:color w:val="000000"/>
      <w:sz w:val="21"/>
      <w:szCs w:val="21"/>
    </w:rPr>
  </w:style>
  <w:style w:type="paragraph" w:customStyle="1" w:styleId="313">
    <w:name w:val="WPSOffice手动目录 1"/>
    <w:qFormat/>
    <w:uiPriority w:val="0"/>
    <w:rPr>
      <w:rFonts w:ascii="Arial" w:hAnsi="Arial" w:eastAsia="宋体" w:cs="Arial"/>
      <w:lang w:val="en-US" w:eastAsia="zh-CN" w:bidi="ar-SA"/>
    </w:rPr>
  </w:style>
  <w:style w:type="character" w:customStyle="1" w:styleId="314">
    <w:name w:val="批注文字 字符"/>
    <w:basedOn w:val="38"/>
    <w:link w:val="14"/>
    <w:qFormat/>
    <w:uiPriority w:val="99"/>
    <w:rPr>
      <w:rFonts w:eastAsia="宋体"/>
      <w:color w:val="000000"/>
      <w:sz w:val="21"/>
      <w:szCs w:val="21"/>
    </w:rPr>
  </w:style>
  <w:style w:type="character" w:customStyle="1" w:styleId="315">
    <w:name w:val="批注主题 字符"/>
    <w:basedOn w:val="314"/>
    <w:link w:val="35"/>
    <w:qFormat/>
    <w:uiPriority w:val="99"/>
    <w:rPr>
      <w:rFonts w:eastAsia="宋体"/>
      <w:b/>
      <w:bCs/>
      <w:color w:val="000000"/>
      <w:sz w:val="21"/>
      <w:szCs w:val="21"/>
    </w:rPr>
  </w:style>
  <w:style w:type="paragraph" w:customStyle="1" w:styleId="316">
    <w:name w:val="修订2"/>
    <w:qFormat/>
    <w:uiPriority w:val="99"/>
    <w:rPr>
      <w:rFonts w:ascii="Arial" w:hAnsi="Arial" w:eastAsia="宋体" w:cs="Arial"/>
      <w:color w:val="000000"/>
      <w:sz w:val="21"/>
      <w:szCs w:val="21"/>
      <w:lang w:val="en-US" w:eastAsia="zh-CN" w:bidi="ar-SA"/>
    </w:rPr>
  </w:style>
  <w:style w:type="character" w:customStyle="1" w:styleId="317">
    <w:name w:val="正文文本缩进 2 字符"/>
    <w:basedOn w:val="38"/>
    <w:link w:val="22"/>
    <w:qFormat/>
    <w:uiPriority w:val="99"/>
    <w:rPr>
      <w:rFonts w:eastAsia="宋体"/>
      <w:color w:val="000000"/>
      <w:sz w:val="21"/>
      <w:szCs w:val="21"/>
    </w:rPr>
  </w:style>
  <w:style w:type="table" w:customStyle="1" w:styleId="318">
    <w:name w:val="网格型1"/>
    <w:basedOn w:val="36"/>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19">
    <w:name w:val="font31"/>
    <w:basedOn w:val="38"/>
    <w:qFormat/>
    <w:uiPriority w:val="0"/>
    <w:rPr>
      <w:rFonts w:hint="eastAsia" w:ascii="宋体" w:hAnsi="宋体" w:eastAsia="宋体" w:cs="宋体"/>
      <w:color w:val="000000"/>
      <w:sz w:val="21"/>
      <w:szCs w:val="21"/>
      <w:u w:val="none"/>
    </w:rPr>
  </w:style>
  <w:style w:type="character" w:customStyle="1" w:styleId="320">
    <w:name w:val="font71"/>
    <w:basedOn w:val="38"/>
    <w:qFormat/>
    <w:uiPriority w:val="0"/>
    <w:rPr>
      <w:rFonts w:hint="default" w:ascii="Times New Roman" w:hAnsi="Times New Roman" w:cs="Times New Roman"/>
      <w:color w:val="000000"/>
      <w:sz w:val="21"/>
      <w:szCs w:val="21"/>
      <w:u w:val="none"/>
    </w:rPr>
  </w:style>
  <w:style w:type="character" w:customStyle="1" w:styleId="321">
    <w:name w:val="未处理的提及1"/>
    <w:basedOn w:val="38"/>
    <w:qFormat/>
    <w:uiPriority w:val="99"/>
    <w:rPr>
      <w:color w:val="605E5C"/>
      <w:shd w:val="clear" w:color="auto" w:fill="E1DFDD"/>
    </w:rPr>
  </w:style>
  <w:style w:type="paragraph" w:customStyle="1" w:styleId="322">
    <w:name w:val="Table Paragraph"/>
    <w:basedOn w:val="1"/>
    <w:qFormat/>
    <w:uiPriority w:val="1"/>
    <w:rPr>
      <w:rFonts w:ascii="Times New Roman" w:hAnsi="Times New Roman" w:cs="Times New Roman"/>
      <w:szCs w:val="24"/>
    </w:rPr>
  </w:style>
  <w:style w:type="character" w:customStyle="1" w:styleId="323">
    <w:name w:val="未处理的提及2"/>
    <w:basedOn w:val="38"/>
    <w:qFormat/>
    <w:uiPriority w:val="99"/>
    <w:rPr>
      <w:color w:val="605E5C"/>
      <w:shd w:val="clear" w:color="auto" w:fill="E1DFDD"/>
    </w:rPr>
  </w:style>
  <w:style w:type="paragraph" w:customStyle="1" w:styleId="324">
    <w:name w:val="修订3"/>
    <w:qFormat/>
    <w:uiPriority w:val="99"/>
    <w:rPr>
      <w:rFonts w:ascii="Arial" w:hAnsi="Arial" w:eastAsia="宋体" w:cs="Arial"/>
      <w:color w:val="000000"/>
      <w:sz w:val="21"/>
      <w:szCs w:val="21"/>
      <w:lang w:val="en-US" w:eastAsia="zh-CN" w:bidi="ar-SA"/>
    </w:rPr>
  </w:style>
  <w:style w:type="character" w:customStyle="1" w:styleId="325">
    <w:name w:val="未处理的提及3"/>
    <w:basedOn w:val="38"/>
    <w:qFormat/>
    <w:uiPriority w:val="99"/>
    <w:rPr>
      <w:color w:val="605E5C"/>
      <w:shd w:val="clear" w:color="auto" w:fill="E1DFDD"/>
    </w:rPr>
  </w:style>
  <w:style w:type="paragraph" w:customStyle="1" w:styleId="326">
    <w:name w:val="修订4"/>
    <w:qFormat/>
    <w:uiPriority w:val="99"/>
    <w:rPr>
      <w:rFonts w:ascii="Arial" w:hAnsi="Arial" w:eastAsia="宋体" w:cs="Arial"/>
      <w:color w:val="000000"/>
      <w:sz w:val="21"/>
      <w:szCs w:val="21"/>
      <w:lang w:val="en-US" w:eastAsia="zh-CN" w:bidi="ar-SA"/>
    </w:rPr>
  </w:style>
  <w:style w:type="character" w:customStyle="1" w:styleId="327">
    <w:name w:val="未处理的提及4"/>
    <w:basedOn w:val="38"/>
    <w:semiHidden/>
    <w:unhideWhenUsed/>
    <w:qFormat/>
    <w:uiPriority w:val="99"/>
    <w:rPr>
      <w:color w:val="605E5C"/>
      <w:shd w:val="clear" w:color="auto" w:fill="E1DFDD"/>
    </w:rPr>
  </w:style>
  <w:style w:type="table" w:customStyle="1" w:styleId="328">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68B38B-B3C2-4D5B-902F-8E738C4AC2F1}">
  <ds:schemaRefs/>
</ds:datastoreItem>
</file>

<file path=docProps/app.xml><?xml version="1.0" encoding="utf-8"?>
<Properties xmlns="http://schemas.openxmlformats.org/officeDocument/2006/extended-properties" xmlns:vt="http://schemas.openxmlformats.org/officeDocument/2006/docPropsVTypes">
  <Template>Normal</Template>
  <Pages>65</Pages>
  <Words>1380</Words>
  <Characters>1561</Characters>
  <Lines>184</Lines>
  <Paragraphs>52</Paragraphs>
  <TotalTime>88</TotalTime>
  <ScaleCrop>false</ScaleCrop>
  <LinksUpToDate>false</LinksUpToDate>
  <CharactersWithSpaces>1617</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2026-04-07T08:19:00Z</dcterms:created>
  <dc:creator>赵国</dc:creator>
  <cp:lastModifiedBy>Azaris.li</cp:lastModifiedBy>
  <cp:lastPrinted>2026-04-07T09:39:00Z</cp:lastPrinted>
  <dcterms:modified xsi:type="dcterms:W3CDTF">2026-04-17T00:51:58Z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15A273EAB59549758AD3EAEA9A39AD5A_13</vt:lpwstr>
  </property>
  <property fmtid="{D5CDD505-2E9C-101B-9397-08002B2CF9AE}" pid="4" name="KSOTemplateDocerSaveRecord">
    <vt:lpwstr>eyJoZGlkIjoiYzZkNzQ4ZWFiZmQ4NTRhOWRkZTk3YTMwMjlmMmZhYmUiLCJ1c2VySWQiOiI0NTEzMTQwNTMifQ==</vt:lpwstr>
  </property>
</Properties>
</file>