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南京交通职业技术学院</w:t>
      </w:r>
      <w:r/>
    </w:p>
    <w:p>
      <w:pPr>
        <w:ind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学生公寓F组团改造出新工程</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8"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20"/>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20" o:title=""/>
              </v:shape>
            </w:pict>
          </mc:Fallback>
        </mc:AlternateContent>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JSZC-320000-SNZX-G2026-0056</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采购人：南京交通职业技术学院</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日期：二〇二六年四月</w:t>
      </w:r>
      <w:r/>
    </w:p>
    <w:p>
      <w:pPr>
        <w:ind w:firstLine="723"/>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10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5000" w:type="pct"/>
            <w:textDirection w:val="lrTb"/>
            <w:noWrap w:val="false"/>
          </w:tcPr>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ind w:firstLine="480"/>
              <w:jc w:val="both"/>
              <w:rPr>
                <w:color w:val="000000" w:themeColor="text1"/>
                <w:highlight w:val="none"/>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学生公寓F组团改造出新工程</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14:textFill>
                  <w14:solidFill>
                    <w14:schemeClr w14:val="tx1"/>
                  </w14:solidFill>
                </w14:textFill>
              </w:rPr>
              <w:t xml:space="preserve">2026年5月22日9点00分</w:t>
            </w:r>
            <w:r>
              <w:rPr>
                <w:rFonts w:hint="eastAsia"/>
                <w:color w:val="000000" w:themeColor="text1"/>
                <w:highlight w:val="none"/>
                <w14:textFill>
                  <w14:solidFill>
                    <w14:schemeClr w14:val="tx1"/>
                  </w14:solidFill>
                </w14:textFill>
              </w:rPr>
              <w:t xml:space="preserve">（北京时间）前递交投标文件。</w:t>
            </w:r>
            <w:r/>
          </w:p>
        </w:tc>
      </w:tr>
    </w:tbl>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JSZC-320000-SNZX-G2026-0056</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学生公寓F组团改造出新工程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预算金额：240.005102万元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最高限价：240.005102万元，报价超过最高限价的视为无效投标。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采购需求：为提升学生公寓使用功能与环境品质，现计划对学生公寓F组团进行出新改造。本项目旨在通过规范的施工，达成安全、环保、美观、耐用的整体效果。具体详见招标文件、工程量清单。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合同履行期限：35个日历日。开工日期以采购人书面通知为准。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①2024年度或2025年度的经第三方会计师事务所审计的财务报告扫描件（包括报告及报表等内容，并由注册会计师签名、盖章以及会计师事务所盖章）；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宋体" w:hAnsi="宋体"/>
          <w:color w:val="000000" w:themeColor="text1"/>
          <w:highlight w:val="none"/>
          <w14:textFill>
            <w14:solidFill>
              <w14:schemeClr w14:val="tx1"/>
            </w14:solidFill>
          </w14:textFill>
        </w:rPr>
        <w:t xml:space="preserve">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（1）投标人具有建筑工程施工总承包</w:t>
      </w:r>
      <w:r>
        <w:rPr>
          <w:rFonts w:hint="eastAsia"/>
          <w:color w:val="000000" w:themeColor="text1"/>
          <w:highlight w:val="none"/>
          <w:lang w:val="en-US" w:eastAsia="zh-CN"/>
          <w14:textFill>
            <w14:solidFill>
              <w14:schemeClr w14:val="tx1"/>
            </w14:solidFill>
          </w14:textFill>
        </w:rPr>
        <w:t xml:space="preserve">三级</w:t>
      </w:r>
      <w:r>
        <w:rPr>
          <w:rFonts w:hint="eastAsia"/>
          <w:color w:val="000000" w:themeColor="text1"/>
          <w:highlight w:val="none"/>
          <w14:textFill>
            <w14:solidFill>
              <w14:schemeClr w14:val="tx1"/>
            </w14:solidFill>
          </w14:textFill>
        </w:rPr>
        <w:t xml:space="preserve">及以上资质并取得安全生产许可证。（提供有效的资质证书及安全生产许可证扫描件加盖公章）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项目负责人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14:textFill>
            <w14:solidFill>
              <w14:schemeClr w14:val="tx1"/>
            </w14:solidFill>
          </w14:textFill>
        </w:rPr>
        <w:t xml:space="preserve">江苏政府采购网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售价：0元</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提交投标文件截止时间、开标时间：</w:t>
      </w:r>
      <w:r>
        <w:rPr>
          <w:rFonts w:hint="eastAsia"/>
          <w:color w:val="000000" w:themeColor="text1"/>
          <w:highlight w:val="none"/>
          <w:u w:val="single"/>
          <w14:textFill>
            <w14:solidFill>
              <w14:schemeClr w14:val="tx1"/>
            </w14:solidFill>
          </w14:textFill>
        </w:rPr>
        <w:t xml:space="preserve">2026年5月22日9点00分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1.本项目标的所属行业：建筑业。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3.拒绝下述投标人参加本次采购活动：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现场</w:t>
      </w:r>
      <w:r>
        <w:rPr>
          <w:rFonts w:hint="eastAsia"/>
          <w:color w:val="000000" w:themeColor="text1"/>
          <w:highlight w:val="none"/>
          <w14:textFill>
            <w14:solidFill>
              <w14:schemeClr w14:val="tx1"/>
            </w14:solidFill>
          </w14:textFill>
        </w:rPr>
        <w:t xml:space="preserve">考察或答疑：供应商可</w:t>
      </w:r>
      <w:r>
        <w:rPr>
          <w:rFonts w:hint="eastAsia"/>
          <w:color w:val="000000" w:themeColor="text1"/>
          <w:highlight w:val="none"/>
          <w:lang w:val="en-US" w:eastAsia="zh-CN"/>
          <w14:textFill>
            <w14:solidFill>
              <w14:schemeClr w14:val="tx1"/>
            </w14:solidFill>
          </w14:textFill>
        </w:rPr>
        <w:t xml:space="preserve">在下述时间段内</w:t>
      </w:r>
      <w:r>
        <w:rPr>
          <w:rFonts w:hint="eastAsia"/>
          <w:color w:val="000000" w:themeColor="text1"/>
          <w:highlight w:val="none"/>
          <w14:textFill>
            <w14:solidFill>
              <w14:schemeClr w14:val="tx1"/>
            </w14:solidFill>
          </w14:textFill>
        </w:rPr>
        <w:t xml:space="preserve">自行联系采购人</w:t>
      </w:r>
      <w:r>
        <w:rPr>
          <w:rFonts w:hint="eastAsia"/>
          <w:color w:val="000000" w:themeColor="text1"/>
          <w:highlight w:val="none"/>
          <w:lang w:val="en-US" w:eastAsia="zh-CN"/>
          <w14:textFill>
            <w14:solidFill>
              <w14:schemeClr w14:val="tx1"/>
            </w14:solidFill>
          </w14:textFill>
        </w:rPr>
        <w:t xml:space="preserve">进行</w:t>
      </w:r>
      <w:r>
        <w:rPr>
          <w:rFonts w:hint="eastAsia"/>
          <w:color w:val="000000" w:themeColor="text1"/>
          <w:highlight w:val="none"/>
          <w14:textFill>
            <w14:solidFill>
              <w14:schemeClr w14:val="tx1"/>
            </w14:solidFill>
          </w14:textFill>
        </w:rPr>
        <w:t xml:space="preserve">勘察。未踏勘现场或踏勘工作不详细的供应商中标后，不得以不完全了解现场情况为理由而向采购人提出任何索赔或其他要求，对此采购人不承担任何责任并将不作任何答复。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（1）时间：2026年5月6日至2026年5月12日；9:00-11:00，14:00-16:00（工作日）；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（2）勘查现场请一律从学校西南门进入；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bookmarkStart w:id="0" w:name="OLE_LINK1"/>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王</w:t>
      </w:r>
      <w:r>
        <w:rPr>
          <w:rFonts w:hint="eastAsia"/>
          <w:color w:val="000000" w:themeColor="text1"/>
          <w:highlight w:val="none"/>
          <w14:textFill>
            <w14:solidFill>
              <w14:schemeClr w14:val="tx1"/>
            </w14:solidFill>
          </w14:textFill>
        </w:rPr>
        <w:t xml:space="preserve">老师，联系电话：025-86174605；</w:t>
      </w:r>
      <w:bookmarkEnd w:id="0"/>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（4）地点：南京市江宁区龙眠大道629号。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5.公告媒体</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（1）本公告在江苏政府采购网（http://www.ccgp-jiangsu.gov.cn/）发布，敬请各投标人关注；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6.采购项目需要落实的政府采购政策：本项目执行《政府采购促进中小企业发展管理办法》《关于政府采购支持监狱企业发展有关问题的通知》《关于促进残疾人就业政府采购政策的通知》等政府采购文件。</w:t>
      </w:r>
      <w:bookmarkStart w:id="36" w:name="_GoBack"/>
      <w:r/>
      <w:bookmarkEnd w:id="36"/>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南京交通职业技术学院2026年学生公寓改造出新工程</w:t>
      </w:r>
      <w:r>
        <w:rPr>
          <w:rFonts w:hint="eastAsia"/>
          <w:color w:val="000000" w:themeColor="text1"/>
          <w:highlight w:val="none"/>
          <w:lang w:val="en-US" w:eastAsia="zh-CN"/>
          <w14:textFill>
            <w14:solidFill>
              <w14:schemeClr w14:val="tx1"/>
            </w14:solidFill>
          </w14:textFill>
        </w:rPr>
        <w:t xml:space="preserve">共划分为四个采购项目（分别为：学生公寓A组团改造出新工程、学生公寓B组团改造出新工程、学生公寓F组团改造出新工程、学生公寓I栋改造出新工程），本次招标为学生公寓F组团改造出新工程。投标人可参与任意项目或全部项目投标，为保障项目工期及施工效果，参与两个及以上项目投标的投标人仅可中标一个项目。四个项目依照开标时间顺序依次开标，同时参与多个项目投标的投标人，若在先开标的项目中已被推荐为第一中标候选人，可继续参与其余项目的评审，但不再被推选为其他项目的中标候选人。</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地址：南京市江宁区龙眠大道629号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联系方式：环老师025-86115701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联系方式：张薇、蒋毅025-84207240、025-83616261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项目联系人：张薇、蒋毅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《中华人民共和国政府采购法》《中华人民共和国政府采购法实施条例》等有关法律、规章和规定等。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2.3“供应商”“投标人”是指向采购人提供货物、工程或者服务的法人、其他组织或者自然人。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2.4“货物”是指各种形态和种类的物品，包括原材料、燃料、设备、产品等。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2.5“工程”是指建设工程，包括建筑物和构筑物的新建、改建、扩建、装修、拆除、修缮等。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2.6“服务”是指除货物和工程以外的其他政府采购对象。</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未按要求提供相关材料的，不享受相关政策。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招标的最小单位是采购包。招标工程数量及技术要求中未划分采购包的，投标人对要求提供的工程不得部分投标；招标工程数量及技术要求中已经分包的，应当以采购包为单位投标。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投标人应在投标截止时间前关注原采购信息发布媒体上有关本招标项目有无更正公告。</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投标文件应字迹清楚、内容齐全、不得涂改。如有修改，修改处须有法定代表人签字或盖章，或授权委托人签字或加盖投标人公章。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7.7 投标人所使用的技术标准应遵循国家最新标准及规范。</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代理服务费参照国家计划委员会计价格〔2002〕1980号文取费标准60%计算，若计算标准低于3500元的，则按3500元支付。由中标人在领取中标（成交）通知书前向采购代理机构支付，本项费用无需在报价表中单列。</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10.3 投标文件由商务部分、技术部分、价格部分，以及其他部分组成，格式见第六章。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（2）★法定代表人授权委托书、授权委托人的身份证扫描件及投标人或分支机构为其缴纳的社保证明（有授权委托的），或法定代表人身份证扫描件（无授权委托的）；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技术部分是证明投标人提供的工程是合格的、并符合招标文件要求的证明文件，以及对提供的工程的详细说明，这些文件可以是文字资料、图纸和数据等。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提供的工程的技术指标如与招标文件要求有不符之处，应说明其差别之所在，并在《技术条款偏离表》中逐条予以说明。</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13.1所有投标均以人民币报价，应包括国家规定的税金。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14:textFill>
            <w14:solidFill>
              <w14:schemeClr w14:val="tx1"/>
            </w14:solidFill>
          </w14:textFill>
        </w:rPr>
        <w:t xml:space="preserve">投标有效期未达到规定期限的，按无效投标处理。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18.1 投标人应当按照《操作手册》规定，在招标公告规定的投标截止时间前制作并上传电子投标文件。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18.2 投标人应充分考虑网络环境、网络带宽等因素可能对投标产生的影响，如因投标人自身原因造成的电子投标文件上传不成功的，按做无效投标处理。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投标文件的撤回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20.1.1 投标人可在投标截止时间前撤回其电子投标文件，具体操作方法见《操作手册》。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20.1.2 投标人撤回电子投标文件，则认为其不再参与本项目投标活动。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 投标文件的修改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20.2.1 投标人可在投标截止时间前对其电子投标文件进行修改，具体操作方法见《操作手册》。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20.2.2 投标截止时间之后，投标人不得对其电子投标文件作任何修改。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20.3 在投标截止时间至招标文件中规定的投标有效期满之间的这段时间内，投标人不得撤回其投标。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 投标人在开标过程中涉及到的投标文件解密、开标结果确认等工作，应按照《操作手册》规定执行。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21.3 投标人如果对开标过程和开标结果有疑义，应当根据《操作手册》规定提出，苏采云系统中《开标记录表》公布后5分钟内未提出的，视同认可开标结果。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21.4 如出现投标截止时间结束后参加投标的投标人不足三家的情况，不得开标。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22.2.1.1采购人代表依法对投标人的资格进行审查。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22.2.1.2采购人代表依据法律法规和招标文件的规定，对投标文件中的资格证明文件等进行审查，以确定投标人是否具备投标资格。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22.2.2.1评标委员会将依据法律法规和招标文件的规定，对投标文件的有效性、完整性和对招标文件的响应程度进行审查，以确定是否对招标文件的实质性要求作出响应。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22.2.2.4 算术错误的修正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22.2.2.4.1 评标委员会将对确定为实质性响应的投标进行进一步审核，看其是否有计算上或累加上的算术错误，修正错误的原则如下：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22.2.2.4.2 评标委员会将按上述修正错误的方法调整投标文件中的投标报价，并通过苏采云系统告知投标人。经投标人确认后产生约束力，投标人不确认的，其投标无效。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22.2.2.5 异常低价审查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22.2.2.5.1 评标过程中出现下列情形之一的，评标委员会应当启动异常低价投标审查程序：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（1）投标报价低于全部通过符合性审查投标人投标报价平均值50%的，即投标报价&lt;全部通过符合性审查投标人投标报价平均值×50%；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（2）投标报价低于通过符合性审查的次低报价投标人投标报价50%的，即投标报价&lt;通过符合性审查的次低报价投标人投标报价×50%；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（3）投标报价低于采购项目最高限价45%的，即投标报价&lt;采购项目最高限价×45%；</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（4）评标委员会基于专业判断，认为投标人报价过低，有可能影响产品质量或者不能诚信履约的其他情形。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22.2.2.5.2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22.2.2.6 投标文件有下列情况之一的，在符合性审查时按照无效投标处理：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（9）不同投标人的负责人为同一人或者存在控股、管理关系的；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（10）不同投标人的授权委托人（或法定代表人、项目经理、项目总监、项目负责人等）在招标文件发布日上月至投标截止日当月在同一单位缴纳社会保险的；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（11）未实质性响应招标文件要求的；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（12）属于投标邀请中拒绝参加本次采购活动投标人的；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（13）投标文件含有采购人不能接受的附加条件的；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（14）评标委员会启动异常低价投标审查程序后，投标人不能提供书面说明、证明材料，或者提供的书面说明、证明材料不能证明其报价合理性的；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（15）投标文件未按照招标文件要求加盖电子公章；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（16）改变招标文件提供的工程量清单中的项目编码、项目名称、项目特征、计量单位、工程量的；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（17）改变招标文件规定的暂估价、暂列金额及甲供材料价格的；（若有）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（18）改变招标文件明确列出的不可竞争费用项目或费率或计算基础的；（若有）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（19）不符合法律法规和招标文件规定的其他无效情形。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22.2.2.7 有下列情形之一的予以废标，同时将废标理由通知所有投标人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（5）评标委员会认为招标文件存在歧义、重大缺陷，或者招标文件内容违反国家有关强制性规定的；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（7）因苏采云系统故障造成开标不成功。</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如出现（1）或（4）情形，招标活动失败，评审委员会应对招标文件是否存在不合理条款进行论证，并在评审报告中写明论证意见。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22.2.2.8 投标截止时间结束参加投标的投标人不足三家的处理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22.2.2.9 未通过资格审查或符合性审查的投标人，采购代理机构将通过苏采云系统告知其具体原因，评标结束后不再接受有关询问。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22.2.2.10 </w:t>
      </w:r>
      <w:r>
        <w:rPr>
          <w:color w:val="000000" w:themeColor="text1"/>
          <w:highlight w:val="none"/>
          <w14:textFill>
            <w14:solidFill>
              <w14:schemeClr w14:val="tx1"/>
            </w14:solidFill>
          </w14:textFill>
        </w:rPr>
        <w:t xml:space="preserve">投标人在开、评标全过程中应保持通讯畅通，及时登录苏采云系统查阅、答复相关信息，并安排专人与交易中心及评委会联系。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22.2.3.1评标委员会将允许修正投标文件中不构成重大偏离的、微小的、非正规的、不一致的或不规则的地方，但这些修改不能影响任何投标人相应的名次排列。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22.2.3.2 澄清有关问题。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22.2.3.2.1 对于投标文件中含义不明确、同类问题表述不一致或者有明显文字和计算错误的内容，评标委员会</w:t>
      </w:r>
      <w:r>
        <w:rPr>
          <w:rFonts w:hint="eastAsia" w:ascii="宋体" w:hAnsi="宋体" w:cs="Times New Roman"/>
          <w:color w:val="000000" w:themeColor="text1"/>
          <w:highlight w:val="none"/>
          <w:lang w:val="zh-CN"/>
          <w14:textFill>
            <w14:solidFill>
              <w14:schemeClr w14:val="tx1"/>
            </w14:solidFill>
          </w14:textFill>
        </w:rPr>
        <w:t xml:space="preserve">将通过苏采云系统向</w:t>
      </w:r>
      <w:r>
        <w:rPr>
          <w:rFonts w:hint="eastAsia" w:ascii="宋体" w:hAnsi="宋体" w:cs="Times New Roman"/>
          <w:color w:val="000000" w:themeColor="text1"/>
          <w:highlight w:val="none"/>
          <w14:textFill>
            <w14:solidFill>
              <w14:schemeClr w14:val="tx1"/>
            </w14:solidFill>
          </w14:textFill>
        </w:rPr>
        <w:t xml:space="preserve">投标人</w:t>
      </w:r>
      <w:r>
        <w:rPr>
          <w:rFonts w:hint="eastAsia" w:ascii="宋体" w:hAnsi="宋体" w:cs="Times New Roman"/>
          <w:color w:val="000000" w:themeColor="text1"/>
          <w:highlight w:val="none"/>
          <w:lang w:val="zh-CN"/>
          <w14:textFill>
            <w14:solidFill>
              <w14:schemeClr w14:val="tx1"/>
            </w14:solidFill>
          </w14:textFill>
        </w:rPr>
        <w:t xml:space="preserve">发出《澄清要求函》，接到《澄清要求函》的</w:t>
      </w:r>
      <w:r>
        <w:rPr>
          <w:rFonts w:hint="eastAsia" w:ascii="宋体" w:hAnsi="宋体" w:cs="Times New Roman"/>
          <w:color w:val="000000" w:themeColor="text1"/>
          <w:highlight w:val="none"/>
          <w14:textFill>
            <w14:solidFill>
              <w14:schemeClr w14:val="tx1"/>
            </w14:solidFill>
          </w14:textFill>
        </w:rPr>
        <w:t xml:space="preserve">投标人</w:t>
      </w:r>
      <w:r>
        <w:rPr>
          <w:rFonts w:hint="eastAsia" w:ascii="宋体" w:hAnsi="宋体" w:cs="Times New Roman"/>
          <w:color w:val="000000" w:themeColor="text1"/>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22.2.3.2.2 接到评标委员会澄清、说明和补正要求的，投标人如未按规定作出澄清、说明和补正，其风险由投标人自行承担。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22.2.3.3 比较与评价。评标委员会应当按照招标文件中规定的评标方法和标准，对符合性审查合格的投标文件进行商务和技术评估，综合比较与评价。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采用综合评分法，是指投标文件满足招标文件全部实质性要求，且按照评审因素的量化指标评审得分最高的投标人为中标候选人的评标方法。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评审因素和评审标准详见招标文件第三章。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按以下第（2）种方式确定中标人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w:t>
      </w:r>
      <w:bookmarkStart w:id="1" w:name="OLE_LINK10"/>
      <w:r>
        <w:rPr>
          <w:rFonts w:hint="eastAsia"/>
          <w:color w:val="000000" w:themeColor="text1"/>
          <w:highlight w:val="none"/>
          <w14:textFill>
            <w14:solidFill>
              <w14:schemeClr w14:val="tx1"/>
            </w14:solidFill>
          </w14:textFill>
        </w:rPr>
        <w:t xml:space="preserve">购人授权</w:t>
      </w:r>
      <w:bookmarkEnd w:id="1"/>
      <w:r>
        <w:rPr>
          <w:rFonts w:hint="eastAsia"/>
          <w:color w:val="000000" w:themeColor="text1"/>
          <w:highlight w:val="none"/>
          <w14:textFill>
            <w14:solidFill>
              <w14:schemeClr w14:val="tx1"/>
            </w14:solidFill>
          </w14:textFill>
        </w:rPr>
        <w:t xml:space="preserve">评标委员会直接确定排名第一的中标候选人为中标人。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bookmarkStart w:id="2" w:name="OLE_LINK2"/>
      <w:r/>
      <w:bookmarkStart w:id="3" w:name="OLE_LINK3"/>
      <w:r/>
      <w:bookmarkStart w:id="4" w:name="OLE_LINK4"/>
      <w:r/>
      <w:bookmarkStart w:id="5" w:name="OLE_LINK5"/>
      <w:r>
        <w:rPr>
          <w:rFonts w:hint="eastAsia"/>
          <w:color w:val="000000" w:themeColor="text1"/>
          <w:highlight w:val="none"/>
          <w14:textFill>
            <w14:solidFill>
              <w14:schemeClr w14:val="tx1"/>
            </w14:solidFill>
          </w14:textFill>
        </w:rPr>
        <w:t xml:space="preserve">采购人在</w:t>
      </w:r>
      <w:bookmarkStart w:id="6" w:name="OLE_LINK7"/>
      <w:r/>
      <w:bookmarkStart w:id="7" w:name="OLE_LINK6"/>
      <w:r>
        <w:rPr>
          <w:rFonts w:hint="eastAsia"/>
          <w:color w:val="000000" w:themeColor="text1"/>
          <w:highlight w:val="none"/>
          <w14:textFill>
            <w14:solidFill>
              <w14:schemeClr w14:val="tx1"/>
            </w14:solidFill>
          </w14:textFill>
        </w:rPr>
        <w:t xml:space="preserve">评标委员会推荐的中标候选人</w:t>
      </w:r>
      <w:bookmarkStart w:id="8" w:name="OLE_LINK9"/>
      <w:r/>
      <w:bookmarkStart w:id="9" w:name="OLE_LINK8"/>
      <w:r>
        <w:rPr>
          <w:rFonts w:hint="eastAsia"/>
          <w:color w:val="000000" w:themeColor="text1"/>
          <w:highlight w:val="none"/>
          <w14:textFill>
            <w14:solidFill>
              <w14:schemeClr w14:val="tx1"/>
            </w14:solidFill>
          </w14:textFill>
        </w:rPr>
        <w:t xml:space="preserve">中按顺序确定中标人</w:t>
      </w:r>
      <w:bookmarkEnd w:id="2"/>
      <w:r/>
      <w:bookmarkEnd w:id="3"/>
      <w:r/>
      <w:bookmarkEnd w:id="8"/>
      <w:r/>
      <w:bookmarkEnd w:id="9"/>
      <w:r>
        <w:rPr>
          <w:rFonts w:hint="eastAsia"/>
          <w:color w:val="000000" w:themeColor="text1"/>
          <w:highlight w:val="none"/>
          <w14:textFill>
            <w14:solidFill>
              <w14:schemeClr w14:val="tx1"/>
            </w14:solidFill>
          </w14:textFill>
        </w:rPr>
        <w:t xml:space="preserve">。</w:t>
      </w:r>
      <w:bookmarkEnd w:id="4"/>
      <w:r/>
      <w:bookmarkEnd w:id="5"/>
      <w:r/>
      <w:bookmarkEnd w:id="6"/>
      <w:r/>
      <w:bookmarkEnd w:id="7"/>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中标候选人并列的，由采购人或者采购人委托评标委员会按照技术指标优劣的方式确定中标人，技术指标优劣相同的，采取随机抽取的方式确定。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23.8 多项目同一项目负责人拟中标的处理</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企业应当慎重考虑选派一名项目负责人同时参加多个工程项目投标竞争的数量。其所选派的项目负责人在多个工程项目均为拟中标人的，企业经采购人同意可放弃某项目中标；未放弃的，拟按照不同工程项目中标人公告时间先后，担任本企业最先中标项目的项目负责人。后确定该企业为中标人的工程项目的采购人拟应当取消其中标资格。</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质疑供应商的质疑行为应符合财政部94号令相关规定，未参加采购活动的投标人或在采购活动中自身权益未受到损害的投标人所提出的质疑不予受理。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质疑供应商在法定质疑期内应当一次性提出针对同一招标环节的质疑事项。</w:t>
      </w:r>
      <w:r>
        <w:rPr>
          <w:rFonts w:hint="eastAsia" w:ascii="宋体" w:hAnsi="宋体" w:cs="Times New Roman"/>
          <w:color w:val="000000" w:themeColor="text1"/>
          <w:highlight w:val="none"/>
          <w14:textFill>
            <w14:solidFill>
              <w14:schemeClr w14:val="tx1"/>
            </w14:solidFill>
          </w14:textFill>
        </w:rPr>
        <w:t xml:space="preserve">质疑供应商</w:t>
      </w:r>
      <w:r>
        <w:rPr>
          <w:rFonts w:hint="eastAsia" w:ascii="宋体" w:hAnsi="宋体" w:cs="Times New Roman"/>
          <w:color w:val="000000" w:themeColor="text1"/>
          <w:highlight w:val="none"/>
          <w:lang w:val="zh-CN"/>
          <w14:textFill>
            <w14:solidFill>
              <w14:schemeClr w14:val="tx1"/>
            </w14:solidFill>
          </w14:textFill>
        </w:rPr>
        <w:t xml:space="preserve">如在法定期限内对同一采购程序环节提出多次质疑的，</w:t>
      </w:r>
      <w:r>
        <w:rPr>
          <w:rFonts w:hint="eastAsia" w:ascii="宋体" w:hAnsi="宋体" w:cs="Times New Roman"/>
          <w:color w:val="000000" w:themeColor="text1"/>
          <w:highlight w:val="none"/>
          <w14:textFill>
            <w14:solidFill>
              <w14:schemeClr w14:val="tx1"/>
            </w14:solidFill>
          </w14:textFill>
        </w:rPr>
        <w:t xml:space="preserve">采购代理机构或采购人</w:t>
      </w:r>
      <w:r>
        <w:rPr>
          <w:rFonts w:hint="eastAsia" w:ascii="宋体" w:hAnsi="宋体" w:cs="Times New Roman"/>
          <w:color w:val="000000" w:themeColor="text1"/>
          <w:highlight w:val="none"/>
          <w:lang w:val="zh-CN"/>
          <w14:textFill>
            <w14:solidFill>
              <w14:schemeClr w14:val="tx1"/>
            </w14:solidFill>
          </w14:textFill>
        </w:rPr>
        <w:t xml:space="preserve">将只对</w:t>
      </w:r>
      <w:r>
        <w:rPr>
          <w:rFonts w:hint="eastAsia" w:ascii="宋体" w:hAnsi="宋体" w:cs="Times New Roman"/>
          <w:color w:val="000000" w:themeColor="text1"/>
          <w:highlight w:val="none"/>
          <w14:textFill>
            <w14:solidFill>
              <w14:schemeClr w14:val="tx1"/>
            </w14:solidFill>
          </w14:textFill>
        </w:rPr>
        <w:t xml:space="preserve">质疑供应商</w:t>
      </w:r>
      <w:r>
        <w:rPr>
          <w:rFonts w:hint="eastAsia" w:ascii="宋体" w:hAnsi="宋体" w:cs="Times New Roman"/>
          <w:color w:val="000000" w:themeColor="text1"/>
          <w:highlight w:val="none"/>
          <w:lang w:val="zh-CN"/>
          <w14:textFill>
            <w14:solidFill>
              <w14:schemeClr w14:val="tx1"/>
            </w14:solidFill>
          </w14:textFill>
        </w:rPr>
        <w:t xml:space="preserve">第一次质疑作出答复。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质疑供应商对代理机构的答复不满意，或代理机构未在规定的时间内作出答复的，可以在答复期满后十五个工作日内向采购项目同级财政部门投诉。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投标人应自觉遵守开标、评标纪律，扰乱开标评标现场秩序的，属于失信行为，采购人或采购代理机构有权上报相关部门，并由相关部门按有关规定进行处理。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评标方法与评标标准</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一、评标方法与定标原则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1.评标方法：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2.定标原则：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二、综合评分标准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评标委员会将按下列评分具体办法和标准进行打分，总分值为100分。具体评分因素及评分明细如下：</w:t>
      </w:r>
      <w:r/>
    </w:p>
    <w:tbl>
      <w:tblPr>
        <w:tblStyle w:val="10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1054"/>
        <w:gridCol w:w="5837"/>
        <w:gridCol w:w="893"/>
      </w:tblGrid>
      <w:tr>
        <w:trPr>
          <w:trHeight w:val="304"/>
        </w:trPr>
        <w:tc>
          <w:tcPr>
            <w:tcW w:w="693"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项目</w:t>
            </w:r>
            <w:r/>
          </w:p>
        </w:tc>
        <w:tc>
          <w:tcPr>
            <w:gridSpan w:val="2"/>
            <w:tcW w:w="3812"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评</w:t>
            </w:r>
            <w:r>
              <w:rPr>
                <w:rFonts w:hint="eastAsia" w:asciiTheme="minorEastAsia" w:hAnsiTheme="minorEastAsia" w:eastAsiaTheme="minorEastAsia" w:cstheme="minorEastAsia"/>
                <w:b/>
                <w:color w:val="000000" w:themeColor="text1"/>
                <w:highlight w:val="none"/>
                <w:lang w:bidi="zh-CN"/>
                <w14:textFill>
                  <w14:solidFill>
                    <w14:schemeClr w14:val="tx1"/>
                  </w14:solidFill>
                </w14:textFill>
              </w:rPr>
              <w:t xml:space="preserve">审</w:t>
            </w: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细则</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分值</w:t>
            </w:r>
            <w:r/>
          </w:p>
        </w:tc>
      </w:tr>
      <w:tr>
        <w:trPr>
          <w:trHeight w:val="90"/>
        </w:trPr>
        <w:tc>
          <w:tcPr>
            <w:tcW w:w="69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bookmarkStart w:id="10" w:name="OLE_LINK11"/>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价格分</w:t>
            </w:r>
            <w:r/>
          </w:p>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30</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c>
          <w:tcPr>
            <w:gridSpan w:val="2"/>
            <w:tcW w:w="3812"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30。（小数点后保留两位）</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30分</w:t>
            </w:r>
            <w:bookmarkEnd w:id="10"/>
            <w:r/>
            <w:r/>
          </w:p>
        </w:tc>
      </w:tr>
      <w:tr>
        <w:trPr>
          <w:trHeight w:val="90"/>
        </w:trPr>
        <w:tc>
          <w:tcPr>
            <w:tcW w:w="693" w:type="pct"/>
            <w:vAlign w:val="center"/>
            <w:vMerge w:val="restart"/>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技术部分</w:t>
            </w:r>
            <w:r/>
          </w:p>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45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项目实施总体方案</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评委根据供应商提供的项目实施总体方案</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及对农民工工资与材料款发放措施</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表述的清晰性、全面性、合理性、科学性、可行性及针对性等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方案内容清晰、全面、合理、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清晰、</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较科学</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方案内容清晰性、全面性、合理性、科学性、可行性及针对性一般的得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施工进度计划和进度的保证措施</w:t>
            </w:r>
            <w:r/>
          </w:p>
        </w:tc>
        <w:tc>
          <w:tcPr>
            <w:tcW w:w="3229" w:type="pct"/>
            <w:vAlign w:val="center"/>
            <w:textDirection w:val="lrTb"/>
            <w:noWrap/>
          </w:tcPr>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评委根据供应商针对本项目提供各进度节点与工期保证措施的清晰性、施工进度计划编制的完整性、合理性及可行性等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方案内容清晰、完整、合理、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清晰、</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完整、</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较可行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方案内容清晰性、完整性、合理性及可行性一般的得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203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施工质量保证措施</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评委根据供应商提供的施工质量控制措施、质量保证体系及分部分项工程施工过程质量控制的科学性、合理性、全面性、可行性、有效性及采用新技术、新工艺的可靠性等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方案内容科学、合理、全面、可行、有效且可靠的得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有效且</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可靠的得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方案内容科学性、合理性、全面性、可行性、有效性及可靠性</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45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bidi="zh-CN"/>
                <w14:textFill>
                  <w14:solidFill>
                    <w14:schemeClr w14:val="tx1"/>
                  </w14:solidFill>
                </w14:textFill>
              </w:rPr>
              <w:t xml:space="preserve">施工</w:t>
            </w: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现场管理方案</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评委根据供应商提供的针对本项目</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施工</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现场管理的科学性、规范性、全面性、可行性及合理性等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方案内容科学、规范、全面、可行、合理的得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规范、</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方案内容科学性、规范性、全面性、可行性及合理性</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内容简单、粗糙</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安全文明施工措施</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评委根据供应商提供的针对本项目安全文明施工（</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包括但不限于</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施工人员指定工作服、施工区域围护、持证上岗等</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）采取措施的规范性、全面性、合理性、针对性、具体性、可靠性，以及操作规程科学性等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方案内容规范、全面、合理、具体、可靠、有针对性的得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规范、</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具体、</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可靠、</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方案内容规范性、全面性、合理性、针对性、具体性、可靠性以及科学性一般的得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2"/>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难点、重点及合理化建议</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评委根据供应商针对本项目关键施工技术的难点、重点的分析及针对性合理化建议（措施）的科学性、可行性、全面性、针对性及有效性等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方案内容科学、有效、全面、可行、有针对性的得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有效、</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方案内容科学性、可行性、全面性、针对性及有效性一般的得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45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bidi="zh-CN"/>
                <w14:textFill>
                  <w14:solidFill>
                    <w14:schemeClr w14:val="tx1"/>
                  </w14:solidFill>
                </w14:textFill>
              </w:rPr>
              <w:t xml:space="preserve">机</w:t>
            </w:r>
            <w:bookmarkStart w:id="11" w:name="OLE_LINK12"/>
            <w:r/>
            <w:bookmarkStart w:id="12" w:name="OLE_LINK13"/>
            <w:r>
              <w:rPr>
                <w:rFonts w:hint="eastAsia" w:asciiTheme="minorEastAsia" w:hAnsiTheme="minorEastAsia" w:eastAsiaTheme="minorEastAsia" w:cstheme="minorEastAsia"/>
                <w:bCs/>
                <w:color w:val="000000" w:themeColor="text1"/>
                <w:highlight w:val="none"/>
                <w:lang w:bidi="zh-CN"/>
                <w14:textFill>
                  <w14:solidFill>
                    <w14:schemeClr w14:val="tx1"/>
                  </w14:solidFill>
                </w14:textFill>
              </w:rPr>
              <w:t xml:space="preserve">械设备和施工材料投入方案</w:t>
            </w:r>
            <w:bookmarkEnd w:id="11"/>
            <w:r/>
            <w:bookmarkEnd w:id="12"/>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评委根据供应商针对本项目机械设备和施工材料投入方案的科学性、可行性、针对性等进行评分：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方案内容科学、可行、有针对性的得3分；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方案内容科学性、可行性、针对性一般的得2分；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3分</w:t>
            </w:r>
            <w:r/>
          </w:p>
        </w:tc>
      </w:tr>
      <w:tr>
        <w:trPr>
          <w:trHeight w:val="90"/>
        </w:trPr>
        <w:tc>
          <w:tcPr>
            <w:tcW w:w="693" w:type="pct"/>
            <w:vAlign w:val="center"/>
            <w:vMerge w:val="restart"/>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商务部分</w:t>
            </w:r>
            <w:r/>
          </w:p>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（25分）</w:t>
            </w:r>
            <w:r/>
          </w:p>
        </w:tc>
        <w:tc>
          <w:tcPr>
            <w:tcW w:w="583" w:type="pct"/>
            <w:vAlign w:val="center"/>
            <w:textDirection w:val="lrTb"/>
            <w:noWrap/>
          </w:tcPr>
          <w:p>
            <w:pPr>
              <w:ind w:firstLine="0"/>
              <w:jc w:val="center"/>
              <w:spacing w:line="240" w:lineRule="auto"/>
              <w:widowControl/>
              <w:rPr>
                <w:color w:val="000000" w:themeColor="text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项目</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负责人</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拟派项目负责人具有建设工程类高级及以上职称得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分，具有建设工程类中级工程师得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职称</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证书扫描件加盖投标人公章编制在投标文件中，否则视为未提供）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3" w:type="pct"/>
            <w:vAlign w:val="center"/>
            <w:vMerge w:val="restart"/>
            <w:textDirection w:val="lrTb"/>
            <w:noWrap/>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项目组成员</w:t>
            </w:r>
            <w:r/>
          </w:p>
          <w:p>
            <w:pPr>
              <w:ind w:firstLine="0"/>
              <w:jc w:val="center"/>
              <w:spacing w:line="240" w:lineRule="auto"/>
              <w:rPr>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注：</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同一人不可兼任多个岗位</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投标人提供</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的造价人员具有</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造价员</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证书</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或二级及以上注册造价工程师</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证书的</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月至2026年</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449"/>
        </w:trPr>
        <w:tc>
          <w:tcPr>
            <w:tcW w:w="693" w:type="pct"/>
            <w:vAlign w:val="center"/>
            <w:vMerge w:val="continue"/>
            <w:textDirection w:val="lrTb"/>
            <w:noWrap/>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3" w:type="pct"/>
            <w:vAlign w:val="center"/>
            <w:vMerge w:val="continue"/>
            <w:textDirection w:val="lrTb"/>
            <w:noWrap/>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2、投标人提供的</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安全员</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行政主管部门颁发的安全生产考核合格证书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的得2分。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月至2026年</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投标人提供施工员、质量员、资料员岗位具体人员名单，每提供一种岗位得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分，满分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月至2026年</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任意一个月投标人为其缴纳的社保缴费证明加盖社保公章或具有可验证的二维码（或验证码）及相应岗位人名名单信息；提供证明材料扫描件加盖投标人公章编制在投标文件中，否则视为未提供，加盖社保缴费电子专用章证明材料可视为原件，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16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83" w:type="pct"/>
            <w:vAlign w:val="center"/>
            <w:textDirection w:val="lrTb"/>
            <w:noWrap/>
          </w:tcPr>
          <w:p>
            <w:pPr>
              <w:pStyle w:val="1057"/>
              <w:ind w:firstLine="0"/>
              <w:jc w:val="center"/>
              <w:spacing w:line="240" w:lineRule="auto"/>
              <w:rPr>
                <w:rFonts w:asciiTheme="minorEastAsia" w:hAnsiTheme="minorEastAsia" w:eastAsiaTheme="minorEastAsia" w:cstheme="minorEastAsia"/>
                <w:color w:val="000000" w:themeColor="text1"/>
                <w:szCs w:val="24"/>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lang w:val="zh-CN" w:bidi="zh-CN"/>
                <w14:textFill>
                  <w14:solidFill>
                    <w14:schemeClr w14:val="tx1"/>
                  </w14:solidFill>
                </w14:textFill>
              </w:rPr>
              <w:t xml:space="preserve">企业业绩</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202</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年</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月1日（</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含</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）以来投标人承担过类似项目业绩的有一个得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分，最多得8分。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（需提供施工合同、竣工验收证明材料扫描件加盖公章，缺一不可，时间以竣工验收合格时间为准，扫描件加盖投标人公章）</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8分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项目负责人业绩</w:t>
            </w:r>
            <w:r/>
          </w:p>
        </w:tc>
        <w:tc>
          <w:tcPr>
            <w:tcW w:w="3229" w:type="pct"/>
            <w:vAlign w:val="center"/>
            <w:textDirection w:val="lrTb"/>
            <w:noWrap/>
          </w:tcPr>
          <w:p>
            <w:pPr>
              <w:ind w:firstLine="0"/>
              <w:spacing w:line="240" w:lineRule="auto"/>
              <w:tabs>
                <w:tab w:val="left" w:pos="0"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202</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年</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月1日（</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含</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）以来项目负责人承担过类似项目业绩的有一个得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分，最多得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（需提供施工合同、竣工验收证明材料扫描件加盖公章，缺一不可，时间以竣工验收合格时间为准，扫描件加盖投标人公章）</w:t>
            </w:r>
            <w:r/>
          </w:p>
          <w:p>
            <w:pPr>
              <w:ind w:firstLine="0"/>
              <w:spacing w:line="240" w:lineRule="auto"/>
              <w:tabs>
                <w:tab w:val="left" w:pos="0"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（项目负责人业绩和企业业绩可兼得）</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596"/>
        </w:trPr>
        <w:tc>
          <w:tcPr>
            <w:gridSpan w:val="3"/>
            <w:tcW w:w="4505"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合计</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100分</w:t>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firstLine="48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投标人应在《技术条款偏离》和《商务条款偏离》中针对本章内容进行响应说明，本章中标注“★”的内容均为实质性要求，如有负偏离视为无效响应，未响应或缺项漏项视为负偏离。</w:t>
      </w:r>
      <w:r/>
    </w:p>
    <w:p>
      <w:pPr>
        <w:ind w:firstLine="48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一、项目概况</w:t>
      </w:r>
      <w:r>
        <w:rPr>
          <w:rFonts w:hint="eastAsia" w:ascii="宋体" w:hAnsi="宋体" w:cs="宋体"/>
          <w:b/>
          <w:bCs/>
          <w:color w:val="000000" w:themeColor="text1"/>
          <w:highlight w:val="none"/>
          <w14:textFill>
            <w14:solidFill>
              <w14:schemeClr w14:val="tx1"/>
            </w14:solidFill>
          </w14:textFill>
        </w:rPr>
        <w:t xml:space="preserve">（本项标注为实质性要求的内容，投标人应在商务条款偏离表中逐条响应，要求提供相关材料的须附相关材料，否则按无效投标处理）</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学生公寓F组团改造出新工程</w:t>
      </w:r>
      <w:r>
        <w:rPr>
          <w:rFonts w:hint="eastAsia" w:ascii="宋体" w:hAnsi="宋体" w:cs="宋体"/>
          <w:color w:val="000000" w:themeColor="text1"/>
          <w:highlight w:val="none"/>
          <w14:textFill>
            <w14:solidFill>
              <w14:schemeClr w14:val="tx1"/>
            </w14:solidFill>
          </w14:textFill>
        </w:rPr>
        <w:t xml:space="preserve">。</w:t>
      </w:r>
      <w:r/>
    </w:p>
    <w:p>
      <w:pPr>
        <w:ind w:firstLine="482"/>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项目地点：江宁科学园龙眠大道629号南京交通职业技术学院内。</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项目背景与目标：为提升学生公寓使用功能与环境品质，现计划对学生公寓F组团进行出新改造。本项目旨在通过规范的施工，达成安全、环保、美观、耐用的整体效果。具体工程内容详见附件工程量清单。</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项目最高投标限价：</w:t>
      </w:r>
      <w:r>
        <w:rPr>
          <w:rFonts w:ascii="宋体" w:hAnsi="宋体" w:cs="宋体"/>
          <w:color w:val="000000" w:themeColor="text1"/>
          <w:highlight w:val="none"/>
          <w14:textFill>
            <w14:solidFill>
              <w14:schemeClr w14:val="tx1"/>
            </w14:solidFill>
          </w14:textFill>
        </w:rPr>
        <w:t xml:space="preserve">人民币</w:t>
      </w:r>
      <w:r>
        <w:rPr>
          <w:rFonts w:hint="eastAsia" w:ascii="宋体" w:hAnsi="宋体" w:cs="宋体"/>
          <w:color w:val="000000" w:themeColor="text1"/>
          <w:highlight w:val="none"/>
          <w14:textFill>
            <w14:solidFill>
              <w14:schemeClr w14:val="tx1"/>
            </w14:solidFill>
          </w14:textFill>
        </w:rPr>
        <w:t xml:space="preserve">2400051.02</w:t>
      </w:r>
      <w:r>
        <w:rPr>
          <w:rFonts w:ascii="宋体" w:hAnsi="宋体" w:cs="宋体"/>
          <w:color w:val="000000" w:themeColor="text1"/>
          <w:highlight w:val="none"/>
          <w14:textFill>
            <w14:solidFill>
              <w14:schemeClr w14:val="tx1"/>
            </w14:solidFill>
          </w14:textFill>
        </w:rPr>
        <w:t xml:space="preserve">元</w:t>
      </w:r>
      <w:r>
        <w:rPr>
          <w:rFonts w:hint="eastAsia" w:ascii="宋体" w:hAnsi="宋体" w:cs="宋体"/>
          <w:color w:val="000000" w:themeColor="text1"/>
          <w:highlight w:val="none"/>
          <w14:textFill>
            <w14:solidFill>
              <w14:schemeClr w14:val="tx1"/>
            </w14:solidFill>
          </w14:textFill>
        </w:rPr>
        <w:t xml:space="preserve">。投标报价超过最高投标限价的报价为无效投标。</w:t>
      </w:r>
      <w:r/>
    </w:p>
    <w:p>
      <w:pPr>
        <w:ind w:firstLine="482"/>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w:t>
      </w:r>
      <w:r>
        <w:rPr>
          <w:rFonts w:hint="eastAsia" w:ascii="宋体" w:hAnsi="宋体" w:cs="宋体"/>
          <w:b/>
          <w:bCs/>
          <w:color w:val="000000" w:themeColor="text1"/>
          <w:highlight w:val="none"/>
          <w14:textFill>
            <w14:solidFill>
              <w14:schemeClr w14:val="tx1"/>
            </w14:solidFill>
          </w14:textFill>
        </w:rPr>
        <w:t xml:space="preserve">本项目应遵循的标准（本项均属于实质性要求，投标人应在技术条款偏离表中逐条响应，要求提供相关材料的须附相关材料，否则按无效投标处理）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投标人为完成本项目所提供的一切产品、材料、施工工艺及最终成果，必须全部符合但不限于以下中华人民共和国现行有效的标准、规范和图集（如标准有更新，以最新版本为准）：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1.通用质量与安全标准：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（1）《建筑工程施工质量验收统一标准》（GB 50300）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（2）《建设工程项目管理规范》（GB/T 50326）</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（3）《建筑施工安全技术统一规范》（GB 50870）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（4）《建筑内部装修设计防火规范》（GB 50222）</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（5）《民用建筑工程室内环境污染控制标准》（GB 50325）</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2.主要材料与施工技术标准：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（1）装饰装修：</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①《建筑装饰装修工程质量验收标准》（GB 50210）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②《住宅装饰装修工程施工规范》（GB 50327）</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③《室内装饰装修材料有害物质限量》系列国家标准（GB 18580-18588等）</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（2）防水工程：</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④《屋面工程质量验收规范》（GB 50207）</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⑤《地下防水工程质量验收规范》（GB 50208）</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（3）电气工程：</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①《建筑电气工程施工质量验收规范》（GB 50303）</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②《低压配电设计规范》（GB 50054）</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③《民用建筑电气设计标准》（GB 51348）</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（3）给排水工程：</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①《建筑给水排水及采暖工程施工质量验收规范》（GB 50242）</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②《给水排水管道工程施工及验收规范》（GB 50268）</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3.引用图集：投标人应参考并执行工程量清单“项目特征描述”中提及的相关国家建筑标准设计图集。</w:t>
      </w:r>
      <w:r/>
    </w:p>
    <w:p>
      <w:pPr>
        <w:ind w:firstLine="482"/>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三、技术要求（技术要求均属于实质性要求，投标人应在技术条款偏离表中逐条响应，要求提供相关材料的须附相关材料，否则按无效投标处理）</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总体施工要求：</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highlight w:val="none"/>
          <w:lang w:val="en-US" w:eastAsia="zh-CN"/>
          <w14:textFill>
            <w14:solidFill>
              <w14:schemeClr w14:val="tx1"/>
            </w14:solidFill>
          </w14:textFill>
        </w:rPr>
        <w:t xml:space="preserve">应</w:t>
      </w:r>
      <w:r>
        <w:rPr>
          <w:rFonts w:hint="eastAsia" w:ascii="宋体" w:hAnsi="宋体" w:cs="宋体"/>
          <w:color w:val="000000" w:themeColor="text1"/>
          <w:highlight w:val="none"/>
          <w14:textFill>
            <w14:solidFill>
              <w14:schemeClr w14:val="tx1"/>
            </w14:solidFill>
          </w14:textFill>
        </w:rPr>
        <w:t xml:space="preserve">在投标前充分踏勘现场，理解现状，对施工方案、成品保护、与现状设施的衔接负责。施工期间必须确保校园安全与正常秩序，做到文明施工、绿色施工。</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）所有拆除物、施工垃圾必须日产日清，无条件运出校园至地方政府指定的合法消纳场所，相关费用已包含在报价中。</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）隐蔽工程（如管线敷设、防水层）在覆盖前必须经采购人现场验收并签字确认。</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关键材料与设备性能要求（品牌推荐档次）：</w:t>
      </w:r>
      <w:r/>
    </w:p>
    <w:p>
      <w:pPr>
        <w:ind w:firstLine="480"/>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本要求为保障工程品质的最低标准，投标人可选用同等或更高档次的知名品牌。</w:t>
      </w:r>
      <w:r>
        <w:rPr>
          <w:rFonts w:hint="eastAsia" w:ascii="宋体" w:hAnsi="宋体" w:cs="宋体"/>
          <w:b/>
          <w:bCs/>
          <w:color w:val="000000" w:themeColor="text1"/>
          <w:highlight w:val="none"/>
          <w:lang w:val="en-US" w:eastAsia="zh-CN"/>
          <w14:textFill>
            <w14:solidFill>
              <w14:schemeClr w14:val="tx1"/>
            </w14:solidFill>
          </w14:textFill>
        </w:rPr>
        <w:t xml:space="preserve">投标人须在投标文件中提供《</w:t>
      </w:r>
      <w:r>
        <w:rPr>
          <w:rFonts w:hint="eastAsia"/>
          <w:b/>
          <w:bCs/>
          <w:color w:val="000000" w:themeColor="text1"/>
          <w:highlight w:val="none"/>
          <w:lang w:val="zh-CN"/>
          <w14:textFill>
            <w14:solidFill>
              <w14:schemeClr w14:val="tx1"/>
            </w14:solidFill>
          </w14:textFill>
        </w:rPr>
        <w:t xml:space="preserve">主要材料品牌响应承诺书</w:t>
      </w:r>
      <w:r>
        <w:rPr>
          <w:rFonts w:hint="eastAsia" w:ascii="宋体" w:hAnsi="宋体" w:cs="宋体"/>
          <w:b/>
          <w:bCs/>
          <w:color w:val="000000" w:themeColor="text1"/>
          <w:highlight w:val="none"/>
          <w:lang w:val="en-US" w:eastAsia="zh-CN"/>
          <w14:textFill>
            <w14:solidFill>
              <w14:schemeClr w14:val="tx1"/>
            </w14:solidFill>
          </w14:textFill>
        </w:rPr>
        <w:t xml:space="preserve">》并明确所选用的主材品牌，如选用同等或更高档次的品牌，须提供其主要技术参数。</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）涂料：内墙乳胶漆需为立邦、多乐士、三棵树</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）防水材料：JS-II型聚合物水泥防水涂料需为东方雨虹、德高、科顺</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）瓷砖：墙地砖需为马可波罗、东鹏、诺贝尔</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）吊顶材料：硅钙板需为A级防火无石棉产品，为杰科Gyproc、可耐福KNAUF、洛斐尔LUOFEIER</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品牌及以上；铝合金扣板基材厚度不低于0.6mm，为友邦YOUPON、奥普AUPU、法狮龙Fsilon</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）电气材料：</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①电线：远东、上上、江南</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②线管：JDG管壁厚≥1.6mm，PVC管阻燃等级达FV-0。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③灯具：LED光源需为欧普、雷士、飞利浦</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品牌及以上，参数（功率、色温、显指）需满足清单要求。</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④开关插座：西门子、施耐德、公牛</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品牌及以上的PC材质产品。</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）给排水材料：</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①管道：UPVC、PPR管材管件需为联塑、中财、伟星</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②卫生洁具：陶瓷洁具需为箭牌、恒洁、九牧</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验收与测试要求：</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）防水工程完成后，必须进行不少于相关规范规定时间的蓄水（闭水）、淋水试验，并由采购人、监理共同验收。</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）给水管道必须进行压力试验，排水管道必须进行通球、灌水试验。</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）电气线路必须进行绝缘电阻测试、接地电阻测试，并确保全部灯具、插座通电运行正常。</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）最终交付前，供应商须完成全面的清洁保洁，确保现场无施工遗留物、门窗洁具光亮、地面整洁。</w:t>
      </w:r>
      <w:r/>
    </w:p>
    <w:p>
      <w:pPr>
        <w:ind w:firstLine="482"/>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★五、商务要求（商务要求均属于实质性要求，投标人应在商务条款偏离表中逐条响应，要求提供相关材料的须附相关材料，否则按无效投标处理）</w:t>
      </w:r>
      <w:r/>
    </w:p>
    <w:p>
      <w:pPr>
        <w:ind w:firstLine="60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项目工期：</w:t>
      </w:r>
      <w:r>
        <w:rPr>
          <w:rFonts w:hint="eastAsia"/>
          <w:color w:val="000000" w:themeColor="text1"/>
          <w:highlight w:val="none"/>
          <w14:textFill>
            <w14:solidFill>
              <w14:schemeClr w14:val="tx1"/>
            </w14:solidFill>
          </w14:textFill>
        </w:rPr>
        <w:t xml:space="preserve">35</w:t>
      </w:r>
      <w:r>
        <w:rPr>
          <w:rFonts w:hint="eastAsia"/>
          <w:color w:val="000000" w:themeColor="text1"/>
          <w:highlight w:val="none"/>
          <w14:textFill>
            <w14:solidFill>
              <w14:schemeClr w14:val="tx1"/>
            </w14:solidFill>
          </w14:textFill>
        </w:rPr>
        <w:t xml:space="preserve">个日历日。开工日期以采购人书面通知为准。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关键节点工期：</w:t>
      </w:r>
      <w:r>
        <w:rPr>
          <w:rFonts w:hint="eastAsia"/>
          <w:b/>
          <w:bCs/>
          <w:color w:val="000000" w:themeColor="text1"/>
          <w:highlight w:val="none"/>
          <w14:textFill>
            <w14:solidFill>
              <w14:schemeClr w14:val="tx1"/>
            </w14:solidFill>
          </w14:textFill>
        </w:rPr>
        <w:t xml:space="preserve">投标人应在投标文件中，详细提交其《项目实施进度计划表》及《节点工期承诺书》</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且进度表及承诺书内容须符合或优于下列节点要求，否则按无效投标处理</w:t>
      </w:r>
      <w:r>
        <w:rPr>
          <w:rFonts w:hint="eastAsia"/>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中标后，经采购人确认，将作为合同附件，具有同等法律效力。计划表与承诺书中必须至少包含以下不可变更的关键节点及完成日期：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节点一（20%完成）：在接到采</w:t>
      </w:r>
      <w:bookmarkStart w:id="13" w:name="OLE_LINK15"/>
      <w:r/>
      <w:bookmarkStart w:id="14" w:name="OLE_LINK14"/>
      <w:r>
        <w:rPr>
          <w:rFonts w:hint="eastAsia"/>
          <w:color w:val="000000" w:themeColor="text1"/>
          <w:highlight w:val="none"/>
          <w14:textFill>
            <w14:solidFill>
              <w14:schemeClr w14:val="tx1"/>
            </w14:solidFill>
          </w14:textFill>
        </w:rPr>
        <w:t xml:space="preserve">购人开工通知之日起7个日历日内，至少完成合同约定工程量的20%。</w:t>
      </w:r>
      <w:bookmarkEnd w:id="13"/>
      <w:r/>
      <w:bookmarkEnd w:id="14"/>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节点二（40%进度）：在接到采购人开工通知之日起14个日历日内，至少完成合同约定工程量的40%。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节点三（60%进度）：在接到采购人开工通知之日起21个日历日内，至少完成合同约定工程量的60%。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节点四（80%进度）：在接到采购人开工通知之日起28个日历日内，至少完成合同约定工程量的80%。</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节点</w:t>
      </w:r>
      <w:r>
        <w:rPr>
          <w:rFonts w:hint="eastAsia"/>
          <w:color w:val="000000" w:themeColor="text1"/>
          <w:highlight w:val="none"/>
          <w:lang w:val="en-US" w:eastAsia="zh-CN"/>
          <w14:textFill>
            <w14:solidFill>
              <w14:schemeClr w14:val="tx1"/>
            </w14:solidFill>
          </w14:textFill>
        </w:rPr>
        <w:t xml:space="preserve">五</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完工</w:t>
      </w:r>
      <w:r>
        <w:rPr>
          <w:color w:val="000000" w:themeColor="text1"/>
          <w:highlight w:val="none"/>
          <w14:textFill>
            <w14:solidFill>
              <w14:schemeClr w14:val="tx1"/>
            </w14:solidFill>
          </w14:textFill>
        </w:rPr>
        <w:t xml:space="preserve">）：在接到采购人</w:t>
      </w:r>
      <w:r>
        <w:rPr>
          <w:rFonts w:hint="eastAsia"/>
          <w:color w:val="000000" w:themeColor="text1"/>
          <w:highlight w:val="none"/>
          <w14:textFill>
            <w14:solidFill>
              <w14:schemeClr w14:val="tx1"/>
            </w14:solidFill>
          </w14:textFill>
        </w:rPr>
        <w:t xml:space="preserve">安装通知之日起35个日历日内，</w:t>
      </w:r>
      <w:r>
        <w:rPr>
          <w:color w:val="000000" w:themeColor="text1"/>
          <w:highlight w:val="none"/>
          <w14:textFill>
            <w14:solidFill>
              <w14:schemeClr w14:val="tx1"/>
            </w14:solidFill>
          </w14:textFill>
        </w:rPr>
        <w:t xml:space="preserve">完成</w:t>
      </w:r>
      <w:r>
        <w:rPr>
          <w:rFonts w:hint="eastAsia"/>
          <w:color w:val="000000" w:themeColor="text1"/>
          <w:highlight w:val="none"/>
          <w14:textFill>
            <w14:solidFill>
              <w14:schemeClr w14:val="tx1"/>
            </w14:solidFill>
          </w14:textFill>
        </w:rPr>
        <w:t xml:space="preserve">全部工作</w:t>
      </w:r>
      <w:r>
        <w:rPr>
          <w:color w:val="000000" w:themeColor="text1"/>
          <w:highlight w:val="none"/>
          <w14:textFill>
            <w14:solidFill>
              <w14:schemeClr w14:val="tx1"/>
            </w14:solidFill>
          </w14:textFill>
        </w:rPr>
        <w:t xml:space="preserve">，达到初步验收标准，并向采购人提交《完工验收申请单》。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（2）进度报告：投标人须每日向采购人提交书面进度报告，如实反映进度、存在的问题及次日计划。如实际进度滞后于承诺计划2个日历日及以上，必须立即书面说明原因及赶工措施。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（3）进度延误的预警与违约责任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①一般延误违约金：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若投标人未能达到其承诺的任一关键节点工期，且延误非因采购人原因或不可抗力所致，则每延误一日历日，投标人应向采购人支付合同总价款千分之二的违约金。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此项违约金采购人有权从未支付的合同款项中直接抵扣，且累计总额不超过合同总价款的百分之五。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②进度严重滞后预警：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当投标人的实际进度滞后于其承诺的计划进度超过2个日历日，或可能影响下一关键节点的实现时，采购人有权向供应商发出《进度严重滞后警告函》。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投标人须在收到警告函后8小时内，提交详细的书面《赶工方案及保证措施》，并经采购人认可后严格执行。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（4）根本违约的认定与采购人单方解除权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出现以下情形之一，即视为供应商“根本违约”：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①延误任一关键节点工期累计超过5个日历日；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②在采购人发出《进度严重滞后警告函》后，未按时提交或未有效执行经认可的赶工方案，导致延误持续扩大；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③投标人明确表示或以行为表明（如无故撤场、主要人员设备离场）将无法继续履行合同；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④其延误行为已确定无疑将导致项目无法在</w:t>
      </w:r>
      <w:bookmarkStart w:id="15" w:name="OLE_LINK16"/>
      <w:r>
        <w:rPr>
          <w:rFonts w:hint="eastAsia"/>
          <w:color w:val="000000" w:themeColor="text1"/>
          <w:highlight w:val="none"/>
          <w14:textFill>
            <w14:solidFill>
              <w14:schemeClr w14:val="tx1"/>
            </w14:solidFill>
          </w14:textFill>
        </w:rPr>
        <w:t xml:space="preserve">学校开学季</w:t>
      </w:r>
      <w:bookmarkEnd w:id="15"/>
      <w:r>
        <w:rPr>
          <w:rFonts w:hint="eastAsia"/>
          <w:color w:val="000000" w:themeColor="text1"/>
          <w:highlight w:val="none"/>
          <w14:textFill>
            <w14:solidFill>
              <w14:schemeClr w14:val="tx1"/>
            </w14:solidFill>
          </w14:textFill>
        </w:rPr>
        <w:t xml:space="preserve">前交付使用，严重影响公共利益。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一旦发生上述根本违约情形，采购人可行使以下权利：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①单方解除合同：采购人有权立即书面通知供应商解除本合同，无需经过司法或仲裁程序。合同自解除通知送达供应商时起解除。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②接管项目与委托第三人：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a.采购人有权进驻现场，接管所有未完工程、库存材料及设备（仅限于为本项目采购的物资）。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b.采购人有权自行或委托任何第三方完成剩余全部或部分工作。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c.供应商应在收到解除通知后12小时内无条件退场，并移交全部工程资料。逾期不退场，采购人有权强制清场，由此产生的一切费用和损失由供应商承担。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（5）合同解除后的结算与赔偿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如因供应商根本违约而解除合同后，双方按以下原则清算：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①已完成工作量的结算：采购人将组织对供应商已完成且合格的工作量进行计量计价。结算价不得超过该部分工作在合同中的对应价格。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②采购人完成剩余工作的费用：采购人委托第三方完成剩余工作所支付的全部费用（包括但不限于更高的合同价格、赶工费、管理费、协调费）。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③损失赔偿：因供应商违约给采购人造成的其他直接损失（如另行安排学生住宿的费用、对师生的赔偿、管理成本增加等）。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④最终支付与追偿：第1项的结算款，将用于冲抵第2项和第3项的总费用以及供应商已产生的违约金。若冲抵后仍有余额，该余额支付给中标人；若冲抵后仍有欠款，采购人有权依法向中标人进行追偿。</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2.付款条件</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（1）合同签订、人员及材料进场后10个工作日内支付合同价款的30%作为预付款。</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（2）竣工验收合格并取得竣工验收证明后30个工作日内，支付至结算价款的80%。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（3）结算审计完毕后60个工作日内，支付至审定价款的97%；若因中标人原因导致验收延迟，付款时间相应顺延。</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（4）剩余3%作为质量保证金，待缺陷责任期（2年）满后30个工作日内无息付清。</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（5）所有支付均以银行转账方式执行，且须提供合规发票。</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3.缺陷责任期：24个月（自实际竣工验收合格之日起计）。</w:t>
      </w:r>
      <w:r/>
    </w:p>
    <w:p>
      <w:pPr>
        <w:ind w:firstLine="48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4.质量保修期为：按第五章附件《工程质量保修书》约定执行，质量保修期内，如有质量等问题，应免费维修并且保证接采购人电话通知后，</w:t>
      </w:r>
      <w:r>
        <w:rPr>
          <w:rFonts w:hint="eastAsia" w:ascii="宋体" w:hAnsi="宋体" w:cs="宋体"/>
          <w:bCs/>
          <w:color w:val="000000" w:themeColor="text1"/>
          <w:highlight w:val="none"/>
          <w:lang w:val="en-US" w:eastAsia="zh-CN"/>
          <w14:textFill>
            <w14:solidFill>
              <w14:schemeClr w14:val="tx1"/>
            </w14:solidFill>
          </w14:textFill>
        </w:rPr>
        <w:t xml:space="preserve">24</w:t>
      </w:r>
      <w:r>
        <w:rPr>
          <w:rFonts w:hint="eastAsia" w:ascii="宋体" w:hAnsi="宋体" w:cs="宋体"/>
          <w:bCs/>
          <w:color w:val="000000" w:themeColor="text1"/>
          <w:highlight w:val="none"/>
          <w14:textFill>
            <w14:solidFill>
              <w14:schemeClr w14:val="tx1"/>
            </w14:solidFill>
          </w14:textFill>
        </w:rPr>
        <w:t xml:space="preserve">小时内委派专业维修人员到达现场。</w:t>
      </w:r>
      <w:r/>
    </w:p>
    <w:p>
      <w:pPr>
        <w:ind w:firstLine="480"/>
        <w:tabs>
          <w:tab w:val="left" w:pos="7380"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报价要求</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（1）投标人的报价应是招标文件确定的采购范围内的全部工作内容的价格体现，应包括人工、机械设备、材料、安装、维护、检测、质保、措施、管理、利润、税金及相关政策性文件规定的其他应有费用。</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供应商须依据现行版《清单计价规范》和现行版《工程计价表》要求来编制，按照工程量清单；</w:t>
      </w:r>
      <w:r>
        <w:rPr>
          <w:rFonts w:hint="eastAsia" w:ascii="宋体" w:hAnsi="宋体" w:cs="宋体"/>
          <w:color w:val="000000" w:themeColor="text1"/>
          <w:highlight w:val="none"/>
          <w14:textFill>
            <w14:solidFill>
              <w14:schemeClr w14:val="tx1"/>
            </w14:solidFill>
          </w14:textFill>
        </w:rPr>
        <w:t xml:space="preserve">结合图纸及实施方案</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详见附件</w:t>
      </w:r>
      <w:r>
        <w:rPr>
          <w:rFonts w:hint="eastAsia" w:ascii="宋体" w:hAnsi="宋体" w:cs="宋体"/>
          <w:color w:val="000000" w:themeColor="text1"/>
          <w:highlight w:val="none"/>
          <w:lang w:val="zh-CN"/>
          <w14:textFill>
            <w14:solidFill>
              <w14:schemeClr w14:val="tx1"/>
            </w14:solidFill>
          </w14:textFill>
        </w:rPr>
        <w:t xml:space="preserve">）进行报价。</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val="zh-CN"/>
          <w14:textFill>
            <w14:solidFill>
              <w14:schemeClr w14:val="tx1"/>
            </w14:solidFill>
          </w14:textFill>
        </w:rPr>
        <w:t xml:space="preserve">）本项目采用“固定综合单价包干”合同。</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highlight w:val="none"/>
          <w:lang w:val="zh-CN"/>
          <w14:textFill>
            <w14:solidFill>
              <w14:schemeClr w14:val="tx1"/>
            </w14:solidFill>
          </w14:textFill>
        </w:rPr>
        <w:t xml:space="preserve">须以招标文件所附《工程量清单》为基础，填报每一清单子项的综合单价及合价。总报价为各子项合价之和。</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val="zh-CN"/>
          <w14:textFill>
            <w14:solidFill>
              <w14:schemeClr w14:val="tx1"/>
            </w14:solidFill>
          </w14:textFill>
        </w:rPr>
        <w:t xml:space="preserve">）综合单价应完全覆盖完成该清单项目所需的全部成本、利润、税金、风险及“项目特征描述”中明确的所有辅助工作。凡以“项”为计量单位的为固定价格包干项目，结算时不因任何原因调整。</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val="zh-CN"/>
          <w14:textFill>
            <w14:solidFill>
              <w14:schemeClr w14:val="tx1"/>
            </w14:solidFill>
          </w14:textFill>
        </w:rPr>
        <w:t xml:space="preserve">）结算价款按实际完成并经双方确认的合格工程量乘以中标综合单价计算。</w:t>
      </w:r>
      <w:r/>
    </w:p>
    <w:p>
      <w:pPr>
        <w:ind w:firstLine="48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val="zh-CN"/>
          <w14:textFill>
            <w14:solidFill>
              <w14:schemeClr w14:val="tx1"/>
            </w14:solidFill>
          </w14:textFill>
        </w:rPr>
        <w:t xml:space="preserve">）如采购人取消或增减个别项目工程量，中标</w:t>
      </w:r>
      <w:r>
        <w:rPr>
          <w:rFonts w:hint="eastAsia" w:ascii="宋体" w:hAnsi="宋体" w:cs="宋体"/>
          <w:color w:val="000000" w:themeColor="text1"/>
          <w:highlight w:val="none"/>
          <w14:textFill>
            <w14:solidFill>
              <w14:schemeClr w14:val="tx1"/>
            </w14:solidFill>
          </w14:textFill>
        </w:rPr>
        <w:t xml:space="preserve">人</w:t>
      </w:r>
      <w:r>
        <w:rPr>
          <w:rFonts w:hint="eastAsia" w:ascii="宋体" w:hAnsi="宋体" w:cs="宋体"/>
          <w:color w:val="000000" w:themeColor="text1"/>
          <w:highlight w:val="none"/>
          <w:lang w:val="zh-CN"/>
          <w14:textFill>
            <w14:solidFill>
              <w14:schemeClr w14:val="tx1"/>
            </w14:solidFill>
          </w14:textFill>
        </w:rPr>
        <w:t xml:space="preserve">应无条件接受，且放弃工期及（或）费用索赔的权利。</w:t>
      </w:r>
      <w:r/>
    </w:p>
    <w:p>
      <w:pPr>
        <w:ind w:firstLine="48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lang w:val="zh-CN"/>
          <w14:textFill>
            <w14:solidFill>
              <w14:schemeClr w14:val="tx1"/>
            </w14:solidFill>
          </w14:textFill>
        </w:rPr>
        <w:t xml:space="preserve">）投标人可根据工程实际与施工组织设计自行编列或增补措施项目，但不应更改</w:t>
      </w:r>
      <w:r>
        <w:rPr>
          <w:rFonts w:hint="eastAsia" w:ascii="宋体" w:hAnsi="宋体" w:cs="宋体"/>
          <w:color w:val="000000" w:themeColor="text1"/>
          <w:highlight w:val="none"/>
          <w:lang w:val="en-US" w:eastAsia="zh-CN"/>
          <w14:textFill>
            <w14:solidFill>
              <w14:schemeClr w14:val="tx1"/>
            </w14:solidFill>
          </w14:textFill>
        </w:rPr>
        <w:t xml:space="preserve">采购</w:t>
      </w:r>
      <w:r>
        <w:rPr>
          <w:rFonts w:hint="eastAsia" w:ascii="宋体" w:hAnsi="宋体" w:cs="宋体"/>
          <w:color w:val="000000" w:themeColor="text1"/>
          <w:highlight w:val="none"/>
          <w:lang w:val="zh-CN"/>
          <w14:textFill>
            <w14:solidFill>
              <w14:schemeClr w14:val="tx1"/>
            </w14:solidFill>
          </w14:textFill>
        </w:rPr>
        <w:t xml:space="preserve">人已列措施项目。结算时，</w:t>
      </w:r>
      <w:r>
        <w:rPr>
          <w:rFonts w:hint="eastAsia" w:ascii="宋体" w:hAnsi="宋体" w:cs="宋体"/>
          <w:color w:val="000000" w:themeColor="text1"/>
          <w:highlight w:val="none"/>
          <w:lang w:val="en-US" w:eastAsia="zh-CN"/>
          <w14:textFill>
            <w14:solidFill>
              <w14:schemeClr w14:val="tx1"/>
            </w14:solidFill>
          </w14:textFill>
        </w:rPr>
        <w:t xml:space="preserve">投标人</w:t>
      </w:r>
      <w:r>
        <w:rPr>
          <w:rFonts w:hint="eastAsia" w:ascii="宋体" w:hAnsi="宋体" w:cs="宋体"/>
          <w:color w:val="000000" w:themeColor="text1"/>
          <w:highlight w:val="none"/>
          <w:lang w:val="zh-CN"/>
          <w14:textFill>
            <w14:solidFill>
              <w14:schemeClr w14:val="tx1"/>
            </w14:solidFill>
          </w14:textFill>
        </w:rPr>
        <w:t xml:space="preserve">不得以招标工程措施项目清单缺项为由要求增加措施费用。</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★6.政策要求</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6.1根据住房和城乡建设部办公厅关于全面实行一级建造师电</w:t>
      </w:r>
      <w:r>
        <w:rPr>
          <w:rFonts w:hint="eastAsia" w:ascii="宋体" w:hAnsi="宋体" w:cs="宋体"/>
          <w:color w:val="000000" w:themeColor="text1"/>
          <w:highlight w:val="none"/>
          <w14:textFill>
            <w14:solidFill>
              <w14:schemeClr w14:val="tx1"/>
            </w14:solidFill>
          </w14:textFill>
        </w:rPr>
        <w:t xml:space="preserve">子注册证书的通知（建办市〔2021〕40号）要求，自2021年10月15日起，在全国范围内实行一级建造师电子证书，电子证书式样按照《全国一体化在线政 务服务平台电子证照一级建造师注册证书》标准执行。自2022年1月1日起，一级建造师统一使用电子证书，纸质注册证书作废。各供应商若使用一级建造师证书电子注册证书编入投标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6.2资质、证书的延续以相关国家、省、市规定为准，如有请将相关证明材料编入投标文件。</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6.3根据建办市[2019]50号文及苏建函建管[2019]393号文规定，已取消一级、二级建造师临时执业证书，因此本项目不接受持临时建造师执业资格的项目负责人投标，否则将作为资格审查不通过处理。</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6.4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p>
    <w:p>
      <w:pPr>
        <w:ind w:firstLine="482"/>
        <w:tabs>
          <w:tab w:val="left" w:pos="7380"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★六、供应商说明及要求（本项均为实质性要求，投标人应在商务条款偏离表中逐条响应，要求提供相关材料的须附相关材料，否则按无效投标处理）</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1.技术方案从项目实施总体方案、施工进度计划和进度的保证措施、施工质量保证措施、施工现场管理方案、安全文明施工措施、</w:t>
      </w:r>
      <w:r>
        <w:rPr>
          <w:rFonts w:hint="eastAsia" w:ascii="宋体" w:hAnsi="宋体" w:cs="宋体"/>
          <w:color w:val="000000" w:themeColor="text1"/>
          <w:highlight w:val="none"/>
          <w:lang w:val="zh-CN" w:bidi="zh-CN"/>
          <w14:textFill>
            <w14:solidFill>
              <w14:schemeClr w14:val="tx1"/>
            </w14:solidFill>
          </w14:textFill>
        </w:rPr>
        <w:t xml:space="preserve">难点、重点及合理化建议</w:t>
      </w:r>
      <w:r>
        <w:rPr>
          <w:rFonts w:hint="eastAsia" w:ascii="宋体" w:hAnsi="宋体" w:cs="宋体"/>
          <w:color w:val="000000" w:themeColor="text1"/>
          <w:highlight w:val="none"/>
          <w14:textFill>
            <w14:solidFill>
              <w14:schemeClr w14:val="tx1"/>
            </w14:solidFill>
          </w14:textFill>
        </w:rPr>
        <w:t xml:space="preserve">、机械设备和施工材料投入方案等方面撰写有针对性的专项施工方案；应字迹清晰、内容齐全、表达准确。</w:t>
      </w:r>
      <w:r/>
    </w:p>
    <w:p>
      <w:pPr>
        <w:ind w:firstLine="480"/>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2.供应商需承诺其承担的工程项目在合同期内全部验收合格</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3.供应商需承诺不得将成交项目转包及其它违规行为，一经发现立即取消施工资格，并按相关法律法规上报处理</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rPr>
          <w:rFonts w:hint="eastAsia" w:ascii="宋体" w:hAnsi="宋体" w:cs="宋体"/>
          <w:color w:val="000000" w:themeColor="text1"/>
          <w:highlight w:val="none"/>
          <w14:textFill>
            <w14:solidFill>
              <w14:schemeClr w14:val="tx1"/>
            </w14:solidFill>
          </w14:textFill>
        </w:rPr>
        <w:t xml:space="preserve">。</w:t>
      </w:r>
      <w:r/>
    </w:p>
    <w:p>
      <w:pPr>
        <w:ind w:firstLine="480"/>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4.供应商拟派项目负责人须满足下列条件</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（1）项目负责人不得同时在两个或者两个以上单位受聘或者执业。</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（3）项目负责人无行贿犯罪行为记录；或有行贿犯罪行为记录，但自记录之日起已超过5年的。</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注：以上在建工程是指在其他项目担任项目负责人职务。</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5.供应商没有因拖欠工人工资或者发生质量安全事故被有关部门限制在项目所在地承接工程的</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6.本项目不允许转包、分包。</w:t>
      </w:r>
      <w:r>
        <w:rPr>
          <w:rFonts w:hint="eastAsia" w:ascii="宋体" w:hAnsi="宋体" w:cs="宋体"/>
          <w:b/>
          <w:bCs/>
          <w:color w:val="000000" w:themeColor="text1"/>
          <w:highlight w:val="none"/>
          <w14:textFill>
            <w14:solidFill>
              <w14:schemeClr w14:val="tx1"/>
            </w14:solidFill>
          </w14:textFill>
        </w:rPr>
        <w:t xml:space="preserve">（提供书面承诺书加盖供应商公章，格式自拟）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bookmarkStart w:id="16" w:name="_Toc351203632"/>
      <w:r/>
      <w:r/>
    </w:p>
    <w:p>
      <w:pPr>
        <w:ind w:firstLine="0"/>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asciiTheme="minorEastAsia" w:hAnsiTheme="minorEastAsia" w:eastAsiaTheme="minorEastAsia" w:cstheme="minorEastAsia"/>
          <w:b/>
          <w:color w:val="000000" w:themeColor="text1"/>
          <w:sz w:val="52"/>
          <w:szCs w:val="5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asciiTheme="minorEastAsia" w:hAnsiTheme="minorEastAsia" w:eastAsiaTheme="minorEastAsia" w:cstheme="minorEastAsia"/>
          <w:b/>
          <w:color w:val="000000" w:themeColor="text1"/>
          <w:sz w:val="52"/>
          <w:szCs w:val="5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72"/>
          <w:szCs w:val="52"/>
          <w:highlight w:val="none"/>
          <w14:textFill>
            <w14:solidFill>
              <w14:schemeClr w14:val="tx1"/>
            </w14:solidFill>
          </w14:textFill>
        </w:rPr>
        <w:t xml:space="preserve">建设工程施工合同</w:t>
      </w:r>
      <w:r>
        <w:rPr>
          <w:rFonts w:hint="eastAsia" w:asciiTheme="minorEastAsia" w:hAnsiTheme="minorEastAsia" w:eastAsiaTheme="minorEastAsia" w:cstheme="minorEastAsia"/>
          <w:b/>
          <w:color w:val="000000" w:themeColor="text1"/>
          <w:sz w:val="52"/>
          <w:szCs w:val="52"/>
          <w:highlight w:val="none"/>
          <w14:textFill>
            <w14:solidFill>
              <w14:schemeClr w14:val="tx1"/>
            </w14:solidFill>
          </w14:textFill>
        </w:rPr>
        <w:br/>
      </w:r>
      <w:r/>
    </w:p>
    <w:p>
      <w:pPr>
        <w:ind w:firstLine="0"/>
        <w:jc w:val="center"/>
        <w:rPr>
          <w:rFonts w:asciiTheme="minorEastAsia" w:hAnsiTheme="minorEastAsia" w:eastAsiaTheme="minorEastAsia" w:cstheme="minorEastAsia"/>
          <w:b/>
          <w:color w:val="000000" w:themeColor="text1"/>
          <w:sz w:val="72"/>
          <w:szCs w:val="72"/>
          <w:highlight w:val="none"/>
          <w14:textFill>
            <w14:solidFill>
              <w14:schemeClr w14:val="tx1"/>
            </w14:solidFill>
          </w14:textFill>
        </w:rPr>
      </w:pPr>
      <w:r>
        <w:rPr>
          <w:rFonts w:asciiTheme="minorEastAsia" w:hAnsiTheme="minorEastAsia" w:eastAsiaTheme="minorEastAsia" w:cstheme="minorEastAsia"/>
          <w:b/>
          <w:color w:val="000000" w:themeColor="text1"/>
          <w:sz w:val="72"/>
          <w:szCs w:val="7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72"/>
          <w:szCs w:val="72"/>
          <w:highlight w:val="none"/>
          <w14:textFill>
            <w14:solidFill>
              <w14:schemeClr w14:val="tx1"/>
            </w14:solidFill>
          </w14:textFill>
        </w:rPr>
      </w:pPr>
      <w:r>
        <w:rPr>
          <w:rFonts w:asciiTheme="minorEastAsia" w:hAnsiTheme="minorEastAsia" w:eastAsiaTheme="minorEastAsia" w:cstheme="minorEastAsia"/>
          <w:b/>
          <w:color w:val="000000" w:themeColor="text1"/>
          <w:sz w:val="72"/>
          <w:szCs w:val="7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asciiTheme="minorEastAsia" w:hAnsiTheme="minorEastAsia" w:eastAsiaTheme="minorEastAsia" w:cstheme="minorEastAsia"/>
          <w:b/>
          <w:color w:val="000000" w:themeColor="text1"/>
          <w:sz w:val="52"/>
          <w:szCs w:val="52"/>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32"/>
          <w:szCs w:val="28"/>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ind w:firstLine="0"/>
                              <w:rPr>
                                <w:b/>
                                <w:bCs/>
                                <w:sz w:val="32"/>
                              </w:rPr>
                            </w:pPr>
                            <w:r>
                              <w:rPr>
                                <w:rFonts w:hint="eastAsia"/>
                                <w:b/>
                                <w:bCs/>
                                <w:sz w:val="32"/>
                              </w:rPr>
                              <w:t xml:space="preserve">制定</w:t>
                            </w:r>
                            <w:r/>
                          </w:p>
                        </w:txbxContent>
                      </wps:txbx>
                      <wps:bodyPr wrap="square" upright="1"/>
                    </wps:wsp>
                  </a:graphicData>
                </a:graphic>
              </wp:anchor>
            </w:drawing>
          </mc:Choice>
          <mc:Fallback>
            <w:pict>
              <v:shape id="shape 8" o:spid="_x0000_s8"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ind w:firstLine="0"/>
                        <w:rPr>
                          <w:b/>
                          <w:bCs/>
                          <w:sz w:val="32"/>
                        </w:rPr>
                      </w:pPr>
                      <w:r>
                        <w:rPr>
                          <w:rFonts w:hint="eastAsia"/>
                          <w:b/>
                          <w:bCs/>
                          <w:sz w:val="32"/>
                        </w:rPr>
                        <w:t xml:space="preserve">制定</w:t>
                      </w:r>
                      <w:r/>
                    </w:p>
                  </w:txbxContent>
                </v:textbox>
              </v:shape>
            </w:pict>
          </mc:Fallback>
        </mc:AlternateContent>
      </w:r>
      <w:r>
        <w:rPr>
          <w:rFonts w:hint="eastAsia" w:asciiTheme="minorEastAsia" w:hAnsiTheme="minorEastAsia" w:eastAsiaTheme="minorEastAsia" w:cstheme="minorEastAsia"/>
          <w:b/>
          <w:color w:val="000000" w:themeColor="text1"/>
          <w:sz w:val="32"/>
          <w:szCs w:val="28"/>
          <w:highlight w:val="none"/>
          <w14:textFill>
            <w14:solidFill>
              <w14:schemeClr w14:val="tx1"/>
            </w14:solidFill>
          </w14:textFill>
        </w:rPr>
        <w:t xml:space="preserve">住房城乡建设部</w:t>
      </w:r>
      <w:r/>
    </w:p>
    <w:p>
      <w:pPr>
        <w:ind w:firstLine="0"/>
        <w:jc w:val="center"/>
        <w:rPr>
          <w:rFonts w:asciiTheme="minorEastAsia" w:hAnsiTheme="minorEastAsia" w:eastAsiaTheme="minorEastAsia" w:cstheme="minorEastAsia"/>
          <w:b/>
          <w:color w:val="000000" w:themeColor="text1"/>
          <w:sz w:val="32"/>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2"/>
          <w:szCs w:val="28"/>
          <w:highlight w:val="none"/>
          <w14:textFill>
            <w14:solidFill>
              <w14:schemeClr w14:val="tx1"/>
            </w14:solidFill>
          </w14:textFill>
        </w:rPr>
        <w:t xml:space="preserve">国家工商行政管理总局</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asciiTheme="minorEastAsia" w:hAnsiTheme="minorEastAsia" w:eastAsiaTheme="minorEastAsia" w:cstheme="minorEastAsia"/>
          <w:b/>
          <w:color w:val="000000" w:themeColor="text1"/>
          <w:highlight w:val="none"/>
          <w14:textFill>
            <w14:solidFill>
              <w14:schemeClr w14:val="tx1"/>
            </w14:solidFill>
          </w14:textFill>
        </w:rPr>
      </w:r>
      <w:r/>
    </w:p>
    <w:p>
      <w:pPr>
        <w:pStyle w:val="1053"/>
        <w:ind w:firstLine="883"/>
        <w:jc w:val="center"/>
        <w:rPr>
          <w:rFonts w:asciiTheme="minorEastAsia" w:hAnsiTheme="minorEastAsia" w:eastAsiaTheme="minorEastAsia" w:cstheme="minorEastAsia"/>
          <w:b w:val="0"/>
          <w:color w:val="000000" w:themeColor="text1"/>
          <w:sz w:val="44"/>
          <w:szCs w:val="44"/>
          <w:highlight w:val="none"/>
          <w14:textFill>
            <w14:solidFill>
              <w14:schemeClr w14:val="tx1"/>
            </w14:solidFill>
          </w14:textFill>
        </w:rPr>
      </w:pPr>
      <w:r/>
      <w:bookmarkStart w:id="17" w:name="_Toc296890982"/>
      <w:r/>
      <w:bookmarkStart w:id="18" w:name="_Toc296503025"/>
      <w:r/>
      <w:bookmarkStart w:id="19" w:name="_Toc351203480"/>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第一部分 合同协议书</w:t>
      </w:r>
      <w:bookmarkEnd w:id="17"/>
      <w:r/>
      <w:bookmarkEnd w:id="18"/>
      <w:r/>
      <w:bookmarkEnd w:id="19"/>
      <w:r/>
      <w:r/>
    </w:p>
    <w:p>
      <w:pPr>
        <w:ind w:firstLine="482"/>
        <w:rPr>
          <w:rFonts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发包人（全称）：</w:t>
      </w:r>
      <w:r>
        <w:rPr>
          <w:rFonts w:hint="eastAsia" w:asciiTheme="minorEastAsia" w:hAnsiTheme="minorEastAsia" w:eastAsiaTheme="minorEastAsia" w:cstheme="minorEastAsia"/>
          <w:b/>
          <w:color w:val="000000" w:themeColor="text1"/>
          <w:highlight w:val="none"/>
          <w:u w:val="single"/>
          <w14:textFill>
            <w14:solidFill>
              <w14:schemeClr w14:val="tx1"/>
            </w14:solidFill>
          </w14:textFill>
        </w:rPr>
        <w:t xml:space="preserve">南京交通职业技术学院</w:t>
      </w:r>
      <w:r/>
    </w:p>
    <w:p>
      <w:pPr>
        <w:ind w:firstLine="482"/>
        <w:rPr>
          <w:rFonts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承包人（全称）：</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学生公寓F组团改造出新工程</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施工及有关事项协商一致，共同达成如下协议：</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0" w:name="_Toc351203481"/>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一、工程概况</w:t>
      </w:r>
      <w:bookmarkEnd w:id="20"/>
      <w:r/>
      <w:r/>
    </w:p>
    <w:p>
      <w:pPr>
        <w:ind w:firstLine="47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1.工程名称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学生公寓F组团改造出新工程</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2.工程地点：</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江宁科学园龙眠大道629号南京交通职业技术学院内。</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3.工程立项批准文号：\。</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4.资金来源：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财政资金</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5.工程内容：</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学生公寓F组团改造出新工程</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，详见工程量清单。</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群体工程应附《承包人承揽工程项目一览表》（附件1）。</w:t>
      </w:r>
      <w:r/>
    </w:p>
    <w:p>
      <w:pPr>
        <w:ind w:firstLine="480"/>
        <w:rPr>
          <w:rFonts w:asciiTheme="minorEastAsia" w:hAnsiTheme="minorEastAsia" w:eastAsiaTheme="minorEastAsia" w:cstheme="minorEastAsia"/>
          <w:bCs/>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6.工程承包范围：</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学生公寓F组团改造出新工程</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，详见工程量清单。</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1" w:name="_Toc351203482"/>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二、合同工期</w:t>
      </w:r>
      <w:bookmarkEnd w:id="21"/>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bookmarkStart w:id="22" w:name="_Toc351203483"/>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计划开工日期：</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年</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月</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日。</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计划竣工日期：</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年</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月</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日。</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工期总日历天数：</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天。工期总日历天数与根据前述计划开竣工日期计算的工期天数不一致的，以工期总日历天数为准。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三、质量标准</w:t>
      </w:r>
      <w:bookmarkEnd w:id="22"/>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工程质量符合《建筑工程施工质量验收统一标准》等国家现行质量验收标准和本合同约定标准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3" w:name="_Toc351203484"/>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四、签约合同价、合同价格形式</w:t>
      </w:r>
      <w:bookmarkEnd w:id="23"/>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与计价规则</w:t>
      </w:r>
      <w:r/>
    </w:p>
    <w:p>
      <w:pPr>
        <w:ind w:firstLine="480"/>
        <w:rPr>
          <w:rFonts w:ascii="宋体" w:hAnsi="宋体" w:cs="宋体"/>
          <w:color w:val="000000" w:themeColor="text1"/>
          <w:highlight w:val="none"/>
          <w14:textFill>
            <w14:solidFill>
              <w14:schemeClr w14:val="tx1"/>
            </w14:solidFill>
          </w14:textFill>
        </w:rPr>
      </w:pPr>
      <w:r/>
      <w:bookmarkStart w:id="24" w:name="_Toc351203485"/>
      <w:r>
        <w:rPr>
          <w:rFonts w:hint="eastAsia" w:ascii="宋体" w:hAnsi="宋体" w:cs="宋体"/>
          <w:color w:val="000000" w:themeColor="text1"/>
          <w:highlight w:val="none"/>
          <w14:textFill>
            <w14:solidFill>
              <w14:schemeClr w14:val="tx1"/>
            </w14:solidFill>
          </w14:textFill>
        </w:rPr>
        <w:t xml:space="preserve">1.签约合同价为：</w:t>
      </w:r>
      <w:r/>
    </w:p>
    <w:p>
      <w:pPr>
        <w:ind w:firstLine="6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其中：</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（1）安全文明施工费：</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（2）材料和工程设备暂估价金额：</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（3）专业工程暂估价金额：</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（4）暂列金额：</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2.合同价格形式：</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五、</w:t>
      </w:r>
      <w:bookmarkEnd w:id="24"/>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项目经理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承包人项目经理：</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5" w:name="_Toc351203486"/>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六、合同文件构成</w:t>
      </w:r>
      <w:bookmarkEnd w:id="25"/>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6" w:name="_Toc351203487"/>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本协议书与下列文件一起构成合同文件：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（1）中标通知书（如果有）；</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（2）投标函及其附录（如果有）；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（3）专用合同条款及其附件；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（4）通用合同条款；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（5）技术标准和要求；</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（6）图纸；</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（7）已标价工程量清单或预算书；</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（8）其他合同文件。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在合同订立及履行过程中形成的与合同有关的文件均构成合同文件组成部分。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七、承诺</w:t>
      </w:r>
      <w:bookmarkEnd w:id="26"/>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7" w:name="_Toc351203488"/>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八、词语含义</w:t>
      </w:r>
      <w:bookmarkEnd w:id="27"/>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本协议书中词语含义与第二部分通用合同条款中赋予的含义相同。</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8" w:name="_Toc351203489"/>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九、违约条款</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1.进度延误的预警与违约责任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①一般延误违约金：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若承包人未能达到其承诺的任一关键节点工期，且延误非因发包人原因或不可抗力所致，则每延误一日历日，承包人应向发包人支付合同总价款千分之二的违约金。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此项违约金发包人有权从未支付的合同款项中直接抵扣，且累计总额不超过合同总价款的百分之五。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②进度严重滞后预警：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当承包人的实际进度滞后于其承诺的计划进度超过2个日历日，或可能影响下一关键节点的实现时，发包人有权向承包人发出《进度严重滞后警告函》。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承包人须在收到警告函后8小时内，提交详细的书面《赶工方案及保证措施》，并经发包人认可后严格执行。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2.根本违约的认定与发包人单方解除权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出现以下情形之一，即视为承包人“根本违约”：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①延误任一关键节点工期累计超过5个日历日；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②在发包人发出《进度严重滞后警告函》后，未按时提交或未有效执行经认可的赶工方案，导致延误持续扩大；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③承包人明确表示或以行为表明（如无故撤场、主要人员设备离场）将无法继续履行合同；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④其延误行为已确定无疑将导致项目无法在学校开学季（____年__月__日）前交付使用，严重影响公共利益。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一旦发生上述根本违约情形，发包人可行使以下权利：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①单方解除合同：发包人有权立即书面通知承包人解除本合同，无需经过司法或仲裁程序。合同自解除通知送达承包人时起解除。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②接管项目与委托第三人：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a.发包人有权进驻现场，接管所有未完工程、库存材料及设备（仅限于为本项目采购的物资）。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b.发包人有权自行或委托任何第三方完成剩余全部或部分工作。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c.承包人应在收到解除通知后12小时内无条件退场，并移交全部工程资料。逾期不退场，发包人有权强制清场，由此产生的一切费用和损失由承包人承担。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3.合同解除后的结算与赔偿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如因承包人根本违约而解除合同后，双方按以下原则清算：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①已完成工作量的结算：发包人将组织对承包人已完成且合格的工作量进行计量计价。结算价不得超过该部分工作在合同中的对应价格。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②发包人完成剩余工作的费用：发包人委托第三方完成剩余工作所支付的全部费用（包括但不限于更高的合同价格、赶工费、管理费、协调费）。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③损失赔偿：因承包人违约给发包人造成的其他直接损失（如另行安排学生住宿的费用、对师生的赔偿、管理成本增加等）。</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　最终支付与追偿：第1项的结算款，将用于冲抵第2项和第3项的总费用以及承包人已产生的违约金。若冲抵后仍有余额，该余额支付给承包人；若冲抵后仍有欠款，发包人有权依法向承包人进行追偿。</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十、签订时间</w:t>
      </w:r>
      <w:bookmarkEnd w:id="28"/>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本合同于年月日签订。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9" w:name="_Toc351203490"/>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十、签订地点</w:t>
      </w:r>
      <w:bookmarkEnd w:id="29"/>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江苏省南京市江宁区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签订。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30" w:name="_Toc351203491"/>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十一、补充协议</w:t>
      </w:r>
      <w:bookmarkEnd w:id="30"/>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合同未尽事宜，合同当事人另行签订补充协议，补充协议是合同的组成部分。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31" w:name="_Toc351203492"/>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十二、合同生效</w:t>
      </w:r>
      <w:bookmarkEnd w:id="31"/>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本合同自年月日生效。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32" w:name="_Toc351203493"/>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十三、合同份数</w:t>
      </w:r>
      <w:bookmarkEnd w:id="32"/>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本合同一式份，均具有同等法律效力，发包人执份，承包人执份。</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asciiTheme="minorEastAsia" w:hAnsiTheme="minorEastAsia" w:eastAsiaTheme="minorEastAsia" w:cstheme="minorEastAsia"/>
          <w:bCs/>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asciiTheme="minorEastAsia" w:hAnsiTheme="minorEastAsia" w:eastAsiaTheme="minorEastAsia" w:cstheme="minorEastAsia"/>
          <w:bCs/>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  （公章）                            承包人：  （公章）</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asciiTheme="minorEastAsia" w:hAnsiTheme="minorEastAsia" w:eastAsiaTheme="minorEastAsia" w:cstheme="minorEastAsia"/>
          <w:color w:val="000000" w:themeColor="text1"/>
          <w:highlight w:val="none"/>
          <w:u w:val="singl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法定代表人或其委托代理人：    法定代表人或其委托代理人：</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（签字）                    （签字）</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asciiTheme="minorEastAsia" w:hAnsiTheme="minorEastAsia" w:eastAsiaTheme="minorEastAsia" w:cstheme="minorEastAsia"/>
          <w:color w:val="000000" w:themeColor="text1"/>
          <w:highlight w:val="none"/>
          <w:u w:val="single"/>
          <w14:textFill>
            <w14:solidFill>
              <w14:schemeClr w14:val="tx1"/>
            </w14:solidFill>
          </w14:textFill>
        </w:rPr>
      </w:r>
      <w:r/>
    </w:p>
    <w:p>
      <w:pPr>
        <w:ind w:firstLine="480"/>
        <w:tabs>
          <w:tab w:val="left" w:pos="4410" w:leader="none"/>
        </w:tabs>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组织机构代码：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组织机构代码：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地  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邮政编码：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法定代表人：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  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电  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传  真：</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  电子信箱：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开户银行：</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开户银行：</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账  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账  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pStyle w:val="1053"/>
        <w:ind w:firstLine="643"/>
        <w:jc w:val="center"/>
        <w:rPr>
          <w:rFonts w:asciiTheme="minorEastAsia" w:hAnsiTheme="minorEastAsia" w:eastAsiaTheme="minorEastAsia" w:cs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bookmarkStart w:id="33" w:name="_Toc351203494"/>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第二部分 通用合同条款</w:t>
      </w:r>
      <w:bookmarkEnd w:id="33"/>
      <w:r/>
      <w:bookmarkStart w:id="34" w:name="_Toc337558727"/>
      <w:r/>
      <w:bookmarkEnd w:id="34"/>
      <w:r/>
      <w:r/>
    </w:p>
    <w:p>
      <w:pPr>
        <w:pStyle w:val="1053"/>
        <w:ind w:firstLine="482"/>
        <w:jc w:val="center"/>
        <w:rPr>
          <w:rFonts w:asciiTheme="minorEastAsia" w:hAnsiTheme="minorEastAsia" w:eastAsiaTheme="minorEastAsia" w:cs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此部分采用《建设工程施工合同》范本（GF—2017—0201）中《第二部分通用条款》。</w:t>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第三部分 专用合同条款</w:t>
      </w:r>
      <w:r/>
    </w:p>
    <w:p>
      <w:pPr>
        <w:ind w:firstLine="482"/>
        <w:jc w:val="cente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第三部分专用合同条款</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 一般约定</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 词语定义</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1.1.1合同</w:t>
      </w:r>
      <w:r/>
    </w:p>
    <w:p>
      <w:pPr>
        <w:ind w:firstLine="480"/>
        <w:spacing w:line="44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1.1.1.10其他合同文件包括：（1）施工合同协议书；（2）中标通知书；（3）招标文件、投标文件及其附件；（4）专用条款；（5）通用条款；（6）标准、规范及有关技术资料等履行合同过程中双方书面确认的对合同内容有实质性影响的文件以及会议纪要、签证、设计变更等资料。</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 合同当事人及其他相关方</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1.1.2.4监理人：</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资质类别和等级：</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1.1.2.5设计人：</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资质类别和等级：</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 工程和设备</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1.1.3.7作为施工现场组成部分的其他场所包括：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1.1.3.9永久占地包括：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1.1.3.10临时占地包括：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施工场地周围道路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1.3法律</w:t>
      </w:r>
      <w:r/>
    </w:p>
    <w:p>
      <w:pPr>
        <w:ind w:firstLine="480"/>
        <w:spacing w:line="44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适用于合同的其他规范性文件：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1.4标准和规范</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1.4.1适用于工程的标准规范包括：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项目应按国家颁发的有关规范、标准及省、市有关规定的设计及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1.4.2 发包人提供国外标准、规范的名称：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发包人提供国外标准、规范的份数：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发包人提供国外标准、规范的名称：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1.4.3发包人对工程的技术标准和功能要求的特殊要求：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1.5合同文件的优先顺序</w:t>
      </w:r>
      <w:r/>
    </w:p>
    <w:p>
      <w:pPr>
        <w:ind w:firstLine="480"/>
        <w:spacing w:line="40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合同文件组成及优先顺序为：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本施工合同协议书；（2）中标通知书；（3）本合同专用条款；（4）标准、规范及有关技术资料；（5）招标文件、投标文件及其附件（含：承包人磋商过程所作承诺）；（7）本合同通用条款；（8）合同履行中，发包人承包人有关工程的洽商、变更等书面协议或文件视为本合同的组成。</w:t>
      </w:r>
      <w:r/>
    </w:p>
    <w:p>
      <w:pPr>
        <w:ind w:firstLine="480"/>
        <w:spacing w:line="40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1.6图纸和承包人文件</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 图纸的提供</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发包人向承包人提供图纸的期限：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发包人向承包人提供图纸的数量：\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发包人向承包人提供图纸的内容：\</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1.6.4承包人文件</w:t>
      </w:r>
      <w:r/>
    </w:p>
    <w:p>
      <w:pPr>
        <w:ind w:firstLine="480"/>
        <w:spacing w:line="44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需要由承包人提供的文件，包括：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向发包人及监理方提供详细的施工进度计划、已完工程量报表（含工程变更及签证单）、发包人提供材料清单、承包人购材料清单、材料进场计划、劳动力及用款计划等资料。分项的施工组织设计在开工前向发包人提供。进场后提供材料计划，向发包人及监理方提供详细的施工进度计划、已完工</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程量报表（含工程变更及签证预算）、发包人提供材料清单、承包人购材料清单、材料进场计划、劳动力及用款计划等资料。分项的施工组织设计在开工前向发包人提供；需要由承包人提供的文件还包括：（1）设计变更、签证申请报告；（2）隐蔽工程和中间验收通知；（3）竣工验收申请报告；（4）竣工资料；（5）竣工结算申请单及结算资料；（6）最终结清申请单；其他应监理人或发包人要求提交的其他报告、报表：承包人应在正式施工前向发包人提供详细施工技术方案及未来清单报价表（含综合单价分析表等）并附光盘，经发包人审核书面同意后方可进场施工。</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承包人提供的文件的期限为：除了上述第1.5.2条款规定的文件提交期限外，其他文件提交时间为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相关事件发生之日起1天内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承包人提供的文件的数量为：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一式叁份，交发包人和监理各一份，承包人留存一份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承包人提供的文件的形式为：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书面形式</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发包人审批承包人文件的期限：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发包人收到文件后3天内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1.6.5现场图纸准备</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关于现场图纸准备的约定：承包人应根据发包人要求编制深化施工图纸，经发包人确认后作为施工依据，设计若有不符合现行规范、规定、标准等或其他不到位之处，因此造成的质量事故由施工单位承担。</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1.7联络</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1.7.1发包人和承包人应当在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1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天内将与合同有关的通知、批准、证明、证书、指示、指令、要求、请求、同意、意见、确定和决定等书面函件送达对方当事人（但发包人审批承包人文件的期限为：发包人收到文件后3天内）。</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1.7.2 发包人接收文件的地点：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南京交通职业技术学院发包人授权代表办公室</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发包人指定的接收人为：______。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承包人接收文件的地点：______；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承包人指定的接收人为：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项目经理：    联系方式：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监理人接收文件的地点：______；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监理人指定的接收人为：______。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1.10交通运输</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.10.1 出入现场的权利</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关于出入现场的权利的约定：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发包人项目负责人及主管领导、承包人项目组成员有权出入现场，禁止外单位施工车辆、人员出入工地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1.10.3场内交通</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关于场外交通和场内交通的边界的约定：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视项目现场情况另行约定</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关于发包人向承包人免费提供满足工程施工需要的场内道路和交通设施的约定：/。</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1.10.4超大件和超重件的运输</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运输超大件或超重件所需的道路和桥梁临时加固改造费用和其他有关费用由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承担。</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1.11知识产权</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按照通用条款执行。</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关于发包人提供的上述文件的使用限制的要求：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仅限于此工程项目</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1.11.2 关于承包人为实施工程所编制文件的著作权的归属：</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按照通用条款执行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关于承包人提供的上述文件的使用限制的要求：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按照通用条款执行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1.11.4承包人在施工过程中所采用的专利、专有技术、技术秘密的使用费的承担方式：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由承包人承担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1.13工程量清单错误的修正</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当工程量清单存在缺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项、漏项时，按下列规定调整合同价格。（1）已标价工程量清单有相同项目的，按照相同项目单价认定；（2）已标价工程量清单中无相同项目，但有类似项目的，参照类似项目的单价认定；（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承包人报价浮动率  L=[1-（成交造价/采购控制价）]× 100%；</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已标价工程量清单中没有适用也没有类似于变更工程项目，且南京工程造价管理机构发布的信息价格缺失的，材料价格由发包人、承包人、项目造价咨询人（跟踪审计单位）共同询价确认材料价后，按上述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允许调整合同价格的工程量偏差范围：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2.发包人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2.2发包人代表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发包人代表：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身份证号：_____；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联系电话：_____；</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通信地址：_____。</w:t>
      </w:r>
      <w:r/>
    </w:p>
    <w:p>
      <w:pPr>
        <w:ind w:firstLine="480"/>
        <w:spacing w:line="400" w:lineRule="exact"/>
        <w:tabs>
          <w:tab w:val="left" w:pos="1440" w:leader="none"/>
        </w:tabs>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发包人对发包人代表的授权范围如下：</w:t>
      </w:r>
      <w:r/>
    </w:p>
    <w:p>
      <w:pPr>
        <w:ind w:firstLine="482"/>
        <w:spacing w:line="400" w:lineRule="exact"/>
        <w:tabs>
          <w:tab w:val="left" w:pos="1440" w:leader="none"/>
        </w:tabs>
        <w:rPr>
          <w:rFonts w:asciiTheme="minorEastAsia" w:hAnsiTheme="minorEastAsia" w:eastAsiaTheme="minorEastAsia" w:cstheme="minorEastAsia"/>
          <w:b/>
          <w:bCs/>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本条款为特别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2.4施工现场、施工条件和基础资料的提供</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2.4.1 提供施工现场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关于发包人移交施工现场的期限要求：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签订本合同，签署开工令后</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2.4.2 提供施工条件</w:t>
      </w:r>
      <w:r/>
    </w:p>
    <w:p>
      <w:pPr>
        <w:ind w:firstLine="480"/>
        <w:rPr>
          <w:rFonts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关于发包人应负责提供施工所需要的条件，包括：</w:t>
      </w:r>
      <w:r>
        <w:rPr>
          <w:rFonts w:hint="eastAsia" w:asciiTheme="minorEastAsia" w:hAnsiTheme="minorEastAsia" w:eastAsiaTheme="minorEastAsia" w:cstheme="minorEastAsia"/>
          <w:b/>
          <w:color w:val="000000" w:themeColor="text1"/>
          <w:highlight w:val="none"/>
          <w:u w:val="single"/>
          <w14:textFill>
            <w14:solidFill>
              <w14:schemeClr w14:val="tx1"/>
            </w14:solidFill>
          </w14:textFill>
        </w:rPr>
        <w:t xml:space="preserve">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2.5资金来源证明及支付担保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发包人提供资金来源证明的期限要求：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发包人是否提供支付担保：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 承包人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3.1 承包人的一般义务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（9）承包人提交的竣工资料的内容：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承包人需要提交的竣工资料套数：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【叁】套完整的纸质竣工资料（另附竣工电子文件一套），其中包括竣工决算资料等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承包人提交的竣工资料的费用承担：</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承包人自行承担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承包人提交的竣工资料移交时间：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工程竣工结算时承包人应以经签批后的《工程计量申请（核准）表》内载明的项目和工程数量为依据，按合同约定计价规则编制结算文件报审。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承包人提交的竣工资料形式要求：</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书面及电子文档，所有工程资料必须符合工程验收和档案管理要求，因承包人提供的资料不符合档案管理要求而重新制作整理所产生的费用由承包人自行承担；承包人逾期提交竣工资料的，因不可抗力因素，经采购人同意后最多不晚于竣工验收合格之日起60日，逾期递交的竣工结算文件采购人不受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（10）承包人应履行的其他义务：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承包人除完成合同采购文件要求和合同约定的义务外，还须遵守发包人的监督管理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承包人应保证本工程施工过程不对工程所在楼内的正常生活等使用功能和秩序造成不良影响，如需夜间施工，所涉及的所有费用由承包人自行承担。承包人在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过程中，应根据发包人的要求和现场情况进行成品保护，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1）需由设计资质等级和业务范围允许的承包人完成的设计文件提交时间：不采用。</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2）应提供计划、报表的名称及完成时间：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根据发包人、监理要求提供合同内容工程建设项目总进度计划、材料设备总需求计划、材料设备供应计划表。承包人需在进场后提供发包人供材料（如有）计划，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3）承担施工安全保卫工作及非夜间施工照明的责任和要求：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（1）建立和执行防火管理制度。</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（2）施工现场临时用水、电费用由承包人承担。承包人认真做好施工现场的安全防护工作（包括照明、安全设施等），承包人对安全防护工作负全责（责任和费用均由承包人承担）。</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4）向发包人提供的办公和生活房屋及设施的要求：   /   。</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5）需承包人办理的有关施工场地交通、环卫和施工噪音管理等手续：此项工作及费用由承包人负责，发包人不再补贴。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6）已完工程成品保护的特殊要求及费用承担：工程全部成品、半成品在竣工验收交付前均由承包人负责管理和保护，费用含在总承包管理（配合）费中；其他按通用条款9.1第（6）条执行。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7）施工场地周围地下管线和邻近建筑物、构筑物（含文物保护建筑）、古树名木的保护要求及费用承担：</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对该工程履行该工程承包责任和义务，施工期间严格按照采购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8）施工场地清洁卫生的要求：施工场地在保证安全的前提下，按照标准化施工现场要求，保持场内、场外、交通进出口的安全和清洁卫生，所发生费用已包含在投标报价中。</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12）承包人聘用的人员应遵守当地法律法规及发包人的各项规章制度，服从发包人管理。因工程建设不到位或工作人员违章作业、违法违纪行为造成发包人损失时，承包人应负相应赔偿责任。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 项目经理</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3.2.1 项目经理：</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身份证号：_____；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建造师执业资格等级：_____；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建造师注册证书号：______；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建造师执业印章号：______；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安全生产考核合格证书号：_____；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承包人对项目经理的授权范围如下：</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代表承包人行使合同约定的承包人权利和义务，履行合同约定的承包人职责，代表承包人与发包人办理各类文件、材料签收手续</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关于项目经理每月在施工现场的时间要求：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期间，项目经理每周不少于6天且每天不少于八小时必须在本工程现场工作，且必须参加例会，并随时接受发包人代表、发包人其他管理部门和监理总监的考勤和监督检查。如项目经理、有特殊原因不能保证上述在岗时间的，需征得发包人书面同意后，授权发包人认可的项目经理现场全权处理现场事务。</w:t>
      </w:r>
      <w:r/>
    </w:p>
    <w:p>
      <w:pPr>
        <w:ind w:firstLine="482"/>
        <w:spacing w:line="460" w:lineRule="exact"/>
        <w:rPr>
          <w:rFonts w:asciiTheme="minorEastAsia" w:hAnsiTheme="minorEastAsia" w:eastAsiaTheme="minorEastAsia" w:cstheme="minorEastAsia"/>
          <w:b/>
          <w:bCs/>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项目经理未经批准，擅自离开施工现场的违约责任：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发包人发现项目经理未经批准连续【24】小时不在本工程现场工作，发包人有权按每天2000元人民币的标准向</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收取违约金（发包人可从工程款中扣抵）。项目经理无故不参加例会的，发包人有权向承包人收取违约金500元/次（发包人可从工程款中扣抵）。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承包人未提交劳动合同，以及没有为项目经理缴纳社会保险证明的违约责任：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承包人须在签订本合同时向发包人提交项目经理的劳动合同及缴纳社会保险证明。如未履行，每延迟一天，承包人承担违约金【5000】元/天，超过【7】日不提供的，发包人有权单方解除本合同。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3.2.3承包人擅自更换项目经理的违约责任：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擅自更换项目经理的将被视为承包人违约，承包人须按20000元/人·次向发包人支付违约金，在工程款中扣除，发包人还有权解除合同、追究承包人不能履约的违约责任，有权要求承包人赔偿发包人因此造成的一切损失，并报主管部门备案。</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3.2.4承包人无正当理由拒绝更换项目经理的违约责任：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 承包人人员</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3.3.1 承包人提交项目管理机构及施工现场管理人员安排报告的期限：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开工前一周。</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关于项目其他主要管理人员（现场造价员、施工员、质量员、安全员、资料员等）在施工现场的时间要求：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期间，现场造价员、施工员、质量员、安全员每周不少于6天且每天不少于八小时必须在本工程现场工作，资料员按有关规定标准和本合同约定履行职责，并随时接受发包人代表、发包人其他管理部门和监理总监的考勤和监督检查。</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.3.3承包人无正当理由拒绝撤换项目其他主要管理人员（现场造价员、施工员、质量员、安全员、资料员）的违约责任：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发包人有权要求承包人撤换调整其认为不称职的项目其他主要管理人员，承包人拒绝撤换的，发包人除了有权参照上述3.2.3条款向承包人追索违约金，还有权解除合同、追究承包人违约责任。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3.3.4承包人项目其他主要管理人员（现场造价员、施工员、质量员、安全员）离开施工现场的批准要求：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提前一天向发包人书面申请，经发包人书面批准后方可离开。</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承包人主要施工管理人员擅自离开施工现场的违约责任：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若出现未经发包人书面批准的项目其他主要管理人员（现场造价员、施工员、质量员、安全员）擅自离开施工现场的情况，发包人将处罚承包人2000元/人·次的违约金（发包人可从工程款中扣抵）。现场造价员、施工员、质量员、安全员连续2天或施工期内累计5天不在现场，视为承包人严重违约，发包人除有权按前述约定追索承包人违约金之外，还有权单方解除合同，并追究承包人违约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3.3.5承包人擅自更换项目其他主要管理人员（现场造价员、施工员、质量员、安全员、资料员）的违约责任：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投标文件中及合同中明确的项目其他主要管理人员（</w:t>
      </w: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现场造价员、施工员、质量员、安全员、资料员</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得擅自变更，开工时或施工过程中若有擅自变更，将被视为承包人违约，承包人须按20000元/人·次向发包人支付违约金，在工程款中扣除，发包人还有权解除合同，并追究承包人不能履约的违约责任，有权要求承包人赔偿发包人因此造成的一切损失，并报主管部门备案。</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3.5分包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3.5.1 分包的一般约定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禁止分包的工程包括：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本工程禁止分包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主体结构、关键性工作的范围：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本协议约定的所有施工内容</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3.5.2分包的确定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允许分包的专业工程包括：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其他关于分包的约定：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3.5.4分包合同价款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关于分包合同价款支付的约定：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3.6工程照管与成品、半成品保护</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承包人负责照管工程及工程相关的材料、工程设备的起始时间：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3.7履约担保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承包人是否提供履约担保：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numPr>
          <w:ilvl w:val="0"/>
          <w:numId w:val="2"/>
        </w:num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承包人提供履约担保的形式、金额及期限：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 监理人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4.1监理人的一般规定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关于监理人的监理内容：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配合发包人在工程实施过程中的各种工程变更、索赔、验收，以及竣工结算、决算审计等。</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关于监理人的监理权限：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关于监理人在施工现场的办公场所、生活场所的提供和费用承担的约定：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由承包人提供，费用已计入本合同价款中，或由承包人另行承担，发包人不再另行支付</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4.2 监理人员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总监理工程师：</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监理工程师执业资格证书号：_____；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关于监理人的其他约定：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详见本工程监理合同。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4.3商定或确定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在发包人和承包人不能通过协商达成一致意见时，发包人授权监理人对以下事项进行确定：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工程质量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5.1 质量要求</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特殊质量标准和要求：</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质量标准的评定以现行国家、地方政府以及行业的质量检验评定标准为依据，</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确保质量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符合国家现行质量验收标准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关于工程奖项的约定：/。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5.3隐蔽工程检查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5.3.2承包人提前通知监理人隐蔽工程检查的期限的约定：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共同检查前48小时书面通知监理，所有隐蔽工程和中间验收均须经监理工程师和发包人验收确认后方可继续施工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监理人不能按时进行检查时，应提前</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8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小时提交书面延期要求。</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关于延期最长不得超过：</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24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重新检验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工程质量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按专用条款和采购文件要求执行。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检查和返工</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w:t>
      </w:r>
      <w:bookmarkStart w:id="35" w:name="_Hlk139942557"/>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每项2000元/次</w:t>
      </w:r>
      <w:bookmarkEnd w:id="35"/>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（2）承包人在发生工程质量问题时隐瞒监理工程师及发包人，或有偷工减料行为、使用假冒伪劣产品行为，除及时进行整改外另需向发包人支付40000元/次的质量违约金。</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 安全文明施工与环境保护</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6.1安全文明施工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6.1.1 项目安全生产的达标目标及相应事项的约定：</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（1）除执行通用条款的相关规定外，承包人应严格按照施工组织设计组织施工，采取有效防护措施，并在安全管理方面除正常进行安全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学习、安全教育外，同时应高度重视全部施工期间的安全工作，安全措施要落实到位，应急措施要跟上，高空作业必须有安全防护措施等，并配备专职安全人员，对于不重视安全工作，措施不到位，未按规定要求（安全文明施工、质量标准等方面）进行施工、管理的，每发现一次，承包人应按300-500元/次向发包人支付违约金；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（2）如由于承包人不安全施工或其他违法违规等原因，导致发包人受到区级及以上行政主管部门处罚的，发包人将对承包人进行处罚，每发生一次扣除工程总价款的1%作为违约金。</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6.1.4关于治安保卫的特别约定：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关于编制施工场地治安管理计划的约定：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在开工前提交的施工组织设计中必须要有此部分内容</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6.1.5文明施工</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合同当事人对文明施工的要求：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必须严格执行南京市人民政府第237号令关于《南京市工程施工现场管理规定》。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（1）承包人须定期上报现场一线操作工人名单、人数、籍贯等。如有人员调整，必须及时通知发包人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（2）施工人员未经允许不得进入已经交付的工程区域</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（3）承包人对施工范围内的安全防火承担责任</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本合同6.1.1（1）追究承包人违约责任。承包人负责施工现场的安全及第三方人身安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合同价不超过2%的违约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（6）施工期间必须做好场地清洁卫生，设置冲洗平台，做到净车出场，避免在场外道路上“抛、洒、滴、漏”。由此产生的责任由施工单位承担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（7）承包人严禁污水乱排放，将生活垃圾集中外运，达到标准化现场要求</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（8）对施工场地内的已完工程、在建工程、管沟、管网等进行保护</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（9）施工期间必须挂牌上岗并统一着装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（10）禁止乱堆乱放材料与机械设备</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（11）预制场、土场必须设置标语牌（包括安全、质量、环境、操作规程等）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6.1.6关于安全文明施工费支付比例和支付期限的约定：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纳入合同价格执行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7.工期和进度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7.1施工组织设计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7.1.1合同当事人约定的施工组织设计应包括的其他内容：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按招标文件约定，招标文件无约定按通用条款或双方另行约定。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7.1.2施工组织设计的提交和修改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承包人提交详细施工组织设计的期限的约定：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合同签订后，向监理人提交详细的施工组织设计，并由监理人报送发包人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发包人和监理人在收到详细的施工组织设计后确认或提出修改意见的期限：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发包人和监理人应在监理人收到施工组织设计后【3】日内确认或提出修改意见</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7.2施工进度计划</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7.2.2施工进度计划的修订</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发包人和监理人在收到修订的施工进度计划后确认或提出修改意见的期限：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发包人和监理人应在收到修订的施工进度计划后3日内完成审核和批准或提出修改意见</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开工前七天承包人须向发包人、监理提出总进度计划。承包人提供的施工组织设计必须提交发包人、监理方审核后的施工组织设计。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7.3开工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7.3.1开工准备</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关于承包人提交工程开工报审表的期限：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合同签订后3日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关于发包人应完成的其他开工准备工作及期限：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关于承包人应完成的其他开工准备工作及期限：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临时设施搭建、材料、设备、人员等须在合同签订后3日内完成</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7.3.2开工通知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计划开工日期之日起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7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天内发出开工通知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7.4测量放线</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发包人通过监理人向承包人提供测量基准点、基准线和水准点及其书面资料的期限：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7.5工期延误</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7.5.1 因发包人原因导致工期延误</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因发包人原因导致工期延误的其他情形：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由于发包人原因和国家行政相关要求的停工（非承包人的责任），须由承包人书面提出，并经监理和发包人同意并共同签证，工期方可顺延。对此，承包人同意在工期顺延的情况下不要求经济补偿或赔偿</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7.5.2因承包人原因导致工期延误</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因承包人原因造成工期延误，逾期竣工违约金的计算方法为：</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（1）进度延误的预警与违约责任</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①一般延误违约金：</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若承包人未能达到其承诺的任一关键节点工期，且延误非因发包人原因或不可抗力所致，则每延误一日历日，承包人应向发包人支付合同总价款千分之二的违约金。</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此项违约金发包人有权从未支付的合同款项中直接抵扣，且累计总额不超过合同总价款的百分之五。</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②进度严重滞后预警：</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当承包人的实际进度滞后于其承诺的计划进度超过2个日历日，或可能影响下一关键节点的实现时，发包人有权向承包人发出《进度严重滞后警告函》。</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承包人须在收到警告函后8小时内，提交详细的书面《赶工方案及保证措施》，并经发包人认可后严格执行。</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（2）根本违约的认定与发包人单方解除权</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出现以下情形之一，即视为承包人“根本违约”：</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①延误任一关键节点工期累计超过5个日历日；</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②在发包人发出《进度严重滞后警告函》后，未按时提交或未有效执行经认可的赶工方案，导致延误持续扩大；</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③承包人明确表示或以行为表明（如无故撤场、主要人员设备离场）将无法继续履行合同；</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④其延误行为已确定无疑将导致项目无法在学校开学季（____年__月__日）前交付使用，严重影响公共利益。</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一旦发生上述根本违约情形，发包人可行使以下权利：</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①单方解除合同：发包人有权立即书面通知承包人解除本合同，无需经过司法或仲裁程序。合同自解除通知送达承包人时起解除。</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②接管项目与委托第三人：</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a.发包人有权进驻现场，接管所有未完工程、库存材料及设备（仅限于为本项目采购的物资）。</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b.发包人有权自行或委托任何第三方完成剩余全部或部分工作。</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c.承包人应在收到解除通知后12小时内无条件退场，并移交全部工程资料。逾期不退场，发包人有权强制清场，由此产生的一切费用和损失由承包人承担。</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（3）合同解除后的结算与赔偿</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如因承包人根本违约而解除合同后，双方按以下原则清算：</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①已完成工作量的结算：发包人将组织对承包人已完成且合格的工作量进行计量计价。结算价不得超过该部分工作在合同中的对应价格。</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②发包人完成剩余工作的费用：发包人委托第三方完成剩余工作所支付的全部费用（包括但不限于更高的合同价格、赶工费、管理费、协调费）。</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③损失赔偿：因承包人违约给发包人造成的其他直接损失（如另行安排学生住宿的费用、对师生的赔偿、管理成本增加等）。</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④最终支付与追偿：第1项的结算款，将用于冲抵第2项和第3项的总费用以及承包人已产生的违约金。若冲抵后仍有余额，该余额支付给承包人；若冲抵后仍有欠款，发包人有权依法向承包人进行追偿。</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7.6不利物质条件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不利物质条件的其他情形和有关约定：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7.7异常恶劣的气候条件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发包人和承包人同意以下情形视为异常恶劣的气候条件：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7.9提前竣工的奖励</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7.9.2提前竣工的奖励：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8.材料与设备</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8.4材料与工程设备的保管与使用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8.4.1发包人供应的材料设备的保管费用的承担：</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发包人供应的材料和设备，由承包人清点后由承包人妥善保管，保管费用含在投标报价中，发包人不另行支付，承包人承担所供应设备的保管费用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双方约定由承包人采购的材料必须符合有关规范规定的质量要求、环保要求以及投标时的样板要求和发包人验收要求，必须有详细的质保书及复试报告且在进场前经发包人、设计人和监理方事先书面确认，发包人确认符合合同约定要求并批准后方可使用。发生承包人所供材料与封样不符等不符合前述要求的情形，发包人可拒绝验收和使用，并按限定时间运出施工场地，重新采购，承包人承担由此发生的费用，由此延误的工期不予顺延。</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项目材料在招标时或招标文件中如有推荐品牌的按推荐品牌执行，如承包人选择推荐品牌外的产品，需经发包人书面盖章确认后方可使用。所有材料进场前必须取得发包人书面盖章确认的品牌、质量、款式和颜色后方可批量进场，否则一切后果由承包人自行承担。</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承包人所投产品价格符合市场定价，如有目录内产品，价格应不高于政府电商平台（同期同品牌同型号且同参数的产品）或提供更优服务。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8.6样品</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8.6.1样品的报送与封存</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需要承包人报送样品的材料或工程设备，样品的种类、名称、规格、数量要求：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8.8施工设备和临时设施</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8.8.1承包人提供的施工设备和临时设施</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关于修建临时设施费用承担的约定：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承包人确认已经计入投标报价中</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9.试验与检验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9.1试验设备与试验人员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9.1.2试验设备</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施工现场需要配置的试验场所：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施工现场需要配备的试验设备：</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水准仪、测量仪等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施工现场需要具备的其他试验条件：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9.4现场工艺试验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现场工艺试验的有关约定：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10.变更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10.1变更的范围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关于变更的范围的约定：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发包人认可经发包人审核、批准后的设计变更；发包人和监理方均认可经发包人和监理方审核、批准后的工程签证</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10.2工程设计变更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10.2.1发包人有可能根据工程需要修改施工图或发出指令增加或减少工程量，工程量不论增减多少，承包人均应无条件服从。承包人拒不接受和服从的，发包人有权单方解除合同、要求承包人无条件退场。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施工中发包人需对原工程设计进行变更的，应提前 7 天以书面形式向承包人发出变更通知。承包人按照监理工程师发出的变更通知及有关要求，进行下列需要的变更：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（1）更改工程有关部分的标高、基线、位置和尺寸；</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（2）增减合同中约定的工程量；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（3）改变有关工程的施工时间和顺序；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（4）其他有关工程变更需要的附加工作。</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因发包人变更导致延误的工期可相应顺延。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10.2.2 施工中承包人不得对原工程设计进行变更。因承包人擅自变更设计发生的费用和由此导致发包人的直接损失，由承包人承担，延误的工期不予顺延。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10.3其他变更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10.3.1发包人保留变更或调整工程量的权力，承包人不得拒绝变更，更不得以变更为由提出不合理的要求；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10.3.2承包人必须按发包人要求完成变更工作，若承包人拒不执行，经发包人书面催告后仍不纠正其行为的，发包人有权单方通知其解除合同，将本合同工程交由第三方承包商继续完成。届时，承包人须立即退场，并配合发包人就承包人已完成的工程量进行审计，发包人按最终审定价的【50】%与承包人结付工程款。同时，承包人还须按本合同签约合同价的【10】%向发包人支付违约金。</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10.3.3变更导致工期的顺延时间以监理工程师审核、发包人批准为准。</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10.3.4承包人提出的工程变更申请必须严格按照发包人规定的工程变更管理流程执行，涉及主体结构的变更内容必须经设计单位确认。</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10.3.5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10.3.7办理签证时，变更、签证结算费用编制应按“一单一价”的原则，即每一份变更、签证附一份造价核定单。一份造价核定单上只能申报一项内容。签证原件1式4份，发包人二份、监理一份、承包人保留一份。</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10.3.8为避免签证出现混乱、重复结算，承包人在办理签证时必须明确每份签证的具体原因、施工部位、施工时间、签证的编号等，否则，该签证为无效签证。</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10.3.9确定变更价款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10.3.9.1承包人在工程变更、现场签证确定后14天内，完成变更申报及签证手续，提出变更工程价款的报告，须经发包人、工程监理、跟踪审计三方确认后调整合同价款。变更合同价款按下列方法进行：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（1）合同中已有适用于变更工程的价格，按合同已有的价格变更合同价款；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（2）合同中只有类似于变更工程的价格，可以参照类似价格变更合同价款；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合同中没有适用或类似于变更工程的价格，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发包人和承包人双方协商确定）；经监理、跟踪审计及发包共同人确认后执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10.3.9.2承包人在双方确定变更、现场签证后14天内不向发包人提出变更工程价款报告时，视为该项变更、签证不涉及合同价款的变更。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10.3.9.3因承包人自身原因导致的工程变更，承包人无权要求追加合同价款。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10.3.9.4不同金额的变更签证由发包人实行分级授权制度：</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（1）对于变更、签证计价及结算的约定：</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1）工程变更签证的审批程序：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a、工程变更签证的情形发生后，承包人将工程变更签证报监理组初审，监理工程师在签证单上签署审核意见（如需现场计量，监理单位应提前24小时通知项目代表、跟踪审计咨询人员到场）；</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b、监理组初审批准后报发包人代表，由发包人代表将监理工程师初审批准的相关资料送跟踪审计咨询人员，跟踪审计咨询人员审核后在签证单上签署审核意见；</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c、项目代表根据监理工程师和跟踪审计咨询人员的审核意见，对所报资料进行审核，并按审批权限报相关领导批准后在签证单上签署审核意见。</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有效工程签证的认定原则：签证单上必须有发包人代表、跟踪审计咨询人员、监理工程师、承包人项目经理及项目部（项目经理签字、项目部盖章）四方代表的签字和单位盖章，方可作为竣工结算的依据；签证单上必须明确签证的原因、位置、尺寸、数量、材料、人工、机械台班、价格等和签证时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3）关于临时用工的签证事项，双方应在签证通知单上协商确定以下问题：工作内容及工作量、工作时间、工作人数、取定的人工单价（是综合单价，已含管理费和利润）。</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当变更的工作内容完成之后，承包人要及时督促监理人员和发包人项目代表签字确认，对于隐蔽工程的签证，必须在覆盖前完成验收手续、工程量的确认和费用数额的报送手续，否则发包人可以不予支付相关款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10.4变更估价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10.4.1变更估价原则</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关于变更估价的约定：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10.5承包人的合理化建议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监理人审查承包人合理化建议的期限：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收到建议之日起3日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发包人审批承包人合理化建议的期限：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收到建议之日起3日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10.7暂估价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本项目无暂估价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0.7.1依法必须招标的暂估价项目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对于依法必须招标的暂估价项目的确认和批准采取第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10.7.2不属于依法必须招标的暂估价项目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对于不属于依法必须招标的暂估价项目的确认和批准采取第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第3种方式：承包人直接实施的暂估价项目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承包人直接实施的暂估价项目的约定：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10.8 暂列金额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合同当事人关于暂列金额使用的约定：暂列金额应按照发包人的要求使用。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11.价格调整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11.1市场价格波动引起的调整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市场价格波动是否调整合同价格的约定：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不调整</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因市场价格波动调整合同价格，采用以下第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种方式对合同价格进行调整：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第1种方式：采用价格指数进行价格调整。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关于各可调因子、定值和变值权重，以及基本价格指数及其来源的约定：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第2种方式：采用造价信息进行价格调整。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12.合同价格、计量与支付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12.1合同价格形式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1、单价合同：</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综合单价包含的风险范围：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已包含所有风险</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风险费用的计算方法：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风险费用已包含在报价中，不予调整</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风险范围以外合同价格的调整方法：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①工程设计变更及签证以及发包人另行委托施工的追加的工程，结算时必须提供</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机械单价依据承包人投标书相应单价，材料单价按同期市场价格定价；管理费、利润按承包人投标书相应分部工程的相应比例，在工程竣工后进行结算</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④采用竞争性磋商采购方式成交的工程，若其原磋商报价与成交价存在差额的，承包人须根据差额同比例下调，下调后的综合单价报发包人审核。</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2、总价合同。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总价包含的风险范围：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风险费用的计算方法：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风险范围以外合同价格的调整方法：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3、其他价格方式：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12.2 预付款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12.2.1 预付款的支付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预付款支付比例或金额：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合同价款的30%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预付款支付期限：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合同签订、人员及材料进场后10个工作日内支付合同价款的30%作为预付款。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预付款扣回的方式：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12.2.2 预付款担保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承包人提交预付款担保的期限：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预付款担保的形式为：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 计量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12.3.1 计量原则</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工程量计算规则：</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工程量计量按照合同约定的工程量计算规则、图纸及变更指示等进行计量。工程量计算规则应以相关的国家标准、行业标准等为依据，由合同当事人在专用合同条款中约定。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12.3.2计量周期</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关于计量周期的约定：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12.3.3单价合同的计量</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关于单价合同计量的约定：</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除专用合同条款另有约定外，单价合同的计量按照本项约定执行：</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（1）承包人应于每半月2向监理人报送已完成的工程量报告，并附具进度付款申请单、已完成工程量报表和有关资料。</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（3）监理人和发包人未在收到承包人提交的工程量报表后的14天内完成审核的，承包人报送的工程量报告中的工程量视为承包人实际完成的工程量，据此计算工程价款。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12.3.4总价合同的计量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关于总价合同计量的约定：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不采用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12.3.5总价合同采用支付分解表计量支付的，是否适用第12.3.4 项〔总价合同的计量〕约定进行计量：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12.3.6其他价格形式合同的计量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其他价格形式的计量方式和程序：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12.4工程进度款支付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12.4.1付款周期</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关于付款周期的约定：</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（1）合同签订、人员及材料进场后10个工作日内支付合同价款的30%作为预付款。</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（2）竣工验收合格并取得竣工验收证明后30个工作日内，支付至结算价款的80%。</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（3）结算审计完毕后60个工作日内，支付至审定价款的97%；若因中标人原因导致验收延迟，付款时间相应顺延。</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（4）剩余3%作为质量保证金，待缺陷责任期（2年）满后30个工作日内无息付清。</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（5）所有支付均以银行转账方式执行，且须提供合规发票。</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注：在达到相应的付款节点后，承包人应向发包人提出书面付款申请，写明收款账号，并开具等额发票（在审计完成后，承包人应开齐对应审定价的全额发票），经发包人审核无误后支付。承包人前述手续不全的，发包人有权暂停支付相关款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12.4.2 进度付款申请单的编制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关于进度付款申请单编制的约定：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12.4.3 进度付款申请单的提交</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（1）单价合同进度付款申请单提交的约定：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所有工程款支付均须有发包人、监理、跟踪审计三方代表签字确认工作量和付款意见后，发包人才予办理工程款支付的手续；</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所有合同外增加的工作内容和工程变更调整的价款，一律不作为进度款支付的计算基数，须待竣工结算审计后与工程款结算款同期支付</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（2）总价合同进度付款申请单提交的约定：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（3）其他价格形式合同进度付款申请单提交的约定：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12.4.4 进度款审核和支付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（1）监理人审查并报送发包人的期限：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发包人完成审批并签发进度款支付证书的期限：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（2）发包人支付进度款的期限：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发包人逾期支付进度款的违约金的计算方式：</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按同期全国银行间同业拆借中心公布的贷款市场报价利率计算</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。承包人理解发包人高校财务付款制度的特殊性，自愿放弃违约金主张。</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12.4.6支付分解表的编制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（1）总价合同支付分解表的编制与审批：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不采用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（2）单价合同的总价项目支付分解表的编制与审批：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不采用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13.验收和工程试车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13.1分部分项工程验收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13.1.2监理人不能按时进行验收时，应提前</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24</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小时提交书面延期要求。</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关于延期最长不得超过：</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48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13.2竣工验收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13.2.2竣工验收程序</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关于竣工验收程序的约定：</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（1）承包人向监理报送竣工验收申请报告，监理应在收到竣工验收申请报告后【7】 天内完成审查并报送发包人。监理审查后认为尚不具备验收条件的，应通知承包人在竣工验收前承包人还需完成的工作内容，承包人应在完成监理通知的全部工作内容后，再次提交竣工验收申请报告 。</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（2）监理审查后认为已具备竣工验收条件的，应将竣工验收申请报告提交发包人，发包人应在收到经监理审核的竣工验收申请报告后【7】天内审批完毕并组织监理、承包人、设计单位等相关单位完成竣工验收。</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（3）项目竣工验收合格后，承包人需安排人员看管，直至将项目整体移交给项目发包人为止。在项目未移交前的现场看管费，成品保护费均由承包人承担。遇特殊情况，承发包人双方另行协商</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36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发包人有权在工程竣工前和工程竣工后的质保期内</w:t>
      </w:r>
      <w:r>
        <w:rPr>
          <w:rFonts w:hint="eastAsia" w:ascii="宋体" w:hAnsi="宋体" w:cs="宋体"/>
          <w:color w:val="000000" w:themeColor="text1"/>
          <w:highlight w:val="none"/>
          <w14:textFill>
            <w14:solidFill>
              <w14:schemeClr w14:val="tx1"/>
            </w14:solidFill>
          </w14:textFill>
        </w:rPr>
        <w:t xml:space="preserve">对本工程所涉及的工程内容进行环保检测或质量检测，具体检测内容和检测单位由发包人指定，承包人须无条件配合，检测单位必须出具有符合国家规范及法律效力的检测报告。检测费用由承包人承担。检测报告结果为不合格的，承包人须及时进行返工、修复或采取其他补救措施，由此增加的费用和工期延误的责任以及对发包人、发包人师生及其他方造成的人身伤害或损失赔偿责任均由承包人承担。在质保期内发生的检测不合格问题，质保期须相应顺延。项目竣工验收后7天内须通过材料及室内环境抽样检测，若材料及室内环境抽样检测结果不合格，复检费用由承包人支付。</w:t>
      </w:r>
      <w:r/>
    </w:p>
    <w:p>
      <w:pPr>
        <w:ind w:firstLine="36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工程质量不符合设计要求或质量不能达到合同约定标准的，发包人有权要求承包人返工或有权单方解除合同，承包人须无条件接受；返工的费用由承包人承担，工期不予顺延。</w:t>
      </w:r>
      <w:r/>
    </w:p>
    <w:p>
      <w:pPr>
        <w:ind w:firstLine="480"/>
        <w:spacing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highlight w:val="none"/>
          <w:u w:val="single"/>
          <w14:textFill>
            <w14:solidFill>
              <w14:schemeClr w14:val="tx1"/>
            </w14:solidFill>
          </w14:textFill>
        </w:rPr>
        <w:t xml:space="preserve">无</w:t>
      </w:r>
      <w:r>
        <w:rPr>
          <w:rFonts w:hint="eastAsia" w:ascii="宋体" w:hAnsi="宋体" w:cs="宋体"/>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13.2.5移交、接收全部与部分工程</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承包人向发包人移交工程的期限：竣工验收合格后，自验收合格之日起10天内承包人将工程移交给发包人。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发包人未按本合同约定接收全部或部分工程的，违约金的计算方法为：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承包人未按时移交工程的，违约金的计算方法为：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租金，发包人还有权派人强行拆除并清理，造成的费用和损失由承包人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13.3工程试车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13.3.1试车程序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工程试车内容：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（1）单机无负荷试车费用由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（2）无负荷联动试车费用由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13.3.3投料试车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关于投料试车相关事项的约定：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13.6 竣工退场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承包人完成竣工退场的期限：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竣工验收合格后10日内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14.竣工结算</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14.1竣工结算申请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承包人提交竣工结算申请单的期限：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竣工验收合格后28天内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竣工付款申请单应包括的内容：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（2）若审计部门在结算审核中发现结算资料无效或不完整的，审计延误的责任由承包人承担。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（3）承包人未按本条款约定的时间和要求向发包人提交竣工结算报告和资料的， 发包人将不能保证按专用条款规定的时间内提出审核意见，并且发包人有权根据已有资料进行审核，责任由承包人自行承担。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14.2 竣工结算审核</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发包人审批竣工付款申请单的期限：</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发包人完成竣工付款的期限：</w:t>
      </w: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发包人审计部门审计并出具最终审计报告后按约定付款。但是，考虑发包人高校财务管理的特殊性，如该项目为跨年度工程或遇付款时间为学校财务封账期及寒暑假等特殊情况，暂时无法支付工程款时，付款时间由发包人、承包人双方另行商定。对此承包人表示，遇此情况下发包人可以推迟付款时间且不构成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关于竣工付款证书异议部分复核的方式和程序：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发包人、承包人双方一致同意：发包人可以以发包</w:t>
      </w: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承包人明确知晓《南京交院工程项目管理审计实施办法》，并同意按照该规定中相关办法承担和支付相应的工程审计费用。属于承包人承担的审计费部分，发包人有权在应付工程款中予以扣减。承包人同意：若发包人审计规定发生调整修订，则按照发包人调整修订后的新审计规定执行。</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若本合同项下的工程在发包人、承包人双方完成结算审计之后，发包人上级主管单位又在该审计结论的基础上进行再次审计的，承包人承诺认可该最终审计结果。</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（本条款为特别约定）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14.4最终结清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14.4.1 最终结清申请单</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承包人提交最终结清申请单的份数：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叁份</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承包人提交最终结算申请单的期限：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缺陷责任期终止证书颁发后7天内。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14.4.2 最终结清证书和支付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（1）发包人完成最终结清申请单的审批并颁发最终结清证书的期限：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执行通用条款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（2）发包人完成支付的期限：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按进度款支付约定</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 缺陷责任期与保修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15.2缺陷责任期</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缺陷责任期的具体期限：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自工程竣工验收合格之日起【24】个月</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15.3质量保证金</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关于是否扣留质量保证金的约定：</w:t>
      </w:r>
      <w:r>
        <w:rPr>
          <w:rFonts w:hint="eastAsia" w:ascii="宋体" w:hAnsi="宋体" w:cs="宋体"/>
          <w:color w:val="000000" w:themeColor="text1"/>
          <w:highlight w:val="none"/>
          <w:u w:val="single"/>
          <w14:textFill>
            <w14:solidFill>
              <w14:schemeClr w14:val="tx1"/>
            </w14:solidFill>
          </w14:textFill>
        </w:rPr>
        <w:t xml:space="preserve">结算审定价3%的工程款；自发包人组织的竣工验收合格报告签署之日起算的质保期（24个月）满后，且发包人确认工程无质量且无任何遗留问题后发包人一次性无息返还承包人质量保证金（扣除因质量问题引起的维修费用、质量赔偿金及其他违约金等）。质量保证金支付程序：在缺陷责任期内，由发包人通知承包人进行该工程的维修事项，若承包人尽心尽责地服务，发包人满意，则质保期（ 24 个月）满后，经发包人单位盖章，无息返还承包人质量保证金。若承包人不能及时响应或保质处理维修事项，发包人有权另找工程队维修，所发生的费用从质量保证金中支付。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在工程项目竣工前，承包人按专用合同条款第3.6条提供履约担保的，发包人不得同时预留工程质量保证金。</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15.3.1 承包人提供质量保证金的方式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质量保证金采用以下第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（1）质量保证金保函，保证金额为：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（2）合同价款</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的工程款；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结算审定价3%的工程款。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15.3.2 质量保证金的扣留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质量保证金的扣留采取以下第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（2）工程竣工结算时一次性扣留质量保证金；</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（3）其他扣留方式: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60" w:lineRule="exact"/>
        <w:rPr>
          <w:rFonts w:ascii="宋体" w:hAnsi="宋体" w:cs="宋体"/>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关于质量保证金的补充约定：</w:t>
      </w:r>
      <w:r>
        <w:rPr>
          <w:rFonts w:hint="eastAsia" w:ascii="宋体" w:hAnsi="宋体" w:cs="宋体"/>
          <w:color w:val="000000" w:themeColor="text1"/>
          <w:highlight w:val="none"/>
          <w:u w:val="single"/>
          <w14:textFill>
            <w14:solidFill>
              <w14:schemeClr w14:val="tx1"/>
            </w14:solidFill>
          </w14:textFill>
        </w:rPr>
        <w:t xml:space="preserve">工程质量保修金在自发包人组织的竣工验收合格报告签署之日起算的质保期（24个月）满后，且发包人确认工程无质问题且无任何遗留问题后一次性退还承包人（不计息，扣除因质量问题引起的维修费用、质量赔偿金及其他违约金等）。</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15.4保修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15.4.3 保修责任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工程保修期为：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自发包人组织的竣工验收合格报告签署之日起24个月</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15.3.2修复通知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承包人收到保修通知并到达工程现场的合理时间：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自收到保修通知24小时内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 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 发包人违约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16.1.1发包人违约的情形</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发包人违约的其他情形：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16.1.2 发包人违约的责任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发包人违约责任的承担方式和计算方法：</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（1）因发包人原因未能在计划开工日期前7天内下达开工通知的违约责任：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相应工期顺延，承包人不主张违约金或补偿金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（2）因发包人原因未能按合同约定支付合同价款的违约责任：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按同期全国银行间同业拆借中心公布的贷款市场报价利率计算利息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。承包人理解发包人高校财务付款制度的特殊性，由于发包人财务付款制度导致的迟延付款，承包人自愿放弃违约金主张。</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（4）发包人提供的材料、工程设备的规格、数量或质量不符合合同约定，或因发包人原因导致交货日期延误或交货地点变更等情况的违约责任：无。</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（5）因发包人违反合同约定造成暂停施工的违约责任：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（7）其他：</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16.1.3 因发包人违约解除合同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承包人按16.1.1项〔发包人违约的情形〕约定暂停施工满</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天后发包人仍不纠正其违约行为并致使合同目的不能实现的，承包人有权解除合同。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 承包人违约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16.2.1 承包人违约的情形</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承包人违约的其他情形：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工期延误、质量问题、技术文件未按约定时间提交、承包人擅自停工或单方面终止合同等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16.2.2承包人违约的责任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承包人违约责任的承担方式和计算方法：</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本工程具体分项工程完成时间应服从发包人的总体要求，如因承包人原因导致实际进度与发包人要求的</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承包人未按程序报验的，每次向发包人支付2000元违约赔偿金；工序验收不合格的，须按要求返工，并每次向发包人支付2000元/次违约赔偿金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承包人必须服从发包人发布的各项符合现行法律法规的管理规定，如承包人不服从发包人及监理的管理，每次向发包人支付10000元违约赔偿金，且发包人有权解除合同，并要求承包人赔偿损失</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投标文件中明确的项目经理和主要管理人员不得擅自变更，开工时或施工过程中若有承包人擅自变更，发包人有权依据本合同追究承包人的违约责任，直至解除合同，并追究损失赔偿责任。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在施工过程中，发包人将对承包人的安全文明情况进行考评，施工管理中，未按规定要求（安全文明施工、质量标准等方面）进行施工、管理的，支付违约金300-500元/次</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工程竣工验收合格后28天内，承包人必须将符合发包人要求的竣工结算书及相关资料上报给发包人，否则每延迟一天须向发包人支付500元作为违约赔偿金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经查实如承包人有出借资质或挂靠施工现象发生，视承包人严重违约，承包人除须立即进行纠正外，发包人有权没收履约保证金（若有），发包人还有权选择解除合同并要求承包人承担损失赔偿责任；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质量应符合国家验收规范和本合同约定要求，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若承包人擅自停工、单方面终止合同、工期严重延误或存在其他严重违约行为，导致发包人不得不单方解除合同的，在发包人通知解除本合同的情况下，承包人必须在</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12小时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内无条件退场。发包人将在承包人完成退场的情况下按承包人已完成工程量的50%给予结算，承包人还须按合同价款【30】%标准向发包人支付违约金。若违约金不足以弥补发包人损失的，承包人还应承担由此而给发包人造成的一切损失。</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因承包人原因导致技术文件（包括竣工图纸、签证等）未能按约定时间提交，每迟一天，发包人在支付给承包人的工程款内扣除2000元的违约金。同时并不解除承包人继续交付上述技术文件的义务。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16.2.3 因承包人违约解除合同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关于承包人违约解除合同的特别约定：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在本合同解除后，承包人必须在</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12小时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内无条件退场。发包人将按承包人已完成工程量的50%给予结算，承包人还须按合同签约价【30】%标准向发包人支付违约金并承担由此而给发包人造成的一切损失</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根据监理、审计出具的报告结算给承包人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17.不可抗力</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17.1不可抗力的确认</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除通用合同条款约定的不可抗力事件之外，视为不可抗力的其他情形：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因国家和政府举办大型活动限制施工、因维护学生稳定而不能正常施工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17.4因不可抗力解除合同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合同解除后，发包人应在商定或确定发包人应支付款项后</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天内完成款项的支付。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 保险</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18.1 工程保险</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关于工程保险的特别约定：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18.3其他保险</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关于其他保险的约定：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承包人是否应为其施工设备等办理财产保险：</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18.7通知义务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关于变更保险合同时的通知义务的约定：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20.争议解决</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20.3争议评审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合同当事人是否同意将工程争议提交争议评审小组决定：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不同意</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20.3.1争议评审小组的确定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争议评审小组成员的确定：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选定争议评审员的期限：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争议评审小组成员的报酬承担方式：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其他事项的约定：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20.3.2争议评审小组的决定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合同当事人关于本项的约定：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20.4仲裁或诉讼</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因合同及合同有关事项发生的争议，按下列第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种方式解决：</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（1）向</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仲裁委员会申请仲裁；</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（2）向</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工程所在地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人民法院起诉。</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20.补充条款（特别约定）</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20.1发包人就该工程为承包人垫付的建设工程社会保障费，可以在向承包人支付工程进度款时扣除。</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20.2承包人同意发包人以自己的名义单方委托有相应资质的审计机构（工程造价咨询单位）对本工程进行审计；根据《南京交院工程项目管理审计实施办法》（交院办〔2021〕3号）执行相关规定。</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20.3本项目结算审计，应按下列规定支付审计费用：</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（1）单项工程核减率超过5%的，其审计费用全部由乙方承担，并由甲方从乙方工程款中扣除；</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（2）单项工程核减率在5%及以下的，其审计费用由甲方承担。</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核减率按审计最终核定额与乙方申报的决算额之间的差额计算。</w:t>
      </w:r>
      <w:r/>
    </w:p>
    <w:p>
      <w:pPr>
        <w:ind w:firstLine="482"/>
        <w:spacing w:line="360" w:lineRule="exact"/>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附件</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协议书附件：</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附件1：承包人承揽工程项目一览表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专用合同条款附件：</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附件2：发包人供应材料设备一览表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附件3：工程质量保修书</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附件4：主要建设工程文件目录</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附件5：承包人用于本工程施工的机械设备表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附件6：承包人主要施工管理人员表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附件7：分包人主要施工管理人员表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附件8：履约担保格式</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附件9：预付款担保格式</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附件10：支付担保格式</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附件11：暂估价一览表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附件12：主材一览表</w:t>
      </w:r>
      <w:r/>
    </w:p>
    <w:p>
      <w:pPr>
        <w:ind w:firstLine="480"/>
        <w:spacing w:line="192"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spacing w:line="192" w:lineRule="auto"/>
        <w:rPr>
          <w:rFonts w:asciiTheme="minorEastAsia" w:hAnsiTheme="minorEastAsia" w:eastAsiaTheme="minorEastAsia" w:cstheme="minorEastAsia"/>
          <w:color w:val="000000" w:themeColor="text1"/>
          <w:highlight w:val="none"/>
          <w14:textFill>
            <w14:solidFill>
              <w14:schemeClr w14:val="tx1"/>
            </w14:solidFill>
          </w14:textFill>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附件1：</w:t>
      </w:r>
      <w:r/>
    </w:p>
    <w:p>
      <w:pPr>
        <w:ind w:firstLine="600"/>
        <w:jc w:val="center"/>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承包人承揽工程项目一览表</w:t>
      </w:r>
      <w:r/>
    </w:p>
    <w:tbl>
      <w:tblPr>
        <w:tblStyle w:val="1056"/>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单位工程名称</w:t>
            </w:r>
            <w:r/>
          </w:p>
        </w:tc>
        <w:tc>
          <w:tcPr>
            <w:tcBorders>
              <w:top w:val="single" w:color="auto" w:sz="12" w:space="0"/>
              <w:bottom w:val="single" w:color="auto" w:sz="6"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建筑面积（平方米）</w:t>
            </w:r>
            <w:r/>
          </w:p>
        </w:tc>
        <w:tc>
          <w:tcPr>
            <w:tcBorders>
              <w:top w:val="single" w:color="auto" w:sz="12" w:space="0"/>
              <w:bottom w:val="single" w:color="auto" w:sz="6"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结构形式</w:t>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生产能力</w:t>
            </w:r>
            <w:r/>
          </w:p>
        </w:tc>
        <w:tc>
          <w:tcPr>
            <w:tcBorders>
              <w:top w:val="single" w:color="auto" w:sz="12" w:space="0"/>
              <w:bottom w:val="single" w:color="auto" w:sz="6"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设备安装内容</w:t>
            </w:r>
            <w:r/>
          </w:p>
        </w:tc>
        <w:tc>
          <w:tcPr>
            <w:tcBorders>
              <w:top w:val="single" w:color="auto" w:sz="12"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合同价格（元）</w:t>
            </w:r>
            <w:r/>
          </w:p>
        </w:tc>
        <w:tc>
          <w:tcPr>
            <w:tcBorders>
              <w:top w:val="single" w:color="auto" w:sz="12" w:space="0"/>
              <w:bottom w:val="single" w:color="auto" w:sz="6"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开工日期</w:t>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602"/>
        <w:spacing w:line="440" w:lineRule="exact"/>
        <w:rPr>
          <w:rFonts w:asciiTheme="minorEastAsia" w:hAnsiTheme="minorEastAsia" w:eastAsiaTheme="minorEastAsia" w:cstheme="minorEastAsia"/>
          <w:b/>
          <w:color w:val="000000" w:themeColor="text1"/>
          <w:sz w:val="30"/>
          <w:szCs w:val="30"/>
          <w:highlight w:val="none"/>
          <w14:textFill>
            <w14:solidFill>
              <w14:schemeClr w14:val="tx1"/>
            </w14:solidFill>
          </w14:textFill>
        </w:rPr>
        <w:sectPr>
          <w:headerReference w:type="first" r:id="rId12"/>
          <w:footnotePr/>
          <w:endnotePr/>
          <w:type w:val="nextPage"/>
          <w:pgSz w:w="16838" w:h="11906" w:orient="landscape"/>
          <w:pgMar w:top="1554" w:right="1418" w:bottom="1531" w:left="1418" w:header="851" w:footer="992" w:gutter="0"/>
          <w:cols w:num="1" w:sep="0" w:space="720" w:equalWidth="1"/>
          <w:docGrid w:linePitch="360"/>
          <w:titlePg/>
        </w:sectPr>
      </w:pPr>
      <w:r>
        <w:rPr>
          <w:rFonts w:asciiTheme="minorEastAsia" w:hAnsiTheme="minorEastAsia" w:eastAsiaTheme="minorEastAsia" w:cstheme="minorEastAsia"/>
          <w:b/>
          <w:color w:val="000000" w:themeColor="text1"/>
          <w:sz w:val="30"/>
          <w:szCs w:val="30"/>
          <w:highlight w:val="none"/>
          <w14:textFill>
            <w14:solidFill>
              <w14:schemeClr w14:val="tx1"/>
            </w14:solidFill>
          </w14:textFill>
        </w:rPr>
      </w:r>
      <w:r/>
    </w:p>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附件2：</w:t>
      </w:r>
      <w:r/>
    </w:p>
    <w:p>
      <w:pPr>
        <w:ind w:firstLine="600"/>
        <w:jc w:val="center"/>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发包人供应材料设备一览表</w:t>
      </w:r>
      <w:r/>
    </w:p>
    <w:tbl>
      <w:tblPr>
        <w:tblStyle w:val="105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532"/>
        <w:gridCol w:w="1722"/>
        <w:gridCol w:w="1008"/>
        <w:gridCol w:w="532"/>
        <w:gridCol w:w="532"/>
        <w:gridCol w:w="1246"/>
        <w:gridCol w:w="1008"/>
        <w:gridCol w:w="1008"/>
        <w:gridCol w:w="1008"/>
        <w:gridCol w:w="532"/>
      </w:tblGrid>
      <w:tr>
        <w:trPr>
          <w:jc w:val="center"/>
        </w:trPr>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材料、设备品种</w:t>
            </w:r>
            <w:r/>
          </w:p>
        </w:tc>
        <w:tc>
          <w:tcPr>
            <w:tcBorders>
              <w:top w:val="single" w:color="auto" w:sz="12" w:space="0"/>
              <w:bottom w:val="single" w:color="auto" w:sz="6"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规格型号</w:t>
            </w:r>
            <w:r/>
          </w:p>
        </w:tc>
        <w:tc>
          <w:tcPr>
            <w:tcBorders>
              <w:top w:val="single" w:color="auto" w:sz="12" w:space="0"/>
              <w:bottom w:val="single" w:color="auto" w:sz="6"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w:t>
            </w:r>
            <w:r/>
          </w:p>
        </w:tc>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单价（元）</w:t>
            </w:r>
            <w:r/>
          </w:p>
        </w:tc>
        <w:tc>
          <w:tcPr>
            <w:tcBorders>
              <w:top w:val="single" w:color="auto" w:sz="12"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质量等级</w:t>
            </w:r>
            <w:r/>
          </w:p>
        </w:tc>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供应时间</w:t>
            </w:r>
            <w:r/>
          </w:p>
        </w:tc>
        <w:tc>
          <w:tcPr>
            <w:tcBorders>
              <w:top w:val="single" w:color="auto" w:sz="12" w:space="0"/>
              <w:bottom w:val="single" w:color="auto" w:sz="6"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送达地点</w:t>
            </w:r>
            <w:r/>
          </w:p>
        </w:tc>
        <w:tc>
          <w:tcPr>
            <w:tcBorders>
              <w:top w:val="single" w:color="auto" w:sz="12"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附件</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p>
    <w:p>
      <w:pPr>
        <w:ind w:firstLine="480"/>
        <w:jc w:val="center"/>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工程质量保修书</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发包人（全称）：</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承包人（全称）：</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学生公寓F组团改造出新工程</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（工程全称）签订工程质量保修书。</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一、工程质量保修范围和内容</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承包人在质量保修期内，按照有关法律规定和合同约定，承担工程质量保修责任。</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二、质量保修期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根据《建设工程质量管理条例》及有关规定，工程的质量保修期如下：</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1．地基基础工程和主体结构工程为设计文件规定的工程合理使用年限；</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2．屋面防水工程、有防水要求的卫生间、房间和外墙面的防渗为 5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3．装修工程为 2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4．电气管线、给排水管道、设备安装工程为 2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5．供热与供冷系统为  2  个采暖期、供冷期；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6．住宅小区内的给排水设施、道路等配套工程为  2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7．其他项目保修期限约定如下：      /           。</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质量保修期自工程竣工验收合格之日起计算。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三、缺陷责任期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工程缺陷责任期为  24  个月，缺陷责任期自工程竣工验收合格之日起计算。单位工程先于全部工程进行验收，单位工程缺陷责任期自单位工程验收合格之日起算。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缺陷责任期终止后，发包人应退还剩余的质量保证金。</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四、质量保修责任</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2．发生紧急事故需抢修的，承包人在接到事故通知后，应当立即到达事故现场抢修。</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4．质量保修完成后，由发包人组织验收。</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五、保修费用</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保修费用由造成质量缺陷的责任方承担。</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六、双方约定的其他工程质量保修事项：</w:t>
      </w:r>
      <w:r>
        <w:rPr>
          <w:rFonts w:hint="eastAsia" w:asciiTheme="minorEastAsia" w:hAnsiTheme="minorEastAsia" w:eastAsiaTheme="minorEastAsia" w:cstheme="minorEastAsia"/>
          <w:color w:val="000000" w:themeColor="text1"/>
          <w:highlight w:val="none"/>
          <w:u w:val="single"/>
          <w:lang w:val="zh-CN" w:bidi="zh-CN"/>
          <w14:textFill>
            <w14:solidFill>
              <w14:schemeClr w14:val="tx1"/>
            </w14:solidFill>
          </w14:textFill>
        </w:rPr>
        <w:t xml:space="preserve">  另行协商  </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工程质量保修书由发包人、承包人在工程竣工验收前共同签署，作为施工合同附件，其有效期限至保修期满。</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发包人（公章）：              承包人（公章）： </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地  址：                    地  址：</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法定代表人（签字）：          法定代表人（签字）：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委托代理人（签字）：          委托代理人（签字）：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电  话：                    电  话：</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传  真：                    传  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开户银行：                  开户银行：</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账  号：                    账  号：</w:t>
      </w:r>
      <w:r/>
    </w:p>
    <w:p>
      <w:pPr>
        <w:ind w:firstLine="480"/>
        <w:spacing w:line="400" w:lineRule="exact"/>
        <w:rPr>
          <w:rFonts w:asciiTheme="minorEastAsia" w:hAnsiTheme="minorEastAsia" w:eastAsiaTheme="minorEastAsia" w:cstheme="minorEastAsia"/>
          <w:color w:val="000000" w:themeColor="text1"/>
          <w:sz w:val="30"/>
          <w:szCs w:val="30"/>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邮政编码：                  邮政编码：</w:t>
      </w:r>
      <w:r/>
    </w:p>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附件4：</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主要建设工程文件目录</w:t>
      </w:r>
      <w:r/>
    </w:p>
    <w:tbl>
      <w:tblPr>
        <w:tblStyle w:val="10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Height w:val="57"/>
        </w:trPr>
        <w:tc>
          <w:tcPr>
            <w:tcBorders>
              <w:top w:val="single" w:color="auto" w:sz="12" w:space="0"/>
              <w:bottom w:val="single" w:color="auto" w:sz="6"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文件名称</w:t>
            </w:r>
            <w:r/>
          </w:p>
        </w:tc>
        <w:tc>
          <w:tcPr>
            <w:tcBorders>
              <w:top w:val="single" w:color="auto" w:sz="12" w:space="0"/>
              <w:bottom w:val="single" w:color="auto" w:sz="6"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套数</w:t>
            </w:r>
            <w:r/>
          </w:p>
        </w:tc>
        <w:tc>
          <w:tcPr>
            <w:tcBorders>
              <w:top w:val="single" w:color="auto" w:sz="12"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费用（元）</w:t>
            </w:r>
            <w:r/>
          </w:p>
        </w:tc>
        <w:tc>
          <w:tcPr>
            <w:tcBorders>
              <w:top w:val="single" w:color="auto" w:sz="12" w:space="0"/>
              <w:bottom w:val="single" w:color="auto" w:sz="6"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w:t>
            </w:r>
            <w:r/>
          </w:p>
        </w:tc>
        <w:tc>
          <w:tcPr>
            <w:tcBorders>
              <w:top w:val="single" w:color="auto" w:sz="12" w:space="0"/>
              <w:bottom w:val="single" w:color="auto" w:sz="6" w:space="0"/>
            </w:tcBorders>
            <w:tcW w:w="1450" w:type="dxa"/>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移交时间</w:t>
            </w:r>
            <w:r/>
          </w:p>
        </w:tc>
        <w:tc>
          <w:tcPr>
            <w:tcBorders>
              <w:top w:val="single" w:color="auto" w:sz="12" w:space="0"/>
              <w:bottom w:val="single" w:color="auto" w:sz="6" w:space="0"/>
            </w:tcBorders>
            <w:tcW w:w="1667" w:type="dxa"/>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责任人</w:t>
            </w:r>
            <w:r/>
          </w:p>
        </w:tc>
      </w:tr>
      <w:tr>
        <w:trPr>
          <w:jc w:val="center"/>
          <w:trHeight w:val="57"/>
        </w:trPr>
        <w:tc>
          <w:tcPr>
            <w:tcBorders>
              <w:top w:val="single" w:color="auto" w:sz="6" w:space="0"/>
              <w:bottom w:val="single" w:color="auto" w:sz="6"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tcBorders>
              <w:top w:val="none" w:color="000000" w:sz="4"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bl>
    <w:p>
      <w:pPr>
        <w:ind w:firstLine="60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附件5：</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承包人用于本工程施工的机械设备表</w:t>
      </w:r>
      <w:r/>
    </w:p>
    <w:tbl>
      <w:tblPr>
        <w:tblStyle w:val="10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Height w:val="397"/>
        </w:trPr>
        <w:tc>
          <w:tcPr>
            <w:tcBorders>
              <w:top w:val="single" w:color="auto" w:sz="12" w:space="0"/>
              <w:bottom w:val="single" w:color="auto" w:sz="6"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jc w:val="center"/>
          <w:trHeight w:val="397"/>
        </w:trPr>
        <w:tc>
          <w:tcPr>
            <w:tcBorders>
              <w:top w:val="single" w:color="auto" w:sz="6" w:space="0"/>
              <w:bottom w:val="single" w:color="auto" w:sz="6"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397"/>
        </w:trPr>
        <w:tc>
          <w:tcPr>
            <w:tcBorders>
              <w:top w:val="none" w:color="000000" w:sz="4"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bl>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附件6：</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承包人主要施工管理人员表</w:t>
      </w:r>
      <w:r/>
    </w:p>
    <w:tbl>
      <w:tblPr>
        <w:tblStyle w:val="1056"/>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738"/>
        <w:gridCol w:w="1318"/>
        <w:gridCol w:w="1055"/>
        <w:gridCol w:w="1055"/>
        <w:gridCol w:w="3958"/>
      </w:tblGrid>
      <w:tr>
        <w:trPr>
          <w:jc w:val="center"/>
          <w:trHeight w:val="510"/>
        </w:trPr>
        <w:tc>
          <w:tcPr>
            <w:tcBorders>
              <w:top w:val="single" w:color="auto" w:sz="12"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    称</w:t>
            </w:r>
            <w:r/>
          </w:p>
        </w:tc>
        <w:tc>
          <w:tcPr>
            <w:tcBorders>
              <w:top w:val="single" w:color="auto" w:sz="12" w:space="0"/>
              <w:bottom w:val="single" w:color="auto" w:sz="6"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职称</w:t>
            </w:r>
            <w:r/>
          </w:p>
        </w:tc>
        <w:tc>
          <w:tcPr>
            <w:tcBorders>
              <w:top w:val="single" w:color="auto" w:sz="12" w:space="0"/>
              <w:bottom w:val="single" w:color="auto" w:sz="6"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主要资历、经验及承担过的项目</w:t>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一、总部人员</w:t>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项目主管</w:t>
            </w:r>
            <w:r/>
          </w:p>
        </w:tc>
        <w:tc>
          <w:tcPr>
            <w:tcBorders>
              <w:top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二、现场人员</w:t>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项目副经理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技术负责人</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造价管理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材料管理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计划管理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安全管理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tcBorders>
            <w:tcW w:w="953" w:type="pct"/>
            <w:vAlign w:val="center"/>
            <w:vMerge w:val="restar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bottom w:val="single" w:color="auto" w:sz="12" w:space="0"/>
            </w:tcBorders>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附件7：</w:t>
      </w:r>
      <w:r/>
    </w:p>
    <w:p>
      <w:pPr>
        <w:ind w:firstLine="600"/>
        <w:jc w:val="center"/>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分包人主要施工管理人员表</w:t>
      </w:r>
      <w:r/>
    </w:p>
    <w:tbl>
      <w:tblPr>
        <w:tblStyle w:val="1056"/>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738"/>
        <w:gridCol w:w="1318"/>
        <w:gridCol w:w="1055"/>
        <w:gridCol w:w="1055"/>
        <w:gridCol w:w="3958"/>
      </w:tblGrid>
      <w:tr>
        <w:trPr>
          <w:jc w:val="center"/>
          <w:trHeight w:val="510"/>
        </w:trPr>
        <w:tc>
          <w:tcPr>
            <w:tcBorders>
              <w:top w:val="single" w:color="auto" w:sz="12"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    称</w:t>
            </w:r>
            <w:r/>
          </w:p>
        </w:tc>
        <w:tc>
          <w:tcPr>
            <w:tcBorders>
              <w:top w:val="single" w:color="auto" w:sz="12" w:space="0"/>
              <w:bottom w:val="single" w:color="auto" w:sz="6"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职称</w:t>
            </w:r>
            <w:r/>
          </w:p>
        </w:tc>
        <w:tc>
          <w:tcPr>
            <w:tcBorders>
              <w:top w:val="single" w:color="auto" w:sz="12" w:space="0"/>
              <w:bottom w:val="single" w:color="auto" w:sz="6"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主要资历、经验及承担过的项目</w:t>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一、总部人员</w:t>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项目主管</w:t>
            </w:r>
            <w:r/>
          </w:p>
        </w:tc>
        <w:tc>
          <w:tcPr>
            <w:tcBorders>
              <w:top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二、现场人员</w:t>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项目副经理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技术负责人</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造价管理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材料管理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计划管理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安全管理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tcBorders>
            <w:tcW w:w="953" w:type="pct"/>
            <w:vAlign w:val="center"/>
            <w:vMerge w:val="restar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bottom w:val="single" w:color="auto" w:sz="12" w:space="0"/>
            </w:tcBorders>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附件8：</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履约担保</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（发包人名称）：</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鉴于（发包人名称，以下简称“发包人”）与</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名称）（以下简称“承包人”）于年月日就（工程名称）施工及有关事项协商一致共同签订《建设工程施工合同》。我方愿意无条件地、不可撤销地就承包人履行与你方签订的合同，向你方提供连带责任担保。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担保金额人民币（大写）元（¥）。</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担保有效期自你方与承包人签订的合同生效之日起至你方签发或应签发工程接收证书之日止。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在本担保有效期内，因承包人违反合同约定的义务给你方造成经济损失时，我方在收到你方以书面形式提出的在担保金额内的赔偿要求后，在7天内无条件支付。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你方和承包人按合同约定变更合同时，我方承担本担保规定的义务不变。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因本保函发生的纠纷，可由双方协商解决，协商不成的，任何一方均可提请仲裁委员会仲裁。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 本保函自我方法定代表人（或其授权代理人）签字并加盖公章之日起生效。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担 保 人：（盖单位章）</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法定代表人或其委托代理人：（签字）</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p>
    <w:p>
      <w:pPr>
        <w:ind w:firstLine="480"/>
        <w:spacing w:line="3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    话：</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年月日</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附件9 ：</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预付款担保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（发包人名称）：</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根据（承包人名称）（以下称“承包人”）与</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（发包人名称）（以下简称“发包人”）</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担保金额人民币（大写）元（¥）。</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担保有效期自预付款支付给承包人起生效，至你方签发的进度款支付证书说明已完全扣清止。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你方和承包人按合同约定变更合同时，我方承担本保函规定的义务不变。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因本保函发生的纠纷，可由双方协商解决，协商不成的，任何一方均可提请仲裁委员会仲裁。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 本保函自我方法定代表人（或其授权代理人）签字并加盖公章之日起生效。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担保人：（盖单位章）</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法定代表人或其委托代理人：（签字）</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    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年月日</w:t>
      </w:r>
      <w:r/>
    </w:p>
    <w:p>
      <w:pPr>
        <w:ind w:firstLine="602"/>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附件10：</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支付担保</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鉴于你方作为承包人已经与</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南京交通职业技术学院</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名称）（以下称“发包人”）于年月日签订了（工程名称）《建设工程施工合同》（以下称“主合同”），应发包人的申请，我方愿就发包人履行主合同约定的工程款支付义务以保证的方式向你方提供如下担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一、保证的范围及保证金额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我方的保证范围是主合同约定的工程款。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本保函所称主合同约定的工程款是指主合同约定的除工程质量保证金以外的合同价款。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我方保证的金额是主合同约定的工程款的%，数额最高不超过人民币元（大写：）。</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二、保证的方式及保证期间</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我方保证的方式为：连带责任保证。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我方保证的期间为：自本合同生效之日起至主合同约定的工程款支付完毕之日后日内。</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你方与发包人协议变更工程款支付日期的，经我方书面同意后，保证期间按照变更后的支付日期做相应调整。</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三、承担保证责任的形式</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我方承担保证责任的形式是代为支付。发包人未按主合同约定向你方支付工程款的，由我方在保证金额内代为支付。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四、代偿的安排</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你方要求我方承担保证责任的，应向我方发出书面索赔通知及发包人未支付主合同约定工程款的证明材料。索赔通知应写明要求索赔的金额，支付款项应到达的账号。</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我方收到你方的书面索赔通知及相应的证明材料后７天内无条件支付。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五、保证责任的解除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在本保函承诺的保证期间内，你方未书面向我方主张保证责任的，自保证期间届满次日起，我方保证责任解除。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发包人按主合同约定履行了工程款的全部支付义务的，自本保函承诺的保证期间届满次日起，我方保证责任解除。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我方按照本保函向你方履行保证责任所支付金额达到本保函保证金额时，自我方向你方支付（支付款项从我方账户划出）之日起，保证责任即解除。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按照法律法规的规定或出现应解除我方保证责任的其他情形的，我方在本保函项下的保证责任亦解除。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我方解除保证责任后，你方应自我方保证责任解除之日起个工作日内，将本保函原件返还我方。</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六、免责条款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因你方违约致使发包人不能履行义务的，我方不承担保证责任。</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依照法律法规的规定或你方与发包人的另行约定，免除发包人部分或全部义务的，我方亦免除其相应的保证责任。</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因不可抗力造成发包人不能履行义务的，我方不承担保证责任。</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七、争议解决</w:t>
      </w:r>
      <w:r/>
    </w:p>
    <w:p>
      <w:pPr>
        <w:ind w:firstLine="480"/>
        <w:spacing w:after="1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因本保函或本保函相关事项发生的纠纷，可由双方协商解决，协商不成的，按下列第种方式解决：</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（1）向仲裁委员会申请仲裁；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（2）向人民法院起诉。</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八、保函的生效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本保函自我方法定代表人（或其授权代理人）签字并加盖公章之日起生效。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right="60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right="60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担保人：（盖章）</w:t>
      </w:r>
      <w:r/>
    </w:p>
    <w:p>
      <w:pPr>
        <w:ind w:right="120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法定代表人或委托代理人：（签字）</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p>
    <w:p>
      <w:pPr>
        <w:ind w:right="150"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asciiTheme="minorEastAsia" w:hAnsiTheme="minorEastAsia" w:eastAsiaTheme="minorEastAsia" w:cstheme="minorEastAsia"/>
          <w:color w:val="000000" w:themeColor="text1"/>
          <w:highlight w:val="none"/>
          <w:u w:val="single"/>
          <w14:textFill>
            <w14:solidFill>
              <w14:schemeClr w14:val="tx1"/>
            </w14:solidFill>
          </w14:textFill>
        </w:rPr>
      </w:r>
      <w:r/>
    </w:p>
    <w:p>
      <w:pPr>
        <w:ind w:right="15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年月日</w:t>
      </w:r>
      <w:r/>
    </w:p>
    <w:p>
      <w:pPr>
        <w:ind w:firstLine="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附件11：</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11-1：材料暂估价表</w:t>
      </w:r>
      <w:r/>
    </w:p>
    <w:tbl>
      <w:tblPr>
        <w:tblStyle w:val="105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97"/>
        <w:gridCol w:w="1996"/>
        <w:gridCol w:w="855"/>
        <w:gridCol w:w="778"/>
        <w:gridCol w:w="1360"/>
        <w:gridCol w:w="1426"/>
        <w:gridCol w:w="1711"/>
      </w:tblGrid>
      <w:tr>
        <w:trPr>
          <w:jc w:val="center"/>
          <w:trHeight w:val="910"/>
        </w:trPr>
        <w:tc>
          <w:tcPr>
            <w:tcBorders>
              <w:top w:val="single" w:color="auto" w:sz="12" w:space="0"/>
              <w:bottom w:val="single" w:color="auto" w:sz="6"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p>
        </w:tc>
        <w:tc>
          <w:tcPr>
            <w:tcBorders>
              <w:top w:val="single" w:color="auto" w:sz="12"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w:t>
            </w:r>
            <w:r/>
          </w:p>
        </w:tc>
        <w:tc>
          <w:tcPr>
            <w:tcBorders>
              <w:top w:val="single" w:color="auto" w:sz="12"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单价（元）</w:t>
            </w:r>
            <w:r/>
          </w:p>
        </w:tc>
        <w:tc>
          <w:tcPr>
            <w:tcBorders>
              <w:top w:val="single" w:color="auto" w:sz="12"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合价（元）</w:t>
            </w:r>
            <w:r/>
          </w:p>
        </w:tc>
        <w:tc>
          <w:tcPr>
            <w:tcBorders>
              <w:top w:val="single" w:color="auto" w:sz="12"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jc w:val="center"/>
          <w:trHeight w:val="485"/>
        </w:trPr>
        <w:tc>
          <w:tcPr>
            <w:tcBorders>
              <w:top w:val="single" w:color="auto" w:sz="6" w:space="0"/>
              <w:bottom w:val="single" w:color="auto" w:sz="6"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Borders>
              <w:top w:val="none" w:color="000000" w:sz="4"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8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11-2：工程设备暂估价表</w:t>
      </w:r>
      <w:r/>
    </w:p>
    <w:tbl>
      <w:tblPr>
        <w:tblStyle w:val="1056"/>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99"/>
        <w:gridCol w:w="1996"/>
        <w:gridCol w:w="854"/>
        <w:gridCol w:w="778"/>
        <w:gridCol w:w="1360"/>
        <w:gridCol w:w="1426"/>
        <w:gridCol w:w="1711"/>
      </w:tblGrid>
      <w:tr>
        <w:trPr>
          <w:trHeight w:val="903"/>
        </w:trPr>
        <w:tc>
          <w:tcPr>
            <w:tcBorders>
              <w:top w:val="single" w:color="auto" w:sz="12" w:space="0"/>
              <w:bottom w:val="single" w:color="auto" w:sz="6"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p>
        </w:tc>
        <w:tc>
          <w:tcPr>
            <w:tcBorders>
              <w:top w:val="single" w:color="auto" w:sz="12"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w:t>
            </w:r>
            <w:r/>
          </w:p>
        </w:tc>
        <w:tc>
          <w:tcPr>
            <w:tcBorders>
              <w:top w:val="single" w:color="auto" w:sz="12"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单价（元）</w:t>
            </w:r>
            <w:r/>
          </w:p>
        </w:tc>
        <w:tc>
          <w:tcPr>
            <w:tcBorders>
              <w:top w:val="single" w:color="auto" w:sz="12"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合价（元）</w:t>
            </w:r>
            <w:r/>
          </w:p>
        </w:tc>
        <w:tc>
          <w:tcPr>
            <w:tcBorders>
              <w:top w:val="single" w:color="auto" w:sz="12"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trHeight w:val="481"/>
        </w:trPr>
        <w:tc>
          <w:tcPr>
            <w:tcBorders>
              <w:top w:val="single" w:color="auto" w:sz="6" w:space="0"/>
              <w:bottom w:val="single" w:color="auto" w:sz="6"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Borders>
              <w:top w:val="none" w:color="000000" w:sz="4"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81"/>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11-3：专业工程暂估价表</w:t>
      </w:r>
      <w:r/>
    </w:p>
    <w:tbl>
      <w:tblPr>
        <w:tblStyle w:val="1056"/>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09"/>
        <w:gridCol w:w="2051"/>
        <w:gridCol w:w="4841"/>
        <w:gridCol w:w="1323"/>
      </w:tblGrid>
      <w:tr>
        <w:trPr>
          <w:trHeight w:val="389"/>
        </w:trPr>
        <w:tc>
          <w:tcPr>
            <w:tcBorders>
              <w:top w:val="single" w:color="auto" w:sz="12" w:space="0"/>
              <w:bottom w:val="single" w:color="auto" w:sz="6" w:space="0"/>
            </w:tcBorders>
            <w:tcW w:w="498"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124"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专业工程名称</w:t>
            </w:r>
            <w:r/>
          </w:p>
        </w:tc>
        <w:tc>
          <w:tcPr>
            <w:tcBorders>
              <w:top w:val="single" w:color="auto" w:sz="12" w:space="0"/>
              <w:bottom w:val="single" w:color="auto" w:sz="6" w:space="0"/>
            </w:tcBorders>
            <w:tcW w:w="2653"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工程内容</w:t>
            </w:r>
            <w:r/>
          </w:p>
        </w:tc>
        <w:tc>
          <w:tcPr>
            <w:tcBorders>
              <w:top w:val="single" w:color="auto" w:sz="12" w:space="0"/>
              <w:bottom w:val="single" w:color="auto" w:sz="6" w:space="0"/>
            </w:tcBorders>
            <w:tcW w:w="723"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金额</w:t>
            </w:r>
            <w:r/>
          </w:p>
        </w:tc>
      </w:tr>
      <w:tr>
        <w:trPr>
          <w:trHeight w:val="402"/>
        </w:trPr>
        <w:tc>
          <w:tcPr>
            <w:tcBorders>
              <w:top w:val="single" w:color="auto" w:sz="6" w:space="0"/>
              <w:bottom w:val="single" w:color="auto" w:sz="6"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Borders>
              <w:top w:val="none" w:color="000000" w:sz="4"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Borders>
              <w:top w:val="none" w:color="000000" w:sz="4"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02"/>
        </w:trPr>
        <w:tc>
          <w:tcPr>
            <w:gridSpan w:val="4"/>
            <w:tcW w:w="5000"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小计：</w:t>
            </w:r>
            <w:r/>
          </w:p>
        </w:tc>
      </w:tr>
    </w:tbl>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附件12：主材一览表</w:t>
      </w:r>
      <w:r/>
    </w:p>
    <w:tbl>
      <w:tblPr>
        <w:tblStyle w:val="105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752"/>
        <w:gridCol w:w="2443"/>
        <w:gridCol w:w="2593"/>
        <w:gridCol w:w="3398"/>
      </w:tblGrid>
      <w:tr>
        <w:trPr>
          <w:jc w:val="center"/>
          <w:trHeight w:val="156"/>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材料名称</w:t>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备注</w:t>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bookmarkEnd w:id="16"/>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正本/副本</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项目名称：_______________</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14:textFill>
            <w14:solidFill>
              <w14:schemeClr w14:val="tx1"/>
            </w14:solidFill>
          </w14:textFill>
        </w:rPr>
        <w:t xml:space="preserve">（加盖电子公章）</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期：________________</w:t>
      </w:r>
      <w:r/>
    </w:p>
    <w:p>
      <w:pPr>
        <w:ind w:firstLine="883"/>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br w:type="page" w:clear="all"/>
      </w:r>
      <w:r/>
    </w:p>
    <w:p>
      <w:pPr>
        <w:ind w:firstLine="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ind w:firstLine="64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目录一、开标一览表</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开标一览表（总价）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w:t>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投标项目名称</w:t>
            </w:r>
            <w:r/>
          </w:p>
        </w:tc>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元</w:t>
            </w:r>
            <w:r/>
          </w:p>
        </w:tc>
      </w:tr>
    </w:tbl>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目录二、投标分项报价表</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投标分项报价表（工程）</w:t>
      </w:r>
      <w:r/>
    </w:p>
    <w:p>
      <w:pPr>
        <w:ind w:firstLine="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投标人根据附件工程量清单格式提供已标价工程量报价清单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目录三、投标函</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致：南京交通职业技术学院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根据贵方（项目名称、项目编号）投标邀请，正式授权下述（签字人姓名、职务）代表（投标人名称），提交投标文件。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3.我公司同意从规定的开标日期起遵循本投标文件，并在规定的投标有效期期满之前均具有约束力。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4.一旦我公司中标，将根据招标文件的规定严格履行合同，并保证在合同履行期内完成本项目所述内容。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6.与本次投标有关的正式联系方式为：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目录四、法定代表人身份证明格式或法定代表人授权书格式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法定代表人身份证明（无授权委托的须提供）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系（投标人名称）的法定代表人。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年月日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本授权书于年月日签字生效，特此声明。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日期：年月日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投标人或分支机构近半年内任意一个月为授权委托人缴纳社保的证明：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五</w:t>
      </w:r>
      <w:r>
        <w:rPr>
          <w:color w:val="000000" w:themeColor="text1"/>
          <w:highlight w:val="none"/>
          <w14:textFill>
            <w14:solidFill>
              <w14:schemeClr w14:val="tx1"/>
            </w14:solidFill>
          </w14:textFill>
        </w:rPr>
        <w:t xml:space="preserve">、资格证明文件</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资格证明文件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具有良好的商业信誉和健全的财务会计制度（提供以下三种材料的任意一种，</w:t>
      </w:r>
      <w:r>
        <w:rPr>
          <w:rFonts w:hint="eastAsia"/>
          <w:color w:val="000000" w:themeColor="text1"/>
          <w:highlight w:val="none"/>
          <w14:textFill>
            <w14:solidFill>
              <w14:schemeClr w14:val="tx1"/>
            </w14:solidFill>
          </w14:textFill>
        </w:rPr>
        <w:t xml:space="preserve">扫描件</w:t>
      </w:r>
      <w:r>
        <w:rPr>
          <w:color w:val="000000" w:themeColor="text1"/>
          <w:highlight w:val="none"/>
          <w14:textFill>
            <w14:solidFill>
              <w14:schemeClr w14:val="tx1"/>
            </w14:solidFill>
          </w14:textFill>
        </w:rPr>
        <w:t xml:space="preserve">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2024</w:t>
      </w:r>
      <w:r>
        <w:rPr>
          <w:color w:val="000000" w:themeColor="text1"/>
          <w:highlight w:val="none"/>
          <w14:textFill>
            <w14:solidFill>
              <w14:schemeClr w14:val="tx1"/>
            </w14:solidFill>
          </w14:textFill>
        </w:rPr>
        <w:t xml:space="preserve">年度</w:t>
      </w:r>
      <w:r>
        <w:rPr>
          <w:rFonts w:hint="eastAsia"/>
          <w:color w:val="000000" w:themeColor="text1"/>
          <w:highlight w:val="none"/>
          <w14:textFill>
            <w14:solidFill>
              <w14:schemeClr w14:val="tx1"/>
            </w14:solidFill>
          </w14:textFill>
        </w:rPr>
        <w:t xml:space="preserve">或2025年度</w:t>
      </w:r>
      <w:r>
        <w:rPr>
          <w:color w:val="000000" w:themeColor="text1"/>
          <w:highlight w:val="none"/>
          <w14:textFill>
            <w14:solidFill>
              <w14:schemeClr w14:val="tx1"/>
            </w14:solidFill>
          </w14:textFill>
        </w:rPr>
        <w:t xml:space="preserve">的经第三方会计师事务所审计的财务报告</w:t>
      </w:r>
      <w:r>
        <w:rPr>
          <w:rFonts w:hint="eastAsia"/>
          <w:color w:val="000000" w:themeColor="text1"/>
          <w:highlight w:val="none"/>
          <w14:textFill>
            <w14:solidFill>
              <w14:schemeClr w14:val="tx1"/>
            </w14:solidFill>
          </w14:textFill>
        </w:rPr>
        <w:t xml:space="preserve">扫描件（包括报告及报表等内容，并由注册会计师签名、盖章以及会计师事务所盖章）</w:t>
      </w:r>
      <w:r>
        <w:rPr>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②提交投标文件截止日前六个月内基本开户银行出具的资信证明；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14:textFill>
            <w14:solidFill>
              <w14:schemeClr w14:val="tx1"/>
            </w14:solidFill>
          </w14:textFill>
        </w:rPr>
        <w:t xml:space="preserve">或</w:t>
      </w:r>
      <w:r>
        <w:rPr>
          <w:color w:val="000000" w:themeColor="text1"/>
          <w:highlight w:val="none"/>
          <w14:textFill>
            <w14:solidFill>
              <w14:schemeClr w14:val="tx1"/>
            </w14:solidFill>
          </w14:textFill>
        </w:rPr>
        <w:t xml:space="preserve">证明材料）</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主要专业技术能力有：。（若有）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（投标人名称）</w:t>
      </w:r>
      <w:r>
        <w:rPr>
          <w:rFonts w:hint="eastAsia"/>
          <w:color w:val="000000" w:themeColor="text1"/>
          <w:highlight w:val="none"/>
          <w14:textFill>
            <w14:solidFill>
              <w14:schemeClr w14:val="tx1"/>
            </w14:solidFill>
          </w14:textFill>
        </w:rPr>
        <w:t xml:space="preserve">郑重声明：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参加政府采购活动前3年内在经营活动中（在下划线上如实填写：有或没有）重大违法记录。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6.落实政府采购政策需满足的资格要求：</w:t>
      </w:r>
      <w:r>
        <w:rPr>
          <w:rFonts w:hint="eastAsia" w:ascii="宋体" w:hAnsi="宋体"/>
          <w:color w:val="000000" w:themeColor="text1"/>
          <w:highlight w:val="none"/>
          <w14:textFill>
            <w14:solidFill>
              <w14:schemeClr w14:val="tx1"/>
            </w14:solidFill>
          </w14:textFill>
        </w:rPr>
        <w:t xml:space="preserve">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注2：从业人员、营业收入、资产总额填报上一年度（2025年度）数据，无上一年度数据的新成立企业可不填报。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注：非残疾人福利性单位无须提供。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注：非监狱企业无须提供。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本项目的特定资格要求：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（1）投标人具有建筑工程施工总承包</w:t>
      </w:r>
      <w:r>
        <w:rPr>
          <w:rFonts w:hint="eastAsia"/>
          <w:color w:val="000000" w:themeColor="text1"/>
          <w:highlight w:val="none"/>
          <w:lang w:val="en-US" w:eastAsia="zh-CN"/>
          <w14:textFill>
            <w14:solidFill>
              <w14:schemeClr w14:val="tx1"/>
            </w14:solidFill>
          </w14:textFill>
        </w:rPr>
        <w:t xml:space="preserve">三级</w:t>
      </w:r>
      <w:r>
        <w:rPr>
          <w:rFonts w:hint="eastAsia"/>
          <w:color w:val="000000" w:themeColor="text1"/>
          <w:highlight w:val="none"/>
          <w14:textFill>
            <w14:solidFill>
              <w14:schemeClr w14:val="tx1"/>
            </w14:solidFill>
          </w14:textFill>
        </w:rPr>
        <w:t xml:space="preserve">及以上资质并取得安全生产许可证。（提供有效的资质证书及安全生产许可证扫描件加盖公章）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项目负责人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1056"/>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附：证明材料1，证明材料2……（如招标文件要求提供佐证材料的，须将证明材料列于技术条款偏离表之下）</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w:t>
      </w:r>
      <w:r>
        <w:rPr>
          <w:rFonts w:hint="eastAsia"/>
          <w:color w:val="000000" w:themeColor="text1"/>
          <w:highlight w:val="none"/>
          <w:lang w:val="en-US" w:eastAsia="zh-CN"/>
          <w14:textFill>
            <w14:solidFill>
              <w14:schemeClr w14:val="tx1"/>
            </w14:solidFill>
          </w14:textFill>
        </w:rPr>
        <w:t xml:space="preserve">证明材料1、</w:t>
      </w:r>
      <w:r>
        <w:rPr>
          <w:rFonts w:hint="eastAsia"/>
          <w:color w:val="000000" w:themeColor="text1"/>
          <w:highlight w:val="none"/>
          <w14:textFill>
            <w14:solidFill>
              <w14:schemeClr w14:val="tx1"/>
            </w14:solidFill>
          </w14:textFill>
        </w:rPr>
        <w:t xml:space="preserve">主要材料品牌响应承诺书</w:t>
      </w:r>
      <w:r/>
    </w:p>
    <w:p>
      <w:pPr>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主要材料品牌响应承诺书</w:t>
      </w:r>
      <w:r/>
    </w:p>
    <w:p>
      <w:pPr>
        <w:ind w:firstLine="48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（采购人名称）</w:t>
      </w:r>
      <w:r>
        <w:rPr>
          <w:rFonts w:hint="eastAsia" w:ascii="宋体" w:hAnsi="宋体" w:cs="宋体"/>
          <w:bCs/>
          <w:color w:val="000000" w:themeColor="text1"/>
          <w:highlight w:val="none"/>
          <w14:textFill>
            <w14:solidFill>
              <w14:schemeClr w14:val="tx1"/>
            </w14:solidFill>
          </w14:textFill>
        </w:rPr>
        <w:t xml:space="preserve">：</w:t>
      </w:r>
      <w:r/>
    </w:p>
    <w:p>
      <w:pPr>
        <w:ind w:firstLine="7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我单位在参加</w:t>
      </w:r>
      <w:r>
        <w:rPr>
          <w:rFonts w:hint="eastAsia" w:ascii="宋体" w:hAnsi="宋体" w:cs="宋体"/>
          <w:color w:val="000000" w:themeColor="text1"/>
          <w:highlight w:val="none"/>
          <w:u w:val="single"/>
          <w14:textFill>
            <w14:solidFill>
              <w14:schemeClr w14:val="tx1"/>
            </w14:solidFill>
          </w14:textFill>
        </w:rPr>
        <w:t xml:space="preserve">（项目名称）、（项目编号）</w:t>
      </w:r>
      <w:r>
        <w:rPr>
          <w:rFonts w:hint="eastAsia" w:ascii="宋体" w:hAnsi="宋体" w:cs="宋体"/>
          <w:color w:val="000000" w:themeColor="text1"/>
          <w:highlight w:val="none"/>
          <w14:textFill>
            <w14:solidFill>
              <w14:schemeClr w14:val="tx1"/>
            </w14:solidFill>
          </w14:textFill>
        </w:rPr>
        <w:t xml:space="preserve">的采购活动中，已对招标文件（含清单）仔细阅读，充分考虑了允许我方选择推荐的品牌或推荐品牌以外的产品进行响应的情况我方承诺如下：</w:t>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863"/>
        <w:gridCol w:w="2387"/>
        <w:gridCol w:w="3860"/>
      </w:tblGrid>
      <w:tr>
        <w:trPr/>
        <w:tc>
          <w:tcPr>
            <w:tcW w:w="117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序号</w:t>
            </w:r>
            <w:r/>
          </w:p>
        </w:tc>
        <w:tc>
          <w:tcPr>
            <w:tcW w:w="186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主材名称</w:t>
            </w:r>
            <w:r/>
          </w:p>
        </w:tc>
        <w:tc>
          <w:tcPr>
            <w:tcW w:w="238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品牌</w:t>
            </w:r>
            <w:r/>
          </w:p>
        </w:tc>
        <w:tc>
          <w:tcPr>
            <w:tcW w:w="38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主要技术参数（仅在</w:t>
            </w:r>
            <w:r>
              <w:rPr>
                <w:rFonts w:hint="eastAsia" w:ascii="宋体" w:hAnsi="宋体" w:cs="宋体"/>
                <w:b/>
                <w:bCs/>
                <w:color w:val="000000" w:themeColor="text1"/>
                <w:highlight w:val="none"/>
                <w:lang w:val="en-US" w:eastAsia="zh-CN"/>
                <w14:textFill>
                  <w14:solidFill>
                    <w14:schemeClr w14:val="tx1"/>
                  </w14:solidFill>
                </w14:textFill>
              </w:rPr>
              <w:t xml:space="preserve">选用推荐品牌同等或更高档次的品牌时填写</w:t>
            </w:r>
            <w:r>
              <w:rPr>
                <w:rFonts w:hint="eastAsia" w:ascii="宋体" w:hAnsi="宋体" w:cs="宋体"/>
                <w:color w:val="000000" w:themeColor="text1"/>
                <w:highlight w:val="none"/>
                <w:vertAlign w:val="baseline"/>
                <w:lang w:val="en-US" w:eastAsia="zh-CN"/>
                <w14:textFill>
                  <w14:solidFill>
                    <w14:schemeClr w14:val="tx1"/>
                  </w14:solidFill>
                </w14:textFill>
              </w:rPr>
              <w:t xml:space="preserve">）</w:t>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bl>
    <w:p>
      <w:pPr>
        <w:ind w:left="0"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20"/>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firstLine="720"/>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期：______年___月___日</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52"/>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b/>
          <w:bCs/>
          <w:color w:val="000000" w:themeColor="text1"/>
          <w:highlight w:val="none"/>
          <w14:textFill>
            <w14:solidFill>
              <w14:schemeClr w14:val="tx1"/>
            </w14:solidFill>
          </w14:textFill>
        </w:rPr>
        <w:t xml:space="preserve">偏离</w:t>
      </w:r>
      <w:r>
        <w:rPr>
          <w:rFonts w:hint="eastAsia"/>
          <w:b/>
          <w:bCs/>
          <w:color w:val="000000" w:themeColor="text1"/>
          <w:highlight w:val="none"/>
          <w:lang w:val="zh-CN"/>
          <w14:textFill>
            <w14:solidFill>
              <w14:schemeClr w14:val="tx1"/>
            </w14:solidFill>
          </w14:textFill>
        </w:rPr>
        <w:t xml:space="preserve">表</w:t>
      </w:r>
      <w:r/>
    </w:p>
    <w:tbl>
      <w:tblPr>
        <w:tblStyle w:val="10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附：证明材料1，证明材料2……（如招标文件要求提供佐证材料的，须将证明材料列于商务条款偏离表之下）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color w:val="000000" w:themeColor="text1"/>
          <w:highlight w:val="none"/>
          <w:lang w:val="en-US" w:eastAsia="zh-CN"/>
          <w14:textFill>
            <w14:solidFill>
              <w14:schemeClr w14:val="tx1"/>
            </w14:solidFill>
          </w14:textFill>
        </w:rPr>
        <w:t xml:space="preserve">证明材料1、《项目实施进度计划表》及《节点工期承诺书》</w:t>
      </w:r>
      <w:r/>
    </w:p>
    <w:p>
      <w:pPr>
        <w:ind w:left="0" w:firstLine="0"/>
        <w:jc w:val="both"/>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1052"/>
        <w:ind w:firstLine="0"/>
        <w:rPr>
          <w:rFonts w:hint="eastAsia"/>
          <w:color w:val="000000" w:themeColor="text1"/>
          <w:highlight w:val="none"/>
          <w:lang w:val="en-US" w:eastAsia="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color w:val="000000" w:themeColor="text1"/>
          <w:highlight w:val="none"/>
          <w:lang w:val="en-US" w:eastAsia="zh-CN"/>
          <w14:textFill>
            <w14:solidFill>
              <w14:schemeClr w14:val="tx1"/>
            </w14:solidFill>
          </w14:textFill>
        </w:rPr>
        <w:t xml:space="preserve">证明材料2、采购需求实质性要求承诺书</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采购需求实质性要求承诺书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（投标人名称）</w:t>
      </w:r>
      <w:r>
        <w:rPr>
          <w:rFonts w:hint="eastAsia"/>
          <w:color w:val="000000" w:themeColor="text1"/>
          <w:highlight w:val="none"/>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color w:val="000000" w:themeColor="text1"/>
          <w:highlight w:val="none"/>
          <w14:textFill>
            <w14:solidFill>
              <w14:schemeClr w14:val="tx1"/>
            </w14:solidFill>
          </w14:textFill>
        </w:rPr>
        <w:t xml:space="preserve">：</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1.我公司承诺不得将成交项目转包及其它违规行为，一经发现立即取消施工资格，并按相关法律法规上报处理。</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2.我公司承诺拟派项目负责人满足下列条件：</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（1）项目负责人不得同时在两个或者两个以上单位受聘或者执业。</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（3）项目负责人无行贿犯罪行为记录；或有行贿犯罪行为记录，但自记录之日起已超过5年的。</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注：以上在建工程是指在其他项目担任项目负责人职务。</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我公司承诺</w:t>
      </w:r>
      <w:r>
        <w:rPr>
          <w:rFonts w:hint="default"/>
          <w:color w:val="000000" w:themeColor="text1"/>
          <w:highlight w:val="none"/>
          <w:lang w:val="en-US" w:eastAsia="zh-CN"/>
          <w14:textFill>
            <w14:solidFill>
              <w14:schemeClr w14:val="tx1"/>
            </w14:solidFill>
          </w14:textFill>
        </w:rPr>
        <w:t xml:space="preserve">没有因拖欠工人工资或者发生质量安全事故被有关部门限制在项目所在地承接工程的。</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default"/>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我公司承诺</w:t>
      </w:r>
      <w:r>
        <w:rPr>
          <w:rFonts w:hint="default"/>
          <w:color w:val="000000" w:themeColor="text1"/>
          <w:highlight w:val="none"/>
          <w:lang w:val="en-US" w:eastAsia="zh-CN"/>
          <w14:textFill>
            <w14:solidFill>
              <w14:schemeClr w14:val="tx1"/>
            </w14:solidFill>
          </w14:textFill>
        </w:rPr>
        <w:t xml:space="preserve">不转包、分包本项目。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               </w:t>
      </w:r>
      <w:r/>
    </w:p>
    <w:p>
      <w:pPr>
        <w:ind w:firstLine="48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目录八、投标需要的其他证明文件及材料</w:t>
      </w:r>
      <w:r/>
    </w:p>
    <w:p>
      <w:pPr>
        <w:ind w:firstLine="0"/>
        <w:jc w:val="center"/>
        <w:rPr>
          <w:rFonts w:ascii="宋体" w:hAnsi="宋体" w:cs="宋体"/>
          <w:color w:val="000000" w:themeColor="text1"/>
          <w:sz w:val="28"/>
          <w:szCs w:val="28"/>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投标需要的其他证明文件及材料（若有）</w:t>
      </w:r>
      <w:r/>
    </w:p>
    <w:sectPr>
      <w:headerReference w:type="default" r:id="rId13"/>
      <w:footerReference w:type="default" r:id="rId17"/>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2"/>
                      <w:ind w:firstLine="36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9"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2"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8"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3"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p>
    <w:pPr>
      <w:pStyle w:val="1063"/>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4"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0"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1053"/>
      <w:isLgl w:val="false"/>
      <w:suff w:val="nothing"/>
      <w:lvlText w:val=""/>
      <w:lvlJc w:val="left"/>
      <w:pPr>
        <w:ind w:left="0" w:firstLine="0"/>
      </w:pPr>
    </w:lvl>
    <w:lvl w:ilvl="3">
      <w:start w:val="1"/>
      <w:numFmt w:val="none"/>
      <w:pStyle w:val="105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55"/>
    <w:link w:val="1051"/>
    <w:uiPriority w:val="9"/>
    <w:rPr>
      <w:rFonts w:ascii="Arial" w:hAnsi="Arial" w:eastAsia="Arial" w:cs="Arial"/>
      <w:sz w:val="40"/>
      <w:szCs w:val="40"/>
    </w:rPr>
  </w:style>
  <w:style w:type="character" w:styleId="881">
    <w:name w:val="Heading 2 Char"/>
    <w:basedOn w:val="1055"/>
    <w:link w:val="1052"/>
    <w:uiPriority w:val="9"/>
    <w:rPr>
      <w:rFonts w:ascii="Arial" w:hAnsi="Arial" w:eastAsia="Arial" w:cs="Arial"/>
      <w:sz w:val="34"/>
    </w:rPr>
  </w:style>
  <w:style w:type="character" w:styleId="882">
    <w:name w:val="Heading 3 Char"/>
    <w:basedOn w:val="1055"/>
    <w:link w:val="1053"/>
    <w:uiPriority w:val="9"/>
    <w:rPr>
      <w:rFonts w:ascii="Arial" w:hAnsi="Arial" w:eastAsia="Arial" w:cs="Arial"/>
      <w:sz w:val="30"/>
      <w:szCs w:val="30"/>
    </w:rPr>
  </w:style>
  <w:style w:type="character" w:styleId="883">
    <w:name w:val="Heading 4 Char"/>
    <w:basedOn w:val="1055"/>
    <w:link w:val="1054"/>
    <w:uiPriority w:val="9"/>
    <w:rPr>
      <w:rFonts w:ascii="Arial" w:hAnsi="Arial" w:eastAsia="Arial" w:cs="Arial"/>
      <w:b/>
      <w:bCs/>
      <w:sz w:val="26"/>
      <w:szCs w:val="26"/>
    </w:rPr>
  </w:style>
  <w:style w:type="paragraph" w:styleId="884">
    <w:name w:val="Heading 5"/>
    <w:basedOn w:val="1050"/>
    <w:next w:val="1050"/>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basedOn w:val="1055"/>
    <w:link w:val="884"/>
    <w:uiPriority w:val="9"/>
    <w:rPr>
      <w:rFonts w:ascii="Arial" w:hAnsi="Arial" w:eastAsia="Arial" w:cs="Arial"/>
      <w:b/>
      <w:bCs/>
      <w:sz w:val="24"/>
      <w:szCs w:val="24"/>
    </w:rPr>
  </w:style>
  <w:style w:type="paragraph" w:styleId="886">
    <w:name w:val="Heading 6"/>
    <w:basedOn w:val="1050"/>
    <w:next w:val="1050"/>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basedOn w:val="1055"/>
    <w:link w:val="886"/>
    <w:uiPriority w:val="9"/>
    <w:rPr>
      <w:rFonts w:ascii="Arial" w:hAnsi="Arial" w:eastAsia="Arial" w:cs="Arial"/>
      <w:b/>
      <w:bCs/>
      <w:sz w:val="22"/>
      <w:szCs w:val="22"/>
    </w:rPr>
  </w:style>
  <w:style w:type="paragraph" w:styleId="888">
    <w:name w:val="Heading 7"/>
    <w:basedOn w:val="1050"/>
    <w:next w:val="1050"/>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basedOn w:val="1055"/>
    <w:link w:val="888"/>
    <w:uiPriority w:val="9"/>
    <w:rPr>
      <w:rFonts w:ascii="Arial" w:hAnsi="Arial" w:eastAsia="Arial" w:cs="Arial"/>
      <w:b/>
      <w:bCs/>
      <w:i/>
      <w:iCs/>
      <w:sz w:val="22"/>
      <w:szCs w:val="22"/>
    </w:rPr>
  </w:style>
  <w:style w:type="paragraph" w:styleId="890">
    <w:name w:val="Heading 8"/>
    <w:basedOn w:val="1050"/>
    <w:next w:val="1050"/>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basedOn w:val="1055"/>
    <w:link w:val="890"/>
    <w:uiPriority w:val="9"/>
    <w:rPr>
      <w:rFonts w:ascii="Arial" w:hAnsi="Arial" w:eastAsia="Arial" w:cs="Arial"/>
      <w:i/>
      <w:iCs/>
      <w:sz w:val="22"/>
      <w:szCs w:val="22"/>
    </w:rPr>
  </w:style>
  <w:style w:type="paragraph" w:styleId="892">
    <w:name w:val="Heading 9"/>
    <w:basedOn w:val="1050"/>
    <w:next w:val="1050"/>
    <w:link w:val="893"/>
    <w:uiPriority w:val="9"/>
    <w:unhideWhenUsed/>
    <w:qFormat/>
    <w:pPr>
      <w:keepLines/>
      <w:keepNext/>
      <w:spacing w:before="320" w:after="200"/>
      <w:outlineLvl w:val="8"/>
    </w:pPr>
    <w:rPr>
      <w:rFonts w:ascii="Arial" w:hAnsi="Arial" w:eastAsia="Arial" w:cs="Arial"/>
      <w:i/>
      <w:iCs/>
      <w:sz w:val="21"/>
      <w:szCs w:val="21"/>
    </w:rPr>
  </w:style>
  <w:style w:type="character" w:styleId="893">
    <w:name w:val="Heading 9 Char"/>
    <w:basedOn w:val="1055"/>
    <w:link w:val="892"/>
    <w:uiPriority w:val="9"/>
    <w:rPr>
      <w:rFonts w:ascii="Arial" w:hAnsi="Arial" w:eastAsia="Arial" w:cs="Arial"/>
      <w:i/>
      <w:iCs/>
      <w:sz w:val="21"/>
      <w:szCs w:val="21"/>
    </w:rPr>
  </w:style>
  <w:style w:type="paragraph" w:styleId="894">
    <w:name w:val="No Spacing"/>
    <w:uiPriority w:val="1"/>
    <w:qFormat/>
    <w:pPr>
      <w:spacing w:before="0" w:after="0" w:line="240" w:lineRule="auto"/>
    </w:pPr>
  </w:style>
  <w:style w:type="paragraph" w:styleId="895">
    <w:name w:val="Title"/>
    <w:basedOn w:val="1050"/>
    <w:next w:val="1050"/>
    <w:link w:val="896"/>
    <w:uiPriority w:val="10"/>
    <w:qFormat/>
    <w:pPr>
      <w:contextualSpacing/>
      <w:spacing w:before="300" w:after="200"/>
    </w:pPr>
    <w:rPr>
      <w:sz w:val="48"/>
      <w:szCs w:val="48"/>
    </w:rPr>
  </w:style>
  <w:style w:type="character" w:styleId="896">
    <w:name w:val="Title Char"/>
    <w:basedOn w:val="1055"/>
    <w:link w:val="895"/>
    <w:uiPriority w:val="10"/>
    <w:rPr>
      <w:sz w:val="48"/>
      <w:szCs w:val="48"/>
    </w:rPr>
  </w:style>
  <w:style w:type="paragraph" w:styleId="897">
    <w:name w:val="Subtitle"/>
    <w:basedOn w:val="1050"/>
    <w:next w:val="1050"/>
    <w:link w:val="898"/>
    <w:uiPriority w:val="11"/>
    <w:qFormat/>
    <w:pPr>
      <w:spacing w:before="200" w:after="200"/>
    </w:pPr>
    <w:rPr>
      <w:sz w:val="24"/>
      <w:szCs w:val="24"/>
    </w:rPr>
  </w:style>
  <w:style w:type="character" w:styleId="898">
    <w:name w:val="Subtitle Char"/>
    <w:basedOn w:val="1055"/>
    <w:link w:val="897"/>
    <w:uiPriority w:val="11"/>
    <w:rPr>
      <w:sz w:val="24"/>
      <w:szCs w:val="24"/>
    </w:rPr>
  </w:style>
  <w:style w:type="paragraph" w:styleId="899">
    <w:name w:val="Quote"/>
    <w:basedOn w:val="1050"/>
    <w:next w:val="1050"/>
    <w:link w:val="900"/>
    <w:uiPriority w:val="29"/>
    <w:qFormat/>
    <w:pPr>
      <w:ind w:left="720" w:right="720"/>
    </w:pPr>
    <w:rPr>
      <w:i/>
    </w:rPr>
  </w:style>
  <w:style w:type="character" w:styleId="900">
    <w:name w:val="Quote Char"/>
    <w:link w:val="899"/>
    <w:uiPriority w:val="29"/>
    <w:rPr>
      <w:i/>
    </w:rPr>
  </w:style>
  <w:style w:type="paragraph" w:styleId="901">
    <w:name w:val="Intense Quote"/>
    <w:basedOn w:val="1050"/>
    <w:next w:val="1050"/>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character" w:styleId="903">
    <w:name w:val="Header Char"/>
    <w:basedOn w:val="1055"/>
    <w:link w:val="1063"/>
    <w:uiPriority w:val="99"/>
  </w:style>
  <w:style w:type="character" w:styleId="904">
    <w:name w:val="Footer Char"/>
    <w:basedOn w:val="1055"/>
    <w:link w:val="1062"/>
    <w:uiPriority w:val="99"/>
  </w:style>
  <w:style w:type="paragraph" w:styleId="905">
    <w:name w:val="Caption"/>
    <w:basedOn w:val="1050"/>
    <w:next w:val="1050"/>
    <w:uiPriority w:val="35"/>
    <w:semiHidden/>
    <w:unhideWhenUsed/>
    <w:qFormat/>
    <w:pPr>
      <w:spacing w:line="276" w:lineRule="auto"/>
    </w:pPr>
    <w:rPr>
      <w:b/>
      <w:bCs/>
      <w:color w:val="4f81bd" w:themeColor="accent1"/>
      <w:sz w:val="18"/>
      <w:szCs w:val="18"/>
    </w:rPr>
  </w:style>
  <w:style w:type="character" w:styleId="906">
    <w:name w:val="Caption Char"/>
    <w:basedOn w:val="905"/>
    <w:link w:val="1062"/>
    <w:uiPriority w:val="99"/>
  </w:style>
  <w:style w:type="table" w:styleId="907">
    <w:name w:val="Table Grid Light"/>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8">
    <w:name w:val="Plain Table 1"/>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basedOn w:val="10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basedOn w:val="10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1 Light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5">
    <w:name w:val="Grid Table 1 Light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6">
    <w:name w:val="Grid Table 1 Light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7">
    <w:name w:val="Grid Table 1 Light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8">
    <w:name w:val="Grid Table 1 Light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9">
    <w:name w:val="Grid Table 1 Light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0">
    <w:name w:val="Grid Table 2"/>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2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2">
    <w:name w:val="Grid Table 2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2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2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2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6">
    <w:name w:val="Grid Table 2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7">
    <w:name w:val="Grid Table 3"/>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basedOn w:val="10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4 - Accent 1"/>
    <w:basedOn w:val="10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6">
    <w:name w:val="Grid Table 4 - Accent 2"/>
    <w:basedOn w:val="10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7">
    <w:name w:val="Grid Table 4 - Accent 3"/>
    <w:basedOn w:val="10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8">
    <w:name w:val="Grid Table 4 - Accent 4"/>
    <w:basedOn w:val="10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9">
    <w:name w:val="Grid Table 4 - Accent 5"/>
    <w:basedOn w:val="10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0">
    <w:name w:val="Grid Table 4 - Accent 6"/>
    <w:basedOn w:val="10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1">
    <w:name w:val="Grid Table 5 Dark"/>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2">
    <w:name w:val="Grid Table 5 Dark- Accent 1"/>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3">
    <w:name w:val="Grid Table 5 Dark - Accent 2"/>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4">
    <w:name w:val="Grid Table 5 Dark - Accent 3"/>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5">
    <w:name w:val="Grid Table 5 Dark- Accent 4"/>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6">
    <w:name w:val="Grid Table 5 Dark - Accent 5"/>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7">
    <w:name w:val="Grid Table 5 Dark - Accent 6"/>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8">
    <w:name w:val="Grid Table 6 Colorful"/>
    <w:basedOn w:val="10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9">
    <w:name w:val="Grid Table 6 Colorful - Accent 1"/>
    <w:basedOn w:val="10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0">
    <w:name w:val="Grid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1">
    <w:name w:val="Grid Table 6 Colorful - Accent 3"/>
    <w:basedOn w:val="10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2">
    <w:name w:val="Grid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3">
    <w:name w:val="Grid Table 6 Colorful - Accent 5"/>
    <w:basedOn w:val="10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4">
    <w:name w:val="Grid Table 6 Colorful - Accent 6"/>
    <w:basedOn w:val="10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5">
    <w:name w:val="Grid Table 7 Colorful"/>
    <w:basedOn w:val="10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6">
    <w:name w:val="Grid Table 7 Colorful - Accent 1"/>
    <w:basedOn w:val="10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7">
    <w:name w:val="Grid Table 7 Colorful - Accent 2"/>
    <w:basedOn w:val="10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7 Colorful - Accent 3"/>
    <w:basedOn w:val="10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7 Colorful - Accent 4"/>
    <w:basedOn w:val="10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7 Colorful - Accent 5"/>
    <w:basedOn w:val="10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1">
    <w:name w:val="Grid Table 7 Colorful - Accent 6"/>
    <w:basedOn w:val="10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2">
    <w:name w:val="List Table 1 Light"/>
    <w:basedOn w:val="10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1 Light - Accent 1"/>
    <w:basedOn w:val="10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4">
    <w:name w:val="List Table 1 Light - Accent 2"/>
    <w:basedOn w:val="10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5">
    <w:name w:val="List Table 1 Light - Accent 3"/>
    <w:basedOn w:val="10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6">
    <w:name w:val="List Table 1 Light - Accent 4"/>
    <w:basedOn w:val="10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7">
    <w:name w:val="List Table 1 Light - Accent 5"/>
    <w:basedOn w:val="10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8">
    <w:name w:val="List Table 1 Light - Accent 6"/>
    <w:basedOn w:val="10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9">
    <w:name w:val="List Table 2"/>
    <w:basedOn w:val="10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0">
    <w:name w:val="List Table 2 - Accent 1"/>
    <w:basedOn w:val="10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1">
    <w:name w:val="List Table 2 - Accent 2"/>
    <w:basedOn w:val="10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2">
    <w:name w:val="List Table 2 - Accent 3"/>
    <w:basedOn w:val="10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3">
    <w:name w:val="List Table 2 - Accent 4"/>
    <w:basedOn w:val="10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4">
    <w:name w:val="List Table 2 - Accent 5"/>
    <w:basedOn w:val="10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5">
    <w:name w:val="List Table 2 - Accent 6"/>
    <w:basedOn w:val="10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6">
    <w:name w:val="List Table 3"/>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3 - Accent 1"/>
    <w:basedOn w:val="10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8">
    <w:name w:val="List Table 3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9">
    <w:name w:val="List Table 3 - Accent 3"/>
    <w:basedOn w:val="10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0">
    <w:name w:val="List Table 3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1">
    <w:name w:val="List Table 3 - Accent 5"/>
    <w:basedOn w:val="10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2">
    <w:name w:val="List Table 3 - Accent 6"/>
    <w:basedOn w:val="10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3">
    <w:name w:val="List Table 4"/>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 Accent 1"/>
    <w:basedOn w:val="10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5">
    <w:name w:val="List Table 4 - Accent 2"/>
    <w:basedOn w:val="10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6">
    <w:name w:val="List Table 4 - Accent 3"/>
    <w:basedOn w:val="10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7">
    <w:name w:val="List Table 4 - Accent 4"/>
    <w:basedOn w:val="10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8">
    <w:name w:val="List Table 4 - Accent 5"/>
    <w:basedOn w:val="10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9">
    <w:name w:val="List Table 4 - Accent 6"/>
    <w:basedOn w:val="10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0">
    <w:name w:val="List Table 5 Dark"/>
    <w:basedOn w:val="10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1"/>
    <w:basedOn w:val="10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2"/>
    <w:basedOn w:val="10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3"/>
    <w:basedOn w:val="10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4"/>
    <w:basedOn w:val="10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5"/>
    <w:basedOn w:val="10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6"/>
    <w:basedOn w:val="10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6 Colorful"/>
    <w:basedOn w:val="10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8">
    <w:name w:val="List Table 6 Colorful - Accent 1"/>
    <w:basedOn w:val="10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9">
    <w:name w:val="List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0">
    <w:name w:val="List Table 6 Colorful - Accent 3"/>
    <w:basedOn w:val="10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1">
    <w:name w:val="List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2">
    <w:name w:val="List Table 6 Colorful - Accent 5"/>
    <w:basedOn w:val="10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3">
    <w:name w:val="List Table 6 Colorful - Accent 6"/>
    <w:basedOn w:val="10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4">
    <w:name w:val="List Table 7 Colorful"/>
    <w:basedOn w:val="10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5">
    <w:name w:val="List Table 7 Colorful - Accent 1"/>
    <w:basedOn w:val="10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6">
    <w:name w:val="List Table 7 Colorful - Accent 2"/>
    <w:basedOn w:val="10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7">
    <w:name w:val="List Table 7 Colorful - Accent 3"/>
    <w:basedOn w:val="10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8">
    <w:name w:val="List Table 7 Colorful - Accent 4"/>
    <w:basedOn w:val="10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9">
    <w:name w:val="List Table 7 Colorful - Accent 5"/>
    <w:basedOn w:val="10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0">
    <w:name w:val="List Table 7 Colorful - Accent 6"/>
    <w:basedOn w:val="10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1">
    <w:name w:val="Lined - Accent"/>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Lined - Accent 1"/>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3">
    <w:name w:val="Lined - Accent 2"/>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4">
    <w:name w:val="Lined - Accent 3"/>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5">
    <w:name w:val="Lined - Accent 4"/>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6">
    <w:name w:val="Lined - Accent 5"/>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7">
    <w:name w:val="Lined - Accent 6"/>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8">
    <w:name w:val="Bordered &amp; Lined - Accent"/>
    <w:basedOn w:val="10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Bordered &amp; Lined - Accent 1"/>
    <w:basedOn w:val="10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0">
    <w:name w:val="Bordered &amp; Lined - Accent 2"/>
    <w:basedOn w:val="10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1">
    <w:name w:val="Bordered &amp; Lined - Accent 3"/>
    <w:basedOn w:val="10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2">
    <w:name w:val="Bordered &amp; Lined - Accent 4"/>
    <w:basedOn w:val="10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3">
    <w:name w:val="Bordered &amp; Lined - Accent 5"/>
    <w:basedOn w:val="10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4">
    <w:name w:val="Bordered &amp; Lined - Accent 6"/>
    <w:basedOn w:val="10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5">
    <w:name w:val="Bordered"/>
    <w:basedOn w:val="10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6">
    <w:name w:val="Bordered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7">
    <w:name w:val="Bordered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8">
    <w:name w:val="Bordered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9">
    <w:name w:val="Bordered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0">
    <w:name w:val="Bordered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1">
    <w:name w:val="Bordered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2">
    <w:name w:val="Hyperlink"/>
    <w:uiPriority w:val="99"/>
    <w:unhideWhenUsed/>
    <w:rPr>
      <w:color w:val="0000ff" w:themeColor="hyperlink"/>
      <w:u w:val="single"/>
    </w:rPr>
  </w:style>
  <w:style w:type="paragraph" w:styleId="1033">
    <w:name w:val="footnote text"/>
    <w:basedOn w:val="1050"/>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5"/>
    <w:uiPriority w:val="99"/>
    <w:unhideWhenUsed/>
    <w:rPr>
      <w:vertAlign w:val="superscript"/>
    </w:rPr>
  </w:style>
  <w:style w:type="paragraph" w:styleId="1036">
    <w:name w:val="endnote text"/>
    <w:basedOn w:val="1050"/>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5"/>
    <w:uiPriority w:val="99"/>
    <w:semiHidden/>
    <w:unhideWhenUsed/>
    <w:rPr>
      <w:vertAlign w:val="superscript"/>
    </w:rPr>
  </w:style>
  <w:style w:type="paragraph" w:styleId="1039">
    <w:name w:val="toc 1"/>
    <w:basedOn w:val="1050"/>
    <w:next w:val="1050"/>
    <w:uiPriority w:val="39"/>
    <w:unhideWhenUsed/>
    <w:pPr>
      <w:ind w:left="0" w:right="0" w:firstLine="0"/>
      <w:spacing w:after="57"/>
    </w:pPr>
  </w:style>
  <w:style w:type="paragraph" w:styleId="1040">
    <w:name w:val="toc 2"/>
    <w:basedOn w:val="1050"/>
    <w:next w:val="1050"/>
    <w:uiPriority w:val="39"/>
    <w:unhideWhenUsed/>
    <w:pPr>
      <w:ind w:left="283" w:right="0" w:firstLine="0"/>
      <w:spacing w:after="57"/>
    </w:pPr>
  </w:style>
  <w:style w:type="paragraph" w:styleId="1041">
    <w:name w:val="toc 3"/>
    <w:basedOn w:val="1050"/>
    <w:next w:val="1050"/>
    <w:uiPriority w:val="39"/>
    <w:unhideWhenUsed/>
    <w:pPr>
      <w:ind w:left="567" w:right="0" w:firstLine="0"/>
      <w:spacing w:after="57"/>
    </w:pPr>
  </w:style>
  <w:style w:type="paragraph" w:styleId="1042">
    <w:name w:val="toc 4"/>
    <w:basedOn w:val="1050"/>
    <w:next w:val="1050"/>
    <w:uiPriority w:val="39"/>
    <w:unhideWhenUsed/>
    <w:pPr>
      <w:ind w:left="850" w:right="0" w:firstLine="0"/>
      <w:spacing w:after="57"/>
    </w:pPr>
  </w:style>
  <w:style w:type="paragraph" w:styleId="1043">
    <w:name w:val="toc 5"/>
    <w:basedOn w:val="1050"/>
    <w:next w:val="1050"/>
    <w:uiPriority w:val="39"/>
    <w:unhideWhenUsed/>
    <w:pPr>
      <w:ind w:left="1134" w:right="0" w:firstLine="0"/>
      <w:spacing w:after="57"/>
    </w:pPr>
  </w:style>
  <w:style w:type="paragraph" w:styleId="1044">
    <w:name w:val="toc 6"/>
    <w:basedOn w:val="1050"/>
    <w:next w:val="1050"/>
    <w:uiPriority w:val="39"/>
    <w:unhideWhenUsed/>
    <w:pPr>
      <w:ind w:left="1417"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1051">
    <w:name w:val="Heading 1"/>
    <w:basedOn w:val="1050"/>
    <w:next w:val="1050"/>
    <w:uiPriority w:val="0"/>
    <w:qFormat/>
    <w:pPr>
      <w:ind w:firstLine="0"/>
      <w:jc w:val="center"/>
      <w:keepLines/>
      <w:keepNext/>
      <w:spacing w:line="240" w:lineRule="auto"/>
      <w:outlineLvl w:val="0"/>
    </w:pPr>
    <w:rPr>
      <w:b/>
      <w:sz w:val="44"/>
    </w:rPr>
  </w:style>
  <w:style w:type="paragraph" w:styleId="1052">
    <w:name w:val="Heading 2"/>
    <w:basedOn w:val="1050"/>
    <w:next w:val="1050"/>
    <w:uiPriority w:val="0"/>
    <w:unhideWhenUsed/>
    <w:qFormat/>
    <w:pPr>
      <w:keepLines/>
      <w:keepNext/>
      <w:outlineLvl w:val="1"/>
    </w:pPr>
    <w:rPr>
      <w:rFonts w:ascii="Arial" w:hAnsi="Arial"/>
      <w:b/>
    </w:rPr>
  </w:style>
  <w:style w:type="paragraph" w:styleId="1053">
    <w:name w:val="Heading 3"/>
    <w:basedOn w:val="1050"/>
    <w:next w:val="105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054">
    <w:name w:val="Heading 4"/>
    <w:basedOn w:val="1050"/>
    <w:next w:val="105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1055" w:default="1">
    <w:name w:val="Default Paragraph Font"/>
    <w:uiPriority w:val="1"/>
    <w:semiHidden/>
    <w:unhideWhenUsed/>
    <w:qFormat/>
  </w:style>
  <w:style w:type="table" w:styleId="1056" w:default="1">
    <w:name w:val="Normal Table"/>
    <w:uiPriority w:val="99"/>
    <w:semiHidden/>
    <w:unhideWhenUsed/>
    <w:qFormat/>
    <w:tblPr>
      <w:tblCellMar>
        <w:left w:w="108" w:type="dxa"/>
        <w:top w:w="0" w:type="dxa"/>
        <w:right w:w="108" w:type="dxa"/>
        <w:bottom w:w="0" w:type="dxa"/>
      </w:tblCellMar>
    </w:tblPr>
  </w:style>
  <w:style w:type="paragraph" w:styleId="1057">
    <w:name w:val="Normal Indent"/>
    <w:basedOn w:val="1050"/>
    <w:uiPriority w:val="99"/>
    <w:qFormat/>
    <w:rPr>
      <w:szCs w:val="20"/>
    </w:rPr>
  </w:style>
  <w:style w:type="paragraph" w:styleId="1058">
    <w:name w:val="annotation text"/>
    <w:basedOn w:val="1050"/>
    <w:link w:val="1073"/>
    <w:uiPriority w:val="0"/>
    <w:qFormat/>
  </w:style>
  <w:style w:type="paragraph" w:styleId="1059">
    <w:name w:val="Body Text"/>
    <w:basedOn w:val="1050"/>
    <w:uiPriority w:val="1"/>
    <w:qFormat/>
    <w:pPr>
      <w:ind w:firstLine="1044"/>
      <w:jc w:val="both"/>
      <w:spacing w:before="100" w:after="100" w:line="300" w:lineRule="auto"/>
    </w:pPr>
    <w:rPr>
      <w:rFonts w:cs="Times New Roman"/>
    </w:rPr>
  </w:style>
  <w:style w:type="paragraph" w:styleId="1060">
    <w:name w:val="Body Text Indent"/>
    <w:basedOn w:val="1050"/>
    <w:next w:val="1050"/>
    <w:uiPriority w:val="99"/>
    <w:qFormat/>
    <w:pPr>
      <w:ind w:left="420"/>
      <w:spacing w:after="120"/>
    </w:pPr>
  </w:style>
  <w:style w:type="paragraph" w:styleId="1061">
    <w:name w:val="Balloon Text"/>
    <w:basedOn w:val="1050"/>
    <w:link w:val="1072"/>
    <w:uiPriority w:val="0"/>
    <w:qFormat/>
    <w:pPr>
      <w:spacing w:line="240" w:lineRule="auto"/>
    </w:pPr>
    <w:rPr>
      <w:sz w:val="18"/>
      <w:szCs w:val="18"/>
    </w:rPr>
  </w:style>
  <w:style w:type="paragraph" w:styleId="1062">
    <w:name w:val="Footer"/>
    <w:basedOn w:val="1050"/>
    <w:uiPriority w:val="0"/>
    <w:qFormat/>
    <w:pPr>
      <w:tabs>
        <w:tab w:val="center" w:pos="4153" w:leader="none"/>
        <w:tab w:val="right" w:pos="8306" w:leader="none"/>
      </w:tabs>
    </w:pPr>
    <w:rPr>
      <w:sz w:val="18"/>
    </w:rPr>
  </w:style>
  <w:style w:type="paragraph" w:styleId="1063">
    <w:name w:val="Header"/>
    <w:basedOn w:val="105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64">
    <w:name w:val="Body Text 2"/>
    <w:basedOn w:val="1050"/>
    <w:uiPriority w:val="99"/>
    <w:qFormat/>
    <w:pPr>
      <w:jc w:val="center"/>
      <w:widowControl/>
    </w:pPr>
    <w:rPr>
      <w:rFonts w:ascii="Calibri" w:hAnsi="Calibri"/>
      <w:sz w:val="20"/>
    </w:rPr>
  </w:style>
  <w:style w:type="paragraph" w:styleId="1065">
    <w:name w:val="Normal (Web)"/>
    <w:basedOn w:val="1050"/>
    <w:uiPriority w:val="0"/>
    <w:qFormat/>
    <w:pPr>
      <w:spacing w:beforeAutospacing="1" w:afterAutospacing="1"/>
    </w:pPr>
    <w:rPr>
      <w:rFonts w:cs="Times New Roman"/>
    </w:rPr>
  </w:style>
  <w:style w:type="paragraph" w:styleId="1066">
    <w:name w:val="annotation subject"/>
    <w:basedOn w:val="1058"/>
    <w:next w:val="1058"/>
    <w:link w:val="1074"/>
    <w:uiPriority w:val="0"/>
    <w:qFormat/>
    <w:rPr>
      <w:b/>
      <w:bCs/>
    </w:rPr>
  </w:style>
  <w:style w:type="table" w:styleId="1067">
    <w:name w:val="Table Grid"/>
    <w:basedOn w:val="10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8">
    <w:name w:val="Strong"/>
    <w:basedOn w:val="1055"/>
    <w:uiPriority w:val="22"/>
    <w:qFormat/>
    <w:rPr>
      <w:b/>
      <w:bCs/>
    </w:rPr>
  </w:style>
  <w:style w:type="character" w:styleId="1069">
    <w:name w:val="Emphasis"/>
    <w:uiPriority w:val="20"/>
    <w:qFormat/>
    <w:rPr>
      <w:b/>
      <w:i/>
      <w:spacing w:val="10"/>
      <w:shd w:val="clear" w:color="auto" w:fill="auto"/>
    </w:rPr>
  </w:style>
  <w:style w:type="character" w:styleId="1070">
    <w:name w:val="annotation reference"/>
    <w:basedOn w:val="1055"/>
    <w:uiPriority w:val="0"/>
    <w:qFormat/>
    <w:rPr>
      <w:sz w:val="21"/>
      <w:szCs w:val="21"/>
    </w:rPr>
  </w:style>
  <w:style w:type="paragraph" w:styleId="1071">
    <w:name w:val="List Paragraph"/>
    <w:basedOn w:val="1050"/>
    <w:uiPriority w:val="34"/>
    <w:qFormat/>
    <w:rPr>
      <w:szCs w:val="22"/>
    </w:rPr>
  </w:style>
  <w:style w:type="character" w:styleId="1072" w:customStyle="1">
    <w:name w:val="批注框文本 Char"/>
    <w:basedOn w:val="1055"/>
    <w:link w:val="1061"/>
    <w:uiPriority w:val="0"/>
    <w:qFormat/>
    <w:rPr>
      <w:rFonts w:cstheme="minorBidi"/>
      <w:sz w:val="18"/>
      <w:szCs w:val="18"/>
    </w:rPr>
  </w:style>
  <w:style w:type="character" w:styleId="1073" w:customStyle="1">
    <w:name w:val="批注文字 Char"/>
    <w:basedOn w:val="1055"/>
    <w:link w:val="1058"/>
    <w:uiPriority w:val="0"/>
    <w:qFormat/>
    <w:rPr>
      <w:rFonts w:cstheme="minorBidi"/>
      <w:sz w:val="24"/>
      <w:szCs w:val="24"/>
    </w:rPr>
  </w:style>
  <w:style w:type="character" w:styleId="1074" w:customStyle="1">
    <w:name w:val="批注主题 Char"/>
    <w:basedOn w:val="1073"/>
    <w:link w:val="1066"/>
    <w:uiPriority w:val="0"/>
    <w:qFormat/>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7</cp:revision>
  <dcterms:created xsi:type="dcterms:W3CDTF">2026-04-27T01:49:00Z</dcterms:created>
  <dcterms:modified xsi:type="dcterms:W3CDTF">2026-04-30T08:47:15Z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E7ECBE4E0E1642D8AAA507F13A62786A_13</vt:lpwstr>
  </property>
  <property fmtid="{D5CDD505-2E9C-101B-9397-08002B2CF9AE}" pid="4" name="KSOTemplateDocerSaveRecord">
    <vt:lpwstr>eyJoZGlkIjoiZGI4OGE1MzAzZDVmOTFjNmE2ZjdjMjE4MWFmMWJkZTAiLCJ1c2VySWQiOiIxMTc5MTU0ODc0In0=</vt:lpwstr>
  </property>
</Properties>
</file>