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pacing w:line="360" w:lineRule="auto"/>
        <w:rPr>
          <w:rFonts w:hint="default" w:ascii="宋体" w:hAnsi="宋体" w:eastAsia="宋体" w:cs="Times New Roman"/>
          <w:b/>
          <w:color w:val="auto"/>
          <w:sz w:val="72"/>
          <w:szCs w:val="20"/>
          <w:highlight w:val="none"/>
          <w:shd w:val="clear" w:color="auto" w:fill="ffffff"/>
          <w:lang w:val="en-US" w:eastAsia="zh-CN"/>
        </w:rPr>
      </w:pPr>
      <w:r>
        <w:rPr>
          <w:rFonts w:hint="eastAsia" w:ascii="宋体" w:hAnsi="宋体" w:eastAsia="宋体" w:cs="Times New Roman"/>
          <w:b/>
          <w:color w:val="auto"/>
          <w:sz w:val="72"/>
          <w:szCs w:val="20"/>
          <w:highlight w:val="none"/>
          <w:shd w:val="clear" w:color="auto" w:fill="ffffff"/>
          <w:lang w:val="en-US" w:eastAsia="zh-CN"/>
        </w:rPr>
        <w:t xml:space="preserve">                                                                   </w:t>
      </w:r>
      <w:r/>
    </w:p>
    <w:p>
      <w:pPr>
        <w:jc w:val="both"/>
        <w:spacing w:line="360" w:lineRule="auto"/>
        <w:rPr>
          <w:rFonts w:ascii="宋体" w:hAnsi="宋体" w:eastAsia="宋体" w:cs="Times New Roman"/>
          <w:b/>
          <w:color w:val="auto"/>
          <w:sz w:val="72"/>
          <w:szCs w:val="20"/>
          <w:highlight w:val="none"/>
          <w:shd w:val="clear" w:color="auto" w:fill="ffffff"/>
        </w:rPr>
      </w:pPr>
      <w:r>
        <w:rPr>
          <w:rFonts w:ascii="宋体" w:hAnsi="宋体" w:eastAsia="宋体" w:cs="Times New Roman"/>
          <w:b/>
          <w:color w:val="auto"/>
          <w:sz w:val="72"/>
          <w:szCs w:val="20"/>
          <w:highlight w:val="none"/>
          <w:shd w:val="clear" w:color="auto" w:fill="ffffff"/>
        </w:rPr>
      </w:r>
      <w:r/>
    </w:p>
    <w:p>
      <w:pPr>
        <w:jc w:val="both"/>
        <w:spacing w:line="360" w:lineRule="auto"/>
        <w:rPr>
          <w:rFonts w:ascii="宋体" w:hAnsi="宋体" w:eastAsia="宋体" w:cs="Times New Roman"/>
          <w:b/>
          <w:color w:val="auto"/>
          <w:sz w:val="72"/>
          <w:szCs w:val="20"/>
          <w:highlight w:val="none"/>
          <w:shd w:val="clear" w:color="auto" w:fill="ffffff"/>
        </w:rPr>
      </w:pPr>
      <w:r>
        <w:rPr>
          <w:rFonts w:hint="eastAsia" w:ascii="宋体" w:hAnsi="宋体" w:eastAsia="宋体" w:cs="Times New Roman"/>
          <w:b/>
          <w:color w:val="auto"/>
          <w:sz w:val="72"/>
          <w:szCs w:val="20"/>
          <w:highlight w:val="none"/>
          <w:shd w:val="clear" w:color="auto" w:fill="ffffff"/>
        </w:rPr>
        <w:t xml:space="preserve">  苏州</w:t>
      </w:r>
      <w:r>
        <w:rPr>
          <w:rFonts w:hint="eastAsia" w:ascii="宋体" w:hAnsi="宋体" w:eastAsia="宋体" w:cs="Times New Roman"/>
          <w:b/>
          <w:color w:val="auto"/>
          <w:sz w:val="72"/>
          <w:szCs w:val="20"/>
          <w:highlight w:val="none"/>
          <w:shd w:val="clear" w:color="auto" w:fill="ffffff"/>
          <w:lang w:val="en-US" w:eastAsia="zh-CN"/>
        </w:rPr>
        <w:t xml:space="preserve">工业园区</w:t>
      </w:r>
      <w:r>
        <w:rPr>
          <w:rFonts w:hint="eastAsia" w:ascii="宋体" w:hAnsi="宋体" w:eastAsia="宋体" w:cs="Times New Roman"/>
          <w:b/>
          <w:color w:val="auto"/>
          <w:sz w:val="72"/>
          <w:szCs w:val="20"/>
          <w:highlight w:val="none"/>
          <w:shd w:val="clear" w:color="auto" w:fill="ffffff"/>
        </w:rPr>
        <w:t xml:space="preserve">政府采购</w:t>
      </w:r>
      <w:r/>
    </w:p>
    <w:p>
      <w:pPr>
        <w:spacing w:line="360" w:lineRule="auto"/>
        <w:rPr>
          <w:rFonts w:ascii="宋体" w:hAnsi="宋体" w:eastAsia="宋体" w:cs="Times New Roman"/>
          <w:color w:val="auto"/>
          <w:sz w:val="26"/>
          <w:szCs w:val="20"/>
          <w:highlight w:val="none"/>
          <w:shd w:val="clear" w:color="auto" w:fill="ffffff"/>
        </w:rPr>
      </w:pPr>
      <w:r>
        <w:rPr>
          <w:rFonts w:ascii="宋体" w:hAnsi="宋体" w:eastAsia="宋体" w:cs="Times New Roman"/>
          <w:color w:val="auto"/>
          <w:sz w:val="26"/>
          <w:szCs w:val="20"/>
          <w:highlight w:val="none"/>
          <w:shd w:val="clear" w:color="auto" w:fill="ffffff"/>
        </w:rPr>
      </w:r>
      <w:r/>
    </w:p>
    <w:p>
      <w:pPr>
        <w:jc w:val="center"/>
        <w:spacing w:line="360" w:lineRule="auto"/>
        <w:rPr>
          <w:rFonts w:ascii="宋体" w:hAnsi="宋体" w:eastAsia="宋体" w:cs="Times New Roman"/>
          <w:b/>
          <w:color w:val="auto"/>
          <w:sz w:val="72"/>
          <w:szCs w:val="20"/>
          <w:highlight w:val="none"/>
          <w:shd w:val="clear" w:color="auto" w:fill="ffffff"/>
        </w:rPr>
      </w:pPr>
      <w:r>
        <w:rPr>
          <w:rFonts w:hint="eastAsia" w:ascii="宋体" w:hAnsi="宋体" w:eastAsia="宋体" w:cs="Times New Roman"/>
          <w:b/>
          <w:color w:val="auto"/>
          <w:sz w:val="72"/>
          <w:szCs w:val="20"/>
          <w:highlight w:val="none"/>
          <w:shd w:val="clear" w:color="auto" w:fill="ffffff"/>
        </w:rPr>
        <w:t xml:space="preserve">招 标 文 件</w:t>
      </w:r>
      <w:r/>
    </w:p>
    <w:p>
      <w:pPr>
        <w:jc w:val="center"/>
        <w:spacing w:line="360" w:lineRule="auto"/>
        <w:rPr>
          <w:rFonts w:ascii="宋体" w:hAnsi="宋体" w:eastAsia="宋体" w:cs="Times New Roman"/>
          <w:color w:val="auto"/>
          <w:sz w:val="26"/>
          <w:szCs w:val="26"/>
          <w:highlight w:val="none"/>
          <w:shd w:val="clear" w:color="auto" w:fill="ffffff"/>
        </w:rPr>
      </w:pPr>
      <w:r>
        <w:rPr>
          <w:rFonts w:ascii="宋体" w:hAnsi="宋体" w:eastAsia="宋体" w:cs="Times New Roman"/>
          <w:color w:val="auto"/>
          <w:sz w:val="26"/>
          <w:szCs w:val="26"/>
          <w:highlight w:val="none"/>
          <w:shd w:val="clear" w:color="auto" w:fill="ffffff"/>
        </w:rPr>
      </w:r>
      <w:r/>
    </w:p>
    <w:p>
      <w:pPr>
        <w:jc w:val="center"/>
        <w:spacing w:line="360" w:lineRule="auto"/>
        <w:rPr>
          <w:color w:val="auto"/>
          <w:highlight w:val="none"/>
        </w:rPr>
      </w:pPr>
      <w:r>
        <w:rPr>
          <w:color w:val="auto"/>
          <w:highlight w:val="none"/>
        </w:rPr>
      </w:r>
      <w:r/>
    </w:p>
    <w:p>
      <w:pPr>
        <w:pStyle w:val="1011"/>
        <w:ind w:firstLine="0"/>
        <w:jc w:val="center"/>
        <w:spacing w:line="360" w:lineRule="auto"/>
        <w:rPr>
          <w:color w:val="auto"/>
          <w:highlight w:val="none"/>
        </w:rPr>
      </w:pPr>
      <w:r>
        <w:rPr>
          <w:color w:val="auto"/>
          <w:highlight w:val="none"/>
        </w:rPr>
      </w:r>
      <w:r/>
    </w:p>
    <w:p>
      <w:pPr>
        <w:pStyle w:val="1011"/>
        <w:ind w:firstLine="0"/>
        <w:jc w:val="center"/>
        <w:spacing w:line="360" w:lineRule="auto"/>
        <w:rPr>
          <w:color w:val="auto"/>
          <w:highlight w:val="none"/>
        </w:rPr>
      </w:pPr>
      <w:r>
        <w:rPr>
          <w:color w:val="auto"/>
          <w:highlight w:val="none"/>
        </w:rPr>
      </w:r>
      <w:r/>
    </w:p>
    <w:p>
      <w:pPr>
        <w:pStyle w:val="1011"/>
        <w:ind w:firstLine="0"/>
        <w:jc w:val="center"/>
        <w:spacing w:line="360" w:lineRule="auto"/>
        <w:rPr>
          <w:color w:val="auto"/>
          <w:highlight w:val="none"/>
        </w:rPr>
      </w:pPr>
      <w:r>
        <w:rPr>
          <w:color w:val="auto"/>
          <w:highlight w:val="none"/>
        </w:rPr>
      </w:r>
      <w:r/>
    </w:p>
    <w:p>
      <w:pPr>
        <w:ind w:firstLine="1606"/>
        <w:spacing w:line="360" w:lineRule="auto"/>
        <w:rPr>
          <w:rFonts w:hint="eastAsia" w:ascii="宋体" w:hAnsi="宋体" w:eastAsia="宋体" w:cs="Times New Roman"/>
          <w:b/>
          <w:bCs/>
          <w:color w:val="auto"/>
          <w:sz w:val="32"/>
          <w:szCs w:val="20"/>
          <w:highlight w:val="none"/>
          <w:shd w:val="clear" w:color="auto" w:fill="ffffff"/>
          <w:lang w:eastAsia="zh-CN"/>
        </w:rPr>
      </w:pPr>
      <w:r>
        <w:rPr>
          <w:rFonts w:hint="eastAsia" w:ascii="宋体" w:hAnsi="宋体" w:eastAsia="宋体" w:cs="Times New Roman"/>
          <w:b/>
          <w:bCs/>
          <w:color w:val="auto"/>
          <w:sz w:val="32"/>
          <w:szCs w:val="20"/>
          <w:highlight w:val="none"/>
          <w:shd w:val="clear" w:color="auto" w:fill="ffffff"/>
        </w:rPr>
        <w:t xml:space="preserve">标    号：</w:t>
      </w:r>
      <w:r>
        <w:rPr>
          <w:rFonts w:hint="eastAsia" w:ascii="宋体" w:hAnsi="宋体" w:eastAsia="宋体"/>
          <w:b/>
          <w:bCs/>
          <w:color w:val="auto"/>
          <w:sz w:val="32"/>
          <w:highlight w:val="none"/>
          <w:lang w:eastAsia="zh-CN"/>
        </w:rPr>
        <w:t xml:space="preserve">JSZC-320591-HXZJ-G2026-0005</w:t>
      </w:r>
      <w:r/>
    </w:p>
    <w:p>
      <w:pPr>
        <w:ind w:firstLine="1606"/>
        <w:spacing w:line="360" w:lineRule="auto"/>
        <w:rPr>
          <w:rFonts w:hint="eastAsia" w:ascii="宋体" w:hAnsi="宋体" w:eastAsia="宋体" w:cs="Times New Roman"/>
          <w:b/>
          <w:bCs/>
          <w:color w:val="auto"/>
          <w:sz w:val="32"/>
          <w:szCs w:val="20"/>
          <w:highlight w:val="none"/>
          <w:shd w:val="clear" w:color="auto" w:fill="ffffff"/>
          <w:lang w:eastAsia="zh-CN"/>
        </w:rPr>
      </w:pPr>
      <w:r>
        <w:rPr>
          <w:rFonts w:hint="eastAsia" w:ascii="宋体" w:hAnsi="宋体" w:eastAsia="宋体" w:cs="Times New Roman"/>
          <w:b/>
          <w:bCs/>
          <w:color w:val="auto"/>
          <w:sz w:val="32"/>
          <w:szCs w:val="20"/>
          <w:highlight w:val="none"/>
          <w:shd w:val="clear" w:color="auto" w:fill="ffffff"/>
        </w:rPr>
        <w:t xml:space="preserve">采 购 人：</w:t>
      </w:r>
      <w:r>
        <w:rPr>
          <w:rFonts w:hint="eastAsia" w:ascii="宋体" w:hAnsi="宋体" w:eastAsia="宋体" w:cs="Times New Roman"/>
          <w:b/>
          <w:bCs/>
          <w:color w:val="auto"/>
          <w:sz w:val="32"/>
          <w:szCs w:val="20"/>
          <w:highlight w:val="none"/>
          <w:shd w:val="clear" w:color="auto" w:fill="ffffff"/>
          <w:lang w:eastAsia="zh-CN"/>
        </w:rPr>
        <w:t xml:space="preserve">苏州工业园区教育局</w:t>
      </w:r>
      <w:r/>
    </w:p>
    <w:p>
      <w:pPr>
        <w:ind w:firstLine="1606"/>
        <w:spacing w:line="360" w:lineRule="auto"/>
        <w:rPr>
          <w:rFonts w:hint="eastAsia" w:ascii="宋体" w:hAnsi="宋体" w:eastAsia="宋体" w:cs="Times New Roman"/>
          <w:b/>
          <w:bCs/>
          <w:color w:val="auto"/>
          <w:sz w:val="32"/>
          <w:szCs w:val="20"/>
          <w:highlight w:val="none"/>
          <w:shd w:val="clear" w:color="auto" w:fill="ffffff"/>
          <w:lang w:eastAsia="zh-CN"/>
        </w:rPr>
      </w:pPr>
      <w:r>
        <w:rPr>
          <w:rFonts w:hint="eastAsia" w:ascii="宋体" w:hAnsi="宋体" w:eastAsia="宋体" w:cs="Times New Roman"/>
          <w:b/>
          <w:bCs/>
          <w:color w:val="auto"/>
          <w:sz w:val="32"/>
          <w:szCs w:val="20"/>
          <w:highlight w:val="none"/>
          <w:shd w:val="clear" w:color="auto" w:fill="ffffff"/>
        </w:rPr>
        <w:t xml:space="preserve">采购内容：</w:t>
      </w:r>
      <w:r>
        <w:rPr>
          <w:rFonts w:hint="eastAsia" w:ascii="宋体" w:hAnsi="宋体" w:eastAsia="宋体" w:cs="Times New Roman"/>
          <w:b/>
          <w:bCs/>
          <w:color w:val="auto"/>
          <w:sz w:val="32"/>
          <w:szCs w:val="20"/>
          <w:highlight w:val="none"/>
          <w:shd w:val="clear" w:color="auto" w:fill="ffffff"/>
          <w:lang w:eastAsia="zh-CN"/>
        </w:rPr>
        <w:t xml:space="preserve">星海实验中学改扩建项目厨房设备采购</w:t>
      </w:r>
      <w:r/>
    </w:p>
    <w:p>
      <w:pPr>
        <w:ind w:firstLine="1606"/>
        <w:spacing w:line="360" w:lineRule="auto"/>
        <w:rPr>
          <w:rFonts w:hint="eastAsia" w:ascii="宋体" w:hAnsi="宋体" w:eastAsia="宋体" w:cs="Times New Roman"/>
          <w:b/>
          <w:bCs/>
          <w:color w:val="auto"/>
          <w:sz w:val="32"/>
          <w:szCs w:val="20"/>
          <w:highlight w:val="none"/>
          <w:shd w:val="clear" w:color="auto" w:fill="ffffff"/>
          <w:lang w:val="en-US" w:eastAsia="zh-CN"/>
        </w:rPr>
      </w:pPr>
      <w:r>
        <w:rPr>
          <w:rFonts w:hint="eastAsia" w:ascii="宋体" w:hAnsi="宋体" w:eastAsia="宋体" w:cs="Times New Roman"/>
          <w:b/>
          <w:bCs/>
          <w:color w:val="auto"/>
          <w:sz w:val="32"/>
          <w:szCs w:val="20"/>
          <w:highlight w:val="none"/>
          <w:shd w:val="clear" w:color="auto" w:fill="ffffff"/>
        </w:rPr>
        <w:t xml:space="preserve">采购类别：</w:t>
      </w:r>
      <w:r>
        <w:rPr>
          <w:rFonts w:hint="eastAsia" w:ascii="宋体" w:hAnsi="宋体" w:eastAsia="宋体" w:cs="Times New Roman"/>
          <w:b/>
          <w:bCs/>
          <w:color w:val="auto"/>
          <w:sz w:val="32"/>
          <w:szCs w:val="20"/>
          <w:highlight w:val="none"/>
          <w:shd w:val="clear" w:color="auto" w:fill="ffffff"/>
          <w:lang w:val="en-US" w:eastAsia="zh-CN"/>
        </w:rPr>
        <w:t xml:space="preserve">货物</w:t>
      </w:r>
      <w:r>
        <w:rPr>
          <w:rFonts w:hint="eastAsia" w:ascii="宋体" w:hAnsi="宋体" w:eastAsia="宋体" w:cs="Times New Roman"/>
          <w:b/>
          <w:bCs/>
          <w:color w:val="auto"/>
          <w:sz w:val="32"/>
          <w:szCs w:val="20"/>
          <w:highlight w:val="none"/>
          <w:shd w:val="clear" w:color="auto" w:fill="ffffff"/>
        </w:rPr>
        <w:t xml:space="preserve">类</w:t>
      </w:r>
      <w:r/>
    </w:p>
    <w:p>
      <w:pPr>
        <w:jc w:val="center"/>
        <w:spacing w:line="360" w:lineRule="auto"/>
        <w:rPr>
          <w:rFonts w:ascii="宋体" w:hAnsi="宋体" w:eastAsia="宋体" w:cs="Times New Roman"/>
          <w:color w:val="auto"/>
          <w:sz w:val="26"/>
          <w:szCs w:val="26"/>
          <w:highlight w:val="none"/>
          <w:shd w:val="clear" w:color="auto" w:fill="ffffff"/>
        </w:rPr>
      </w:pPr>
      <w:r>
        <w:rPr>
          <w:rFonts w:ascii="宋体" w:hAnsi="宋体" w:eastAsia="宋体" w:cs="Times New Roman"/>
          <w:color w:val="auto"/>
          <w:sz w:val="26"/>
          <w:szCs w:val="26"/>
          <w:highlight w:val="none"/>
          <w:shd w:val="clear" w:color="auto" w:fill="ffffff"/>
        </w:rPr>
      </w:r>
      <w:r/>
    </w:p>
    <w:p>
      <w:pPr>
        <w:jc w:val="center"/>
        <w:spacing w:line="360" w:lineRule="auto"/>
        <w:rPr>
          <w:rFonts w:ascii="宋体" w:hAnsi="宋体" w:eastAsia="宋体" w:cs="Times New Roman"/>
          <w:color w:val="auto"/>
          <w:sz w:val="26"/>
          <w:szCs w:val="26"/>
          <w:highlight w:val="none"/>
          <w:shd w:val="clear" w:color="auto" w:fill="ffffff"/>
        </w:rPr>
      </w:pPr>
      <w:r>
        <w:rPr>
          <w:rFonts w:ascii="宋体" w:hAnsi="宋体" w:eastAsia="宋体" w:cs="Times New Roman"/>
          <w:color w:val="auto"/>
          <w:sz w:val="26"/>
          <w:szCs w:val="26"/>
          <w:highlight w:val="none"/>
          <w:shd w:val="clear" w:color="auto" w:fill="ffffff"/>
        </w:rPr>
      </w:r>
      <w:r/>
    </w:p>
    <w:p>
      <w:pPr>
        <w:jc w:val="center"/>
        <w:spacing w:line="360" w:lineRule="auto"/>
        <w:rPr>
          <w:rFonts w:hint="eastAsia" w:ascii="宋体" w:hAnsi="宋体" w:eastAsia="宋体" w:cs="Times New Roman"/>
          <w:b/>
          <w:color w:val="auto"/>
          <w:sz w:val="32"/>
          <w:szCs w:val="20"/>
          <w:highlight w:val="none"/>
          <w:shd w:val="clear" w:color="auto" w:fill="ffffff"/>
        </w:rPr>
      </w:pPr>
      <w:r>
        <w:rPr>
          <w:rFonts w:hint="eastAsia" w:ascii="宋体" w:hAnsi="宋体" w:eastAsia="宋体" w:cs="Times New Roman"/>
          <w:b/>
          <w:color w:val="auto"/>
          <w:sz w:val="32"/>
          <w:szCs w:val="20"/>
          <w:highlight w:val="none"/>
          <w:shd w:val="clear" w:color="auto" w:fill="ffffff"/>
        </w:rPr>
      </w:r>
      <w:r/>
    </w:p>
    <w:p>
      <w:pPr>
        <w:jc w:val="center"/>
        <w:spacing w:line="360" w:lineRule="auto"/>
        <w:rPr>
          <w:rFonts w:ascii="宋体" w:hAnsi="宋体" w:eastAsia="宋体" w:cs="Times New Roman"/>
          <w:b/>
          <w:color w:val="auto"/>
          <w:sz w:val="32"/>
          <w:szCs w:val="20"/>
          <w:highlight w:val="none"/>
          <w:shd w:val="clear" w:color="auto" w:fill="ffffff"/>
        </w:rPr>
      </w:pPr>
      <w:r>
        <w:rPr>
          <w:rFonts w:hint="eastAsia" w:ascii="宋体" w:hAnsi="宋体" w:eastAsia="宋体" w:cs="Times New Roman"/>
          <w:b/>
          <w:color w:val="auto"/>
          <w:sz w:val="32"/>
          <w:szCs w:val="20"/>
          <w:highlight w:val="none"/>
          <w:shd w:val="clear" w:color="auto" w:fill="ffffff"/>
        </w:rPr>
        <w:t xml:space="preserve">二○二</w:t>
      </w:r>
      <w:r>
        <w:rPr>
          <w:rFonts w:hint="eastAsia" w:ascii="宋体" w:hAnsi="宋体" w:eastAsia="宋体" w:cs="Times New Roman"/>
          <w:b/>
          <w:color w:val="auto"/>
          <w:sz w:val="32"/>
          <w:szCs w:val="20"/>
          <w:highlight w:val="none"/>
          <w:shd w:val="clear" w:color="auto" w:fill="ffffff"/>
          <w:lang w:val="en-US" w:eastAsia="zh-CN"/>
        </w:rPr>
        <w:t xml:space="preserve">六</w:t>
      </w:r>
      <w:r>
        <w:rPr>
          <w:rFonts w:hint="eastAsia" w:ascii="宋体" w:hAnsi="宋体" w:eastAsia="宋体" w:cs="Times New Roman"/>
          <w:b/>
          <w:color w:val="auto"/>
          <w:sz w:val="32"/>
          <w:szCs w:val="20"/>
          <w:highlight w:val="none"/>
          <w:shd w:val="clear" w:color="auto" w:fill="ffffff"/>
        </w:rPr>
        <w:t xml:space="preserve">年</w:t>
      </w:r>
      <w:r>
        <w:rPr>
          <w:rFonts w:hint="eastAsia" w:ascii="宋体" w:hAnsi="宋体" w:eastAsia="宋体" w:cs="Times New Roman"/>
          <w:b/>
          <w:color w:val="auto"/>
          <w:sz w:val="32"/>
          <w:szCs w:val="20"/>
          <w:highlight w:val="none"/>
          <w:shd w:val="clear" w:color="auto" w:fill="ffffff"/>
          <w:lang w:val="en-US" w:eastAsia="zh-CN"/>
        </w:rPr>
        <w:t xml:space="preserve">四</w:t>
      </w:r>
      <w:r>
        <w:rPr>
          <w:rFonts w:hint="eastAsia" w:ascii="宋体" w:hAnsi="宋体" w:eastAsia="宋体" w:cs="Times New Roman"/>
          <w:b/>
          <w:color w:val="auto"/>
          <w:sz w:val="32"/>
          <w:szCs w:val="20"/>
          <w:highlight w:val="none"/>
          <w:shd w:val="clear" w:color="auto" w:fill="ffffff"/>
        </w:rPr>
        <w:t xml:space="preserve">月</w:t>
      </w:r>
      <w:r/>
    </w:p>
    <w:p>
      <w:pPr>
        <w:jc w:val="center"/>
        <w:spacing w:line="360" w:lineRule="auto"/>
        <w:rPr>
          <w:rFonts w:ascii="宋体" w:hAnsi="宋体" w:eastAsia="宋体" w:cs="Times New Roman"/>
          <w:b/>
          <w:color w:val="auto"/>
          <w:sz w:val="32"/>
          <w:szCs w:val="32"/>
          <w:highlight w:val="none"/>
          <w:shd w:val="clear" w:color="auto" w:fill="ffffff"/>
        </w:rPr>
      </w:pPr>
      <w:r>
        <w:rPr>
          <w:rFonts w:ascii="宋体" w:hAnsi="宋体" w:eastAsia="宋体" w:cs="Times New Roman"/>
          <w:b/>
          <w:color w:val="auto"/>
          <w:sz w:val="32"/>
          <w:szCs w:val="32"/>
          <w:highlight w:val="none"/>
          <w:shd w:val="clear" w:color="auto" w:fill="ffffff"/>
        </w:rPr>
      </w:r>
      <w:r/>
    </w:p>
    <w:p>
      <w:pPr>
        <w:jc w:val="center"/>
        <w:spacing w:line="360" w:lineRule="auto"/>
        <w:rPr>
          <w:rFonts w:ascii="宋体" w:hAnsi="宋体" w:eastAsia="宋体" w:cs="Times New Roman"/>
          <w:b/>
          <w:color w:val="auto"/>
          <w:sz w:val="32"/>
          <w:szCs w:val="32"/>
          <w:highlight w:val="none"/>
          <w:shd w:val="clear" w:color="auto" w:fill="ffffff"/>
        </w:rPr>
        <w:sectPr>
          <w:footnotePr/>
          <w:endnotePr/>
          <w:type w:val="nextPage"/>
          <w:pgSz w:w="11907" w:h="16840" w:orient="portrait"/>
          <w:pgMar w:top="1418" w:right="1418" w:bottom="1418" w:left="1418" w:header="851" w:footer="992" w:gutter="0"/>
          <w:cols w:num="1" w:sep="0" w:space="720" w:equalWidth="1"/>
          <w:docGrid w:linePitch="360"/>
        </w:sectPr>
      </w:pPr>
      <w:r>
        <w:rPr>
          <w:rFonts w:ascii="宋体" w:hAnsi="宋体" w:eastAsia="宋体" w:cs="Times New Roman"/>
          <w:b/>
          <w:color w:val="auto"/>
          <w:sz w:val="32"/>
          <w:szCs w:val="32"/>
          <w:highlight w:val="none"/>
          <w:shd w:val="clear" w:color="auto" w:fill="ffffff"/>
        </w:rPr>
      </w:r>
      <w:r/>
    </w:p>
    <w:p>
      <w:pPr>
        <w:jc w:val="center"/>
        <w:spacing w:line="360" w:lineRule="auto"/>
        <w:rPr>
          <w:rFonts w:ascii="宋体" w:hAnsi="宋体" w:eastAsia="宋体" w:cs="Times New Roman"/>
          <w:b/>
          <w:color w:val="auto"/>
          <w:sz w:val="32"/>
          <w:szCs w:val="32"/>
          <w:highlight w:val="none"/>
          <w:shd w:val="clear" w:color="auto" w:fill="ffffff"/>
        </w:rPr>
      </w:pPr>
      <w:r>
        <w:rPr>
          <w:rFonts w:hint="eastAsia" w:ascii="宋体" w:hAnsi="宋体" w:eastAsia="宋体" w:cs="Times New Roman"/>
          <w:b/>
          <w:color w:val="auto"/>
          <w:sz w:val="32"/>
          <w:szCs w:val="32"/>
          <w:highlight w:val="none"/>
          <w:shd w:val="clear" w:color="auto" w:fill="ffffff"/>
        </w:rPr>
        <w:t xml:space="preserve">前附表</w:t>
      </w:r>
      <w:r/>
    </w:p>
    <w:tbl>
      <w:tblPr>
        <w:tblStyle w:val="959"/>
        <w:tblW w:w="980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64"/>
        <w:gridCol w:w="9144"/>
      </w:tblGrid>
      <w:tr>
        <w:trPr>
          <w:jc w:val="center"/>
          <w:trHeight w:val="378"/>
        </w:trPr>
        <w:tc>
          <w:tcPr>
            <w:tcW w:w="664" w:type="dxa"/>
            <w:vAlign w:val="center"/>
            <w:textDirection w:val="lrTb"/>
            <w:noWrap w:val="false"/>
          </w:tcPr>
          <w:p>
            <w:pPr>
              <w:jc w:val="center"/>
              <w:spacing w:line="360" w:lineRule="auto"/>
              <w:rPr>
                <w:rFonts w:ascii="宋体" w:hAnsi="宋体" w:eastAsia="宋体" w:cs="Times New Roman"/>
                <w:b/>
                <w:color w:val="auto"/>
                <w:szCs w:val="21"/>
                <w:highlight w:val="none"/>
                <w:shd w:val="clear" w:color="auto" w:fill="ffffff"/>
              </w:rPr>
            </w:pPr>
            <w:r>
              <w:rPr>
                <w:rFonts w:hint="eastAsia" w:ascii="宋体" w:hAnsi="宋体" w:eastAsia="宋体" w:cs="Times New Roman"/>
                <w:b/>
                <w:color w:val="auto"/>
                <w:szCs w:val="21"/>
                <w:highlight w:val="none"/>
                <w:shd w:val="clear" w:color="auto" w:fill="ffffff"/>
              </w:rPr>
              <w:t xml:space="preserve">序号</w:t>
            </w:r>
            <w:r/>
          </w:p>
        </w:tc>
        <w:tc>
          <w:tcPr>
            <w:tcW w:w="9144" w:type="dxa"/>
            <w:vAlign w:val="center"/>
            <w:textDirection w:val="lrTb"/>
            <w:noWrap w:val="false"/>
          </w:tcPr>
          <w:p>
            <w:pPr>
              <w:jc w:val="center"/>
              <w:spacing w:line="360" w:lineRule="auto"/>
              <w:rPr>
                <w:rFonts w:ascii="宋体" w:hAnsi="宋体" w:eastAsia="宋体" w:cs="Times New Roman"/>
                <w:b/>
                <w:color w:val="auto"/>
                <w:szCs w:val="21"/>
                <w:highlight w:val="none"/>
                <w:shd w:val="clear" w:color="auto" w:fill="ffffff"/>
              </w:rPr>
            </w:pPr>
            <w:r>
              <w:rPr>
                <w:rFonts w:hint="eastAsia" w:ascii="宋体" w:hAnsi="宋体" w:eastAsia="宋体" w:cs="Times New Roman"/>
                <w:b/>
                <w:color w:val="auto"/>
                <w:szCs w:val="21"/>
                <w:highlight w:val="none"/>
                <w:shd w:val="clear" w:color="auto" w:fill="ffffff"/>
              </w:rPr>
              <w:t xml:space="preserve">内容规定</w:t>
            </w:r>
            <w:r/>
          </w:p>
        </w:tc>
      </w:tr>
      <w:tr>
        <w:trPr>
          <w:jc w:val="center"/>
          <w:trHeight w:val="350"/>
        </w:trPr>
        <w:tc>
          <w:tcPr>
            <w:tcW w:w="664" w:type="dxa"/>
            <w:vAlign w:val="center"/>
            <w:textDirection w:val="lrTb"/>
            <w:noWrap w:val="false"/>
          </w:tcPr>
          <w:p>
            <w:pPr>
              <w:jc w:val="center"/>
              <w:spacing w:line="360" w:lineRule="auto"/>
              <w:rPr>
                <w:rFonts w:ascii="宋体" w:hAnsi="宋体" w:eastAsia="宋体" w:cs="Times New Roman"/>
                <w:color w:val="auto"/>
                <w:szCs w:val="21"/>
                <w:highlight w:val="none"/>
                <w:shd w:val="clear" w:color="auto" w:fill="ffffff"/>
              </w:rPr>
            </w:pPr>
            <w:r>
              <w:rPr>
                <w:rFonts w:ascii="宋体" w:hAnsi="宋体" w:eastAsia="宋体" w:cs="Times New Roman"/>
                <w:color w:val="auto"/>
                <w:szCs w:val="21"/>
                <w:highlight w:val="none"/>
                <w:shd w:val="clear" w:color="auto" w:fill="ffffff"/>
              </w:rPr>
              <w:t xml:space="preserve">1</w:t>
            </w:r>
            <w:r/>
          </w:p>
        </w:tc>
        <w:tc>
          <w:tcPr>
            <w:tcW w:w="9144" w:type="dxa"/>
            <w:vAlign w:val="center"/>
            <w:textDirection w:val="lrTb"/>
            <w:noWrap w:val="false"/>
          </w:tcPr>
          <w:p>
            <w:pPr>
              <w:spacing w:line="360" w:lineRule="auto"/>
              <w:rPr>
                <w:rFonts w:hint="eastAsia" w:ascii="宋体" w:hAnsi="宋体" w:eastAsia="宋体" w:cs="Times New Roman"/>
                <w:color w:val="auto"/>
                <w:szCs w:val="21"/>
                <w:highlight w:val="none"/>
                <w:shd w:val="clear" w:color="auto" w:fill="ffffff"/>
                <w:lang w:eastAsia="zh-CN"/>
              </w:rPr>
            </w:pPr>
            <w:r>
              <w:rPr>
                <w:rFonts w:hint="eastAsia" w:ascii="宋体" w:hAnsi="宋体" w:eastAsia="宋体" w:cs="Times New Roman"/>
                <w:color w:val="auto"/>
                <w:szCs w:val="21"/>
                <w:highlight w:val="none"/>
                <w:shd w:val="clear" w:color="auto" w:fill="ffffff"/>
              </w:rPr>
              <w:t xml:space="preserve">采购内容：</w:t>
            </w:r>
            <w:r>
              <w:rPr>
                <w:rFonts w:hint="eastAsia" w:ascii="宋体" w:hAnsi="宋体" w:eastAsia="宋体" w:cs="Times New Roman"/>
                <w:color w:val="auto"/>
                <w:szCs w:val="21"/>
                <w:highlight w:val="none"/>
                <w:shd w:val="clear" w:color="auto" w:fill="ffffff"/>
                <w:lang w:eastAsia="zh-CN"/>
              </w:rPr>
              <w:t xml:space="preserve">星海试验中学改扩建项目厨房设备采购</w:t>
            </w:r>
            <w:r/>
          </w:p>
        </w:tc>
      </w:tr>
      <w:tr>
        <w:trPr>
          <w:jc w:val="center"/>
          <w:trHeight w:val="373"/>
        </w:trPr>
        <w:tc>
          <w:tcPr>
            <w:tcW w:w="664" w:type="dxa"/>
            <w:vAlign w:val="center"/>
            <w:textDirection w:val="lrTb"/>
            <w:noWrap w:val="false"/>
          </w:tcPr>
          <w:p>
            <w:pPr>
              <w:jc w:val="center"/>
              <w:spacing w:line="360" w:lineRule="auto"/>
              <w:rPr>
                <w:rFonts w:ascii="宋体" w:hAnsi="宋体" w:eastAsia="宋体" w:cs="Times New Roman"/>
                <w:color w:val="auto"/>
                <w:szCs w:val="21"/>
                <w:highlight w:val="none"/>
                <w:shd w:val="clear" w:color="auto" w:fill="ffffff"/>
              </w:rPr>
            </w:pPr>
            <w:r>
              <w:rPr>
                <w:rFonts w:hint="eastAsia" w:ascii="宋体" w:hAnsi="宋体" w:eastAsia="宋体" w:cs="Times New Roman"/>
                <w:color w:val="auto"/>
                <w:szCs w:val="21"/>
                <w:highlight w:val="none"/>
                <w:shd w:val="clear" w:color="auto" w:fill="ffffff"/>
              </w:rPr>
              <w:t xml:space="preserve">2</w:t>
            </w:r>
            <w:r/>
          </w:p>
        </w:tc>
        <w:tc>
          <w:tcPr>
            <w:tcW w:w="9144" w:type="dxa"/>
            <w:vAlign w:val="center"/>
            <w:textDirection w:val="lrTb"/>
            <w:noWrap w:val="false"/>
          </w:tcPr>
          <w:p>
            <w:pPr>
              <w:spacing w:line="360" w:lineRule="auto"/>
              <w:rPr>
                <w:rFonts w:ascii="宋体" w:hAnsi="宋体" w:eastAsia="宋体" w:cs="Times New Roman"/>
                <w:color w:val="auto"/>
                <w:szCs w:val="21"/>
                <w:highlight w:val="none"/>
                <w:shd w:val="clear" w:color="auto" w:fill="ffffff"/>
              </w:rPr>
            </w:pPr>
            <w:r>
              <w:rPr>
                <w:rFonts w:hint="eastAsia" w:ascii="宋体" w:hAnsi="宋体" w:eastAsia="宋体" w:cs="Times New Roman"/>
                <w:color w:val="auto"/>
                <w:szCs w:val="21"/>
                <w:highlight w:val="none"/>
                <w:shd w:val="clear" w:color="auto" w:fill="ffffff"/>
              </w:rPr>
              <w:t xml:space="preserve">投标有效期：自投标</w:t>
            </w:r>
            <w:r>
              <w:rPr>
                <w:rFonts w:ascii="宋体" w:hAnsi="宋体" w:eastAsia="宋体" w:cs="Times New Roman"/>
                <w:color w:val="auto"/>
                <w:szCs w:val="21"/>
                <w:highlight w:val="none"/>
                <w:shd w:val="clear" w:color="auto" w:fill="ffffff"/>
              </w:rPr>
              <w:t xml:space="preserve">截止日</w:t>
            </w:r>
            <w:r>
              <w:rPr>
                <w:rFonts w:hint="eastAsia" w:ascii="宋体" w:hAnsi="宋体" w:eastAsia="宋体" w:cs="Times New Roman"/>
                <w:color w:val="auto"/>
                <w:szCs w:val="21"/>
                <w:highlight w:val="none"/>
                <w:shd w:val="clear" w:color="auto" w:fill="ffffff"/>
              </w:rPr>
              <w:t xml:space="preserve">起</w:t>
            </w:r>
            <w:r>
              <w:rPr>
                <w:rFonts w:hint="eastAsia" w:ascii="宋体" w:hAnsi="宋体" w:eastAsia="宋体" w:cs="Times New Roman"/>
                <w:b/>
                <w:bCs/>
                <w:color w:val="auto"/>
                <w:szCs w:val="21"/>
                <w:highlight w:val="none"/>
                <w:shd w:val="clear" w:color="auto" w:fill="ffffff"/>
              </w:rPr>
              <w:t xml:space="preserve">九十天（日历日）</w:t>
            </w:r>
            <w:r/>
          </w:p>
        </w:tc>
      </w:tr>
      <w:tr>
        <w:trPr>
          <w:jc w:val="center"/>
          <w:trHeight w:val="393"/>
        </w:trPr>
        <w:tc>
          <w:tcPr>
            <w:tcW w:w="664" w:type="dxa"/>
            <w:vAlign w:val="center"/>
            <w:textDirection w:val="lrTb"/>
            <w:noWrap w:val="false"/>
          </w:tcPr>
          <w:p>
            <w:pPr>
              <w:jc w:val="center"/>
              <w:spacing w:line="360" w:lineRule="auto"/>
              <w:rPr>
                <w:rFonts w:ascii="宋体" w:hAnsi="宋体" w:eastAsia="宋体" w:cs="Times New Roman"/>
                <w:color w:val="auto"/>
                <w:szCs w:val="21"/>
                <w:highlight w:val="none"/>
                <w:shd w:val="clear" w:color="auto" w:fill="ffffff"/>
              </w:rPr>
            </w:pPr>
            <w:r>
              <w:rPr>
                <w:rFonts w:hint="eastAsia" w:ascii="宋体" w:hAnsi="宋体" w:eastAsia="宋体" w:cs="Times New Roman"/>
                <w:color w:val="auto"/>
                <w:szCs w:val="21"/>
                <w:highlight w:val="none"/>
                <w:shd w:val="clear" w:color="auto" w:fill="ffffff"/>
              </w:rPr>
              <w:t xml:space="preserve">3</w:t>
            </w:r>
            <w:r/>
          </w:p>
        </w:tc>
        <w:tc>
          <w:tcPr>
            <w:tcW w:w="9144" w:type="dxa"/>
            <w:vAlign w:val="center"/>
            <w:textDirection w:val="lrTb"/>
            <w:noWrap w:val="false"/>
          </w:tcPr>
          <w:p>
            <w:pPr>
              <w:spacing w:line="360" w:lineRule="auto"/>
              <w:rPr>
                <w:rFonts w:ascii="宋体" w:hAnsi="宋体" w:cs="Times New Roman"/>
                <w:color w:val="auto"/>
                <w:szCs w:val="21"/>
                <w:highlight w:val="none"/>
                <w:shd w:val="clear" w:color="auto" w:fill="ffffff"/>
              </w:rPr>
            </w:pPr>
            <w:r>
              <w:rPr>
                <w:rFonts w:hint="eastAsia" w:ascii="宋体" w:hAnsi="宋体" w:eastAsia="宋体" w:cs="Times New Roman"/>
                <w:color w:val="auto"/>
                <w:szCs w:val="21"/>
                <w:highlight w:val="none"/>
                <w:shd w:val="clear" w:color="auto" w:fill="ffffff"/>
              </w:rPr>
              <w:t xml:space="preserve">投标保证金：</w:t>
            </w:r>
            <w:r>
              <w:rPr>
                <w:rFonts w:ascii="Times New Roman" w:hAnsi="Times New Roman" w:cs="Times New Roman"/>
                <w:color w:val="auto"/>
                <w:szCs w:val="21"/>
                <w:highlight w:val="none"/>
              </w:rPr>
              <w:t xml:space="preserve">本项目不收取投标保证金</w:t>
            </w:r>
            <w:r>
              <w:rPr>
                <w:rFonts w:hint="eastAsia" w:ascii="Times New Roman" w:hAnsi="Times New Roman" w:cs="Times New Roman"/>
                <w:color w:val="auto"/>
                <w:szCs w:val="21"/>
                <w:highlight w:val="none"/>
              </w:rPr>
              <w:t xml:space="preserve">。</w:t>
            </w:r>
            <w:r/>
          </w:p>
        </w:tc>
      </w:tr>
      <w:tr>
        <w:trPr>
          <w:jc w:val="center"/>
          <w:trHeight w:val="283"/>
        </w:trPr>
        <w:tc>
          <w:tcPr>
            <w:tcW w:w="664" w:type="dxa"/>
            <w:vAlign w:val="center"/>
            <w:textDirection w:val="lrTb"/>
            <w:noWrap w:val="false"/>
          </w:tcPr>
          <w:p>
            <w:pPr>
              <w:jc w:val="center"/>
              <w:spacing w:line="360" w:lineRule="auto"/>
              <w:rPr>
                <w:rFonts w:ascii="宋体" w:hAnsi="宋体" w:eastAsia="宋体" w:cs="Times New Roman"/>
                <w:color w:val="auto"/>
                <w:szCs w:val="21"/>
                <w:highlight w:val="none"/>
                <w:shd w:val="clear" w:color="auto" w:fill="ffffff"/>
              </w:rPr>
            </w:pPr>
            <w:r>
              <w:rPr>
                <w:rFonts w:hint="eastAsia" w:ascii="宋体" w:hAnsi="宋体" w:eastAsia="宋体" w:cs="Times New Roman"/>
                <w:color w:val="auto"/>
                <w:szCs w:val="21"/>
                <w:highlight w:val="none"/>
                <w:shd w:val="clear" w:color="auto" w:fill="ffffff"/>
              </w:rPr>
              <w:t xml:space="preserve">4</w:t>
            </w:r>
            <w:r/>
          </w:p>
        </w:tc>
        <w:tc>
          <w:tcPr>
            <w:tcW w:w="9144" w:type="dxa"/>
            <w:vAlign w:val="center"/>
            <w:textDirection w:val="lrTb"/>
            <w:noWrap w:val="false"/>
          </w:tcPr>
          <w:p>
            <w:pPr>
              <w:spacing w:line="360" w:lineRule="auto"/>
              <w:rPr>
                <w:rFonts w:ascii="宋体" w:hAnsi="宋体" w:eastAsia="宋体" w:cs="Times New Roman"/>
                <w:b/>
                <w:bCs/>
                <w:color w:val="auto"/>
                <w:szCs w:val="21"/>
                <w:highlight w:val="none"/>
              </w:rPr>
            </w:pPr>
            <w:r>
              <w:rPr>
                <w:rFonts w:hint="eastAsia" w:ascii="宋体" w:hAnsi="宋体" w:eastAsia="宋体" w:cs="Times New Roman"/>
                <w:color w:val="auto"/>
                <w:szCs w:val="21"/>
                <w:highlight w:val="none"/>
                <w:shd w:val="clear" w:color="auto" w:fill="ffffff"/>
              </w:rPr>
              <w:t xml:space="preserve">投标文件：本项目采用网上提交电子投标文件，不接受纸质投标文件。中标后7天内，中标供应商提交</w:t>
            </w:r>
            <w:r>
              <w:rPr>
                <w:rFonts w:hint="eastAsia" w:ascii="宋体" w:hAnsi="宋体" w:eastAsia="宋体" w:cs="Times New Roman"/>
                <w:b/>
                <w:bCs/>
                <w:color w:val="auto"/>
                <w:szCs w:val="21"/>
                <w:highlight w:val="none"/>
                <w:u w:val="single"/>
                <w:shd w:val="clear" w:color="auto" w:fill="ffffff"/>
              </w:rPr>
              <w:t xml:space="preserve">三份</w:t>
            </w:r>
            <w:r>
              <w:rPr>
                <w:rFonts w:hint="eastAsia" w:ascii="宋体" w:hAnsi="宋体" w:eastAsia="宋体" w:cs="Times New Roman"/>
                <w:color w:val="auto"/>
                <w:szCs w:val="21"/>
                <w:highlight w:val="none"/>
                <w:shd w:val="clear" w:color="auto" w:fill="ffffff"/>
              </w:rPr>
              <w:t xml:space="preserve">纸质投标文件至采购人处。</w:t>
            </w:r>
            <w:r/>
          </w:p>
        </w:tc>
      </w:tr>
      <w:tr>
        <w:trPr>
          <w:jc w:val="center"/>
          <w:trHeight w:val="45"/>
        </w:trPr>
        <w:tc>
          <w:tcPr>
            <w:tcW w:w="664" w:type="dxa"/>
            <w:vAlign w:val="center"/>
            <w:textDirection w:val="lrTb"/>
            <w:noWrap w:val="false"/>
          </w:tcPr>
          <w:p>
            <w:pPr>
              <w:jc w:val="center"/>
              <w:spacing w:line="360" w:lineRule="auto"/>
              <w:rPr>
                <w:rFonts w:ascii="宋体" w:hAnsi="宋体" w:eastAsia="宋体" w:cs="Times New Roman"/>
                <w:color w:val="auto"/>
                <w:szCs w:val="21"/>
                <w:highlight w:val="none"/>
                <w:shd w:val="clear" w:color="auto" w:fill="ffffff"/>
              </w:rPr>
            </w:pPr>
            <w:r>
              <w:rPr>
                <w:rFonts w:hint="eastAsia" w:ascii="宋体" w:hAnsi="宋体" w:eastAsia="宋体" w:cs="Times New Roman"/>
                <w:color w:val="auto"/>
                <w:szCs w:val="21"/>
                <w:highlight w:val="none"/>
                <w:shd w:val="clear" w:color="auto" w:fill="ffffff"/>
              </w:rPr>
              <w:t xml:space="preserve">5</w:t>
            </w:r>
            <w:r/>
          </w:p>
        </w:tc>
        <w:tc>
          <w:tcPr>
            <w:tcW w:w="9144" w:type="dxa"/>
            <w:vAlign w:val="center"/>
            <w:textDirection w:val="lrTb"/>
            <w:noWrap w:val="false"/>
          </w:tcPr>
          <w:p>
            <w:pPr>
              <w:spacing w:line="360" w:lineRule="auto"/>
              <w:rPr>
                <w:rFonts w:ascii="宋体" w:hAnsi="宋体" w:eastAsia="宋体" w:cs="Times New Roman"/>
                <w:bCs/>
                <w:color w:val="auto"/>
                <w:szCs w:val="21"/>
                <w:highlight w:val="none"/>
                <w:shd w:val="clear" w:color="auto" w:fill="ffffff"/>
              </w:rPr>
            </w:pPr>
            <w:r>
              <w:rPr>
                <w:rFonts w:hint="eastAsia" w:ascii="宋体" w:hAnsi="宋体" w:eastAsia="宋体" w:cs="Times New Roman"/>
                <w:bCs/>
                <w:color w:val="auto"/>
                <w:szCs w:val="21"/>
                <w:highlight w:val="none"/>
                <w:shd w:val="clear" w:color="auto" w:fill="ffffff"/>
              </w:rPr>
              <w:t xml:space="preserve">开标信息</w:t>
            </w:r>
            <w:r/>
          </w:p>
          <w:p>
            <w:pPr>
              <w:spacing w:line="360" w:lineRule="auto"/>
              <w:rPr>
                <w:rFonts w:ascii="宋体" w:hAnsi="宋体" w:eastAsia="宋体" w:cs="Times New Roman"/>
                <w:color w:val="auto"/>
                <w:szCs w:val="21"/>
                <w:highlight w:val="none"/>
                <w:shd w:val="clear" w:color="auto" w:fill="ffffff"/>
              </w:rPr>
            </w:pPr>
            <w:r>
              <w:rPr>
                <w:rFonts w:hint="eastAsia" w:ascii="宋体" w:hAnsi="宋体" w:eastAsia="宋体" w:cs="Times New Roman"/>
                <w:color w:val="auto"/>
                <w:szCs w:val="21"/>
                <w:highlight w:val="none"/>
                <w:shd w:val="clear" w:color="auto" w:fill="ffffff"/>
              </w:rPr>
              <w:t xml:space="preserve">投标截止时间：202</w:t>
            </w:r>
            <w:r>
              <w:rPr>
                <w:rFonts w:hint="eastAsia" w:ascii="宋体" w:hAnsi="宋体" w:eastAsia="宋体" w:cs="Times New Roman"/>
                <w:color w:val="auto"/>
                <w:szCs w:val="21"/>
                <w:highlight w:val="none"/>
                <w:shd w:val="clear" w:color="auto" w:fill="ffffff"/>
                <w:lang w:val="en-US" w:eastAsia="zh-CN"/>
              </w:rPr>
              <w:t xml:space="preserve">6</w:t>
            </w:r>
            <w:r>
              <w:rPr>
                <w:rFonts w:hint="eastAsia" w:ascii="宋体" w:hAnsi="宋体" w:eastAsia="宋体" w:cs="Times New Roman"/>
                <w:color w:val="auto"/>
                <w:szCs w:val="21"/>
                <w:highlight w:val="none"/>
                <w:shd w:val="clear" w:color="auto" w:fill="ffffff"/>
              </w:rPr>
              <w:t xml:space="preserve">年</w:t>
            </w:r>
            <w:r>
              <w:rPr>
                <w:rFonts w:hint="eastAsia" w:ascii="宋体" w:hAnsi="宋体" w:eastAsia="宋体" w:cs="Times New Roman"/>
                <w:color w:val="auto"/>
                <w:szCs w:val="21"/>
                <w:highlight w:val="none"/>
                <w:shd w:val="clear" w:color="auto" w:fill="ffffff"/>
                <w:lang w:val="en-US" w:eastAsia="zh-CN"/>
              </w:rPr>
              <w:t xml:space="preserve">05</w:t>
            </w:r>
            <w:r>
              <w:rPr>
                <w:rFonts w:hint="eastAsia" w:ascii="宋体" w:hAnsi="宋体" w:eastAsia="宋体" w:cs="Times New Roman"/>
                <w:color w:val="auto"/>
                <w:szCs w:val="21"/>
                <w:highlight w:val="none"/>
                <w:shd w:val="clear" w:color="auto" w:fill="ffffff"/>
              </w:rPr>
              <w:t xml:space="preserve">月</w:t>
            </w:r>
            <w:r>
              <w:rPr>
                <w:rFonts w:hint="eastAsia" w:ascii="宋体" w:hAnsi="宋体" w:eastAsia="宋体" w:cs="Times New Roman"/>
                <w:color w:val="auto"/>
                <w:szCs w:val="21"/>
                <w:highlight w:val="none"/>
                <w:shd w:val="clear" w:color="auto" w:fill="ffffff"/>
                <w:lang w:val="en-US" w:eastAsia="zh-CN"/>
              </w:rPr>
              <w:t xml:space="preserve">08</w:t>
            </w:r>
            <w:r>
              <w:rPr>
                <w:rFonts w:hint="eastAsia" w:ascii="宋体" w:hAnsi="宋体" w:eastAsia="宋体" w:cs="Times New Roman"/>
                <w:color w:val="auto"/>
                <w:szCs w:val="21"/>
                <w:highlight w:val="none"/>
                <w:shd w:val="clear" w:color="auto" w:fill="ffffff"/>
              </w:rPr>
              <w:t xml:space="preserve">日</w:t>
            </w:r>
            <w:r>
              <w:rPr>
                <w:rFonts w:hint="eastAsia" w:ascii="宋体" w:hAnsi="宋体" w:eastAsia="宋体" w:cs="Times New Roman"/>
                <w:color w:val="auto"/>
                <w:szCs w:val="21"/>
                <w:highlight w:val="none"/>
                <w:shd w:val="clear" w:color="auto" w:fill="ffffff"/>
                <w:lang w:val="en-US" w:eastAsia="zh-CN"/>
              </w:rPr>
              <w:t xml:space="preserve">14</w:t>
            </w:r>
            <w:r>
              <w:rPr>
                <w:rFonts w:hint="eastAsia" w:ascii="宋体" w:hAnsi="宋体" w:eastAsia="宋体" w:cs="Times New Roman"/>
                <w:color w:val="auto"/>
                <w:szCs w:val="21"/>
                <w:highlight w:val="none"/>
                <w:shd w:val="clear" w:color="auto" w:fill="ffffff"/>
              </w:rPr>
              <w:t xml:space="preserve">:</w:t>
            </w:r>
            <w:r>
              <w:rPr>
                <w:rFonts w:hint="eastAsia" w:ascii="宋体" w:hAnsi="宋体" w:eastAsia="宋体" w:cs="Times New Roman"/>
                <w:color w:val="auto"/>
                <w:szCs w:val="21"/>
                <w:highlight w:val="none"/>
                <w:shd w:val="clear" w:color="auto" w:fill="ffffff"/>
                <w:lang w:val="en-US" w:eastAsia="zh-CN"/>
              </w:rPr>
              <w:t xml:space="preserve">00</w:t>
            </w:r>
            <w:r>
              <w:rPr>
                <w:rFonts w:hint="eastAsia" w:ascii="宋体" w:hAnsi="宋体" w:eastAsia="宋体" w:cs="Times New Roman"/>
                <w:color w:val="auto"/>
                <w:szCs w:val="21"/>
                <w:highlight w:val="none"/>
                <w:shd w:val="clear" w:color="auto" w:fill="ffffff"/>
              </w:rPr>
              <w:t xml:space="preserve"> 整</w:t>
            </w:r>
            <w:r/>
          </w:p>
          <w:p>
            <w:pPr>
              <w:spacing w:line="360" w:lineRule="auto"/>
              <w:rPr>
                <w:rFonts w:ascii="宋体" w:hAnsi="宋体" w:eastAsia="宋体" w:cs="Times New Roman"/>
                <w:color w:val="auto"/>
                <w:szCs w:val="21"/>
                <w:highlight w:val="none"/>
                <w:shd w:val="clear" w:color="auto" w:fill="ffffff"/>
              </w:rPr>
            </w:pPr>
            <w:r>
              <w:rPr>
                <w:rFonts w:hint="eastAsia" w:ascii="宋体" w:hAnsi="宋体" w:eastAsia="宋体" w:cs="Times New Roman"/>
                <w:color w:val="auto"/>
                <w:szCs w:val="21"/>
                <w:highlight w:val="none"/>
                <w:shd w:val="clear" w:color="auto" w:fill="ffffff"/>
              </w:rPr>
              <w:t xml:space="preserve">开标时间：202</w:t>
            </w:r>
            <w:r>
              <w:rPr>
                <w:rFonts w:hint="eastAsia" w:ascii="宋体" w:hAnsi="宋体" w:eastAsia="宋体" w:cs="Times New Roman"/>
                <w:color w:val="auto"/>
                <w:szCs w:val="21"/>
                <w:highlight w:val="none"/>
                <w:shd w:val="clear" w:color="auto" w:fill="ffffff"/>
                <w:lang w:val="en-US" w:eastAsia="zh-CN"/>
              </w:rPr>
              <w:t xml:space="preserve">6</w:t>
            </w:r>
            <w:r>
              <w:rPr>
                <w:rFonts w:hint="eastAsia" w:ascii="宋体" w:hAnsi="宋体" w:eastAsia="宋体" w:cs="Times New Roman"/>
                <w:color w:val="auto"/>
                <w:szCs w:val="21"/>
                <w:highlight w:val="none"/>
                <w:shd w:val="clear" w:color="auto" w:fill="ffffff"/>
              </w:rPr>
              <w:t xml:space="preserve">年</w:t>
            </w:r>
            <w:r>
              <w:rPr>
                <w:rFonts w:hint="eastAsia" w:ascii="宋体" w:hAnsi="宋体" w:eastAsia="宋体" w:cs="Times New Roman"/>
                <w:color w:val="auto"/>
                <w:szCs w:val="21"/>
                <w:highlight w:val="none"/>
                <w:shd w:val="clear" w:color="auto" w:fill="ffffff"/>
                <w:lang w:val="en-US" w:eastAsia="zh-CN"/>
              </w:rPr>
              <w:t xml:space="preserve">05</w:t>
            </w:r>
            <w:r>
              <w:rPr>
                <w:rFonts w:hint="eastAsia" w:ascii="宋体" w:hAnsi="宋体" w:eastAsia="宋体" w:cs="Times New Roman"/>
                <w:color w:val="auto"/>
                <w:szCs w:val="21"/>
                <w:highlight w:val="none"/>
                <w:shd w:val="clear" w:color="auto" w:fill="ffffff"/>
              </w:rPr>
              <w:t xml:space="preserve">月</w:t>
            </w:r>
            <w:r>
              <w:rPr>
                <w:rFonts w:hint="eastAsia" w:ascii="宋体" w:hAnsi="宋体" w:eastAsia="宋体" w:cs="Times New Roman"/>
                <w:color w:val="auto"/>
                <w:szCs w:val="21"/>
                <w:highlight w:val="none"/>
                <w:shd w:val="clear" w:color="auto" w:fill="ffffff"/>
                <w:lang w:val="en-US" w:eastAsia="zh-CN"/>
              </w:rPr>
              <w:t xml:space="preserve">08</w:t>
            </w:r>
            <w:r>
              <w:rPr>
                <w:rFonts w:hint="eastAsia" w:ascii="宋体" w:hAnsi="宋体" w:eastAsia="宋体" w:cs="Times New Roman"/>
                <w:color w:val="auto"/>
                <w:szCs w:val="21"/>
                <w:highlight w:val="none"/>
                <w:shd w:val="clear" w:color="auto" w:fill="ffffff"/>
              </w:rPr>
              <w:t xml:space="preserve">日</w:t>
            </w:r>
            <w:r>
              <w:rPr>
                <w:rFonts w:hint="eastAsia" w:ascii="宋体" w:hAnsi="宋体" w:eastAsia="宋体" w:cs="Times New Roman"/>
                <w:color w:val="auto"/>
                <w:szCs w:val="21"/>
                <w:highlight w:val="none"/>
                <w:shd w:val="clear" w:color="auto" w:fill="ffffff"/>
                <w:lang w:val="en-US" w:eastAsia="zh-CN"/>
              </w:rPr>
              <w:t xml:space="preserve">14</w:t>
            </w:r>
            <w:r>
              <w:rPr>
                <w:rFonts w:hint="eastAsia" w:ascii="宋体" w:hAnsi="宋体" w:eastAsia="宋体" w:cs="Times New Roman"/>
                <w:color w:val="auto"/>
                <w:szCs w:val="21"/>
                <w:highlight w:val="none"/>
                <w:shd w:val="clear" w:color="auto" w:fill="ffffff"/>
              </w:rPr>
              <w:t xml:space="preserve">:</w:t>
            </w:r>
            <w:r>
              <w:rPr>
                <w:rFonts w:hint="eastAsia" w:ascii="宋体" w:hAnsi="宋体" w:eastAsia="宋体" w:cs="Times New Roman"/>
                <w:color w:val="auto"/>
                <w:szCs w:val="21"/>
                <w:highlight w:val="none"/>
                <w:shd w:val="clear" w:color="auto" w:fill="ffffff"/>
                <w:lang w:val="en-US" w:eastAsia="zh-CN"/>
              </w:rPr>
              <w:t xml:space="preserve">00</w:t>
            </w:r>
            <w:r>
              <w:rPr>
                <w:rFonts w:hint="eastAsia" w:ascii="宋体" w:hAnsi="宋体" w:eastAsia="宋体" w:cs="Times New Roman"/>
                <w:color w:val="auto"/>
                <w:szCs w:val="21"/>
                <w:highlight w:val="none"/>
                <w:shd w:val="clear" w:color="auto" w:fill="ffffff"/>
              </w:rPr>
              <w:t xml:space="preserve"> 整</w:t>
            </w:r>
            <w:r/>
          </w:p>
          <w:p>
            <w:pPr>
              <w:spacing w:line="360" w:lineRule="auto"/>
              <w:rPr>
                <w:rFonts w:ascii="宋体" w:hAnsi="宋体" w:eastAsia="宋体" w:cs="Times New Roman"/>
                <w:color w:val="auto"/>
                <w:szCs w:val="21"/>
                <w:highlight w:val="none"/>
                <w:shd w:val="clear" w:color="auto" w:fill="ffffff"/>
              </w:rPr>
            </w:pPr>
            <w:r>
              <w:rPr>
                <w:rFonts w:hint="eastAsia" w:ascii="宋体" w:hAnsi="宋体" w:eastAsia="宋体" w:cs="Times New Roman"/>
                <w:color w:val="auto"/>
                <w:szCs w:val="21"/>
                <w:highlight w:val="none"/>
                <w:shd w:val="clear" w:color="auto" w:fill="ffffff"/>
              </w:rPr>
              <w:t xml:space="preserve">开标地点：“苏采云”系统（网址：http://jszfcg.jsczt.cn/）</w:t>
            </w:r>
            <w:r/>
          </w:p>
          <w:p>
            <w:pPr>
              <w:spacing w:line="360" w:lineRule="auto"/>
              <w:widowControl/>
              <w:rPr>
                <w:rFonts w:ascii="宋体" w:hAnsi="宋体" w:eastAsia="宋体" w:cs="Times New Roman"/>
                <w:color w:val="auto"/>
                <w:szCs w:val="21"/>
                <w:highlight w:val="none"/>
                <w:shd w:val="clear" w:color="auto" w:fill="ffffff"/>
              </w:rPr>
            </w:pPr>
            <w:r>
              <w:rPr>
                <w:rFonts w:hint="eastAsia" w:ascii="宋体" w:hAnsi="宋体" w:eastAsia="宋体" w:cs="Times New Roman"/>
                <w:color w:val="auto"/>
                <w:szCs w:val="21"/>
                <w:highlight w:val="none"/>
                <w:shd w:val="clear" w:color="auto" w:fill="ffffff"/>
              </w:rPr>
              <w:t xml:space="preserve">本项目为不见面开标项目，开标阶段供应商在【供应商解密】环节必须使用</w:t>
            </w:r>
            <w:r>
              <w:rPr>
                <w:rFonts w:ascii="宋体" w:hAnsi="宋体" w:eastAsia="宋体" w:cs="Times New Roman"/>
                <w:color w:val="auto"/>
                <w:szCs w:val="21"/>
                <w:highlight w:val="none"/>
                <w:shd w:val="clear" w:color="auto" w:fill="ffffff"/>
              </w:rPr>
              <w:t xml:space="preserve">CA证书解密电子投标文件，如在“苏</w:t>
            </w:r>
            <w:r>
              <w:rPr>
                <w:rFonts w:hint="eastAsia" w:ascii="宋体" w:hAnsi="宋体" w:eastAsia="宋体" w:cs="Times New Roman"/>
                <w:color w:val="auto"/>
                <w:szCs w:val="21"/>
                <w:highlight w:val="none"/>
                <w:shd w:val="clear" w:color="auto" w:fill="ffffff"/>
              </w:rPr>
              <w:t xml:space="preserve">采云”系统规定的时间内未能成功解密的视为放弃参与本项目投标。</w:t>
            </w:r>
            <w:r/>
          </w:p>
        </w:tc>
      </w:tr>
      <w:tr>
        <w:trPr>
          <w:jc w:val="center"/>
          <w:trHeight w:val="473"/>
        </w:trPr>
        <w:tc>
          <w:tcPr>
            <w:tcW w:w="664" w:type="dxa"/>
            <w:vAlign w:val="center"/>
            <w:textDirection w:val="lrTb"/>
            <w:noWrap w:val="false"/>
          </w:tcPr>
          <w:p>
            <w:pPr>
              <w:jc w:val="center"/>
              <w:spacing w:line="360" w:lineRule="auto"/>
              <w:rPr>
                <w:rFonts w:ascii="宋体" w:hAnsi="宋体" w:eastAsia="宋体" w:cs="Times New Roman"/>
                <w:color w:val="auto"/>
                <w:szCs w:val="21"/>
                <w:highlight w:val="none"/>
                <w:shd w:val="clear" w:color="auto" w:fill="ffffff"/>
              </w:rPr>
            </w:pPr>
            <w:r>
              <w:rPr>
                <w:rFonts w:hint="eastAsia" w:ascii="宋体" w:hAnsi="宋体" w:eastAsia="宋体" w:cs="Times New Roman"/>
                <w:color w:val="auto"/>
                <w:szCs w:val="21"/>
                <w:highlight w:val="none"/>
                <w:shd w:val="clear" w:color="auto" w:fill="ffffff"/>
              </w:rPr>
              <w:t xml:space="preserve">6</w:t>
            </w:r>
            <w:r/>
          </w:p>
        </w:tc>
        <w:tc>
          <w:tcPr>
            <w:tcW w:w="9144" w:type="dxa"/>
            <w:vAlign w:val="center"/>
            <w:textDirection w:val="lrTb"/>
            <w:noWrap w:val="false"/>
          </w:tcPr>
          <w:p>
            <w:pPr>
              <w:spacing w:line="360" w:lineRule="auto"/>
              <w:rPr>
                <w:rFonts w:hint="eastAsia" w:ascii="宋体" w:hAnsi="宋体" w:eastAsia="宋体" w:cs="Times New Roman"/>
                <w:color w:val="auto"/>
                <w:szCs w:val="21"/>
                <w:highlight w:val="none"/>
                <w:shd w:val="clear" w:color="auto" w:fill="ffffff"/>
                <w:lang w:eastAsia="zh-CN"/>
              </w:rPr>
            </w:pPr>
            <w:r>
              <w:rPr>
                <w:rFonts w:hint="eastAsia" w:ascii="宋体" w:hAnsi="宋体" w:eastAsia="宋体" w:cs="Times New Roman"/>
                <w:color w:val="auto"/>
                <w:szCs w:val="21"/>
                <w:highlight w:val="none"/>
                <w:shd w:val="clear" w:color="auto" w:fill="ffffff"/>
              </w:rPr>
              <w:t xml:space="preserve">履约保证金：</w:t>
            </w:r>
            <w:r>
              <w:rPr>
                <w:rFonts w:hint="eastAsia" w:ascii="宋体" w:hAnsi="宋体" w:eastAsia="宋体" w:cs="Times New Roman"/>
                <w:color w:val="auto"/>
                <w:szCs w:val="21"/>
                <w:highlight w:val="none"/>
                <w:shd w:val="clear" w:color="auto" w:fill="ffffff"/>
                <w:lang w:val="en-US" w:eastAsia="zh-CN"/>
              </w:rPr>
              <w:t xml:space="preserve">无。</w:t>
            </w:r>
            <w:r/>
          </w:p>
        </w:tc>
      </w:tr>
      <w:tr>
        <w:trPr>
          <w:jc w:val="center"/>
          <w:trHeight w:val="4334"/>
        </w:trPr>
        <w:tc>
          <w:tcPr>
            <w:tcW w:w="664" w:type="dxa"/>
            <w:vAlign w:val="center"/>
            <w:textDirection w:val="lrTb"/>
            <w:noWrap w:val="false"/>
          </w:tcPr>
          <w:p>
            <w:pPr>
              <w:jc w:val="center"/>
              <w:rPr>
                <w:rFonts w:hint="eastAsia" w:ascii="宋体" w:hAnsi="宋体" w:eastAsia="宋体" w:cs="Times New Roman"/>
                <w:color w:val="auto"/>
                <w:szCs w:val="21"/>
                <w:highlight w:val="none"/>
                <w:shd w:val="clear" w:color="auto" w:fill="ffffff"/>
                <w:lang w:eastAsia="zh-CN"/>
              </w:rPr>
            </w:pPr>
            <w:r>
              <w:rPr>
                <w:rFonts w:hint="eastAsia" w:ascii="宋体" w:hAnsi="宋体" w:eastAsia="宋体" w:cs="Times New Roman"/>
                <w:color w:val="auto"/>
                <w:szCs w:val="21"/>
                <w:highlight w:val="none"/>
                <w:shd w:val="clear" w:color="auto" w:fill="ffffff"/>
                <w:lang w:val="en-US" w:eastAsia="zh-CN"/>
              </w:rPr>
              <w:t xml:space="preserve">7</w:t>
            </w:r>
            <w:r/>
          </w:p>
        </w:tc>
        <w:tc>
          <w:tcPr>
            <w:tcW w:w="9144" w:type="dxa"/>
            <w:vAlign w:val="center"/>
            <w:textDirection w:val="lrTb"/>
            <w:noWrap w:val="false"/>
          </w:tcPr>
          <w:p>
            <w:pPr>
              <w:ind w:right="18"/>
              <w:jc w:val="left"/>
              <w:tabs>
                <w:tab w:val="left" w:pos="720" w:leader="none"/>
              </w:tabs>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代理服务费收费标准：代理服务费收费按以下标准收取</w:t>
            </w:r>
            <w:r>
              <w:rPr>
                <w:rFonts w:hint="eastAsia" w:ascii="宋体" w:hAnsi="宋体" w:eastAsia="宋体" w:cs="Times New Roman"/>
                <w:color w:val="auto"/>
                <w:szCs w:val="21"/>
                <w:highlight w:val="none"/>
                <w:lang w:val="en-US" w:eastAsia="zh-CN"/>
              </w:rPr>
              <w:t xml:space="preserve">*60%</w:t>
            </w:r>
            <w:r>
              <w:rPr>
                <w:rFonts w:hint="eastAsia" w:ascii="宋体" w:hAnsi="宋体" w:eastAsia="宋体" w:cs="Times New Roman"/>
                <w:color w:val="auto"/>
                <w:szCs w:val="21"/>
                <w:highlight w:val="none"/>
              </w:rPr>
              <w:t xml:space="preserve">：</w:t>
            </w:r>
            <w:r/>
          </w:p>
          <w:p>
            <w:pPr>
              <w:ind w:left="0" w:right="0"/>
              <w:keepLines w:val="0"/>
              <w:keepNext w:val="0"/>
              <w:spacing w:before="0" w:beforeAutospacing="0" w:after="0" w:afterAutospacing="0" w:line="240" w:lineRule="exact"/>
              <w:shd w:val="clear" w:color="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lang w:bidi="ar"/>
              </w:rPr>
              <w:t xml:space="preserve">预算金额100万元以下部分，费率为该部分预算金额的1.5%；</w:t>
            </w:r>
            <w:r/>
          </w:p>
          <w:p>
            <w:pPr>
              <w:ind w:left="0" w:right="0"/>
              <w:keepLines w:val="0"/>
              <w:keepNext w:val="0"/>
              <w:spacing w:before="0" w:beforeAutospacing="0" w:after="0" w:afterAutospacing="0" w:line="240" w:lineRule="exact"/>
              <w:shd w:val="clear" w:color="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lang w:bidi="ar"/>
              </w:rPr>
              <w:t xml:space="preserve">预算金额100万元（含）－500万元部分，费率为该部分预算金额的1.1%；</w:t>
            </w:r>
            <w:r/>
          </w:p>
          <w:p>
            <w:pPr>
              <w:ind w:left="0" w:right="0"/>
              <w:keepLines w:val="0"/>
              <w:keepNext w:val="0"/>
              <w:spacing w:before="0" w:beforeAutospacing="0" w:after="0" w:afterAutospacing="0" w:line="240" w:lineRule="exact"/>
              <w:shd w:val="clear" w:color="auto"/>
              <w:rPr>
                <w:rFonts w:hint="eastAsia" w:ascii="宋体" w:hAnsi="宋体" w:eastAsia="宋体" w:cs="宋体"/>
                <w:color w:val="auto"/>
                <w:szCs w:val="21"/>
                <w:highlight w:val="none"/>
                <w:lang w:bidi="ar"/>
              </w:rPr>
              <w:suppressLineNumbers w:val="0"/>
            </w:pPr>
            <w:r>
              <w:rPr>
                <w:rFonts w:hint="eastAsia" w:ascii="宋体" w:hAnsi="宋体" w:eastAsia="宋体" w:cs="宋体"/>
                <w:color w:val="auto"/>
                <w:szCs w:val="21"/>
                <w:highlight w:val="none"/>
                <w:lang w:bidi="ar"/>
              </w:rPr>
              <w:t xml:space="preserve">预算金额500万元（含）-1000万元部分，费率为该部分预算金额的0.8%；</w:t>
            </w:r>
            <w:r/>
          </w:p>
          <w:p>
            <w:pPr>
              <w:ind w:left="0" w:right="0"/>
              <w:keepLines w:val="0"/>
              <w:keepNext w:val="0"/>
              <w:spacing w:before="0" w:beforeAutospacing="0" w:after="0" w:afterAutospacing="0" w:line="240" w:lineRule="exact"/>
              <w:shd w:val="clear" w:color="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lang w:bidi="ar"/>
              </w:rPr>
              <w:t xml:space="preserve">预算金额1000万元（含）-5000万元部分，费率为该部分预算金额的0.5%；</w:t>
            </w:r>
            <w:r/>
          </w:p>
          <w:p>
            <w:pPr>
              <w:ind w:left="0" w:right="0"/>
              <w:keepLines w:val="0"/>
              <w:keepNext w:val="0"/>
              <w:spacing w:before="0" w:beforeAutospacing="0" w:after="0" w:afterAutospacing="0" w:line="240" w:lineRule="exact"/>
              <w:shd w:val="clear" w:color="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lang w:bidi="ar"/>
              </w:rPr>
              <w:t xml:space="preserve">预算金额5000万元以上部分，费率为该部分预算金额的0.25%。</w:t>
            </w:r>
            <w:r/>
          </w:p>
          <w:p>
            <w:pPr>
              <w:rPr>
                <w:rFonts w:ascii="宋体" w:hAnsi="宋体" w:eastAsia="宋体" w:cs="Times New Roman"/>
                <w:color w:val="auto"/>
                <w:szCs w:val="21"/>
                <w:highlight w:val="none"/>
              </w:rPr>
            </w:pPr>
            <w:r>
              <w:rPr>
                <w:rFonts w:hint="eastAsia" w:ascii="宋体" w:hAnsi="宋体" w:eastAsia="宋体" w:cs="宋体"/>
                <w:color w:val="auto"/>
                <w:szCs w:val="21"/>
                <w:highlight w:val="none"/>
                <w:lang w:bidi="ar"/>
              </w:rPr>
              <w:t xml:space="preserve">说明：代理服务费以采购预算金额为基数依据，按以上规定的标准和差额定率累进法进行计算收取。例：如预算金额为150万元，则代理服务费＝</w:t>
            </w:r>
            <w:r>
              <w:rPr>
                <w:rFonts w:hint="eastAsia" w:ascii="宋体" w:hAnsi="宋体" w:eastAsia="宋体" w:cs="宋体"/>
                <w:color w:val="auto"/>
                <w:szCs w:val="21"/>
                <w:highlight w:val="none"/>
                <w:lang w:eastAsia="zh-CN" w:bidi="ar"/>
              </w:rPr>
              <w:t xml:space="preserve">【</w:t>
            </w:r>
            <w:r>
              <w:rPr>
                <w:rFonts w:hint="eastAsia" w:ascii="宋体" w:hAnsi="宋体" w:eastAsia="宋体" w:cs="宋体"/>
                <w:color w:val="auto"/>
                <w:szCs w:val="21"/>
                <w:highlight w:val="none"/>
                <w:lang w:bidi="ar"/>
              </w:rPr>
              <w:t xml:space="preserve">100万元×1.5%＋（150万元－100万元）×1.1%</w:t>
            </w:r>
            <w:r>
              <w:rPr>
                <w:rFonts w:hint="eastAsia" w:ascii="宋体" w:hAnsi="宋体" w:eastAsia="宋体" w:cs="宋体"/>
                <w:color w:val="auto"/>
                <w:szCs w:val="21"/>
                <w:highlight w:val="none"/>
                <w:lang w:eastAsia="zh-CN" w:bidi="ar"/>
              </w:rPr>
              <w:t xml:space="preserve">】</w:t>
            </w:r>
            <w:r>
              <w:rPr>
                <w:rFonts w:hint="eastAsia" w:ascii="宋体" w:hAnsi="宋体" w:eastAsia="宋体" w:cs="Times New Roman"/>
                <w:color w:val="auto"/>
                <w:szCs w:val="21"/>
                <w:highlight w:val="none"/>
                <w:lang w:val="en-US" w:eastAsia="zh-CN"/>
              </w:rPr>
              <w:t xml:space="preserve">*60%</w:t>
            </w:r>
            <w:r>
              <w:rPr>
                <w:rFonts w:hint="eastAsia" w:ascii="宋体" w:hAnsi="宋体" w:eastAsia="宋体" w:cs="宋体"/>
                <w:color w:val="auto"/>
                <w:szCs w:val="21"/>
                <w:highlight w:val="none"/>
                <w:lang w:bidi="ar"/>
              </w:rPr>
              <w:t xml:space="preserve">。如按上述方法计算的金额低于人民币4000元整的，则本项目代理服务费按人民币4000元整计收，最低不低于4000元。</w:t>
            </w:r>
            <w:r>
              <w:rPr>
                <w:rFonts w:hint="eastAsia" w:ascii="宋体" w:hAnsi="宋体" w:eastAsia="宋体" w:cs="Times New Roman"/>
                <w:color w:val="auto"/>
                <w:szCs w:val="21"/>
                <w:highlight w:val="none"/>
              </w:rPr>
              <w:t xml:space="preserve">代理服务费：领取成交通知书时成交人向采购代理机构一次性付清。</w:t>
            </w:r>
            <w:r/>
          </w:p>
          <w:p>
            <w:pPr>
              <w:ind w:firstLine="42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本项目代理费金额：</w:t>
            </w:r>
            <w:r>
              <w:rPr>
                <w:rFonts w:hint="eastAsia" w:ascii="宋体" w:hAnsi="宋体" w:eastAsia="宋体" w:cs="Times New Roman"/>
                <w:color w:val="auto"/>
                <w:szCs w:val="21"/>
                <w:highlight w:val="none"/>
                <w:lang w:val="en-US" w:eastAsia="zh-CN"/>
              </w:rPr>
              <w:t xml:space="preserve">28908</w:t>
            </w:r>
            <w:r>
              <w:rPr>
                <w:rFonts w:hint="eastAsia" w:ascii="宋体" w:hAnsi="宋体" w:eastAsia="宋体" w:cs="Times New Roman"/>
                <w:color w:val="auto"/>
                <w:szCs w:val="21"/>
                <w:highlight w:val="none"/>
              </w:rPr>
              <w:t xml:space="preserve">元</w:t>
            </w:r>
            <w:r/>
          </w:p>
          <w:p>
            <w:pPr>
              <w:ind w:firstLine="420"/>
              <w:jc w:val="left"/>
              <w:widowControl/>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收款</w:t>
            </w:r>
            <w:r>
              <w:rPr>
                <w:rFonts w:ascii="宋体" w:hAnsi="宋体" w:eastAsia="宋体" w:cs="Times New Roman"/>
                <w:color w:val="auto"/>
                <w:szCs w:val="21"/>
                <w:highlight w:val="none"/>
              </w:rPr>
              <w:t xml:space="preserve">单位</w:t>
            </w:r>
            <w:r>
              <w:rPr>
                <w:rFonts w:hint="eastAsia" w:ascii="宋体" w:hAnsi="宋体" w:eastAsia="宋体" w:cs="Times New Roman"/>
                <w:color w:val="auto"/>
                <w:szCs w:val="21"/>
                <w:highlight w:val="none"/>
              </w:rPr>
              <w:t xml:space="preserve">：苏州华星工程造价咨询有限公司</w:t>
            </w:r>
            <w:r/>
          </w:p>
          <w:p>
            <w:pPr>
              <w:ind w:firstLine="42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银行账号：520958193351</w:t>
            </w:r>
            <w:r/>
          </w:p>
          <w:p>
            <w:pPr>
              <w:ind w:firstLine="420"/>
              <w:jc w:val="left"/>
              <w:widowControl/>
              <w:rPr>
                <w:rFonts w:ascii="宋体" w:hAnsi="宋体" w:eastAsia="宋体" w:cs="Times New Roman"/>
                <w:color w:val="auto"/>
                <w:szCs w:val="21"/>
                <w:highlight w:val="none"/>
                <w:shd w:val="clear" w:color="auto" w:fill="ffffff"/>
              </w:rPr>
            </w:pPr>
            <w:r>
              <w:rPr>
                <w:rFonts w:hint="eastAsia" w:ascii="宋体" w:hAnsi="宋体" w:eastAsia="宋体" w:cs="Times New Roman"/>
                <w:color w:val="auto"/>
                <w:szCs w:val="21"/>
                <w:highlight w:val="none"/>
              </w:rPr>
              <w:t xml:space="preserve">开户银行：中国银行股份有限公司苏州东环路支行</w:t>
            </w:r>
            <w:r/>
          </w:p>
        </w:tc>
      </w:tr>
      <w:tr>
        <w:trPr>
          <w:jc w:val="center"/>
          <w:trHeight w:val="696"/>
        </w:trPr>
        <w:tc>
          <w:tcPr>
            <w:tcW w:w="664" w:type="dxa"/>
            <w:vAlign w:val="center"/>
            <w:textDirection w:val="lrTb"/>
            <w:noWrap w:val="false"/>
          </w:tcPr>
          <w:p>
            <w:pPr>
              <w:jc w:val="center"/>
              <w:spacing w:line="360" w:lineRule="auto"/>
              <w:rPr>
                <w:rFonts w:hint="eastAsia" w:ascii="宋体" w:hAnsi="宋体" w:eastAsia="宋体" w:cs="Times New Roman"/>
                <w:color w:val="auto"/>
                <w:szCs w:val="21"/>
                <w:highlight w:val="none"/>
                <w:shd w:val="clear" w:color="auto" w:fill="ffffff"/>
                <w:lang w:eastAsia="zh-CN"/>
              </w:rPr>
            </w:pPr>
            <w:r>
              <w:rPr>
                <w:rFonts w:hint="eastAsia" w:ascii="宋体" w:hAnsi="宋体" w:eastAsia="宋体" w:cs="Times New Roman"/>
                <w:color w:val="auto"/>
                <w:szCs w:val="21"/>
                <w:highlight w:val="none"/>
                <w:shd w:val="clear" w:color="auto" w:fill="ffffff"/>
                <w:lang w:val="en-US" w:eastAsia="zh-CN"/>
              </w:rPr>
              <w:t xml:space="preserve">8</w:t>
            </w:r>
            <w:r/>
          </w:p>
        </w:tc>
        <w:tc>
          <w:tcPr>
            <w:tcW w:w="9144" w:type="dxa"/>
            <w:vAlign w:val="center"/>
            <w:textDirection w:val="lrTb"/>
            <w:noWrap w:val="false"/>
          </w:tcPr>
          <w:p>
            <w:pPr>
              <w:spacing w:line="360" w:lineRule="auto"/>
              <w:rPr>
                <w:rFonts w:ascii="宋体" w:hAnsi="宋体" w:eastAsia="宋体" w:cs="Times New Roman"/>
                <w:color w:val="auto"/>
                <w:szCs w:val="21"/>
                <w:highlight w:val="none"/>
                <w:shd w:val="clear" w:color="auto" w:fill="ffffff"/>
              </w:rPr>
            </w:pPr>
            <w:r>
              <w:rPr>
                <w:rFonts w:hint="eastAsia" w:ascii="宋体" w:hAnsi="宋体" w:eastAsia="宋体" w:cs="Times New Roman"/>
                <w:color w:val="auto"/>
                <w:szCs w:val="21"/>
                <w:highlight w:val="none"/>
                <w:shd w:val="clear" w:color="auto" w:fill="ffffff"/>
              </w:rPr>
              <w:t xml:space="preserve">苏州工业园区政府采购监督电话：0512-66681110</w:t>
            </w:r>
            <w:r/>
          </w:p>
        </w:tc>
      </w:tr>
    </w:tbl>
    <w:p>
      <w:pPr>
        <w:jc w:val="center"/>
        <w:spacing w:line="360" w:lineRule="auto"/>
        <w:rPr>
          <w:rFonts w:ascii="宋体" w:hAnsi="宋体" w:eastAsia="宋体" w:cs="Times New Roman"/>
          <w:color w:val="auto"/>
          <w:sz w:val="52"/>
          <w:szCs w:val="52"/>
          <w:highlight w:val="none"/>
          <w:shd w:val="clear" w:color="auto" w:fill="ffffff"/>
        </w:rPr>
      </w:pPr>
      <w:r>
        <w:rPr>
          <w:rFonts w:ascii="宋体" w:hAnsi="宋体" w:eastAsia="宋体" w:cs="Times New Roman"/>
          <w:color w:val="auto"/>
          <w:sz w:val="52"/>
          <w:szCs w:val="52"/>
          <w:highlight w:val="none"/>
          <w:shd w:val="clear" w:color="auto" w:fill="ffffff"/>
        </w:rPr>
        <w:br w:type="page" w:clear="all"/>
      </w:r>
      <w:r/>
    </w:p>
    <w:p>
      <w:pPr>
        <w:jc w:val="center"/>
        <w:spacing w:line="360" w:lineRule="auto"/>
        <w:rPr>
          <w:rFonts w:ascii="宋体" w:hAnsi="宋体" w:eastAsia="宋体" w:cs="Times New Roman"/>
          <w:b/>
          <w:color w:val="auto"/>
          <w:sz w:val="48"/>
          <w:szCs w:val="48"/>
          <w:highlight w:val="none"/>
          <w:shd w:val="clear" w:color="auto" w:fill="ffffff"/>
        </w:rPr>
      </w:pPr>
      <w:r>
        <w:rPr>
          <w:rFonts w:hint="eastAsia" w:ascii="宋体" w:hAnsi="宋体" w:eastAsia="宋体" w:cs="Times New Roman"/>
          <w:b/>
          <w:color w:val="auto"/>
          <w:sz w:val="48"/>
          <w:szCs w:val="48"/>
          <w:highlight w:val="none"/>
          <w:shd w:val="clear" w:color="auto" w:fill="ffffff"/>
        </w:rPr>
        <w:t xml:space="preserve">总目录</w:t>
      </w:r>
      <w:r/>
    </w:p>
    <w:p>
      <w:pPr>
        <w:jc w:val="left"/>
        <w:spacing w:line="360" w:lineRule="auto"/>
        <w:tabs>
          <w:tab w:val="right" w:pos="9022" w:leader="dot"/>
        </w:tabs>
        <w:rPr>
          <w:rFonts w:eastAsia="楷体_GB2312"/>
          <w:color w:val="auto"/>
          <w:highlight w:val="none"/>
        </w:rPr>
      </w:pPr>
      <w:r>
        <w:rPr>
          <w:rFonts w:ascii="宋体" w:hAnsi="宋体" w:eastAsia="宋体" w:cs="Times New Roman"/>
          <w:b/>
          <w:bCs/>
          <w:color w:val="auto"/>
          <w:sz w:val="24"/>
          <w:szCs w:val="24"/>
          <w:highlight w:val="none"/>
          <w:shd w:val="clear" w:color="auto" w:fill="ffffff"/>
        </w:rPr>
        <w:fldChar w:fldCharType="begin"/>
      </w:r>
      <w:r>
        <w:rPr>
          <w:rFonts w:ascii="宋体" w:hAnsi="宋体" w:eastAsia="宋体" w:cs="Times New Roman"/>
          <w:b/>
          <w:bCs/>
          <w:color w:val="auto"/>
          <w:sz w:val="24"/>
          <w:szCs w:val="24"/>
          <w:highlight w:val="none"/>
          <w:shd w:val="clear" w:color="auto" w:fill="ffffff"/>
        </w:rPr>
        <w:instrText xml:space="preserve"> TOC \o "1-1"</w:instrText>
      </w:r>
      <w:r>
        <w:rPr>
          <w:rFonts w:ascii="宋体" w:hAnsi="宋体" w:eastAsia="宋体" w:cs="Times New Roman"/>
          <w:b/>
          <w:bCs/>
          <w:color w:val="auto"/>
          <w:sz w:val="24"/>
          <w:szCs w:val="24"/>
          <w:highlight w:val="none"/>
          <w:shd w:val="clear" w:color="auto" w:fill="ffffff"/>
        </w:rPr>
        <w:fldChar w:fldCharType="separate"/>
      </w:r>
      <w:r>
        <w:rPr>
          <w:rFonts w:hint="eastAsia" w:ascii="宋体" w:hAnsi="宋体" w:eastAsia="宋体" w:cs="Times New Roman"/>
          <w:color w:val="auto"/>
          <w:sz w:val="24"/>
          <w:szCs w:val="20"/>
          <w:highlight w:val="none"/>
          <w:shd w:val="clear" w:color="auto" w:fill="ffffff"/>
        </w:rPr>
        <w:t xml:space="preserve">第一章投标邀请函</w:t>
      </w:r>
      <w:r>
        <w:rPr>
          <w:rFonts w:ascii="Calibri" w:hAnsi="Calibri" w:eastAsia="楷体_GB2312" w:cs="Times New Roman"/>
          <w:color w:val="auto"/>
          <w:sz w:val="24"/>
          <w:szCs w:val="20"/>
          <w:highlight w:val="none"/>
        </w:rPr>
        <w:tab/>
      </w:r>
      <w:r>
        <w:rPr>
          <w:rFonts w:hint="eastAsia" w:ascii="Calibri" w:hAnsi="Calibri" w:eastAsia="楷体_GB2312" w:cs="Times New Roman"/>
          <w:color w:val="auto"/>
          <w:sz w:val="24"/>
          <w:szCs w:val="20"/>
          <w:highlight w:val="none"/>
        </w:rPr>
        <w:t xml:space="preserve">4</w:t>
      </w:r>
      <w:r/>
    </w:p>
    <w:p>
      <w:pPr>
        <w:jc w:val="left"/>
        <w:spacing w:line="360" w:lineRule="auto"/>
        <w:tabs>
          <w:tab w:val="right" w:pos="9022" w:leader="dot"/>
        </w:tabs>
        <w:rPr>
          <w:rFonts w:eastAsia="楷体_GB2312"/>
          <w:color w:val="auto"/>
          <w:highlight w:val="none"/>
        </w:rPr>
      </w:pPr>
      <w:r>
        <w:rPr>
          <w:rFonts w:hint="eastAsia" w:ascii="宋体" w:hAnsi="宋体" w:eastAsia="宋体" w:cs="Times New Roman"/>
          <w:color w:val="auto"/>
          <w:sz w:val="24"/>
          <w:szCs w:val="20"/>
          <w:highlight w:val="none"/>
          <w:shd w:val="clear" w:color="auto" w:fill="ffffff"/>
        </w:rPr>
        <w:t xml:space="preserve">第二章供应商须知</w:t>
      </w:r>
      <w:r>
        <w:rPr>
          <w:rFonts w:ascii="Calibri" w:hAnsi="Calibri" w:eastAsia="楷体_GB2312" w:cs="Times New Roman"/>
          <w:color w:val="auto"/>
          <w:sz w:val="24"/>
          <w:szCs w:val="20"/>
          <w:highlight w:val="none"/>
        </w:rPr>
        <w:tab/>
      </w:r>
      <w:r>
        <w:rPr>
          <w:rFonts w:hint="eastAsia" w:ascii="Calibri" w:hAnsi="Calibri" w:eastAsia="楷体_GB2312" w:cs="Times New Roman"/>
          <w:color w:val="auto"/>
          <w:sz w:val="24"/>
          <w:szCs w:val="20"/>
          <w:highlight w:val="none"/>
        </w:rPr>
        <w:t xml:space="preserve">9</w:t>
      </w:r>
      <w:r/>
    </w:p>
    <w:p>
      <w:pPr>
        <w:jc w:val="left"/>
        <w:spacing w:line="360" w:lineRule="auto"/>
        <w:tabs>
          <w:tab w:val="right" w:pos="9022" w:leader="dot"/>
        </w:tabs>
        <w:rPr>
          <w:rFonts w:eastAsia="楷体_GB2312"/>
          <w:color w:val="auto"/>
          <w:highlight w:val="none"/>
        </w:rPr>
      </w:pPr>
      <w:r>
        <w:rPr>
          <w:rFonts w:hint="eastAsia" w:ascii="宋体" w:hAnsi="宋体" w:eastAsia="宋体" w:cs="Times New Roman"/>
          <w:color w:val="auto"/>
          <w:sz w:val="24"/>
          <w:szCs w:val="20"/>
          <w:highlight w:val="none"/>
          <w:shd w:val="clear" w:color="auto" w:fill="ffffff"/>
        </w:rPr>
        <w:t xml:space="preserve">第三章投标文件格式</w:t>
      </w:r>
      <w:r>
        <w:rPr>
          <w:rFonts w:ascii="Calibri" w:hAnsi="Calibri" w:eastAsia="楷体_GB2312" w:cs="Times New Roman"/>
          <w:color w:val="auto"/>
          <w:sz w:val="24"/>
          <w:szCs w:val="20"/>
          <w:highlight w:val="none"/>
        </w:rPr>
        <w:tab/>
      </w:r>
      <w:r>
        <w:rPr>
          <w:rFonts w:ascii="Calibri" w:hAnsi="Calibri" w:eastAsia="楷体_GB2312" w:cs="Times New Roman"/>
          <w:color w:val="auto"/>
          <w:sz w:val="24"/>
          <w:szCs w:val="20"/>
          <w:highlight w:val="none"/>
        </w:rPr>
        <w:fldChar w:fldCharType="begin"/>
      </w:r>
      <w:r>
        <w:rPr>
          <w:rFonts w:ascii="Calibri" w:hAnsi="Calibri" w:eastAsia="楷体_GB2312" w:cs="Times New Roman"/>
          <w:color w:val="auto"/>
          <w:sz w:val="24"/>
          <w:szCs w:val="20"/>
          <w:highlight w:val="none"/>
        </w:rPr>
        <w:instrText xml:space="preserve"> PAGEREF _Toc105940239 \h </w:instrText>
      </w:r>
      <w:r>
        <w:rPr>
          <w:rFonts w:ascii="Calibri" w:hAnsi="Calibri" w:eastAsia="楷体_GB2312" w:cs="Times New Roman"/>
          <w:color w:val="auto"/>
          <w:sz w:val="24"/>
          <w:szCs w:val="20"/>
          <w:highlight w:val="none"/>
        </w:rPr>
        <w:fldChar w:fldCharType="separate"/>
      </w:r>
      <w:r>
        <w:rPr>
          <w:rFonts w:ascii="Calibri" w:hAnsi="Calibri" w:eastAsia="楷体_GB2312" w:cs="Times New Roman"/>
          <w:color w:val="auto"/>
          <w:sz w:val="24"/>
          <w:szCs w:val="20"/>
          <w:highlight w:val="none"/>
        </w:rPr>
        <w:t xml:space="preserve">24</w:t>
      </w:r>
      <w:r>
        <w:rPr>
          <w:rFonts w:ascii="Calibri" w:hAnsi="Calibri" w:eastAsia="楷体_GB2312" w:cs="Times New Roman"/>
          <w:color w:val="auto"/>
          <w:sz w:val="24"/>
          <w:szCs w:val="20"/>
          <w:highlight w:val="none"/>
        </w:rPr>
        <w:fldChar w:fldCharType="end"/>
      </w:r>
      <w:r/>
    </w:p>
    <w:p>
      <w:pPr>
        <w:jc w:val="left"/>
        <w:spacing w:line="360" w:lineRule="auto"/>
        <w:tabs>
          <w:tab w:val="right" w:pos="9022" w:leader="dot"/>
        </w:tabs>
        <w:rPr>
          <w:rFonts w:eastAsia="楷体_GB2312"/>
          <w:color w:val="auto"/>
          <w:highlight w:val="none"/>
        </w:rPr>
      </w:pPr>
      <w:r>
        <w:rPr>
          <w:rFonts w:hint="eastAsia" w:ascii="宋体" w:hAnsi="宋体" w:eastAsia="宋体" w:cs="Times New Roman"/>
          <w:color w:val="auto"/>
          <w:sz w:val="24"/>
          <w:szCs w:val="20"/>
          <w:highlight w:val="none"/>
          <w:shd w:val="clear" w:color="auto" w:fill="ffffff"/>
        </w:rPr>
        <w:t xml:space="preserve">第四章招标书</w:t>
      </w:r>
      <w:r>
        <w:rPr>
          <w:rFonts w:ascii="Calibri" w:hAnsi="Calibri" w:eastAsia="楷体_GB2312" w:cs="Times New Roman"/>
          <w:color w:val="auto"/>
          <w:sz w:val="24"/>
          <w:szCs w:val="20"/>
          <w:highlight w:val="none"/>
        </w:rPr>
        <w:tab/>
      </w:r>
      <w:r>
        <w:rPr>
          <w:rFonts w:ascii="Calibri" w:hAnsi="Calibri" w:eastAsia="楷体_GB2312" w:cs="Times New Roman"/>
          <w:color w:val="auto"/>
          <w:sz w:val="24"/>
          <w:szCs w:val="20"/>
          <w:highlight w:val="none"/>
        </w:rPr>
        <w:fldChar w:fldCharType="begin"/>
      </w:r>
      <w:r>
        <w:rPr>
          <w:rFonts w:ascii="Calibri" w:hAnsi="Calibri" w:eastAsia="楷体_GB2312" w:cs="Times New Roman"/>
          <w:color w:val="auto"/>
          <w:sz w:val="24"/>
          <w:szCs w:val="20"/>
          <w:highlight w:val="none"/>
        </w:rPr>
        <w:instrText xml:space="preserve"> PAGEREF _Toc105940240 \h </w:instrText>
      </w:r>
      <w:r>
        <w:rPr>
          <w:rFonts w:ascii="Calibri" w:hAnsi="Calibri" w:eastAsia="楷体_GB2312" w:cs="Times New Roman"/>
          <w:color w:val="auto"/>
          <w:sz w:val="24"/>
          <w:szCs w:val="20"/>
          <w:highlight w:val="none"/>
        </w:rPr>
        <w:fldChar w:fldCharType="separate"/>
      </w:r>
      <w:r>
        <w:rPr>
          <w:rFonts w:ascii="Calibri" w:hAnsi="Calibri" w:eastAsia="楷体_GB2312" w:cs="Times New Roman"/>
          <w:color w:val="auto"/>
          <w:sz w:val="24"/>
          <w:szCs w:val="20"/>
          <w:highlight w:val="none"/>
        </w:rPr>
        <w:t xml:space="preserve">43</w:t>
      </w:r>
      <w:r>
        <w:rPr>
          <w:rFonts w:ascii="Calibri" w:hAnsi="Calibri" w:eastAsia="楷体_GB2312" w:cs="Times New Roman"/>
          <w:color w:val="auto"/>
          <w:sz w:val="24"/>
          <w:szCs w:val="20"/>
          <w:highlight w:val="none"/>
        </w:rPr>
        <w:fldChar w:fldCharType="end"/>
      </w:r>
      <w:r/>
    </w:p>
    <w:p>
      <w:pPr>
        <w:jc w:val="left"/>
        <w:spacing w:line="360" w:lineRule="auto"/>
        <w:tabs>
          <w:tab w:val="right" w:pos="9022" w:leader="dot"/>
        </w:tabs>
        <w:rPr>
          <w:rFonts w:hint="default" w:eastAsia="楷体_GB2312"/>
          <w:color w:val="auto"/>
          <w:highlight w:val="none"/>
          <w:lang w:val="en-US" w:eastAsia="zh-CN"/>
        </w:rPr>
      </w:pPr>
      <w:r>
        <w:rPr>
          <w:rFonts w:hint="eastAsia" w:ascii="宋体" w:hAnsi="宋体" w:eastAsia="宋体" w:cs="Times New Roman"/>
          <w:color w:val="auto"/>
          <w:sz w:val="24"/>
          <w:szCs w:val="20"/>
          <w:highlight w:val="none"/>
          <w:shd w:val="clear" w:color="auto" w:fill="ffffff"/>
        </w:rPr>
        <w:t xml:space="preserve">第五章合同主要条款</w:t>
      </w:r>
      <w:r>
        <w:rPr>
          <w:rFonts w:ascii="Calibri" w:hAnsi="Calibri" w:eastAsia="楷体_GB2312" w:cs="Times New Roman"/>
          <w:color w:val="auto"/>
          <w:sz w:val="24"/>
          <w:szCs w:val="20"/>
          <w:highlight w:val="none"/>
        </w:rPr>
        <w:tab/>
      </w:r>
      <w:r>
        <w:rPr>
          <w:rFonts w:hint="eastAsia" w:ascii="Calibri" w:hAnsi="Calibri" w:eastAsia="楷体_GB2312" w:cs="Times New Roman"/>
          <w:color w:val="auto"/>
          <w:sz w:val="24"/>
          <w:szCs w:val="20"/>
          <w:highlight w:val="none"/>
          <w:lang w:val="en-US" w:eastAsia="zh-CN"/>
        </w:rPr>
        <w:t xml:space="preserve">96</w:t>
      </w:r>
      <w:r/>
    </w:p>
    <w:p>
      <w:pPr>
        <w:jc w:val="left"/>
        <w:spacing w:line="360" w:lineRule="auto"/>
        <w:tabs>
          <w:tab w:val="right" w:pos="9022" w:leader="dot"/>
        </w:tabs>
        <w:rPr>
          <w:rFonts w:hint="default" w:eastAsia="楷体_GB2312"/>
          <w:color w:val="auto"/>
          <w:highlight w:val="none"/>
          <w:lang w:val="en-US" w:eastAsia="zh-CN"/>
        </w:rPr>
      </w:pPr>
      <w:r>
        <w:rPr>
          <w:rFonts w:hint="eastAsia" w:ascii="宋体" w:hAnsi="宋体" w:eastAsia="宋体" w:cs="Times New Roman"/>
          <w:color w:val="auto"/>
          <w:sz w:val="24"/>
          <w:szCs w:val="20"/>
          <w:highlight w:val="none"/>
          <w:shd w:val="clear" w:color="auto" w:fill="ffffff"/>
        </w:rPr>
        <w:t xml:space="preserve">第六章评分标准</w:t>
      </w:r>
      <w:r>
        <w:rPr>
          <w:rFonts w:ascii="Calibri" w:hAnsi="Calibri" w:eastAsia="楷体_GB2312" w:cs="Times New Roman"/>
          <w:color w:val="auto"/>
          <w:sz w:val="24"/>
          <w:szCs w:val="20"/>
          <w:highlight w:val="none"/>
        </w:rPr>
        <w:tab/>
      </w:r>
      <w:r>
        <w:rPr>
          <w:rFonts w:hint="eastAsia" w:ascii="Calibri" w:hAnsi="Calibri" w:eastAsia="楷体_GB2312" w:cs="Times New Roman"/>
          <w:color w:val="auto"/>
          <w:sz w:val="24"/>
          <w:szCs w:val="20"/>
          <w:highlight w:val="none"/>
          <w:lang w:val="en-US" w:eastAsia="zh-CN"/>
        </w:rPr>
        <w:t xml:space="preserve">104</w:t>
      </w:r>
      <w:r/>
    </w:p>
    <w:p>
      <w:pPr>
        <w:spacing w:line="360" w:lineRule="auto"/>
        <w:rPr>
          <w:rFonts w:ascii="宋体" w:hAnsi="宋体" w:eastAsia="宋体" w:cs="Times New Roman"/>
          <w:b/>
          <w:color w:val="auto"/>
          <w:sz w:val="32"/>
          <w:szCs w:val="20"/>
          <w:highlight w:val="none"/>
          <w:shd w:val="clear" w:color="auto" w:fill="ffffff"/>
        </w:rPr>
      </w:pPr>
      <w:r>
        <w:rPr>
          <w:rFonts w:ascii="宋体" w:hAnsi="宋体" w:eastAsia="宋体" w:cs="Times New Roman"/>
          <w:bCs/>
          <w:color w:val="auto"/>
          <w:sz w:val="24"/>
          <w:szCs w:val="24"/>
          <w:highlight w:val="none"/>
          <w:shd w:val="clear" w:color="auto" w:fill="ffffff"/>
        </w:rPr>
        <w:fldChar w:fldCharType="end"/>
      </w:r>
      <w:r/>
    </w:p>
    <w:p>
      <w:pPr>
        <w:spacing w:line="360" w:lineRule="auto"/>
        <w:rPr>
          <w:rFonts w:ascii="宋体" w:hAnsi="宋体" w:eastAsia="宋体" w:cs="Times New Roman"/>
          <w:color w:val="auto"/>
          <w:sz w:val="26"/>
          <w:szCs w:val="20"/>
          <w:highlight w:val="none"/>
          <w:shd w:val="clear" w:color="auto" w:fill="ffffff"/>
        </w:rPr>
      </w:pPr>
      <w:r>
        <w:rPr>
          <w:rFonts w:ascii="宋体" w:hAnsi="宋体" w:eastAsia="宋体" w:cs="Times New Roman"/>
          <w:color w:val="auto"/>
          <w:sz w:val="26"/>
          <w:szCs w:val="20"/>
          <w:highlight w:val="none"/>
          <w:shd w:val="clear" w:color="auto" w:fill="ffffff"/>
        </w:rPr>
      </w:r>
      <w:r/>
    </w:p>
    <w:p>
      <w:pPr>
        <w:spacing w:line="360" w:lineRule="auto"/>
        <w:rPr>
          <w:rFonts w:ascii="宋体" w:hAnsi="宋体" w:eastAsia="宋体" w:cs="Times New Roman"/>
          <w:color w:val="auto"/>
          <w:sz w:val="26"/>
          <w:szCs w:val="20"/>
          <w:highlight w:val="none"/>
          <w:shd w:val="clear" w:color="auto" w:fill="ffffff"/>
        </w:rPr>
      </w:pPr>
      <w:r>
        <w:rPr>
          <w:rFonts w:ascii="宋体" w:hAnsi="宋体" w:eastAsia="宋体" w:cs="Times New Roman"/>
          <w:color w:val="auto"/>
          <w:sz w:val="26"/>
          <w:szCs w:val="20"/>
          <w:highlight w:val="none"/>
          <w:shd w:val="clear" w:color="auto" w:fill="ffffff"/>
        </w:rPr>
      </w:r>
      <w:r/>
    </w:p>
    <w:p>
      <w:pPr>
        <w:spacing w:line="360" w:lineRule="auto"/>
        <w:rPr>
          <w:rFonts w:ascii="宋体" w:hAnsi="宋体" w:eastAsia="宋体" w:cs="Times New Roman"/>
          <w:color w:val="auto"/>
          <w:sz w:val="26"/>
          <w:szCs w:val="20"/>
          <w:highlight w:val="none"/>
          <w:shd w:val="clear" w:color="auto" w:fill="ffffff"/>
        </w:rPr>
      </w:pPr>
      <w:r>
        <w:rPr>
          <w:rFonts w:ascii="宋体" w:hAnsi="宋体" w:eastAsia="宋体" w:cs="Times New Roman"/>
          <w:color w:val="auto"/>
          <w:sz w:val="26"/>
          <w:szCs w:val="20"/>
          <w:highlight w:val="none"/>
          <w:shd w:val="clear" w:color="auto" w:fill="ffffff"/>
        </w:rPr>
      </w:r>
      <w:r/>
    </w:p>
    <w:p>
      <w:pPr>
        <w:spacing w:line="360" w:lineRule="auto"/>
        <w:rPr>
          <w:rFonts w:ascii="宋体" w:hAnsi="宋体" w:eastAsia="宋体" w:cs="Times New Roman"/>
          <w:color w:val="auto"/>
          <w:sz w:val="26"/>
          <w:szCs w:val="20"/>
          <w:highlight w:val="none"/>
          <w:shd w:val="clear" w:color="auto" w:fill="ffffff"/>
        </w:rPr>
      </w:pPr>
      <w:r>
        <w:rPr>
          <w:rFonts w:ascii="宋体" w:hAnsi="宋体" w:eastAsia="宋体" w:cs="Times New Roman"/>
          <w:color w:val="auto"/>
          <w:sz w:val="26"/>
          <w:szCs w:val="20"/>
          <w:highlight w:val="none"/>
          <w:shd w:val="clear" w:color="auto" w:fill="ffffff"/>
        </w:rPr>
      </w:r>
      <w:r/>
    </w:p>
    <w:p>
      <w:pPr>
        <w:spacing w:line="360" w:lineRule="auto"/>
        <w:rPr>
          <w:rFonts w:ascii="宋体" w:hAnsi="宋体" w:eastAsia="宋体" w:cs="Times New Roman"/>
          <w:color w:val="auto"/>
          <w:sz w:val="26"/>
          <w:szCs w:val="20"/>
          <w:highlight w:val="none"/>
          <w:shd w:val="clear" w:color="auto" w:fill="ffffff"/>
        </w:rPr>
      </w:pPr>
      <w:r>
        <w:rPr>
          <w:rFonts w:ascii="宋体" w:hAnsi="宋体" w:eastAsia="宋体" w:cs="Times New Roman"/>
          <w:color w:val="auto"/>
          <w:sz w:val="26"/>
          <w:szCs w:val="20"/>
          <w:highlight w:val="none"/>
          <w:shd w:val="clear" w:color="auto" w:fill="ffffff"/>
        </w:rPr>
      </w:r>
      <w:r/>
    </w:p>
    <w:p>
      <w:pPr>
        <w:spacing w:line="360" w:lineRule="auto"/>
        <w:rPr>
          <w:rFonts w:ascii="宋体" w:hAnsi="宋体" w:eastAsia="宋体" w:cs="Times New Roman"/>
          <w:color w:val="auto"/>
          <w:sz w:val="26"/>
          <w:szCs w:val="20"/>
          <w:highlight w:val="none"/>
          <w:shd w:val="clear" w:color="auto" w:fill="ffffff"/>
        </w:rPr>
      </w:pPr>
      <w:r>
        <w:rPr>
          <w:rFonts w:ascii="宋体" w:hAnsi="宋体" w:eastAsia="宋体" w:cs="Times New Roman"/>
          <w:color w:val="auto"/>
          <w:sz w:val="26"/>
          <w:szCs w:val="20"/>
          <w:highlight w:val="none"/>
          <w:shd w:val="clear" w:color="auto" w:fill="ffffff"/>
        </w:rPr>
      </w:r>
      <w:r/>
    </w:p>
    <w:p>
      <w:pPr>
        <w:spacing w:line="360" w:lineRule="auto"/>
        <w:tabs>
          <w:tab w:val="left" w:pos="6398" w:leader="none"/>
        </w:tabs>
        <w:rPr>
          <w:rFonts w:ascii="宋体" w:hAnsi="宋体" w:eastAsia="宋体" w:cs="Times New Roman"/>
          <w:color w:val="auto"/>
          <w:sz w:val="24"/>
          <w:szCs w:val="20"/>
          <w:highlight w:val="none"/>
          <w:shd w:val="clear" w:color="auto" w:fill="ffffff"/>
        </w:rPr>
      </w:pPr>
      <w:r>
        <w:rPr>
          <w:rFonts w:ascii="宋体" w:hAnsi="宋体" w:eastAsia="宋体" w:cs="Times New Roman"/>
          <w:color w:val="auto"/>
          <w:sz w:val="24"/>
          <w:szCs w:val="20"/>
          <w:highlight w:val="none"/>
          <w:shd w:val="clear" w:color="auto" w:fill="ffffff"/>
        </w:rPr>
        <w:tab/>
      </w:r>
      <w:r/>
    </w:p>
    <w:p>
      <w:pPr>
        <w:spacing w:line="360" w:lineRule="auto"/>
        <w:rPr>
          <w:rFonts w:ascii="宋体" w:hAnsi="宋体" w:eastAsia="宋体" w:cs="Times New Roman"/>
          <w:b/>
          <w:color w:val="auto"/>
          <w:sz w:val="30"/>
          <w:szCs w:val="30"/>
          <w:highlight w:val="none"/>
          <w:shd w:val="clear" w:color="auto" w:fill="ffffff"/>
        </w:rPr>
      </w:pPr>
      <w:r>
        <w:rPr>
          <w:rFonts w:ascii="宋体" w:hAnsi="宋体" w:eastAsia="宋体" w:cs="Times New Roman"/>
          <w:color w:val="auto"/>
          <w:sz w:val="24"/>
          <w:szCs w:val="20"/>
          <w:highlight w:val="none"/>
          <w:shd w:val="clear" w:color="auto" w:fill="ffffff"/>
        </w:rPr>
        <w:br w:type="page" w:clear="all"/>
      </w:r>
      <w:r/>
    </w:p>
    <w:p>
      <w:pPr>
        <w:spacing w:line="360" w:lineRule="auto"/>
        <w:rPr>
          <w:rFonts w:ascii="宋体" w:hAnsi="宋体" w:eastAsia="宋体" w:cs="Times New Roman"/>
          <w:b/>
          <w:color w:val="auto"/>
          <w:sz w:val="30"/>
          <w:szCs w:val="30"/>
          <w:highlight w:val="none"/>
          <w:shd w:val="clear" w:color="auto" w:fill="ffffff"/>
        </w:rPr>
      </w:pPr>
      <w:r>
        <w:rPr>
          <w:rFonts w:ascii="宋体" w:hAnsi="宋体" w:eastAsia="宋体" w:cs="Times New Roman"/>
          <w:b/>
          <w:color w:val="auto"/>
          <w:sz w:val="30"/>
          <w:szCs w:val="30"/>
          <w:highlight w:val="none"/>
          <w:shd w:val="clear" w:color="auto" w:fill="ffffff"/>
        </w:rPr>
      </w:r>
      <w:r/>
    </w:p>
    <w:p>
      <w:pPr>
        <w:spacing w:line="360" w:lineRule="auto"/>
        <w:rPr>
          <w:rFonts w:ascii="宋体" w:hAnsi="宋体" w:eastAsia="宋体" w:cs="Times New Roman"/>
          <w:b/>
          <w:color w:val="auto"/>
          <w:sz w:val="30"/>
          <w:szCs w:val="30"/>
          <w:highlight w:val="none"/>
          <w:shd w:val="clear" w:color="auto" w:fill="ffffff"/>
        </w:rPr>
      </w:pPr>
      <w:r>
        <w:rPr>
          <w:rFonts w:ascii="宋体" w:hAnsi="宋体" w:eastAsia="宋体" w:cs="Times New Roman"/>
          <w:b/>
          <w:color w:val="auto"/>
          <w:sz w:val="30"/>
          <w:szCs w:val="30"/>
          <w:highlight w:val="none"/>
          <w:shd w:val="clear" w:color="auto" w:fill="ffffff"/>
        </w:rPr>
      </w:r>
      <w:r/>
    </w:p>
    <w:p>
      <w:pPr>
        <w:spacing w:line="360" w:lineRule="auto"/>
        <w:rPr>
          <w:rFonts w:ascii="宋体" w:hAnsi="宋体" w:eastAsia="宋体" w:cs="Times New Roman"/>
          <w:b/>
          <w:color w:val="auto"/>
          <w:sz w:val="30"/>
          <w:szCs w:val="30"/>
          <w:highlight w:val="none"/>
          <w:shd w:val="clear" w:color="auto" w:fill="ffffff"/>
        </w:rPr>
      </w:pPr>
      <w:r>
        <w:rPr>
          <w:rFonts w:ascii="宋体" w:hAnsi="宋体" w:eastAsia="宋体" w:cs="Times New Roman"/>
          <w:b/>
          <w:color w:val="auto"/>
          <w:sz w:val="30"/>
          <w:szCs w:val="30"/>
          <w:highlight w:val="none"/>
          <w:shd w:val="clear" w:color="auto" w:fill="ffffff"/>
        </w:rPr>
      </w:r>
      <w:r/>
    </w:p>
    <w:p>
      <w:pPr>
        <w:spacing w:line="360" w:lineRule="auto"/>
        <w:rPr>
          <w:rFonts w:ascii="宋体" w:hAnsi="宋体" w:eastAsia="宋体" w:cs="Times New Roman"/>
          <w:b/>
          <w:color w:val="auto"/>
          <w:sz w:val="30"/>
          <w:szCs w:val="30"/>
          <w:highlight w:val="none"/>
          <w:shd w:val="clear" w:color="auto" w:fill="ffffff"/>
        </w:rPr>
      </w:pPr>
      <w:r>
        <w:rPr>
          <w:rFonts w:ascii="宋体" w:hAnsi="宋体" w:eastAsia="宋体" w:cs="Times New Roman"/>
          <w:b/>
          <w:color w:val="auto"/>
          <w:sz w:val="30"/>
          <w:szCs w:val="30"/>
          <w:highlight w:val="none"/>
          <w:shd w:val="clear" w:color="auto" w:fill="ffffff"/>
        </w:rPr>
      </w:r>
      <w:r/>
    </w:p>
    <w:p>
      <w:pPr>
        <w:spacing w:line="360" w:lineRule="auto"/>
        <w:rPr>
          <w:rFonts w:ascii="宋体" w:hAnsi="宋体" w:eastAsia="宋体" w:cs="Times New Roman"/>
          <w:color w:val="auto"/>
          <w:sz w:val="30"/>
          <w:szCs w:val="30"/>
          <w:highlight w:val="none"/>
          <w:shd w:val="clear" w:color="auto" w:fill="ffffff"/>
        </w:rPr>
      </w:pPr>
      <w:r>
        <w:rPr>
          <w:rFonts w:ascii="宋体" w:hAnsi="宋体" w:eastAsia="宋体" w:cs="Times New Roman"/>
          <w:color w:val="auto"/>
          <w:sz w:val="30"/>
          <w:szCs w:val="30"/>
          <w:highlight w:val="none"/>
          <w:shd w:val="clear" w:color="auto" w:fill="ffffff"/>
        </w:rPr>
      </w:r>
      <w:r/>
    </w:p>
    <w:p>
      <w:pPr>
        <w:spacing w:line="360" w:lineRule="auto"/>
        <w:rPr>
          <w:rFonts w:ascii="宋体" w:hAnsi="宋体" w:eastAsia="宋体" w:cs="Times New Roman"/>
          <w:color w:val="auto"/>
          <w:sz w:val="30"/>
          <w:szCs w:val="30"/>
          <w:highlight w:val="none"/>
          <w:shd w:val="clear" w:color="auto" w:fill="ffffff"/>
        </w:rPr>
      </w:pPr>
      <w:r>
        <w:rPr>
          <w:rFonts w:ascii="宋体" w:hAnsi="宋体" w:eastAsia="宋体" w:cs="Times New Roman"/>
          <w:color w:val="auto"/>
          <w:sz w:val="30"/>
          <w:szCs w:val="30"/>
          <w:highlight w:val="none"/>
          <w:shd w:val="clear" w:color="auto" w:fill="ffffff"/>
        </w:rPr>
      </w:r>
      <w:r/>
    </w:p>
    <w:p>
      <w:pPr>
        <w:spacing w:line="360" w:lineRule="auto"/>
        <w:rPr>
          <w:rFonts w:ascii="宋体" w:hAnsi="宋体" w:eastAsia="宋体" w:cs="Times New Roman"/>
          <w:color w:val="auto"/>
          <w:sz w:val="30"/>
          <w:szCs w:val="30"/>
          <w:highlight w:val="none"/>
          <w:shd w:val="clear" w:color="auto" w:fill="ffffff"/>
        </w:rPr>
      </w:pPr>
      <w:r>
        <w:rPr>
          <w:rFonts w:ascii="宋体" w:hAnsi="宋体" w:eastAsia="宋体" w:cs="Times New Roman"/>
          <w:color w:val="auto"/>
          <w:sz w:val="30"/>
          <w:szCs w:val="30"/>
          <w:highlight w:val="none"/>
          <w:shd w:val="clear" w:color="auto" w:fill="ffffff"/>
        </w:rPr>
      </w:r>
      <w:r/>
    </w:p>
    <w:p>
      <w:pPr>
        <w:spacing w:line="360" w:lineRule="auto"/>
        <w:rPr>
          <w:rFonts w:ascii="宋体" w:hAnsi="宋体" w:eastAsia="宋体" w:cs="Times New Roman"/>
          <w:color w:val="auto"/>
          <w:sz w:val="30"/>
          <w:szCs w:val="30"/>
          <w:highlight w:val="none"/>
          <w:shd w:val="clear" w:color="auto" w:fill="ffffff"/>
        </w:rPr>
      </w:pPr>
      <w:r>
        <w:rPr>
          <w:rFonts w:ascii="宋体" w:hAnsi="宋体" w:eastAsia="宋体" w:cs="Times New Roman"/>
          <w:color w:val="auto"/>
          <w:sz w:val="30"/>
          <w:szCs w:val="30"/>
          <w:highlight w:val="none"/>
          <w:shd w:val="clear" w:color="auto" w:fill="ffffff"/>
        </w:rPr>
      </w:r>
      <w:r/>
    </w:p>
    <w:p>
      <w:pPr>
        <w:spacing w:line="360" w:lineRule="auto"/>
        <w:rPr>
          <w:rFonts w:ascii="宋体" w:hAnsi="宋体" w:eastAsia="宋体" w:cs="Times New Roman"/>
          <w:color w:val="auto"/>
          <w:sz w:val="30"/>
          <w:szCs w:val="30"/>
          <w:highlight w:val="none"/>
          <w:shd w:val="clear" w:color="auto" w:fill="ffffff"/>
        </w:rPr>
      </w:pPr>
      <w:r>
        <w:rPr>
          <w:rFonts w:ascii="宋体" w:hAnsi="宋体" w:eastAsia="宋体" w:cs="Times New Roman"/>
          <w:color w:val="auto"/>
          <w:sz w:val="30"/>
          <w:szCs w:val="30"/>
          <w:highlight w:val="none"/>
          <w:shd w:val="clear" w:color="auto" w:fill="ffffff"/>
        </w:rPr>
      </w:r>
      <w:r/>
    </w:p>
    <w:p>
      <w:pPr>
        <w:jc w:val="center"/>
        <w:keepLines/>
        <w:keepNext/>
        <w:spacing w:before="340" w:after="330" w:line="360" w:lineRule="auto"/>
        <w:rPr>
          <w:rFonts w:ascii="宋体" w:hAnsi="宋体" w:eastAsia="宋体" w:cs="Times New Roman"/>
          <w:b/>
          <w:color w:val="auto"/>
          <w:sz w:val="52"/>
          <w:szCs w:val="20"/>
          <w:highlight w:val="none"/>
          <w:shd w:val="clear" w:color="auto" w:fill="ffffff"/>
        </w:rPr>
        <w:outlineLvl w:val="0"/>
      </w:pPr>
      <w:r/>
      <w:bookmarkStart w:id="0" w:name="_Toc105940237"/>
      <w:r>
        <w:rPr>
          <w:rFonts w:hint="eastAsia" w:ascii="宋体" w:hAnsi="宋体" w:eastAsia="宋体" w:cs="Times New Roman"/>
          <w:b/>
          <w:color w:val="auto"/>
          <w:sz w:val="52"/>
          <w:szCs w:val="20"/>
          <w:highlight w:val="none"/>
          <w:shd w:val="clear" w:color="auto" w:fill="ffffff"/>
        </w:rPr>
        <w:t xml:space="preserve">第一章投标邀请函</w:t>
      </w:r>
      <w:bookmarkEnd w:id="0"/>
      <w:r/>
      <w:r/>
    </w:p>
    <w:p>
      <w:pPr>
        <w:spacing w:line="360" w:lineRule="auto"/>
        <w:rPr>
          <w:rFonts w:ascii="宋体" w:hAnsi="宋体" w:eastAsia="宋体" w:cs="Times New Roman"/>
          <w:color w:val="auto"/>
          <w:sz w:val="24"/>
          <w:szCs w:val="24"/>
          <w:highlight w:val="none"/>
          <w:u w:val="single"/>
          <w:shd w:val="clear" w:color="auto" w:fill="ffffff"/>
        </w:rPr>
      </w:pPr>
      <w:r>
        <w:rPr>
          <w:rFonts w:ascii="宋体" w:hAnsi="宋体" w:eastAsia="宋体" w:cs="Times New Roman"/>
          <w:color w:val="auto"/>
          <w:sz w:val="24"/>
          <w:szCs w:val="24"/>
          <w:highlight w:val="none"/>
          <w:u w:val="single"/>
          <w:shd w:val="clear" w:color="auto" w:fill="ffffff"/>
        </w:rPr>
        <w:br w:type="page" w:clear="all"/>
      </w:r>
      <w:bookmarkStart w:id="1" w:name="_Hlk117242093"/>
      <w:r/>
      <w:bookmarkEnd w:id="1"/>
      <w:r/>
      <w:r/>
    </w:p>
    <w:p>
      <w:pPr>
        <w:ind w:firstLine="482"/>
        <w:spacing w:line="360" w:lineRule="auto"/>
        <w:rPr>
          <w:rFonts w:ascii="宋体" w:hAnsi="宋体"/>
          <w:b/>
          <w:color w:val="auto"/>
          <w:sz w:val="24"/>
          <w:highlight w:val="none"/>
        </w:rPr>
      </w:pPr>
      <w:r>
        <w:rPr>
          <w:rFonts w:ascii="宋体" w:hAnsi="宋体"/>
          <w:b/>
          <w:color w:val="auto"/>
          <w:sz w:val="24"/>
          <w:highlight w:val="none"/>
        </w:rPr>
      </w:r>
      <w:r/>
    </w:p>
    <w:tbl>
      <w:tblPr>
        <w:tblStyle w:val="959"/>
        <w:tblW w:w="97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0"/>
      </w:tblGrid>
      <w:tr>
        <w:trPr>
          <w:jc w:val="center"/>
          <w:trHeight w:val="90"/>
        </w:trPr>
        <w:tc>
          <w:tcPr>
            <w:tcW w:w="9710" w:type="dxa"/>
            <w:textDirection w:val="lrTb"/>
            <w:noWrap w:val="false"/>
          </w:tcPr>
          <w:p>
            <w:pPr>
              <w:ind w:firstLine="482"/>
              <w:spacing w:line="360" w:lineRule="auto"/>
              <w:rPr>
                <w:rFonts w:ascii="宋体" w:hAnsi="宋体"/>
                <w:b/>
                <w:bCs/>
                <w:color w:val="auto"/>
                <w:sz w:val="24"/>
                <w:highlight w:val="none"/>
              </w:rPr>
            </w:pPr>
            <w:r>
              <w:rPr>
                <w:rFonts w:hint="eastAsia" w:ascii="宋体" w:hAnsi="宋体"/>
                <w:b/>
                <w:bCs/>
                <w:color w:val="auto"/>
                <w:sz w:val="24"/>
                <w:highlight w:val="none"/>
              </w:rPr>
              <w:t xml:space="preserve">项目概况：</w:t>
            </w:r>
            <w:r/>
          </w:p>
          <w:p>
            <w:pPr>
              <w:ind w:firstLine="480"/>
              <w:spacing w:line="360" w:lineRule="auto"/>
              <w:rPr>
                <w:rFonts w:asciiTheme="minorEastAsia" w:hAnsiTheme="minorEastAsia"/>
                <w:color w:val="auto"/>
                <w:szCs w:val="21"/>
                <w:highlight w:val="none"/>
              </w:rPr>
            </w:pPr>
            <w:r>
              <w:rPr>
                <w:rFonts w:hint="eastAsia" w:ascii="宋体" w:hAnsi="宋体"/>
                <w:color w:val="auto"/>
                <w:sz w:val="24"/>
                <w:highlight w:val="none"/>
                <w:lang w:eastAsia="zh-CN"/>
              </w:rPr>
              <w:t xml:space="preserve">星海实验中学改扩建项目厨房设备采购</w:t>
            </w:r>
            <w:r>
              <w:rPr>
                <w:rFonts w:hint="eastAsia" w:ascii="宋体" w:hAnsi="宋体"/>
                <w:color w:val="auto"/>
                <w:sz w:val="24"/>
                <w:highlight w:val="none"/>
              </w:rPr>
              <w:t xml:space="preserve">的潜在供应商应在江苏省政府采购一体化平台“苏采云”系统自行免费下载招标文件，并于202</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年</w:t>
            </w:r>
            <w:r>
              <w:rPr>
                <w:rFonts w:hint="eastAsia" w:ascii="宋体" w:hAnsi="宋体"/>
                <w:color w:val="auto"/>
                <w:sz w:val="24"/>
                <w:highlight w:val="none"/>
                <w:lang w:val="en-US" w:eastAsia="zh-CN"/>
              </w:rPr>
              <w:t xml:space="preserve">05</w:t>
            </w:r>
            <w:r>
              <w:rPr>
                <w:rFonts w:hint="eastAsia" w:ascii="宋体" w:hAnsi="宋体"/>
                <w:color w:val="auto"/>
                <w:sz w:val="24"/>
                <w:highlight w:val="none"/>
              </w:rPr>
              <w:t xml:space="preserve">月</w:t>
            </w:r>
            <w:r>
              <w:rPr>
                <w:rFonts w:hint="eastAsia" w:ascii="宋体" w:hAnsi="宋体"/>
                <w:color w:val="auto"/>
                <w:sz w:val="24"/>
                <w:highlight w:val="none"/>
                <w:lang w:val="en-US" w:eastAsia="zh-CN"/>
              </w:rPr>
              <w:t xml:space="preserve">08</w:t>
            </w:r>
            <w:r>
              <w:rPr>
                <w:rFonts w:hint="eastAsia" w:ascii="宋体" w:hAnsi="宋体"/>
                <w:color w:val="auto"/>
                <w:sz w:val="24"/>
                <w:highlight w:val="none"/>
              </w:rPr>
              <w:t xml:space="preserve">日</w:t>
            </w:r>
            <w:r>
              <w:rPr>
                <w:rFonts w:hint="eastAsia" w:ascii="宋体" w:hAnsi="宋体"/>
                <w:color w:val="auto"/>
                <w:sz w:val="24"/>
                <w:highlight w:val="none"/>
                <w:lang w:val="en-US" w:eastAsia="zh-CN"/>
              </w:rPr>
              <w:t xml:space="preserve">14</w:t>
            </w:r>
            <w:r>
              <w:rPr>
                <w:rFonts w:hint="eastAsia" w:ascii="宋体" w:hAnsi="宋体"/>
                <w:color w:val="auto"/>
                <w:sz w:val="24"/>
                <w:highlight w:val="none"/>
              </w:rPr>
              <w:t xml:space="preserve">点</w:t>
            </w:r>
            <w:r>
              <w:rPr>
                <w:rFonts w:hint="eastAsia" w:ascii="宋体" w:hAnsi="宋体"/>
                <w:color w:val="auto"/>
                <w:sz w:val="24"/>
                <w:highlight w:val="none"/>
                <w:lang w:val="en-US" w:eastAsia="zh-CN"/>
              </w:rPr>
              <w:t xml:space="preserve">00</w:t>
            </w:r>
            <w:r>
              <w:rPr>
                <w:rFonts w:hint="eastAsia" w:ascii="宋体" w:hAnsi="宋体"/>
                <w:color w:val="auto"/>
                <w:sz w:val="24"/>
                <w:highlight w:val="none"/>
              </w:rPr>
              <w:t xml:space="preserve">分（北京时间）前递交投标文件。</w:t>
            </w:r>
            <w:r/>
          </w:p>
        </w:tc>
      </w:tr>
    </w:tbl>
    <w:p>
      <w:pPr>
        <w:ind w:firstLine="482"/>
        <w:spacing w:line="360" w:lineRule="auto"/>
        <w:rPr>
          <w:rFonts w:ascii="宋体" w:hAnsi="宋体"/>
          <w:color w:val="auto"/>
          <w:sz w:val="24"/>
          <w:highlight w:val="none"/>
        </w:rPr>
      </w:pPr>
      <w:r>
        <w:rPr>
          <w:rFonts w:hint="eastAsia" w:ascii="宋体" w:hAnsi="宋体"/>
          <w:b/>
          <w:color w:val="auto"/>
          <w:sz w:val="24"/>
          <w:highlight w:val="none"/>
        </w:rPr>
        <w:t xml:space="preserve">一、项目基本情况</w:t>
      </w:r>
      <w:r/>
    </w:p>
    <w:p>
      <w:pPr>
        <w:ind w:firstLine="480"/>
        <w:spacing w:line="360" w:lineRule="auto"/>
        <w:rPr>
          <w:rFonts w:hint="eastAsia" w:ascii="宋体" w:hAnsi="宋体" w:eastAsiaTheme="minorEastAsia"/>
          <w:color w:val="auto"/>
          <w:sz w:val="24"/>
          <w:highlight w:val="none"/>
          <w:lang w:eastAsia="zh-CN"/>
        </w:rPr>
      </w:pPr>
      <w:r>
        <w:rPr>
          <w:rFonts w:hint="eastAsia" w:ascii="宋体" w:hAnsi="宋体"/>
          <w:color w:val="auto"/>
          <w:sz w:val="24"/>
          <w:highlight w:val="none"/>
        </w:rPr>
        <w:t xml:space="preserve">项目编号：</w:t>
      </w:r>
      <w:r>
        <w:rPr>
          <w:rFonts w:hint="eastAsia" w:ascii="宋体" w:hAnsi="宋体"/>
          <w:color w:val="auto"/>
          <w:sz w:val="24"/>
          <w:highlight w:val="none"/>
          <w:lang w:eastAsia="zh-CN"/>
        </w:rPr>
        <w:t xml:space="preserve">JSZC-320591-HXZJ-G2026-0005</w:t>
      </w:r>
      <w:r/>
    </w:p>
    <w:p>
      <w:pPr>
        <w:pStyle w:val="969"/>
        <w:ind w:left="0" w:firstLine="480"/>
        <w:spacing w:line="360" w:lineRule="auto"/>
        <w:rPr>
          <w:rFonts w:hint="eastAsia" w:ascii="宋体" w:hAnsi="宋体"/>
          <w:color w:val="auto"/>
          <w:sz w:val="24"/>
          <w:highlight w:val="none"/>
          <w:lang w:eastAsia="zh-CN"/>
        </w:rPr>
      </w:pPr>
      <w:r>
        <w:rPr>
          <w:rFonts w:hint="eastAsia" w:ascii="宋体" w:hAnsi="宋体"/>
          <w:color w:val="auto"/>
          <w:sz w:val="24"/>
          <w:highlight w:val="none"/>
        </w:rPr>
        <w:t xml:space="preserve">项目名称：</w:t>
      </w:r>
      <w:r>
        <w:rPr>
          <w:rFonts w:hint="eastAsia" w:ascii="宋体" w:hAnsi="宋体"/>
          <w:color w:val="auto"/>
          <w:sz w:val="24"/>
          <w:highlight w:val="none"/>
          <w:lang w:eastAsia="zh-CN"/>
        </w:rPr>
        <w:t xml:space="preserve">星海实验中学改扩建项目厨房设备采购</w:t>
      </w:r>
      <w:r/>
    </w:p>
    <w:p>
      <w:pPr>
        <w:pStyle w:val="969"/>
        <w:ind w:left="0" w:firstLine="480"/>
        <w:spacing w:line="360" w:lineRule="auto"/>
        <w:rPr>
          <w:rFonts w:ascii="宋体" w:hAnsi="宋体"/>
          <w:color w:val="auto"/>
          <w:highlight w:val="none"/>
        </w:rPr>
      </w:pPr>
      <w:r>
        <w:rPr>
          <w:rFonts w:hint="eastAsia"/>
          <w:color w:val="auto"/>
          <w:highlight w:val="none"/>
        </w:rPr>
        <w:t xml:space="preserve">采购方式：公开招标</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预算金额：</w:t>
      </w:r>
      <w:r/>
    </w:p>
    <w:p>
      <w:pPr>
        <w:ind w:firstLine="480"/>
        <w:spacing w:line="360" w:lineRule="auto"/>
        <w:rPr>
          <w:rFonts w:hint="default" w:ascii="宋体" w:hAnsi="宋体" w:eastAsiaTheme="minorEastAsia"/>
          <w:color w:val="auto"/>
          <w:sz w:val="24"/>
          <w:szCs w:val="20"/>
          <w:highlight w:val="none"/>
          <w:lang w:val="en-US" w:eastAsia="zh-CN"/>
        </w:rPr>
      </w:pPr>
      <w:r>
        <w:rPr>
          <w:rFonts w:hint="eastAsia" w:ascii="宋体" w:hAnsi="宋体"/>
          <w:color w:val="auto"/>
          <w:sz w:val="24"/>
          <w:szCs w:val="20"/>
          <w:highlight w:val="none"/>
        </w:rPr>
        <w:t xml:space="preserve">人民币（大写）：</w:t>
      </w:r>
      <w:r>
        <w:rPr>
          <w:rFonts w:hint="eastAsia" w:ascii="宋体" w:hAnsi="宋体"/>
          <w:color w:val="auto"/>
          <w:sz w:val="24"/>
          <w:highlight w:val="none"/>
          <w:lang w:val="en-US" w:eastAsia="zh-CN"/>
        </w:rPr>
        <w:fldChar w:fldCharType="begin"/>
      </w:r>
      <w:r>
        <w:rPr>
          <w:rFonts w:hint="eastAsia" w:ascii="宋体" w:hAnsi="宋体"/>
          <w:color w:val="auto"/>
          <w:sz w:val="24"/>
          <w:highlight w:val="none"/>
          <w:lang w:val="en-US" w:eastAsia="zh-CN"/>
        </w:rPr>
        <w:instrText xml:space="preserve"> = 4016500 \* CHINESENUM2 \* MERGEFORMAT </w:instrText>
      </w:r>
      <w:r>
        <w:rPr>
          <w:rFonts w:hint="eastAsia" w:ascii="宋体" w:hAnsi="宋体"/>
          <w:color w:val="auto"/>
          <w:sz w:val="24"/>
          <w:highlight w:val="none"/>
          <w:lang w:val="en-US" w:eastAsia="zh-CN"/>
        </w:rPr>
        <w:fldChar w:fldCharType="separate"/>
      </w:r>
      <w:r>
        <w:rPr>
          <w:rFonts w:hint="eastAsia" w:ascii="宋体" w:hAnsi="宋体"/>
          <w:color w:val="auto"/>
          <w:sz w:val="24"/>
          <w:highlight w:val="none"/>
          <w:lang w:val="en-US" w:eastAsia="zh-CN"/>
        </w:rPr>
        <w:t xml:space="preserve">肆佰零壹万陆仟伍佰</w:t>
      </w:r>
      <w:r>
        <w:rPr>
          <w:rFonts w:hint="eastAsia" w:ascii="宋体" w:hAnsi="宋体"/>
          <w:color w:val="auto"/>
          <w:sz w:val="24"/>
          <w:highlight w:val="none"/>
          <w:lang w:val="en-US" w:eastAsia="zh-CN"/>
        </w:rPr>
        <w:fldChar w:fldCharType="end"/>
      </w:r>
      <w:r>
        <w:rPr>
          <w:rFonts w:hint="eastAsia" w:ascii="宋体" w:hAnsi="宋体"/>
          <w:color w:val="auto"/>
          <w:sz w:val="24"/>
          <w:highlight w:val="none"/>
          <w:lang w:val="en-US" w:eastAsia="zh-CN"/>
        </w:rPr>
        <w:t xml:space="preserve">圆叁角</w:t>
      </w:r>
      <w:r/>
    </w:p>
    <w:p>
      <w:pPr>
        <w:ind w:firstLine="480"/>
        <w:spacing w:line="360" w:lineRule="auto"/>
        <w:rPr>
          <w:color w:val="auto"/>
          <w:highlight w:val="none"/>
        </w:rPr>
      </w:pPr>
      <w:r>
        <w:rPr>
          <w:rFonts w:hint="eastAsia" w:ascii="宋体" w:hAnsi="宋体"/>
          <w:color w:val="auto"/>
          <w:sz w:val="24"/>
          <w:highlight w:val="none"/>
        </w:rPr>
        <w:t xml:space="preserve">人民币（小写）：</w:t>
      </w:r>
      <w:r>
        <w:rPr>
          <w:rFonts w:hint="eastAsia" w:ascii="宋体" w:hAnsi="宋体"/>
          <w:color w:val="auto"/>
          <w:sz w:val="24"/>
          <w:highlight w:val="none"/>
          <w:lang w:val="en-US" w:eastAsia="zh-CN"/>
        </w:rPr>
        <w:t xml:space="preserve">4016500.3</w:t>
      </w:r>
      <w:r>
        <w:rPr>
          <w:rFonts w:hint="eastAsia" w:ascii="宋体" w:hAnsi="宋体"/>
          <w:color w:val="auto"/>
          <w:sz w:val="24"/>
          <w:highlight w:val="none"/>
        </w:rPr>
        <w:t xml:space="preserve">元</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最高限价（如有）：</w:t>
      </w:r>
      <w:r/>
    </w:p>
    <w:p>
      <w:pPr>
        <w:ind w:firstLine="480"/>
        <w:spacing w:line="360" w:lineRule="auto"/>
        <w:rPr>
          <w:rFonts w:hint="default" w:ascii="宋体" w:hAnsi="宋体" w:eastAsiaTheme="minorEastAsia"/>
          <w:color w:val="auto"/>
          <w:sz w:val="24"/>
          <w:szCs w:val="20"/>
          <w:highlight w:val="none"/>
          <w:lang w:val="en-US" w:eastAsia="zh-CN"/>
        </w:rPr>
      </w:pPr>
      <w:r>
        <w:rPr>
          <w:rFonts w:hint="eastAsia" w:ascii="宋体" w:hAnsi="宋体"/>
          <w:color w:val="auto"/>
          <w:sz w:val="24"/>
          <w:szCs w:val="20"/>
          <w:highlight w:val="none"/>
        </w:rPr>
        <w:t xml:space="preserve">人民币（大写）：</w:t>
      </w:r>
      <w:r>
        <w:rPr>
          <w:rFonts w:hint="eastAsia" w:ascii="宋体" w:hAnsi="宋体"/>
          <w:color w:val="auto"/>
          <w:sz w:val="24"/>
          <w:highlight w:val="none"/>
          <w:lang w:val="en-US" w:eastAsia="zh-CN"/>
        </w:rPr>
        <w:fldChar w:fldCharType="begin"/>
      </w:r>
      <w:r>
        <w:rPr>
          <w:rFonts w:hint="eastAsia" w:ascii="宋体" w:hAnsi="宋体"/>
          <w:color w:val="auto"/>
          <w:sz w:val="24"/>
          <w:highlight w:val="none"/>
          <w:lang w:val="en-US" w:eastAsia="zh-CN"/>
        </w:rPr>
        <w:instrText xml:space="preserve"> = 4016500 \* CHINESENUM2 \* MERGEFORMAT </w:instrText>
      </w:r>
      <w:r>
        <w:rPr>
          <w:rFonts w:hint="eastAsia" w:ascii="宋体" w:hAnsi="宋体"/>
          <w:color w:val="auto"/>
          <w:sz w:val="24"/>
          <w:highlight w:val="none"/>
          <w:lang w:val="en-US" w:eastAsia="zh-CN"/>
        </w:rPr>
        <w:fldChar w:fldCharType="separate"/>
      </w:r>
      <w:r>
        <w:rPr>
          <w:rFonts w:hint="eastAsia" w:ascii="宋体" w:hAnsi="宋体"/>
          <w:color w:val="auto"/>
          <w:sz w:val="24"/>
          <w:highlight w:val="none"/>
          <w:lang w:val="en-US" w:eastAsia="zh-CN"/>
        </w:rPr>
        <w:t xml:space="preserve">肆佰零壹万陆仟伍佰</w:t>
      </w:r>
      <w:r>
        <w:rPr>
          <w:rFonts w:hint="eastAsia" w:ascii="宋体" w:hAnsi="宋体"/>
          <w:color w:val="auto"/>
          <w:sz w:val="24"/>
          <w:highlight w:val="none"/>
          <w:lang w:val="en-US" w:eastAsia="zh-CN"/>
        </w:rPr>
        <w:fldChar w:fldCharType="end"/>
      </w:r>
      <w:r>
        <w:rPr>
          <w:rFonts w:hint="eastAsia" w:ascii="宋体" w:hAnsi="宋体"/>
          <w:color w:val="auto"/>
          <w:sz w:val="24"/>
          <w:highlight w:val="none"/>
          <w:lang w:val="en-US" w:eastAsia="zh-CN"/>
        </w:rPr>
        <w:t xml:space="preserve">圆叁角</w:t>
      </w:r>
      <w:r/>
    </w:p>
    <w:p>
      <w:pPr>
        <w:ind w:firstLine="480"/>
        <w:spacing w:line="360" w:lineRule="auto"/>
        <w:rPr>
          <w:color w:val="auto"/>
          <w:highlight w:val="none"/>
        </w:rPr>
      </w:pPr>
      <w:r>
        <w:rPr>
          <w:rFonts w:hint="eastAsia" w:ascii="宋体" w:hAnsi="宋体"/>
          <w:color w:val="auto"/>
          <w:sz w:val="24"/>
          <w:highlight w:val="none"/>
        </w:rPr>
        <w:t xml:space="preserve">人民币（小写）：</w:t>
      </w:r>
      <w:r>
        <w:rPr>
          <w:rFonts w:hint="eastAsia" w:ascii="宋体" w:hAnsi="宋体"/>
          <w:color w:val="auto"/>
          <w:sz w:val="24"/>
          <w:highlight w:val="none"/>
          <w:lang w:val="en-US" w:eastAsia="zh-CN"/>
        </w:rPr>
        <w:t xml:space="preserve">4016500.3</w:t>
      </w:r>
      <w:r>
        <w:rPr>
          <w:rFonts w:hint="eastAsia" w:ascii="宋体" w:hAnsi="宋体"/>
          <w:color w:val="auto"/>
          <w:sz w:val="24"/>
          <w:highlight w:val="none"/>
        </w:rPr>
        <w:t xml:space="preserve">元</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采购需求：</w:t>
      </w:r>
      <w:r/>
    </w:p>
    <w:p>
      <w:pPr>
        <w:pStyle w:val="969"/>
        <w:ind w:left="0" w:firstLine="480"/>
        <w:spacing w:line="360" w:lineRule="auto"/>
        <w:rPr>
          <w:rFonts w:hint="eastAsia" w:ascii="宋体" w:hAnsi="宋体" w:cs="Times New Roman"/>
          <w:color w:val="auto"/>
          <w:sz w:val="24"/>
          <w:highlight w:val="none"/>
          <w:lang w:eastAsia="zh-CN"/>
        </w:rPr>
      </w:pPr>
      <w:r>
        <w:rPr>
          <w:rFonts w:hint="eastAsia" w:ascii="宋体" w:hAnsi="宋体" w:cs="Times New Roman"/>
          <w:color w:val="auto"/>
          <w:sz w:val="24"/>
          <w:highlight w:val="none"/>
          <w:lang w:eastAsia="zh-CN"/>
        </w:rPr>
        <w:t xml:space="preserve">本项目为星海实验中学改扩建项目厨房设备供货与安装采购。投标人应履行所投产品的生产供货、安装、调试、培训、质保</w:t>
      </w:r>
      <w:r>
        <w:rPr>
          <w:rFonts w:hint="eastAsia" w:ascii="宋体" w:hAnsi="宋体" w:cs="Times New Roman"/>
          <w:color w:val="auto"/>
          <w:sz w:val="24"/>
          <w:highlight w:val="none"/>
          <w:lang w:val="en-US" w:eastAsia="zh-CN"/>
        </w:rPr>
        <w:t xml:space="preserve">等要求</w:t>
      </w:r>
      <w:r>
        <w:rPr>
          <w:rFonts w:hint="eastAsia" w:ascii="宋体" w:hAnsi="宋体" w:cs="Times New Roman"/>
          <w:color w:val="auto"/>
          <w:sz w:val="24"/>
          <w:highlight w:val="none"/>
          <w:lang w:eastAsia="zh-CN"/>
        </w:rPr>
        <w:t xml:space="preserve">。</w:t>
      </w:r>
      <w:r/>
    </w:p>
    <w:p>
      <w:pPr>
        <w:pStyle w:val="969"/>
        <w:ind w:left="0" w:firstLine="480"/>
        <w:spacing w:line="360" w:lineRule="auto"/>
        <w:rPr>
          <w:rFonts w:ascii="宋体" w:hAnsi="宋体"/>
          <w:color w:val="auto"/>
          <w:sz w:val="24"/>
          <w:szCs w:val="24"/>
          <w:highlight w:val="none"/>
        </w:rPr>
      </w:pPr>
      <w:r>
        <w:rPr>
          <w:rFonts w:hint="eastAsia" w:ascii="宋体" w:hAnsi="宋体" w:cs="Times New Roman"/>
          <w:color w:val="auto"/>
          <w:sz w:val="24"/>
          <w:highlight w:val="none"/>
          <w:lang w:eastAsia="zh-CN"/>
        </w:rPr>
        <w:t xml:space="preserve">合同履行期限：</w:t>
      </w:r>
      <w:r>
        <w:rPr>
          <w:rFonts w:hint="eastAsia" w:ascii="宋体" w:hAnsi="宋体" w:cs="Times New Roman"/>
          <w:color w:val="auto"/>
          <w:sz w:val="24"/>
          <w:highlight w:val="none"/>
          <w:lang w:val="en-US" w:eastAsia="zh-CN"/>
        </w:rPr>
        <w:t xml:space="preserve">接到采购人通知后30天内完成安装及调试</w:t>
      </w:r>
      <w:r>
        <w:rPr>
          <w:rFonts w:hint="eastAsia" w:ascii="宋体" w:hAnsi="宋体" w:cs="Times New Roman"/>
          <w:color w:val="auto"/>
          <w:sz w:val="24"/>
          <w:highlight w:val="none"/>
          <w:lang w:eastAsia="zh-CN"/>
        </w:rPr>
        <w:t xml:space="preserve">。</w:t>
      </w:r>
      <w:r/>
    </w:p>
    <w:p>
      <w:pPr>
        <w:ind w:firstLine="482"/>
        <w:spacing w:line="360" w:lineRule="auto"/>
        <w:rPr>
          <w:rFonts w:ascii="宋体" w:hAnsi="宋体"/>
          <w:b/>
          <w:bCs/>
          <w:color w:val="auto"/>
          <w:sz w:val="24"/>
          <w:szCs w:val="20"/>
          <w:highlight w:val="none"/>
        </w:rPr>
      </w:pPr>
      <w:r>
        <w:rPr>
          <w:rFonts w:hint="eastAsia" w:ascii="宋体" w:hAnsi="宋体"/>
          <w:b/>
          <w:bCs/>
          <w:color w:val="auto"/>
          <w:sz w:val="24"/>
          <w:szCs w:val="20"/>
          <w:highlight w:val="none"/>
        </w:rPr>
        <w:t xml:space="preserve">本项目不接受联合体投标。</w:t>
      </w:r>
      <w:r/>
    </w:p>
    <w:p>
      <w:pPr>
        <w:ind w:firstLine="482"/>
        <w:spacing w:line="360" w:lineRule="auto"/>
        <w:rPr>
          <w:rFonts w:ascii="宋体" w:hAnsi="宋体"/>
          <w:b/>
          <w:bCs/>
          <w:color w:val="auto"/>
          <w:sz w:val="24"/>
          <w:szCs w:val="20"/>
          <w:highlight w:val="none"/>
        </w:rPr>
      </w:pPr>
      <w:r>
        <w:rPr>
          <w:rFonts w:hint="eastAsia" w:ascii="宋体" w:hAnsi="宋体"/>
          <w:b/>
          <w:bCs/>
          <w:color w:val="auto"/>
          <w:sz w:val="24"/>
          <w:szCs w:val="20"/>
          <w:highlight w:val="none"/>
        </w:rPr>
        <w:t xml:space="preserve">二、申请人的资格要求：</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1、满足《中华人民共和国政府采购法》第二十二条规定；</w:t>
      </w:r>
      <w:r/>
    </w:p>
    <w:p>
      <w:pPr>
        <w:pStyle w:val="962"/>
        <w:ind w:firstLine="480"/>
        <w:spacing w:line="360" w:lineRule="auto"/>
        <w:rPr>
          <w:rFonts w:ascii="宋体" w:hAnsi="宋体" w:eastAsiaTheme="minorEastAsia" w:cstheme="minorBidi"/>
          <w:color w:val="auto"/>
          <w:szCs w:val="22"/>
          <w:highlight w:val="none"/>
        </w:rPr>
      </w:pPr>
      <w:r>
        <w:rPr>
          <w:rFonts w:hint="eastAsia" w:ascii="宋体" w:hAnsi="宋体" w:eastAsiaTheme="minorEastAsia" w:cstheme="minorBidi"/>
          <w:color w:val="auto"/>
          <w:szCs w:val="22"/>
          <w:highlight w:val="none"/>
        </w:rPr>
        <w:t xml:space="preserve">（1）具有独立承担民事责任的能力；</w:t>
      </w:r>
      <w:r/>
    </w:p>
    <w:p>
      <w:pPr>
        <w:pStyle w:val="962"/>
        <w:ind w:firstLine="480"/>
        <w:spacing w:line="360" w:lineRule="auto"/>
        <w:rPr>
          <w:rFonts w:ascii="宋体" w:hAnsi="宋体" w:eastAsiaTheme="minorEastAsia" w:cstheme="minorBidi"/>
          <w:color w:val="auto"/>
          <w:szCs w:val="22"/>
          <w:highlight w:val="none"/>
        </w:rPr>
      </w:pPr>
      <w:r>
        <w:rPr>
          <w:rFonts w:hint="eastAsia" w:ascii="宋体" w:hAnsi="宋体" w:eastAsiaTheme="minorEastAsia" w:cstheme="minorBidi"/>
          <w:color w:val="auto"/>
          <w:szCs w:val="22"/>
          <w:highlight w:val="none"/>
        </w:rPr>
        <w:t xml:space="preserve">（2）具有良好的商业信誉和健全的财务会计制度；</w:t>
      </w:r>
      <w:r/>
    </w:p>
    <w:p>
      <w:pPr>
        <w:pStyle w:val="962"/>
        <w:ind w:firstLine="480"/>
        <w:spacing w:line="360" w:lineRule="auto"/>
        <w:rPr>
          <w:rFonts w:ascii="宋体" w:hAnsi="宋体" w:eastAsiaTheme="minorEastAsia" w:cstheme="minorBidi"/>
          <w:color w:val="auto"/>
          <w:szCs w:val="22"/>
          <w:highlight w:val="none"/>
        </w:rPr>
      </w:pPr>
      <w:r>
        <w:rPr>
          <w:rFonts w:hint="eastAsia" w:ascii="宋体" w:hAnsi="宋体" w:eastAsiaTheme="minorEastAsia" w:cstheme="minorBidi"/>
          <w:color w:val="auto"/>
          <w:szCs w:val="22"/>
          <w:highlight w:val="none"/>
        </w:rPr>
        <w:t xml:space="preserve">（3）具有履行合同所必需的设备和专业技术能力；</w:t>
      </w:r>
      <w:r/>
    </w:p>
    <w:p>
      <w:pPr>
        <w:pStyle w:val="962"/>
        <w:ind w:firstLine="480"/>
        <w:spacing w:line="360" w:lineRule="auto"/>
        <w:rPr>
          <w:rFonts w:ascii="宋体" w:hAnsi="宋体" w:eastAsiaTheme="minorEastAsia" w:cstheme="minorBidi"/>
          <w:color w:val="auto"/>
          <w:szCs w:val="22"/>
          <w:highlight w:val="none"/>
        </w:rPr>
      </w:pPr>
      <w:r>
        <w:rPr>
          <w:rFonts w:hint="eastAsia" w:ascii="宋体" w:hAnsi="宋体" w:eastAsiaTheme="minorEastAsia" w:cstheme="minorBidi"/>
          <w:color w:val="auto"/>
          <w:szCs w:val="22"/>
          <w:highlight w:val="none"/>
        </w:rPr>
        <w:t xml:space="preserve">（4）有依法缴纳税收和社会保障资金的良好记录；</w:t>
      </w:r>
      <w:r/>
    </w:p>
    <w:p>
      <w:pPr>
        <w:pStyle w:val="962"/>
        <w:ind w:firstLine="480"/>
        <w:spacing w:line="360" w:lineRule="auto"/>
        <w:rPr>
          <w:rFonts w:ascii="宋体" w:hAnsi="宋体" w:eastAsiaTheme="minorEastAsia" w:cstheme="minorBidi"/>
          <w:color w:val="auto"/>
          <w:szCs w:val="22"/>
          <w:highlight w:val="none"/>
        </w:rPr>
      </w:pPr>
      <w:r>
        <w:rPr>
          <w:rFonts w:hint="eastAsia" w:ascii="宋体" w:hAnsi="宋体" w:eastAsiaTheme="minorEastAsia" w:cstheme="minorBidi"/>
          <w:color w:val="auto"/>
          <w:szCs w:val="22"/>
          <w:highlight w:val="none"/>
        </w:rPr>
        <w:t xml:space="preserve">（5）参加政府采购活动前三年内，在经营活动中没有重大违法记录；</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（6）法律、行政法规规定的其他条件。</w:t>
      </w:r>
      <w:r/>
    </w:p>
    <w:p>
      <w:pPr>
        <w:numPr>
          <w:ilvl w:val="0"/>
          <w:numId w:val="3"/>
        </w:numPr>
        <w:ind w:firstLine="480"/>
        <w:spacing w:line="360" w:lineRule="auto"/>
        <w:rPr>
          <w:rFonts w:ascii="宋体" w:hAnsi="宋体"/>
          <w:color w:val="auto"/>
          <w:sz w:val="24"/>
          <w:highlight w:val="none"/>
        </w:rPr>
      </w:pPr>
      <w:r>
        <w:rPr>
          <w:rFonts w:hint="eastAsia" w:ascii="宋体" w:hAnsi="宋体"/>
          <w:color w:val="auto"/>
          <w:sz w:val="24"/>
          <w:highlight w:val="none"/>
        </w:rPr>
        <w:t xml:space="preserve">落实政府采购政策需满足的资格要求：</w:t>
      </w:r>
      <w:r>
        <w:rPr>
          <w:rFonts w:hint="eastAsia" w:ascii="宋体" w:hAnsi="宋体" w:eastAsia="宋体" w:cs="宋体"/>
          <w:color w:val="auto"/>
          <w:szCs w:val="24"/>
          <w:highlight w:val="none"/>
        </w:rPr>
        <w:t xml:space="preserve">无。</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3、本项目的特定资格要求：</w:t>
      </w:r>
      <w:r>
        <w:rPr>
          <w:rFonts w:hint="eastAsia" w:ascii="宋体" w:hAnsi="宋体" w:eastAsia="宋体" w:cs="宋体"/>
          <w:color w:val="auto"/>
          <w:szCs w:val="24"/>
          <w:highlight w:val="none"/>
        </w:rPr>
        <w:t xml:space="preserve">无。</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三、获取招标文件</w:t>
      </w:r>
      <w:r/>
    </w:p>
    <w:p>
      <w:pPr>
        <w:ind w:firstLine="480"/>
        <w:spacing w:line="360" w:lineRule="auto"/>
        <w:rPr>
          <w:rFonts w:ascii="宋体" w:hAnsi="宋体"/>
          <w:color w:val="auto"/>
          <w:sz w:val="24"/>
          <w:highlight w:val="none"/>
        </w:rPr>
      </w:pPr>
      <w:r/>
      <w:bookmarkStart w:id="2" w:name="_Hlk97035982"/>
      <w:r>
        <w:rPr>
          <w:rFonts w:hint="eastAsia" w:ascii="宋体" w:hAnsi="宋体"/>
          <w:color w:val="auto"/>
          <w:sz w:val="24"/>
          <w:highlight w:val="none"/>
        </w:rPr>
        <w:t xml:space="preserve">1、时间：自招标文件公告发布之日起5个工作日 </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2、地点：苏采云”</w:t>
      </w:r>
      <w:r>
        <w:rPr>
          <w:rFonts w:hint="eastAsia" w:ascii="宋体" w:hAnsi="宋体"/>
          <w:color w:val="auto"/>
          <w:sz w:val="24"/>
          <w:highlight w:val="none"/>
          <w:lang w:val="en-US" w:eastAsia="zh-CN"/>
        </w:rPr>
        <w:t xml:space="preserve">系统</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3</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获取方式</w:t>
      </w:r>
      <w:r>
        <w:rPr>
          <w:rFonts w:hint="eastAsia" w:ascii="宋体" w:hAnsi="宋体"/>
          <w:color w:val="auto"/>
          <w:sz w:val="24"/>
          <w:highlight w:val="none"/>
        </w:rPr>
        <w:t xml:space="preserve">：</w:t>
      </w:r>
      <w:r>
        <w:rPr>
          <w:rFonts w:ascii="SimSun" w:hAnsi="SimSun" w:eastAsia="SimSun" w:cs="SimSun"/>
          <w:color w:val="000000"/>
          <w:sz w:val="24"/>
        </w:rPr>
        <w:t xml:space="preserve">在苏采云系统获取 </w:t>
      </w:r>
      <w:r>
        <w:rPr>
          <w:rFonts w:hint="eastAsia" w:ascii="宋体" w:hAnsi="宋体"/>
          <w:color w:val="auto"/>
          <w:sz w:val="24"/>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售价：0元</w:t>
      </w:r>
      <w:bookmarkEnd w:id="2"/>
      <w:r/>
      <w:r/>
    </w:p>
    <w:p>
      <w:pPr>
        <w:ind w:firstLine="482"/>
        <w:jc w:val="left"/>
        <w:spacing w:line="360" w:lineRule="auto"/>
        <w:widowControl/>
        <w:rPr>
          <w:rFonts w:ascii="宋体" w:hAnsi="宋体"/>
          <w:b/>
          <w:color w:val="auto"/>
          <w:sz w:val="24"/>
          <w:highlight w:val="none"/>
        </w:rPr>
      </w:pPr>
      <w:r>
        <w:rPr>
          <w:rFonts w:hint="eastAsia" w:ascii="宋体" w:hAnsi="宋体"/>
          <w:b/>
          <w:color w:val="auto"/>
          <w:sz w:val="24"/>
          <w:highlight w:val="none"/>
        </w:rPr>
        <w:t xml:space="preserve">四、提交投标文件截止时间、开标时间和地点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2026-05-08 14:00 （北京时间）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地点：“苏采云”系统 </w:t>
      </w:r>
      <w:r/>
    </w:p>
    <w:p>
      <w:pPr>
        <w:ind w:firstLine="482"/>
        <w:jc w:val="left"/>
        <w:spacing w:line="360" w:lineRule="auto"/>
        <w:widowControl/>
        <w:rPr>
          <w:rFonts w:ascii="宋体" w:hAnsi="宋体" w:cs="宋体"/>
          <w:color w:val="auto"/>
          <w:sz w:val="24"/>
          <w:highlight w:val="none"/>
        </w:rPr>
      </w:pPr>
      <w:r>
        <w:rPr>
          <w:rFonts w:hint="eastAsia" w:ascii="宋体" w:hAnsi="宋体"/>
          <w:b/>
          <w:color w:val="auto"/>
          <w:sz w:val="24"/>
          <w:highlight w:val="none"/>
        </w:rPr>
        <w:t xml:space="preserve">五、公告期限：自本公告发布之日起五个工作日。</w:t>
      </w:r>
      <w:r/>
    </w:p>
    <w:p>
      <w:pPr>
        <w:ind w:firstLine="482"/>
        <w:jc w:val="left"/>
        <w:spacing w:line="360" w:lineRule="auto"/>
        <w:widowControl/>
        <w:rPr>
          <w:rFonts w:ascii="宋体" w:hAnsi="宋体"/>
          <w:b/>
          <w:color w:val="auto"/>
          <w:sz w:val="24"/>
          <w:highlight w:val="none"/>
        </w:rPr>
      </w:pPr>
      <w:r>
        <w:rPr>
          <w:rFonts w:hint="eastAsia" w:ascii="宋体" w:hAnsi="宋体"/>
          <w:b/>
          <w:color w:val="auto"/>
          <w:sz w:val="24"/>
          <w:highlight w:val="none"/>
        </w:rPr>
        <w:t xml:space="preserve">六、其他补充事宜</w:t>
      </w:r>
      <w:r/>
    </w:p>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1、为本项目提供整体设计、规范编制等服务的供应商：无。</w:t>
      </w:r>
      <w:r/>
    </w:p>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2、单位负责人为同一人或者存在直接控股、管理关系的不同供应商，不得参加同一合同项下的政府采购活动。</w:t>
      </w:r>
      <w:r/>
    </w:p>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3、为本项目提供整体设计、规范编制或者项目管理、监理、监测等服务的供应商，不得再参加该采购项目及其他相关的采购活动。</w:t>
      </w:r>
      <w:r/>
    </w:p>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4、本公告同时在苏州市政府采购网、江苏省政府采购网、中国政府采购网上发布。</w:t>
      </w:r>
      <w:r/>
    </w:p>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5、本项目获取招标文件截止日期之后仍可以下载招标文件，但截止日期之后下载的招标文件，视为非有效方式且不作为供应商权益受到损害的证明材料和依据。</w:t>
      </w:r>
      <w:r/>
    </w:p>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6、如不同投标文件制作机器码一致，则投标无效。</w:t>
      </w:r>
      <w:r/>
    </w:p>
    <w:p>
      <w:pPr>
        <w:ind w:firstLine="480"/>
        <w:spacing w:line="360" w:lineRule="auto"/>
        <w:widowControl/>
        <w:rPr>
          <w:rFonts w:ascii="宋体" w:hAnsi="宋体"/>
          <w:color w:val="auto"/>
          <w:sz w:val="24"/>
          <w:highlight w:val="none"/>
        </w:rPr>
      </w:pPr>
      <w:r>
        <w:rPr>
          <w:rFonts w:hint="eastAsia" w:ascii="宋体" w:hAnsi="宋体"/>
          <w:color w:val="auto"/>
          <w:sz w:val="24"/>
          <w:highlight w:val="none"/>
        </w:rPr>
        <w:t xml:space="preserve">7、制作电子投标文件：</w:t>
      </w:r>
      <w:r/>
    </w:p>
    <w:p>
      <w:pPr>
        <w:ind w:firstLine="480"/>
        <w:jc w:val="left"/>
        <w:spacing w:line="360" w:lineRule="auto"/>
        <w:widowControl/>
        <w:rPr>
          <w:rFonts w:ascii="宋体" w:hAnsi="宋体" w:cs="宋体"/>
          <w:color w:val="auto"/>
          <w:sz w:val="24"/>
          <w:highlight w:val="none"/>
        </w:rPr>
      </w:pPr>
      <w:r>
        <w:rPr>
          <w:rFonts w:hint="eastAsia" w:ascii="宋体" w:hAnsi="宋体"/>
          <w:color w:val="auto"/>
          <w:sz w:val="24"/>
          <w:highlight w:val="none"/>
        </w:rPr>
        <w:t xml:space="preserve">本项目采用电子招投标形式，请供应商按照《苏采云系统供应商操作手册》（http://www.ccgp-jiangsu.gov.cn/jiangsu/zlxz/ee/ee3a4bc5a3454aa2b0d9312230633ce9.html）进行制作、上传电子投标文件。</w:t>
      </w:r>
      <w:r>
        <w:rPr>
          <w:rFonts w:hint="eastAsia" w:ascii="宋体" w:hAnsi="宋体"/>
          <w:b/>
          <w:color w:val="auto"/>
          <w:sz w:val="24"/>
          <w:highlight w:val="none"/>
        </w:rPr>
        <w:t xml:space="preserve">电子投标文件制作完成后请于投标文件递交截止时间前成功上传至“苏采云”系统，否则视为放弃参加该采购项目。</w:t>
      </w:r>
      <w:r>
        <w:rPr>
          <w:rFonts w:hint="eastAsia" w:ascii="宋体" w:hAnsi="宋体"/>
          <w:color w:val="auto"/>
          <w:sz w:val="24"/>
          <w:highlight w:val="none"/>
        </w:rPr>
        <w:t xml:space="preserve">供应商应充分考虑到网络环境、网络带宽等</w:t>
      </w:r>
      <w:r>
        <w:rPr>
          <w:rFonts w:hint="eastAsia" w:ascii="宋体" w:hAnsi="宋体" w:cs="宋体"/>
          <w:color w:val="auto"/>
          <w:sz w:val="24"/>
          <w:highlight w:val="none"/>
        </w:rPr>
        <w:t xml:space="preserve">风险因素，如因供应商自身原因造成的电子投标文件上传不成功由供应商自行承担全部责任。</w:t>
      </w:r>
      <w:r/>
    </w:p>
    <w:p>
      <w:pPr>
        <w:numPr>
          <w:ilvl w:val="0"/>
          <w:numId w:val="4"/>
        </w:numPr>
        <w:ind w:firstLine="480"/>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供应商需保持“苏采云”系统不见面开标大厅在线状态，并按要求在规定时间内进行响应。在评审过程中系统如有特殊情况，工作人员会及时通过《投标供应商确认函》</w:t>
      </w:r>
      <w:bookmarkStart w:id="3" w:name="_Hlk154588759"/>
      <w:r>
        <w:rPr>
          <w:rFonts w:hint="eastAsia" w:ascii="宋体" w:hAnsi="宋体"/>
          <w:color w:val="auto"/>
          <w:sz w:val="24"/>
          <w:highlight w:val="none"/>
        </w:rPr>
        <w:t xml:space="preserve">或法人授权委托书（如有）中</w:t>
      </w:r>
      <w:bookmarkEnd w:id="3"/>
      <w:r>
        <w:rPr>
          <w:rFonts w:hint="eastAsia" w:ascii="宋体" w:hAnsi="宋体"/>
          <w:color w:val="auto"/>
          <w:sz w:val="24"/>
          <w:highlight w:val="none"/>
        </w:rPr>
        <w:t xml:space="preserve">留存的手机号与供应商联系。请供应商确保系统在线状态且该手机号开评标当日通讯畅通，否则导致的对供应商不利的后果由供应商自行承担。</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、方式：</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（1）CA证书办理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供应商通过江苏省政府采购一体化平台“苏采云”系统（以下简称“苏采云”系统，网址：http://jszfcg.jsczt.cn/）参与政府采购活动，需办理江苏省电子政务证书认证中心CA证书和方正国际软件（北京）有限公司电子签章。办理方法详见苏州市政府采购网―法规政策--《转发省财政厅关于更换全省政府采购交易系统CA数字证书和电子签章的通知》或者“苏采云”系统登录界面中的“新CA办理指南”。</w:t>
      </w:r>
      <w:r>
        <w:rPr>
          <w:rFonts w:hint="eastAsia" w:ascii="宋体" w:hAnsi="宋体" w:cs="宋体"/>
          <w:b/>
          <w:color w:val="auto"/>
          <w:sz w:val="24"/>
          <w:highlight w:val="none"/>
        </w:rPr>
        <w:t xml:space="preserve">“苏采云”系统目前仅支持“苏采云”系统下的政务CA证书，江苏省内各地区办理的“苏采云”系统下的政务CA证书全省通用。</w:t>
      </w:r>
      <w:r>
        <w:rPr>
          <w:rFonts w:hint="eastAsia" w:ascii="宋体" w:hAnsi="宋体" w:cs="宋体"/>
          <w:color w:val="auto"/>
          <w:sz w:val="24"/>
          <w:highlight w:val="none"/>
        </w:rPr>
        <w:t xml:space="preserve">苏州现场办理地址：苏州市姑苏区平泷路251号政务服务中心4楼公共交易中心窗口，咨询电话：0512-69820834。</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（2）依法获取招标文件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供应商插入CA证书登陆“苏采云”系统后选择具体项目，点击“我要参与”并签章提交《投标供应商确认函》，确认参与后自行免费下载招标文件，提交《投标供应商确认函》日期视同为依法获取招标文件日期。供应商须打印、保留《投标供应商确认函》，质疑时《投标供应商确认函》与质疑函一并提交。</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更正（补充）公告及附件的获取：供应商应及时关注政府采购信息发布媒体上发布的更正（补充）公告，同时在“苏采云”系统中下载更正（补充）资料，如有遗漏（包括但不限于文件未下载或下载不完整），可能无法解密投标文件，由此所造成的响应失败或损失由供应商自行负责。</w:t>
      </w:r>
      <w:r/>
    </w:p>
    <w:p>
      <w:pPr>
        <w:ind w:firstLine="480"/>
        <w:spacing w:line="360" w:lineRule="auto"/>
        <w:widowControl/>
        <w:rPr>
          <w:rFonts w:asciiTheme="minorEastAsia" w:hAnsiTheme="minorEastAsia"/>
          <w:color w:val="auto"/>
          <w:szCs w:val="21"/>
          <w:highlight w:val="none"/>
        </w:rPr>
      </w:pPr>
      <w:r>
        <w:rPr>
          <w:rFonts w:hint="eastAsia" w:ascii="宋体" w:hAnsi="宋体"/>
          <w:color w:val="auto"/>
          <w:sz w:val="24"/>
          <w:highlight w:val="none"/>
          <w:lang w:val="en-US" w:eastAsia="zh-CN"/>
        </w:rPr>
        <w:t xml:space="preserve">10</w:t>
      </w:r>
      <w:r>
        <w:rPr>
          <w:rFonts w:hint="eastAsia" w:ascii="宋体" w:hAnsi="宋体"/>
          <w:color w:val="auto"/>
          <w:sz w:val="24"/>
          <w:highlight w:val="none"/>
        </w:rPr>
        <w:t xml:space="preserve">、线上参加开标会方式：供应商登录“苏采云”系统，点击“开标大厅”，选择对应项目，点击进入不见面开标系统。</w:t>
      </w:r>
      <w:r/>
    </w:p>
    <w:p>
      <w:pPr>
        <w:ind w:firstLine="422"/>
        <w:spacing w:line="360" w:lineRule="auto"/>
        <w:widowControl/>
        <w:rPr>
          <w:rFonts w:ascii="宋体" w:hAnsi="宋体"/>
          <w:b/>
          <w:bCs/>
          <w:color w:val="auto"/>
          <w:sz w:val="24"/>
          <w:highlight w:val="none"/>
        </w:rPr>
      </w:pPr>
      <w:r>
        <w:rPr>
          <w:rFonts w:hint="eastAsia" w:ascii="宋体" w:hAnsi="宋体"/>
          <w:b/>
          <w:bCs/>
          <w:color w:val="auto"/>
          <w:sz w:val="24"/>
          <w:highlight w:val="none"/>
        </w:rPr>
        <w:t xml:space="preserve">本项目为不见面开标项目，开标阶段供应商在【供应商解密】环节必须使用CA证书解密电子投标文件，如在“苏采云”系统规定的时间内未能成功解密的视为放弃参与本项目投标。</w:t>
      </w:r>
      <w:r/>
    </w:p>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请供应商确保电脑、系统及其他设备（视频输入输出设备等）无误，且开标直至项目结束始终保持系统在线状态。</w:t>
      </w:r>
      <w:r/>
    </w:p>
    <w:p>
      <w:pPr>
        <w:ind w:firstLine="480"/>
        <w:spacing w:line="360" w:lineRule="auto"/>
        <w:widowControl/>
        <w:rPr>
          <w:rFonts w:ascii="宋体" w:hAnsi="宋体"/>
          <w:color w:val="auto"/>
          <w:sz w:val="24"/>
          <w:highlight w:val="none"/>
          <w:lang w:val="zh-CN"/>
        </w:rPr>
      </w:pPr>
      <w:r>
        <w:rPr>
          <w:rFonts w:hint="eastAsia" w:ascii="宋体" w:hAnsi="宋体"/>
          <w:color w:val="auto"/>
          <w:sz w:val="24"/>
          <w:highlight w:val="none"/>
          <w:lang w:val="en-US" w:eastAsia="zh-CN"/>
        </w:rPr>
        <w:t xml:space="preserve">11</w:t>
      </w:r>
      <w:r>
        <w:rPr>
          <w:rFonts w:hint="eastAsia" w:ascii="宋体" w:hAnsi="宋体"/>
          <w:color w:val="auto"/>
          <w:sz w:val="24"/>
          <w:highlight w:val="none"/>
        </w:rPr>
        <w:t xml:space="preserve">、</w:t>
      </w:r>
      <w:r>
        <w:rPr>
          <w:rFonts w:hint="eastAsia" w:ascii="宋体" w:hAnsi="宋体"/>
          <w:color w:val="auto"/>
          <w:sz w:val="24"/>
          <w:highlight w:val="none"/>
          <w:lang w:val="zh-CN"/>
        </w:rPr>
        <w:t xml:space="preserve">技术支持：</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CA技术咨询服务电话：400-608-6099</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电子签章技术咨询服务电话：15380932027、15371015030 、13675197356、13675197221</w:t>
      </w:r>
      <w:r/>
    </w:p>
    <w:p>
      <w:pPr>
        <w:ind w:firstLine="480"/>
        <w:jc w:val="left"/>
        <w:spacing w:line="360" w:lineRule="auto"/>
        <w:rPr>
          <w:rFonts w:ascii="宋体" w:hAnsi="宋体"/>
          <w:color w:val="auto"/>
          <w:sz w:val="24"/>
          <w:highlight w:val="none"/>
        </w:rPr>
      </w:pPr>
      <w:r>
        <w:rPr>
          <w:rFonts w:hint="eastAsia" w:ascii="宋体" w:hAnsi="宋体" w:cs="宋体"/>
          <w:color w:val="auto"/>
          <w:sz w:val="24"/>
          <w:highlight w:val="none"/>
        </w:rPr>
        <w:t xml:space="preserve">“苏采云”平台技术咨询电话：0512-69820854、0519-86722802、13914088964、18261002950</w:t>
      </w:r>
      <w:r/>
    </w:p>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1</w:t>
      </w: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、政府采购监督电话：0512-66681110。</w:t>
      </w:r>
      <w:r/>
    </w:p>
    <w:p>
      <w:pPr>
        <w:ind w:firstLine="482"/>
        <w:jc w:val="left"/>
        <w:spacing w:line="360" w:lineRule="auto"/>
        <w:widowControl/>
        <w:rPr>
          <w:rFonts w:ascii="宋体" w:hAnsi="宋体" w:cs="宋体"/>
          <w:color w:val="auto"/>
          <w:sz w:val="24"/>
          <w:highlight w:val="none"/>
        </w:rPr>
      </w:pPr>
      <w:r>
        <w:rPr>
          <w:rFonts w:hint="eastAsia" w:ascii="宋体" w:hAnsi="宋体"/>
          <w:b/>
          <w:color w:val="auto"/>
          <w:sz w:val="24"/>
          <w:highlight w:val="none"/>
        </w:rPr>
        <w:t xml:space="preserve">七、对本次招标提出询问，请按以下方式联系。</w:t>
      </w:r>
      <w:r/>
    </w:p>
    <w:p>
      <w:pPr>
        <w:ind w:firstLine="480"/>
        <w:jc w:val="left"/>
        <w:spacing w:line="360" w:lineRule="auto"/>
        <w:widowControl/>
        <w:rPr>
          <w:rFonts w:ascii="宋体" w:hAnsi="宋体" w:cs="宋体"/>
          <w:color w:val="auto"/>
          <w:sz w:val="24"/>
          <w:highlight w:val="none"/>
        </w:rPr>
      </w:pPr>
      <w:r>
        <w:rPr>
          <w:rFonts w:hint="eastAsia" w:ascii="宋体" w:hAnsi="宋体"/>
          <w:color w:val="auto"/>
          <w:sz w:val="24"/>
          <w:highlight w:val="none"/>
        </w:rPr>
        <w:t xml:space="preserve">1、采购人信息</w:t>
      </w:r>
      <w:r/>
    </w:p>
    <w:p>
      <w:pPr>
        <w:ind w:firstLine="480"/>
        <w:jc w:val="left"/>
        <w:spacing w:line="360" w:lineRule="auto"/>
        <w:widowControl/>
        <w:rPr>
          <w:rFonts w:hint="eastAsia" w:ascii="宋体" w:hAnsi="宋体" w:eastAsiaTheme="minorEastAsia"/>
          <w:color w:val="auto"/>
          <w:sz w:val="24"/>
          <w:highlight w:val="none"/>
          <w:lang w:eastAsia="zh-CN"/>
        </w:rPr>
      </w:pPr>
      <w:r>
        <w:rPr>
          <w:rFonts w:ascii="宋体" w:hAnsi="宋体"/>
          <w:color w:val="auto"/>
          <w:sz w:val="24"/>
          <w:highlight w:val="none"/>
        </w:rPr>
        <w:t xml:space="preserve">名    称：</w:t>
      </w:r>
      <w:r>
        <w:rPr>
          <w:rFonts w:hint="eastAsia" w:ascii="宋体" w:hAnsi="宋体"/>
          <w:color w:val="auto"/>
          <w:sz w:val="24"/>
          <w:highlight w:val="none"/>
          <w:lang w:eastAsia="zh-CN"/>
        </w:rPr>
        <w:t xml:space="preserve">苏州工业园区教育局</w:t>
      </w:r>
      <w:r/>
    </w:p>
    <w:p>
      <w:pPr>
        <w:ind w:firstLine="480"/>
        <w:jc w:val="left"/>
        <w:spacing w:line="360" w:lineRule="auto"/>
        <w:widowControl/>
        <w:rPr>
          <w:rFonts w:ascii="宋体" w:hAnsi="宋体" w:cs="宋体"/>
          <w:color w:val="auto"/>
          <w:sz w:val="24"/>
          <w:highlight w:val="none"/>
        </w:rPr>
      </w:pPr>
      <w:r>
        <w:rPr>
          <w:rFonts w:hint="eastAsia" w:ascii="宋体" w:hAnsi="宋体"/>
          <w:color w:val="auto"/>
          <w:sz w:val="24"/>
          <w:highlight w:val="none"/>
        </w:rPr>
        <w:t xml:space="preserve">地    址：</w:t>
      </w:r>
      <w:r>
        <w:rPr>
          <w:rFonts w:hint="eastAsia" w:ascii="宋体" w:hAnsi="宋体" w:eastAsia="宋体" w:cs="宋体"/>
          <w:color w:val="auto"/>
          <w:sz w:val="24"/>
          <w:szCs w:val="24"/>
          <w:highlight w:val="none"/>
          <w:lang w:eastAsia="zh-CN"/>
        </w:rPr>
        <w:t xml:space="preserve">苏州</w:t>
      </w:r>
      <w:r>
        <w:rPr>
          <w:rFonts w:hint="eastAsia" w:ascii="宋体" w:hAnsi="宋体" w:eastAsia="宋体" w:cs="宋体"/>
          <w:color w:val="auto"/>
          <w:sz w:val="24"/>
          <w:szCs w:val="24"/>
          <w:highlight w:val="none"/>
          <w:lang w:val="en-US" w:eastAsia="zh-CN"/>
        </w:rPr>
        <w:t xml:space="preserve">工业园区现代大道999号</w:t>
      </w:r>
      <w:r/>
    </w:p>
    <w:p>
      <w:pPr>
        <w:ind w:firstLine="480"/>
        <w:spacing w:line="360" w:lineRule="auto"/>
        <w:rPr>
          <w:rFonts w:ascii="宋体" w:hAnsi="宋体" w:cs="宋体"/>
          <w:color w:val="auto"/>
          <w:sz w:val="24"/>
          <w:highlight w:val="none"/>
        </w:rPr>
      </w:pPr>
      <w:r>
        <w:rPr>
          <w:rFonts w:hint="eastAsia" w:ascii="宋体" w:hAnsi="宋体"/>
          <w:color w:val="auto"/>
          <w:sz w:val="24"/>
          <w:highlight w:val="none"/>
        </w:rPr>
        <w:t xml:space="preserve">联系方式：</w:t>
      </w:r>
      <w:r>
        <w:rPr>
          <w:rFonts w:hint="eastAsia" w:ascii="宋体" w:hAnsi="宋体" w:eastAsia="宋体" w:cs="宋体"/>
          <w:color w:val="auto"/>
          <w:sz w:val="24"/>
          <w:szCs w:val="24"/>
          <w:highlight w:val="none"/>
        </w:rPr>
        <w:t xml:space="preserve">范萌萌  0512-62763370</w:t>
      </w:r>
      <w:r/>
    </w:p>
    <w:p>
      <w:pPr>
        <w:ind w:firstLine="480"/>
        <w:jc w:val="left"/>
        <w:spacing w:line="360" w:lineRule="auto"/>
        <w:widowControl/>
        <w:rPr>
          <w:rFonts w:ascii="宋体" w:hAnsi="宋体" w:cs="宋体"/>
          <w:color w:val="auto"/>
          <w:sz w:val="24"/>
          <w:highlight w:val="none"/>
        </w:rPr>
      </w:pPr>
      <w:r>
        <w:rPr>
          <w:rFonts w:hint="eastAsia" w:ascii="宋体" w:hAnsi="宋体"/>
          <w:color w:val="auto"/>
          <w:sz w:val="24"/>
          <w:highlight w:val="none"/>
        </w:rPr>
        <w:t xml:space="preserve">2、采购代理机构信息</w:t>
      </w:r>
      <w:r/>
    </w:p>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名    称：苏州华星工程造价咨询有限公司</w:t>
      </w:r>
      <w:r/>
    </w:p>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地    址：苏州工业园区苏雅路388号新天翔商业广场A座12楼1206室</w:t>
      </w:r>
      <w:r/>
    </w:p>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联系</w:t>
      </w:r>
      <w:r>
        <w:rPr>
          <w:rFonts w:ascii="宋体" w:hAnsi="宋体"/>
          <w:color w:val="auto"/>
          <w:sz w:val="24"/>
          <w:highlight w:val="none"/>
        </w:rPr>
        <w:t xml:space="preserve">方式：</w:t>
      </w:r>
      <w:r>
        <w:rPr>
          <w:rFonts w:hint="eastAsia" w:ascii="宋体" w:hAnsi="宋体"/>
          <w:color w:val="auto"/>
          <w:sz w:val="24"/>
          <w:highlight w:val="none"/>
        </w:rPr>
        <w:t xml:space="preserve">0512-65200462</w:t>
      </w:r>
      <w:r/>
    </w:p>
    <w:p>
      <w:pPr>
        <w:ind w:firstLine="480"/>
        <w:jc w:val="left"/>
        <w:spacing w:line="360" w:lineRule="auto"/>
        <w:widowControl/>
        <w:rPr>
          <w:rFonts w:ascii="宋体" w:hAnsi="宋体" w:cs="宋体"/>
          <w:color w:val="auto"/>
          <w:sz w:val="24"/>
          <w:highlight w:val="none"/>
        </w:rPr>
      </w:pPr>
      <w:r>
        <w:rPr>
          <w:rFonts w:hint="eastAsia" w:ascii="宋体" w:hAnsi="宋体"/>
          <w:color w:val="auto"/>
          <w:sz w:val="24"/>
          <w:highlight w:val="none"/>
        </w:rPr>
        <w:t xml:space="preserve">3、项目联系方式</w:t>
      </w:r>
      <w:r/>
    </w:p>
    <w:p>
      <w:pPr>
        <w:ind w:firstLine="480"/>
        <w:jc w:val="left"/>
        <w:spacing w:line="360" w:lineRule="auto"/>
        <w:widowControl/>
        <w:rPr>
          <w:rFonts w:ascii="宋体" w:hAnsi="宋体" w:cs="宋体"/>
          <w:color w:val="auto"/>
          <w:sz w:val="24"/>
          <w:highlight w:val="none"/>
        </w:rPr>
      </w:pPr>
      <w:r>
        <w:rPr>
          <w:rFonts w:hint="eastAsia" w:ascii="宋体" w:hAnsi="宋体"/>
          <w:color w:val="auto"/>
          <w:sz w:val="24"/>
          <w:highlight w:val="none"/>
        </w:rPr>
        <w:t xml:space="preserve">项目</w:t>
      </w:r>
      <w:r>
        <w:rPr>
          <w:rFonts w:ascii="宋体" w:hAnsi="宋体"/>
          <w:color w:val="auto"/>
          <w:sz w:val="24"/>
          <w:highlight w:val="none"/>
        </w:rPr>
        <w:t xml:space="preserve">联系人：</w:t>
      </w:r>
      <w:r>
        <w:rPr>
          <w:rFonts w:hint="eastAsia" w:ascii="宋体" w:hAnsi="宋体"/>
          <w:color w:val="auto"/>
          <w:sz w:val="24"/>
          <w:highlight w:val="none"/>
        </w:rPr>
        <w:t xml:space="preserve">田娟、吴皓东</w:t>
      </w:r>
      <w:r/>
    </w:p>
    <w:p>
      <w:pPr>
        <w:ind w:firstLine="480"/>
        <w:jc w:val="left"/>
        <w:spacing w:line="360" w:lineRule="auto"/>
        <w:widowControl/>
        <w:rPr>
          <w:rFonts w:ascii="宋体" w:hAnsi="宋体" w:cs="宋体"/>
          <w:color w:val="auto"/>
          <w:sz w:val="24"/>
          <w:highlight w:val="none"/>
        </w:rPr>
      </w:pPr>
      <w:r>
        <w:rPr>
          <w:rFonts w:ascii="宋体" w:hAnsi="宋体"/>
          <w:color w:val="auto"/>
          <w:sz w:val="24"/>
          <w:highlight w:val="none"/>
        </w:rPr>
        <w:t xml:space="preserve">电 </w:t>
      </w:r>
      <w:r>
        <w:rPr>
          <w:rFonts w:hint="eastAsia" w:ascii="宋体" w:hAnsi="宋体"/>
          <w:color w:val="auto"/>
          <w:sz w:val="24"/>
          <w:highlight w:val="none"/>
        </w:rPr>
        <w:t xml:space="preserve">     </w:t>
      </w:r>
      <w:r>
        <w:rPr>
          <w:rFonts w:ascii="宋体" w:hAnsi="宋体"/>
          <w:color w:val="auto"/>
          <w:sz w:val="24"/>
          <w:highlight w:val="none"/>
        </w:rPr>
        <w:t xml:space="preserve">话：</w:t>
      </w:r>
      <w:r>
        <w:rPr>
          <w:rFonts w:ascii="宋体" w:hAnsi="宋体" w:cs="宋体"/>
          <w:color w:val="auto"/>
          <w:sz w:val="24"/>
          <w:highlight w:val="none"/>
        </w:rPr>
        <w:t xml:space="preserve">0512-65200462</w:t>
      </w:r>
      <w:r/>
    </w:p>
    <w:p>
      <w:pPr>
        <w:rPr>
          <w:rFonts w:ascii="宋体" w:hAnsi="宋体"/>
          <w:color w:val="auto"/>
          <w:sz w:val="24"/>
          <w:highlight w:val="none"/>
        </w:rPr>
      </w:pPr>
      <w:r>
        <w:rPr>
          <w:rFonts w:ascii="宋体" w:hAnsi="宋体"/>
          <w:color w:val="auto"/>
          <w:sz w:val="24"/>
          <w:highlight w:val="none"/>
        </w:rPr>
        <w:br w:type="page" w:clear="all"/>
      </w:r>
      <w:r/>
    </w:p>
    <w:p>
      <w:pPr>
        <w:pStyle w:val="969"/>
        <w:rPr>
          <w:color w:val="auto"/>
          <w:highlight w:val="none"/>
        </w:rPr>
      </w:pPr>
      <w:r>
        <w:rPr>
          <w:color w:val="auto"/>
          <w:highlight w:val="none"/>
        </w:rPr>
      </w:r>
      <w:r/>
    </w:p>
    <w:p>
      <w:pPr>
        <w:ind w:right="-159" w:firstLine="482"/>
        <w:jc w:val="right"/>
        <w:spacing w:line="360" w:lineRule="auto"/>
        <w:rPr>
          <w:rFonts w:ascii="宋体" w:hAnsi="宋体" w:eastAsia="宋体" w:cs="Times New Roman"/>
          <w:b/>
          <w:color w:val="auto"/>
          <w:sz w:val="24"/>
          <w:szCs w:val="24"/>
          <w:highlight w:val="none"/>
          <w:shd w:val="clear" w:color="auto" w:fill="ffffff"/>
        </w:rPr>
      </w:pPr>
      <w:r>
        <w:rPr>
          <w:rFonts w:ascii="宋体" w:hAnsi="宋体" w:eastAsia="宋体" w:cs="Times New Roman"/>
          <w:b/>
          <w:color w:val="auto"/>
          <w:sz w:val="24"/>
          <w:szCs w:val="24"/>
          <w:highlight w:val="none"/>
          <w:shd w:val="clear" w:color="auto" w:fill="ffffff"/>
        </w:rPr>
      </w:r>
      <w:r/>
    </w:p>
    <w:p>
      <w:pPr>
        <w:pStyle w:val="970"/>
        <w:ind w:left="0" w:right="0" w:firstLine="482"/>
        <w:rPr>
          <w:rFonts w:hint="default" w:ascii="宋体" w:hAnsi="宋体" w:eastAsia="宋体"/>
          <w:b/>
          <w:color w:val="auto"/>
          <w:sz w:val="24"/>
          <w:szCs w:val="24"/>
          <w:highlight w:val="none"/>
          <w:shd w:val="clear" w:color="auto" w:fill="ffffff"/>
        </w:rPr>
      </w:pPr>
      <w:r>
        <w:rPr>
          <w:rFonts w:hint="default" w:ascii="宋体" w:hAnsi="宋体" w:eastAsia="宋体"/>
          <w:b/>
          <w:color w:val="auto"/>
          <w:sz w:val="24"/>
          <w:szCs w:val="24"/>
          <w:highlight w:val="none"/>
          <w:shd w:val="clear" w:color="auto" w:fill="ffffff"/>
        </w:rPr>
      </w:r>
      <w:r/>
    </w:p>
    <w:p>
      <w:pPr>
        <w:pStyle w:val="970"/>
        <w:ind w:left="0" w:right="0" w:firstLine="482"/>
        <w:rPr>
          <w:rFonts w:hint="default" w:ascii="宋体" w:hAnsi="宋体" w:eastAsia="宋体"/>
          <w:b/>
          <w:color w:val="auto"/>
          <w:sz w:val="24"/>
          <w:szCs w:val="24"/>
          <w:highlight w:val="none"/>
          <w:shd w:val="clear" w:color="auto" w:fill="ffffff"/>
        </w:rPr>
      </w:pPr>
      <w:r>
        <w:rPr>
          <w:rFonts w:hint="default" w:ascii="宋体" w:hAnsi="宋体" w:eastAsia="宋体"/>
          <w:b/>
          <w:color w:val="auto"/>
          <w:sz w:val="24"/>
          <w:szCs w:val="24"/>
          <w:highlight w:val="none"/>
          <w:shd w:val="clear" w:color="auto" w:fill="ffffff"/>
        </w:rPr>
      </w:r>
      <w:r/>
    </w:p>
    <w:p>
      <w:pPr>
        <w:pStyle w:val="970"/>
        <w:ind w:left="0" w:right="0" w:firstLine="482"/>
        <w:rPr>
          <w:rFonts w:hint="default" w:ascii="宋体" w:hAnsi="宋体" w:eastAsia="宋体"/>
          <w:b/>
          <w:color w:val="auto"/>
          <w:sz w:val="24"/>
          <w:szCs w:val="24"/>
          <w:highlight w:val="none"/>
          <w:shd w:val="clear" w:color="auto" w:fill="ffffff"/>
        </w:rPr>
      </w:pPr>
      <w:r>
        <w:rPr>
          <w:rFonts w:hint="default" w:ascii="宋体" w:hAnsi="宋体" w:eastAsia="宋体"/>
          <w:b/>
          <w:color w:val="auto"/>
          <w:sz w:val="24"/>
          <w:szCs w:val="24"/>
          <w:highlight w:val="none"/>
          <w:shd w:val="clear" w:color="auto" w:fill="ffffff"/>
        </w:rPr>
      </w:r>
      <w:r/>
    </w:p>
    <w:p>
      <w:pPr>
        <w:pStyle w:val="970"/>
        <w:ind w:left="0" w:right="0" w:firstLine="482"/>
        <w:rPr>
          <w:rFonts w:hint="default" w:ascii="宋体" w:hAnsi="宋体" w:eastAsia="宋体"/>
          <w:b/>
          <w:color w:val="auto"/>
          <w:sz w:val="24"/>
          <w:szCs w:val="24"/>
          <w:highlight w:val="none"/>
          <w:shd w:val="clear" w:color="auto" w:fill="ffffff"/>
        </w:rPr>
      </w:pPr>
      <w:r>
        <w:rPr>
          <w:rFonts w:hint="default" w:ascii="宋体" w:hAnsi="宋体" w:eastAsia="宋体"/>
          <w:b/>
          <w:color w:val="auto"/>
          <w:sz w:val="24"/>
          <w:szCs w:val="24"/>
          <w:highlight w:val="none"/>
          <w:shd w:val="clear" w:color="auto" w:fill="ffffff"/>
        </w:rPr>
      </w:r>
      <w:r/>
    </w:p>
    <w:p>
      <w:pPr>
        <w:pStyle w:val="970"/>
        <w:ind w:left="0" w:right="0" w:firstLine="482"/>
        <w:rPr>
          <w:rFonts w:hint="default" w:ascii="宋体" w:hAnsi="宋体" w:eastAsia="宋体"/>
          <w:b/>
          <w:color w:val="auto"/>
          <w:sz w:val="24"/>
          <w:szCs w:val="24"/>
          <w:highlight w:val="none"/>
          <w:shd w:val="clear" w:color="auto" w:fill="ffffff"/>
        </w:rPr>
      </w:pPr>
      <w:r>
        <w:rPr>
          <w:rFonts w:hint="default" w:ascii="宋体" w:hAnsi="宋体" w:eastAsia="宋体"/>
          <w:b/>
          <w:color w:val="auto"/>
          <w:sz w:val="24"/>
          <w:szCs w:val="24"/>
          <w:highlight w:val="none"/>
          <w:shd w:val="clear" w:color="auto" w:fill="ffffff"/>
        </w:rPr>
      </w:r>
      <w:r/>
    </w:p>
    <w:p>
      <w:pPr>
        <w:pStyle w:val="970"/>
        <w:ind w:left="0" w:right="0" w:firstLine="482"/>
        <w:rPr>
          <w:rFonts w:hint="default" w:ascii="宋体" w:hAnsi="宋体" w:eastAsia="宋体"/>
          <w:b/>
          <w:color w:val="auto"/>
          <w:sz w:val="24"/>
          <w:szCs w:val="24"/>
          <w:highlight w:val="none"/>
          <w:shd w:val="clear" w:color="auto" w:fill="ffffff"/>
        </w:rPr>
      </w:pPr>
      <w:r>
        <w:rPr>
          <w:rFonts w:hint="default" w:ascii="宋体" w:hAnsi="宋体" w:eastAsia="宋体"/>
          <w:b/>
          <w:color w:val="auto"/>
          <w:sz w:val="24"/>
          <w:szCs w:val="24"/>
          <w:highlight w:val="none"/>
          <w:shd w:val="clear" w:color="auto" w:fill="ffffff"/>
        </w:rPr>
      </w:r>
      <w:r/>
    </w:p>
    <w:p>
      <w:pPr>
        <w:pStyle w:val="970"/>
        <w:ind w:left="0" w:right="0" w:firstLine="482"/>
        <w:rPr>
          <w:rFonts w:hint="default" w:ascii="宋体" w:hAnsi="宋体" w:eastAsia="宋体"/>
          <w:b/>
          <w:color w:val="auto"/>
          <w:sz w:val="24"/>
          <w:szCs w:val="24"/>
          <w:highlight w:val="none"/>
          <w:shd w:val="clear" w:color="auto" w:fill="ffffff"/>
        </w:rPr>
      </w:pPr>
      <w:r>
        <w:rPr>
          <w:rFonts w:hint="default" w:ascii="宋体" w:hAnsi="宋体" w:eastAsia="宋体"/>
          <w:b/>
          <w:color w:val="auto"/>
          <w:sz w:val="24"/>
          <w:szCs w:val="24"/>
          <w:highlight w:val="none"/>
          <w:shd w:val="clear" w:color="auto" w:fill="ffffff"/>
        </w:rPr>
      </w:r>
      <w:r/>
    </w:p>
    <w:p>
      <w:pPr>
        <w:pStyle w:val="970"/>
        <w:ind w:left="0" w:right="0" w:firstLine="482"/>
        <w:rPr>
          <w:rFonts w:hint="default" w:ascii="宋体" w:hAnsi="宋体" w:eastAsia="宋体"/>
          <w:b/>
          <w:color w:val="auto"/>
          <w:sz w:val="24"/>
          <w:szCs w:val="24"/>
          <w:highlight w:val="none"/>
          <w:shd w:val="clear" w:color="auto" w:fill="ffffff"/>
        </w:rPr>
      </w:pPr>
      <w:r>
        <w:rPr>
          <w:rFonts w:hint="default" w:ascii="宋体" w:hAnsi="宋体" w:eastAsia="宋体"/>
          <w:b/>
          <w:color w:val="auto"/>
          <w:sz w:val="24"/>
          <w:szCs w:val="24"/>
          <w:highlight w:val="none"/>
          <w:shd w:val="clear" w:color="auto" w:fill="ffffff"/>
        </w:rPr>
      </w:r>
      <w:r/>
    </w:p>
    <w:p>
      <w:pPr>
        <w:jc w:val="center"/>
        <w:keepLines/>
        <w:keepNext/>
        <w:spacing w:before="340" w:after="330" w:line="360" w:lineRule="auto"/>
        <w:rPr>
          <w:rFonts w:ascii="宋体" w:hAnsi="宋体" w:eastAsia="宋体" w:cs="Times New Roman"/>
          <w:b/>
          <w:color w:val="auto"/>
          <w:sz w:val="52"/>
          <w:szCs w:val="20"/>
          <w:highlight w:val="none"/>
          <w:shd w:val="clear" w:color="auto" w:fill="ffffff"/>
        </w:rPr>
        <w:outlineLvl w:val="0"/>
      </w:pPr>
      <w:r/>
      <w:bookmarkStart w:id="4" w:name="_Toc105940238"/>
      <w:r>
        <w:rPr>
          <w:rFonts w:hint="eastAsia" w:ascii="宋体" w:hAnsi="宋体" w:eastAsia="宋体" w:cs="Times New Roman"/>
          <w:b/>
          <w:color w:val="auto"/>
          <w:sz w:val="52"/>
          <w:szCs w:val="20"/>
          <w:highlight w:val="none"/>
          <w:shd w:val="clear" w:color="auto" w:fill="ffffff"/>
        </w:rPr>
        <w:t xml:space="preserve">第二章供应商须知</w:t>
      </w:r>
      <w:bookmarkEnd w:id="4"/>
      <w:r/>
      <w:r/>
    </w:p>
    <w:p>
      <w:pPr>
        <w:ind w:firstLine="480"/>
        <w:spacing w:line="360" w:lineRule="auto"/>
        <w:rPr>
          <w:rFonts w:ascii="宋体" w:hAnsi="宋体" w:eastAsia="宋体" w:cs="Times New Roman"/>
          <w:color w:val="auto"/>
          <w:sz w:val="24"/>
          <w:szCs w:val="20"/>
          <w:highlight w:val="none"/>
          <w:shd w:val="clear" w:color="auto" w:fill="ffffff"/>
        </w:rPr>
      </w:pPr>
      <w:r>
        <w:rPr>
          <w:rFonts w:ascii="宋体" w:hAnsi="宋体" w:eastAsia="宋体" w:cs="Times New Roman"/>
          <w:color w:val="auto"/>
          <w:sz w:val="24"/>
          <w:szCs w:val="20"/>
          <w:highlight w:val="none"/>
          <w:shd w:val="clear" w:color="auto" w:fill="ffffff"/>
        </w:rPr>
        <w:br w:type="page" w:clear="all"/>
      </w:r>
      <w:r/>
    </w:p>
    <w:p>
      <w:pPr>
        <w:ind w:firstLine="482"/>
        <w:spacing w:line="360" w:lineRule="auto"/>
        <w:rPr>
          <w:rFonts w:ascii="宋体" w:hAnsi="宋体" w:eastAsia="宋体" w:cs="Times New Roman"/>
          <w:b/>
          <w:bCs/>
          <w:color w:val="auto"/>
          <w:sz w:val="24"/>
          <w:szCs w:val="20"/>
          <w:highlight w:val="none"/>
          <w:shd w:val="clear" w:color="auto" w:fill="ffffff"/>
        </w:rPr>
        <w:outlineLvl w:val="1"/>
      </w:pPr>
      <w:r>
        <w:rPr>
          <w:rFonts w:hint="eastAsia" w:ascii="宋体" w:hAnsi="宋体" w:eastAsia="宋体" w:cs="Times New Roman"/>
          <w:b/>
          <w:bCs/>
          <w:color w:val="auto"/>
          <w:sz w:val="24"/>
          <w:szCs w:val="20"/>
          <w:highlight w:val="none"/>
          <w:shd w:val="clear" w:color="auto" w:fill="ffffff"/>
        </w:rPr>
        <w:t xml:space="preserve">一、说明和释义</w:t>
      </w:r>
      <w:r/>
    </w:p>
    <w:p>
      <w:pPr>
        <w:ind w:firstLine="482"/>
        <w:spacing w:line="360" w:lineRule="auto"/>
        <w:rPr>
          <w:rFonts w:ascii="宋体" w:hAnsi="宋体" w:eastAsia="宋体" w:cs="Times New Roman"/>
          <w:b/>
          <w:color w:val="auto"/>
          <w:sz w:val="24"/>
          <w:szCs w:val="24"/>
          <w:highlight w:val="none"/>
          <w:shd w:val="clear" w:color="auto" w:fill="ffffff"/>
        </w:rPr>
      </w:pPr>
      <w:r>
        <w:rPr>
          <w:rFonts w:ascii="宋体" w:hAnsi="宋体" w:eastAsia="宋体" w:cs="Times New Roman"/>
          <w:b/>
          <w:color w:val="auto"/>
          <w:sz w:val="24"/>
          <w:szCs w:val="24"/>
          <w:highlight w:val="none"/>
          <w:shd w:val="clear" w:color="auto" w:fill="ffffff"/>
        </w:rPr>
        <w:t xml:space="preserve">1.</w:t>
      </w:r>
      <w:r>
        <w:rPr>
          <w:rFonts w:hint="eastAsia" w:ascii="宋体" w:hAnsi="宋体" w:eastAsia="宋体" w:cs="Times New Roman"/>
          <w:b/>
          <w:color w:val="auto"/>
          <w:sz w:val="24"/>
          <w:szCs w:val="24"/>
          <w:highlight w:val="none"/>
          <w:shd w:val="clear" w:color="auto" w:fill="ffffff"/>
        </w:rPr>
        <w:t xml:space="preserve">说明</w:t>
      </w:r>
      <w:r/>
    </w:p>
    <w:p>
      <w:pPr>
        <w:ind w:firstLine="480"/>
        <w:spacing w:line="360" w:lineRule="auto"/>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t xml:space="preserve">1.1</w:t>
      </w:r>
      <w:r>
        <w:rPr>
          <w:rFonts w:hint="eastAsia" w:ascii="宋体" w:hAnsi="宋体" w:eastAsia="宋体" w:cs="Times New Roman"/>
          <w:color w:val="auto"/>
          <w:sz w:val="24"/>
          <w:szCs w:val="24"/>
          <w:highlight w:val="none"/>
          <w:shd w:val="clear" w:color="auto" w:fill="ffffff"/>
        </w:rPr>
        <w:t xml:space="preserve">本招标文件仅适用于本项目采购代理机构组织的招标活动。</w:t>
      </w:r>
      <w:r/>
    </w:p>
    <w:p>
      <w:pPr>
        <w:ind w:firstLine="480"/>
        <w:spacing w:line="360" w:lineRule="auto"/>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t xml:space="preserve">1.2</w:t>
      </w:r>
      <w:r>
        <w:rPr>
          <w:rFonts w:hint="eastAsia" w:ascii="宋体" w:hAnsi="宋体" w:eastAsia="宋体" w:cs="Times New Roman"/>
          <w:color w:val="auto"/>
          <w:sz w:val="24"/>
          <w:szCs w:val="24"/>
          <w:highlight w:val="none"/>
          <w:shd w:val="clear" w:color="auto" w:fill="ffffff"/>
        </w:rPr>
        <w:t xml:space="preserve">本次招标活动及因本次招标产生的合同受中国法律制约和保护。</w:t>
      </w:r>
      <w:r/>
    </w:p>
    <w:p>
      <w:pPr>
        <w:ind w:firstLine="480"/>
        <w:spacing w:line="360" w:lineRule="auto"/>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t xml:space="preserve">1.3</w:t>
      </w:r>
      <w:r>
        <w:rPr>
          <w:rFonts w:hint="eastAsia" w:ascii="宋体" w:hAnsi="宋体" w:eastAsia="宋体" w:cs="Times New Roman"/>
          <w:color w:val="auto"/>
          <w:sz w:val="24"/>
          <w:szCs w:val="24"/>
          <w:highlight w:val="none"/>
          <w:shd w:val="clear" w:color="auto" w:fill="ffffff"/>
        </w:rPr>
        <w:t xml:space="preserve">本招标文件的解释权属于本项目采购代理机构。</w:t>
      </w:r>
      <w:r/>
    </w:p>
    <w:p>
      <w:pPr>
        <w:ind w:firstLine="482"/>
        <w:spacing w:line="360" w:lineRule="auto"/>
        <w:rPr>
          <w:rFonts w:ascii="宋体" w:hAnsi="宋体" w:eastAsia="宋体" w:cs="Times New Roman"/>
          <w:b/>
          <w:color w:val="auto"/>
          <w:sz w:val="24"/>
          <w:szCs w:val="24"/>
          <w:highlight w:val="none"/>
          <w:shd w:val="clear" w:color="auto" w:fill="ffffff"/>
        </w:rPr>
      </w:pPr>
      <w:r>
        <w:rPr>
          <w:rFonts w:ascii="宋体" w:hAnsi="宋体" w:eastAsia="宋体" w:cs="Times New Roman"/>
          <w:b/>
          <w:color w:val="auto"/>
          <w:sz w:val="24"/>
          <w:szCs w:val="24"/>
          <w:highlight w:val="none"/>
          <w:shd w:val="clear" w:color="auto" w:fill="ffffff"/>
        </w:rPr>
        <w:t xml:space="preserve">2.</w:t>
      </w:r>
      <w:r>
        <w:rPr>
          <w:rFonts w:hint="eastAsia" w:ascii="宋体" w:hAnsi="宋体" w:eastAsia="宋体" w:cs="Times New Roman"/>
          <w:b/>
          <w:color w:val="auto"/>
          <w:sz w:val="24"/>
          <w:szCs w:val="24"/>
          <w:highlight w:val="none"/>
          <w:shd w:val="clear" w:color="auto" w:fill="ffffff"/>
        </w:rPr>
        <w:t xml:space="preserve">词语释义</w:t>
      </w:r>
      <w:r/>
    </w:p>
    <w:p>
      <w:pPr>
        <w:ind w:firstLine="480"/>
        <w:spacing w:line="360" w:lineRule="auto"/>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t xml:space="preserve">2.1</w:t>
      </w:r>
      <w:r>
        <w:rPr>
          <w:rFonts w:hint="eastAsia" w:ascii="宋体" w:hAnsi="宋体" w:eastAsia="宋体" w:cs="Times New Roman"/>
          <w:color w:val="auto"/>
          <w:sz w:val="24"/>
          <w:szCs w:val="24"/>
          <w:highlight w:val="none"/>
          <w:shd w:val="clear" w:color="auto" w:fill="ffffff"/>
        </w:rPr>
        <w:t xml:space="preserve">采购人：指依法进行政府采购的国家机关、事业单位、团体组织。</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2.2采购代理机构：指依法接受采购人委托，从事货物、工程和服务等政府采购代理业务的社会中介机构。本项目的采购代理机构为</w:t>
      </w:r>
      <w:r>
        <w:rPr>
          <w:rFonts w:hint="eastAsia" w:ascii="宋体" w:hAnsi="宋体" w:eastAsia="宋体" w:cs="Times New Roman"/>
          <w:color w:val="auto"/>
          <w:sz w:val="24"/>
          <w:szCs w:val="24"/>
          <w:highlight w:val="none"/>
          <w:u w:val="single"/>
          <w:shd w:val="clear" w:color="auto" w:fill="ffffff"/>
        </w:rPr>
        <w:t xml:space="preserve">苏州华星工程造价咨询有限公司</w:t>
      </w:r>
      <w:r>
        <w:rPr>
          <w:rFonts w:hint="eastAsia" w:ascii="宋体" w:hAnsi="宋体" w:eastAsia="宋体" w:cs="Times New Roman"/>
          <w:color w:val="auto"/>
          <w:sz w:val="24"/>
          <w:szCs w:val="24"/>
          <w:highlight w:val="none"/>
          <w:shd w:val="clear" w:color="auto" w:fill="ffffff"/>
        </w:rPr>
        <w:t xml:space="preserve">。</w:t>
      </w:r>
      <w:r/>
    </w:p>
    <w:p>
      <w:pPr>
        <w:ind w:firstLine="480"/>
        <w:spacing w:line="360" w:lineRule="auto"/>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t xml:space="preserve">2.</w:t>
      </w:r>
      <w:r>
        <w:rPr>
          <w:rFonts w:hint="eastAsia" w:ascii="宋体" w:hAnsi="宋体" w:eastAsia="宋体" w:cs="Times New Roman"/>
          <w:color w:val="auto"/>
          <w:sz w:val="24"/>
          <w:szCs w:val="24"/>
          <w:highlight w:val="none"/>
          <w:shd w:val="clear" w:color="auto" w:fill="ffffff"/>
        </w:rPr>
        <w:t xml:space="preserve">3供应商：</w:t>
      </w:r>
      <w:r>
        <w:rPr>
          <w:rFonts w:ascii="宋体" w:hAnsi="宋体" w:eastAsia="宋体" w:cs="Times New Roman"/>
          <w:color w:val="auto"/>
          <w:sz w:val="24"/>
          <w:szCs w:val="24"/>
          <w:highlight w:val="none"/>
          <w:shd w:val="clear" w:color="auto" w:fill="ffffff"/>
        </w:rPr>
        <w:t xml:space="preserve">指响应招标、参加投标竞争的法人、其他组织或者自然人。</w:t>
      </w:r>
      <w:r/>
    </w:p>
    <w:p>
      <w:pPr>
        <w:ind w:firstLine="480"/>
        <w:spacing w:line="360" w:lineRule="auto"/>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t xml:space="preserve">2.</w:t>
      </w:r>
      <w:r>
        <w:rPr>
          <w:rFonts w:hint="eastAsia" w:ascii="宋体" w:hAnsi="宋体" w:eastAsia="宋体" w:cs="Times New Roman"/>
          <w:color w:val="auto"/>
          <w:sz w:val="24"/>
          <w:szCs w:val="24"/>
          <w:highlight w:val="none"/>
          <w:shd w:val="clear" w:color="auto" w:fill="ffffff"/>
        </w:rPr>
        <w:t xml:space="preserve">4响应：供应商根据采购人或采购代理机构发布的招标文件，编制投标文件并按规定投标的行为。</w:t>
      </w:r>
      <w:r/>
    </w:p>
    <w:p>
      <w:pPr>
        <w:ind w:firstLine="480"/>
        <w:spacing w:line="360" w:lineRule="auto"/>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t xml:space="preserve">2.</w:t>
      </w:r>
      <w:r>
        <w:rPr>
          <w:rFonts w:hint="eastAsia" w:ascii="宋体" w:hAnsi="宋体" w:eastAsia="宋体" w:cs="Times New Roman"/>
          <w:color w:val="auto"/>
          <w:sz w:val="24"/>
          <w:szCs w:val="24"/>
          <w:highlight w:val="none"/>
          <w:shd w:val="clear" w:color="auto" w:fill="ffffff"/>
        </w:rPr>
        <w:t xml:space="preserve">5合同：采供双方根据招标文件和中标的投标文件及中标通知书规定的内容签署的以书面形式所达成的协议，包括所有的附件、附录和构成协议的所有文件。</w:t>
      </w:r>
      <w:r/>
    </w:p>
    <w:p>
      <w:pPr>
        <w:ind w:firstLine="480"/>
        <w:spacing w:line="360" w:lineRule="auto"/>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t xml:space="preserve">2.</w:t>
      </w:r>
      <w:r>
        <w:rPr>
          <w:rFonts w:hint="eastAsia" w:ascii="宋体" w:hAnsi="宋体" w:eastAsia="宋体" w:cs="Times New Roman"/>
          <w:color w:val="auto"/>
          <w:sz w:val="24"/>
          <w:szCs w:val="24"/>
          <w:highlight w:val="none"/>
          <w:shd w:val="clear" w:color="auto" w:fill="ffffff"/>
        </w:rPr>
        <w:t xml:space="preserve">6甲方（采购人）：合同中明确规定的实际购买货物和服务的法人或其他组织和自然人。</w:t>
      </w:r>
      <w:r/>
    </w:p>
    <w:p>
      <w:pPr>
        <w:ind w:firstLine="480"/>
        <w:spacing w:line="360" w:lineRule="auto"/>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t xml:space="preserve">2.</w:t>
      </w:r>
      <w:r>
        <w:rPr>
          <w:rFonts w:hint="eastAsia" w:ascii="宋体" w:hAnsi="宋体" w:eastAsia="宋体" w:cs="Times New Roman"/>
          <w:color w:val="auto"/>
          <w:sz w:val="24"/>
          <w:szCs w:val="24"/>
          <w:highlight w:val="none"/>
          <w:shd w:val="clear" w:color="auto" w:fill="ffffff"/>
        </w:rPr>
        <w:t xml:space="preserve">7乙方（供应商）：合同中规定的向采购人提供货物和服务的法人或其他组织和自然人。</w:t>
      </w:r>
      <w:r/>
    </w:p>
    <w:p>
      <w:pPr>
        <w:ind w:firstLine="480"/>
        <w:spacing w:line="360" w:lineRule="auto"/>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t xml:space="preserve">2.</w:t>
      </w:r>
      <w:r>
        <w:rPr>
          <w:rFonts w:hint="eastAsia" w:ascii="宋体" w:hAnsi="宋体" w:eastAsia="宋体" w:cs="Times New Roman"/>
          <w:color w:val="auto"/>
          <w:sz w:val="24"/>
          <w:szCs w:val="24"/>
          <w:highlight w:val="none"/>
          <w:shd w:val="clear" w:color="auto" w:fill="ffffff"/>
        </w:rPr>
        <w:t xml:space="preserve">8</w:t>
      </w:r>
      <w:r>
        <w:rPr>
          <w:rFonts w:ascii="宋体" w:hAnsi="宋体" w:eastAsia="宋体" w:cs="Times New Roman"/>
          <w:color w:val="auto"/>
          <w:sz w:val="24"/>
          <w:szCs w:val="24"/>
          <w:highlight w:val="none"/>
          <w:shd w:val="clear" w:color="auto" w:fill="ffffff"/>
        </w:rPr>
        <w:t xml:space="preserve">货物</w:t>
      </w:r>
      <w:r>
        <w:rPr>
          <w:rFonts w:hint="eastAsia" w:ascii="宋体" w:hAnsi="宋体" w:eastAsia="宋体" w:cs="Times New Roman"/>
          <w:color w:val="auto"/>
          <w:sz w:val="24"/>
          <w:szCs w:val="24"/>
          <w:highlight w:val="none"/>
          <w:shd w:val="clear" w:color="auto" w:fill="ffffff"/>
        </w:rPr>
        <w:t xml:space="preserve">：</w:t>
      </w:r>
      <w:r>
        <w:rPr>
          <w:rFonts w:ascii="宋体" w:hAnsi="宋体" w:eastAsia="宋体" w:cs="Times New Roman"/>
          <w:color w:val="auto"/>
          <w:sz w:val="24"/>
          <w:szCs w:val="24"/>
          <w:highlight w:val="none"/>
          <w:shd w:val="clear" w:color="auto" w:fill="ffffff"/>
        </w:rPr>
        <w:t xml:space="preserve">系指</w:t>
      </w:r>
      <w:r>
        <w:rPr>
          <w:rFonts w:hint="eastAsia" w:ascii="宋体" w:hAnsi="宋体" w:eastAsia="宋体" w:cs="Times New Roman"/>
          <w:color w:val="auto"/>
          <w:sz w:val="24"/>
          <w:szCs w:val="24"/>
          <w:highlight w:val="none"/>
          <w:shd w:val="clear" w:color="auto" w:fill="ffffff"/>
        </w:rPr>
        <w:t xml:space="preserve">乙</w:t>
      </w:r>
      <w:r>
        <w:rPr>
          <w:rFonts w:ascii="宋体" w:hAnsi="宋体" w:eastAsia="宋体" w:cs="Times New Roman"/>
          <w:color w:val="auto"/>
          <w:sz w:val="24"/>
          <w:szCs w:val="24"/>
          <w:highlight w:val="none"/>
          <w:shd w:val="clear" w:color="auto" w:fill="ffffff"/>
        </w:rPr>
        <w:t xml:space="preserve">方按招标文件规定，</w:t>
      </w:r>
      <w:r>
        <w:rPr>
          <w:rFonts w:hint="eastAsia" w:ascii="宋体" w:hAnsi="宋体" w:eastAsia="宋体" w:cs="Times New Roman"/>
          <w:color w:val="auto"/>
          <w:sz w:val="24"/>
          <w:szCs w:val="24"/>
          <w:highlight w:val="none"/>
          <w:shd w:val="clear" w:color="auto" w:fill="ffffff"/>
        </w:rPr>
        <w:t xml:space="preserve">应</w:t>
      </w:r>
      <w:r>
        <w:rPr>
          <w:rFonts w:ascii="宋体" w:hAnsi="宋体" w:eastAsia="宋体" w:cs="Times New Roman"/>
          <w:color w:val="auto"/>
          <w:sz w:val="24"/>
          <w:szCs w:val="24"/>
          <w:highlight w:val="none"/>
          <w:shd w:val="clear" w:color="auto" w:fill="ffffff"/>
        </w:rPr>
        <w:t xml:space="preserve">向</w:t>
      </w:r>
      <w:r>
        <w:rPr>
          <w:rFonts w:hint="eastAsia" w:ascii="宋体" w:hAnsi="宋体" w:eastAsia="宋体" w:cs="Times New Roman"/>
          <w:color w:val="auto"/>
          <w:sz w:val="24"/>
          <w:szCs w:val="24"/>
          <w:highlight w:val="none"/>
          <w:shd w:val="clear" w:color="auto" w:fill="ffffff"/>
        </w:rPr>
        <w:t xml:space="preserve">甲</w:t>
      </w:r>
      <w:r>
        <w:rPr>
          <w:rFonts w:ascii="宋体" w:hAnsi="宋体" w:eastAsia="宋体" w:cs="Times New Roman"/>
          <w:color w:val="auto"/>
          <w:sz w:val="24"/>
          <w:szCs w:val="24"/>
          <w:highlight w:val="none"/>
          <w:shd w:val="clear" w:color="auto" w:fill="ffffff"/>
        </w:rPr>
        <w:t xml:space="preserve">方提供的一切设备、备品、备件、工具、手册及其它有关技术资料和材料。</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2.9</w:t>
      </w:r>
      <w:r>
        <w:rPr>
          <w:rFonts w:ascii="宋体" w:hAnsi="宋体" w:eastAsia="宋体" w:cs="Times New Roman"/>
          <w:color w:val="auto"/>
          <w:sz w:val="24"/>
          <w:szCs w:val="24"/>
          <w:highlight w:val="none"/>
          <w:shd w:val="clear" w:color="auto" w:fill="ffffff"/>
        </w:rPr>
        <w:t xml:space="preserve">服务</w:t>
      </w:r>
      <w:r>
        <w:rPr>
          <w:rFonts w:hint="eastAsia" w:ascii="宋体" w:hAnsi="宋体" w:eastAsia="宋体" w:cs="Times New Roman"/>
          <w:color w:val="auto"/>
          <w:sz w:val="24"/>
          <w:szCs w:val="24"/>
          <w:highlight w:val="none"/>
          <w:shd w:val="clear" w:color="auto" w:fill="ffffff"/>
        </w:rPr>
        <w:t xml:space="preserve">：</w:t>
      </w:r>
      <w:r>
        <w:rPr>
          <w:rFonts w:ascii="宋体" w:hAnsi="宋体" w:eastAsia="宋体" w:cs="Times New Roman"/>
          <w:color w:val="auto"/>
          <w:sz w:val="24"/>
          <w:szCs w:val="24"/>
          <w:highlight w:val="none"/>
          <w:shd w:val="clear" w:color="auto" w:fill="ffffff"/>
        </w:rPr>
        <w:t xml:space="preserve">系指本次招标文件规定</w:t>
      </w:r>
      <w:r>
        <w:rPr>
          <w:rFonts w:hint="eastAsia" w:ascii="宋体" w:hAnsi="宋体" w:eastAsia="宋体" w:cs="Times New Roman"/>
          <w:color w:val="auto"/>
          <w:sz w:val="24"/>
          <w:szCs w:val="24"/>
          <w:highlight w:val="none"/>
          <w:shd w:val="clear" w:color="auto" w:fill="ffffff"/>
        </w:rPr>
        <w:t xml:space="preserve">乙</w:t>
      </w:r>
      <w:r>
        <w:rPr>
          <w:rFonts w:ascii="宋体" w:hAnsi="宋体" w:eastAsia="宋体" w:cs="Times New Roman"/>
          <w:color w:val="auto"/>
          <w:sz w:val="24"/>
          <w:szCs w:val="24"/>
          <w:highlight w:val="none"/>
          <w:shd w:val="clear" w:color="auto" w:fill="ffffff"/>
        </w:rPr>
        <w:t xml:space="preserve">方</w:t>
      </w:r>
      <w:r>
        <w:rPr>
          <w:rFonts w:hint="eastAsia" w:ascii="宋体" w:hAnsi="宋体" w:eastAsia="宋体" w:cs="Times New Roman"/>
          <w:color w:val="auto"/>
          <w:sz w:val="24"/>
          <w:szCs w:val="24"/>
          <w:highlight w:val="none"/>
          <w:shd w:val="clear" w:color="auto" w:fill="ffffff"/>
        </w:rPr>
        <w:t xml:space="preserve">应承担的与提供货物和服务有关的辅助服务，比如运输、保险、安装、调试、提供技术援助、培训、配合措施、维修响应及合同中规定乙方应承担的其它义务。</w:t>
      </w:r>
      <w:r/>
    </w:p>
    <w:p>
      <w:pPr>
        <w:ind w:firstLine="484"/>
        <w:spacing w:line="360" w:lineRule="auto"/>
        <w:tabs>
          <w:tab w:val="left" w:pos="540" w:leader="none"/>
        </w:tabs>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t xml:space="preserve">2.</w:t>
      </w:r>
      <w:r>
        <w:rPr>
          <w:rFonts w:hint="eastAsia" w:ascii="宋体" w:hAnsi="宋体" w:eastAsia="宋体" w:cs="Times New Roman"/>
          <w:color w:val="auto"/>
          <w:sz w:val="24"/>
          <w:szCs w:val="24"/>
          <w:highlight w:val="none"/>
          <w:shd w:val="clear" w:color="auto" w:fill="ffffff"/>
        </w:rPr>
        <w:t xml:space="preserve">10知识产权：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ind w:firstLine="480"/>
        <w:spacing w:line="360" w:lineRule="auto"/>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t xml:space="preserve">2.</w:t>
      </w:r>
      <w:r>
        <w:rPr>
          <w:rFonts w:hint="eastAsia" w:ascii="宋体" w:hAnsi="宋体" w:eastAsia="宋体" w:cs="Times New Roman"/>
          <w:color w:val="auto"/>
          <w:sz w:val="24"/>
          <w:szCs w:val="24"/>
          <w:highlight w:val="none"/>
          <w:shd w:val="clear" w:color="auto" w:fill="ffffff"/>
        </w:rPr>
        <w:t xml:space="preserve">11天：日历天。</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2.12时间：除特别说明，均指北京时间。</w:t>
      </w:r>
      <w:r/>
    </w:p>
    <w:p>
      <w:pPr>
        <w:ind w:firstLine="480"/>
        <w:spacing w:line="360" w:lineRule="auto"/>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t xml:space="preserve">2.1</w:t>
      </w:r>
      <w:r>
        <w:rPr>
          <w:rFonts w:hint="eastAsia" w:ascii="宋体" w:hAnsi="宋体" w:eastAsia="宋体" w:cs="Times New Roman"/>
          <w:color w:val="auto"/>
          <w:sz w:val="24"/>
          <w:szCs w:val="24"/>
          <w:highlight w:val="none"/>
          <w:shd w:val="clear" w:color="auto" w:fill="ffffff"/>
        </w:rPr>
        <w:t xml:space="preserve">3交货地点：合同中明确约定的乙方提交的货物和服务最终到达地点。</w:t>
      </w:r>
      <w:r/>
    </w:p>
    <w:p>
      <w:pPr>
        <w:ind w:firstLine="480"/>
        <w:spacing w:line="360" w:lineRule="auto"/>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t xml:space="preserve">2.1</w:t>
      </w:r>
      <w:r>
        <w:rPr>
          <w:rFonts w:hint="eastAsia" w:ascii="宋体" w:hAnsi="宋体" w:eastAsia="宋体" w:cs="Times New Roman"/>
          <w:color w:val="auto"/>
          <w:sz w:val="24"/>
          <w:szCs w:val="24"/>
          <w:highlight w:val="none"/>
          <w:shd w:val="clear" w:color="auto" w:fill="ffffff"/>
        </w:rPr>
        <w:t xml:space="preserve">4合同价款：根据合同规定，乙方在正确地履行合同义务后甲方应支付乙方的价款。</w:t>
      </w:r>
      <w:r/>
    </w:p>
    <w:p>
      <w:pPr>
        <w:ind w:firstLine="480"/>
        <w:spacing w:line="360" w:lineRule="auto"/>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t xml:space="preserve">2.1</w:t>
      </w:r>
      <w:r>
        <w:rPr>
          <w:rFonts w:hint="eastAsia" w:ascii="宋体" w:hAnsi="宋体" w:eastAsia="宋体" w:cs="Times New Roman"/>
          <w:color w:val="auto"/>
          <w:sz w:val="24"/>
          <w:szCs w:val="24"/>
          <w:highlight w:val="none"/>
          <w:shd w:val="clear" w:color="auto" w:fill="ffffff"/>
        </w:rPr>
        <w:t xml:space="preserve">5产地：货物开采、生长、生产、最终制造、加工或提供服务的来源地。</w:t>
      </w:r>
      <w:r/>
    </w:p>
    <w:p>
      <w:pPr>
        <w:ind w:firstLine="480"/>
        <w:spacing w:line="360" w:lineRule="auto"/>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t xml:space="preserve">2.1</w:t>
      </w:r>
      <w:r>
        <w:rPr>
          <w:rFonts w:hint="eastAsia" w:ascii="宋体" w:hAnsi="宋体" w:eastAsia="宋体" w:cs="Times New Roman"/>
          <w:color w:val="auto"/>
          <w:sz w:val="24"/>
          <w:szCs w:val="24"/>
          <w:highlight w:val="none"/>
          <w:shd w:val="clear" w:color="auto" w:fill="ffffff"/>
        </w:rPr>
        <w:t xml:space="preserve">6不可抗力：不能预见、不能避免并且不能克服的客观情况。</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2.17实质响应：满足</w:t>
      </w:r>
      <w:r>
        <w:rPr>
          <w:rFonts w:ascii="宋体" w:hAnsi="宋体" w:eastAsia="宋体" w:cs="Times New Roman"/>
          <w:color w:val="auto"/>
          <w:sz w:val="24"/>
          <w:szCs w:val="24"/>
          <w:highlight w:val="none"/>
          <w:shd w:val="clear" w:color="auto" w:fill="ffffff"/>
        </w:rPr>
        <w:t xml:space="preserve">有关</w:t>
      </w:r>
      <w:r>
        <w:rPr>
          <w:rFonts w:hint="eastAsia" w:ascii="宋体" w:hAnsi="宋体" w:eastAsia="宋体" w:cs="Times New Roman"/>
          <w:color w:val="auto"/>
          <w:sz w:val="24"/>
          <w:szCs w:val="24"/>
          <w:highlight w:val="none"/>
          <w:shd w:val="clear" w:color="auto" w:fill="ffffff"/>
        </w:rPr>
        <w:t xml:space="preserve">本次采购</w:t>
      </w:r>
      <w:r>
        <w:rPr>
          <w:rFonts w:ascii="宋体" w:hAnsi="宋体" w:eastAsia="宋体" w:cs="Times New Roman"/>
          <w:color w:val="auto"/>
          <w:sz w:val="24"/>
          <w:szCs w:val="24"/>
          <w:highlight w:val="none"/>
          <w:shd w:val="clear" w:color="auto" w:fill="ffffff"/>
        </w:rPr>
        <w:t xml:space="preserve">标的、数量、质量、价款或者报酬、履行期限、履行地点和方式、违约责任和解决争议方法等</w:t>
      </w:r>
      <w:r>
        <w:rPr>
          <w:rFonts w:hint="eastAsia" w:ascii="宋体" w:hAnsi="宋体" w:eastAsia="宋体" w:cs="Times New Roman"/>
          <w:color w:val="auto"/>
          <w:sz w:val="24"/>
          <w:szCs w:val="24"/>
          <w:highlight w:val="none"/>
          <w:shd w:val="clear" w:color="auto" w:fill="ffffff"/>
        </w:rPr>
        <w:t xml:space="preserve">要求。</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2.18进口产品：通过中国海关报关验放进入中国境内且产自关境外的产品。</w:t>
      </w:r>
      <w:r/>
    </w:p>
    <w:p>
      <w:pPr>
        <w:ind w:firstLine="480"/>
        <w:spacing w:line="360" w:lineRule="auto"/>
        <w:rPr>
          <w:rFonts w:hint="eastAsia"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2.19</w:t>
      </w:r>
      <w:r>
        <w:rPr>
          <w:rFonts w:ascii="宋体" w:hAnsi="宋体" w:eastAsia="宋体" w:cs="Times New Roman"/>
          <w:color w:val="auto"/>
          <w:sz w:val="24"/>
          <w:szCs w:val="24"/>
          <w:highlight w:val="none"/>
          <w:shd w:val="clear" w:color="auto" w:fill="ffffff"/>
        </w:rPr>
        <w:t xml:space="preserve">书面形式：指</w:t>
      </w:r>
      <w:r>
        <w:rPr>
          <w:rFonts w:hint="eastAsia" w:ascii="宋体" w:hAnsi="宋体" w:eastAsia="宋体" w:cs="Times New Roman"/>
          <w:color w:val="auto"/>
          <w:sz w:val="24"/>
          <w:szCs w:val="24"/>
          <w:highlight w:val="none"/>
          <w:shd w:val="clear" w:color="auto" w:fill="ffffff"/>
        </w:rPr>
        <w:t xml:space="preserve">合同书、信件、电报、电传、传真等可以有形地表现所载内容的形式。</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以电子数据交换、电子邮件等方式能够有形地表现所载内容,并可以随时调取查用的数据电文,视为书面形式。</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2.20核心产品：根据本项目技术构成、产品价格比重等合理确定的产品。</w:t>
      </w:r>
      <w:r/>
    </w:p>
    <w:p>
      <w:pPr>
        <w:ind w:firstLine="482"/>
        <w:spacing w:line="360" w:lineRule="auto"/>
        <w:rPr>
          <w:rFonts w:ascii="宋体" w:hAnsi="宋体" w:eastAsia="宋体" w:cs="Times New Roman"/>
          <w:b/>
          <w:bCs/>
          <w:color w:val="auto"/>
          <w:sz w:val="24"/>
          <w:szCs w:val="20"/>
          <w:highlight w:val="none"/>
          <w:shd w:val="clear" w:color="auto" w:fill="ffffff"/>
        </w:rPr>
        <w:outlineLvl w:val="1"/>
      </w:pPr>
      <w:r>
        <w:rPr>
          <w:rFonts w:hint="eastAsia" w:ascii="宋体" w:hAnsi="宋体" w:eastAsia="宋体" w:cs="Times New Roman"/>
          <w:b/>
          <w:bCs/>
          <w:color w:val="auto"/>
          <w:sz w:val="24"/>
          <w:szCs w:val="20"/>
          <w:highlight w:val="none"/>
          <w:shd w:val="clear" w:color="auto" w:fill="ffffff"/>
        </w:rPr>
        <w:t xml:space="preserve">二、供应商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3、供应商资格要求</w:t>
      </w:r>
      <w:r/>
    </w:p>
    <w:p>
      <w:pPr>
        <w:pStyle w:val="1011"/>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rPr>
        <w:t xml:space="preserve">3.1 详见本项目招标公告中的“</w:t>
      </w:r>
      <w:r>
        <w:rPr>
          <w:rFonts w:hint="eastAsia" w:ascii="宋体" w:hAnsi="宋体" w:cs="宋体"/>
          <w:color w:val="auto"/>
          <w:sz w:val="24"/>
          <w:szCs w:val="24"/>
          <w:highlight w:val="none"/>
        </w:rPr>
        <w:t xml:space="preserve">申请人的资格要求</w:t>
      </w:r>
      <w:r>
        <w:rPr>
          <w:rFonts w:hint="eastAsia" w:ascii="宋体" w:hAnsi="宋体" w:cs="宋体"/>
          <w:color w:val="auto"/>
          <w:sz w:val="24"/>
          <w:szCs w:val="24"/>
          <w:highlight w:val="none"/>
          <w:lang w:val="en-US"/>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联合体投标（如有）</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本项目招标公告中若规定接受联合体投标的，联合体除应符合上述资格要求外，还应遵守以下规定：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联合体各成员之间应签订《联合体协议书》（详见第三章统一格式）。供应商的投标文件及中标后签署的合同书，对联合体的每一成员均有法律约束力。联合体各成员之间签订的联合体协议书应与投标文件一起递交。</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（2）本项目接受联合投标，但一个联合体最多接受</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个</w:t>
      </w:r>
      <w:r>
        <w:rPr>
          <w:rFonts w:hint="eastAsia" w:ascii="宋体" w:hAnsi="宋体" w:eastAsia="宋体" w:cs="宋体"/>
          <w:color w:val="auto"/>
          <w:sz w:val="24"/>
          <w:szCs w:val="24"/>
          <w:highlight w:val="none"/>
        </w:rPr>
        <w:t xml:space="preserve">单位进行联合投标。</w:t>
      </w:r>
      <w:r/>
    </w:p>
    <w:p>
      <w:pPr>
        <w:ind w:firstLine="480"/>
        <w:spacing w:line="360" w:lineRule="auto"/>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（3）关于联合体相关未尽事宜应按《政府采购促进中小企业发展管理办法》财库【2020】46号文、《苏州市政府采购促进中小企业发展实施意见》苏财购【2022】16号文以及其它相关法律、法规之规定解释。</w:t>
      </w:r>
      <w:r/>
    </w:p>
    <w:p>
      <w:pPr>
        <w:ind w:firstLine="482"/>
        <w:spacing w:line="360" w:lineRule="auto"/>
        <w:rPr>
          <w:rFonts w:ascii="宋体" w:hAnsi="宋体" w:eastAsia="宋体" w:cs="Times New Roman"/>
          <w:b/>
          <w:color w:val="auto"/>
          <w:sz w:val="24"/>
          <w:szCs w:val="24"/>
          <w:highlight w:val="none"/>
          <w:shd w:val="clear" w:color="auto" w:fill="ffffff"/>
        </w:rPr>
      </w:pPr>
      <w:r>
        <w:rPr>
          <w:rFonts w:hint="eastAsia" w:ascii="宋体" w:hAnsi="宋体" w:eastAsia="宋体" w:cs="Times New Roman"/>
          <w:b/>
          <w:color w:val="auto"/>
          <w:sz w:val="24"/>
          <w:szCs w:val="24"/>
          <w:highlight w:val="none"/>
          <w:shd w:val="clear" w:color="auto" w:fill="ffffff"/>
        </w:rPr>
        <w:t xml:space="preserve">4</w:t>
      </w:r>
      <w:r>
        <w:rPr>
          <w:rFonts w:ascii="宋体" w:hAnsi="宋体" w:eastAsia="宋体" w:cs="Times New Roman"/>
          <w:b/>
          <w:color w:val="auto"/>
          <w:sz w:val="24"/>
          <w:szCs w:val="24"/>
          <w:highlight w:val="none"/>
          <w:shd w:val="clear" w:color="auto" w:fill="ffffff"/>
        </w:rPr>
        <w:t xml:space="preserve">.</w:t>
      </w:r>
      <w:r>
        <w:rPr>
          <w:rFonts w:hint="eastAsia" w:ascii="宋体" w:hAnsi="宋体" w:eastAsia="宋体" w:cs="Times New Roman"/>
          <w:b/>
          <w:color w:val="auto"/>
          <w:sz w:val="24"/>
          <w:szCs w:val="24"/>
          <w:highlight w:val="none"/>
          <w:shd w:val="clear" w:color="auto" w:fill="ffffff"/>
        </w:rPr>
        <w:t xml:space="preserve">供应商代表</w:t>
      </w:r>
      <w:r/>
    </w:p>
    <w:p>
      <w:pPr>
        <w:ind w:firstLine="480"/>
        <w:spacing w:line="360" w:lineRule="auto"/>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t xml:space="preserve">指全权代表</w:t>
      </w:r>
      <w:r>
        <w:rPr>
          <w:rFonts w:hint="eastAsia" w:ascii="宋体" w:hAnsi="宋体" w:eastAsia="宋体" w:cs="Times New Roman"/>
          <w:color w:val="auto"/>
          <w:sz w:val="24"/>
          <w:szCs w:val="24"/>
          <w:highlight w:val="none"/>
          <w:shd w:val="clear" w:color="auto" w:fill="ffffff"/>
        </w:rPr>
        <w:t xml:space="preserve">供应商</w:t>
      </w:r>
      <w:r>
        <w:rPr>
          <w:rFonts w:ascii="宋体" w:hAnsi="宋体" w:eastAsia="宋体" w:cs="Times New Roman"/>
          <w:color w:val="auto"/>
          <w:sz w:val="24"/>
          <w:szCs w:val="24"/>
          <w:highlight w:val="none"/>
          <w:shd w:val="clear" w:color="auto" w:fill="ffffff"/>
        </w:rPr>
        <w:t xml:space="preserve">参加投标活动并签署投标文件的人，如果</w:t>
      </w:r>
      <w:r>
        <w:rPr>
          <w:rFonts w:hint="eastAsia" w:ascii="宋体" w:hAnsi="宋体" w:eastAsia="宋体" w:cs="Times New Roman"/>
          <w:color w:val="auto"/>
          <w:sz w:val="24"/>
          <w:szCs w:val="24"/>
          <w:highlight w:val="none"/>
          <w:shd w:val="clear" w:color="auto" w:fill="ffffff"/>
        </w:rPr>
        <w:t xml:space="preserve">供应商</w:t>
      </w:r>
      <w:r>
        <w:rPr>
          <w:rFonts w:ascii="宋体" w:hAnsi="宋体" w:eastAsia="宋体" w:cs="Times New Roman"/>
          <w:color w:val="auto"/>
          <w:sz w:val="24"/>
          <w:szCs w:val="24"/>
          <w:highlight w:val="none"/>
          <w:shd w:val="clear" w:color="auto" w:fill="ffffff"/>
        </w:rPr>
        <w:t xml:space="preserve">代表不是法人代表，须持有《</w:t>
      </w:r>
      <w:r>
        <w:rPr>
          <w:rFonts w:hint="eastAsia" w:ascii="宋体" w:hAnsi="宋体" w:eastAsia="宋体" w:cs="Times New Roman"/>
          <w:color w:val="auto"/>
          <w:sz w:val="24"/>
          <w:szCs w:val="24"/>
          <w:highlight w:val="none"/>
          <w:shd w:val="clear" w:color="auto" w:fill="ffffff"/>
        </w:rPr>
        <w:t xml:space="preserve">法定代表人授权委托书</w:t>
      </w:r>
      <w:r>
        <w:rPr>
          <w:rFonts w:ascii="宋体" w:hAnsi="宋体" w:eastAsia="宋体" w:cs="Times New Roman"/>
          <w:color w:val="auto"/>
          <w:sz w:val="24"/>
          <w:szCs w:val="24"/>
          <w:highlight w:val="none"/>
          <w:shd w:val="clear" w:color="auto" w:fill="ffffff"/>
        </w:rPr>
        <w:t xml:space="preserve">》（详见统一格式）</w:t>
      </w:r>
      <w:r>
        <w:rPr>
          <w:rFonts w:hint="eastAsia" w:ascii="宋体" w:hAnsi="宋体" w:eastAsia="宋体" w:cs="Times New Roman"/>
          <w:color w:val="auto"/>
          <w:sz w:val="24"/>
          <w:szCs w:val="24"/>
          <w:highlight w:val="none"/>
          <w:shd w:val="clear" w:color="auto" w:fill="ffffff"/>
        </w:rPr>
        <w:t xml:space="preserve">。</w:t>
      </w:r>
      <w:r/>
    </w:p>
    <w:p>
      <w:pPr>
        <w:ind w:firstLine="482"/>
        <w:spacing w:line="360" w:lineRule="auto"/>
        <w:rPr>
          <w:rFonts w:ascii="宋体" w:hAnsi="宋体" w:eastAsia="宋体" w:cs="Times New Roman"/>
          <w:b/>
          <w:color w:val="auto"/>
          <w:sz w:val="24"/>
          <w:szCs w:val="24"/>
          <w:highlight w:val="none"/>
          <w:shd w:val="clear" w:color="auto" w:fill="ffffff"/>
        </w:rPr>
      </w:pPr>
      <w:r>
        <w:rPr>
          <w:rFonts w:hint="eastAsia" w:ascii="宋体" w:hAnsi="宋体" w:eastAsia="宋体" w:cs="Times New Roman"/>
          <w:b/>
          <w:color w:val="auto"/>
          <w:sz w:val="24"/>
          <w:szCs w:val="24"/>
          <w:highlight w:val="none"/>
          <w:shd w:val="clear" w:color="auto" w:fill="ffffff"/>
        </w:rPr>
        <w:t xml:space="preserve">5.投标费用</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5.1无论投标过程中的做法和结果如何，供应商自行承担所有与参加投标有关的全部费用。</w:t>
      </w:r>
      <w:r/>
    </w:p>
    <w:p>
      <w:pPr>
        <w:ind w:firstLine="482"/>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b/>
          <w:color w:val="auto"/>
          <w:sz w:val="24"/>
          <w:szCs w:val="24"/>
          <w:highlight w:val="none"/>
          <w:shd w:val="clear" w:color="auto" w:fill="ffffff"/>
        </w:rPr>
        <w:t xml:space="preserve">6</w:t>
      </w:r>
      <w:r>
        <w:rPr>
          <w:rFonts w:ascii="宋体" w:hAnsi="宋体" w:eastAsia="宋体" w:cs="Times New Roman"/>
          <w:b/>
          <w:color w:val="auto"/>
          <w:sz w:val="24"/>
          <w:szCs w:val="24"/>
          <w:highlight w:val="none"/>
          <w:shd w:val="clear" w:color="auto" w:fill="ffffff"/>
        </w:rPr>
        <w:t xml:space="preserve">.</w:t>
      </w:r>
      <w:r>
        <w:rPr>
          <w:rFonts w:hint="eastAsia" w:ascii="宋体" w:hAnsi="宋体" w:eastAsia="宋体" w:cs="Times New Roman"/>
          <w:b/>
          <w:color w:val="auto"/>
          <w:sz w:val="24"/>
          <w:szCs w:val="24"/>
          <w:highlight w:val="none"/>
          <w:shd w:val="clear" w:color="auto" w:fill="ffffff"/>
        </w:rPr>
        <w:t xml:space="preserve">联合投标</w:t>
      </w:r>
      <w:r/>
    </w:p>
    <w:p>
      <w:pPr>
        <w:ind w:firstLine="480"/>
        <w:spacing w:line="360" w:lineRule="auto"/>
        <w:rPr>
          <w:rFonts w:ascii="宋体" w:hAnsi="宋体" w:eastAsia="宋体" w:cs="Times New Roman"/>
          <w:b/>
          <w:bCs/>
          <w:color w:val="auto"/>
          <w:sz w:val="24"/>
          <w:szCs w:val="24"/>
          <w:highlight w:val="none"/>
        </w:rPr>
      </w:pPr>
      <w:r>
        <w:rPr>
          <w:rFonts w:hint="eastAsia" w:ascii="宋体" w:hAnsi="宋体"/>
          <w:color w:val="auto"/>
          <w:sz w:val="24"/>
          <w:szCs w:val="20"/>
          <w:highlight w:val="none"/>
        </w:rPr>
        <w:t xml:space="preserve">本项目不接受联合体投标。</w:t>
      </w:r>
      <w:r/>
    </w:p>
    <w:p>
      <w:pPr>
        <w:ind w:firstLine="482"/>
        <w:spacing w:line="360" w:lineRule="auto"/>
        <w:rPr>
          <w:rFonts w:ascii="宋体" w:hAnsi="宋体" w:eastAsia="宋体" w:cs="Times New Roman"/>
          <w:b/>
          <w:bCs/>
          <w:color w:val="auto"/>
          <w:sz w:val="24"/>
          <w:szCs w:val="20"/>
          <w:highlight w:val="none"/>
          <w:shd w:val="clear" w:color="auto" w:fill="ffffff"/>
        </w:rPr>
        <w:outlineLvl w:val="1"/>
      </w:pPr>
      <w:r>
        <w:rPr>
          <w:rFonts w:hint="eastAsia" w:ascii="宋体" w:hAnsi="宋体" w:eastAsia="宋体" w:cs="Times New Roman"/>
          <w:b/>
          <w:bCs/>
          <w:color w:val="auto"/>
          <w:sz w:val="24"/>
          <w:szCs w:val="20"/>
          <w:highlight w:val="none"/>
          <w:shd w:val="clear" w:color="auto" w:fill="ffffff"/>
        </w:rPr>
        <w:t xml:space="preserve">三、招标文件和投标文件的说明</w:t>
      </w:r>
      <w:r/>
    </w:p>
    <w:p>
      <w:pPr>
        <w:ind w:firstLine="482"/>
        <w:spacing w:line="360" w:lineRule="auto"/>
        <w:rPr>
          <w:rFonts w:ascii="宋体" w:hAnsi="宋体" w:eastAsia="宋体" w:cs="Times New Roman"/>
          <w:b/>
          <w:color w:val="auto"/>
          <w:sz w:val="24"/>
          <w:szCs w:val="24"/>
          <w:highlight w:val="none"/>
          <w:shd w:val="clear" w:color="auto" w:fill="ffffff"/>
        </w:rPr>
      </w:pPr>
      <w:r>
        <w:rPr>
          <w:rFonts w:hint="eastAsia" w:ascii="宋体" w:hAnsi="宋体" w:eastAsia="宋体" w:cs="Times New Roman"/>
          <w:b/>
          <w:color w:val="auto"/>
          <w:sz w:val="24"/>
          <w:szCs w:val="24"/>
          <w:highlight w:val="none"/>
          <w:shd w:val="clear" w:color="auto" w:fill="ffffff"/>
        </w:rPr>
        <w:t xml:space="preserve">7.招标文件</w:t>
      </w:r>
      <w:r/>
    </w:p>
    <w:p>
      <w:pPr>
        <w:ind w:firstLine="480"/>
        <w:spacing w:line="360" w:lineRule="auto"/>
        <w:rPr>
          <w:rFonts w:ascii="宋体" w:hAnsi="宋体" w:eastAsia="宋体" w:cs="Times New Roman"/>
          <w:b/>
          <w:color w:val="auto"/>
          <w:sz w:val="24"/>
          <w:szCs w:val="24"/>
          <w:highlight w:val="none"/>
        </w:rPr>
      </w:pPr>
      <w:r>
        <w:rPr>
          <w:rFonts w:hint="eastAsia" w:ascii="宋体" w:hAnsi="宋体" w:eastAsia="宋体" w:cs="Times New Roman"/>
          <w:color w:val="auto"/>
          <w:sz w:val="24"/>
          <w:szCs w:val="24"/>
          <w:highlight w:val="none"/>
        </w:rPr>
        <w:t xml:space="preserve">7.1招标文件由招标文件总目录所列内容组成，供应商获取</w:t>
      </w:r>
      <w:r>
        <w:rPr>
          <w:rFonts w:ascii="宋体" w:hAnsi="宋体" w:eastAsia="宋体" w:cs="Times New Roman"/>
          <w:color w:val="auto"/>
          <w:sz w:val="24"/>
          <w:szCs w:val="24"/>
          <w:highlight w:val="none"/>
        </w:rPr>
        <w:t xml:space="preserve">招标文件后，应仔细检查招标文件的所有内容，如有残缺等问题应在</w:t>
      </w:r>
      <w:r>
        <w:rPr>
          <w:rFonts w:hint="eastAsia" w:ascii="宋体" w:hAnsi="宋体" w:eastAsia="宋体" w:cs="Times New Roman"/>
          <w:color w:val="auto"/>
          <w:sz w:val="24"/>
          <w:szCs w:val="24"/>
          <w:highlight w:val="none"/>
        </w:rPr>
        <w:t xml:space="preserve">获取</w:t>
      </w:r>
      <w:r>
        <w:rPr>
          <w:rFonts w:ascii="宋体" w:hAnsi="宋体" w:eastAsia="宋体" w:cs="Times New Roman"/>
          <w:color w:val="auto"/>
          <w:sz w:val="24"/>
          <w:szCs w:val="24"/>
          <w:highlight w:val="none"/>
        </w:rPr>
        <w:t xml:space="preserve">招标文件</w:t>
      </w:r>
      <w:r>
        <w:rPr>
          <w:rFonts w:hint="eastAsia" w:ascii="宋体" w:hAnsi="宋体" w:eastAsia="宋体" w:cs="Times New Roman"/>
          <w:color w:val="auto"/>
          <w:sz w:val="24"/>
          <w:szCs w:val="24"/>
          <w:highlight w:val="none"/>
        </w:rPr>
        <w:t xml:space="preserve">后及时</w:t>
      </w:r>
      <w:r>
        <w:rPr>
          <w:rFonts w:ascii="宋体" w:hAnsi="宋体" w:eastAsia="宋体" w:cs="Times New Roman"/>
          <w:color w:val="auto"/>
          <w:sz w:val="24"/>
          <w:szCs w:val="24"/>
          <w:highlight w:val="none"/>
        </w:rPr>
        <w:t xml:space="preserve">向</w:t>
      </w:r>
      <w:r>
        <w:rPr>
          <w:rFonts w:hint="eastAsia" w:ascii="宋体" w:hAnsi="宋体" w:eastAsia="宋体" w:cs="Times New Roman"/>
          <w:color w:val="auto"/>
          <w:sz w:val="24"/>
          <w:szCs w:val="24"/>
          <w:highlight w:val="none"/>
        </w:rPr>
        <w:t xml:space="preserve">采购代理机构</w:t>
      </w:r>
      <w:r>
        <w:rPr>
          <w:rFonts w:ascii="宋体" w:hAnsi="宋体" w:eastAsia="宋体" w:cs="Times New Roman"/>
          <w:color w:val="auto"/>
          <w:sz w:val="24"/>
          <w:szCs w:val="24"/>
          <w:highlight w:val="none"/>
        </w:rPr>
        <w:t xml:space="preserve">提出，否则，由此</w:t>
      </w:r>
      <w:r>
        <w:rPr>
          <w:rFonts w:hint="eastAsia" w:ascii="宋体" w:hAnsi="宋体" w:eastAsia="宋体" w:cs="Times New Roman"/>
          <w:color w:val="auto"/>
          <w:sz w:val="24"/>
          <w:szCs w:val="24"/>
          <w:highlight w:val="none"/>
        </w:rPr>
        <w:t xml:space="preserve">产生</w:t>
      </w:r>
      <w:r>
        <w:rPr>
          <w:rFonts w:ascii="宋体" w:hAnsi="宋体" w:eastAsia="宋体" w:cs="Times New Roman"/>
          <w:color w:val="auto"/>
          <w:sz w:val="24"/>
          <w:szCs w:val="24"/>
          <w:highlight w:val="none"/>
        </w:rPr>
        <w:t xml:space="preserve">的</w:t>
      </w:r>
      <w:r>
        <w:rPr>
          <w:rFonts w:hint="eastAsia" w:ascii="宋体" w:hAnsi="宋体" w:eastAsia="宋体" w:cs="Times New Roman"/>
          <w:color w:val="auto"/>
          <w:sz w:val="24"/>
          <w:szCs w:val="24"/>
          <w:highlight w:val="none"/>
        </w:rPr>
        <w:t xml:space="preserve">影响</w:t>
      </w:r>
      <w:r>
        <w:rPr>
          <w:rFonts w:ascii="宋体" w:hAnsi="宋体" w:eastAsia="宋体" w:cs="Times New Roman"/>
          <w:color w:val="auto"/>
          <w:sz w:val="24"/>
          <w:szCs w:val="24"/>
          <w:highlight w:val="none"/>
        </w:rPr>
        <w:t xml:space="preserve">由</w:t>
      </w:r>
      <w:r>
        <w:rPr>
          <w:rFonts w:hint="eastAsia" w:ascii="宋体" w:hAnsi="宋体" w:eastAsia="宋体" w:cs="Times New Roman"/>
          <w:color w:val="auto"/>
          <w:sz w:val="24"/>
          <w:szCs w:val="24"/>
          <w:highlight w:val="none"/>
        </w:rPr>
        <w:t xml:space="preserve">供应商</w:t>
      </w:r>
      <w:r>
        <w:rPr>
          <w:rFonts w:ascii="宋体" w:hAnsi="宋体" w:eastAsia="宋体" w:cs="Times New Roman"/>
          <w:color w:val="auto"/>
          <w:sz w:val="24"/>
          <w:szCs w:val="24"/>
          <w:highlight w:val="none"/>
        </w:rPr>
        <w:t xml:space="preserve">自己承担。</w:t>
      </w:r>
      <w:r>
        <w:rPr>
          <w:rFonts w:hint="eastAsia" w:ascii="宋体" w:hAnsi="宋体" w:eastAsia="宋体" w:cs="Times New Roman"/>
          <w:color w:val="auto"/>
          <w:sz w:val="24"/>
          <w:szCs w:val="24"/>
          <w:highlight w:val="none"/>
        </w:rPr>
        <w:t xml:space="preserve">供应商</w:t>
      </w:r>
      <w:r>
        <w:rPr>
          <w:rFonts w:ascii="宋体" w:hAnsi="宋体" w:eastAsia="宋体" w:cs="Times New Roman"/>
          <w:color w:val="auto"/>
          <w:sz w:val="24"/>
          <w:szCs w:val="24"/>
          <w:highlight w:val="none"/>
        </w:rPr>
        <w:t xml:space="preserve">同时应认真审阅招标文件中所有的事项、格式、条款和规范要求等，若</w:t>
      </w:r>
      <w:r>
        <w:rPr>
          <w:rFonts w:hint="eastAsia" w:ascii="宋体" w:hAnsi="宋体" w:eastAsia="宋体" w:cs="Times New Roman"/>
          <w:color w:val="auto"/>
          <w:sz w:val="24"/>
          <w:szCs w:val="24"/>
          <w:highlight w:val="none"/>
        </w:rPr>
        <w:t xml:space="preserve">供应商</w:t>
      </w:r>
      <w:r>
        <w:rPr>
          <w:rFonts w:ascii="宋体" w:hAnsi="宋体" w:eastAsia="宋体" w:cs="Times New Roman"/>
          <w:color w:val="auto"/>
          <w:sz w:val="24"/>
          <w:szCs w:val="24"/>
          <w:highlight w:val="none"/>
        </w:rPr>
        <w:t xml:space="preserve">的投标文件没有按招标文件要求提交全部资料，或投标文件没有对招标文件做出实质性响应，其风险由</w:t>
      </w:r>
      <w:r>
        <w:rPr>
          <w:rFonts w:hint="eastAsia" w:ascii="宋体" w:hAnsi="宋体" w:eastAsia="宋体" w:cs="Times New Roman"/>
          <w:color w:val="auto"/>
          <w:sz w:val="24"/>
          <w:szCs w:val="24"/>
          <w:highlight w:val="none"/>
        </w:rPr>
        <w:t xml:space="preserve">供应商</w:t>
      </w:r>
      <w:r>
        <w:rPr>
          <w:rFonts w:ascii="宋体" w:hAnsi="宋体" w:eastAsia="宋体" w:cs="Times New Roman"/>
          <w:color w:val="auto"/>
          <w:sz w:val="24"/>
          <w:szCs w:val="24"/>
          <w:highlight w:val="none"/>
        </w:rPr>
        <w:t xml:space="preserve">自行承担，并根据有关条款规定，</w:t>
      </w:r>
      <w:r>
        <w:rPr>
          <w:rFonts w:ascii="宋体" w:hAnsi="宋体" w:eastAsia="宋体" w:cs="Times New Roman"/>
          <w:b/>
          <w:color w:val="auto"/>
          <w:sz w:val="24"/>
          <w:szCs w:val="24"/>
          <w:highlight w:val="none"/>
        </w:rPr>
        <w:t xml:space="preserve">该</w:t>
      </w:r>
      <w:r>
        <w:rPr>
          <w:rFonts w:hint="eastAsia" w:ascii="宋体" w:hAnsi="宋体" w:eastAsia="宋体" w:cs="Times New Roman"/>
          <w:b/>
          <w:color w:val="auto"/>
          <w:sz w:val="24"/>
          <w:szCs w:val="24"/>
          <w:highlight w:val="none"/>
        </w:rPr>
        <w:t xml:space="preserve">电子投标文件将被视为未实质性响应</w:t>
      </w:r>
      <w:r>
        <w:rPr>
          <w:rFonts w:ascii="宋体" w:hAnsi="宋体" w:eastAsia="宋体" w:cs="Times New Roman"/>
          <w:b/>
          <w:color w:val="auto"/>
          <w:sz w:val="24"/>
          <w:szCs w:val="24"/>
          <w:highlight w:val="none"/>
        </w:rPr>
        <w:t xml:space="preserve">。</w:t>
      </w:r>
      <w:r/>
    </w:p>
    <w:p>
      <w:pPr>
        <w:ind w:firstLine="480"/>
        <w:jc w:val="left"/>
        <w:spacing w:line="360" w:lineRule="auto"/>
        <w:rPr>
          <w:rFonts w:ascii="宋体" w:hAnsi="宋体" w:eastAsia="宋体" w:cs="Times New Roman"/>
          <w:color w:val="auto"/>
          <w:sz w:val="24"/>
          <w:szCs w:val="20"/>
          <w:highlight w:val="none"/>
        </w:rPr>
      </w:pPr>
      <w:r>
        <w:rPr>
          <w:rFonts w:hint="eastAsia" w:ascii="宋体" w:hAnsi="宋体" w:eastAsia="宋体" w:cs="Times New Roman"/>
          <w:color w:val="auto"/>
          <w:sz w:val="24"/>
          <w:szCs w:val="24"/>
          <w:highlight w:val="none"/>
        </w:rPr>
        <w:t xml:space="preserve">7.2招标文件及其补充文件为未按规定的方式获得的，采购代理机构对招标文件及其补遗的真实性、完整性不承担任何责任。</w:t>
      </w:r>
      <w:r/>
    </w:p>
    <w:p>
      <w:pPr>
        <w:ind w:left="485"/>
        <w:spacing w:line="360" w:lineRule="auto"/>
        <w:tabs>
          <w:tab w:val="left" w:pos="0" w:leader="none"/>
          <w:tab w:val="left" w:pos="600" w:leader="none"/>
        </w:tabs>
        <w:rPr>
          <w:rFonts w:ascii="宋体" w:hAnsi="宋体" w:eastAsia="宋体" w:cs="Times New Roman"/>
          <w:b/>
          <w:color w:val="auto"/>
          <w:sz w:val="24"/>
          <w:szCs w:val="24"/>
          <w:highlight w:val="none"/>
          <w:shd w:val="clear" w:color="auto" w:fill="ffffff"/>
        </w:rPr>
      </w:pPr>
      <w:r>
        <w:rPr>
          <w:rFonts w:hint="eastAsia" w:ascii="宋体" w:hAnsi="宋体" w:eastAsia="宋体" w:cs="Times New Roman"/>
          <w:b/>
          <w:color w:val="auto"/>
          <w:sz w:val="24"/>
          <w:szCs w:val="24"/>
          <w:highlight w:val="none"/>
          <w:shd w:val="clear" w:color="auto" w:fill="ffffff"/>
        </w:rPr>
        <w:t xml:space="preserve">8.招标文件的询问</w:t>
      </w:r>
      <w:r/>
    </w:p>
    <w:p>
      <w:pPr>
        <w:ind w:firstLine="484"/>
        <w:spacing w:line="360" w:lineRule="auto"/>
        <w:tabs>
          <w:tab w:val="left" w:pos="0" w:leader="none"/>
        </w:tabs>
        <w:rPr>
          <w:color w:val="auto"/>
          <w:highlight w:val="none"/>
        </w:rPr>
      </w:pPr>
      <w:r>
        <w:rPr>
          <w:rFonts w:hint="eastAsia" w:ascii="宋体" w:hAnsi="宋体" w:eastAsia="宋体" w:cs="Times New Roman"/>
          <w:color w:val="auto"/>
          <w:sz w:val="24"/>
          <w:szCs w:val="24"/>
          <w:highlight w:val="none"/>
          <w:shd w:val="clear" w:color="auto" w:fill="ffffff"/>
        </w:rPr>
        <w:t xml:space="preserve">供应商在收到招标文件后，若有问题需要询问，应于下载招标文件后，可通过公告中的联系方式及时提出，采购人或采购代理机构将予以解答，但答复内容不得涉及商业秘密。</w:t>
      </w:r>
      <w:r/>
    </w:p>
    <w:p>
      <w:pPr>
        <w:ind w:left="485"/>
        <w:spacing w:line="360" w:lineRule="auto"/>
        <w:tabs>
          <w:tab w:val="left" w:pos="0" w:leader="none"/>
          <w:tab w:val="left" w:pos="600" w:leader="none"/>
        </w:tabs>
        <w:rPr>
          <w:rFonts w:ascii="宋体" w:hAnsi="宋体" w:eastAsia="宋体" w:cs="Times New Roman"/>
          <w:b/>
          <w:color w:val="auto"/>
          <w:sz w:val="24"/>
          <w:szCs w:val="24"/>
          <w:highlight w:val="none"/>
          <w:shd w:val="clear" w:color="auto" w:fill="ffffff"/>
        </w:rPr>
      </w:pPr>
      <w:r>
        <w:rPr>
          <w:rFonts w:hint="eastAsia" w:ascii="宋体" w:hAnsi="宋体" w:eastAsia="宋体" w:cs="Times New Roman"/>
          <w:b/>
          <w:color w:val="auto"/>
          <w:sz w:val="24"/>
          <w:szCs w:val="24"/>
          <w:highlight w:val="none"/>
          <w:shd w:val="clear" w:color="auto" w:fill="ffffff"/>
        </w:rPr>
        <w:t xml:space="preserve">9.招标</w:t>
      </w:r>
      <w:r>
        <w:rPr>
          <w:rFonts w:ascii="宋体" w:hAnsi="宋体" w:eastAsia="宋体" w:cs="Times New Roman"/>
          <w:b/>
          <w:color w:val="auto"/>
          <w:sz w:val="24"/>
          <w:szCs w:val="24"/>
          <w:highlight w:val="none"/>
          <w:shd w:val="clear" w:color="auto" w:fill="ffffff"/>
        </w:rPr>
        <w:t xml:space="preserve">文件的</w:t>
      </w:r>
      <w:r>
        <w:rPr>
          <w:rFonts w:hint="eastAsia" w:ascii="宋体" w:hAnsi="宋体" w:eastAsia="宋体" w:cs="Times New Roman"/>
          <w:b/>
          <w:color w:val="auto"/>
          <w:sz w:val="24"/>
          <w:szCs w:val="24"/>
          <w:highlight w:val="none"/>
          <w:shd w:val="clear" w:color="auto" w:fill="ffffff"/>
        </w:rPr>
        <w:t xml:space="preserve">澄清或</w:t>
      </w:r>
      <w:r>
        <w:rPr>
          <w:rFonts w:ascii="宋体" w:hAnsi="宋体" w:eastAsia="宋体" w:cs="Times New Roman"/>
          <w:b/>
          <w:color w:val="auto"/>
          <w:sz w:val="24"/>
          <w:szCs w:val="24"/>
          <w:highlight w:val="none"/>
          <w:shd w:val="clear" w:color="auto" w:fill="ffffff"/>
        </w:rPr>
        <w:t xml:space="preserve">修改</w:t>
      </w:r>
      <w:r/>
    </w:p>
    <w:p>
      <w:pPr>
        <w:ind w:firstLine="484"/>
        <w:spacing w:line="360" w:lineRule="auto"/>
        <w:tabs>
          <w:tab w:val="left" w:pos="0" w:leader="none"/>
        </w:tabs>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9.1在投标截止时间前，采购代理机构有权在出于实际需要的情况下，以“更正</w:t>
      </w:r>
      <w:r>
        <w:rPr>
          <w:rFonts w:ascii="宋体" w:hAnsi="宋体" w:eastAsia="宋体" w:cs="Times New Roman"/>
          <w:color w:val="auto"/>
          <w:sz w:val="24"/>
          <w:szCs w:val="24"/>
          <w:highlight w:val="none"/>
          <w:shd w:val="clear" w:color="auto" w:fill="ffffff"/>
        </w:rPr>
        <w:t xml:space="preserve">（补充）</w:t>
      </w:r>
      <w:r>
        <w:rPr>
          <w:rFonts w:hint="eastAsia" w:ascii="宋体" w:hAnsi="宋体" w:eastAsia="宋体" w:cs="Times New Roman"/>
          <w:color w:val="auto"/>
          <w:sz w:val="24"/>
          <w:szCs w:val="24"/>
          <w:highlight w:val="none"/>
          <w:shd w:val="clear" w:color="auto" w:fill="ffffff"/>
        </w:rPr>
        <w:t xml:space="preserve">公告”的形式在原公告发布媒体上对招标文件进行澄清或修改，澄清或修改不得改变采购标的和资格条件。更正内容作为招标文件的组成部分，对所有供应商具有约束力。</w:t>
      </w:r>
      <w:r/>
    </w:p>
    <w:p>
      <w:pPr>
        <w:ind w:firstLine="484"/>
        <w:spacing w:line="360" w:lineRule="auto"/>
        <w:tabs>
          <w:tab w:val="left" w:pos="0" w:leader="none"/>
        </w:tabs>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9.2为保证供应商有足够时间修正投标文件，或出于其他合理原因，采购代理机构可依法顺延投标截止时间和开标时间。</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9.3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10.</w:t>
      </w:r>
      <w:r>
        <w:rPr>
          <w:rFonts w:ascii="宋体" w:hAnsi="宋体" w:eastAsia="宋体" w:cs="Times New Roman"/>
          <w:color w:val="auto"/>
          <w:sz w:val="24"/>
          <w:szCs w:val="24"/>
          <w:highlight w:val="none"/>
          <w:shd w:val="clear" w:color="auto" w:fill="ffffff"/>
        </w:rPr>
        <w:t xml:space="preserve">现场踏勘</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10</w:t>
      </w:r>
      <w:r>
        <w:rPr>
          <w:rFonts w:ascii="宋体" w:hAnsi="宋体" w:eastAsia="宋体" w:cs="Times New Roman"/>
          <w:color w:val="auto"/>
          <w:sz w:val="24"/>
          <w:szCs w:val="24"/>
          <w:highlight w:val="none"/>
          <w:shd w:val="clear" w:color="auto" w:fill="ffffff"/>
        </w:rPr>
        <w:t xml:space="preserve">.1</w:t>
      </w:r>
      <w:r>
        <w:rPr>
          <w:rFonts w:hint="eastAsia" w:ascii="宋体" w:hAnsi="宋体" w:eastAsia="宋体" w:cs="Times New Roman"/>
          <w:color w:val="auto"/>
          <w:sz w:val="24"/>
          <w:szCs w:val="24"/>
          <w:highlight w:val="none"/>
          <w:shd w:val="clear" w:color="auto" w:fill="ffffff"/>
        </w:rPr>
        <w:t xml:space="preserve">根据自身投标需要，供应商对有关现场和周围环境进行</w:t>
      </w:r>
      <w:r>
        <w:rPr>
          <w:rFonts w:ascii="宋体" w:hAnsi="宋体" w:eastAsia="宋体" w:cs="Times New Roman"/>
          <w:color w:val="auto"/>
          <w:sz w:val="24"/>
          <w:szCs w:val="24"/>
          <w:highlight w:val="none"/>
          <w:shd w:val="clear" w:color="auto" w:fill="ffffff"/>
        </w:rPr>
        <w:t xml:space="preserve">踏勘</w:t>
      </w:r>
      <w:r>
        <w:rPr>
          <w:rFonts w:hint="eastAsia" w:ascii="宋体" w:hAnsi="宋体" w:eastAsia="宋体" w:cs="Times New Roman"/>
          <w:color w:val="auto"/>
          <w:sz w:val="24"/>
          <w:szCs w:val="24"/>
          <w:highlight w:val="none"/>
          <w:shd w:val="clear" w:color="auto" w:fill="ffffff"/>
        </w:rPr>
        <w:t xml:space="preserve">，以获取编制投标文件和签署合同所需的信息。</w:t>
      </w:r>
      <w:r>
        <w:rPr>
          <w:rFonts w:ascii="宋体" w:hAnsi="宋体" w:eastAsia="宋体" w:cs="Times New Roman"/>
          <w:color w:val="auto"/>
          <w:sz w:val="24"/>
          <w:szCs w:val="24"/>
          <w:highlight w:val="none"/>
          <w:shd w:val="clear" w:color="auto" w:fill="ffffff"/>
        </w:rPr>
        <w:t xml:space="preserve">现场踏勘</w:t>
      </w:r>
      <w:r>
        <w:rPr>
          <w:rFonts w:hint="eastAsia" w:ascii="宋体" w:hAnsi="宋体" w:eastAsia="宋体" w:cs="Times New Roman"/>
          <w:color w:val="auto"/>
          <w:sz w:val="24"/>
          <w:szCs w:val="24"/>
          <w:highlight w:val="none"/>
          <w:shd w:val="clear" w:color="auto" w:fill="ffffff"/>
        </w:rPr>
        <w:t xml:space="preserve">所发生的费用由供应商自己承担。</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10</w:t>
      </w:r>
      <w:r>
        <w:rPr>
          <w:rFonts w:ascii="宋体" w:hAnsi="宋体" w:eastAsia="宋体" w:cs="Times New Roman"/>
          <w:color w:val="auto"/>
          <w:sz w:val="24"/>
          <w:szCs w:val="24"/>
          <w:highlight w:val="none"/>
          <w:shd w:val="clear" w:color="auto" w:fill="ffffff"/>
        </w:rPr>
        <w:t xml:space="preserve">.</w:t>
      </w:r>
      <w:r>
        <w:rPr>
          <w:rFonts w:hint="eastAsia" w:ascii="宋体" w:hAnsi="宋体" w:eastAsia="宋体" w:cs="Times New Roman"/>
          <w:color w:val="auto"/>
          <w:sz w:val="24"/>
          <w:szCs w:val="24"/>
          <w:highlight w:val="none"/>
          <w:shd w:val="clear" w:color="auto" w:fill="ffffff"/>
        </w:rPr>
        <w:t xml:space="preserve">2采购人或采购代理机构向供应商提供的有关现场的资料和数据，是采购人或采购代理机构现有的并认为能使供应商可利用的资料。采购人或采购代理机构对供应商由此而做出的推论、理解和结论概不负责。</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10.</w:t>
      </w:r>
      <w:r>
        <w:rPr>
          <w:rFonts w:ascii="宋体" w:hAnsi="宋体" w:eastAsia="宋体" w:cs="Times New Roman"/>
          <w:color w:val="auto"/>
          <w:sz w:val="24"/>
          <w:szCs w:val="24"/>
          <w:highlight w:val="none"/>
          <w:shd w:val="clear" w:color="auto" w:fill="ffffff"/>
        </w:rPr>
        <w:t xml:space="preserve">3经</w:t>
      </w:r>
      <w:r>
        <w:rPr>
          <w:rFonts w:hint="eastAsia" w:ascii="宋体" w:hAnsi="宋体" w:eastAsia="宋体" w:cs="Times New Roman"/>
          <w:color w:val="auto"/>
          <w:sz w:val="24"/>
          <w:szCs w:val="24"/>
          <w:highlight w:val="none"/>
          <w:shd w:val="clear" w:color="auto" w:fill="ffffff"/>
        </w:rPr>
        <w:t xml:space="preserve">采购人</w:t>
      </w:r>
      <w:r>
        <w:rPr>
          <w:rFonts w:ascii="宋体" w:hAnsi="宋体" w:eastAsia="宋体" w:cs="Times New Roman"/>
          <w:color w:val="auto"/>
          <w:sz w:val="24"/>
          <w:szCs w:val="24"/>
          <w:highlight w:val="none"/>
          <w:shd w:val="clear" w:color="auto" w:fill="ffffff"/>
        </w:rPr>
        <w:t xml:space="preserve">允许，</w:t>
      </w:r>
      <w:r>
        <w:rPr>
          <w:rFonts w:hint="eastAsia" w:ascii="宋体" w:hAnsi="宋体" w:eastAsia="宋体" w:cs="Times New Roman"/>
          <w:color w:val="auto"/>
          <w:sz w:val="24"/>
          <w:szCs w:val="24"/>
          <w:highlight w:val="none"/>
          <w:shd w:val="clear" w:color="auto" w:fill="ffffff"/>
        </w:rPr>
        <w:t xml:space="preserve">供应商</w:t>
      </w:r>
      <w:r>
        <w:rPr>
          <w:rFonts w:ascii="宋体" w:hAnsi="宋体" w:eastAsia="宋体" w:cs="Times New Roman"/>
          <w:color w:val="auto"/>
          <w:sz w:val="24"/>
          <w:szCs w:val="24"/>
          <w:highlight w:val="none"/>
          <w:shd w:val="clear" w:color="auto" w:fill="ffffff"/>
        </w:rPr>
        <w:t xml:space="preserve">可为踏勘目的进入</w:t>
      </w:r>
      <w:r>
        <w:rPr>
          <w:rFonts w:hint="eastAsia" w:ascii="宋体" w:hAnsi="宋体" w:eastAsia="宋体" w:cs="Times New Roman"/>
          <w:color w:val="auto"/>
          <w:sz w:val="24"/>
          <w:szCs w:val="24"/>
          <w:highlight w:val="none"/>
          <w:shd w:val="clear" w:color="auto" w:fill="ffffff"/>
        </w:rPr>
        <w:t xml:space="preserve">采购人</w:t>
      </w:r>
      <w:r>
        <w:rPr>
          <w:rFonts w:ascii="宋体" w:hAnsi="宋体" w:eastAsia="宋体" w:cs="Times New Roman"/>
          <w:color w:val="auto"/>
          <w:sz w:val="24"/>
          <w:szCs w:val="24"/>
          <w:highlight w:val="none"/>
          <w:shd w:val="clear" w:color="auto" w:fill="ffffff"/>
        </w:rPr>
        <w:t xml:space="preserve">的项目现场，但</w:t>
      </w:r>
      <w:r>
        <w:rPr>
          <w:rFonts w:hint="eastAsia" w:ascii="宋体" w:hAnsi="宋体" w:eastAsia="宋体" w:cs="Times New Roman"/>
          <w:color w:val="auto"/>
          <w:sz w:val="24"/>
          <w:szCs w:val="24"/>
          <w:highlight w:val="none"/>
          <w:shd w:val="clear" w:color="auto" w:fill="ffffff"/>
        </w:rPr>
        <w:t xml:space="preserve">供应商</w:t>
      </w:r>
      <w:r>
        <w:rPr>
          <w:rFonts w:ascii="宋体" w:hAnsi="宋体" w:eastAsia="宋体" w:cs="Times New Roman"/>
          <w:color w:val="auto"/>
          <w:sz w:val="24"/>
          <w:szCs w:val="24"/>
          <w:highlight w:val="none"/>
          <w:shd w:val="clear" w:color="auto" w:fill="ffffff"/>
        </w:rPr>
        <w:t xml:space="preserve">不得因此使</w:t>
      </w:r>
      <w:r>
        <w:rPr>
          <w:rFonts w:hint="eastAsia" w:ascii="宋体" w:hAnsi="宋体" w:eastAsia="宋体" w:cs="Times New Roman"/>
          <w:color w:val="auto"/>
          <w:sz w:val="24"/>
          <w:szCs w:val="24"/>
          <w:highlight w:val="none"/>
          <w:shd w:val="clear" w:color="auto" w:fill="ffffff"/>
        </w:rPr>
        <w:t xml:space="preserve">采购人</w:t>
      </w:r>
      <w:r>
        <w:rPr>
          <w:rFonts w:ascii="宋体" w:hAnsi="宋体" w:eastAsia="宋体" w:cs="Times New Roman"/>
          <w:color w:val="auto"/>
          <w:sz w:val="24"/>
          <w:szCs w:val="24"/>
          <w:highlight w:val="none"/>
          <w:shd w:val="clear" w:color="auto" w:fill="ffffff"/>
        </w:rPr>
        <w:t xml:space="preserve">承担有关的责任和蒙受损失。</w:t>
      </w:r>
      <w:r>
        <w:rPr>
          <w:rFonts w:hint="eastAsia" w:ascii="宋体" w:hAnsi="宋体" w:eastAsia="宋体" w:cs="Times New Roman"/>
          <w:color w:val="auto"/>
          <w:sz w:val="24"/>
          <w:szCs w:val="24"/>
          <w:highlight w:val="none"/>
          <w:shd w:val="clear" w:color="auto" w:fill="ffffff"/>
        </w:rPr>
        <w:t xml:space="preserve">供应商</w:t>
      </w:r>
      <w:r>
        <w:rPr>
          <w:rFonts w:ascii="宋体" w:hAnsi="宋体" w:eastAsia="宋体" w:cs="Times New Roman"/>
          <w:color w:val="auto"/>
          <w:sz w:val="24"/>
          <w:szCs w:val="24"/>
          <w:highlight w:val="none"/>
          <w:shd w:val="clear" w:color="auto" w:fill="ffffff"/>
        </w:rPr>
        <w:t xml:space="preserve">应承担</w:t>
      </w:r>
      <w:r>
        <w:rPr>
          <w:rFonts w:hint="eastAsia" w:ascii="宋体" w:hAnsi="宋体" w:eastAsia="宋体" w:cs="Times New Roman"/>
          <w:color w:val="auto"/>
          <w:sz w:val="24"/>
          <w:szCs w:val="24"/>
          <w:highlight w:val="none"/>
          <w:shd w:val="clear" w:color="auto" w:fill="ffffff"/>
        </w:rPr>
        <w:t xml:space="preserve">因</w:t>
      </w:r>
      <w:r>
        <w:rPr>
          <w:rFonts w:ascii="宋体" w:hAnsi="宋体" w:eastAsia="宋体" w:cs="Times New Roman"/>
          <w:color w:val="auto"/>
          <w:sz w:val="24"/>
          <w:szCs w:val="24"/>
          <w:highlight w:val="none"/>
          <w:shd w:val="clear" w:color="auto" w:fill="ffffff"/>
        </w:rPr>
        <w:t xml:space="preserve">现场踏勘</w:t>
      </w:r>
      <w:r>
        <w:rPr>
          <w:rFonts w:hint="eastAsia" w:ascii="宋体" w:hAnsi="宋体" w:eastAsia="宋体" w:cs="Times New Roman"/>
          <w:color w:val="auto"/>
          <w:sz w:val="24"/>
          <w:szCs w:val="24"/>
          <w:highlight w:val="none"/>
          <w:shd w:val="clear" w:color="auto" w:fill="ffffff"/>
        </w:rPr>
        <w:t xml:space="preserve">行为产生</w:t>
      </w:r>
      <w:r>
        <w:rPr>
          <w:rFonts w:ascii="宋体" w:hAnsi="宋体" w:eastAsia="宋体" w:cs="Times New Roman"/>
          <w:color w:val="auto"/>
          <w:sz w:val="24"/>
          <w:szCs w:val="24"/>
          <w:highlight w:val="none"/>
          <w:shd w:val="clear" w:color="auto" w:fill="ffffff"/>
        </w:rPr>
        <w:t xml:space="preserve">的</w:t>
      </w:r>
      <w:r>
        <w:rPr>
          <w:rFonts w:hint="eastAsia" w:ascii="宋体" w:hAnsi="宋体" w:eastAsia="宋体" w:cs="Times New Roman"/>
          <w:color w:val="auto"/>
          <w:sz w:val="24"/>
          <w:szCs w:val="24"/>
          <w:highlight w:val="none"/>
          <w:shd w:val="clear" w:color="auto" w:fill="ffffff"/>
        </w:rPr>
        <w:t xml:space="preserve">一切</w:t>
      </w:r>
      <w:r>
        <w:rPr>
          <w:rFonts w:ascii="宋体" w:hAnsi="宋体" w:eastAsia="宋体" w:cs="Times New Roman"/>
          <w:color w:val="auto"/>
          <w:sz w:val="24"/>
          <w:szCs w:val="24"/>
          <w:highlight w:val="none"/>
          <w:shd w:val="clear" w:color="auto" w:fill="ffffff"/>
        </w:rPr>
        <w:t xml:space="preserve">责任和风险。</w:t>
      </w:r>
      <w:r/>
    </w:p>
    <w:p>
      <w:pPr>
        <w:ind w:firstLine="480"/>
        <w:spacing w:line="360" w:lineRule="auto"/>
        <w:rPr>
          <w:color w:val="auto"/>
          <w:szCs w:val="21"/>
          <w:highlight w:val="none"/>
        </w:rPr>
      </w:pPr>
      <w:r>
        <w:rPr>
          <w:rFonts w:hint="eastAsia" w:ascii="宋体" w:hAnsi="宋体" w:eastAsia="宋体" w:cs="Times New Roman"/>
          <w:color w:val="auto"/>
          <w:sz w:val="24"/>
          <w:szCs w:val="24"/>
          <w:highlight w:val="none"/>
          <w:shd w:val="clear" w:color="auto" w:fill="ffffff"/>
        </w:rPr>
        <w:t xml:space="preserve">10.4供应商</w:t>
      </w:r>
      <w:r>
        <w:rPr>
          <w:rFonts w:ascii="宋体" w:hAnsi="宋体" w:eastAsia="宋体" w:cs="Times New Roman"/>
          <w:color w:val="auto"/>
          <w:sz w:val="24"/>
          <w:szCs w:val="24"/>
          <w:highlight w:val="none"/>
          <w:shd w:val="clear" w:color="auto" w:fill="ffffff"/>
        </w:rPr>
        <w:t xml:space="preserve">应在现场踏勘时，熟悉现场及周围交通道路等情况，以获得一切可能影响其投标的直接资料。</w:t>
      </w:r>
      <w:r>
        <w:rPr>
          <w:rFonts w:hint="eastAsia" w:ascii="宋体" w:hAnsi="宋体" w:eastAsia="宋体" w:cs="Times New Roman"/>
          <w:color w:val="auto"/>
          <w:sz w:val="24"/>
          <w:szCs w:val="24"/>
          <w:highlight w:val="none"/>
          <w:shd w:val="clear" w:color="auto" w:fill="ffffff"/>
        </w:rPr>
        <w:t xml:space="preserve">供应商</w:t>
      </w:r>
      <w:r>
        <w:rPr>
          <w:rFonts w:ascii="宋体" w:hAnsi="宋体" w:eastAsia="宋体" w:cs="Times New Roman"/>
          <w:color w:val="auto"/>
          <w:sz w:val="24"/>
          <w:szCs w:val="24"/>
          <w:highlight w:val="none"/>
          <w:shd w:val="clear" w:color="auto" w:fill="ffffff"/>
        </w:rPr>
        <w:t xml:space="preserve">中标后，不得以不完全了解现场情况为理由而向</w:t>
      </w:r>
      <w:r>
        <w:rPr>
          <w:rFonts w:hint="eastAsia" w:ascii="宋体" w:hAnsi="宋体" w:eastAsia="宋体" w:cs="Times New Roman"/>
          <w:color w:val="auto"/>
          <w:sz w:val="24"/>
          <w:szCs w:val="24"/>
          <w:highlight w:val="none"/>
          <w:shd w:val="clear" w:color="auto" w:fill="ffffff"/>
        </w:rPr>
        <w:t xml:space="preserve">采购人或采购代理机构</w:t>
      </w:r>
      <w:r>
        <w:rPr>
          <w:rFonts w:ascii="宋体" w:hAnsi="宋体" w:eastAsia="宋体" w:cs="Times New Roman"/>
          <w:color w:val="auto"/>
          <w:sz w:val="24"/>
          <w:szCs w:val="24"/>
          <w:highlight w:val="none"/>
          <w:shd w:val="clear" w:color="auto" w:fill="ffffff"/>
        </w:rPr>
        <w:t xml:space="preserve">提出任何索赔</w:t>
      </w:r>
      <w:r>
        <w:rPr>
          <w:rFonts w:hint="eastAsia" w:ascii="宋体" w:hAnsi="宋体" w:eastAsia="宋体" w:cs="Times New Roman"/>
          <w:color w:val="auto"/>
          <w:sz w:val="24"/>
          <w:szCs w:val="24"/>
          <w:highlight w:val="none"/>
          <w:shd w:val="clear" w:color="auto" w:fill="ffffff"/>
        </w:rPr>
        <w:t xml:space="preserve">或增加合同费用</w:t>
      </w:r>
      <w:r>
        <w:rPr>
          <w:rFonts w:ascii="宋体" w:hAnsi="宋体" w:eastAsia="宋体" w:cs="Times New Roman"/>
          <w:color w:val="auto"/>
          <w:sz w:val="24"/>
          <w:szCs w:val="24"/>
          <w:highlight w:val="none"/>
          <w:shd w:val="clear" w:color="auto" w:fill="ffffff"/>
        </w:rPr>
        <w:t xml:space="preserve">的要求</w:t>
      </w:r>
      <w:r>
        <w:rPr>
          <w:rFonts w:hint="eastAsia" w:ascii="宋体" w:hAnsi="宋体" w:eastAsia="宋体" w:cs="Times New Roman"/>
          <w:color w:val="auto"/>
          <w:sz w:val="24"/>
          <w:szCs w:val="24"/>
          <w:highlight w:val="none"/>
          <w:shd w:val="clear" w:color="auto" w:fill="ffffff"/>
        </w:rPr>
        <w:t xml:space="preserve">，</w:t>
      </w:r>
      <w:r>
        <w:rPr>
          <w:rFonts w:ascii="宋体" w:hAnsi="宋体" w:eastAsia="宋体" w:cs="Times New Roman"/>
          <w:color w:val="auto"/>
          <w:sz w:val="24"/>
          <w:szCs w:val="24"/>
          <w:highlight w:val="none"/>
          <w:shd w:val="clear" w:color="auto" w:fill="ffffff"/>
        </w:rPr>
        <w:t xml:space="preserve">对此</w:t>
      </w:r>
      <w:r>
        <w:rPr>
          <w:rFonts w:hint="eastAsia" w:ascii="宋体" w:hAnsi="宋体" w:eastAsia="宋体" w:cs="Times New Roman"/>
          <w:color w:val="auto"/>
          <w:sz w:val="24"/>
          <w:szCs w:val="24"/>
          <w:highlight w:val="none"/>
          <w:shd w:val="clear" w:color="auto" w:fill="ffffff"/>
        </w:rPr>
        <w:t xml:space="preserve">采购人或采购代理机构</w:t>
      </w:r>
      <w:r>
        <w:rPr>
          <w:rFonts w:ascii="宋体" w:hAnsi="宋体" w:eastAsia="宋体" w:cs="Times New Roman"/>
          <w:color w:val="auto"/>
          <w:sz w:val="24"/>
          <w:szCs w:val="24"/>
          <w:highlight w:val="none"/>
          <w:shd w:val="clear" w:color="auto" w:fill="ffffff"/>
        </w:rPr>
        <w:t xml:space="preserve">不承担任何责任并将不作任何答复与考虑。</w:t>
      </w:r>
      <w:r/>
    </w:p>
    <w:p>
      <w:pPr>
        <w:ind w:firstLine="482"/>
        <w:spacing w:line="360" w:lineRule="auto"/>
        <w:rPr>
          <w:rFonts w:ascii="宋体" w:hAnsi="宋体" w:eastAsia="宋体" w:cs="Times New Roman"/>
          <w:b/>
          <w:color w:val="auto"/>
          <w:sz w:val="24"/>
          <w:szCs w:val="24"/>
          <w:highlight w:val="none"/>
          <w:shd w:val="clear" w:color="auto" w:fill="ffffff"/>
        </w:rPr>
      </w:pPr>
      <w:r>
        <w:rPr>
          <w:rFonts w:hint="eastAsia" w:ascii="宋体" w:hAnsi="宋体" w:eastAsia="宋体" w:cs="Times New Roman"/>
          <w:b/>
          <w:color w:val="auto"/>
          <w:sz w:val="24"/>
          <w:szCs w:val="24"/>
          <w:highlight w:val="none"/>
          <w:shd w:val="clear" w:color="auto" w:fill="ffffff"/>
        </w:rPr>
        <w:t xml:space="preserve">11.提示与要求</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11.1供应商应仔细阅读招标文件的所有内容，按招标文件的要求提供投标文件，并保证所提供的全部资料的真实性，以使其投标对招标文件作出实质性响应，否则，其投标可能被拒绝。</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11.2无论是否递交投标文件，供应商都应将招标文件及以后的所有通知、文件等视为保密文件。</w:t>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12.投标文件计量单位和使用文字</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12.1投标文件中所使用的计量单位，除招标文件中有特殊要求外，均应使用中华人民共和国法定计量单位。</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12.2投标文件应使用中文编制，投标文件中必须使用其他文字的，必须附有中文译本。对于未附有中文译本和中文译本不准确的投标文件可能引起的对供应商不利的后果，采购人或采购代理机构概不负责。</w:t>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13.投标文件的组成</w:t>
      </w:r>
      <w:r/>
    </w:p>
    <w:p>
      <w:pPr>
        <w:ind w:firstLine="482"/>
        <w:spacing w:line="360" w:lineRule="auto"/>
        <w:tabs>
          <w:tab w:val="left" w:pos="0" w:leader="none"/>
        </w:tabs>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13.1开标一览表（格式见第三章）；</w:t>
      </w:r>
      <w:r/>
    </w:p>
    <w:p>
      <w:pPr>
        <w:ind w:firstLine="482"/>
        <w:spacing w:line="360" w:lineRule="auto"/>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13.2投标报价明细表（格式见第三章）；</w:t>
      </w:r>
      <w:r/>
    </w:p>
    <w:p>
      <w:pPr>
        <w:ind w:firstLine="482"/>
        <w:spacing w:line="360" w:lineRule="auto"/>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13.3资格性审查文件</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13.3.1具有独立承担民事责任的能力的材料：包括法人或者其他组织的营业执照等证明文件，自然人的身份证明；</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13.3.2具有良好的商业信誉和健全的财务会计制度的材料：</w:t>
      </w:r>
      <w:bookmarkStart w:id="5" w:name="_Hlk92792283"/>
      <w:r>
        <w:rPr>
          <w:rFonts w:hint="eastAsia" w:ascii="宋体" w:hAnsi="宋体" w:eastAsia="宋体" w:cs="宋体"/>
          <w:color w:val="auto"/>
          <w:sz w:val="24"/>
          <w:szCs w:val="24"/>
          <w:highlight w:val="none"/>
          <w:shd w:val="clear" w:color="auto" w:fill="ffffff"/>
        </w:rPr>
        <w:t xml:space="preserve">最近一期的财务报告，或银行出具的资信证明，或财政部门认可的政府采购专业担保机构出具的投标担保函；</w:t>
      </w:r>
      <w:bookmarkEnd w:id="5"/>
      <w:r/>
      <w:r/>
    </w:p>
    <w:p>
      <w:pPr>
        <w:pStyle w:val="962"/>
        <w:ind w:firstLine="502"/>
        <w:jc w:val="both"/>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13.3.3具有履行合同所必需的设备和专业技术能力的证明材料</w:t>
      </w:r>
      <w:r>
        <w:rPr>
          <w:rFonts w:hint="eastAsia" w:ascii="宋体" w:hAnsi="宋体" w:eastAsia="宋体" w:cs="宋体"/>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rPr>
        <w:t xml:space="preserve">提供</w:t>
      </w:r>
      <w:r>
        <w:rPr>
          <w:rFonts w:hint="eastAsia" w:ascii="宋体" w:hAnsi="宋体" w:eastAsia="宋体" w:cs="宋体"/>
          <w:color w:val="auto"/>
          <w:sz w:val="24"/>
          <w:szCs w:val="24"/>
          <w:highlight w:val="none"/>
          <w:lang w:val="en-US" w:eastAsia="zh-CN"/>
        </w:rPr>
        <w:t xml:space="preserve">证明材料或</w:t>
      </w:r>
      <w:r>
        <w:rPr>
          <w:rFonts w:hint="eastAsia" w:ascii="宋体" w:hAnsi="宋体" w:eastAsia="宋体" w:cs="宋体"/>
          <w:color w:val="auto"/>
          <w:sz w:val="24"/>
          <w:szCs w:val="24"/>
          <w:highlight w:val="none"/>
        </w:rPr>
        <w:t xml:space="preserve">承诺函(格式自拟)；</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13.3.4有依法缴纳税收和社会保障资金的良好记录的材料：</w:t>
      </w:r>
      <w:r>
        <w:rPr>
          <w:rFonts w:hint="eastAsia" w:ascii="宋体" w:hAnsi="宋体" w:eastAsia="宋体" w:cs="宋体"/>
          <w:bCs/>
          <w:color w:val="auto"/>
          <w:sz w:val="24"/>
          <w:szCs w:val="24"/>
          <w:highlight w:val="none"/>
        </w:rPr>
        <w:t xml:space="preserve">供应商</w:t>
      </w:r>
      <w:r>
        <w:rPr>
          <w:rFonts w:hint="eastAsia" w:ascii="宋体" w:hAnsi="宋体" w:eastAsia="宋体" w:cs="宋体"/>
          <w:color w:val="auto"/>
          <w:sz w:val="24"/>
          <w:szCs w:val="24"/>
          <w:highlight w:val="none"/>
          <w:shd w:val="clear" w:color="auto" w:fill="ffffff"/>
        </w:rPr>
        <w:t xml:space="preserve">参加本次政府采购活动前半年（至少一个月）依法缴纳税收和社会保险的凭据；依法免税或不需要缴纳社会保障资金的</w:t>
      </w:r>
      <w:r>
        <w:rPr>
          <w:rFonts w:hint="eastAsia" w:ascii="宋体" w:hAnsi="宋体" w:eastAsia="宋体" w:cs="宋体"/>
          <w:bCs/>
          <w:color w:val="auto"/>
          <w:sz w:val="24"/>
          <w:szCs w:val="24"/>
          <w:highlight w:val="none"/>
        </w:rPr>
        <w:t xml:space="preserve">供应商</w:t>
      </w:r>
      <w:r>
        <w:rPr>
          <w:rFonts w:hint="eastAsia" w:ascii="宋体" w:hAnsi="宋体" w:eastAsia="宋体" w:cs="宋体"/>
          <w:color w:val="auto"/>
          <w:sz w:val="24"/>
          <w:szCs w:val="24"/>
          <w:highlight w:val="none"/>
          <w:shd w:val="clear" w:color="auto" w:fill="ffffff"/>
        </w:rPr>
        <w:t xml:space="preserve">，应提供相应证明资料证明其依法免税或不需要缴纳社会保障资金，</w:t>
      </w:r>
      <w:r>
        <w:rPr>
          <w:rFonts w:hint="eastAsia" w:ascii="宋体" w:hAnsi="宋体" w:eastAsia="宋体" w:cs="宋体"/>
          <w:b/>
          <w:bCs/>
          <w:color w:val="auto"/>
          <w:sz w:val="24"/>
          <w:szCs w:val="24"/>
          <w:highlight w:val="none"/>
          <w:shd w:val="clear" w:color="auto" w:fill="ffffff"/>
        </w:rPr>
        <w:t xml:space="preserve">否则不予认可</w:t>
      </w:r>
      <w:r>
        <w:rPr>
          <w:rFonts w:hint="eastAsia" w:ascii="宋体" w:hAnsi="宋体" w:eastAsia="宋体" w:cs="宋体"/>
          <w:color w:val="auto"/>
          <w:sz w:val="24"/>
          <w:szCs w:val="24"/>
          <w:highlight w:val="none"/>
          <w:shd w:val="clear" w:color="auto" w:fill="ffffff"/>
        </w:rPr>
        <w:t xml:space="preserve">；</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13.3.5参加政府采购活动前三年内在经营活动中没有重大违法记录的书面声明函（格式见第三章）；</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13.3.</w:t>
      </w:r>
      <w:r>
        <w:rPr>
          <w:rFonts w:hint="eastAsia" w:ascii="宋体" w:hAnsi="宋体" w:eastAsia="宋体" w:cs="宋体"/>
          <w:color w:val="auto"/>
          <w:sz w:val="24"/>
          <w:szCs w:val="24"/>
          <w:highlight w:val="none"/>
          <w:shd w:val="clear" w:color="auto" w:fill="ffffff"/>
          <w:lang w:val="en-US" w:eastAsia="zh-CN"/>
        </w:rPr>
        <w:t xml:space="preserve">6</w:t>
      </w:r>
      <w:r>
        <w:rPr>
          <w:rFonts w:hint="eastAsia" w:ascii="宋体" w:hAnsi="宋体" w:eastAsia="宋体" w:cs="宋体"/>
          <w:color w:val="auto"/>
          <w:sz w:val="24"/>
          <w:szCs w:val="24"/>
          <w:highlight w:val="none"/>
          <w:shd w:val="clear" w:color="auto" w:fill="ffffff"/>
        </w:rPr>
        <w:t xml:space="preserve">中小企业声明函（格式见第三章），未提供视为非中小企业，不享受中小企业扶持政策；</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13.3.</w:t>
      </w:r>
      <w:r>
        <w:rPr>
          <w:rFonts w:hint="eastAsia" w:ascii="宋体" w:hAnsi="宋体" w:eastAsia="宋体" w:cs="宋体"/>
          <w:color w:val="auto"/>
          <w:sz w:val="24"/>
          <w:szCs w:val="24"/>
          <w:highlight w:val="none"/>
          <w:shd w:val="clear" w:color="auto" w:fill="ffffff"/>
          <w:lang w:val="en-US" w:eastAsia="zh-CN"/>
        </w:rPr>
        <w:t xml:space="preserve">7</w:t>
      </w:r>
      <w:r>
        <w:rPr>
          <w:rFonts w:hint="eastAsia" w:ascii="宋体" w:hAnsi="宋体" w:eastAsia="宋体" w:cs="宋体"/>
          <w:color w:val="auto"/>
          <w:sz w:val="24"/>
          <w:szCs w:val="24"/>
          <w:highlight w:val="none"/>
          <w:shd w:val="clear" w:color="auto" w:fill="ffffff"/>
        </w:rPr>
        <w:t xml:space="preserve">残疾人福利性单位声明函（如有）（格式见第三章），未提供视为非残疾人福利性单位，不视同小微企业，不享受残疾人福利性单位政策；</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13.3.</w:t>
      </w:r>
      <w:r>
        <w:rPr>
          <w:rFonts w:hint="eastAsia" w:ascii="宋体" w:hAnsi="宋体" w:eastAsia="宋体" w:cs="宋体"/>
          <w:color w:val="auto"/>
          <w:sz w:val="24"/>
          <w:szCs w:val="24"/>
          <w:highlight w:val="none"/>
          <w:shd w:val="clear" w:color="auto" w:fill="ffffff"/>
          <w:lang w:val="en-US" w:eastAsia="zh-CN"/>
        </w:rPr>
        <w:t xml:space="preserve">8</w:t>
      </w:r>
      <w:r>
        <w:rPr>
          <w:rFonts w:hint="eastAsia" w:ascii="宋体" w:hAnsi="宋体" w:eastAsia="宋体" w:cs="宋体"/>
          <w:color w:val="auto"/>
          <w:sz w:val="24"/>
          <w:szCs w:val="24"/>
          <w:highlight w:val="none"/>
          <w:shd w:val="clear" w:color="auto" w:fill="ffffff"/>
        </w:rPr>
        <w:t xml:space="preserve">监狱企业证明文件（如有），由省级以上监狱管理局、戒毒管理局（含新疆生产建设兵团）出具，未提供视为非监狱企业，不视同小微企业，不享受监狱企业政策；</w:t>
      </w:r>
      <w:r/>
    </w:p>
    <w:p>
      <w:pPr>
        <w:ind w:firstLine="482"/>
        <w:spacing w:line="360" w:lineRule="auto"/>
        <w:rPr>
          <w:rFonts w:ascii="宋体" w:hAnsi="宋体" w:eastAsia="宋体" w:cs="宋体"/>
          <w:b/>
          <w:bCs/>
          <w:color w:val="auto"/>
          <w:sz w:val="24"/>
          <w:szCs w:val="24"/>
          <w:highlight w:val="none"/>
          <w:u w:val="single"/>
          <w:shd w:val="clear" w:color="auto" w:fill="ffffff"/>
        </w:rPr>
      </w:pPr>
      <w:r/>
      <w:bookmarkStart w:id="6" w:name="_Hlk158127728"/>
      <w:r>
        <w:rPr>
          <w:rFonts w:hint="eastAsia" w:ascii="宋体" w:hAnsi="宋体" w:eastAsia="宋体" w:cs="宋体"/>
          <w:b/>
          <w:bCs/>
          <w:color w:val="auto"/>
          <w:sz w:val="24"/>
          <w:szCs w:val="24"/>
          <w:highlight w:val="none"/>
          <w:u w:val="single"/>
          <w:shd w:val="clear" w:color="auto" w:fill="ffffff"/>
        </w:rPr>
        <w:t xml:space="preserve">以上13.3.1—13.3.</w:t>
      </w:r>
      <w:r>
        <w:rPr>
          <w:rFonts w:hint="eastAsia" w:ascii="宋体" w:hAnsi="宋体" w:eastAsia="宋体" w:cs="宋体"/>
          <w:b/>
          <w:bCs/>
          <w:color w:val="auto"/>
          <w:sz w:val="24"/>
          <w:szCs w:val="24"/>
          <w:highlight w:val="none"/>
          <w:u w:val="single"/>
          <w:shd w:val="clear" w:color="auto" w:fill="ffffff"/>
          <w:lang w:val="en-US" w:eastAsia="zh-CN"/>
        </w:rPr>
        <w:t xml:space="preserve">5</w:t>
      </w:r>
      <w:r>
        <w:rPr>
          <w:rFonts w:hint="eastAsia" w:ascii="宋体" w:hAnsi="宋体" w:eastAsia="宋体" w:cs="宋体"/>
          <w:b/>
          <w:bCs/>
          <w:color w:val="auto"/>
          <w:sz w:val="24"/>
          <w:szCs w:val="24"/>
          <w:highlight w:val="none"/>
          <w:u w:val="single"/>
          <w:shd w:val="clear" w:color="auto" w:fill="ffffff"/>
        </w:rPr>
        <w:t xml:space="preserve">项是资格审查要求必须提供的材料。</w:t>
      </w:r>
      <w:r/>
    </w:p>
    <w:p>
      <w:pPr>
        <w:ind w:firstLine="482"/>
        <w:spacing w:line="360" w:lineRule="auto"/>
        <w:rPr>
          <w:rFonts w:hint="eastAsia" w:ascii="宋体" w:hAnsi="宋体" w:eastAsia="宋体" w:cs="宋体"/>
          <w:b/>
          <w:bCs/>
          <w:color w:val="auto"/>
          <w:sz w:val="24"/>
          <w:szCs w:val="24"/>
          <w:highlight w:val="none"/>
          <w:u w:val="single"/>
          <w:shd w:val="clear" w:color="auto" w:fill="ffffff"/>
        </w:rPr>
      </w:pPr>
      <w:r>
        <w:rPr>
          <w:rFonts w:hint="eastAsia" w:ascii="宋体" w:hAnsi="宋体" w:eastAsia="宋体" w:cs="宋体"/>
          <w:b/>
          <w:bCs/>
          <w:color w:val="auto"/>
          <w:sz w:val="24"/>
          <w:szCs w:val="24"/>
          <w:highlight w:val="none"/>
          <w:u w:val="single"/>
          <w:shd w:val="clear" w:color="auto" w:fill="ffffff"/>
        </w:rPr>
        <w:t xml:space="preserve">专门面向中小企业的采购项目，还必须提供13.3.</w:t>
      </w:r>
      <w:r>
        <w:rPr>
          <w:rFonts w:hint="eastAsia" w:ascii="宋体" w:hAnsi="宋体" w:eastAsia="宋体" w:cs="宋体"/>
          <w:b/>
          <w:bCs/>
          <w:color w:val="auto"/>
          <w:sz w:val="24"/>
          <w:szCs w:val="24"/>
          <w:highlight w:val="none"/>
          <w:u w:val="single"/>
          <w:shd w:val="clear" w:color="auto" w:fill="ffffff"/>
          <w:lang w:val="en-US" w:eastAsia="zh-CN"/>
        </w:rPr>
        <w:t xml:space="preserve">6</w:t>
      </w:r>
      <w:r>
        <w:rPr>
          <w:rFonts w:hint="eastAsia" w:ascii="宋体" w:hAnsi="宋体" w:eastAsia="宋体" w:cs="宋体"/>
          <w:b/>
          <w:bCs/>
          <w:color w:val="auto"/>
          <w:sz w:val="24"/>
          <w:szCs w:val="24"/>
          <w:highlight w:val="none"/>
          <w:u w:val="single"/>
          <w:shd w:val="clear" w:color="auto" w:fill="ffffff"/>
        </w:rPr>
        <w:t xml:space="preserve">或13.3.</w:t>
      </w:r>
      <w:r>
        <w:rPr>
          <w:rFonts w:hint="eastAsia" w:ascii="宋体" w:hAnsi="宋体" w:eastAsia="宋体" w:cs="宋体"/>
          <w:b/>
          <w:bCs/>
          <w:color w:val="auto"/>
          <w:sz w:val="24"/>
          <w:szCs w:val="24"/>
          <w:highlight w:val="none"/>
          <w:u w:val="single"/>
          <w:shd w:val="clear" w:color="auto" w:fill="ffffff"/>
          <w:lang w:val="en-US" w:eastAsia="zh-CN"/>
        </w:rPr>
        <w:t xml:space="preserve">7</w:t>
      </w:r>
      <w:r>
        <w:rPr>
          <w:rFonts w:hint="eastAsia" w:ascii="宋体" w:hAnsi="宋体" w:eastAsia="宋体" w:cs="宋体"/>
          <w:b/>
          <w:bCs/>
          <w:color w:val="auto"/>
          <w:sz w:val="24"/>
          <w:szCs w:val="24"/>
          <w:highlight w:val="none"/>
          <w:u w:val="single"/>
          <w:shd w:val="clear" w:color="auto" w:fill="ffffff"/>
        </w:rPr>
        <w:t xml:space="preserve">或13.3.</w:t>
      </w:r>
      <w:r>
        <w:rPr>
          <w:rFonts w:hint="eastAsia" w:ascii="宋体" w:hAnsi="宋体" w:eastAsia="宋体" w:cs="宋体"/>
          <w:b/>
          <w:bCs/>
          <w:color w:val="auto"/>
          <w:sz w:val="24"/>
          <w:szCs w:val="24"/>
          <w:highlight w:val="none"/>
          <w:u w:val="single"/>
          <w:shd w:val="clear" w:color="auto" w:fill="ffffff"/>
          <w:lang w:val="en-US" w:eastAsia="zh-CN"/>
        </w:rPr>
        <w:t xml:space="preserve">8</w:t>
      </w:r>
      <w:r>
        <w:rPr>
          <w:rFonts w:hint="eastAsia" w:ascii="宋体" w:hAnsi="宋体" w:eastAsia="宋体" w:cs="宋体"/>
          <w:b/>
          <w:bCs/>
          <w:color w:val="auto"/>
          <w:sz w:val="24"/>
          <w:szCs w:val="24"/>
          <w:highlight w:val="none"/>
          <w:u w:val="single"/>
          <w:shd w:val="clear" w:color="auto" w:fill="ffffff"/>
        </w:rPr>
        <w:t xml:space="preserve">项资料，否则投标无效</w:t>
      </w:r>
      <w:bookmarkEnd w:id="6"/>
      <w:r>
        <w:rPr>
          <w:rFonts w:hint="eastAsia" w:ascii="宋体" w:hAnsi="宋体" w:eastAsia="宋体" w:cs="宋体"/>
          <w:b/>
          <w:bCs/>
          <w:color w:val="auto"/>
          <w:sz w:val="24"/>
          <w:szCs w:val="24"/>
          <w:highlight w:val="none"/>
          <w:u w:val="single"/>
          <w:shd w:val="clear" w:color="auto" w:fill="ffffff"/>
        </w:rPr>
        <w:t xml:space="preserve">；</w:t>
      </w:r>
      <w:r/>
    </w:p>
    <w:p>
      <w:pPr>
        <w:ind w:firstLine="480"/>
        <w:spacing w:line="360" w:lineRule="auto"/>
        <w:rPr>
          <w:rFonts w:hint="eastAsia" w:ascii="宋体" w:hAnsi="宋体" w:eastAsia="宋体" w:cs="宋体"/>
          <w:b/>
          <w:bCs/>
          <w:color w:val="auto"/>
          <w:sz w:val="24"/>
          <w:szCs w:val="24"/>
          <w:highlight w:val="none"/>
          <w:u w:val="single"/>
          <w:shd w:val="clear" w:color="auto" w:fill="ffffff"/>
        </w:rPr>
      </w:pPr>
      <w:r>
        <w:rPr>
          <w:rFonts w:hint="eastAsia" w:ascii="宋体" w:hAnsi="宋体" w:eastAsia="宋体" w:cs="宋体"/>
          <w:color w:val="auto"/>
          <w:sz w:val="24"/>
          <w:szCs w:val="24"/>
          <w:highlight w:val="none"/>
          <w:shd w:val="clear" w:color="auto" w:fill="ffffff"/>
          <w:lang w:val="en-US" w:eastAsia="zh-CN" w:bidi="ar-SA"/>
        </w:rPr>
        <w:t xml:space="preserve">13.3.9供应商对其提供的产品出具符合要求的《关于符合本国产品标准的声明函》（格式见第三章》）</w:t>
      </w:r>
      <w:bookmarkStart w:id="7" w:name="OLE_LINK9"/>
      <w:r/>
      <w:bookmarkStart w:id="8" w:name="OLE_LINK11"/>
      <w:r>
        <w:rPr>
          <w:rFonts w:hint="eastAsia" w:ascii="宋体" w:hAnsi="宋体" w:eastAsia="宋体" w:cs="宋体"/>
          <w:color w:val="auto"/>
          <w:sz w:val="24"/>
          <w:szCs w:val="24"/>
          <w:highlight w:val="none"/>
          <w:shd w:val="clear" w:color="auto" w:fill="ffffff"/>
          <w:lang w:val="en-US" w:eastAsia="zh-CN" w:bidi="ar-SA"/>
        </w:rPr>
        <w:t xml:space="preserve">或财政部会同有关部门规定的有关证明文件的，</w:t>
      </w:r>
      <w:bookmarkEnd w:id="7"/>
      <w:r/>
      <w:bookmarkEnd w:id="8"/>
      <w:r>
        <w:rPr>
          <w:rFonts w:hint="eastAsia" w:ascii="宋体" w:hAnsi="宋体" w:eastAsia="宋体" w:cs="宋体"/>
          <w:color w:val="auto"/>
          <w:sz w:val="24"/>
          <w:szCs w:val="24"/>
          <w:highlight w:val="none"/>
          <w:shd w:val="clear" w:color="auto" w:fill="ffffff"/>
          <w:lang w:val="en-US" w:eastAsia="zh-CN" w:bidi="ar-SA"/>
        </w:rPr>
        <w:t xml:space="preserve">将按照评定成交标准享受价格评审优惠政策。</w:t>
      </w:r>
      <w:r/>
    </w:p>
    <w:p>
      <w:pPr>
        <w:ind w:firstLine="482"/>
        <w:spacing w:line="360" w:lineRule="auto"/>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13.4符合性审查文件</w:t>
      </w:r>
      <w:r/>
    </w:p>
    <w:p>
      <w:pPr>
        <w:ind w:firstLine="480"/>
        <w:spacing w:line="360" w:lineRule="auto"/>
        <w:rPr>
          <w:color w:val="auto"/>
          <w:highlight w:val="none"/>
        </w:rPr>
      </w:pPr>
      <w:r>
        <w:rPr>
          <w:rFonts w:hint="eastAsia" w:ascii="宋体" w:hAnsi="宋体" w:eastAsia="宋体" w:cs="宋体"/>
          <w:color w:val="auto"/>
          <w:sz w:val="24"/>
          <w:szCs w:val="24"/>
          <w:highlight w:val="none"/>
          <w:shd w:val="clear" w:color="auto" w:fill="ffffff"/>
        </w:rPr>
        <w:t xml:space="preserve">13.4.1投标函（格式见第三章）；</w:t>
      </w:r>
      <w:r/>
    </w:p>
    <w:p>
      <w:pPr>
        <w:ind w:firstLine="480"/>
        <w:spacing w:line="360" w:lineRule="auto"/>
        <w:rPr>
          <w:color w:val="auto"/>
          <w:highlight w:val="none"/>
        </w:rPr>
      </w:pPr>
      <w:r>
        <w:rPr>
          <w:rFonts w:hint="eastAsia" w:ascii="宋体" w:hAnsi="宋体" w:eastAsia="宋体" w:cs="宋体"/>
          <w:bCs/>
          <w:color w:val="auto"/>
          <w:sz w:val="24"/>
          <w:szCs w:val="24"/>
          <w:highlight w:val="none"/>
        </w:rPr>
        <w:t xml:space="preserve">13.4.2法人</w:t>
      </w:r>
      <w:r>
        <w:rPr>
          <w:rFonts w:hint="eastAsia" w:ascii="宋体" w:hAnsi="宋体" w:eastAsia="宋体" w:cs="宋体"/>
          <w:color w:val="auto"/>
          <w:sz w:val="24"/>
          <w:szCs w:val="24"/>
          <w:highlight w:val="none"/>
        </w:rPr>
        <w:t xml:space="preserve">授权委托书、供应商授权代理人身份证复印件（如有授权）；</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13.4.3</w:t>
      </w:r>
      <w:r>
        <w:rPr>
          <w:rFonts w:hint="eastAsia" w:ascii="宋体" w:hAnsi="宋体" w:eastAsia="宋体" w:cs="宋体"/>
          <w:color w:val="auto"/>
          <w:sz w:val="24"/>
          <w:szCs w:val="24"/>
          <w:highlight w:val="none"/>
        </w:rPr>
        <w:t xml:space="preserve">供应商法定代表人身份证复印件；</w:t>
      </w:r>
      <w:r/>
    </w:p>
    <w:p>
      <w:pPr>
        <w:ind w:firstLine="480"/>
        <w:spacing w:line="360" w:lineRule="auto"/>
        <w:tabs>
          <w:tab w:val="left" w:pos="0" w:leader="none"/>
        </w:tabs>
        <w:rPr>
          <w:color w:val="auto"/>
          <w:highlight w:val="none"/>
        </w:rPr>
      </w:pPr>
      <w:r>
        <w:rPr>
          <w:rFonts w:hint="eastAsia" w:ascii="宋体" w:hAnsi="宋体" w:eastAsia="宋体" w:cs="宋体"/>
          <w:color w:val="auto"/>
          <w:sz w:val="24"/>
          <w:szCs w:val="24"/>
          <w:highlight w:val="none"/>
        </w:rPr>
        <w:t xml:space="preserve">13.4.4《</w:t>
      </w:r>
      <w:r>
        <w:rPr>
          <w:rFonts w:hint="eastAsia" w:ascii="宋体" w:hAnsi="宋体" w:eastAsia="宋体" w:cs="宋体"/>
          <w:color w:val="auto"/>
          <w:sz w:val="24"/>
          <w:szCs w:val="24"/>
          <w:highlight w:val="none"/>
          <w:shd w:val="clear" w:color="auto" w:fill="ffffff"/>
        </w:rPr>
        <w:t xml:space="preserve">资格文件的声明函》</w:t>
      </w:r>
      <w:r>
        <w:rPr>
          <w:rFonts w:hint="eastAsia" w:ascii="宋体" w:hAnsi="宋体" w:eastAsia="宋体" w:cs="宋体"/>
          <w:color w:val="auto"/>
          <w:sz w:val="24"/>
          <w:szCs w:val="24"/>
          <w:highlight w:val="none"/>
        </w:rPr>
        <w:t xml:space="preserve">（格式见第三章）；</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13.4.5《供应商与其他单位存在控股、管理关系情况表》（格式见第三章）；</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bCs/>
          <w:color w:val="auto"/>
          <w:sz w:val="24"/>
          <w:szCs w:val="24"/>
          <w:highlight w:val="none"/>
        </w:rPr>
        <w:t xml:space="preserve">13.4.6</w:t>
      </w:r>
      <w:r>
        <w:rPr>
          <w:rFonts w:hint="eastAsia" w:ascii="宋体" w:hAnsi="宋体" w:eastAsia="宋体" w:cs="宋体"/>
          <w:color w:val="auto"/>
          <w:sz w:val="24"/>
          <w:szCs w:val="24"/>
          <w:highlight w:val="none"/>
          <w:shd w:val="clear" w:color="auto" w:fill="ffffff"/>
        </w:rPr>
        <w:t xml:space="preserve">《服务或技术要求偏离表》、《商务条款偏离表》（格式见第三章）；</w:t>
      </w:r>
      <w:r/>
    </w:p>
    <w:p>
      <w:pPr>
        <w:pStyle w:val="1041"/>
        <w:ind w:firstLine="480"/>
        <w:jc w:val="both"/>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13.4.7项目组人员一览表（格式见第三章）；</w:t>
      </w:r>
      <w:r/>
    </w:p>
    <w:p>
      <w:pPr>
        <w:ind w:firstLine="480"/>
        <w:jc w:val="both"/>
        <w:spacing w:line="360" w:lineRule="auto"/>
        <w:tabs>
          <w:tab w:val="left" w:pos="1320"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13.4.8技术支持以及售后服务承诺</w:t>
      </w:r>
      <w:r>
        <w:rPr>
          <w:rFonts w:hint="eastAsia" w:ascii="宋体" w:hAnsi="宋体" w:eastAsia="宋体" w:cs="宋体"/>
          <w:bCs/>
          <w:color w:val="auto"/>
          <w:sz w:val="24"/>
          <w:szCs w:val="24"/>
          <w:highlight w:val="none"/>
          <w:lang w:val="en-US" w:eastAsia="zh-CN" w:bidi="ar-SA"/>
        </w:rPr>
        <w:t xml:space="preserve">（格式见第三章）；</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13.4.</w:t>
      </w:r>
      <w:r>
        <w:rPr>
          <w:rFonts w:hint="eastAsia" w:ascii="宋体" w:hAnsi="宋体" w:eastAsia="宋体" w:cs="宋体"/>
          <w:color w:val="auto"/>
          <w:sz w:val="24"/>
          <w:szCs w:val="24"/>
          <w:highlight w:val="none"/>
          <w:shd w:val="clear" w:color="auto" w:fill="ffffff"/>
          <w:lang w:val="en-US" w:eastAsia="zh-CN"/>
        </w:rPr>
        <w:t xml:space="preserve">9</w:t>
      </w:r>
      <w:r>
        <w:rPr>
          <w:rFonts w:hint="eastAsia" w:ascii="宋体" w:hAnsi="宋体" w:eastAsia="宋体" w:cs="宋体"/>
          <w:color w:val="auto"/>
          <w:sz w:val="24"/>
          <w:szCs w:val="24"/>
          <w:highlight w:val="none"/>
          <w:shd w:val="clear" w:color="auto" w:fill="ffffff"/>
        </w:rPr>
        <w:t xml:space="preserve">采购需求中所涉及到的或供应商认为需加以说明或证明的其他有关符合性证明材料、证明（如有）；</w:t>
      </w:r>
      <w:r/>
    </w:p>
    <w:p>
      <w:pPr>
        <w:ind w:firstLine="482"/>
        <w:spacing w:line="360" w:lineRule="auto"/>
        <w:rPr>
          <w:rFonts w:ascii="宋体" w:hAnsi="宋体" w:eastAsia="宋体" w:cs="宋体"/>
          <w:b/>
          <w:bCs/>
          <w:color w:val="auto"/>
          <w:sz w:val="24"/>
          <w:szCs w:val="24"/>
          <w:highlight w:val="none"/>
          <w:u w:val="single"/>
          <w:shd w:val="clear" w:color="auto" w:fill="ffffff"/>
        </w:rPr>
      </w:pPr>
      <w:r>
        <w:rPr>
          <w:rFonts w:hint="eastAsia" w:ascii="宋体" w:hAnsi="宋体" w:eastAsia="宋体" w:cs="宋体"/>
          <w:b/>
          <w:bCs/>
          <w:color w:val="auto"/>
          <w:sz w:val="24"/>
          <w:szCs w:val="24"/>
          <w:highlight w:val="none"/>
          <w:u w:val="single"/>
          <w:shd w:val="clear" w:color="auto" w:fill="ffffff"/>
        </w:rPr>
        <w:t xml:space="preserve">以上13.4.1—13.4.</w:t>
      </w:r>
      <w:r>
        <w:rPr>
          <w:rFonts w:hint="eastAsia" w:ascii="宋体" w:hAnsi="宋体" w:eastAsia="宋体" w:cs="宋体"/>
          <w:b/>
          <w:bCs/>
          <w:color w:val="auto"/>
          <w:sz w:val="24"/>
          <w:szCs w:val="24"/>
          <w:highlight w:val="none"/>
          <w:u w:val="single"/>
          <w:shd w:val="clear" w:color="auto" w:fill="ffffff"/>
          <w:lang w:val="en-US" w:eastAsia="zh-CN"/>
        </w:rPr>
        <w:t xml:space="preserve">9</w:t>
      </w:r>
      <w:bookmarkStart w:id="47" w:name="_GoBack"/>
      <w:r/>
      <w:bookmarkEnd w:id="47"/>
      <w:r>
        <w:rPr>
          <w:rFonts w:hint="eastAsia" w:ascii="宋体" w:hAnsi="宋体" w:eastAsia="宋体" w:cs="宋体"/>
          <w:b/>
          <w:bCs/>
          <w:color w:val="auto"/>
          <w:sz w:val="24"/>
          <w:szCs w:val="24"/>
          <w:highlight w:val="none"/>
          <w:u w:val="single"/>
          <w:shd w:val="clear" w:color="auto" w:fill="ffffff"/>
        </w:rPr>
        <w:t xml:space="preserve">为符合性审查必须提供的资料，否则投标无效。</w:t>
      </w:r>
      <w:r/>
    </w:p>
    <w:p>
      <w:pPr>
        <w:ind w:firstLine="482"/>
        <w:spacing w:line="360" w:lineRule="auto"/>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13.5综合评审文件</w:t>
      </w:r>
      <w:r/>
    </w:p>
    <w:p>
      <w:pPr>
        <w:ind w:firstLine="480"/>
        <w:spacing w:line="360" w:lineRule="auto"/>
        <w:rPr>
          <w:rFonts w:cs="宋体" w:asciiTheme="minorEastAsia" w:hAnsiTheme="minorEastAsia"/>
          <w:color w:val="auto"/>
          <w:sz w:val="24"/>
          <w:szCs w:val="24"/>
          <w:highlight w:val="none"/>
          <w:shd w:val="clear" w:color="auto" w:fill="ffffff"/>
        </w:rPr>
      </w:pPr>
      <w:r>
        <w:rPr>
          <w:rFonts w:hint="eastAsia" w:cs="宋体" w:asciiTheme="minorEastAsia" w:hAnsiTheme="minorEastAsia"/>
          <w:color w:val="auto"/>
          <w:sz w:val="24"/>
          <w:szCs w:val="24"/>
          <w:highlight w:val="none"/>
          <w:shd w:val="clear" w:color="auto" w:fill="ffffff"/>
        </w:rPr>
        <w:t xml:space="preserve">13.5.1《类似业绩情况表》</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13.5.2评分标准中所涉及到针对本项目的各项服务实施方案、相关制度、证书、业绩、承诺函及其他材料、证明等（部分格式见第三章）。</w:t>
      </w:r>
      <w:r/>
    </w:p>
    <w:p>
      <w:pPr>
        <w:ind w:firstLine="480"/>
        <w:spacing w:line="360" w:lineRule="auto"/>
        <w:rPr>
          <w:rFonts w:ascii="宋体" w:hAnsi="宋体" w:eastAsia="宋体" w:cs="宋体"/>
          <w:color w:val="auto"/>
          <w:sz w:val="24"/>
          <w:szCs w:val="24"/>
          <w:highlight w:val="none"/>
          <w:shd w:val="clear" w:color="auto" w:fill="ffffff"/>
        </w:rPr>
      </w:pPr>
      <w:r/>
      <w:bookmarkStart w:id="9" w:name="_Hlk158131259"/>
      <w:r>
        <w:rPr>
          <w:rFonts w:hint="eastAsia" w:ascii="宋体" w:hAnsi="宋体" w:eastAsia="宋体" w:cs="宋体"/>
          <w:color w:val="auto"/>
          <w:sz w:val="24"/>
          <w:szCs w:val="24"/>
          <w:highlight w:val="none"/>
          <w:shd w:val="clear" w:color="auto" w:fill="ffffff"/>
        </w:rPr>
        <w:t xml:space="preserve">注：制作电子投标文件时请与电子投标文件制作软件目录一一对应，将相关资料上传至相应模块。供应商应保证上传的投标文件完整、清晰可辨认，若因上传资料过小或模糊不清等无法辨认的都视为该资料未提供。</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供应商必须保证全部投标资料的真实性，如有虚假或对招标文件所要求说明的情况故意隐瞒或虚报，视为不实质性响应招标文件，响应无效。</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如供应商投标文件中某些条款不响应招标文件提出的全部服务内容与要求，须在偏离表中逐条列出，未列出的视同响应。</w:t>
      </w:r>
      <w:bookmarkEnd w:id="9"/>
      <w:r/>
      <w:r/>
    </w:p>
    <w:p>
      <w:pPr>
        <w:ind w:firstLine="482"/>
        <w:spacing w:line="360" w:lineRule="auto"/>
        <w:tabs>
          <w:tab w:val="left" w:pos="142" w:leader="none"/>
          <w:tab w:val="left" w:pos="600" w:leader="none"/>
        </w:tabs>
        <w:rPr>
          <w:rFonts w:ascii="宋体" w:hAnsi="宋体" w:eastAsia="宋体" w:cs="Times New Roman"/>
          <w:b/>
          <w:color w:val="auto"/>
          <w:sz w:val="24"/>
          <w:szCs w:val="24"/>
          <w:highlight w:val="none"/>
          <w:shd w:val="clear" w:color="auto" w:fill="ffffff"/>
        </w:rPr>
      </w:pPr>
      <w:r>
        <w:rPr>
          <w:rFonts w:hint="eastAsia" w:ascii="宋体" w:hAnsi="宋体" w:eastAsia="宋体" w:cs="Times New Roman"/>
          <w:b/>
          <w:color w:val="auto"/>
          <w:sz w:val="24"/>
          <w:szCs w:val="24"/>
          <w:highlight w:val="none"/>
          <w:shd w:val="clear" w:color="auto" w:fill="ffffff"/>
        </w:rPr>
        <w:t xml:space="preserve">14.电子投标文件的编制与</w:t>
      </w:r>
      <w:bookmarkStart w:id="10" w:name="_Hlk158131382"/>
      <w:r>
        <w:rPr>
          <w:rFonts w:hint="eastAsia" w:ascii="宋体" w:hAnsi="宋体" w:eastAsia="宋体" w:cs="Times New Roman"/>
          <w:b/>
          <w:color w:val="auto"/>
          <w:sz w:val="24"/>
          <w:szCs w:val="24"/>
          <w:highlight w:val="none"/>
          <w:shd w:val="clear" w:color="auto" w:fill="ffffff"/>
        </w:rPr>
        <w:t xml:space="preserve">递交</w:t>
      </w:r>
      <w:bookmarkEnd w:id="10"/>
      <w:r/>
      <w:r/>
    </w:p>
    <w:p>
      <w:pPr>
        <w:ind w:firstLine="480"/>
        <w:jc w:val="left"/>
        <w:spacing w:line="360" w:lineRule="auto"/>
        <w:tabs>
          <w:tab w:val="left" w:pos="142" w:leader="none"/>
          <w:tab w:val="left" w:pos="600" w:leader="none"/>
        </w:tabs>
        <w:rPr>
          <w:rFonts w:ascii="宋体" w:hAnsi="宋体" w:eastAsia="宋体" w:cs="Times New Roman"/>
          <w:color w:val="auto"/>
          <w:sz w:val="24"/>
          <w:szCs w:val="24"/>
          <w:highlight w:val="none"/>
        </w:rPr>
      </w:pPr>
      <w:r/>
      <w:bookmarkStart w:id="11" w:name="_Hlk140247794"/>
      <w:r>
        <w:rPr>
          <w:rFonts w:hint="eastAsia" w:ascii="宋体" w:hAnsi="宋体" w:eastAsia="宋体" w:cs="Times New Roman"/>
          <w:color w:val="auto"/>
          <w:sz w:val="24"/>
          <w:szCs w:val="24"/>
          <w:highlight w:val="none"/>
        </w:rPr>
        <w:t xml:space="preserve">14.1电子投标文件制作：本项目为网上招投标项目，请供应商插入CA证书登陆“苏采云”系统下载客户端（参与项目页面可下载客户端及客户端使用说明），在客户端编制电子投标（响应）文件并进行CA加密。操作步骤详见“苏采云”系统页面提示和《操作手册》。</w:t>
      </w:r>
      <w:r/>
    </w:p>
    <w:p>
      <w:pPr>
        <w:ind w:firstLine="480"/>
        <w:jc w:val="left"/>
        <w:spacing w:line="360" w:lineRule="auto"/>
        <w:tabs>
          <w:tab w:val="left" w:pos="142" w:leader="none"/>
          <w:tab w:val="left" w:pos="600" w:leader="none"/>
        </w:tabs>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14.2电子投标文件递交：供应商应当按照《操作手册》指引，在投标文件提交截止时间前完成电子投标文件的上传，未按要求成功上传的投标文件视为未递交。供应商应充分考虑到网络环境、网络带宽等风险因素，如因供应商自身原因造成的电子投标文件上传不成功由供应商自行承担全部责任。</w:t>
      </w:r>
      <w:r/>
    </w:p>
    <w:p>
      <w:pPr>
        <w:ind w:firstLine="480"/>
        <w:jc w:val="left"/>
        <w:spacing w:line="360" w:lineRule="auto"/>
        <w:tabs>
          <w:tab w:val="left" w:pos="142" w:leader="none"/>
          <w:tab w:val="left" w:pos="600" w:leader="none"/>
        </w:tabs>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80"/>
        <w:jc w:val="left"/>
        <w:spacing w:line="360" w:lineRule="auto"/>
        <w:tabs>
          <w:tab w:val="left" w:pos="142" w:leader="none"/>
          <w:tab w:val="left" w:pos="600" w:leader="none"/>
        </w:tabs>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如本项目在政府采购信息发布媒体上发布了更正（补充）公告，请供应商务必在“苏采云”系统中下载更正（补充）资料，根据更正后的招标文件重新编制电子投标（响应）文件并递交，否则可能无法解密，因此导致的响应失败等不利后果由供应商自行承担。</w:t>
      </w:r>
      <w:r/>
    </w:p>
    <w:p>
      <w:pPr>
        <w:ind w:firstLine="482"/>
        <w:jc w:val="left"/>
        <w:spacing w:line="360" w:lineRule="auto"/>
        <w:tabs>
          <w:tab w:val="left" w:pos="142" w:leader="none"/>
          <w:tab w:val="left" w:pos="600" w:leader="none"/>
        </w:tabs>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14.3投标文件未按照招标文件要求加盖CA电子公章的，响应无效。</w:t>
      </w:r>
      <w:r/>
    </w:p>
    <w:p>
      <w:pPr>
        <w:ind w:firstLine="480"/>
        <w:jc w:val="left"/>
        <w:spacing w:line="360" w:lineRule="auto"/>
        <w:tabs>
          <w:tab w:val="left" w:pos="142" w:leader="none"/>
          <w:tab w:val="left" w:pos="600" w:leader="none"/>
        </w:tabs>
        <w:rPr>
          <w:rFonts w:ascii="宋体" w:hAnsi="宋体" w:eastAsia="宋体" w:cs="Times New Roman"/>
          <w:color w:val="auto"/>
          <w:sz w:val="24"/>
          <w:szCs w:val="24"/>
          <w:highlight w:val="none"/>
        </w:rPr>
      </w:pPr>
      <w:r/>
      <w:bookmarkStart w:id="12" w:name="_Hlk158134955"/>
      <w:r>
        <w:rPr>
          <w:rFonts w:hint="eastAsia" w:ascii="宋体" w:hAnsi="宋体" w:eastAsia="宋体" w:cs="Times New Roman"/>
          <w:color w:val="auto"/>
          <w:sz w:val="24"/>
          <w:szCs w:val="24"/>
          <w:highlight w:val="none"/>
        </w:rPr>
        <w:t xml:space="preserve">14.4联合体投标：如招标公告中允许联合体投标，联合体投标的投标文件制作上传操作如下：</w:t>
      </w:r>
      <w:r/>
    </w:p>
    <w:p>
      <w:pPr>
        <w:pStyle w:val="969"/>
        <w:ind w:left="0" w:firstLine="480"/>
        <w:spacing w:line="360" w:lineRule="auto"/>
        <w:rPr>
          <w:rFonts w:ascii="宋体" w:hAnsi="宋体" w:eastAsia="宋体"/>
          <w:bCs/>
          <w:color w:val="auto"/>
          <w:szCs w:val="24"/>
          <w:highlight w:val="none"/>
        </w:rPr>
      </w:pPr>
      <w:r>
        <w:rPr>
          <w:rFonts w:hint="eastAsia" w:ascii="宋体" w:hAnsi="宋体" w:eastAsia="宋体"/>
          <w:color w:val="auto"/>
          <w:szCs w:val="24"/>
          <w:highlight w:val="none"/>
        </w:rPr>
        <w:t xml:space="preserve">第一步：在投标文件中上传联合体投标协议书。</w:t>
      </w:r>
      <w:r>
        <w:rPr>
          <w:rFonts w:hint="eastAsia" w:ascii="宋体" w:hAnsi="宋体" w:eastAsia="宋体"/>
          <w:bCs/>
          <w:color w:val="auto"/>
          <w:szCs w:val="24"/>
          <w:highlight w:val="none"/>
        </w:rPr>
        <w:t xml:space="preserve">（注:联合投标协议书须盖有联合体各方实体公章或电子章，否则投标无效。）</w:t>
      </w:r>
      <w:r/>
    </w:p>
    <w:p>
      <w:pPr>
        <w:ind w:firstLine="480"/>
        <w:jc w:val="left"/>
        <w:spacing w:line="360" w:lineRule="auto"/>
        <w:tabs>
          <w:tab w:val="left" w:pos="142" w:leader="none"/>
          <w:tab w:val="left" w:pos="600" w:leader="none"/>
        </w:tabs>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第二步；由联合体中的牵头人制作并上传投标文件。</w:t>
      </w:r>
      <w:bookmarkEnd w:id="12"/>
      <w:r/>
      <w:r/>
    </w:p>
    <w:p>
      <w:pPr>
        <w:ind w:firstLine="480"/>
        <w:jc w:val="left"/>
        <w:spacing w:line="360" w:lineRule="auto"/>
        <w:tabs>
          <w:tab w:val="left" w:pos="142" w:leader="none"/>
          <w:tab w:val="left" w:pos="600" w:leader="none"/>
        </w:tabs>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14.5如投标文件制作机器码信息一致，视为不同投标供应商使用同一台电脑编制投标文件，投标无效。</w:t>
      </w:r>
      <w:bookmarkEnd w:id="11"/>
      <w:r/>
      <w:r/>
    </w:p>
    <w:p>
      <w:pPr>
        <w:ind w:firstLine="482"/>
        <w:spacing w:line="360" w:lineRule="auto"/>
        <w:rPr>
          <w:rFonts w:ascii="宋体" w:hAnsi="宋体" w:eastAsia="宋体" w:cs="Times New Roman"/>
          <w:b/>
          <w:color w:val="auto"/>
          <w:sz w:val="24"/>
          <w:szCs w:val="24"/>
          <w:highlight w:val="none"/>
          <w:shd w:val="clear" w:color="auto" w:fill="ffffff"/>
        </w:rPr>
      </w:pPr>
      <w:r>
        <w:rPr>
          <w:rFonts w:hint="eastAsia" w:ascii="宋体" w:hAnsi="宋体" w:eastAsia="宋体" w:cs="Times New Roman"/>
          <w:b/>
          <w:color w:val="auto"/>
          <w:sz w:val="24"/>
          <w:szCs w:val="24"/>
          <w:highlight w:val="none"/>
          <w:shd w:val="clear" w:color="auto" w:fill="ffffff"/>
        </w:rPr>
        <w:t xml:space="preserve">15</w:t>
      </w:r>
      <w:r>
        <w:rPr>
          <w:rFonts w:ascii="宋体" w:hAnsi="宋体" w:eastAsia="宋体" w:cs="Times New Roman"/>
          <w:b/>
          <w:color w:val="auto"/>
          <w:sz w:val="24"/>
          <w:szCs w:val="24"/>
          <w:highlight w:val="none"/>
          <w:shd w:val="clear" w:color="auto" w:fill="ffffff"/>
        </w:rPr>
        <w:t xml:space="preserve">.</w:t>
      </w:r>
      <w:r>
        <w:rPr>
          <w:rFonts w:hint="eastAsia" w:ascii="宋体" w:hAnsi="宋体" w:eastAsia="宋体" w:cs="Times New Roman"/>
          <w:b/>
          <w:color w:val="auto"/>
          <w:sz w:val="24"/>
          <w:szCs w:val="24"/>
          <w:highlight w:val="none"/>
          <w:shd w:val="clear" w:color="auto" w:fill="ffffff"/>
        </w:rPr>
        <w:t xml:space="preserve">投标报价（编制）要求的说明</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15</w:t>
      </w:r>
      <w:r>
        <w:rPr>
          <w:rFonts w:ascii="宋体" w:hAnsi="宋体" w:eastAsia="宋体" w:cs="Times New Roman"/>
          <w:color w:val="auto"/>
          <w:sz w:val="24"/>
          <w:szCs w:val="24"/>
          <w:highlight w:val="none"/>
          <w:shd w:val="clear" w:color="auto" w:fill="ffffff"/>
        </w:rPr>
        <w:t xml:space="preserve">.1</w:t>
      </w:r>
      <w:r>
        <w:rPr>
          <w:rFonts w:hint="eastAsia" w:ascii="宋体" w:hAnsi="宋体" w:eastAsia="宋体" w:cs="Times New Roman"/>
          <w:color w:val="auto"/>
          <w:sz w:val="24"/>
          <w:szCs w:val="24"/>
          <w:highlight w:val="none"/>
          <w:shd w:val="clear" w:color="auto" w:fill="ffffff"/>
        </w:rPr>
        <w:t xml:space="preserve">投标</w:t>
      </w:r>
      <w:r>
        <w:rPr>
          <w:rFonts w:ascii="宋体" w:hAnsi="宋体" w:eastAsia="宋体" w:cs="Times New Roman"/>
          <w:color w:val="auto"/>
          <w:sz w:val="24"/>
          <w:szCs w:val="24"/>
          <w:highlight w:val="none"/>
          <w:shd w:val="clear" w:color="auto" w:fill="ffffff"/>
        </w:rPr>
        <w:t xml:space="preserve">报价</w:t>
      </w:r>
      <w:r>
        <w:rPr>
          <w:rFonts w:hint="eastAsia" w:ascii="宋体" w:hAnsi="宋体" w:eastAsia="宋体" w:cs="Times New Roman"/>
          <w:color w:val="auto"/>
          <w:sz w:val="24"/>
          <w:szCs w:val="24"/>
          <w:highlight w:val="none"/>
          <w:shd w:val="clear" w:color="auto" w:fill="ffffff"/>
        </w:rPr>
        <w:t xml:space="preserve">包括完成本招标项目所需的一切费用。投标报价为最终报价，除非因特殊原因并经买卖双方协商同意，供应商不得再要求追加任何费用。同时，除非合同条款中另有规定，否则，供应商所报价格在合同实施期间不因市场变化因素而变动。</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15.2供应商应对招标文件内所要采购的全部内容进行报价，只投其中部分内容者或仅对部分内容进行报价的，其投标文件将被拒绝。但如果招标文件要求分标段投标的，则供应商可以按招标文件要求有选择地只投其中一个或几个标段，但各标段应分别计算填写单价和总价。</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15</w:t>
      </w:r>
      <w:r>
        <w:rPr>
          <w:rFonts w:ascii="宋体" w:hAnsi="宋体" w:eastAsia="宋体" w:cs="Times New Roman"/>
          <w:color w:val="auto"/>
          <w:sz w:val="24"/>
          <w:szCs w:val="24"/>
          <w:highlight w:val="none"/>
          <w:shd w:val="clear" w:color="auto" w:fill="ffffff"/>
        </w:rPr>
        <w:t xml:space="preserve">.</w:t>
      </w:r>
      <w:r>
        <w:rPr>
          <w:rFonts w:hint="eastAsia" w:ascii="宋体" w:hAnsi="宋体" w:eastAsia="宋体" w:cs="Times New Roman"/>
          <w:color w:val="auto"/>
          <w:sz w:val="24"/>
          <w:szCs w:val="24"/>
          <w:highlight w:val="none"/>
          <w:shd w:val="clear" w:color="auto" w:fill="ffffff"/>
        </w:rPr>
        <w:t xml:space="preserve">3一项投标内容只允许一个报价，采购人或采购代理机构不接受任何有选择性的投标报价。</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15</w:t>
      </w:r>
      <w:r>
        <w:rPr>
          <w:rFonts w:ascii="宋体" w:hAnsi="宋体" w:eastAsia="宋体" w:cs="Times New Roman"/>
          <w:color w:val="auto"/>
          <w:sz w:val="24"/>
          <w:szCs w:val="24"/>
          <w:highlight w:val="none"/>
          <w:shd w:val="clear" w:color="auto" w:fill="ffffff"/>
        </w:rPr>
        <w:t xml:space="preserve">.</w:t>
      </w:r>
      <w:r>
        <w:rPr>
          <w:rFonts w:hint="eastAsia" w:ascii="宋体" w:hAnsi="宋体" w:eastAsia="宋体" w:cs="Times New Roman"/>
          <w:color w:val="auto"/>
          <w:sz w:val="24"/>
          <w:szCs w:val="24"/>
          <w:highlight w:val="none"/>
          <w:shd w:val="clear" w:color="auto" w:fill="ffffff"/>
        </w:rPr>
        <w:t xml:space="preserve">4投标文件报价中的单价和总价全部采用人民币表示，除非合同的特殊条款另有规定。</w:t>
      </w:r>
      <w:r/>
    </w:p>
    <w:p>
      <w:pPr>
        <w:ind w:firstLine="482"/>
        <w:spacing w:line="360" w:lineRule="auto"/>
        <w:rPr>
          <w:rFonts w:ascii="宋体" w:hAnsi="宋体" w:eastAsia="宋体" w:cs="Times New Roman"/>
          <w:b/>
          <w:color w:val="auto"/>
          <w:sz w:val="24"/>
          <w:szCs w:val="24"/>
          <w:highlight w:val="none"/>
          <w:shd w:val="clear" w:color="auto" w:fill="ffffff"/>
        </w:rPr>
      </w:pPr>
      <w:r>
        <w:rPr>
          <w:rFonts w:hint="eastAsia" w:ascii="宋体" w:hAnsi="宋体" w:eastAsia="宋体" w:cs="Times New Roman"/>
          <w:b/>
          <w:color w:val="auto"/>
          <w:sz w:val="24"/>
          <w:szCs w:val="24"/>
          <w:highlight w:val="none"/>
          <w:shd w:val="clear" w:color="auto" w:fill="ffffff"/>
        </w:rPr>
        <w:t xml:space="preserve">16</w:t>
      </w:r>
      <w:r>
        <w:rPr>
          <w:rFonts w:ascii="宋体" w:hAnsi="宋体" w:eastAsia="宋体" w:cs="Times New Roman"/>
          <w:b/>
          <w:color w:val="auto"/>
          <w:sz w:val="24"/>
          <w:szCs w:val="24"/>
          <w:highlight w:val="none"/>
          <w:shd w:val="clear" w:color="auto" w:fill="ffffff"/>
        </w:rPr>
        <w:t xml:space="preserve">.</w:t>
      </w:r>
      <w:r>
        <w:rPr>
          <w:rFonts w:hint="eastAsia" w:ascii="宋体" w:hAnsi="宋体" w:eastAsia="宋体" w:cs="Times New Roman"/>
          <w:b/>
          <w:color w:val="auto"/>
          <w:sz w:val="24"/>
          <w:szCs w:val="24"/>
          <w:highlight w:val="none"/>
          <w:shd w:val="clear" w:color="auto" w:fill="ffffff"/>
        </w:rPr>
        <w:t xml:space="preserve">投标保证金：无。</w:t>
      </w:r>
      <w:r/>
    </w:p>
    <w:p>
      <w:pPr>
        <w:ind w:firstLine="482"/>
        <w:spacing w:line="360" w:lineRule="auto"/>
        <w:rPr>
          <w:rFonts w:ascii="宋体" w:hAnsi="宋体" w:eastAsia="宋体" w:cs="Times New Roman"/>
          <w:color w:val="auto"/>
          <w:sz w:val="24"/>
          <w:szCs w:val="24"/>
          <w:highlight w:val="none"/>
          <w:shd w:val="clear" w:color="auto" w:fill="ffffff"/>
        </w:rPr>
      </w:pPr>
      <w:r>
        <w:rPr>
          <w:rFonts w:ascii="宋体" w:hAnsi="宋体" w:eastAsia="宋体" w:cs="Times New Roman"/>
          <w:b/>
          <w:color w:val="auto"/>
          <w:sz w:val="24"/>
          <w:szCs w:val="24"/>
          <w:highlight w:val="none"/>
          <w:shd w:val="clear" w:color="auto" w:fill="ffffff"/>
        </w:rPr>
        <w:t xml:space="preserve">1</w:t>
      </w:r>
      <w:r>
        <w:rPr>
          <w:rFonts w:hint="eastAsia" w:ascii="宋体" w:hAnsi="宋体" w:eastAsia="宋体" w:cs="Times New Roman"/>
          <w:b/>
          <w:color w:val="auto"/>
          <w:sz w:val="24"/>
          <w:szCs w:val="24"/>
          <w:highlight w:val="none"/>
          <w:shd w:val="clear" w:color="auto" w:fill="ffffff"/>
        </w:rPr>
        <w:t xml:space="preserve">7</w:t>
      </w:r>
      <w:r>
        <w:rPr>
          <w:rFonts w:ascii="宋体" w:hAnsi="宋体" w:eastAsia="宋体" w:cs="Times New Roman"/>
          <w:b/>
          <w:color w:val="auto"/>
          <w:sz w:val="24"/>
          <w:szCs w:val="24"/>
          <w:highlight w:val="none"/>
          <w:shd w:val="clear" w:color="auto" w:fill="ffffff"/>
        </w:rPr>
        <w:t xml:space="preserve">.</w:t>
      </w:r>
      <w:r>
        <w:rPr>
          <w:rFonts w:hint="eastAsia" w:ascii="宋体" w:hAnsi="宋体" w:eastAsia="宋体" w:cs="Times New Roman"/>
          <w:b/>
          <w:color w:val="auto"/>
          <w:sz w:val="24"/>
          <w:szCs w:val="24"/>
          <w:highlight w:val="none"/>
          <w:shd w:val="clear" w:color="auto" w:fill="ffffff"/>
        </w:rPr>
        <w:t xml:space="preserve">投标文件的有效期</w:t>
      </w:r>
      <w:r/>
    </w:p>
    <w:p>
      <w:pPr>
        <w:ind w:firstLine="480"/>
        <w:spacing w:line="360" w:lineRule="auto"/>
        <w:rPr>
          <w:rFonts w:ascii="宋体" w:hAnsi="宋体" w:eastAsia="宋体" w:cs="Times New Roman"/>
          <w:b/>
          <w:bCs/>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t xml:space="preserve">1</w:t>
      </w:r>
      <w:r>
        <w:rPr>
          <w:rFonts w:hint="eastAsia" w:ascii="宋体" w:hAnsi="宋体" w:eastAsia="宋体" w:cs="Times New Roman"/>
          <w:color w:val="auto"/>
          <w:sz w:val="24"/>
          <w:szCs w:val="24"/>
          <w:highlight w:val="none"/>
          <w:shd w:val="clear" w:color="auto" w:fill="ffffff"/>
        </w:rPr>
        <w:t xml:space="preserve">7</w:t>
      </w:r>
      <w:r>
        <w:rPr>
          <w:rFonts w:ascii="宋体" w:hAnsi="宋体" w:eastAsia="宋体" w:cs="Times New Roman"/>
          <w:color w:val="auto"/>
          <w:sz w:val="24"/>
          <w:szCs w:val="24"/>
          <w:highlight w:val="none"/>
          <w:shd w:val="clear" w:color="auto" w:fill="ffffff"/>
        </w:rPr>
        <w:t xml:space="preserve">.1</w:t>
      </w:r>
      <w:r>
        <w:rPr>
          <w:rFonts w:hint="eastAsia" w:ascii="宋体" w:hAnsi="宋体" w:eastAsia="宋体" w:cs="Times New Roman"/>
          <w:color w:val="auto"/>
          <w:sz w:val="24"/>
          <w:szCs w:val="24"/>
          <w:highlight w:val="none"/>
          <w:shd w:val="clear" w:color="auto" w:fill="ffffff"/>
        </w:rPr>
        <w:t xml:space="preserve">自投标</w:t>
      </w:r>
      <w:r>
        <w:rPr>
          <w:rFonts w:ascii="宋体" w:hAnsi="宋体" w:eastAsia="宋体" w:cs="Times New Roman"/>
          <w:color w:val="auto"/>
          <w:sz w:val="24"/>
          <w:szCs w:val="24"/>
          <w:highlight w:val="none"/>
          <w:shd w:val="clear" w:color="auto" w:fill="ffffff"/>
        </w:rPr>
        <w:t xml:space="preserve">截止</w:t>
      </w:r>
      <w:r>
        <w:rPr>
          <w:rFonts w:hint="eastAsia" w:ascii="宋体" w:hAnsi="宋体" w:eastAsia="宋体" w:cs="Times New Roman"/>
          <w:color w:val="auto"/>
          <w:sz w:val="24"/>
          <w:szCs w:val="24"/>
          <w:highlight w:val="none"/>
          <w:shd w:val="clear" w:color="auto" w:fill="ffffff"/>
        </w:rPr>
        <w:t xml:space="preserve">日起</w:t>
      </w:r>
      <w:r>
        <w:rPr>
          <w:rFonts w:hint="eastAsia" w:ascii="宋体" w:hAnsi="宋体" w:eastAsia="宋体" w:cs="Times New Roman"/>
          <w:color w:val="auto"/>
          <w:sz w:val="24"/>
          <w:szCs w:val="24"/>
          <w:highlight w:val="none"/>
          <w:u w:val="single"/>
          <w:shd w:val="clear" w:color="auto" w:fill="ffffff"/>
        </w:rPr>
        <w:t xml:space="preserve">90</w:t>
      </w:r>
      <w:r>
        <w:rPr>
          <w:rFonts w:hint="eastAsia" w:ascii="宋体" w:hAnsi="宋体" w:eastAsia="宋体" w:cs="Times New Roman"/>
          <w:color w:val="auto"/>
          <w:sz w:val="24"/>
          <w:szCs w:val="24"/>
          <w:highlight w:val="none"/>
          <w:shd w:val="clear" w:color="auto" w:fill="ffffff"/>
        </w:rPr>
        <w:t xml:space="preserve">天内，投标文件应保持有效。</w:t>
      </w:r>
      <w:r>
        <w:rPr>
          <w:rFonts w:hint="eastAsia" w:ascii="宋体" w:hAnsi="宋体" w:eastAsia="宋体" w:cs="Times New Roman"/>
          <w:b/>
          <w:bCs/>
          <w:color w:val="auto"/>
          <w:sz w:val="24"/>
          <w:szCs w:val="24"/>
          <w:highlight w:val="none"/>
          <w:shd w:val="clear" w:color="auto" w:fill="ffffff"/>
        </w:rPr>
        <w:t xml:space="preserve">有效期短于规定期限的投标将被拒绝。</w:t>
      </w:r>
      <w:r/>
    </w:p>
    <w:p>
      <w:pPr>
        <w:ind w:firstLine="480"/>
        <w:spacing w:line="360" w:lineRule="auto"/>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t xml:space="preserve">1</w:t>
      </w:r>
      <w:r>
        <w:rPr>
          <w:rFonts w:hint="eastAsia" w:ascii="宋体" w:hAnsi="宋体" w:eastAsia="宋体" w:cs="Times New Roman"/>
          <w:color w:val="auto"/>
          <w:sz w:val="24"/>
          <w:szCs w:val="24"/>
          <w:highlight w:val="none"/>
          <w:shd w:val="clear" w:color="auto" w:fill="ffffff"/>
        </w:rPr>
        <w:t xml:space="preserve">7</w:t>
      </w:r>
      <w:r>
        <w:rPr>
          <w:rFonts w:ascii="宋体" w:hAnsi="宋体" w:eastAsia="宋体" w:cs="Times New Roman"/>
          <w:color w:val="auto"/>
          <w:sz w:val="24"/>
          <w:szCs w:val="24"/>
          <w:highlight w:val="none"/>
          <w:shd w:val="clear" w:color="auto" w:fill="ffffff"/>
        </w:rPr>
        <w:t xml:space="preserve">.2</w:t>
      </w:r>
      <w:r>
        <w:rPr>
          <w:rFonts w:hint="eastAsia" w:ascii="宋体" w:hAnsi="宋体" w:eastAsia="宋体" w:cs="Times New Roman"/>
          <w:color w:val="auto"/>
          <w:sz w:val="24"/>
          <w:szCs w:val="24"/>
          <w:highlight w:val="none"/>
          <w:shd w:val="clear" w:color="auto" w:fill="ffffff"/>
        </w:rPr>
        <w:t xml:space="preserve">在特殊情况下，采购人或采购代理机构可与供应商协商延长投标文件的有效期。这种要求和答复都应以书面形式进行。同意延长有效期的供应商不能修改投标文件。拒绝接受延期要求的供应商的投标将被拒绝。</w:t>
      </w:r>
      <w:r/>
    </w:p>
    <w:p>
      <w:pPr>
        <w:ind w:firstLine="482"/>
        <w:spacing w:line="360" w:lineRule="auto"/>
        <w:rPr>
          <w:rFonts w:ascii="宋体" w:hAnsi="宋体" w:eastAsia="宋体" w:cs="Times New Roman"/>
          <w:b/>
          <w:color w:val="auto"/>
          <w:sz w:val="24"/>
          <w:szCs w:val="24"/>
          <w:highlight w:val="none"/>
          <w:shd w:val="clear" w:color="auto" w:fill="ffffff"/>
        </w:rPr>
      </w:pPr>
      <w:r>
        <w:rPr>
          <w:rFonts w:hint="eastAsia" w:ascii="宋体" w:hAnsi="宋体" w:eastAsia="宋体" w:cs="Times New Roman"/>
          <w:b/>
          <w:color w:val="auto"/>
          <w:sz w:val="24"/>
          <w:szCs w:val="24"/>
          <w:highlight w:val="none"/>
          <w:shd w:val="clear" w:color="auto" w:fill="ffffff"/>
        </w:rPr>
        <w:t xml:space="preserve">18</w:t>
      </w:r>
      <w:r>
        <w:rPr>
          <w:rFonts w:ascii="宋体" w:hAnsi="宋体" w:eastAsia="宋体" w:cs="Times New Roman"/>
          <w:b/>
          <w:color w:val="auto"/>
          <w:sz w:val="24"/>
          <w:szCs w:val="24"/>
          <w:highlight w:val="none"/>
          <w:shd w:val="clear" w:color="auto" w:fill="ffffff"/>
        </w:rPr>
        <w:t xml:space="preserve">.</w:t>
      </w:r>
      <w:r>
        <w:rPr>
          <w:rFonts w:hint="eastAsia" w:ascii="宋体" w:hAnsi="宋体" w:eastAsia="宋体" w:cs="Times New Roman"/>
          <w:b/>
          <w:color w:val="auto"/>
          <w:sz w:val="24"/>
          <w:szCs w:val="24"/>
          <w:highlight w:val="none"/>
        </w:rPr>
        <w:t xml:space="preserve">投标截止时间</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18.1采购人或采购代理机构推迟投标截止时间时，将发布更正（补充）公告。在这种情况下，采购人或采购代理机构和供应商的权利和义务将受到新的截止期的约束。</w:t>
      </w:r>
      <w:r/>
    </w:p>
    <w:p>
      <w:pPr>
        <w:ind w:firstLine="480"/>
        <w:spacing w:line="360" w:lineRule="auto"/>
        <w:rPr>
          <w:rFonts w:ascii="宋体" w:hAnsi="宋体" w:eastAsia="宋体" w:cs="Times New Roman"/>
          <w:b/>
          <w:color w:val="auto"/>
          <w:sz w:val="24"/>
          <w:szCs w:val="21"/>
          <w:highlight w:val="none"/>
        </w:rPr>
      </w:pPr>
      <w:r>
        <w:rPr>
          <w:rFonts w:hint="eastAsia" w:ascii="宋体" w:hAnsi="宋体" w:eastAsia="宋体" w:cs="Times New Roman"/>
          <w:color w:val="auto"/>
          <w:sz w:val="24"/>
          <w:szCs w:val="24"/>
          <w:highlight w:val="none"/>
        </w:rPr>
        <w:t xml:space="preserve">18.2在投标截止时间止采购人或采购代理机构收到的某标段投标文件少于三份，采购人或采购代理机构有权宣布该标段本次招标失败。</w:t>
      </w:r>
      <w:bookmarkStart w:id="13" w:name="_Hlk117242692"/>
      <w:r/>
      <w:bookmarkStart w:id="14" w:name="_Hlk116314345"/>
      <w:r/>
      <w:bookmarkEnd w:id="13"/>
      <w:r/>
      <w:bookmarkEnd w:id="14"/>
      <w:r/>
      <w:r/>
    </w:p>
    <w:p>
      <w:pPr>
        <w:ind w:firstLine="482"/>
        <w:spacing w:line="360" w:lineRule="auto"/>
        <w:rPr>
          <w:color w:val="auto"/>
          <w:highlight w:val="none"/>
        </w:rPr>
        <w:outlineLvl w:val="1"/>
      </w:pPr>
      <w:r>
        <w:rPr>
          <w:rFonts w:hint="eastAsia" w:ascii="宋体" w:hAnsi="宋体" w:eastAsia="宋体" w:cs="Times New Roman"/>
          <w:b/>
          <w:bCs/>
          <w:color w:val="auto"/>
          <w:sz w:val="24"/>
          <w:szCs w:val="20"/>
          <w:highlight w:val="none"/>
          <w:shd w:val="clear" w:color="auto" w:fill="ffffff"/>
        </w:rPr>
        <w:t xml:space="preserve">四、开标和评标</w:t>
      </w:r>
      <w:r/>
    </w:p>
    <w:p>
      <w:pPr>
        <w:ind w:firstLine="482"/>
        <w:spacing w:line="360" w:lineRule="auto"/>
        <w:rPr>
          <w:rFonts w:ascii="宋体" w:hAnsi="宋体" w:eastAsia="宋体" w:cs="Times New Roman"/>
          <w:b/>
          <w:color w:val="auto"/>
          <w:sz w:val="24"/>
          <w:szCs w:val="24"/>
          <w:highlight w:val="none"/>
          <w:shd w:val="clear" w:color="auto" w:fill="ffffff"/>
        </w:rPr>
      </w:pPr>
      <w:r>
        <w:rPr>
          <w:rFonts w:hint="eastAsia" w:ascii="宋体" w:hAnsi="宋体" w:eastAsia="宋体" w:cs="Times New Roman"/>
          <w:b/>
          <w:color w:val="auto"/>
          <w:sz w:val="24"/>
          <w:szCs w:val="24"/>
          <w:highlight w:val="none"/>
          <w:shd w:val="clear" w:color="auto" w:fill="ffffff"/>
        </w:rPr>
        <w:t xml:space="preserve">19</w:t>
      </w:r>
      <w:r>
        <w:rPr>
          <w:rFonts w:ascii="宋体" w:hAnsi="宋体" w:eastAsia="宋体" w:cs="Times New Roman"/>
          <w:b/>
          <w:color w:val="auto"/>
          <w:sz w:val="24"/>
          <w:szCs w:val="24"/>
          <w:highlight w:val="none"/>
          <w:shd w:val="clear" w:color="auto" w:fill="ffffff"/>
        </w:rPr>
        <w:t xml:space="preserve">.</w:t>
      </w:r>
      <w:r>
        <w:rPr>
          <w:rFonts w:hint="eastAsia" w:ascii="宋体" w:hAnsi="宋体" w:eastAsia="宋体" w:cs="Times New Roman"/>
          <w:b/>
          <w:color w:val="auto"/>
          <w:sz w:val="24"/>
          <w:szCs w:val="24"/>
          <w:highlight w:val="none"/>
          <w:shd w:val="clear" w:color="auto" w:fill="ffffff"/>
        </w:rPr>
        <w:t xml:space="preserve">开标</w:t>
      </w:r>
      <w:r/>
    </w:p>
    <w:p>
      <w:pPr>
        <w:ind w:firstLine="480"/>
        <w:spacing w:line="360" w:lineRule="auto"/>
        <w:rPr>
          <w:rFonts w:ascii="宋体" w:hAnsi="宋体" w:eastAsia="宋体" w:cs="Times New Roman"/>
          <w:color w:val="auto"/>
          <w:sz w:val="24"/>
          <w:szCs w:val="24"/>
          <w:highlight w:val="none"/>
        </w:rPr>
      </w:pPr>
      <w:r/>
      <w:bookmarkStart w:id="15" w:name="_Hlk92794076"/>
      <w:r>
        <w:rPr>
          <w:rFonts w:hint="eastAsia" w:ascii="宋体" w:hAnsi="宋体" w:eastAsia="宋体" w:cs="Times New Roman"/>
          <w:color w:val="auto"/>
          <w:sz w:val="24"/>
          <w:szCs w:val="24"/>
          <w:highlight w:val="none"/>
        </w:rPr>
        <w:t xml:space="preserve">19.1本项目为不见面开标项目，开标阶段供应商在【解密环节】必须使用CA证书解密电子投标（响应）文件，请供应商确保电脑、系统及其他设备（视频输入输出设备等）无误，且开启直至项目结束始终保持系统在线状态。</w:t>
      </w:r>
      <w:r/>
    </w:p>
    <w:p>
      <w:pPr>
        <w:ind w:firstLine="480"/>
        <w:spacing w:line="360" w:lineRule="auto"/>
        <w:rPr>
          <w:rFonts w:ascii="宋体" w:hAnsi="宋体" w:eastAsia="宋体" w:cs="Times New Roman"/>
          <w:color w:val="auto"/>
          <w:sz w:val="24"/>
          <w:szCs w:val="24"/>
          <w:highlight w:val="none"/>
        </w:rPr>
      </w:pPr>
      <w:r/>
      <w:bookmarkStart w:id="16" w:name="_Hlk90652960"/>
      <w:r>
        <w:rPr>
          <w:rFonts w:hint="eastAsia" w:ascii="宋体" w:hAnsi="宋体" w:eastAsia="宋体" w:cs="Times New Roman"/>
          <w:color w:val="auto"/>
          <w:sz w:val="24"/>
          <w:szCs w:val="24"/>
          <w:highlight w:val="none"/>
        </w:rPr>
        <w:t xml:space="preserve">19.2线上参加（观看）开标（开启）会方式：登录“苏采云”系统，点击“开标大厅”，选择对应项目，点击进入不见面开标系统。</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19.3开标时，供应商对开标过程和开标记录有疑义，以及认为采购人、采购代理机构相关工作人员有需要回避的情形的，应当场通过不见面开标系统的“留言板”栏目提出询问或者回避申请。采购人、采购代理机构对供应商代表提出的询问或者回避申请应当及时处理。为了保证开标秩序，请不要在互动交流中发表与开标无关的言论。开标中出现异常情况时，将通过“公告栏”栏目发布相关信息，请供应商及时关注。</w:t>
      </w:r>
      <w:bookmarkEnd w:id="16"/>
      <w:r/>
      <w:r/>
    </w:p>
    <w:p>
      <w:pPr>
        <w:ind w:firstLine="480"/>
        <w:spacing w:line="360" w:lineRule="auto"/>
        <w:rPr>
          <w:rFonts w:ascii="宋体" w:hAnsi="宋体" w:eastAsia="宋体" w:cs="Times New Roman"/>
          <w:color w:val="auto"/>
          <w:sz w:val="24"/>
          <w:szCs w:val="24"/>
          <w:highlight w:val="none"/>
        </w:rPr>
      </w:pPr>
      <w:r/>
      <w:bookmarkStart w:id="17" w:name="_Hlk158135485"/>
      <w:r>
        <w:rPr>
          <w:rFonts w:hint="eastAsia" w:ascii="宋体" w:hAnsi="宋体" w:eastAsia="宋体" w:cs="Times New Roman"/>
          <w:color w:val="auto"/>
          <w:sz w:val="24"/>
          <w:szCs w:val="24"/>
          <w:highlight w:val="none"/>
        </w:rPr>
        <w:t xml:space="preserve">19.4开标时，供应商应当按照《操作手册》规定，在“苏采云”系统规定的时间内对投标文件进行解密。等待开标流程进入“解锁环境”，点击“点击立即解密”进行标书解密，解锁完成后及时关注开标大厅，等待后续答疑澄清等提示，否则导致的对供应商不利的后果由供应商自行承担</w:t>
      </w:r>
      <w:bookmarkEnd w:id="17"/>
      <w:r>
        <w:rPr>
          <w:rFonts w:hint="eastAsia" w:ascii="宋体" w:hAnsi="宋体" w:eastAsia="宋体" w:cs="Times New Roman"/>
          <w:color w:val="auto"/>
          <w:sz w:val="24"/>
          <w:szCs w:val="24"/>
          <w:highlight w:val="none"/>
        </w:rPr>
        <w:t xml:space="preserve">。</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19.5供应商在“苏采云”系统规定的时间内未成功解密电子投标文件的，投标无效。</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19.6供应商电脑环境最低要求：谷歌浏览器，版本可直接网上下载最新版本即可。如需收听现场语音需配置放音设备，如视频直播、互动交流使用异常，请刷新网页，如仍无法解决，请联系技术支持。</w:t>
      </w:r>
      <w:r/>
    </w:p>
    <w:p>
      <w:pPr>
        <w:ind w:firstLine="480"/>
        <w:spacing w:line="360" w:lineRule="auto"/>
        <w:rPr>
          <w:rFonts w:ascii="宋体" w:hAnsi="宋体" w:eastAsia="宋体" w:cs="Times New Roman"/>
          <w:color w:val="auto"/>
          <w:sz w:val="24"/>
          <w:szCs w:val="24"/>
          <w:highlight w:val="none"/>
        </w:rPr>
      </w:pPr>
      <w:r/>
      <w:bookmarkStart w:id="18" w:name="_Hlk90653182"/>
      <w:r>
        <w:rPr>
          <w:rFonts w:hint="eastAsia" w:ascii="宋体" w:hAnsi="宋体" w:eastAsia="宋体" w:cs="Times New Roman"/>
          <w:color w:val="auto"/>
          <w:sz w:val="24"/>
          <w:szCs w:val="24"/>
          <w:highlight w:val="none"/>
        </w:rPr>
        <w:t xml:space="preserve">19.7开标大厅系统出现故障、断电断网等特殊情形导致无法直播时，交易中心将通过微信直播对外公布相关情况，供应商可登录微信直播平台（微信-发现-直播-搜索视频号“园小易直播”）观看现场实况。</w:t>
      </w:r>
      <w:bookmarkEnd w:id="18"/>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19.8至投标文件提交截止时间，递交投标文件的供应商不足三家的，不得开标。</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19.9开标在招标文件规定的时间、地点进行，由采购人或采购代理机构主持，供应商参加（观看），评标委员会成员不得参加开标活动。</w:t>
      </w:r>
      <w:bookmarkEnd w:id="15"/>
      <w:r/>
      <w:r/>
    </w:p>
    <w:p>
      <w:pPr>
        <w:ind w:firstLine="482"/>
        <w:spacing w:line="360" w:lineRule="auto"/>
        <w:rPr>
          <w:rFonts w:ascii="宋体" w:hAnsi="宋体" w:eastAsia="宋体" w:cs="Times New Roman"/>
          <w:b/>
          <w:color w:val="auto"/>
          <w:sz w:val="24"/>
          <w:szCs w:val="24"/>
          <w:highlight w:val="none"/>
          <w:shd w:val="clear" w:color="auto" w:fill="ffffff"/>
        </w:rPr>
      </w:pPr>
      <w:r>
        <w:rPr>
          <w:rFonts w:hint="eastAsia" w:ascii="宋体" w:hAnsi="宋体" w:eastAsia="宋体" w:cs="Times New Roman"/>
          <w:b/>
          <w:color w:val="auto"/>
          <w:sz w:val="24"/>
          <w:szCs w:val="24"/>
          <w:highlight w:val="none"/>
          <w:shd w:val="clear" w:color="auto" w:fill="ffffff"/>
        </w:rPr>
        <w:t xml:space="preserve">20.信用查询</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根据政府采购法及相关法规，以及苏州市财政局《关于印发苏州市市级政府采购信用记录查询和使用工作试行办法的通知》（苏财购（2017）11号）文件的规定，采购人、采购代理机构对供应商进行信用查询。</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20.1查询时间：投标文件提交截止时间。</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20.2查询渠道：通过“信用中国”、“信用江苏”及“中国政府采购网”上的信用信息查询供应商的信用记录。</w:t>
      </w:r>
      <w:r/>
    </w:p>
    <w:p>
      <w:pPr>
        <w:ind w:firstLine="480"/>
        <w:spacing w:line="360" w:lineRule="auto"/>
        <w:rPr>
          <w:rFonts w:ascii="宋体" w:hAnsi="宋体" w:eastAsia="宋体" w:cs="Times New Roman"/>
          <w:color w:val="auto"/>
          <w:sz w:val="24"/>
          <w:szCs w:val="24"/>
          <w:highlight w:val="none"/>
        </w:rPr>
      </w:pPr>
      <w:r/>
      <w:bookmarkStart w:id="19" w:name="_Hlk92794284"/>
      <w:r>
        <w:rPr>
          <w:rFonts w:hint="eastAsia" w:ascii="宋体" w:hAnsi="宋体" w:eastAsia="宋体" w:cs="Times New Roman"/>
          <w:color w:val="auto"/>
          <w:sz w:val="24"/>
          <w:szCs w:val="24"/>
          <w:highlight w:val="none"/>
        </w:rPr>
        <w:t xml:space="preserve">20.3查询证据留存方式：对存在失信信息的供应商，评审小组应填写《苏州市级政府采购供应商失信信息确认函》，由失信供应商签名（章）确认。</w:t>
      </w:r>
      <w:r>
        <w:rPr>
          <w:rFonts w:hint="eastAsia" w:ascii="宋体" w:hAnsi="宋体" w:eastAsia="宋体" w:cs="Times New Roman"/>
          <w:color w:val="auto"/>
          <w:sz w:val="24"/>
          <w:szCs w:val="24"/>
          <w:highlight w:val="none"/>
          <w:lang w:val="zh-CN"/>
        </w:rPr>
        <w:t xml:space="preserve">采购代理机构工作人员应登陆到来源网站页面进行复核并打印，</w:t>
      </w:r>
      <w:r>
        <w:rPr>
          <w:rFonts w:hint="eastAsia" w:ascii="宋体" w:hAnsi="宋体" w:eastAsia="宋体" w:cs="Times New Roman"/>
          <w:color w:val="auto"/>
          <w:sz w:val="24"/>
          <w:szCs w:val="24"/>
          <w:highlight w:val="none"/>
        </w:rPr>
        <w:t xml:space="preserve">作为证据留存。</w:t>
      </w:r>
      <w:bookmarkEnd w:id="19"/>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20.4信用记录使用规则：评审小组在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投标无效：</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（一）政府采购严重违法记录，即供应商被全国各级财政部门列入“政府采购严重违法失信行为记录名单”，且在处罚有效期内的。</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（二）财政部门与法院、工商、税务等部门联合惩戒的失信信息，包括：</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（1）被列入失信被执行人名单；</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（2）被列入重大税收违法案件当事人名单；</w:t>
      </w:r>
      <w:r/>
    </w:p>
    <w:p>
      <w:pPr>
        <w:ind w:firstLine="480"/>
        <w:spacing w:line="360" w:lineRule="auto"/>
        <w:rPr>
          <w:rFonts w:ascii="宋体" w:hAnsi="宋体" w:eastAsia="宋体" w:cs="Times New Roman"/>
          <w:color w:val="auto"/>
          <w:sz w:val="24"/>
          <w:szCs w:val="24"/>
          <w:highlight w:val="none"/>
        </w:rPr>
      </w:pPr>
      <w:r/>
      <w:bookmarkStart w:id="20" w:name="_Hlk92794378"/>
      <w:r>
        <w:rPr>
          <w:rFonts w:hint="eastAsia" w:ascii="宋体" w:hAnsi="宋体" w:eastAsia="宋体" w:cs="Times New Roman"/>
          <w:color w:val="auto"/>
          <w:sz w:val="24"/>
          <w:szCs w:val="24"/>
          <w:highlight w:val="none"/>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20.5接受联合体的项目，两个及以上的自然人、法人或者其他组织组成一个联合体，以一个供应商的身份共同参加政府采购活动的，联合体成员其中一名成员存在失信信息的，视同联合体存在失信信息。</w:t>
      </w:r>
      <w:bookmarkEnd w:id="20"/>
      <w:r/>
      <w:r/>
    </w:p>
    <w:p>
      <w:pPr>
        <w:ind w:firstLine="482"/>
        <w:spacing w:line="360" w:lineRule="auto"/>
        <w:rPr>
          <w:rFonts w:ascii="宋体" w:hAnsi="宋体" w:eastAsia="宋体" w:cs="Times New Roman"/>
          <w:b/>
          <w:color w:val="auto"/>
          <w:sz w:val="24"/>
          <w:szCs w:val="24"/>
          <w:highlight w:val="none"/>
          <w:shd w:val="clear" w:color="auto" w:fill="ffffff"/>
        </w:rPr>
      </w:pPr>
      <w:r>
        <w:rPr>
          <w:rFonts w:ascii="宋体" w:hAnsi="宋体" w:eastAsia="宋体" w:cs="Times New Roman"/>
          <w:b/>
          <w:color w:val="auto"/>
          <w:sz w:val="24"/>
          <w:szCs w:val="24"/>
          <w:highlight w:val="none"/>
          <w:shd w:val="clear" w:color="auto" w:fill="ffffff"/>
        </w:rPr>
        <w:t xml:space="preserve">2</w:t>
      </w:r>
      <w:r>
        <w:rPr>
          <w:rFonts w:hint="eastAsia" w:ascii="宋体" w:hAnsi="宋体" w:eastAsia="宋体" w:cs="Times New Roman"/>
          <w:b/>
          <w:color w:val="auto"/>
          <w:sz w:val="24"/>
          <w:szCs w:val="24"/>
          <w:highlight w:val="none"/>
          <w:shd w:val="clear" w:color="auto" w:fill="ffffff"/>
        </w:rPr>
        <w:t xml:space="preserve">1</w:t>
      </w:r>
      <w:r>
        <w:rPr>
          <w:rFonts w:ascii="宋体" w:hAnsi="宋体" w:eastAsia="宋体" w:cs="Times New Roman"/>
          <w:b/>
          <w:color w:val="auto"/>
          <w:sz w:val="24"/>
          <w:szCs w:val="24"/>
          <w:highlight w:val="none"/>
          <w:shd w:val="clear" w:color="auto" w:fill="ffffff"/>
        </w:rPr>
        <w:t xml:space="preserve">.</w:t>
      </w:r>
      <w:r>
        <w:rPr>
          <w:rFonts w:hint="eastAsia" w:ascii="宋体" w:hAnsi="宋体" w:eastAsia="宋体" w:cs="Times New Roman"/>
          <w:b/>
          <w:color w:val="auto"/>
          <w:sz w:val="24"/>
          <w:szCs w:val="24"/>
          <w:highlight w:val="none"/>
          <w:shd w:val="clear" w:color="auto" w:fill="ffffff"/>
        </w:rPr>
        <w:t xml:space="preserve">评标委员会</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21.1评标委员会由采购人或采购代理机构依法组建。</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21.2评标委员会负责具体的评标事务，并独立履行以下职责：</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21.2.1</w:t>
      </w:r>
      <w:r>
        <w:rPr>
          <w:rFonts w:ascii="宋体" w:hAnsi="宋体" w:eastAsia="宋体" w:cs="Times New Roman"/>
          <w:color w:val="auto"/>
          <w:sz w:val="24"/>
          <w:szCs w:val="24"/>
          <w:highlight w:val="none"/>
          <w:shd w:val="clear" w:color="auto" w:fill="ffffff"/>
        </w:rPr>
        <w:t xml:space="preserve">审查、评价投标文件是否符合招标文件的商务、技术等实质性要求；</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21.2.2要求供应商对投标文件有关事项作出澄清或者说明；</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21.2.3对投标文件进行比较和评价；</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21.2.4</w:t>
      </w:r>
      <w:r>
        <w:rPr>
          <w:rFonts w:hint="eastAsia" w:ascii="宋体" w:hAnsi="宋体" w:eastAsia="宋体" w:cs="Times New Roman"/>
          <w:color w:val="auto"/>
          <w:sz w:val="24"/>
          <w:szCs w:val="24"/>
          <w:highlight w:val="none"/>
          <w:shd w:val="clear" w:color="auto" w:fill="ffffff"/>
          <w:lang w:val="zh-CN"/>
        </w:rPr>
        <w:t xml:space="preserve">按照评标办法和标准推荐不低于3家中标候选人，并根据采购人的委托及评审结果直接确定中标人；</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21.2.5向采购人、采购代理机构或者有关部门报告评标中发现的违法行为；</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21.3评标委员会成员应当履行下列义务：</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21.3.1遵纪守法，客观、公正、廉洁地履行职责；</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21.3.2按照招标文件规定的评标办法和评标标准进行评标，对评审意见承担个人责任；</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21.3.3对评标过程和结果，以及供应商的商业秘密保密；</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21.3.4参与评审报告的起草；</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21.3.5配合相关部门的投诉处理工作；</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21.3.6配合采购人或采购代理机构答复投标供应商提出的质疑。</w:t>
      </w:r>
      <w:r/>
    </w:p>
    <w:p>
      <w:pPr>
        <w:ind w:firstLine="482"/>
        <w:spacing w:line="360" w:lineRule="auto"/>
        <w:rPr>
          <w:rFonts w:ascii="宋体" w:hAnsi="宋体" w:eastAsia="宋体" w:cs="Times New Roman"/>
          <w:b/>
          <w:color w:val="auto"/>
          <w:sz w:val="24"/>
          <w:szCs w:val="24"/>
          <w:highlight w:val="none"/>
          <w:shd w:val="clear" w:color="auto" w:fill="ffffff"/>
        </w:rPr>
      </w:pPr>
      <w:r>
        <w:rPr>
          <w:rFonts w:ascii="宋体" w:hAnsi="宋体" w:eastAsia="宋体" w:cs="Times New Roman"/>
          <w:b/>
          <w:color w:val="auto"/>
          <w:sz w:val="24"/>
          <w:szCs w:val="24"/>
          <w:highlight w:val="none"/>
          <w:shd w:val="clear" w:color="auto" w:fill="ffffff"/>
        </w:rPr>
        <w:t xml:space="preserve">2</w:t>
      </w:r>
      <w:r>
        <w:rPr>
          <w:rFonts w:hint="eastAsia" w:ascii="宋体" w:hAnsi="宋体" w:eastAsia="宋体" w:cs="Times New Roman"/>
          <w:b/>
          <w:color w:val="auto"/>
          <w:sz w:val="24"/>
          <w:szCs w:val="24"/>
          <w:highlight w:val="none"/>
          <w:shd w:val="clear" w:color="auto" w:fill="ffffff"/>
        </w:rPr>
        <w:t xml:space="preserve">2</w:t>
      </w:r>
      <w:r>
        <w:rPr>
          <w:rFonts w:ascii="宋体" w:hAnsi="宋体" w:eastAsia="宋体" w:cs="Times New Roman"/>
          <w:b/>
          <w:color w:val="auto"/>
          <w:sz w:val="24"/>
          <w:szCs w:val="24"/>
          <w:highlight w:val="none"/>
          <w:shd w:val="clear" w:color="auto" w:fill="ffffff"/>
        </w:rPr>
        <w:t xml:space="preserve">.</w:t>
      </w:r>
      <w:r>
        <w:rPr>
          <w:rFonts w:hint="eastAsia" w:ascii="宋体" w:hAnsi="宋体" w:eastAsia="宋体" w:cs="Times New Roman"/>
          <w:b/>
          <w:color w:val="auto"/>
          <w:sz w:val="24"/>
          <w:szCs w:val="24"/>
          <w:highlight w:val="none"/>
          <w:shd w:val="clear" w:color="auto" w:fill="ffffff"/>
        </w:rPr>
        <w:t xml:space="preserve">评标内容的保密</w:t>
      </w:r>
      <w:r/>
    </w:p>
    <w:p>
      <w:pPr>
        <w:ind w:firstLine="480"/>
        <w:spacing w:line="360" w:lineRule="auto"/>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t xml:space="preserve">2</w:t>
      </w:r>
      <w:r>
        <w:rPr>
          <w:rFonts w:hint="eastAsia" w:ascii="宋体" w:hAnsi="宋体" w:eastAsia="宋体" w:cs="Times New Roman"/>
          <w:color w:val="auto"/>
          <w:sz w:val="24"/>
          <w:szCs w:val="24"/>
          <w:highlight w:val="none"/>
          <w:shd w:val="clear" w:color="auto" w:fill="ffffff"/>
        </w:rPr>
        <w:t xml:space="preserve">2</w:t>
      </w:r>
      <w:r>
        <w:rPr>
          <w:rFonts w:ascii="宋体" w:hAnsi="宋体" w:eastAsia="宋体" w:cs="Times New Roman"/>
          <w:color w:val="auto"/>
          <w:sz w:val="24"/>
          <w:szCs w:val="24"/>
          <w:highlight w:val="none"/>
          <w:shd w:val="clear" w:color="auto" w:fill="ffffff"/>
        </w:rPr>
        <w:t xml:space="preserve">.1</w:t>
      </w:r>
      <w:r>
        <w:rPr>
          <w:rFonts w:hint="eastAsia" w:ascii="宋体" w:hAnsi="宋体" w:eastAsia="宋体" w:cs="Times New Roman"/>
          <w:color w:val="auto"/>
          <w:sz w:val="24"/>
          <w:szCs w:val="24"/>
          <w:highlight w:val="none"/>
          <w:shd w:val="clear" w:color="auto" w:fill="ffffff"/>
        </w:rPr>
        <w:t xml:space="preserve">公开开标后，直到宣布授予中标供应商合同为止，凡属于审查、澄清、评价和比较投标的所有资料，有关授予合同的信息都不应向供应商或与评标无关的其他人泄露。</w:t>
      </w:r>
      <w:r/>
    </w:p>
    <w:p>
      <w:pPr>
        <w:ind w:firstLine="480"/>
        <w:spacing w:line="360" w:lineRule="auto"/>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t xml:space="preserve">2</w:t>
      </w:r>
      <w:r>
        <w:rPr>
          <w:rFonts w:hint="eastAsia" w:ascii="宋体" w:hAnsi="宋体" w:eastAsia="宋体" w:cs="Times New Roman"/>
          <w:color w:val="auto"/>
          <w:sz w:val="24"/>
          <w:szCs w:val="24"/>
          <w:highlight w:val="none"/>
          <w:shd w:val="clear" w:color="auto" w:fill="ffffff"/>
        </w:rPr>
        <w:t xml:space="preserve">2</w:t>
      </w:r>
      <w:r>
        <w:rPr>
          <w:rFonts w:ascii="宋体" w:hAnsi="宋体" w:eastAsia="宋体" w:cs="Times New Roman"/>
          <w:color w:val="auto"/>
          <w:sz w:val="24"/>
          <w:szCs w:val="24"/>
          <w:highlight w:val="none"/>
          <w:shd w:val="clear" w:color="auto" w:fill="ffffff"/>
        </w:rPr>
        <w:t xml:space="preserve">.2</w:t>
      </w:r>
      <w:r>
        <w:rPr>
          <w:rFonts w:hint="eastAsia" w:ascii="宋体" w:hAnsi="宋体" w:eastAsia="宋体" w:cs="Times New Roman"/>
          <w:color w:val="auto"/>
          <w:sz w:val="24"/>
          <w:szCs w:val="24"/>
          <w:highlight w:val="none"/>
          <w:shd w:val="clear" w:color="auto" w:fill="ffffff"/>
        </w:rPr>
        <w:t xml:space="preserve">在投标文件的审查、澄清、评价和比较以及授予合同的过程中，供应商对采购人或采购代理机构和评标委员会成员施加影响的任何行为，都将取消其中标资格。</w:t>
      </w:r>
      <w:r/>
    </w:p>
    <w:p>
      <w:pPr>
        <w:ind w:firstLine="480"/>
        <w:spacing w:line="360" w:lineRule="auto"/>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t xml:space="preserve">2</w:t>
      </w:r>
      <w:r>
        <w:rPr>
          <w:rFonts w:hint="eastAsia" w:ascii="宋体" w:hAnsi="宋体" w:eastAsia="宋体" w:cs="Times New Roman"/>
          <w:color w:val="auto"/>
          <w:sz w:val="24"/>
          <w:szCs w:val="24"/>
          <w:highlight w:val="none"/>
          <w:shd w:val="clear" w:color="auto" w:fill="ffffff"/>
        </w:rPr>
        <w:t xml:space="preserve">2</w:t>
      </w:r>
      <w:r>
        <w:rPr>
          <w:rFonts w:ascii="宋体" w:hAnsi="宋体" w:eastAsia="宋体" w:cs="Times New Roman"/>
          <w:color w:val="auto"/>
          <w:sz w:val="24"/>
          <w:szCs w:val="24"/>
          <w:highlight w:val="none"/>
          <w:shd w:val="clear" w:color="auto" w:fill="ffffff"/>
        </w:rPr>
        <w:t xml:space="preserve">.3</w:t>
      </w:r>
      <w:r>
        <w:rPr>
          <w:rFonts w:hint="eastAsia" w:ascii="宋体" w:hAnsi="宋体" w:eastAsia="宋体" w:cs="Times New Roman"/>
          <w:color w:val="auto"/>
          <w:sz w:val="24"/>
          <w:szCs w:val="24"/>
          <w:highlight w:val="none"/>
          <w:shd w:val="clear" w:color="auto" w:fill="ffffff"/>
        </w:rPr>
        <w:t xml:space="preserve">在评标期间，采购人或采购代理机构将通过指定联络人与供应商进行联系。</w:t>
      </w:r>
      <w:r/>
    </w:p>
    <w:p>
      <w:pPr>
        <w:ind w:firstLine="482"/>
        <w:spacing w:line="360" w:lineRule="auto"/>
        <w:rPr>
          <w:rFonts w:ascii="宋体" w:hAnsi="宋体" w:eastAsia="宋体" w:cs="Times New Roman"/>
          <w:color w:val="auto"/>
          <w:sz w:val="24"/>
          <w:szCs w:val="24"/>
          <w:highlight w:val="none"/>
          <w:shd w:val="clear" w:color="auto" w:fill="ffffff"/>
        </w:rPr>
      </w:pPr>
      <w:r>
        <w:rPr>
          <w:rFonts w:ascii="宋体" w:hAnsi="宋体" w:eastAsia="宋体" w:cs="Times New Roman"/>
          <w:b/>
          <w:color w:val="auto"/>
          <w:sz w:val="24"/>
          <w:szCs w:val="24"/>
          <w:highlight w:val="none"/>
          <w:shd w:val="clear" w:color="auto" w:fill="ffffff"/>
        </w:rPr>
        <w:t xml:space="preserve">2</w:t>
      </w:r>
      <w:r>
        <w:rPr>
          <w:rFonts w:hint="eastAsia" w:ascii="宋体" w:hAnsi="宋体" w:eastAsia="宋体" w:cs="Times New Roman"/>
          <w:b/>
          <w:color w:val="auto"/>
          <w:sz w:val="24"/>
          <w:szCs w:val="24"/>
          <w:highlight w:val="none"/>
          <w:shd w:val="clear" w:color="auto" w:fill="ffffff"/>
        </w:rPr>
        <w:t xml:space="preserve">3</w:t>
      </w:r>
      <w:r>
        <w:rPr>
          <w:rFonts w:ascii="宋体" w:hAnsi="宋体" w:eastAsia="宋体" w:cs="Times New Roman"/>
          <w:b/>
          <w:color w:val="auto"/>
          <w:sz w:val="24"/>
          <w:szCs w:val="24"/>
          <w:highlight w:val="none"/>
          <w:shd w:val="clear" w:color="auto" w:fill="ffffff"/>
        </w:rPr>
        <w:t xml:space="preserve">.</w:t>
      </w:r>
      <w:r>
        <w:rPr>
          <w:rFonts w:hint="eastAsia" w:ascii="宋体" w:hAnsi="宋体" w:eastAsia="宋体" w:cs="Times New Roman"/>
          <w:b/>
          <w:color w:val="auto"/>
          <w:sz w:val="24"/>
          <w:szCs w:val="24"/>
          <w:highlight w:val="none"/>
          <w:shd w:val="clear" w:color="auto" w:fill="ffffff"/>
        </w:rPr>
        <w:t xml:space="preserve">对投标文件初审</w:t>
      </w:r>
      <w:r/>
    </w:p>
    <w:p>
      <w:pPr>
        <w:ind w:firstLine="476"/>
        <w:spacing w:line="360" w:lineRule="auto"/>
        <w:rPr>
          <w:rFonts w:ascii="宋体" w:hAnsi="宋体" w:eastAsia="宋体" w:cs="Times New Roman"/>
          <w:b/>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t xml:space="preserve">2</w:t>
      </w:r>
      <w:r>
        <w:rPr>
          <w:rFonts w:hint="eastAsia" w:ascii="宋体" w:hAnsi="宋体" w:eastAsia="宋体" w:cs="Times New Roman"/>
          <w:color w:val="auto"/>
          <w:sz w:val="24"/>
          <w:szCs w:val="24"/>
          <w:highlight w:val="none"/>
          <w:shd w:val="clear" w:color="auto" w:fill="ffffff"/>
        </w:rPr>
        <w:t xml:space="preserve">3</w:t>
      </w:r>
      <w:r>
        <w:rPr>
          <w:rFonts w:ascii="宋体" w:hAnsi="宋体" w:eastAsia="宋体" w:cs="Times New Roman"/>
          <w:color w:val="auto"/>
          <w:sz w:val="24"/>
          <w:szCs w:val="24"/>
          <w:highlight w:val="none"/>
          <w:shd w:val="clear" w:color="auto" w:fill="ffffff"/>
        </w:rPr>
        <w:t xml:space="preserve">.1开标结束后，采购人依法对</w:t>
      </w:r>
      <w:r>
        <w:rPr>
          <w:rFonts w:hint="eastAsia" w:ascii="宋体" w:hAnsi="宋体" w:eastAsia="宋体" w:cs="Times New Roman"/>
          <w:color w:val="auto"/>
          <w:sz w:val="24"/>
          <w:szCs w:val="24"/>
          <w:highlight w:val="none"/>
          <w:shd w:val="clear" w:color="auto" w:fill="ffffff"/>
        </w:rPr>
        <w:t xml:space="preserve">供应商</w:t>
      </w:r>
      <w:r>
        <w:rPr>
          <w:rFonts w:ascii="宋体" w:hAnsi="宋体" w:eastAsia="宋体" w:cs="Times New Roman"/>
          <w:color w:val="auto"/>
          <w:sz w:val="24"/>
          <w:szCs w:val="24"/>
          <w:highlight w:val="none"/>
          <w:shd w:val="clear" w:color="auto" w:fill="ffffff"/>
        </w:rPr>
        <w:t xml:space="preserve">的资格进行审查。</w:t>
      </w:r>
      <w:r/>
    </w:p>
    <w:p>
      <w:pPr>
        <w:ind w:firstLine="480"/>
        <w:spacing w:line="360" w:lineRule="auto"/>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t xml:space="preserve">2</w:t>
      </w:r>
      <w:r>
        <w:rPr>
          <w:rFonts w:hint="eastAsia" w:ascii="宋体" w:hAnsi="宋体" w:eastAsia="宋体" w:cs="Times New Roman"/>
          <w:color w:val="auto"/>
          <w:sz w:val="24"/>
          <w:szCs w:val="24"/>
          <w:highlight w:val="none"/>
          <w:shd w:val="clear" w:color="auto" w:fill="ffffff"/>
        </w:rPr>
        <w:t xml:space="preserve">3</w:t>
      </w:r>
      <w:r>
        <w:rPr>
          <w:rFonts w:ascii="宋体" w:hAnsi="宋体" w:eastAsia="宋体" w:cs="Times New Roman"/>
          <w:color w:val="auto"/>
          <w:sz w:val="24"/>
          <w:szCs w:val="24"/>
          <w:highlight w:val="none"/>
          <w:shd w:val="clear" w:color="auto" w:fill="ffffff"/>
        </w:rPr>
        <w:t xml:space="preserve">.</w:t>
      </w:r>
      <w:r>
        <w:rPr>
          <w:rFonts w:hint="eastAsia" w:ascii="宋体" w:hAnsi="宋体" w:eastAsia="宋体" w:cs="Times New Roman"/>
          <w:color w:val="auto"/>
          <w:sz w:val="24"/>
          <w:szCs w:val="24"/>
          <w:highlight w:val="none"/>
          <w:shd w:val="clear" w:color="auto" w:fill="ffffff"/>
        </w:rPr>
        <w:t xml:space="preserve">2</w:t>
      </w:r>
      <w:r>
        <w:rPr>
          <w:rFonts w:ascii="宋体" w:hAnsi="宋体" w:eastAsia="宋体" w:cs="Times New Roman"/>
          <w:color w:val="auto"/>
          <w:sz w:val="24"/>
          <w:szCs w:val="24"/>
          <w:highlight w:val="none"/>
          <w:shd w:val="clear" w:color="auto" w:fill="ffffff"/>
        </w:rPr>
        <w:t xml:space="preserve">资格审查</w:t>
      </w:r>
      <w:r>
        <w:rPr>
          <w:rFonts w:hint="eastAsia" w:ascii="宋体" w:hAnsi="宋体" w:eastAsia="宋体" w:cs="Times New Roman"/>
          <w:color w:val="auto"/>
          <w:sz w:val="24"/>
          <w:szCs w:val="24"/>
          <w:highlight w:val="none"/>
          <w:shd w:val="clear" w:color="auto" w:fill="ffffff"/>
        </w:rPr>
        <w:t xml:space="preserve">后，评标委员会在初审过程中有权拒绝有下列情况之一的投标文件：</w:t>
      </w:r>
      <w:r/>
    </w:p>
    <w:p>
      <w:pPr>
        <w:ind w:firstLine="482"/>
        <w:spacing w:line="360" w:lineRule="auto"/>
        <w:rPr>
          <w:rFonts w:ascii="宋体" w:hAnsi="宋体" w:eastAsia="宋体" w:cs="Times New Roman"/>
          <w:b/>
          <w:bCs/>
          <w:color w:val="auto"/>
          <w:sz w:val="24"/>
          <w:szCs w:val="24"/>
          <w:highlight w:val="none"/>
          <w:shd w:val="clear" w:color="auto" w:fill="ffffff"/>
        </w:rPr>
      </w:pPr>
      <w:r>
        <w:rPr>
          <w:rFonts w:ascii="宋体" w:hAnsi="宋体" w:eastAsia="宋体" w:cs="Times New Roman"/>
          <w:b/>
          <w:bCs/>
          <w:color w:val="auto"/>
          <w:sz w:val="24"/>
          <w:szCs w:val="24"/>
          <w:highlight w:val="none"/>
          <w:shd w:val="clear" w:color="auto" w:fill="ffffff"/>
        </w:rPr>
        <w:t xml:space="preserve">2</w:t>
      </w:r>
      <w:r>
        <w:rPr>
          <w:rFonts w:hint="eastAsia" w:ascii="宋体" w:hAnsi="宋体" w:eastAsia="宋体" w:cs="Times New Roman"/>
          <w:b/>
          <w:bCs/>
          <w:color w:val="auto"/>
          <w:sz w:val="24"/>
          <w:szCs w:val="24"/>
          <w:highlight w:val="none"/>
          <w:shd w:val="clear" w:color="auto" w:fill="ffffff"/>
        </w:rPr>
        <w:t xml:space="preserve">3.2</w:t>
      </w:r>
      <w:r>
        <w:rPr>
          <w:rFonts w:ascii="宋体" w:hAnsi="宋体" w:eastAsia="宋体" w:cs="Times New Roman"/>
          <w:b/>
          <w:bCs/>
          <w:color w:val="auto"/>
          <w:sz w:val="24"/>
          <w:szCs w:val="24"/>
          <w:highlight w:val="none"/>
          <w:shd w:val="clear" w:color="auto" w:fill="ffffff"/>
        </w:rPr>
        <w:t xml:space="preserve">.1</w:t>
      </w:r>
      <w:r>
        <w:rPr>
          <w:rFonts w:hint="eastAsia" w:ascii="宋体" w:hAnsi="宋体" w:eastAsia="宋体" w:cs="Times New Roman"/>
          <w:b/>
          <w:bCs/>
          <w:color w:val="auto"/>
          <w:sz w:val="24"/>
          <w:szCs w:val="24"/>
          <w:highlight w:val="none"/>
          <w:shd w:val="clear" w:color="auto" w:fill="ffffff"/>
        </w:rPr>
        <w:t xml:space="preserve">供应商的投标文件未按照本须知规定制作的；</w:t>
      </w:r>
      <w:r/>
    </w:p>
    <w:p>
      <w:pPr>
        <w:ind w:firstLine="482"/>
        <w:spacing w:line="360" w:lineRule="auto"/>
        <w:rPr>
          <w:rFonts w:ascii="宋体" w:hAnsi="宋体" w:eastAsia="宋体" w:cs="Times New Roman"/>
          <w:b/>
          <w:bCs/>
          <w:color w:val="auto"/>
          <w:sz w:val="24"/>
          <w:szCs w:val="24"/>
          <w:highlight w:val="none"/>
          <w:shd w:val="clear" w:color="auto" w:fill="ffffff"/>
        </w:rPr>
      </w:pPr>
      <w:r>
        <w:rPr>
          <w:rFonts w:ascii="宋体" w:hAnsi="宋体" w:eastAsia="宋体" w:cs="Times New Roman"/>
          <w:b/>
          <w:bCs/>
          <w:color w:val="auto"/>
          <w:sz w:val="24"/>
          <w:szCs w:val="24"/>
          <w:highlight w:val="none"/>
          <w:shd w:val="clear" w:color="auto" w:fill="ffffff"/>
        </w:rPr>
        <w:t xml:space="preserve">2</w:t>
      </w:r>
      <w:r>
        <w:rPr>
          <w:rFonts w:hint="eastAsia" w:ascii="宋体" w:hAnsi="宋体" w:eastAsia="宋体" w:cs="Times New Roman"/>
          <w:b/>
          <w:bCs/>
          <w:color w:val="auto"/>
          <w:sz w:val="24"/>
          <w:szCs w:val="24"/>
          <w:highlight w:val="none"/>
          <w:shd w:val="clear" w:color="auto" w:fill="ffffff"/>
        </w:rPr>
        <w:t xml:space="preserve">3.2</w:t>
      </w:r>
      <w:r>
        <w:rPr>
          <w:rFonts w:ascii="宋体" w:hAnsi="宋体" w:eastAsia="宋体" w:cs="Times New Roman"/>
          <w:b/>
          <w:bCs/>
          <w:color w:val="auto"/>
          <w:sz w:val="24"/>
          <w:szCs w:val="24"/>
          <w:highlight w:val="none"/>
          <w:shd w:val="clear" w:color="auto" w:fill="ffffff"/>
        </w:rPr>
        <w:t xml:space="preserve">.</w:t>
      </w:r>
      <w:r>
        <w:rPr>
          <w:rFonts w:hint="eastAsia" w:ascii="宋体" w:hAnsi="宋体" w:eastAsia="宋体" w:cs="Times New Roman"/>
          <w:b/>
          <w:bCs/>
          <w:color w:val="auto"/>
          <w:sz w:val="24"/>
          <w:szCs w:val="24"/>
          <w:highlight w:val="none"/>
          <w:shd w:val="clear" w:color="auto" w:fill="ffffff"/>
        </w:rPr>
        <w:t xml:space="preserve">2与招标文件有重大偏离；</w:t>
      </w:r>
      <w:r/>
    </w:p>
    <w:p>
      <w:pPr>
        <w:ind w:firstLine="482"/>
        <w:spacing w:line="360" w:lineRule="auto"/>
        <w:rPr>
          <w:rFonts w:ascii="宋体" w:hAnsi="宋体" w:eastAsia="宋体" w:cs="Times New Roman"/>
          <w:b/>
          <w:bCs/>
          <w:color w:val="auto"/>
          <w:sz w:val="24"/>
          <w:szCs w:val="24"/>
          <w:highlight w:val="none"/>
          <w:shd w:val="clear" w:color="auto" w:fill="ffffff"/>
        </w:rPr>
      </w:pPr>
      <w:r>
        <w:rPr>
          <w:rFonts w:ascii="宋体" w:hAnsi="宋体" w:eastAsia="宋体" w:cs="Times New Roman"/>
          <w:b/>
          <w:bCs/>
          <w:color w:val="auto"/>
          <w:sz w:val="24"/>
          <w:szCs w:val="24"/>
          <w:highlight w:val="none"/>
          <w:shd w:val="clear" w:color="auto" w:fill="ffffff"/>
        </w:rPr>
        <w:t xml:space="preserve">2</w:t>
      </w:r>
      <w:r>
        <w:rPr>
          <w:rFonts w:hint="eastAsia" w:ascii="宋体" w:hAnsi="宋体" w:eastAsia="宋体" w:cs="Times New Roman"/>
          <w:b/>
          <w:bCs/>
          <w:color w:val="auto"/>
          <w:sz w:val="24"/>
          <w:szCs w:val="24"/>
          <w:highlight w:val="none"/>
          <w:shd w:val="clear" w:color="auto" w:fill="ffffff"/>
        </w:rPr>
        <w:t xml:space="preserve">3.2</w:t>
      </w:r>
      <w:r>
        <w:rPr>
          <w:rFonts w:ascii="宋体" w:hAnsi="宋体" w:eastAsia="宋体" w:cs="Times New Roman"/>
          <w:b/>
          <w:bCs/>
          <w:color w:val="auto"/>
          <w:sz w:val="24"/>
          <w:szCs w:val="24"/>
          <w:highlight w:val="none"/>
          <w:shd w:val="clear" w:color="auto" w:fill="ffffff"/>
        </w:rPr>
        <w:t xml:space="preserve">.</w:t>
      </w:r>
      <w:r>
        <w:rPr>
          <w:rFonts w:hint="eastAsia" w:ascii="宋体" w:hAnsi="宋体" w:eastAsia="宋体" w:cs="Times New Roman"/>
          <w:b/>
          <w:bCs/>
          <w:color w:val="auto"/>
          <w:sz w:val="24"/>
          <w:szCs w:val="24"/>
          <w:highlight w:val="none"/>
          <w:shd w:val="clear" w:color="auto" w:fill="ffffff"/>
        </w:rPr>
        <w:t xml:space="preserve">3供应商拒绝修正错误；</w:t>
      </w:r>
      <w:r/>
    </w:p>
    <w:p>
      <w:pPr>
        <w:ind w:firstLine="482"/>
        <w:spacing w:line="360" w:lineRule="auto"/>
        <w:rPr>
          <w:rFonts w:ascii="宋体" w:hAnsi="宋体" w:eastAsia="宋体" w:cs="Times New Roman"/>
          <w:b/>
          <w:bCs/>
          <w:color w:val="auto"/>
          <w:sz w:val="24"/>
          <w:szCs w:val="24"/>
          <w:highlight w:val="none"/>
          <w:shd w:val="clear" w:color="auto" w:fill="ffffff"/>
        </w:rPr>
      </w:pPr>
      <w:r>
        <w:rPr>
          <w:rFonts w:ascii="宋体" w:hAnsi="宋体" w:eastAsia="宋体" w:cs="Times New Roman"/>
          <w:b/>
          <w:bCs/>
          <w:color w:val="auto"/>
          <w:sz w:val="24"/>
          <w:szCs w:val="24"/>
          <w:highlight w:val="none"/>
          <w:shd w:val="clear" w:color="auto" w:fill="ffffff"/>
        </w:rPr>
        <w:t xml:space="preserve">2</w:t>
      </w:r>
      <w:r>
        <w:rPr>
          <w:rFonts w:hint="eastAsia" w:ascii="宋体" w:hAnsi="宋体" w:eastAsia="宋体" w:cs="Times New Roman"/>
          <w:b/>
          <w:bCs/>
          <w:color w:val="auto"/>
          <w:sz w:val="24"/>
          <w:szCs w:val="24"/>
          <w:highlight w:val="none"/>
          <w:shd w:val="clear" w:color="auto" w:fill="ffffff"/>
        </w:rPr>
        <w:t xml:space="preserve">3.2</w:t>
      </w:r>
      <w:r>
        <w:rPr>
          <w:rFonts w:ascii="宋体" w:hAnsi="宋体" w:eastAsia="宋体" w:cs="Times New Roman"/>
          <w:b/>
          <w:bCs/>
          <w:color w:val="auto"/>
          <w:sz w:val="24"/>
          <w:szCs w:val="24"/>
          <w:highlight w:val="none"/>
          <w:shd w:val="clear" w:color="auto" w:fill="ffffff"/>
        </w:rPr>
        <w:t xml:space="preserve">.</w:t>
      </w:r>
      <w:r>
        <w:rPr>
          <w:rFonts w:hint="eastAsia" w:ascii="宋体" w:hAnsi="宋体" w:eastAsia="宋体" w:cs="Times New Roman"/>
          <w:b/>
          <w:bCs/>
          <w:color w:val="auto"/>
          <w:sz w:val="24"/>
          <w:szCs w:val="24"/>
          <w:highlight w:val="none"/>
          <w:shd w:val="clear" w:color="auto" w:fill="ffffff"/>
        </w:rPr>
        <w:t xml:space="preserve">4供应商的报价是选择性的；</w:t>
      </w:r>
      <w:r/>
    </w:p>
    <w:p>
      <w:pPr>
        <w:ind w:firstLine="482"/>
        <w:spacing w:line="360" w:lineRule="auto"/>
        <w:rPr>
          <w:rFonts w:ascii="宋体" w:hAnsi="宋体" w:eastAsia="宋体" w:cs="Times New Roman"/>
          <w:b/>
          <w:bCs/>
          <w:color w:val="auto"/>
          <w:sz w:val="24"/>
          <w:szCs w:val="24"/>
          <w:highlight w:val="none"/>
          <w:shd w:val="clear" w:color="auto" w:fill="ffffff"/>
        </w:rPr>
      </w:pPr>
      <w:r>
        <w:rPr>
          <w:rFonts w:ascii="宋体" w:hAnsi="宋体" w:eastAsia="宋体" w:cs="Times New Roman"/>
          <w:b/>
          <w:bCs/>
          <w:color w:val="auto"/>
          <w:sz w:val="24"/>
          <w:szCs w:val="24"/>
          <w:highlight w:val="none"/>
          <w:shd w:val="clear" w:color="auto" w:fill="ffffff"/>
        </w:rPr>
        <w:t xml:space="preserve">2</w:t>
      </w:r>
      <w:r>
        <w:rPr>
          <w:rFonts w:hint="eastAsia" w:ascii="宋体" w:hAnsi="宋体" w:eastAsia="宋体" w:cs="Times New Roman"/>
          <w:b/>
          <w:bCs/>
          <w:color w:val="auto"/>
          <w:sz w:val="24"/>
          <w:szCs w:val="24"/>
          <w:highlight w:val="none"/>
          <w:shd w:val="clear" w:color="auto" w:fill="ffffff"/>
        </w:rPr>
        <w:t xml:space="preserve">3.2</w:t>
      </w:r>
      <w:r>
        <w:rPr>
          <w:rFonts w:ascii="宋体" w:hAnsi="宋体" w:eastAsia="宋体" w:cs="Times New Roman"/>
          <w:b/>
          <w:bCs/>
          <w:color w:val="auto"/>
          <w:sz w:val="24"/>
          <w:szCs w:val="24"/>
          <w:highlight w:val="none"/>
          <w:shd w:val="clear" w:color="auto" w:fill="ffffff"/>
        </w:rPr>
        <w:t xml:space="preserve">.</w:t>
      </w:r>
      <w:r>
        <w:rPr>
          <w:rFonts w:hint="eastAsia" w:ascii="宋体" w:hAnsi="宋体" w:eastAsia="宋体" w:cs="Times New Roman"/>
          <w:b/>
          <w:bCs/>
          <w:color w:val="auto"/>
          <w:sz w:val="24"/>
          <w:szCs w:val="24"/>
          <w:highlight w:val="none"/>
          <w:shd w:val="clear" w:color="auto" w:fill="ffffff"/>
        </w:rPr>
        <w:t xml:space="preserve">5供应商的报价只投了部分内容；</w:t>
      </w:r>
      <w:r/>
    </w:p>
    <w:p>
      <w:pPr>
        <w:ind w:firstLine="482"/>
        <w:spacing w:line="360" w:lineRule="auto"/>
        <w:rPr>
          <w:rFonts w:ascii="宋体" w:hAnsi="宋体" w:eastAsia="宋体" w:cs="Times New Roman"/>
          <w:b/>
          <w:bCs/>
          <w:color w:val="auto"/>
          <w:sz w:val="24"/>
          <w:szCs w:val="24"/>
          <w:highlight w:val="none"/>
          <w:shd w:val="clear" w:color="auto" w:fill="ffffff"/>
        </w:rPr>
      </w:pPr>
      <w:r>
        <w:rPr>
          <w:rFonts w:hint="eastAsia" w:ascii="宋体" w:hAnsi="宋体" w:eastAsia="宋体" w:cs="Times New Roman"/>
          <w:b/>
          <w:bCs/>
          <w:color w:val="auto"/>
          <w:sz w:val="24"/>
          <w:szCs w:val="24"/>
          <w:highlight w:val="none"/>
          <w:shd w:val="clear" w:color="auto" w:fill="ffffff"/>
        </w:rPr>
        <w:t xml:space="preserve">23.2.6供应商的投标文件出现了评标委员会认为不应当雷同的情况；</w:t>
      </w:r>
      <w:r/>
    </w:p>
    <w:p>
      <w:pPr>
        <w:ind w:firstLine="482"/>
        <w:spacing w:line="360" w:lineRule="auto"/>
        <w:rPr>
          <w:rFonts w:ascii="宋体" w:hAnsi="宋体" w:eastAsia="宋体" w:cs="Times New Roman"/>
          <w:b/>
          <w:bCs/>
          <w:color w:val="auto"/>
          <w:sz w:val="24"/>
          <w:szCs w:val="24"/>
          <w:highlight w:val="none"/>
          <w:u w:val="single"/>
          <w:shd w:val="clear" w:color="auto" w:fill="ffffff"/>
        </w:rPr>
      </w:pPr>
      <w:r>
        <w:rPr>
          <w:rFonts w:hint="eastAsia" w:ascii="宋体" w:hAnsi="宋体" w:eastAsia="宋体" w:cs="Times New Roman"/>
          <w:b/>
          <w:bCs/>
          <w:color w:val="auto"/>
          <w:sz w:val="24"/>
          <w:szCs w:val="24"/>
          <w:highlight w:val="none"/>
          <w:shd w:val="clear" w:color="auto" w:fill="ffffff"/>
        </w:rPr>
        <w:t xml:space="preserve">23.2.7其他被评标委员会认定无效的情况。</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23.3</w:t>
      </w:r>
      <w:r>
        <w:rPr>
          <w:rFonts w:ascii="宋体" w:hAnsi="宋体" w:eastAsia="宋体" w:cs="Times New Roman"/>
          <w:color w:val="auto"/>
          <w:sz w:val="24"/>
          <w:szCs w:val="24"/>
          <w:highlight w:val="none"/>
          <w:shd w:val="clear" w:color="auto" w:fill="ffffff"/>
        </w:rPr>
        <w:t xml:space="preserve">在详细评标之前，评委会将首先审查每份</w:t>
      </w:r>
      <w:r>
        <w:rPr>
          <w:rFonts w:hint="eastAsia" w:ascii="宋体" w:hAnsi="宋体" w:eastAsia="宋体" w:cs="Times New Roman"/>
          <w:color w:val="auto"/>
          <w:sz w:val="24"/>
          <w:szCs w:val="24"/>
          <w:highlight w:val="none"/>
          <w:shd w:val="clear" w:color="auto" w:fill="ffffff"/>
        </w:rPr>
        <w:t xml:space="preserve">投标文件</w:t>
      </w:r>
      <w:r>
        <w:rPr>
          <w:rFonts w:ascii="宋体" w:hAnsi="宋体" w:eastAsia="宋体" w:cs="Times New Roman"/>
          <w:color w:val="auto"/>
          <w:sz w:val="24"/>
          <w:szCs w:val="24"/>
          <w:highlight w:val="none"/>
          <w:shd w:val="clear" w:color="auto" w:fill="ffffff"/>
        </w:rPr>
        <w:t xml:space="preserve">是否实质响应了招标文件的要求。实质上响应的投标应该是与招标文件的全部条款、条件和规格相符，没有重大偏离或保留。所谓重大偏离或保留是指在实质上与招标文件不一致，而且限制了合同中买方的权利或</w:t>
      </w:r>
      <w:r>
        <w:rPr>
          <w:rFonts w:hint="eastAsia" w:ascii="宋体" w:hAnsi="宋体" w:eastAsia="宋体" w:cs="Times New Roman"/>
          <w:color w:val="auto"/>
          <w:sz w:val="24"/>
          <w:szCs w:val="24"/>
          <w:highlight w:val="none"/>
          <w:shd w:val="clear" w:color="auto" w:fill="ffffff"/>
        </w:rPr>
        <w:t xml:space="preserve">供应商</w:t>
      </w:r>
      <w:r>
        <w:rPr>
          <w:rFonts w:ascii="宋体" w:hAnsi="宋体" w:eastAsia="宋体" w:cs="Times New Roman"/>
          <w:color w:val="auto"/>
          <w:sz w:val="24"/>
          <w:szCs w:val="24"/>
          <w:highlight w:val="none"/>
          <w:shd w:val="clear" w:color="auto" w:fill="ffffff"/>
        </w:rPr>
        <w:t xml:space="preserve">的义务。这些偏离或保留将会对其他实质上响应要求的</w:t>
      </w:r>
      <w:r>
        <w:rPr>
          <w:rFonts w:hint="eastAsia" w:ascii="宋体" w:hAnsi="宋体" w:eastAsia="宋体" w:cs="Times New Roman"/>
          <w:color w:val="auto"/>
          <w:sz w:val="24"/>
          <w:szCs w:val="24"/>
          <w:highlight w:val="none"/>
          <w:shd w:val="clear" w:color="auto" w:fill="ffffff"/>
        </w:rPr>
        <w:t xml:space="preserve">供应商</w:t>
      </w:r>
      <w:r>
        <w:rPr>
          <w:rFonts w:ascii="宋体" w:hAnsi="宋体" w:eastAsia="宋体" w:cs="Times New Roman"/>
          <w:color w:val="auto"/>
          <w:sz w:val="24"/>
          <w:szCs w:val="24"/>
          <w:highlight w:val="none"/>
          <w:shd w:val="clear" w:color="auto" w:fill="ffffff"/>
        </w:rPr>
        <w:t xml:space="preserve">的竞争地位产生不公正的影响。</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23.4评标委员会将允许修改投标中不构成重大偏离的微小的、非正规、不一致或不规则的地方，但这些修改不能影响任何供应商的名次相应排列。供应商不得对招标文件进行实质性修改，包括但不限于付款方式、付款条件等条款，否则投标文件将被拒绝。</w:t>
      </w:r>
      <w:r/>
    </w:p>
    <w:p>
      <w:pPr>
        <w:ind w:firstLine="480"/>
        <w:spacing w:line="360" w:lineRule="auto"/>
        <w:tabs>
          <w:tab w:val="left" w:pos="0" w:leader="none"/>
        </w:tabs>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23.5评标委员会</w:t>
      </w:r>
      <w:r>
        <w:rPr>
          <w:rFonts w:ascii="宋体" w:hAnsi="宋体" w:eastAsia="宋体" w:cs="Times New Roman"/>
          <w:color w:val="auto"/>
          <w:sz w:val="24"/>
          <w:szCs w:val="24"/>
          <w:highlight w:val="none"/>
          <w:shd w:val="clear" w:color="auto" w:fill="ffffff"/>
        </w:rPr>
        <w:t xml:space="preserve">将拒绝被确定为非实质性响应的投标，</w:t>
      </w:r>
      <w:r>
        <w:rPr>
          <w:rFonts w:hint="eastAsia" w:ascii="宋体" w:hAnsi="宋体" w:eastAsia="宋体" w:cs="Times New Roman"/>
          <w:color w:val="auto"/>
          <w:sz w:val="24"/>
          <w:szCs w:val="24"/>
          <w:highlight w:val="none"/>
          <w:shd w:val="clear" w:color="auto" w:fill="ffffff"/>
        </w:rPr>
        <w:t xml:space="preserve">供应商</w:t>
      </w:r>
      <w:r>
        <w:rPr>
          <w:rFonts w:ascii="宋体" w:hAnsi="宋体" w:eastAsia="宋体" w:cs="Times New Roman"/>
          <w:color w:val="auto"/>
          <w:sz w:val="24"/>
          <w:szCs w:val="24"/>
          <w:highlight w:val="none"/>
          <w:shd w:val="clear" w:color="auto" w:fill="ffffff"/>
        </w:rPr>
        <w:t xml:space="preserve">不能通过修正或撤销不符之处而使其投标成为实质性响应的投标</w:t>
      </w:r>
      <w:r>
        <w:rPr>
          <w:rFonts w:hint="eastAsia" w:ascii="宋体" w:hAnsi="宋体" w:eastAsia="宋体" w:cs="Times New Roman"/>
          <w:color w:val="auto"/>
          <w:sz w:val="24"/>
          <w:szCs w:val="24"/>
          <w:highlight w:val="none"/>
          <w:shd w:val="clear" w:color="auto" w:fill="ffffff"/>
        </w:rPr>
        <w:t xml:space="preserve">。</w:t>
      </w:r>
      <w:r/>
    </w:p>
    <w:p>
      <w:pPr>
        <w:ind w:firstLine="480"/>
        <w:spacing w:line="360" w:lineRule="auto"/>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t xml:space="preserve">2</w:t>
      </w:r>
      <w:r>
        <w:rPr>
          <w:rFonts w:hint="eastAsia" w:ascii="宋体" w:hAnsi="宋体" w:eastAsia="宋体" w:cs="Times New Roman"/>
          <w:color w:val="auto"/>
          <w:sz w:val="24"/>
          <w:szCs w:val="24"/>
          <w:highlight w:val="none"/>
          <w:shd w:val="clear" w:color="auto" w:fill="ffffff"/>
        </w:rPr>
        <w:t xml:space="preserve">3.6评标委员会将对确定为实质性响应的投标进行审核，看其是否有计算上或累加上的算术错误。投标文件报价出现前后不一致的，除招标文件另有规定外，按照下列规定修正：</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（一）投标文件中开标一览表内容与投标文件中相应内容不一致的，以开标一览表为准；</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（二）大写金额和小写金额不一致的，以大写金额为准；</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（三）单价金额小数点或者百分比有明显错位的，以开标一览表的总价为准，并修改单价；</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（四）总价金额与按单价汇总金额不一致的，以单价金额计算结果为准。</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同时出现两种以上不一致的，按照前款规定的顺序修正。修正后的报价按照本须知24.1条的规定经供应商确认后产生约束力，供应商不确认的，其投标无效。</w:t>
      </w:r>
      <w:r/>
    </w:p>
    <w:p>
      <w:pPr>
        <w:ind w:firstLine="480"/>
        <w:spacing w:line="360" w:lineRule="auto"/>
        <w:tabs>
          <w:tab w:val="left" w:pos="0" w:leader="none"/>
        </w:tabs>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t xml:space="preserve">2</w:t>
      </w:r>
      <w:r>
        <w:rPr>
          <w:rFonts w:hint="eastAsia" w:ascii="宋体" w:hAnsi="宋体" w:eastAsia="宋体" w:cs="Times New Roman"/>
          <w:color w:val="auto"/>
          <w:sz w:val="24"/>
          <w:szCs w:val="24"/>
          <w:highlight w:val="none"/>
          <w:shd w:val="clear" w:color="auto" w:fill="ffffff"/>
        </w:rPr>
        <w:t xml:space="preserve">3</w:t>
      </w:r>
      <w:r>
        <w:rPr>
          <w:rFonts w:ascii="宋体" w:hAnsi="宋体" w:eastAsia="宋体" w:cs="Times New Roman"/>
          <w:color w:val="auto"/>
          <w:sz w:val="24"/>
          <w:szCs w:val="24"/>
          <w:highlight w:val="none"/>
          <w:shd w:val="clear" w:color="auto" w:fill="ffffff"/>
        </w:rPr>
        <w:t xml:space="preserve">.</w:t>
      </w:r>
      <w:r>
        <w:rPr>
          <w:rFonts w:hint="eastAsia" w:ascii="宋体" w:hAnsi="宋体" w:eastAsia="宋体" w:cs="Times New Roman"/>
          <w:color w:val="auto"/>
          <w:sz w:val="24"/>
          <w:szCs w:val="24"/>
          <w:highlight w:val="none"/>
          <w:shd w:val="clear" w:color="auto" w:fill="ffffff"/>
          <w:lang w:val="en-US" w:eastAsia="zh-CN"/>
        </w:rPr>
        <w:t xml:space="preserve">7</w:t>
      </w:r>
      <w:r>
        <w:rPr>
          <w:rFonts w:hint="eastAsia" w:ascii="宋体" w:hAnsi="宋体" w:eastAsia="宋体" w:cs="Times New Roman"/>
          <w:color w:val="auto"/>
          <w:sz w:val="24"/>
          <w:szCs w:val="24"/>
          <w:highlight w:val="none"/>
          <w:shd w:val="clear" w:color="auto" w:fill="ffffff"/>
        </w:rPr>
        <w:t xml:space="preserve">评标委员会对投标文件的判定，只依据投标内容本身，不依靠开标后的任何外来证明。</w:t>
      </w:r>
      <w:r/>
    </w:p>
    <w:p>
      <w:pPr>
        <w:ind w:firstLine="482"/>
        <w:spacing w:line="360" w:lineRule="auto"/>
        <w:rPr>
          <w:rFonts w:ascii="宋体" w:hAnsi="宋体" w:eastAsia="宋体" w:cs="Times New Roman"/>
          <w:b/>
          <w:color w:val="auto"/>
          <w:sz w:val="24"/>
          <w:szCs w:val="24"/>
          <w:highlight w:val="none"/>
          <w:shd w:val="clear" w:color="auto" w:fill="ffffff"/>
        </w:rPr>
      </w:pPr>
      <w:r>
        <w:rPr>
          <w:rFonts w:hint="eastAsia" w:ascii="宋体" w:hAnsi="宋体" w:eastAsia="宋体" w:cs="Times New Roman"/>
          <w:b/>
          <w:color w:val="auto"/>
          <w:sz w:val="24"/>
          <w:szCs w:val="24"/>
          <w:highlight w:val="none"/>
          <w:shd w:val="clear" w:color="auto" w:fill="ffffff"/>
        </w:rPr>
        <w:t xml:space="preserve">24.投标的澄清</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24.1对于投标文件中含义不明确、同类问题表述不一致或者有明显文字和计算错误的内容，评标委员会应当要求供应商作出必要的澄清、说明或者补正。供应商的澄清、说明或者补正不得超出投标文件的范围或者改变投标文件的实质性内容。</w:t>
      </w:r>
      <w:r/>
    </w:p>
    <w:p>
      <w:pPr>
        <w:ind w:firstLine="480"/>
        <w:spacing w:line="360" w:lineRule="auto"/>
        <w:rPr>
          <w:rFonts w:ascii="宋体" w:hAnsi="宋体" w:eastAsia="宋体" w:cs="Times New Roman"/>
          <w:color w:val="auto"/>
          <w:sz w:val="24"/>
          <w:szCs w:val="24"/>
          <w:highlight w:val="none"/>
          <w:shd w:val="clear" w:color="auto" w:fill="ffffff"/>
        </w:rPr>
      </w:pPr>
      <w:r/>
      <w:bookmarkStart w:id="21" w:name="_Hlk158140503"/>
      <w:r/>
      <w:bookmarkStart w:id="22" w:name="_Hlk158140452"/>
      <w:r/>
      <w:bookmarkStart w:id="23" w:name="_Hlk90656398"/>
      <w:r>
        <w:rPr>
          <w:rFonts w:hint="eastAsia" w:ascii="宋体" w:hAnsi="宋体" w:eastAsia="宋体" w:cs="Times New Roman"/>
          <w:color w:val="auto"/>
          <w:sz w:val="24"/>
          <w:szCs w:val="24"/>
          <w:highlight w:val="none"/>
          <w:shd w:val="clear" w:color="auto" w:fill="ffffff"/>
        </w:rPr>
        <w:t xml:space="preserve">24.2本项目采用线上澄清</w:t>
      </w:r>
      <w:bookmarkEnd w:id="21"/>
      <w:r>
        <w:rPr>
          <w:rFonts w:hint="eastAsia" w:ascii="宋体" w:hAnsi="宋体" w:eastAsia="宋体" w:cs="Times New Roman"/>
          <w:color w:val="auto"/>
          <w:sz w:val="24"/>
          <w:szCs w:val="24"/>
          <w:highlight w:val="none"/>
          <w:shd w:val="clear" w:color="auto" w:fill="ffffff"/>
        </w:rPr>
        <w:t xml:space="preserve">。</w:t>
      </w:r>
      <w:bookmarkEnd w:id="22"/>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24.2.1线上澄清答复的方式：需要供应商进行澄清、说明和更正的，评标委员会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p>
    <w:p>
      <w:pPr>
        <w:ind w:firstLine="480"/>
        <w:spacing w:line="360" w:lineRule="auto"/>
        <w:rPr>
          <w:color w:val="auto"/>
          <w:highlight w:val="none"/>
        </w:rPr>
      </w:pPr>
      <w:r>
        <w:rPr>
          <w:rFonts w:hint="eastAsia" w:ascii="宋体" w:hAnsi="宋体" w:eastAsia="宋体" w:cs="Times New Roman"/>
          <w:color w:val="auto"/>
          <w:sz w:val="24"/>
          <w:szCs w:val="24"/>
          <w:highlight w:val="none"/>
          <w:shd w:val="clear" w:color="auto" w:fill="ffffff"/>
        </w:rPr>
        <w:t xml:space="preserve">24.2.2接到评标委员会澄清、说明和更正要求的供应商如未按规定做出澄清、说明和更正，其风险由供应商自行承担。</w:t>
      </w:r>
      <w:bookmarkEnd w:id="23"/>
      <w:r/>
      <w:r/>
    </w:p>
    <w:p>
      <w:pPr>
        <w:ind w:firstLine="482"/>
        <w:spacing w:line="360" w:lineRule="auto"/>
        <w:rPr>
          <w:rFonts w:ascii="宋体" w:hAnsi="宋体" w:eastAsia="宋体" w:cs="Times New Roman"/>
          <w:b/>
          <w:color w:val="auto"/>
          <w:sz w:val="24"/>
          <w:szCs w:val="24"/>
          <w:highlight w:val="none"/>
          <w:shd w:val="clear" w:color="auto" w:fill="ffffff"/>
        </w:rPr>
      </w:pPr>
      <w:r>
        <w:rPr>
          <w:rFonts w:hint="eastAsia" w:ascii="宋体" w:hAnsi="宋体" w:eastAsia="宋体" w:cs="Times New Roman"/>
          <w:b/>
          <w:color w:val="auto"/>
          <w:sz w:val="24"/>
          <w:szCs w:val="24"/>
          <w:highlight w:val="none"/>
          <w:shd w:val="clear" w:color="auto" w:fill="ffffff"/>
        </w:rPr>
        <w:t xml:space="preserve">25</w:t>
      </w:r>
      <w:r>
        <w:rPr>
          <w:rFonts w:ascii="宋体" w:hAnsi="宋体" w:eastAsia="宋体" w:cs="Times New Roman"/>
          <w:b/>
          <w:color w:val="auto"/>
          <w:sz w:val="24"/>
          <w:szCs w:val="24"/>
          <w:highlight w:val="none"/>
          <w:shd w:val="clear" w:color="auto" w:fill="ffffff"/>
        </w:rPr>
        <w:t xml:space="preserve">.</w:t>
      </w:r>
      <w:r>
        <w:rPr>
          <w:rFonts w:hint="eastAsia" w:ascii="宋体" w:hAnsi="宋体" w:eastAsia="宋体" w:cs="Times New Roman"/>
          <w:b/>
          <w:color w:val="auto"/>
          <w:sz w:val="24"/>
          <w:szCs w:val="24"/>
          <w:highlight w:val="none"/>
          <w:shd w:val="clear" w:color="auto" w:fill="ffffff"/>
        </w:rPr>
        <w:t xml:space="preserve">废标</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25.1在招标过程中，出现下列情况之一的，应予废标：</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25.1.1符合专业条件的供应商或者对招标文件作实质响应的供应商不足三家的；</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25.1.2出现影响采购公正的违法、违规行为的；</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25.1.3供应商的报价均超过了采购预算，采购人不能支付的；</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25.1.4因重大变故，采购任务取消的；</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25.2废标后，采购代理机构将把废标的理由通知所有供应商。</w:t>
      </w:r>
      <w:r/>
    </w:p>
    <w:p>
      <w:pPr>
        <w:ind w:firstLine="482"/>
        <w:spacing w:line="360" w:lineRule="auto"/>
        <w:rPr>
          <w:rFonts w:ascii="宋体" w:hAnsi="宋体" w:eastAsia="宋体" w:cs="Times New Roman"/>
          <w:b/>
          <w:color w:val="auto"/>
          <w:sz w:val="24"/>
          <w:szCs w:val="24"/>
          <w:highlight w:val="none"/>
          <w:shd w:val="clear" w:color="auto" w:fill="ffffff"/>
        </w:rPr>
      </w:pPr>
      <w:r>
        <w:rPr>
          <w:rFonts w:ascii="宋体" w:hAnsi="宋体" w:eastAsia="宋体" w:cs="Times New Roman"/>
          <w:b/>
          <w:color w:val="auto"/>
          <w:sz w:val="24"/>
          <w:szCs w:val="24"/>
          <w:highlight w:val="none"/>
          <w:shd w:val="clear" w:color="auto" w:fill="ffffff"/>
        </w:rPr>
        <w:t xml:space="preserve">2</w:t>
      </w:r>
      <w:r>
        <w:rPr>
          <w:rFonts w:hint="eastAsia" w:ascii="宋体" w:hAnsi="宋体" w:eastAsia="宋体" w:cs="Times New Roman"/>
          <w:b/>
          <w:color w:val="auto"/>
          <w:sz w:val="24"/>
          <w:szCs w:val="24"/>
          <w:highlight w:val="none"/>
          <w:shd w:val="clear" w:color="auto" w:fill="ffffff"/>
        </w:rPr>
        <w:t xml:space="preserve">6</w:t>
      </w:r>
      <w:r>
        <w:rPr>
          <w:rFonts w:ascii="宋体" w:hAnsi="宋体" w:eastAsia="宋体" w:cs="Times New Roman"/>
          <w:b/>
          <w:color w:val="auto"/>
          <w:sz w:val="24"/>
          <w:szCs w:val="24"/>
          <w:highlight w:val="none"/>
          <w:shd w:val="clear" w:color="auto" w:fill="ffffff"/>
        </w:rPr>
        <w:t xml:space="preserve">.</w:t>
      </w:r>
      <w:r>
        <w:rPr>
          <w:rFonts w:hint="eastAsia" w:ascii="宋体" w:hAnsi="宋体" w:eastAsia="宋体" w:cs="Times New Roman"/>
          <w:b/>
          <w:color w:val="auto"/>
          <w:sz w:val="24"/>
          <w:szCs w:val="24"/>
          <w:highlight w:val="none"/>
          <w:shd w:val="clear" w:color="auto" w:fill="ffffff"/>
        </w:rPr>
        <w:t xml:space="preserve">投标文件的评价和比较</w:t>
      </w:r>
      <w:r/>
    </w:p>
    <w:p>
      <w:pPr>
        <w:ind w:firstLine="480"/>
        <w:spacing w:line="360" w:lineRule="auto"/>
        <w:tabs>
          <w:tab w:val="left" w:pos="142" w:leader="none"/>
          <w:tab w:val="left" w:pos="600" w:leader="none"/>
        </w:tabs>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26</w:t>
      </w:r>
      <w:r>
        <w:rPr>
          <w:rFonts w:ascii="宋体" w:hAnsi="宋体" w:eastAsia="宋体" w:cs="Times New Roman"/>
          <w:color w:val="auto"/>
          <w:sz w:val="24"/>
          <w:szCs w:val="24"/>
          <w:highlight w:val="none"/>
          <w:shd w:val="clear" w:color="auto" w:fill="ffffff"/>
        </w:rPr>
        <w:t xml:space="preserve">.1评标委员会应当</w:t>
      </w:r>
      <w:r>
        <w:rPr>
          <w:rFonts w:hint="eastAsia" w:ascii="宋体" w:hAnsi="宋体" w:eastAsia="宋体" w:cs="Times New Roman"/>
          <w:color w:val="auto"/>
          <w:sz w:val="24"/>
          <w:szCs w:val="24"/>
          <w:highlight w:val="none"/>
          <w:shd w:val="clear" w:color="auto" w:fill="ffffff"/>
        </w:rPr>
        <w:t xml:space="preserve">严格按照招标文件的要求、条件、评分标准</w:t>
      </w:r>
      <w:r>
        <w:rPr>
          <w:rFonts w:ascii="宋体" w:hAnsi="宋体" w:eastAsia="宋体" w:cs="Times New Roman"/>
          <w:color w:val="auto"/>
          <w:sz w:val="24"/>
          <w:szCs w:val="24"/>
          <w:highlight w:val="none"/>
          <w:shd w:val="clear" w:color="auto" w:fill="ffffff"/>
        </w:rPr>
        <w:t xml:space="preserve">，对符合性审查合格的投标文件进行商务和技术评估，综合比较与评价</w:t>
      </w:r>
      <w:r>
        <w:rPr>
          <w:rFonts w:hint="eastAsia" w:ascii="宋体" w:hAnsi="宋体" w:eastAsia="宋体" w:cs="Times New Roman"/>
          <w:color w:val="auto"/>
          <w:sz w:val="24"/>
          <w:szCs w:val="24"/>
          <w:highlight w:val="none"/>
          <w:shd w:val="clear" w:color="auto" w:fill="ffffff"/>
        </w:rPr>
        <w:t xml:space="preserve">。</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26.2本项目采用综合评分法，即指投标文件满足招标文件全部实质性要求，且按照评审因素的量化指标评审得分最高的供应商</w:t>
      </w:r>
      <w:r>
        <w:rPr>
          <w:rFonts w:ascii="宋体" w:hAnsi="宋体" w:eastAsia="宋体" w:cs="Times New Roman"/>
          <w:color w:val="auto"/>
          <w:sz w:val="24"/>
          <w:szCs w:val="24"/>
          <w:highlight w:val="none"/>
          <w:shd w:val="clear" w:color="auto" w:fill="ffffff"/>
        </w:rPr>
        <w:t xml:space="preserve">为排名第一的</w:t>
      </w:r>
      <w:r>
        <w:rPr>
          <w:rFonts w:hint="eastAsia" w:ascii="宋体" w:hAnsi="宋体" w:eastAsia="宋体" w:cs="Times New Roman"/>
          <w:color w:val="auto"/>
          <w:sz w:val="24"/>
          <w:szCs w:val="24"/>
          <w:highlight w:val="none"/>
          <w:shd w:val="clear" w:color="auto" w:fill="ffffff"/>
        </w:rPr>
        <w:t xml:space="preserve">中标候选人的评标方法。</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评标委员会严格按照招标文件的要求、条件、评分标准，对供应商所</w:t>
      </w:r>
      <w:r>
        <w:rPr>
          <w:rFonts w:ascii="宋体" w:hAnsi="宋体" w:eastAsia="宋体" w:cs="Times New Roman"/>
          <w:color w:val="auto"/>
          <w:sz w:val="24"/>
          <w:szCs w:val="24"/>
          <w:highlight w:val="none"/>
          <w:shd w:val="clear" w:color="auto" w:fill="ffffff"/>
        </w:rPr>
        <w:t xml:space="preserve">提供</w:t>
      </w:r>
      <w:r>
        <w:rPr>
          <w:rFonts w:hint="eastAsia" w:ascii="宋体" w:hAnsi="宋体" w:eastAsia="宋体" w:cs="Times New Roman"/>
          <w:color w:val="auto"/>
          <w:sz w:val="24"/>
          <w:szCs w:val="24"/>
          <w:highlight w:val="none"/>
          <w:shd w:val="clear" w:color="auto" w:fill="ffffff"/>
        </w:rPr>
        <w:t xml:space="preserve">货物或服务</w:t>
      </w:r>
      <w:r>
        <w:rPr>
          <w:rFonts w:ascii="宋体" w:hAnsi="宋体" w:eastAsia="宋体" w:cs="Times New Roman"/>
          <w:color w:val="auto"/>
          <w:sz w:val="24"/>
          <w:szCs w:val="24"/>
          <w:highlight w:val="none"/>
          <w:shd w:val="clear" w:color="auto" w:fill="ffffff"/>
        </w:rPr>
        <w:t xml:space="preserve">的先进性、可靠性、售后服务承诺、质量保证承诺</w:t>
      </w:r>
      <w:r>
        <w:rPr>
          <w:rFonts w:hint="eastAsia" w:ascii="宋体" w:hAnsi="宋体" w:eastAsia="宋体" w:cs="Times New Roman"/>
          <w:color w:val="auto"/>
          <w:sz w:val="24"/>
          <w:szCs w:val="24"/>
          <w:highlight w:val="none"/>
          <w:shd w:val="clear" w:color="auto" w:fill="ffffff"/>
        </w:rPr>
        <w:t xml:space="preserve">等实质性响应内容进行比较报价，同时考虑以下因素：</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26.2.1</w:t>
      </w:r>
      <w:r>
        <w:rPr>
          <w:rFonts w:ascii="宋体" w:hAnsi="宋体" w:eastAsia="宋体" w:cs="Times New Roman"/>
          <w:color w:val="auto"/>
          <w:sz w:val="24"/>
          <w:szCs w:val="24"/>
          <w:highlight w:val="none"/>
          <w:shd w:val="clear" w:color="auto" w:fill="ffffff"/>
        </w:rPr>
        <w:t xml:space="preserve">投标者的资信情况和履约能力；</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26.2.2</w:t>
      </w:r>
      <w:r>
        <w:rPr>
          <w:rFonts w:ascii="宋体" w:hAnsi="宋体" w:eastAsia="宋体" w:cs="Times New Roman"/>
          <w:color w:val="auto"/>
          <w:sz w:val="24"/>
          <w:szCs w:val="24"/>
          <w:highlight w:val="none"/>
          <w:shd w:val="clear" w:color="auto" w:fill="ffffff"/>
        </w:rPr>
        <w:t xml:space="preserve">投标者提供的其他优惠条件</w:t>
      </w:r>
      <w:r>
        <w:rPr>
          <w:rFonts w:hint="eastAsia" w:ascii="宋体" w:hAnsi="宋体" w:eastAsia="宋体" w:cs="Times New Roman"/>
          <w:color w:val="auto"/>
          <w:sz w:val="24"/>
          <w:szCs w:val="24"/>
          <w:highlight w:val="none"/>
          <w:shd w:val="clear" w:color="auto" w:fill="ffffff"/>
        </w:rPr>
        <w:t xml:space="preserve">；</w:t>
      </w:r>
      <w:r/>
    </w:p>
    <w:p>
      <w:pPr>
        <w:ind w:firstLine="482"/>
        <w:spacing w:line="360" w:lineRule="auto"/>
        <w:rPr>
          <w:rFonts w:ascii="宋体" w:hAnsi="宋体" w:eastAsia="宋体" w:cs="Times New Roman"/>
          <w:b/>
          <w:bCs/>
          <w:color w:val="auto"/>
          <w:sz w:val="24"/>
          <w:szCs w:val="24"/>
          <w:highlight w:val="none"/>
          <w:shd w:val="clear" w:color="auto" w:fill="ffffff"/>
        </w:rPr>
      </w:pPr>
      <w:r>
        <w:rPr>
          <w:rFonts w:hint="eastAsia" w:ascii="宋体" w:hAnsi="宋体" w:eastAsia="宋体" w:cs="Times New Roman"/>
          <w:b/>
          <w:bCs/>
          <w:color w:val="auto"/>
          <w:sz w:val="24"/>
          <w:szCs w:val="24"/>
          <w:highlight w:val="none"/>
          <w:shd w:val="clear" w:color="auto" w:fill="ffffff"/>
        </w:rPr>
        <w:t xml:space="preserve">26.3最低的投标报价或最高的折扣比例是中标的重要条件，但不是唯一条件。</w:t>
      </w:r>
      <w:r/>
    </w:p>
    <w:p>
      <w:pPr>
        <w:ind w:firstLine="482"/>
        <w:spacing w:line="360" w:lineRule="auto"/>
        <w:rPr>
          <w:rFonts w:ascii="宋体" w:hAnsi="宋体" w:eastAsia="宋体" w:cs="Times New Roman"/>
          <w:b/>
          <w:color w:val="auto"/>
          <w:sz w:val="24"/>
          <w:szCs w:val="24"/>
          <w:highlight w:val="none"/>
          <w:shd w:val="clear" w:color="auto" w:fill="ffffff"/>
        </w:rPr>
      </w:pPr>
      <w:r>
        <w:rPr>
          <w:rFonts w:hint="eastAsia" w:ascii="宋体" w:hAnsi="宋体" w:eastAsia="宋体" w:cs="Times New Roman"/>
          <w:b/>
          <w:color w:val="auto"/>
          <w:sz w:val="24"/>
          <w:szCs w:val="24"/>
          <w:highlight w:val="none"/>
          <w:shd w:val="clear" w:color="auto" w:fill="ffffff"/>
        </w:rPr>
        <w:t xml:space="preserve">27</w:t>
      </w:r>
      <w:r>
        <w:rPr>
          <w:rFonts w:ascii="宋体" w:hAnsi="宋体" w:eastAsia="宋体" w:cs="Times New Roman"/>
          <w:b/>
          <w:color w:val="auto"/>
          <w:sz w:val="24"/>
          <w:szCs w:val="24"/>
          <w:highlight w:val="none"/>
          <w:shd w:val="clear" w:color="auto" w:fill="ffffff"/>
        </w:rPr>
        <w:t xml:space="preserve">.</w:t>
      </w:r>
      <w:r>
        <w:rPr>
          <w:rFonts w:hint="eastAsia" w:ascii="宋体" w:hAnsi="宋体" w:eastAsia="宋体" w:cs="Times New Roman"/>
          <w:b/>
          <w:color w:val="auto"/>
          <w:sz w:val="24"/>
          <w:szCs w:val="24"/>
          <w:highlight w:val="none"/>
          <w:shd w:val="clear" w:color="auto" w:fill="ffffff"/>
        </w:rPr>
        <w:t xml:space="preserve">中标供应商的确认</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27.1</w:t>
      </w:r>
      <w:r>
        <w:rPr>
          <w:rFonts w:ascii="宋体" w:hAnsi="宋体" w:eastAsia="宋体" w:cs="Times New Roman"/>
          <w:color w:val="auto"/>
          <w:sz w:val="24"/>
          <w:szCs w:val="24"/>
          <w:highlight w:val="none"/>
          <w:shd w:val="clear" w:color="auto" w:fill="ffffff"/>
        </w:rPr>
        <w:t xml:space="preserve">评标委员会根据</w:t>
      </w:r>
      <w:r>
        <w:rPr>
          <w:rFonts w:hint="eastAsia" w:ascii="宋体" w:hAnsi="宋体" w:eastAsia="宋体" w:cs="Times New Roman"/>
          <w:color w:val="auto"/>
          <w:sz w:val="24"/>
          <w:szCs w:val="24"/>
          <w:highlight w:val="none"/>
          <w:shd w:val="clear" w:color="auto" w:fill="ffffff"/>
        </w:rPr>
        <w:t xml:space="preserve">供应商</w:t>
      </w:r>
      <w:r>
        <w:rPr>
          <w:rFonts w:ascii="宋体" w:hAnsi="宋体" w:eastAsia="宋体" w:cs="Times New Roman"/>
          <w:color w:val="auto"/>
          <w:sz w:val="24"/>
          <w:szCs w:val="24"/>
          <w:highlight w:val="none"/>
          <w:shd w:val="clear" w:color="auto" w:fill="ffffff"/>
        </w:rPr>
        <w:t xml:space="preserve">资格审查</w:t>
      </w:r>
      <w:r>
        <w:rPr>
          <w:rFonts w:hint="eastAsia" w:ascii="宋体" w:hAnsi="宋体" w:eastAsia="宋体" w:cs="Times New Roman"/>
          <w:color w:val="auto"/>
          <w:sz w:val="24"/>
          <w:szCs w:val="24"/>
          <w:highlight w:val="none"/>
          <w:shd w:val="clear" w:color="auto" w:fill="ffffff"/>
        </w:rPr>
        <w:t xml:space="preserve">及符合性审查</w:t>
      </w:r>
      <w:r>
        <w:rPr>
          <w:rFonts w:ascii="宋体" w:hAnsi="宋体" w:eastAsia="宋体" w:cs="Times New Roman"/>
          <w:color w:val="auto"/>
          <w:sz w:val="24"/>
          <w:szCs w:val="24"/>
          <w:highlight w:val="none"/>
          <w:shd w:val="clear" w:color="auto" w:fill="ffffff"/>
        </w:rPr>
        <w:t xml:space="preserve">情况，按照评标办法和标准</w:t>
      </w:r>
      <w:r>
        <w:rPr>
          <w:rFonts w:hint="eastAsia" w:ascii="宋体" w:hAnsi="宋体" w:eastAsia="宋体" w:cs="Times New Roman"/>
          <w:color w:val="auto"/>
          <w:sz w:val="24"/>
          <w:szCs w:val="24"/>
          <w:highlight w:val="none"/>
          <w:shd w:val="clear" w:color="auto" w:fill="ffffff"/>
        </w:rPr>
        <w:t xml:space="preserve">对通过资格审查及符合性审查的投标文件</w:t>
      </w:r>
      <w:r>
        <w:rPr>
          <w:rFonts w:ascii="宋体" w:hAnsi="宋体" w:eastAsia="宋体" w:cs="Times New Roman"/>
          <w:color w:val="auto"/>
          <w:sz w:val="24"/>
          <w:szCs w:val="24"/>
          <w:highlight w:val="none"/>
          <w:shd w:val="clear" w:color="auto" w:fill="ffffff"/>
        </w:rPr>
        <w:t xml:space="preserve">进行</w:t>
      </w:r>
      <w:r>
        <w:rPr>
          <w:rFonts w:hint="eastAsia" w:ascii="宋体" w:hAnsi="宋体" w:eastAsia="宋体" w:cs="Times New Roman"/>
          <w:color w:val="auto"/>
          <w:sz w:val="24"/>
          <w:szCs w:val="24"/>
          <w:highlight w:val="none"/>
          <w:shd w:val="clear" w:color="auto" w:fill="ffffff"/>
        </w:rPr>
        <w:t xml:space="preserve">综合评审。</w:t>
      </w:r>
      <w:r>
        <w:rPr>
          <w:rFonts w:ascii="宋体" w:hAnsi="宋体" w:eastAsia="宋体" w:cs="Times New Roman"/>
          <w:color w:val="auto"/>
          <w:sz w:val="24"/>
          <w:szCs w:val="24"/>
          <w:highlight w:val="none"/>
          <w:shd w:val="clear" w:color="auto" w:fill="ffffff"/>
        </w:rPr>
        <w:t xml:space="preserve">并</w:t>
      </w:r>
      <w:r>
        <w:rPr>
          <w:rFonts w:hint="eastAsia" w:ascii="宋体" w:hAnsi="宋体" w:eastAsia="宋体" w:cs="Times New Roman"/>
          <w:color w:val="auto"/>
          <w:sz w:val="24"/>
          <w:szCs w:val="24"/>
          <w:highlight w:val="none"/>
          <w:shd w:val="clear" w:color="auto" w:fill="ffffff"/>
        </w:rPr>
        <w:t xml:space="preserve">根据采购人的委托，按照中标候选人的顺序在中标候选人中直接确定成交人。</w:t>
      </w:r>
      <w:r/>
    </w:p>
    <w:p>
      <w:pPr>
        <w:ind w:firstLine="480"/>
        <w:spacing w:line="360" w:lineRule="auto"/>
        <w:widowControl/>
        <w:rPr>
          <w:color w:val="auto"/>
          <w:highlight w:val="none"/>
        </w:rPr>
      </w:pPr>
      <w:r>
        <w:rPr>
          <w:rFonts w:hint="eastAsia" w:ascii="宋体" w:hAnsi="宋体" w:eastAsia="宋体" w:cs="Times New Roman"/>
          <w:color w:val="auto"/>
          <w:sz w:val="24"/>
          <w:szCs w:val="24"/>
          <w:highlight w:val="none"/>
          <w:shd w:val="clear" w:color="auto" w:fill="ffffff"/>
        </w:rPr>
        <w:t xml:space="preserve">27.2经评标委员会评审并确定中标供应商后，采购代理机构将在规定的时间内将中标结果在相关媒体上予以公告。</w:t>
      </w:r>
      <w:r>
        <w:rPr>
          <w:rFonts w:ascii="宋体" w:hAnsi="宋体" w:eastAsia="宋体" w:cs="Times New Roman"/>
          <w:color w:val="auto"/>
          <w:sz w:val="24"/>
          <w:szCs w:val="24"/>
          <w:highlight w:val="none"/>
          <w:shd w:val="clear" w:color="auto" w:fill="ffffff"/>
        </w:rPr>
        <w:t xml:space="preserve">各</w:t>
      </w:r>
      <w:r>
        <w:rPr>
          <w:rFonts w:hint="eastAsia" w:ascii="宋体" w:hAnsi="宋体" w:eastAsia="宋体" w:cs="Times New Roman"/>
          <w:color w:val="auto"/>
          <w:sz w:val="24"/>
          <w:szCs w:val="24"/>
          <w:highlight w:val="none"/>
          <w:shd w:val="clear" w:color="auto" w:fill="ffffff"/>
        </w:rPr>
        <w:t xml:space="preserve">供应商</w:t>
      </w:r>
      <w:r>
        <w:rPr>
          <w:rFonts w:ascii="宋体" w:hAnsi="宋体" w:eastAsia="宋体" w:cs="Times New Roman"/>
          <w:color w:val="auto"/>
          <w:sz w:val="24"/>
          <w:szCs w:val="24"/>
          <w:highlight w:val="none"/>
          <w:shd w:val="clear" w:color="auto" w:fill="ffffff"/>
        </w:rPr>
        <w:t xml:space="preserve">如对</w:t>
      </w:r>
      <w:r>
        <w:rPr>
          <w:rFonts w:hint="eastAsia" w:ascii="宋体" w:hAnsi="宋体" w:eastAsia="宋体" w:cs="Times New Roman"/>
          <w:color w:val="auto"/>
          <w:sz w:val="24"/>
          <w:szCs w:val="24"/>
          <w:highlight w:val="none"/>
          <w:shd w:val="clear" w:color="auto" w:fill="ffffff"/>
        </w:rPr>
        <w:t xml:space="preserve">公告</w:t>
      </w:r>
      <w:r>
        <w:rPr>
          <w:rFonts w:ascii="宋体" w:hAnsi="宋体" w:eastAsia="宋体" w:cs="Times New Roman"/>
          <w:color w:val="auto"/>
          <w:sz w:val="24"/>
          <w:szCs w:val="24"/>
          <w:highlight w:val="none"/>
          <w:shd w:val="clear" w:color="auto" w:fill="ffffff"/>
        </w:rPr>
        <w:t xml:space="preserve">结果有异议，应在中标公告期满</w:t>
      </w:r>
      <w:r>
        <w:rPr>
          <w:rFonts w:hint="eastAsia" w:ascii="宋体" w:hAnsi="宋体" w:eastAsia="宋体" w:cs="Times New Roman"/>
          <w:color w:val="auto"/>
          <w:sz w:val="24"/>
          <w:szCs w:val="24"/>
          <w:highlight w:val="none"/>
          <w:shd w:val="clear" w:color="auto" w:fill="ffffff"/>
        </w:rPr>
        <w:t xml:space="preserve">后</w:t>
      </w:r>
      <w:r>
        <w:rPr>
          <w:rFonts w:ascii="宋体" w:hAnsi="宋体" w:eastAsia="宋体" w:cs="Times New Roman"/>
          <w:color w:val="auto"/>
          <w:sz w:val="24"/>
          <w:szCs w:val="24"/>
          <w:highlight w:val="none"/>
          <w:shd w:val="clear" w:color="auto" w:fill="ffffff"/>
        </w:rPr>
        <w:t xml:space="preserve">七个工作日内，以书面形式向采购代理机构提出质疑，同时该质疑应有</w:t>
      </w:r>
      <w:r>
        <w:rPr>
          <w:rFonts w:hint="eastAsia" w:ascii="宋体" w:hAnsi="宋体" w:eastAsia="宋体" w:cs="Times New Roman"/>
          <w:color w:val="auto"/>
          <w:sz w:val="24"/>
          <w:szCs w:val="24"/>
          <w:highlight w:val="none"/>
          <w:shd w:val="clear" w:color="auto" w:fill="ffffff"/>
        </w:rPr>
        <w:t xml:space="preserve">供应商</w:t>
      </w:r>
      <w:r>
        <w:rPr>
          <w:rFonts w:ascii="宋体" w:hAnsi="宋体" w:eastAsia="宋体" w:cs="Times New Roman"/>
          <w:color w:val="auto"/>
          <w:sz w:val="24"/>
          <w:szCs w:val="24"/>
          <w:highlight w:val="none"/>
          <w:shd w:val="clear" w:color="auto" w:fill="ffffff"/>
        </w:rPr>
        <w:t xml:space="preserve">法定代表人或参加投标的代理人签署。</w:t>
      </w:r>
      <w:r>
        <w:rPr>
          <w:rFonts w:hint="eastAsia" w:ascii="宋体" w:hAnsi="宋体" w:eastAsia="宋体" w:cs="Times New Roman"/>
          <w:color w:val="auto"/>
          <w:sz w:val="24"/>
          <w:szCs w:val="24"/>
          <w:highlight w:val="none"/>
          <w:shd w:val="clear" w:color="auto" w:fill="ffffff"/>
        </w:rPr>
        <w:t xml:space="preserve">采购代理机构将在收到经供应商法定代表人或参加投标的代理人签署的书面质疑后七个工作日内，对质疑内容作出答复。如供应商未在中标公告期满后七个工作日内向采购代理机构提出质疑或质疑未经供应商法定代表人或参加投标的代理人签署，采购代理机构有权对该质疑不予答复。</w:t>
      </w:r>
      <w:r/>
    </w:p>
    <w:p>
      <w:pPr>
        <w:ind w:firstLine="482"/>
        <w:spacing w:line="360" w:lineRule="auto"/>
        <w:rPr>
          <w:rFonts w:ascii="宋体" w:hAnsi="宋体" w:eastAsia="宋体" w:cs="Times New Roman"/>
          <w:b/>
          <w:color w:val="auto"/>
          <w:sz w:val="24"/>
          <w:szCs w:val="24"/>
          <w:highlight w:val="none"/>
          <w:shd w:val="clear" w:color="auto" w:fill="ffffff"/>
        </w:rPr>
        <w:outlineLvl w:val="1"/>
      </w:pPr>
      <w:r>
        <w:rPr>
          <w:rFonts w:hint="eastAsia" w:ascii="宋体" w:hAnsi="宋体" w:eastAsia="宋体" w:cs="Times New Roman"/>
          <w:b/>
          <w:bCs/>
          <w:color w:val="auto"/>
          <w:sz w:val="24"/>
          <w:szCs w:val="20"/>
          <w:highlight w:val="none"/>
          <w:shd w:val="clear" w:color="auto" w:fill="ffffff"/>
        </w:rPr>
        <w:t xml:space="preserve">五、授予合同</w:t>
      </w:r>
      <w:r/>
    </w:p>
    <w:p>
      <w:pPr>
        <w:ind w:firstLine="482"/>
        <w:spacing w:line="360" w:lineRule="auto"/>
        <w:rPr>
          <w:rFonts w:ascii="宋体" w:hAnsi="宋体" w:eastAsia="宋体" w:cs="Times New Roman"/>
          <w:b/>
          <w:color w:val="auto"/>
          <w:sz w:val="24"/>
          <w:szCs w:val="24"/>
          <w:highlight w:val="none"/>
          <w:shd w:val="clear" w:color="auto" w:fill="ffffff"/>
        </w:rPr>
      </w:pPr>
      <w:r>
        <w:rPr>
          <w:rFonts w:hint="eastAsia" w:ascii="宋体" w:hAnsi="宋体" w:eastAsia="宋体" w:cs="Times New Roman"/>
          <w:b/>
          <w:color w:val="auto"/>
          <w:sz w:val="24"/>
          <w:szCs w:val="24"/>
          <w:highlight w:val="none"/>
          <w:shd w:val="clear" w:color="auto" w:fill="ffffff"/>
        </w:rPr>
        <w:t xml:space="preserve">28</w:t>
      </w:r>
      <w:r>
        <w:rPr>
          <w:rFonts w:ascii="宋体" w:hAnsi="宋体" w:eastAsia="宋体" w:cs="Times New Roman"/>
          <w:b/>
          <w:color w:val="auto"/>
          <w:sz w:val="24"/>
          <w:szCs w:val="24"/>
          <w:highlight w:val="none"/>
          <w:shd w:val="clear" w:color="auto" w:fill="ffffff"/>
        </w:rPr>
        <w:t xml:space="preserve">.</w:t>
      </w:r>
      <w:r>
        <w:rPr>
          <w:rFonts w:hint="eastAsia" w:ascii="宋体" w:hAnsi="宋体" w:eastAsia="宋体" w:cs="Times New Roman"/>
          <w:b/>
          <w:color w:val="auto"/>
          <w:sz w:val="24"/>
          <w:szCs w:val="24"/>
          <w:highlight w:val="none"/>
          <w:shd w:val="clear" w:color="auto" w:fill="ffffff"/>
        </w:rPr>
        <w:t xml:space="preserve">合同授予标准</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28.1采购人将把合同授予其投标文件在实质上响应招标文件要求和按本须知规定评选出的供应商。确定为中标的供应商必须具有实施本合同的能力和资源。</w:t>
      </w:r>
      <w:r/>
    </w:p>
    <w:p>
      <w:pPr>
        <w:ind w:firstLine="482"/>
        <w:spacing w:line="360" w:lineRule="auto"/>
        <w:rPr>
          <w:rFonts w:ascii="宋体" w:hAnsi="宋体" w:eastAsia="宋体" w:cs="Times New Roman"/>
          <w:b/>
          <w:color w:val="auto"/>
          <w:sz w:val="24"/>
          <w:szCs w:val="24"/>
          <w:highlight w:val="none"/>
          <w:shd w:val="clear" w:color="auto" w:fill="ffffff"/>
        </w:rPr>
      </w:pPr>
      <w:r>
        <w:rPr>
          <w:rFonts w:hint="eastAsia" w:ascii="宋体" w:hAnsi="宋体" w:eastAsia="宋体" w:cs="Times New Roman"/>
          <w:b/>
          <w:color w:val="auto"/>
          <w:sz w:val="24"/>
          <w:szCs w:val="24"/>
          <w:highlight w:val="none"/>
          <w:shd w:val="clear" w:color="auto" w:fill="ffffff"/>
        </w:rPr>
        <w:t xml:space="preserve">29</w:t>
      </w:r>
      <w:r>
        <w:rPr>
          <w:rFonts w:ascii="宋体" w:hAnsi="宋体" w:eastAsia="宋体" w:cs="Times New Roman"/>
          <w:b/>
          <w:color w:val="auto"/>
          <w:sz w:val="24"/>
          <w:szCs w:val="24"/>
          <w:highlight w:val="none"/>
          <w:shd w:val="clear" w:color="auto" w:fill="ffffff"/>
        </w:rPr>
        <w:t xml:space="preserve">.</w:t>
      </w:r>
      <w:r>
        <w:rPr>
          <w:rFonts w:hint="eastAsia" w:ascii="宋体" w:hAnsi="宋体" w:eastAsia="宋体" w:cs="Times New Roman"/>
          <w:b/>
          <w:color w:val="auto"/>
          <w:sz w:val="24"/>
          <w:szCs w:val="24"/>
          <w:highlight w:val="none"/>
          <w:shd w:val="clear" w:color="auto" w:fill="ffffff"/>
        </w:rPr>
        <w:t xml:space="preserve">中标通知书</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29.1在公告中标结果的同时，采购人或者采购代理机构应当向中标人发出中标通知书（中标通知书将在“苏采云”系统中发出，中标通知书发出之日视为中标供应商领取之日），请中标人在中标结果公告届满</w:t>
      </w:r>
      <w:r>
        <w:rPr>
          <w:rFonts w:hint="eastAsia" w:ascii="宋体" w:hAnsi="宋体" w:eastAsia="宋体" w:cs="Times New Roman"/>
          <w:color w:val="auto"/>
          <w:sz w:val="24"/>
          <w:szCs w:val="24"/>
          <w:highlight w:val="none"/>
          <w:shd w:val="clear" w:color="auto" w:fill="ffffff"/>
        </w:rPr>
        <w:t xml:space="preserve">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对未通过资格审查的供应商，应当告知其未通过的原因；采用综合评分法评审的，还应当告知未中标人本人的评审得分与排序。未中标供应商须在中标公告发出之日起2个工作日内向采购代理机构另行提供用以接收《未中标通知书》的电子邮件地址，未按时提供电子邮件地址或提供信息有误的，视为自动放弃并自行承担相应后果。</w:t>
      </w:r>
      <w:r/>
    </w:p>
    <w:p>
      <w:pPr>
        <w:ind w:firstLine="480"/>
        <w:spacing w:line="360" w:lineRule="auto"/>
        <w:rPr>
          <w:color w:val="auto"/>
          <w:highlight w:val="none"/>
        </w:rPr>
      </w:pPr>
      <w:r>
        <w:rPr>
          <w:rFonts w:hint="eastAsia" w:ascii="宋体" w:hAnsi="宋体" w:eastAsia="宋体" w:cs="Times New Roman"/>
          <w:color w:val="auto"/>
          <w:sz w:val="24"/>
          <w:szCs w:val="24"/>
          <w:highlight w:val="none"/>
          <w:shd w:val="clear" w:color="auto" w:fill="ffffff"/>
        </w:rPr>
        <w:t xml:space="preserve">29.2采购人或采购代理机构对未中标供应商不承担解释未中标原因的义务。</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29.3中标通知书将成为合同的组成部分。</w:t>
      </w:r>
      <w:r/>
    </w:p>
    <w:p>
      <w:pPr>
        <w:ind w:firstLine="482"/>
        <w:spacing w:line="360" w:lineRule="auto"/>
        <w:rPr>
          <w:rFonts w:ascii="宋体" w:hAnsi="宋体" w:eastAsia="宋体" w:cs="Times New Roman"/>
          <w:b/>
          <w:color w:val="auto"/>
          <w:sz w:val="24"/>
          <w:szCs w:val="24"/>
          <w:highlight w:val="none"/>
          <w:shd w:val="clear" w:color="auto" w:fill="ffffff"/>
        </w:rPr>
      </w:pPr>
      <w:r>
        <w:rPr>
          <w:rFonts w:hint="eastAsia" w:ascii="宋体" w:hAnsi="宋体" w:eastAsia="宋体" w:cs="Times New Roman"/>
          <w:b/>
          <w:color w:val="auto"/>
          <w:sz w:val="24"/>
          <w:szCs w:val="24"/>
          <w:highlight w:val="none"/>
          <w:shd w:val="clear" w:color="auto" w:fill="ffffff"/>
        </w:rPr>
        <w:t xml:space="preserve">30</w:t>
      </w:r>
      <w:r>
        <w:rPr>
          <w:rFonts w:ascii="宋体" w:hAnsi="宋体" w:eastAsia="宋体" w:cs="Times New Roman"/>
          <w:b/>
          <w:color w:val="auto"/>
          <w:sz w:val="24"/>
          <w:szCs w:val="24"/>
          <w:highlight w:val="none"/>
          <w:shd w:val="clear" w:color="auto" w:fill="ffffff"/>
        </w:rPr>
        <w:t xml:space="preserve">.</w:t>
      </w:r>
      <w:r>
        <w:rPr>
          <w:rFonts w:hint="eastAsia" w:ascii="宋体" w:hAnsi="宋体" w:eastAsia="宋体" w:cs="Times New Roman"/>
          <w:b/>
          <w:color w:val="auto"/>
          <w:sz w:val="24"/>
          <w:szCs w:val="24"/>
          <w:highlight w:val="none"/>
          <w:shd w:val="clear" w:color="auto" w:fill="ffffff"/>
        </w:rPr>
        <w:t xml:space="preserve">合同的签订</w:t>
      </w:r>
      <w:r/>
    </w:p>
    <w:p>
      <w:pPr>
        <w:ind w:firstLine="480"/>
        <w:spacing w:line="360" w:lineRule="auto"/>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t xml:space="preserve">3</w:t>
      </w:r>
      <w:r>
        <w:rPr>
          <w:rFonts w:hint="eastAsia" w:ascii="宋体" w:hAnsi="宋体" w:eastAsia="宋体" w:cs="Times New Roman"/>
          <w:color w:val="auto"/>
          <w:sz w:val="24"/>
          <w:szCs w:val="24"/>
          <w:highlight w:val="none"/>
          <w:shd w:val="clear" w:color="auto" w:fill="ffffff"/>
        </w:rPr>
        <w:t xml:space="preserve">0.1中标供应商应按中标通知书中规定的时间和地点，由法定代表人或授权代理人与采购人代表签订合同。</w:t>
      </w:r>
      <w:r/>
    </w:p>
    <w:p>
      <w:pPr>
        <w:ind w:firstLine="480"/>
        <w:spacing w:line="360" w:lineRule="auto"/>
        <w:rPr>
          <w:rFonts w:hint="eastAsia"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t xml:space="preserve">3</w:t>
      </w:r>
      <w:r>
        <w:rPr>
          <w:rFonts w:hint="eastAsia" w:ascii="宋体" w:hAnsi="宋体" w:eastAsia="宋体" w:cs="Times New Roman"/>
          <w:color w:val="auto"/>
          <w:sz w:val="24"/>
          <w:szCs w:val="24"/>
          <w:highlight w:val="none"/>
          <w:shd w:val="clear" w:color="auto" w:fill="ffffff"/>
        </w:rPr>
        <w:t xml:space="preserve">0.2签订合同及合同条款应以招标文件和中标供应商的投标文件及其澄清文件为依据。</w:t>
      </w:r>
      <w:r/>
    </w:p>
    <w:p>
      <w:pPr>
        <w:ind w:firstLine="480"/>
        <w:jc w:val="left"/>
        <w:spacing w:line="360" w:lineRule="auto"/>
        <w:rPr>
          <w:rFonts w:hint="eastAsia" w:ascii="宋体" w:hAnsi="宋体" w:eastAsia="宋体" w:cs="Times New Roman"/>
          <w:color w:val="auto"/>
          <w:sz w:val="24"/>
          <w:szCs w:val="24"/>
          <w:highlight w:val="none"/>
          <w:shd w:val="clear" w:color="auto" w:fill="ffffff"/>
          <w:lang w:val="zh-CN"/>
        </w:rPr>
      </w:pPr>
      <w:r>
        <w:rPr>
          <w:rFonts w:hint="eastAsia" w:ascii="宋体" w:hAnsi="宋体" w:eastAsia="宋体" w:cs="Times New Roman"/>
          <w:color w:val="auto"/>
          <w:sz w:val="24"/>
          <w:szCs w:val="24"/>
          <w:highlight w:val="none"/>
          <w:shd w:val="clear" w:color="auto" w:fill="ffffff"/>
        </w:rPr>
        <w:t xml:space="preserve">3</w:t>
      </w:r>
      <w:r>
        <w:rPr>
          <w:rFonts w:hint="eastAsia" w:ascii="宋体" w:hAnsi="宋体" w:eastAsia="宋体" w:cs="Times New Roman"/>
          <w:color w:val="auto"/>
          <w:sz w:val="24"/>
          <w:szCs w:val="24"/>
          <w:highlight w:val="none"/>
          <w:shd w:val="clear" w:color="auto" w:fill="ffffff"/>
          <w:lang w:val="en-US" w:eastAsia="zh-CN"/>
        </w:rPr>
        <w:t xml:space="preserve">0</w:t>
      </w:r>
      <w:r>
        <w:rPr>
          <w:rFonts w:hint="eastAsia" w:ascii="宋体" w:hAnsi="宋体" w:eastAsia="宋体" w:cs="Times New Roman"/>
          <w:color w:val="auto"/>
          <w:sz w:val="24"/>
          <w:szCs w:val="24"/>
          <w:highlight w:val="none"/>
          <w:shd w:val="clear" w:color="auto" w:fill="ffffff"/>
        </w:rPr>
        <w:t xml:space="preserve">.</w:t>
      </w:r>
      <w:r>
        <w:rPr>
          <w:rFonts w:hint="eastAsia" w:ascii="宋体" w:hAnsi="宋体" w:eastAsia="宋体" w:cs="Times New Roman"/>
          <w:color w:val="auto"/>
          <w:sz w:val="24"/>
          <w:szCs w:val="24"/>
          <w:highlight w:val="none"/>
          <w:shd w:val="clear" w:color="auto" w:fill="ffffff"/>
          <w:lang w:val="en-US" w:eastAsia="zh-CN"/>
        </w:rPr>
        <w:t xml:space="preserve">3</w:t>
      </w:r>
      <w:r>
        <w:rPr>
          <w:rFonts w:hint="eastAsia" w:ascii="宋体" w:hAnsi="宋体" w:eastAsia="宋体" w:cs="Times New Roman"/>
          <w:color w:val="auto"/>
          <w:sz w:val="24"/>
          <w:szCs w:val="24"/>
          <w:highlight w:val="none"/>
          <w:shd w:val="clear" w:color="auto" w:fill="ffffff"/>
          <w:lang w:val="zh-CN"/>
        </w:rPr>
        <w:t xml:space="preserve">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t>
      </w:r>
      <w:r>
        <w:rPr>
          <w:rFonts w:hint="eastAsia" w:ascii="宋体" w:hAnsi="宋体" w:eastAsia="宋体" w:cs="Times New Roman"/>
          <w:color w:val="auto"/>
          <w:sz w:val="24"/>
          <w:szCs w:val="24"/>
          <w:highlight w:val="none"/>
          <w:shd w:val="clear" w:color="auto" w:fill="ffffff"/>
          <w:lang w:val="zh-CN"/>
        </w:rPr>
        <w:fldChar w:fldCharType="begin"/>
      </w:r>
      <w:r>
        <w:rPr>
          <w:rFonts w:hint="eastAsia" w:ascii="宋体" w:hAnsi="宋体" w:eastAsia="宋体" w:cs="Times New Roman"/>
          <w:color w:val="auto"/>
          <w:sz w:val="24"/>
          <w:szCs w:val="24"/>
          <w:highlight w:val="none"/>
          <w:shd w:val="clear" w:color="auto" w:fill="ffffff"/>
          <w:lang w:val="zh-CN"/>
        </w:rPr>
        <w:instrText xml:space="preserve"> HYPERLINK "http://www.ccgp-jiangsu.gov.cn/jiangsu/zlxz）下载\“政府采购电子履约保函（保险）操作手册\”。31.5" </w:instrText>
      </w:r>
      <w:r>
        <w:rPr>
          <w:rFonts w:hint="eastAsia" w:ascii="宋体" w:hAnsi="宋体" w:eastAsia="宋体" w:cs="Times New Roman"/>
          <w:color w:val="auto"/>
          <w:sz w:val="24"/>
          <w:szCs w:val="24"/>
          <w:highlight w:val="none"/>
          <w:shd w:val="clear" w:color="auto" w:fill="ffffff"/>
          <w:lang w:val="zh-CN"/>
        </w:rPr>
        <w:fldChar w:fldCharType="separate"/>
      </w:r>
      <w:r>
        <w:rPr>
          <w:rFonts w:hint="eastAsia" w:ascii="宋体" w:hAnsi="宋体" w:eastAsia="宋体" w:cs="Times New Roman"/>
          <w:color w:val="auto"/>
          <w:sz w:val="24"/>
          <w:szCs w:val="24"/>
          <w:highlight w:val="none"/>
          <w:shd w:val="clear" w:color="auto" w:fill="ffffff"/>
          <w:lang w:val="zh-CN"/>
        </w:rPr>
        <w:t xml:space="preserve">www.ccgp-jiangsu.gov.cn/jiangsu/zlxz）下载“政府采购电子履约保函（保险）操作手册”。</w:t>
      </w:r>
      <w:r/>
    </w:p>
    <w:p>
      <w:pPr>
        <w:ind w:firstLine="480"/>
        <w:jc w:val="left"/>
        <w:spacing w:line="360" w:lineRule="auto"/>
        <w:rPr>
          <w:rFonts w:hint="eastAsia"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lang w:val="en-US" w:eastAsia="zh-CN"/>
        </w:rPr>
        <w:t xml:space="preserve">3</w:t>
      </w:r>
      <w:r>
        <w:rPr>
          <w:rFonts w:hint="eastAsia" w:ascii="宋体" w:hAnsi="宋体" w:eastAsia="宋体" w:cs="Times New Roman"/>
          <w:color w:val="auto"/>
          <w:sz w:val="24"/>
          <w:szCs w:val="24"/>
          <w:highlight w:val="none"/>
          <w:shd w:val="clear" w:color="auto" w:fill="ffffff"/>
          <w:lang w:val="zh-CN"/>
        </w:rPr>
        <w:fldChar w:fldCharType="end"/>
      </w:r>
      <w:r>
        <w:rPr>
          <w:rFonts w:hint="eastAsia" w:ascii="宋体" w:hAnsi="宋体" w:eastAsia="宋体" w:cs="Times New Roman"/>
          <w:color w:val="auto"/>
          <w:sz w:val="24"/>
          <w:szCs w:val="24"/>
          <w:highlight w:val="none"/>
          <w:shd w:val="clear" w:color="auto" w:fill="ffffff"/>
          <w:lang w:val="en-US" w:eastAsia="zh-CN"/>
        </w:rPr>
        <w:t xml:space="preserve">0.4 </w:t>
      </w:r>
      <w:r>
        <w:rPr>
          <w:rFonts w:hint="eastAsia" w:ascii="宋体" w:hAnsi="宋体" w:eastAsia="宋体" w:cs="Times New Roman"/>
          <w:color w:val="auto"/>
          <w:sz w:val="24"/>
          <w:szCs w:val="24"/>
          <w:highlight w:val="none"/>
          <w:shd w:val="clear" w:color="auto" w:fill="ffffff"/>
          <w:lang w:val="zh-CN"/>
        </w:rPr>
        <w:t xml:space="preserve">根据苏州市财政局《关于深入开展苏州市政府采购合同信用融资业务的通知》相关要求，本项目支持政府采购合同信用融资。</w:t>
      </w:r>
      <w:r/>
    </w:p>
    <w:p>
      <w:pPr>
        <w:ind w:firstLine="482"/>
        <w:spacing w:line="360" w:lineRule="auto"/>
        <w:rPr>
          <w:rFonts w:hint="default" w:ascii="宋体" w:hAnsi="宋体" w:eastAsia="宋体" w:cs="Times New Roman"/>
          <w:b/>
          <w:color w:val="auto"/>
          <w:sz w:val="24"/>
          <w:szCs w:val="24"/>
          <w:highlight w:val="none"/>
          <w:shd w:val="clear" w:color="auto" w:fill="ffffff"/>
          <w:lang w:val="en-US" w:eastAsia="zh-CN"/>
        </w:rPr>
      </w:pPr>
      <w:r>
        <w:rPr>
          <w:rFonts w:ascii="宋体" w:hAnsi="宋体" w:eastAsia="宋体" w:cs="Times New Roman"/>
          <w:b/>
          <w:color w:val="auto"/>
          <w:sz w:val="24"/>
          <w:szCs w:val="24"/>
          <w:highlight w:val="none"/>
          <w:shd w:val="clear" w:color="auto" w:fill="ffffff"/>
        </w:rPr>
        <w:t xml:space="preserve">3</w:t>
      </w:r>
      <w:r>
        <w:rPr>
          <w:rFonts w:hint="eastAsia" w:ascii="宋体" w:hAnsi="宋体" w:eastAsia="宋体" w:cs="Times New Roman"/>
          <w:b/>
          <w:color w:val="auto"/>
          <w:sz w:val="24"/>
          <w:szCs w:val="24"/>
          <w:highlight w:val="none"/>
          <w:shd w:val="clear" w:color="auto" w:fill="ffffff"/>
        </w:rPr>
        <w:t xml:space="preserve">1</w:t>
      </w:r>
      <w:r>
        <w:rPr>
          <w:rFonts w:ascii="宋体" w:hAnsi="宋体" w:eastAsia="宋体" w:cs="Times New Roman"/>
          <w:b/>
          <w:color w:val="auto"/>
          <w:sz w:val="24"/>
          <w:szCs w:val="24"/>
          <w:highlight w:val="none"/>
          <w:shd w:val="clear" w:color="auto" w:fill="ffffff"/>
        </w:rPr>
        <w:t xml:space="preserve">.</w:t>
      </w:r>
      <w:r>
        <w:rPr>
          <w:rFonts w:hint="eastAsia" w:ascii="宋体" w:hAnsi="宋体" w:eastAsia="宋体" w:cs="Times New Roman"/>
          <w:b/>
          <w:color w:val="auto"/>
          <w:sz w:val="24"/>
          <w:szCs w:val="24"/>
          <w:highlight w:val="none"/>
          <w:shd w:val="clear" w:color="auto" w:fill="ffffff"/>
        </w:rPr>
        <w:t xml:space="preserve">履约保证金</w:t>
      </w:r>
      <w:r>
        <w:rPr>
          <w:rFonts w:hint="eastAsia" w:ascii="宋体" w:hAnsi="宋体" w:eastAsia="宋体" w:cs="Times New Roman"/>
          <w:b/>
          <w:color w:val="auto"/>
          <w:sz w:val="24"/>
          <w:szCs w:val="24"/>
          <w:highlight w:val="none"/>
          <w:shd w:val="clear" w:color="auto" w:fill="ffffff"/>
          <w:lang w:eastAsia="zh-CN"/>
        </w:rPr>
        <w:t xml:space="preserve">：</w:t>
      </w:r>
      <w:r>
        <w:rPr>
          <w:rFonts w:hint="eastAsia" w:ascii="宋体" w:hAnsi="宋体" w:eastAsia="宋体" w:cs="Times New Roman"/>
          <w:b/>
          <w:color w:val="auto"/>
          <w:sz w:val="24"/>
          <w:szCs w:val="24"/>
          <w:highlight w:val="none"/>
          <w:shd w:val="clear" w:color="auto" w:fill="ffffff"/>
          <w:lang w:val="en-US" w:eastAsia="zh-CN"/>
        </w:rPr>
        <w:t xml:space="preserve">无</w:t>
      </w:r>
      <w:r/>
    </w:p>
    <w:p>
      <w:pPr>
        <w:ind w:firstLine="482"/>
        <w:spacing w:line="360" w:lineRule="auto"/>
        <w:rPr>
          <w:rFonts w:ascii="宋体" w:hAnsi="宋体" w:eastAsia="宋体" w:cs="Times New Roman"/>
          <w:b/>
          <w:color w:val="auto"/>
          <w:sz w:val="24"/>
          <w:szCs w:val="24"/>
          <w:highlight w:val="none"/>
          <w:shd w:val="clear" w:color="auto" w:fill="ffffff"/>
        </w:rPr>
        <w:outlineLvl w:val="1"/>
      </w:pPr>
      <w:r>
        <w:rPr>
          <w:rFonts w:hint="eastAsia" w:ascii="宋体" w:hAnsi="宋体" w:eastAsia="宋体" w:cs="Times New Roman"/>
          <w:b/>
          <w:bCs/>
          <w:color w:val="auto"/>
          <w:sz w:val="24"/>
          <w:szCs w:val="20"/>
          <w:highlight w:val="none"/>
          <w:shd w:val="clear" w:color="auto" w:fill="ffffff"/>
        </w:rPr>
        <w:t xml:space="preserve">六、其他事项</w:t>
      </w:r>
      <w:r/>
    </w:p>
    <w:p>
      <w:pPr>
        <w:ind w:firstLine="482"/>
        <w:spacing w:line="360" w:lineRule="auto"/>
        <w:rPr>
          <w:rFonts w:ascii="宋体" w:hAnsi="宋体" w:eastAsia="宋体" w:cs="Times New Roman"/>
          <w:b/>
          <w:color w:val="auto"/>
          <w:sz w:val="24"/>
          <w:szCs w:val="24"/>
          <w:highlight w:val="none"/>
          <w:shd w:val="clear" w:color="auto" w:fill="ffffff"/>
        </w:rPr>
      </w:pPr>
      <w:r>
        <w:rPr>
          <w:rFonts w:hint="eastAsia" w:ascii="宋体" w:hAnsi="宋体" w:eastAsia="宋体" w:cs="Times New Roman"/>
          <w:b/>
          <w:color w:val="auto"/>
          <w:sz w:val="24"/>
          <w:szCs w:val="24"/>
          <w:highlight w:val="none"/>
          <w:shd w:val="clear" w:color="auto" w:fill="ffffff"/>
        </w:rPr>
        <w:t xml:space="preserve">32.质疑</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32.1质疑及答复遵守《政府采购质疑和投诉办法》（中华人民共和国财政部令第94号）规定。</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32.2供应商认为招标文件、采购过程和中标结果使自己的权益受到损害的，可以在知道或应知其权益受到损害之日起七个工作日内，以书面形式根据下述条款的规定向采购代理机构或采购人提出质疑。上述应知其权益受到损害之日，是指：</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①对可以质疑的招标文件提出质疑的，为收到招标文件之日或者招标文件公告期限届满之日；</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②对采购过程提出质疑的，为各采购程序环节结束之日；</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③对中标结果提出质疑的，为中标结果公告期限届满之日。</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32.3供应商应当在法定质疑期内一次性提出针对同一采购程序环节的质疑。供应商如在法定期限内对同一采购程序环节提出多次质疑的，采购代理机构或采购人将只对供应商第一次质疑作出答复。</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32.4提出质疑的供应商应当是参与所质疑项目采购活动的供应商，未依照招标公告要求获取招标文件的供应商，视为未参与该项政府采购活动，不具备对该政府采购项目提出质疑的法定权利。</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32.5对招标文件内容质疑时，需提供在“苏采云”系统中下载本项目招标文件的《投标供应商确认函》，未提供的视为未依照招标公告要求获取招标文件的供应商，不具备对该政府采购项目提出质疑的法定权利。</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32.6接收质疑函的方式为书面形式（当场送达或邮寄方式）。供应商质疑函范本格式请参照“苏州市政府采购”网站——“下载中心”——“</w:t>
      </w:r>
      <w:r>
        <w:rPr>
          <w:color w:val="auto"/>
          <w:highlight w:val="none"/>
        </w:rPr>
        <w:fldChar w:fldCharType="begin"/>
      </w:r>
      <w:r>
        <w:rPr>
          <w:color w:val="auto"/>
          <w:highlight w:val="none"/>
        </w:rPr>
        <w:instrText xml:space="preserve"> HYPERLINK "http://czju.suzhou.gov.cn/zfcg/html/content/20180305093615738.shtml" \t "http://czju.suzhou.gov.cn/zfcg/html/channel/_blank" \o "政府采购供应商质疑函范本" </w:instrText>
      </w:r>
      <w:r>
        <w:rPr>
          <w:color w:val="auto"/>
          <w:highlight w:val="none"/>
        </w:rPr>
        <w:fldChar w:fldCharType="separate"/>
      </w:r>
      <w:r>
        <w:rPr>
          <w:rFonts w:hint="eastAsia" w:ascii="宋体" w:hAnsi="宋体" w:eastAsia="宋体" w:cs="Times New Roman"/>
          <w:color w:val="auto"/>
          <w:sz w:val="24"/>
          <w:szCs w:val="24"/>
          <w:highlight w:val="none"/>
          <w:shd w:val="clear" w:color="auto" w:fill="ffffff"/>
        </w:rPr>
        <w:t xml:space="preserve">政府采购供应商质疑函范本</w:t>
      </w:r>
      <w:r>
        <w:rPr>
          <w:rFonts w:hint="eastAsia" w:ascii="宋体" w:hAnsi="宋体" w:eastAsia="宋体" w:cs="Times New Roman"/>
          <w:color w:val="auto"/>
          <w:sz w:val="24"/>
          <w:szCs w:val="24"/>
          <w:highlight w:val="none"/>
          <w:shd w:val="clear" w:color="auto" w:fill="ffffff"/>
        </w:rPr>
        <w:fldChar w:fldCharType="end"/>
      </w:r>
      <w:r>
        <w:rPr>
          <w:rFonts w:hint="eastAsia" w:ascii="宋体" w:hAnsi="宋体" w:eastAsia="宋体" w:cs="Times New Roman"/>
          <w:color w:val="auto"/>
          <w:sz w:val="24"/>
          <w:szCs w:val="24"/>
          <w:highlight w:val="none"/>
          <w:shd w:val="clear" w:color="auto" w:fill="ffffff"/>
        </w:rPr>
        <w:t xml:space="preserve">”。供应商如组成联合体参加投标，则《质疑函范本》中要求签字、盖章、加盖公章之处，章。</w:t>
      </w:r>
      <w:r/>
    </w:p>
    <w:p>
      <w:pPr>
        <w:ind w:firstLine="480"/>
        <w:spacing w:line="360" w:lineRule="auto"/>
        <w:rPr>
          <w:rFonts w:ascii="宋体" w:hAnsi="宋体" w:eastAsia="宋体" w:cs="Times New Roman"/>
          <w:color w:val="auto"/>
          <w:sz w:val="24"/>
          <w:szCs w:val="24"/>
          <w:highlight w:val="none"/>
          <w:shd w:val="clear" w:color="auto" w:fill="ffffff"/>
          <w:lang w:val="zh-CN"/>
        </w:rPr>
      </w:pPr>
      <w:r>
        <w:rPr>
          <w:rFonts w:hint="eastAsia" w:ascii="宋体" w:hAnsi="宋体" w:eastAsia="宋体" w:cs="Times New Roman"/>
          <w:color w:val="auto"/>
          <w:sz w:val="24"/>
          <w:szCs w:val="24"/>
          <w:highlight w:val="none"/>
          <w:shd w:val="clear" w:color="auto" w:fill="ffffff"/>
        </w:rPr>
        <w:t xml:space="preserve">32.7</w:t>
      </w:r>
      <w:r>
        <w:rPr>
          <w:rFonts w:hint="eastAsia" w:ascii="宋体" w:hAnsi="宋体" w:eastAsia="宋体" w:cs="Times New Roman"/>
          <w:color w:val="auto"/>
          <w:sz w:val="24"/>
          <w:szCs w:val="24"/>
          <w:highlight w:val="none"/>
          <w:shd w:val="clear" w:color="auto" w:fill="ffffff"/>
          <w:lang w:val="zh-CN"/>
        </w:rPr>
        <w:t xml:space="preserve">质疑递交地点：</w:t>
      </w:r>
      <w:r/>
    </w:p>
    <w:p>
      <w:pPr>
        <w:ind w:firstLine="480"/>
        <w:spacing w:line="360" w:lineRule="auto"/>
        <w:rPr>
          <w:rFonts w:ascii="宋体" w:hAnsi="宋体" w:eastAsia="宋体" w:cs="Times New Roman"/>
          <w:color w:val="auto"/>
          <w:sz w:val="24"/>
          <w:szCs w:val="24"/>
          <w:highlight w:val="none"/>
          <w:shd w:val="clear" w:color="auto" w:fill="ffffff"/>
          <w:lang w:val="zh-CN"/>
        </w:rPr>
      </w:pPr>
      <w:r>
        <w:rPr>
          <w:rFonts w:hint="eastAsia" w:ascii="宋体" w:hAnsi="宋体" w:eastAsia="宋体" w:cs="Times New Roman"/>
          <w:color w:val="auto"/>
          <w:sz w:val="24"/>
          <w:szCs w:val="24"/>
          <w:highlight w:val="none"/>
          <w:shd w:val="clear" w:color="auto" w:fill="ffffff"/>
          <w:lang w:val="zh-CN"/>
        </w:rPr>
        <w:t xml:space="preserve">联系地址：</w:t>
      </w:r>
      <w:r>
        <w:rPr>
          <w:rFonts w:hint="eastAsia" w:ascii="宋体" w:hAnsi="宋体"/>
          <w:color w:val="auto"/>
          <w:sz w:val="24"/>
          <w:highlight w:val="none"/>
        </w:rPr>
        <w:t xml:space="preserve">苏州工业园区苏雅路388号新天翔商业广场A座12楼1206室</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lang w:val="zh-CN"/>
        </w:rPr>
        <w:t xml:space="preserve">电话：</w:t>
      </w:r>
      <w:r>
        <w:rPr>
          <w:rFonts w:hint="eastAsia" w:ascii="宋体" w:hAnsi="宋体" w:eastAsia="宋体" w:cs="Times New Roman"/>
          <w:color w:val="auto"/>
          <w:sz w:val="24"/>
          <w:szCs w:val="24"/>
          <w:highlight w:val="none"/>
          <w:shd w:val="clear" w:color="auto" w:fill="ffffff"/>
        </w:rPr>
        <w:t xml:space="preserve">0512-65200462</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lang w:val="zh-CN"/>
        </w:rPr>
        <w:t xml:space="preserve">联系人：</w:t>
      </w:r>
      <w:r>
        <w:rPr>
          <w:rFonts w:hint="eastAsia" w:ascii="宋体" w:hAnsi="宋体" w:eastAsia="宋体" w:cs="Times New Roman"/>
          <w:color w:val="auto"/>
          <w:sz w:val="24"/>
          <w:szCs w:val="24"/>
          <w:highlight w:val="none"/>
          <w:shd w:val="clear" w:color="auto" w:fill="ffffff"/>
        </w:rPr>
        <w:t xml:space="preserve">田娟</w:t>
      </w:r>
      <w:r/>
    </w:p>
    <w:p>
      <w:pPr>
        <w:ind w:firstLine="482"/>
        <w:spacing w:line="360" w:lineRule="auto"/>
        <w:rPr>
          <w:rFonts w:ascii="宋体" w:hAnsi="宋体" w:eastAsia="宋体" w:cs="Times New Roman"/>
          <w:b/>
          <w:color w:val="auto"/>
          <w:sz w:val="24"/>
          <w:szCs w:val="24"/>
          <w:highlight w:val="none"/>
          <w:shd w:val="clear" w:color="auto" w:fill="ffffff"/>
        </w:rPr>
      </w:pPr>
      <w:r>
        <w:rPr>
          <w:rFonts w:ascii="宋体" w:hAnsi="宋体" w:eastAsia="宋体" w:cs="Times New Roman"/>
          <w:b/>
          <w:color w:val="auto"/>
          <w:sz w:val="24"/>
          <w:szCs w:val="24"/>
          <w:highlight w:val="none"/>
          <w:shd w:val="clear" w:color="auto" w:fill="ffffff"/>
        </w:rPr>
        <w:t xml:space="preserve">3</w:t>
      </w:r>
      <w:r>
        <w:rPr>
          <w:rFonts w:hint="eastAsia" w:ascii="宋体" w:hAnsi="宋体" w:eastAsia="宋体" w:cs="Times New Roman"/>
          <w:b/>
          <w:color w:val="auto"/>
          <w:sz w:val="24"/>
          <w:szCs w:val="24"/>
          <w:highlight w:val="none"/>
          <w:shd w:val="clear" w:color="auto" w:fill="ffffff"/>
        </w:rPr>
        <w:t xml:space="preserve">3</w:t>
      </w:r>
      <w:r>
        <w:rPr>
          <w:rFonts w:ascii="宋体" w:hAnsi="宋体" w:eastAsia="宋体" w:cs="Times New Roman"/>
          <w:b/>
          <w:color w:val="auto"/>
          <w:sz w:val="24"/>
          <w:szCs w:val="24"/>
          <w:highlight w:val="none"/>
          <w:shd w:val="clear" w:color="auto" w:fill="ffffff"/>
        </w:rPr>
        <w:t xml:space="preserve">.</w:t>
      </w:r>
      <w:r>
        <w:rPr>
          <w:rFonts w:hint="eastAsia" w:ascii="宋体" w:hAnsi="宋体" w:eastAsia="宋体" w:cs="Times New Roman"/>
          <w:b/>
          <w:color w:val="auto"/>
          <w:sz w:val="24"/>
          <w:szCs w:val="24"/>
          <w:highlight w:val="none"/>
          <w:shd w:val="clear" w:color="auto" w:fill="ffffff"/>
        </w:rPr>
        <w:t xml:space="preserve">代理服务费</w:t>
      </w:r>
      <w:r/>
    </w:p>
    <w:p>
      <w:pPr>
        <w:ind w:firstLine="480"/>
        <w:spacing w:line="360" w:lineRule="auto"/>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t xml:space="preserve">3</w:t>
      </w:r>
      <w:r>
        <w:rPr>
          <w:rFonts w:hint="eastAsia" w:ascii="宋体" w:hAnsi="宋体" w:eastAsia="宋体" w:cs="Times New Roman"/>
          <w:color w:val="auto"/>
          <w:sz w:val="24"/>
          <w:szCs w:val="24"/>
          <w:highlight w:val="none"/>
          <w:shd w:val="clear" w:color="auto" w:fill="ffffff"/>
        </w:rPr>
        <w:t xml:space="preserve">3.1中标供应商须按前附表的规定计算并支付代理服务费，该费用应在领取合同前付清。</w:t>
      </w:r>
      <w:r/>
    </w:p>
    <w:p>
      <w:pPr>
        <w:ind w:firstLine="480"/>
        <w:spacing w:line="360" w:lineRule="auto"/>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t xml:space="preserve">3</w:t>
      </w:r>
      <w:r>
        <w:rPr>
          <w:rFonts w:hint="eastAsia" w:ascii="宋体" w:hAnsi="宋体" w:eastAsia="宋体" w:cs="Times New Roman"/>
          <w:color w:val="auto"/>
          <w:sz w:val="24"/>
          <w:szCs w:val="24"/>
          <w:highlight w:val="none"/>
          <w:shd w:val="clear" w:color="auto" w:fill="ffffff"/>
        </w:rPr>
        <w:t xml:space="preserve">3.2中标供应商如果未按规定缴纳代理服务费，采购代理机构将不予退还其投标保证金，并保留诉讼的权利。</w:t>
      </w:r>
      <w:r/>
    </w:p>
    <w:p>
      <w:pPr>
        <w:ind w:firstLine="482"/>
        <w:spacing w:line="360" w:lineRule="auto"/>
        <w:rPr>
          <w:rFonts w:ascii="宋体" w:hAnsi="宋体" w:eastAsia="宋体" w:cs="Times New Roman"/>
          <w:b/>
          <w:color w:val="auto"/>
          <w:sz w:val="24"/>
          <w:szCs w:val="24"/>
          <w:highlight w:val="none"/>
          <w:shd w:val="clear" w:color="auto" w:fill="ffffff"/>
        </w:rPr>
      </w:pPr>
      <w:r>
        <w:rPr>
          <w:rFonts w:ascii="宋体" w:hAnsi="宋体" w:eastAsia="宋体" w:cs="Times New Roman"/>
          <w:b/>
          <w:color w:val="auto"/>
          <w:sz w:val="24"/>
          <w:szCs w:val="24"/>
          <w:highlight w:val="none"/>
          <w:shd w:val="clear" w:color="auto" w:fill="ffffff"/>
        </w:rPr>
        <w:t xml:space="preserve">3</w:t>
      </w:r>
      <w:r>
        <w:rPr>
          <w:rFonts w:hint="eastAsia" w:ascii="宋体" w:hAnsi="宋体" w:eastAsia="宋体" w:cs="Times New Roman"/>
          <w:b/>
          <w:color w:val="auto"/>
          <w:sz w:val="24"/>
          <w:szCs w:val="24"/>
          <w:highlight w:val="none"/>
          <w:shd w:val="clear" w:color="auto" w:fill="ffffff"/>
        </w:rPr>
        <w:t xml:space="preserve">4</w:t>
      </w:r>
      <w:r>
        <w:rPr>
          <w:rFonts w:ascii="宋体" w:hAnsi="宋体" w:eastAsia="宋体" w:cs="Times New Roman"/>
          <w:b/>
          <w:color w:val="auto"/>
          <w:sz w:val="24"/>
          <w:szCs w:val="24"/>
          <w:highlight w:val="none"/>
          <w:shd w:val="clear" w:color="auto" w:fill="ffffff"/>
        </w:rPr>
        <w:t xml:space="preserve">.</w:t>
      </w:r>
      <w:r>
        <w:rPr>
          <w:rFonts w:hint="eastAsia" w:ascii="宋体" w:hAnsi="宋体" w:eastAsia="宋体" w:cs="Times New Roman"/>
          <w:b/>
          <w:color w:val="auto"/>
          <w:sz w:val="24"/>
          <w:szCs w:val="24"/>
          <w:highlight w:val="none"/>
          <w:shd w:val="clear" w:color="auto" w:fill="ffffff"/>
        </w:rPr>
        <w:t xml:space="preserve">监督和公证</w:t>
      </w:r>
      <w:r/>
    </w:p>
    <w:p>
      <w:pPr>
        <w:ind w:firstLine="480"/>
        <w:spacing w:line="360" w:lineRule="auto"/>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t xml:space="preserve">3</w:t>
      </w:r>
      <w:r>
        <w:rPr>
          <w:rFonts w:hint="eastAsia" w:ascii="宋体" w:hAnsi="宋体" w:eastAsia="宋体" w:cs="Times New Roman"/>
          <w:color w:val="auto"/>
          <w:sz w:val="24"/>
          <w:szCs w:val="24"/>
          <w:highlight w:val="none"/>
          <w:shd w:val="clear" w:color="auto" w:fill="ffffff"/>
        </w:rPr>
        <w:t xml:space="preserve">4</w:t>
      </w:r>
      <w:r>
        <w:rPr>
          <w:rFonts w:ascii="宋体" w:hAnsi="宋体" w:eastAsia="宋体" w:cs="Times New Roman"/>
          <w:color w:val="auto"/>
          <w:sz w:val="24"/>
          <w:szCs w:val="24"/>
          <w:highlight w:val="none"/>
          <w:shd w:val="clear" w:color="auto" w:fill="ffffff"/>
        </w:rPr>
        <w:t xml:space="preserve">.1</w:t>
      </w:r>
      <w:r>
        <w:rPr>
          <w:rFonts w:hint="eastAsia" w:ascii="宋体" w:hAnsi="宋体" w:eastAsia="宋体" w:cs="Times New Roman"/>
          <w:color w:val="auto"/>
          <w:sz w:val="24"/>
          <w:szCs w:val="24"/>
          <w:highlight w:val="none"/>
          <w:shd w:val="clear" w:color="auto" w:fill="ffffff"/>
        </w:rPr>
        <w:t xml:space="preserve">有关监督部门将对招投标全过程进行监督。</w:t>
      </w:r>
      <w:r/>
    </w:p>
    <w:p>
      <w:pPr>
        <w:ind w:firstLine="480"/>
        <w:spacing w:line="360" w:lineRule="auto"/>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t xml:space="preserve">3</w:t>
      </w:r>
      <w:r>
        <w:rPr>
          <w:rFonts w:hint="eastAsia" w:ascii="宋体" w:hAnsi="宋体" w:eastAsia="宋体" w:cs="Times New Roman"/>
          <w:color w:val="auto"/>
          <w:sz w:val="24"/>
          <w:szCs w:val="24"/>
          <w:highlight w:val="none"/>
          <w:shd w:val="clear" w:color="auto" w:fill="ffffff"/>
        </w:rPr>
        <w:t xml:space="preserve">4</w:t>
      </w:r>
      <w:r>
        <w:rPr>
          <w:rFonts w:ascii="宋体" w:hAnsi="宋体" w:eastAsia="宋体" w:cs="Times New Roman"/>
          <w:color w:val="auto"/>
          <w:sz w:val="24"/>
          <w:szCs w:val="24"/>
          <w:highlight w:val="none"/>
          <w:shd w:val="clear" w:color="auto" w:fill="ffffff"/>
        </w:rPr>
        <w:t xml:space="preserve">.2</w:t>
      </w:r>
      <w:r>
        <w:rPr>
          <w:rFonts w:hint="eastAsia" w:ascii="宋体" w:hAnsi="宋体" w:eastAsia="宋体" w:cs="Times New Roman"/>
          <w:color w:val="auto"/>
          <w:sz w:val="24"/>
          <w:szCs w:val="24"/>
          <w:highlight w:val="none"/>
          <w:shd w:val="clear" w:color="auto" w:fill="ffffff"/>
        </w:rPr>
        <w:t xml:space="preserve">采购代理机构的招标过程将通过公证机关进行公证。</w:t>
      </w:r>
      <w:r/>
    </w:p>
    <w:p>
      <w:pPr>
        <w:ind w:firstLine="482"/>
        <w:spacing w:line="360" w:lineRule="auto"/>
        <w:rPr>
          <w:rFonts w:ascii="宋体" w:hAnsi="宋体" w:eastAsia="宋体" w:cs="Times New Roman"/>
          <w:b/>
          <w:color w:val="auto"/>
          <w:sz w:val="24"/>
          <w:szCs w:val="24"/>
          <w:highlight w:val="none"/>
          <w:shd w:val="clear" w:color="auto" w:fill="ffffff"/>
        </w:rPr>
      </w:pPr>
      <w:r>
        <w:rPr>
          <w:rFonts w:hint="eastAsia" w:ascii="宋体" w:hAnsi="宋体" w:eastAsia="宋体" w:cs="Times New Roman"/>
          <w:b/>
          <w:color w:val="auto"/>
          <w:sz w:val="24"/>
          <w:szCs w:val="24"/>
          <w:highlight w:val="none"/>
          <w:shd w:val="clear" w:color="auto" w:fill="ffffff"/>
        </w:rPr>
        <w:t xml:space="preserve">35.未尽事宜</w:t>
      </w:r>
      <w:r/>
    </w:p>
    <w:p>
      <w:pPr>
        <w:ind w:firstLine="480"/>
        <w:spacing w:line="360" w:lineRule="auto"/>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t xml:space="preserve">未尽事宜应按《中华人民共和国</w:t>
      </w:r>
      <w:r>
        <w:rPr>
          <w:rFonts w:hint="eastAsia" w:ascii="宋体" w:hAnsi="宋体" w:eastAsia="宋体" w:cs="Times New Roman"/>
          <w:color w:val="auto"/>
          <w:sz w:val="24"/>
          <w:szCs w:val="24"/>
          <w:highlight w:val="none"/>
          <w:shd w:val="clear" w:color="auto" w:fill="ffffff"/>
        </w:rPr>
        <w:t xml:space="preserve">民</w:t>
      </w:r>
      <w:r>
        <w:rPr>
          <w:rFonts w:ascii="宋体" w:hAnsi="宋体" w:eastAsia="宋体" w:cs="Times New Roman"/>
          <w:color w:val="auto"/>
          <w:sz w:val="24"/>
          <w:szCs w:val="24"/>
          <w:highlight w:val="none"/>
          <w:shd w:val="clear" w:color="auto" w:fill="ffffff"/>
        </w:rPr>
        <w:t xml:space="preserve">法</w:t>
      </w:r>
      <w:r>
        <w:rPr>
          <w:rFonts w:hint="eastAsia" w:ascii="宋体" w:hAnsi="宋体" w:eastAsia="宋体" w:cs="Times New Roman"/>
          <w:color w:val="auto"/>
          <w:sz w:val="24"/>
          <w:szCs w:val="24"/>
          <w:highlight w:val="none"/>
          <w:shd w:val="clear" w:color="auto" w:fill="ffffff"/>
        </w:rPr>
        <w:t xml:space="preserve">典</w:t>
      </w:r>
      <w:r>
        <w:rPr>
          <w:rFonts w:ascii="宋体" w:hAnsi="宋体" w:eastAsia="宋体" w:cs="Times New Roman"/>
          <w:color w:val="auto"/>
          <w:sz w:val="24"/>
          <w:szCs w:val="24"/>
          <w:highlight w:val="none"/>
          <w:shd w:val="clear" w:color="auto" w:fill="ffffff"/>
        </w:rPr>
        <w:t xml:space="preserve">》、《中华人民共和国政府采购法》以及其</w:t>
      </w:r>
      <w:r>
        <w:rPr>
          <w:rFonts w:hint="eastAsia" w:ascii="宋体" w:hAnsi="宋体" w:eastAsia="宋体" w:cs="Times New Roman"/>
          <w:color w:val="auto"/>
          <w:sz w:val="24"/>
          <w:szCs w:val="24"/>
          <w:highlight w:val="none"/>
          <w:shd w:val="clear" w:color="auto" w:fill="ffffff"/>
        </w:rPr>
        <w:t xml:space="preserve">它</w:t>
      </w:r>
      <w:r>
        <w:rPr>
          <w:rFonts w:ascii="宋体" w:hAnsi="宋体" w:eastAsia="宋体" w:cs="Times New Roman"/>
          <w:color w:val="auto"/>
          <w:sz w:val="24"/>
          <w:szCs w:val="24"/>
          <w:highlight w:val="none"/>
          <w:shd w:val="clear" w:color="auto" w:fill="ffffff"/>
        </w:rPr>
        <w:t xml:space="preserve">相关法律、法规之规定解释</w:t>
      </w:r>
      <w:r>
        <w:rPr>
          <w:rFonts w:hint="eastAsia" w:ascii="宋体" w:hAnsi="宋体" w:eastAsia="宋体" w:cs="Times New Roman"/>
          <w:color w:val="auto"/>
          <w:sz w:val="24"/>
          <w:szCs w:val="24"/>
          <w:highlight w:val="none"/>
          <w:shd w:val="clear" w:color="auto" w:fill="ffffff"/>
        </w:rPr>
        <w:t xml:space="preserve">。</w:t>
      </w:r>
      <w:r/>
    </w:p>
    <w:p>
      <w:pPr>
        <w:spacing w:line="360" w:lineRule="auto"/>
        <w:rPr>
          <w:rFonts w:ascii="宋体" w:hAnsi="宋体" w:eastAsia="宋体" w:cs="Times New Roman"/>
          <w:color w:val="auto"/>
          <w:sz w:val="32"/>
          <w:szCs w:val="32"/>
          <w:highlight w:val="none"/>
          <w:shd w:val="clear" w:color="auto" w:fill="ffffff"/>
        </w:rPr>
      </w:pPr>
      <w:r>
        <w:rPr>
          <w:rFonts w:ascii="宋体" w:hAnsi="宋体" w:eastAsia="宋体" w:cs="Times New Roman"/>
          <w:color w:val="auto"/>
          <w:sz w:val="26"/>
          <w:szCs w:val="20"/>
          <w:highlight w:val="none"/>
          <w:shd w:val="clear" w:color="auto" w:fill="ffffff"/>
        </w:rPr>
        <w:br w:type="page" w:clear="all"/>
      </w:r>
      <w:r/>
    </w:p>
    <w:p>
      <w:pPr>
        <w:spacing w:line="360" w:lineRule="auto"/>
        <w:rPr>
          <w:rFonts w:ascii="宋体" w:hAnsi="宋体" w:eastAsia="宋体" w:cs="Times New Roman"/>
          <w:color w:val="auto"/>
          <w:sz w:val="32"/>
          <w:szCs w:val="32"/>
          <w:highlight w:val="none"/>
          <w:shd w:val="clear" w:color="auto" w:fill="ffffff"/>
        </w:rPr>
      </w:pPr>
      <w:r>
        <w:rPr>
          <w:rFonts w:ascii="宋体" w:hAnsi="宋体" w:eastAsia="宋体" w:cs="Times New Roman"/>
          <w:color w:val="auto"/>
          <w:sz w:val="32"/>
          <w:szCs w:val="32"/>
          <w:highlight w:val="none"/>
          <w:shd w:val="clear" w:color="auto" w:fill="ffffff"/>
        </w:rPr>
      </w:r>
      <w:r/>
    </w:p>
    <w:p>
      <w:pPr>
        <w:spacing w:line="360" w:lineRule="auto"/>
        <w:rPr>
          <w:rFonts w:ascii="宋体" w:hAnsi="宋体" w:eastAsia="宋体" w:cs="Times New Roman"/>
          <w:color w:val="auto"/>
          <w:sz w:val="32"/>
          <w:szCs w:val="32"/>
          <w:highlight w:val="none"/>
          <w:shd w:val="clear" w:color="auto" w:fill="ffffff"/>
        </w:rPr>
      </w:pPr>
      <w:r>
        <w:rPr>
          <w:rFonts w:ascii="宋体" w:hAnsi="宋体" w:eastAsia="宋体" w:cs="Times New Roman"/>
          <w:color w:val="auto"/>
          <w:sz w:val="32"/>
          <w:szCs w:val="32"/>
          <w:highlight w:val="none"/>
          <w:shd w:val="clear" w:color="auto" w:fill="ffffff"/>
        </w:rPr>
      </w:r>
      <w:r/>
    </w:p>
    <w:p>
      <w:pPr>
        <w:spacing w:line="360" w:lineRule="auto"/>
        <w:rPr>
          <w:rFonts w:ascii="宋体" w:hAnsi="宋体" w:eastAsia="宋体" w:cs="Times New Roman"/>
          <w:color w:val="auto"/>
          <w:sz w:val="32"/>
          <w:szCs w:val="32"/>
          <w:highlight w:val="none"/>
          <w:shd w:val="clear" w:color="auto" w:fill="ffffff"/>
        </w:rPr>
      </w:pPr>
      <w:r>
        <w:rPr>
          <w:rFonts w:ascii="宋体" w:hAnsi="宋体" w:eastAsia="宋体" w:cs="Times New Roman"/>
          <w:color w:val="auto"/>
          <w:sz w:val="32"/>
          <w:szCs w:val="32"/>
          <w:highlight w:val="none"/>
          <w:shd w:val="clear" w:color="auto" w:fill="ffffff"/>
        </w:rPr>
      </w:r>
      <w:r/>
    </w:p>
    <w:p>
      <w:pPr>
        <w:spacing w:line="360" w:lineRule="auto"/>
        <w:rPr>
          <w:rFonts w:ascii="宋体" w:hAnsi="宋体" w:eastAsia="宋体" w:cs="Times New Roman"/>
          <w:color w:val="auto"/>
          <w:sz w:val="32"/>
          <w:szCs w:val="32"/>
          <w:highlight w:val="none"/>
          <w:shd w:val="clear" w:color="auto" w:fill="ffffff"/>
        </w:rPr>
      </w:pPr>
      <w:r>
        <w:rPr>
          <w:rFonts w:ascii="宋体" w:hAnsi="宋体" w:eastAsia="宋体" w:cs="Times New Roman"/>
          <w:color w:val="auto"/>
          <w:sz w:val="32"/>
          <w:szCs w:val="32"/>
          <w:highlight w:val="none"/>
          <w:shd w:val="clear" w:color="auto" w:fill="ffffff"/>
        </w:rPr>
      </w:r>
      <w:r/>
    </w:p>
    <w:p>
      <w:pPr>
        <w:spacing w:line="360" w:lineRule="auto"/>
        <w:rPr>
          <w:rFonts w:ascii="宋体" w:hAnsi="宋体" w:eastAsia="宋体" w:cs="Times New Roman"/>
          <w:color w:val="auto"/>
          <w:sz w:val="32"/>
          <w:szCs w:val="32"/>
          <w:highlight w:val="none"/>
          <w:shd w:val="clear" w:color="auto" w:fill="ffffff"/>
        </w:rPr>
      </w:pPr>
      <w:r>
        <w:rPr>
          <w:rFonts w:ascii="宋体" w:hAnsi="宋体" w:eastAsia="宋体" w:cs="Times New Roman"/>
          <w:color w:val="auto"/>
          <w:sz w:val="32"/>
          <w:szCs w:val="32"/>
          <w:highlight w:val="none"/>
          <w:shd w:val="clear" w:color="auto" w:fill="ffffff"/>
        </w:rPr>
      </w:r>
      <w:r/>
    </w:p>
    <w:p>
      <w:pPr>
        <w:jc w:val="center"/>
        <w:keepLines/>
        <w:keepNext/>
        <w:spacing w:before="340" w:after="330" w:line="360" w:lineRule="auto"/>
        <w:rPr>
          <w:rFonts w:ascii="宋体" w:hAnsi="宋体" w:eastAsia="宋体" w:cs="Times New Roman"/>
          <w:color w:val="auto"/>
          <w:sz w:val="52"/>
          <w:szCs w:val="20"/>
          <w:highlight w:val="none"/>
          <w:shd w:val="clear" w:color="auto" w:fill="ffffff"/>
        </w:rPr>
        <w:outlineLvl w:val="0"/>
      </w:pPr>
      <w:r/>
      <w:bookmarkStart w:id="24" w:name="_Toc105940239"/>
      <w:r>
        <w:rPr>
          <w:rFonts w:hint="eastAsia" w:ascii="宋体" w:hAnsi="宋体" w:eastAsia="宋体" w:cs="Times New Roman"/>
          <w:b/>
          <w:color w:val="auto"/>
          <w:sz w:val="52"/>
          <w:szCs w:val="20"/>
          <w:highlight w:val="none"/>
          <w:shd w:val="clear" w:color="auto" w:fill="ffffff"/>
        </w:rPr>
        <w:t xml:space="preserve">第三章投标文件格式</w:t>
      </w:r>
      <w:bookmarkEnd w:id="24"/>
      <w:r/>
      <w:r/>
    </w:p>
    <w:p>
      <w:pPr>
        <w:jc w:val="left"/>
        <w:spacing w:line="360" w:lineRule="auto"/>
        <w:rPr>
          <w:rFonts w:ascii="宋体" w:hAnsi="宋体" w:eastAsia="宋体" w:cs="Times New Roman"/>
          <w:b/>
          <w:color w:val="auto"/>
          <w:sz w:val="24"/>
          <w:szCs w:val="20"/>
          <w:highlight w:val="none"/>
          <w:shd w:val="clear" w:color="auto" w:fill="ffffff"/>
        </w:rPr>
      </w:pPr>
      <w:r>
        <w:rPr>
          <w:rFonts w:hint="eastAsia" w:ascii="宋体" w:hAnsi="宋体" w:eastAsia="宋体" w:cs="Times New Roman"/>
          <w:b/>
          <w:color w:val="auto"/>
          <w:sz w:val="24"/>
          <w:szCs w:val="20"/>
          <w:highlight w:val="none"/>
          <w:shd w:val="clear" w:color="auto" w:fill="ffffff"/>
        </w:rPr>
        <w:t xml:space="preserve">说明：</w:t>
      </w:r>
      <w:r/>
    </w:p>
    <w:p>
      <w:pPr>
        <w:ind w:firstLine="482"/>
        <w:jc w:val="left"/>
        <w:spacing w:line="360" w:lineRule="auto"/>
        <w:rPr>
          <w:rFonts w:ascii="宋体" w:hAnsi="宋体" w:eastAsia="宋体" w:cs="Times New Roman"/>
          <w:b/>
          <w:color w:val="auto"/>
          <w:sz w:val="24"/>
          <w:szCs w:val="20"/>
          <w:highlight w:val="none"/>
          <w:shd w:val="clear" w:color="auto" w:fill="ffffff"/>
        </w:rPr>
      </w:pPr>
      <w:r>
        <w:rPr>
          <w:rFonts w:hint="eastAsia" w:ascii="宋体" w:hAnsi="宋体" w:eastAsia="宋体" w:cs="Times New Roman"/>
          <w:b/>
          <w:color w:val="auto"/>
          <w:sz w:val="24"/>
          <w:szCs w:val="21"/>
          <w:highlight w:val="none"/>
          <w:shd w:val="clear" w:color="auto" w:fill="ffffff"/>
        </w:rPr>
        <w:t xml:space="preserve">对本章所有的投标文件格式 ，除注明允许修改的文件外，供应商均应按照本章提供的格式填写，否则作为无效标。允许修改的文件，投标方可根据自身情况进行补充和修改，但补充和修改不得造成与原格式内容有实质性的违背</w:t>
      </w:r>
      <w:r>
        <w:rPr>
          <w:rFonts w:hint="eastAsia" w:ascii="宋体" w:hAnsi="宋体" w:eastAsia="宋体" w:cs="Times New Roman"/>
          <w:b/>
          <w:color w:val="auto"/>
          <w:sz w:val="24"/>
          <w:szCs w:val="20"/>
          <w:highlight w:val="none"/>
          <w:shd w:val="clear" w:color="auto" w:fill="ffffff"/>
        </w:rPr>
        <w:t xml:space="preserve">。</w:t>
      </w:r>
      <w:r/>
    </w:p>
    <w:p>
      <w:pPr>
        <w:spacing w:line="360" w:lineRule="auto"/>
        <w:rPr>
          <w:rFonts w:ascii="宋体" w:hAnsi="宋体" w:eastAsia="宋体" w:cs="Times New Roman"/>
          <w:b/>
          <w:color w:val="auto"/>
          <w:sz w:val="24"/>
          <w:szCs w:val="20"/>
          <w:highlight w:val="none"/>
          <w:shd w:val="clear" w:color="auto" w:fill="ffffff"/>
        </w:rPr>
        <w:outlineLvl w:val="1"/>
      </w:pPr>
      <w:r>
        <w:rPr>
          <w:rFonts w:ascii="宋体" w:hAnsi="宋体" w:eastAsia="宋体" w:cs="Times New Roman"/>
          <w:b/>
          <w:color w:val="auto"/>
          <w:sz w:val="28"/>
          <w:szCs w:val="20"/>
          <w:highlight w:val="none"/>
          <w:shd w:val="clear" w:color="auto" w:fill="ffffff"/>
        </w:rPr>
        <w:br w:type="page" w:clear="all"/>
      </w:r>
      <w:r>
        <w:rPr>
          <w:rFonts w:hint="eastAsia" w:ascii="宋体" w:hAnsi="宋体" w:eastAsia="宋体" w:cs="Times New Roman"/>
          <w:b/>
          <w:color w:val="auto"/>
          <w:sz w:val="24"/>
          <w:szCs w:val="20"/>
          <w:highlight w:val="none"/>
          <w:shd w:val="clear" w:color="auto" w:fill="ffffff"/>
        </w:rPr>
        <w:t xml:space="preserve">1、（供应商）法定代表人授权委托书</w:t>
      </w:r>
      <w:r/>
    </w:p>
    <w:p>
      <w:pPr>
        <w:jc w:val="center"/>
        <w:spacing w:line="360" w:lineRule="auto"/>
        <w:rPr>
          <w:rFonts w:ascii="宋体" w:hAnsi="宋体" w:eastAsia="宋体" w:cs="Times New Roman"/>
          <w:color w:val="auto"/>
          <w:sz w:val="24"/>
          <w:szCs w:val="20"/>
          <w:highlight w:val="none"/>
          <w:shd w:val="clear" w:color="auto" w:fill="ffffff"/>
        </w:rPr>
      </w:pPr>
      <w:r>
        <w:rPr>
          <w:rFonts w:ascii="宋体" w:hAnsi="宋体" w:eastAsia="宋体" w:cs="Times New Roman"/>
          <w:color w:val="auto"/>
          <w:sz w:val="24"/>
          <w:szCs w:val="20"/>
          <w:highlight w:val="none"/>
          <w:shd w:val="clear" w:color="auto" w:fill="ffffff"/>
        </w:rPr>
      </w:r>
      <w:r/>
    </w:p>
    <w:p>
      <w:pPr>
        <w:jc w:val="center"/>
        <w:spacing w:line="36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0"/>
          <w:highlight w:val="none"/>
        </w:rPr>
        <w:t xml:space="preserve">授权委托书</w:t>
      </w:r>
      <w:r/>
    </w:p>
    <w:p>
      <w:pPr>
        <w:spacing w:line="360" w:lineRule="auto"/>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ind w:firstLine="480"/>
        <w:spacing w:line="360" w:lineRule="auto"/>
        <w:rPr>
          <w:rFonts w:ascii="宋体" w:hAnsi="宋体" w:eastAsia="宋体" w:cs="Times New Roman"/>
          <w:color w:val="auto"/>
          <w:sz w:val="24"/>
          <w:szCs w:val="20"/>
          <w:highlight w:val="none"/>
        </w:rPr>
      </w:pPr>
      <w:r/>
      <w:bookmarkStart w:id="25" w:name="_Hlk117242496"/>
      <w:r>
        <w:rPr>
          <w:rFonts w:hint="eastAsia" w:ascii="宋体" w:hAnsi="宋体" w:eastAsia="宋体" w:cs="Times New Roman"/>
          <w:color w:val="auto"/>
          <w:sz w:val="24"/>
          <w:szCs w:val="20"/>
          <w:highlight w:val="none"/>
        </w:rPr>
        <w:t xml:space="preserve">本授权委托书声明：我</w:t>
      </w:r>
      <w:r>
        <w:rPr>
          <w:rFonts w:ascii="宋体" w:hAnsi="宋体" w:eastAsia="宋体" w:cs="Times New Roman"/>
          <w:color w:val="auto"/>
          <w:sz w:val="24"/>
          <w:szCs w:val="20"/>
          <w:highlight w:val="none"/>
          <w:u w:val="single"/>
        </w:rPr>
        <w:t xml:space="preserve"> </w:t>
      </w:r>
      <w:r>
        <w:rPr>
          <w:rFonts w:hint="eastAsia" w:ascii="宋体" w:hAnsi="宋体" w:eastAsia="宋体" w:cs="Times New Roman"/>
          <w:color w:val="auto"/>
          <w:sz w:val="24"/>
          <w:szCs w:val="20"/>
          <w:highlight w:val="none"/>
          <w:u w:val="single"/>
        </w:rPr>
        <w:t xml:space="preserve">      </w:t>
      </w:r>
      <w:r>
        <w:rPr>
          <w:rFonts w:hint="eastAsia" w:ascii="宋体" w:hAnsi="宋体" w:eastAsia="宋体" w:cs="Times New Roman"/>
          <w:color w:val="auto"/>
          <w:sz w:val="24"/>
          <w:szCs w:val="20"/>
          <w:highlight w:val="none"/>
        </w:rPr>
        <w:t xml:space="preserve">（姓名）系</w:t>
      </w:r>
      <w:r>
        <w:rPr>
          <w:rFonts w:hint="eastAsia" w:ascii="宋体" w:hAnsi="宋体" w:eastAsia="宋体" w:cs="Times New Roman"/>
          <w:color w:val="auto"/>
          <w:sz w:val="24"/>
          <w:szCs w:val="20"/>
          <w:highlight w:val="none"/>
          <w:u w:val="single"/>
        </w:rPr>
        <w:t xml:space="preserve">            </w:t>
      </w:r>
      <w:r>
        <w:rPr>
          <w:rFonts w:hint="eastAsia" w:ascii="宋体" w:hAnsi="宋体" w:eastAsia="宋体" w:cs="Times New Roman"/>
          <w:color w:val="auto"/>
          <w:sz w:val="24"/>
          <w:szCs w:val="20"/>
          <w:highlight w:val="none"/>
        </w:rPr>
        <w:t xml:space="preserve">（供应商名称）的法定代表人，现授权委托</w:t>
      </w:r>
      <w:r>
        <w:rPr>
          <w:rFonts w:hint="eastAsia" w:ascii="宋体" w:hAnsi="宋体" w:eastAsia="宋体" w:cs="Times New Roman"/>
          <w:color w:val="auto"/>
          <w:sz w:val="24"/>
          <w:szCs w:val="20"/>
          <w:highlight w:val="none"/>
          <w:u w:val="single"/>
        </w:rPr>
        <w:t xml:space="preserve">            </w:t>
      </w:r>
      <w:r>
        <w:rPr>
          <w:rFonts w:hint="eastAsia" w:ascii="宋体" w:hAnsi="宋体" w:eastAsia="宋体" w:cs="Times New Roman"/>
          <w:color w:val="auto"/>
          <w:sz w:val="24"/>
          <w:szCs w:val="20"/>
          <w:highlight w:val="none"/>
        </w:rPr>
        <w:t xml:space="preserve">（供应商名称）的</w:t>
      </w:r>
      <w:r>
        <w:rPr>
          <w:rFonts w:hint="eastAsia" w:ascii="宋体" w:hAnsi="宋体" w:eastAsia="宋体" w:cs="Times New Roman"/>
          <w:color w:val="auto"/>
          <w:sz w:val="24"/>
          <w:szCs w:val="20"/>
          <w:highlight w:val="none"/>
          <w:u w:val="single"/>
        </w:rPr>
        <w:t xml:space="preserve">     </w:t>
      </w:r>
      <w:r>
        <w:rPr>
          <w:rFonts w:hint="eastAsia" w:ascii="宋体" w:hAnsi="宋体" w:eastAsia="宋体" w:cs="Times New Roman"/>
          <w:color w:val="auto"/>
          <w:sz w:val="24"/>
          <w:szCs w:val="20"/>
          <w:highlight w:val="none"/>
        </w:rPr>
        <w:t xml:space="preserve"> （姓名+手机号码）为本公司代理人，以本公司的名义参加本项目采购代理机构组织实施的编号为</w:t>
      </w:r>
      <w:r>
        <w:rPr>
          <w:rFonts w:hint="eastAsia" w:ascii="宋体" w:hAnsi="宋体" w:eastAsia="宋体" w:cs="Times New Roman"/>
          <w:color w:val="auto"/>
          <w:sz w:val="24"/>
          <w:szCs w:val="20"/>
          <w:highlight w:val="none"/>
          <w:u w:val="single"/>
        </w:rPr>
        <w:t xml:space="preserve">        </w:t>
      </w:r>
      <w:r>
        <w:rPr>
          <w:rFonts w:hint="eastAsia" w:ascii="宋体" w:hAnsi="宋体" w:eastAsia="宋体" w:cs="Times New Roman"/>
          <w:color w:val="auto"/>
          <w:sz w:val="24"/>
          <w:szCs w:val="20"/>
          <w:highlight w:val="none"/>
        </w:rPr>
        <w:t xml:space="preserve">号的招标活动。代理人在开标、评标、合同招标过程中所签署的一切文件和处理与这有关的一切事务，我均予以承认。</w:t>
      </w:r>
      <w:r/>
    </w:p>
    <w:p>
      <w:pPr>
        <w:ind w:firstLine="480"/>
        <w:spacing w:line="360" w:lineRule="auto"/>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代理人在授权委托书有效期内签署的所有文件不因授权委托的撤销而失效，除非有撤销授权委托的书面通知，本授权委托书自投标</w:t>
      </w:r>
      <w:r>
        <w:rPr>
          <w:rFonts w:ascii="宋体" w:hAnsi="宋体" w:eastAsia="宋体" w:cs="Times New Roman"/>
          <w:color w:val="auto"/>
          <w:sz w:val="24"/>
          <w:szCs w:val="20"/>
          <w:highlight w:val="none"/>
        </w:rPr>
        <w:t xml:space="preserve">之日起</w:t>
      </w:r>
      <w:r>
        <w:rPr>
          <w:rFonts w:hint="eastAsia" w:ascii="宋体" w:hAnsi="宋体" w:eastAsia="宋体" w:cs="Times New Roman"/>
          <w:color w:val="auto"/>
          <w:sz w:val="24"/>
          <w:szCs w:val="20"/>
          <w:highlight w:val="none"/>
        </w:rPr>
        <w:t xml:space="preserve">至合同履行完毕止。</w:t>
      </w:r>
      <w:r/>
    </w:p>
    <w:p>
      <w:pPr>
        <w:ind w:firstLine="480"/>
        <w:spacing w:line="360" w:lineRule="auto"/>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代理人无转委托权。特此委托。</w:t>
      </w:r>
      <w:bookmarkEnd w:id="25"/>
      <w:r/>
      <w:r/>
    </w:p>
    <w:p>
      <w:pPr>
        <w:ind w:firstLine="480"/>
        <w:spacing w:line="360" w:lineRule="auto"/>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ind w:firstLine="480"/>
        <w:spacing w:line="360" w:lineRule="auto"/>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ind w:right="105" w:firstLine="210"/>
        <w:jc w:val="right"/>
        <w:spacing w:line="360" w:lineRule="auto"/>
        <w:rPr>
          <w:rFonts w:ascii="Times New Roman"/>
          <w:color w:val="auto"/>
          <w:szCs w:val="21"/>
          <w:highlight w:val="none"/>
        </w:rPr>
      </w:pPr>
      <w:r>
        <w:rPr>
          <w:rFonts w:ascii="Times New Roman"/>
          <w:color w:val="auto"/>
          <w:szCs w:val="21"/>
          <w:highlight w:val="none"/>
        </w:rPr>
        <w:t xml:space="preserve">供应商名称：（加盖CA电子公章）</w:t>
      </w:r>
      <w:r/>
    </w:p>
    <w:p>
      <w:pPr>
        <w:ind w:right="420" w:firstLine="210"/>
        <w:jc w:val="right"/>
        <w:spacing w:line="360" w:lineRule="auto"/>
        <w:rPr>
          <w:rFonts w:ascii="Times New Roman"/>
          <w:color w:val="auto"/>
          <w:szCs w:val="21"/>
          <w:highlight w:val="none"/>
        </w:rPr>
      </w:pPr>
      <w:r>
        <w:rPr>
          <w:rFonts w:ascii="Times New Roman"/>
          <w:color w:val="auto"/>
          <w:szCs w:val="21"/>
          <w:highlight w:val="none"/>
        </w:rPr>
        <w:t xml:space="preserve">日期：　　　年　　月　　日</w:t>
      </w:r>
      <w:r/>
    </w:p>
    <w:p>
      <w:pPr>
        <w:ind w:firstLine="480"/>
        <w:spacing w:line="360" w:lineRule="auto"/>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rPr>
          <w:rFonts w:ascii="宋体" w:hAnsi="宋体" w:eastAsia="宋体" w:cs="Times New Roman"/>
          <w:b/>
          <w:color w:val="auto"/>
          <w:sz w:val="24"/>
          <w:szCs w:val="20"/>
          <w:highlight w:val="none"/>
        </w:rPr>
      </w:pPr>
      <w:r>
        <w:rPr>
          <w:rFonts w:hint="eastAsia" w:ascii="宋体" w:hAnsi="宋体" w:eastAsia="宋体" w:cs="Times New Roman"/>
          <w:b/>
          <w:color w:val="auto"/>
          <w:sz w:val="24"/>
          <w:szCs w:val="20"/>
          <w:highlight w:val="none"/>
        </w:rPr>
        <w:br w:type="page" w:clear="all"/>
      </w:r>
      <w:r/>
    </w:p>
    <w:p>
      <w:pPr>
        <w:jc w:val="left"/>
        <w:spacing w:line="360" w:lineRule="auto"/>
        <w:rPr>
          <w:rFonts w:ascii="宋体" w:hAnsi="宋体" w:eastAsia="宋体" w:cs="Times New Roman"/>
          <w:bCs/>
          <w:color w:val="auto"/>
          <w:sz w:val="24"/>
          <w:szCs w:val="20"/>
          <w:highlight w:val="none"/>
          <w:shd w:val="clear" w:color="auto" w:fill="ffffff"/>
        </w:rPr>
      </w:pPr>
      <w:r>
        <w:rPr>
          <w:rFonts w:hint="eastAsia" w:ascii="宋体" w:hAnsi="宋体" w:eastAsia="宋体" w:cs="Times New Roman"/>
          <w:b/>
          <w:color w:val="auto"/>
          <w:sz w:val="24"/>
          <w:szCs w:val="20"/>
          <w:highlight w:val="none"/>
          <w:shd w:val="clear" w:color="auto" w:fill="ffffff"/>
        </w:rPr>
        <w:t xml:space="preserve"> 2、投标函</w:t>
      </w:r>
      <w:r/>
    </w:p>
    <w:p>
      <w:pPr>
        <w:jc w:val="center"/>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b/>
          <w:color w:val="auto"/>
          <w:sz w:val="24"/>
          <w:szCs w:val="24"/>
          <w:highlight w:val="none"/>
          <w:shd w:val="clear" w:color="auto" w:fill="ffffff"/>
        </w:rPr>
        <w:t xml:space="preserve">投标函</w:t>
      </w:r>
      <w:r/>
    </w:p>
    <w:p>
      <w:pPr>
        <w:pStyle w:val="1011"/>
        <w:ind w:firstLine="420"/>
        <w:spacing w:line="360" w:lineRule="auto"/>
        <w:rPr>
          <w:color w:val="auto"/>
          <w:highlight w:val="none"/>
          <w:lang w:val="en-US"/>
        </w:rPr>
      </w:pPr>
      <w:r>
        <w:rPr>
          <w:color w:val="auto"/>
          <w:highlight w:val="none"/>
          <w:lang w:val="en-US"/>
        </w:rPr>
      </w:r>
      <w:r/>
    </w:p>
    <w:p>
      <w:pPr>
        <w:spacing w:line="360" w:lineRule="auto"/>
        <w:rPr>
          <w:rFonts w:ascii="宋体" w:hAnsi="宋体" w:eastAsia="宋体" w:cs="Times New Roman"/>
          <w:b/>
          <w:bCs/>
          <w:color w:val="auto"/>
          <w:sz w:val="24"/>
          <w:szCs w:val="24"/>
          <w:highlight w:val="none"/>
          <w:u w:val="single"/>
        </w:rPr>
      </w:pPr>
      <w:r>
        <w:rPr>
          <w:rFonts w:hint="eastAsia" w:ascii="宋体" w:hAnsi="宋体" w:eastAsia="宋体"/>
          <w:b/>
          <w:bCs/>
          <w:color w:val="auto"/>
          <w:sz w:val="24"/>
          <w:szCs w:val="24"/>
          <w:highlight w:val="none"/>
          <w:u w:val="single"/>
          <w:lang w:eastAsia="zh-CN"/>
        </w:rPr>
        <w:t xml:space="preserve">苏州工业园区教育局</w:t>
      </w:r>
      <w:r>
        <w:rPr>
          <w:rFonts w:ascii="宋体" w:hAnsi="宋体" w:eastAsia="宋体" w:cs="Times New Roman"/>
          <w:b/>
          <w:bCs/>
          <w:color w:val="auto"/>
          <w:sz w:val="24"/>
          <w:szCs w:val="24"/>
          <w:highlight w:val="none"/>
          <w:u w:val="single"/>
        </w:rPr>
        <w:t xml:space="preserve">：</w:t>
      </w:r>
      <w:r/>
    </w:p>
    <w:p>
      <w:pPr>
        <w:ind w:firstLine="480"/>
        <w:spacing w:line="400" w:lineRule="exact"/>
        <w:rPr>
          <w:rFonts w:ascii="宋体" w:hAnsi="宋体" w:eastAsia="宋体" w:cs="Times New Roman"/>
          <w:color w:val="auto"/>
          <w:sz w:val="24"/>
          <w:szCs w:val="20"/>
          <w:highlight w:val="none"/>
          <w:shd w:val="clear" w:color="auto" w:fill="ffffff"/>
        </w:rPr>
      </w:pPr>
      <w:r>
        <w:rPr>
          <w:rFonts w:hint="eastAsia" w:ascii="宋体" w:hAnsi="宋体" w:eastAsia="宋体" w:cs="Times New Roman"/>
          <w:color w:val="auto"/>
          <w:sz w:val="24"/>
          <w:szCs w:val="20"/>
          <w:highlight w:val="none"/>
          <w:shd w:val="clear" w:color="auto" w:fill="ffffff"/>
        </w:rPr>
        <w:t xml:space="preserve">本公司收到贵司</w:t>
      </w:r>
      <w:r>
        <w:rPr>
          <w:rFonts w:hint="eastAsia" w:ascii="宋体" w:hAnsi="宋体" w:eastAsia="宋体" w:cs="Times New Roman"/>
          <w:color w:val="auto"/>
          <w:sz w:val="24"/>
          <w:szCs w:val="20"/>
          <w:highlight w:val="none"/>
          <w:u w:val="single"/>
          <w:shd w:val="clear" w:color="auto" w:fill="ffffff"/>
        </w:rPr>
        <w:t xml:space="preserve">             </w:t>
      </w:r>
      <w:r>
        <w:rPr>
          <w:rFonts w:hint="eastAsia" w:ascii="宋体" w:hAnsi="宋体" w:eastAsia="宋体" w:cs="Times New Roman"/>
          <w:color w:val="auto"/>
          <w:sz w:val="24"/>
          <w:szCs w:val="20"/>
          <w:highlight w:val="none"/>
          <w:shd w:val="clear" w:color="auto" w:fill="ffffff"/>
        </w:rPr>
        <w:t xml:space="preserve">号招标文件，经仔细阅读和研究，本公司决定参加投标。</w:t>
      </w:r>
      <w:r/>
    </w:p>
    <w:p>
      <w:pPr>
        <w:ind w:firstLine="480"/>
        <w:spacing w:line="400" w:lineRule="exact"/>
        <w:rPr>
          <w:rFonts w:ascii="宋体" w:hAnsi="宋体" w:eastAsia="宋体" w:cs="Times New Roman"/>
          <w:color w:val="auto"/>
          <w:sz w:val="24"/>
          <w:szCs w:val="20"/>
          <w:highlight w:val="none"/>
          <w:shd w:val="clear" w:color="auto" w:fill="ffffff"/>
        </w:rPr>
      </w:pPr>
      <w:r>
        <w:rPr>
          <w:rFonts w:ascii="宋体" w:hAnsi="宋体" w:eastAsia="宋体" w:cs="Times New Roman"/>
          <w:color w:val="auto"/>
          <w:sz w:val="24"/>
          <w:szCs w:val="20"/>
          <w:highlight w:val="none"/>
          <w:shd w:val="clear" w:color="auto" w:fill="ffffff"/>
        </w:rPr>
        <w:t xml:space="preserve">1</w:t>
      </w:r>
      <w:r>
        <w:rPr>
          <w:rFonts w:hint="eastAsia" w:ascii="宋体" w:hAnsi="宋体" w:eastAsia="宋体" w:cs="Times New Roman"/>
          <w:color w:val="auto"/>
          <w:sz w:val="24"/>
          <w:szCs w:val="20"/>
          <w:highlight w:val="none"/>
          <w:shd w:val="clear" w:color="auto" w:fill="ffffff"/>
        </w:rPr>
        <w:t xml:space="preserve">、本公司愿意按照招标文件的一切要求，提供完成该项目的全部内容，本公司的投标</w:t>
      </w:r>
      <w:r>
        <w:rPr>
          <w:rFonts w:ascii="宋体" w:hAnsi="宋体" w:eastAsia="宋体" w:cs="Times New Roman"/>
          <w:color w:val="auto"/>
          <w:sz w:val="24"/>
          <w:szCs w:val="20"/>
          <w:highlight w:val="none"/>
          <w:shd w:val="clear" w:color="auto" w:fill="ffffff"/>
        </w:rPr>
        <w:t xml:space="preserve">报价</w:t>
      </w:r>
      <w:r>
        <w:rPr>
          <w:rFonts w:hint="eastAsia" w:ascii="宋体" w:hAnsi="宋体" w:eastAsia="宋体" w:cs="Times New Roman"/>
          <w:color w:val="auto"/>
          <w:sz w:val="24"/>
          <w:szCs w:val="20"/>
          <w:highlight w:val="none"/>
          <w:shd w:val="clear" w:color="auto" w:fill="ffffff"/>
        </w:rPr>
        <w:t xml:space="preserve">包括设备、随机备品备件、易损件（包括保障设备正常运行三年所需的备品备件、易损件）、降噪、专用工具、安装、调试价（包括损耗、额外材料等，含安装、调试、试运行等相关费用）、运输及保险（包括货物运至最终目的地点的运输费、装卸费、保险费，含伴随货物交运的有关费用）、为完成本项目的全部相关服务费用（包括但不限于现场保管仓储费、零星工程费、培训费、质保期内维护保养费，以及相关税费等保证本项目正常实施和运行所需的一切相关费用）。</w:t>
      </w:r>
      <w:r/>
    </w:p>
    <w:p>
      <w:pPr>
        <w:ind w:firstLine="480"/>
        <w:spacing w:line="400" w:lineRule="exact"/>
        <w:rPr>
          <w:rFonts w:ascii="宋体" w:hAnsi="宋体" w:eastAsia="宋体" w:cs="Times New Roman"/>
          <w:color w:val="auto"/>
          <w:sz w:val="24"/>
          <w:szCs w:val="20"/>
          <w:highlight w:val="none"/>
          <w:shd w:val="clear" w:color="auto" w:fill="ffffff"/>
        </w:rPr>
      </w:pPr>
      <w:r>
        <w:rPr>
          <w:rFonts w:ascii="宋体" w:hAnsi="宋体" w:eastAsia="宋体" w:cs="Times New Roman"/>
          <w:color w:val="auto"/>
          <w:sz w:val="24"/>
          <w:szCs w:val="20"/>
          <w:highlight w:val="none"/>
          <w:shd w:val="clear" w:color="auto" w:fill="ffffff"/>
        </w:rPr>
        <w:t xml:space="preserve">2</w:t>
      </w:r>
      <w:r>
        <w:rPr>
          <w:rFonts w:hint="eastAsia" w:ascii="宋体" w:hAnsi="宋体" w:eastAsia="宋体" w:cs="Times New Roman"/>
          <w:color w:val="auto"/>
          <w:sz w:val="24"/>
          <w:szCs w:val="20"/>
          <w:highlight w:val="none"/>
          <w:shd w:val="clear" w:color="auto" w:fill="ffffff"/>
        </w:rPr>
        <w:t xml:space="preserve">、如果本公司的投标文件被接受，本公司将严格履行招标文件中规定的每一项要求，按期、按质、按量履行合同的义务。</w:t>
      </w:r>
      <w:r/>
    </w:p>
    <w:p>
      <w:pPr>
        <w:ind w:firstLine="480"/>
        <w:spacing w:line="400" w:lineRule="exact"/>
        <w:rPr>
          <w:rFonts w:ascii="宋体" w:hAnsi="宋体" w:eastAsia="宋体" w:cs="Times New Roman"/>
          <w:color w:val="auto"/>
          <w:sz w:val="24"/>
          <w:szCs w:val="20"/>
          <w:highlight w:val="none"/>
          <w:shd w:val="clear" w:color="auto" w:fill="ffffff"/>
        </w:rPr>
      </w:pPr>
      <w:r>
        <w:rPr>
          <w:rFonts w:ascii="宋体" w:hAnsi="宋体" w:eastAsia="宋体" w:cs="Times New Roman"/>
          <w:color w:val="auto"/>
          <w:sz w:val="24"/>
          <w:szCs w:val="20"/>
          <w:highlight w:val="none"/>
          <w:shd w:val="clear" w:color="auto" w:fill="ffffff"/>
        </w:rPr>
        <w:t xml:space="preserve">3</w:t>
      </w:r>
      <w:r>
        <w:rPr>
          <w:rFonts w:hint="eastAsia" w:ascii="宋体" w:hAnsi="宋体" w:eastAsia="宋体" w:cs="Times New Roman"/>
          <w:color w:val="auto"/>
          <w:sz w:val="24"/>
          <w:szCs w:val="20"/>
          <w:highlight w:val="none"/>
          <w:shd w:val="clear" w:color="auto" w:fill="ffffff"/>
        </w:rPr>
        <w:t xml:space="preserve">、本公司已</w:t>
      </w:r>
      <w:r>
        <w:rPr>
          <w:rFonts w:ascii="宋体" w:hAnsi="宋体" w:eastAsia="宋体" w:cs="Times New Roman"/>
          <w:color w:val="auto"/>
          <w:sz w:val="24"/>
          <w:szCs w:val="20"/>
          <w:highlight w:val="none"/>
          <w:shd w:val="clear" w:color="auto" w:fill="ffffff"/>
        </w:rPr>
        <w:t xml:space="preserve">详细审查全部招标文件，包括</w:t>
      </w:r>
      <w:r>
        <w:rPr>
          <w:rFonts w:hint="eastAsia" w:ascii="宋体" w:hAnsi="宋体" w:eastAsia="宋体" w:cs="Times New Roman"/>
          <w:color w:val="auto"/>
          <w:sz w:val="24"/>
          <w:szCs w:val="20"/>
          <w:highlight w:val="none"/>
          <w:shd w:val="clear" w:color="auto" w:fill="ffffff"/>
        </w:rPr>
        <w:t xml:space="preserve">补充文件（更正公告）</w:t>
      </w:r>
      <w:r>
        <w:rPr>
          <w:rFonts w:ascii="宋体" w:hAnsi="宋体" w:eastAsia="宋体" w:cs="Times New Roman"/>
          <w:color w:val="auto"/>
          <w:sz w:val="24"/>
          <w:szCs w:val="20"/>
          <w:highlight w:val="none"/>
          <w:shd w:val="clear" w:color="auto" w:fill="ffffff"/>
        </w:rPr>
        <w:t xml:space="preserve">(如有)。</w:t>
      </w:r>
      <w:r>
        <w:rPr>
          <w:rFonts w:hint="eastAsia" w:ascii="宋体" w:hAnsi="宋体" w:eastAsia="宋体" w:cs="Times New Roman"/>
          <w:color w:val="auto"/>
          <w:sz w:val="24"/>
          <w:szCs w:val="20"/>
          <w:highlight w:val="none"/>
          <w:shd w:val="clear" w:color="auto" w:fill="ffffff"/>
        </w:rPr>
        <w:t xml:space="preserve">本公司</w:t>
      </w:r>
      <w:r>
        <w:rPr>
          <w:rFonts w:ascii="宋体" w:hAnsi="宋体" w:eastAsia="宋体" w:cs="Times New Roman"/>
          <w:color w:val="auto"/>
          <w:sz w:val="24"/>
          <w:szCs w:val="20"/>
          <w:highlight w:val="none"/>
          <w:shd w:val="clear" w:color="auto" w:fill="ffffff"/>
        </w:rPr>
        <w:t xml:space="preserve">完全理解并同意放弃对这方面有不明及误解的权力。</w:t>
      </w:r>
      <w:r/>
    </w:p>
    <w:p>
      <w:pPr>
        <w:ind w:firstLine="480"/>
        <w:spacing w:line="400" w:lineRule="exact"/>
        <w:rPr>
          <w:rFonts w:ascii="宋体" w:hAnsi="宋体" w:eastAsia="宋体" w:cs="Times New Roman"/>
          <w:color w:val="auto"/>
          <w:sz w:val="24"/>
          <w:szCs w:val="20"/>
          <w:highlight w:val="none"/>
          <w:shd w:val="clear" w:color="auto" w:fill="ffffff"/>
        </w:rPr>
      </w:pPr>
      <w:r>
        <w:rPr>
          <w:rFonts w:hint="eastAsia" w:ascii="宋体" w:hAnsi="宋体" w:eastAsia="宋体" w:cs="Times New Roman"/>
          <w:color w:val="auto"/>
          <w:sz w:val="24"/>
          <w:szCs w:val="20"/>
          <w:highlight w:val="none"/>
          <w:shd w:val="clear" w:color="auto" w:fill="ffffff"/>
        </w:rPr>
        <w:t xml:space="preserve">4、本公司同意按招标文件中的规定，本投标文件的有效期限为投标截止</w:t>
      </w:r>
      <w:r>
        <w:rPr>
          <w:rFonts w:ascii="宋体" w:hAnsi="宋体" w:eastAsia="宋体" w:cs="Times New Roman"/>
          <w:color w:val="auto"/>
          <w:sz w:val="24"/>
          <w:szCs w:val="20"/>
          <w:highlight w:val="none"/>
          <w:shd w:val="clear" w:color="auto" w:fill="ffffff"/>
        </w:rPr>
        <w:t xml:space="preserve">日起</w:t>
      </w:r>
      <w:r>
        <w:rPr>
          <w:rFonts w:hint="eastAsia" w:ascii="宋体" w:hAnsi="宋体" w:eastAsia="宋体" w:cs="Times New Roman"/>
          <w:color w:val="auto"/>
          <w:sz w:val="24"/>
          <w:szCs w:val="20"/>
          <w:highlight w:val="none"/>
          <w:u w:val="single"/>
          <w:shd w:val="clear" w:color="auto" w:fill="ffffff"/>
        </w:rPr>
        <w:t xml:space="preserve">90</w:t>
      </w:r>
      <w:r>
        <w:rPr>
          <w:rFonts w:hint="eastAsia" w:ascii="宋体" w:hAnsi="宋体" w:eastAsia="宋体" w:cs="Times New Roman"/>
          <w:color w:val="auto"/>
          <w:sz w:val="24"/>
          <w:szCs w:val="20"/>
          <w:highlight w:val="none"/>
          <w:shd w:val="clear" w:color="auto" w:fill="ffffff"/>
        </w:rPr>
        <w:t xml:space="preserve">天。</w:t>
      </w:r>
      <w:r/>
    </w:p>
    <w:p>
      <w:pPr>
        <w:ind w:firstLine="480"/>
        <w:spacing w:line="400" w:lineRule="exact"/>
        <w:rPr>
          <w:rFonts w:ascii="宋体" w:hAnsi="宋体" w:eastAsia="宋体" w:cs="Times New Roman"/>
          <w:color w:val="auto"/>
          <w:sz w:val="24"/>
          <w:szCs w:val="20"/>
          <w:highlight w:val="none"/>
          <w:shd w:val="clear" w:color="auto" w:fill="ffffff"/>
        </w:rPr>
      </w:pPr>
      <w:r>
        <w:rPr>
          <w:rFonts w:hint="eastAsia" w:ascii="宋体" w:hAnsi="宋体" w:eastAsia="宋体" w:cs="Times New Roman"/>
          <w:color w:val="auto"/>
          <w:sz w:val="24"/>
          <w:szCs w:val="20"/>
          <w:highlight w:val="none"/>
          <w:shd w:val="clear" w:color="auto" w:fill="ffffff"/>
        </w:rPr>
        <w:t xml:space="preserve">5、本公司愿意提供采购人或采购代理机构在招标文件中要求的所有资料。</w:t>
      </w:r>
      <w:r/>
    </w:p>
    <w:p>
      <w:pPr>
        <w:ind w:firstLine="480"/>
        <w:spacing w:line="400" w:lineRule="exact"/>
        <w:rPr>
          <w:rFonts w:ascii="宋体" w:hAnsi="宋体" w:eastAsia="宋体" w:cs="宋体"/>
          <w:color w:val="auto"/>
          <w:sz w:val="24"/>
          <w:szCs w:val="24"/>
          <w:highlight w:val="none"/>
          <w:shd w:val="clear" w:color="auto" w:fill="ffffff"/>
        </w:rPr>
      </w:pPr>
      <w:r>
        <w:rPr>
          <w:rFonts w:hint="eastAsia" w:ascii="宋体" w:hAnsi="宋体" w:eastAsia="宋体" w:cs="Times New Roman"/>
          <w:color w:val="auto"/>
          <w:sz w:val="24"/>
          <w:szCs w:val="20"/>
          <w:highlight w:val="none"/>
          <w:shd w:val="clear" w:color="auto" w:fill="ffffff"/>
        </w:rPr>
        <w:t xml:space="preserve">6、</w:t>
      </w:r>
      <w:r>
        <w:rPr>
          <w:rFonts w:hint="eastAsia" w:ascii="宋体" w:hAnsi="宋体" w:eastAsia="宋体" w:cs="宋体"/>
          <w:color w:val="auto"/>
          <w:sz w:val="24"/>
          <w:szCs w:val="24"/>
          <w:highlight w:val="none"/>
          <w:shd w:val="clear" w:color="auto" w:fill="ffffff"/>
        </w:rPr>
        <w:t xml:space="preserve">本公司</w:t>
      </w:r>
      <w:r>
        <w:rPr>
          <w:rFonts w:ascii="宋体" w:hAnsi="宋体" w:eastAsia="宋体" w:cs="宋体"/>
          <w:color w:val="auto"/>
          <w:sz w:val="24"/>
          <w:szCs w:val="24"/>
          <w:highlight w:val="none"/>
          <w:shd w:val="clear" w:color="auto" w:fill="ffffff"/>
        </w:rPr>
        <w:t xml:space="preserve">声明：</w:t>
      </w:r>
      <w:r>
        <w:rPr>
          <w:rFonts w:hint="eastAsia" w:ascii="宋体" w:hAnsi="宋体" w:eastAsia="宋体" w:cs="宋体"/>
          <w:color w:val="auto"/>
          <w:sz w:val="24"/>
          <w:szCs w:val="24"/>
          <w:highlight w:val="none"/>
          <w:shd w:val="clear" w:color="auto" w:fill="ffffff"/>
        </w:rPr>
        <w:t xml:space="preserve">本公司</w:t>
      </w:r>
      <w:r>
        <w:rPr>
          <w:rFonts w:ascii="宋体" w:hAnsi="宋体" w:eastAsia="宋体" w:cs="宋体"/>
          <w:color w:val="auto"/>
          <w:sz w:val="24"/>
          <w:szCs w:val="24"/>
          <w:highlight w:val="none"/>
          <w:shd w:val="clear" w:color="auto" w:fill="ffffff"/>
        </w:rPr>
        <w:t xml:space="preserve">在参加本次政府采购活动前3年内在经营活动中没有重大违法记录。</w:t>
      </w:r>
      <w:r/>
    </w:p>
    <w:p>
      <w:pPr>
        <w:ind w:firstLine="480"/>
        <w:spacing w:line="400" w:lineRule="exact"/>
        <w:rPr>
          <w:rFonts w:ascii="宋体" w:hAnsi="宋体" w:eastAsia="宋体" w:cs="Times New Roman"/>
          <w:color w:val="auto"/>
          <w:sz w:val="24"/>
          <w:szCs w:val="20"/>
          <w:highlight w:val="none"/>
          <w:shd w:val="clear" w:color="auto" w:fill="ffffff"/>
        </w:rPr>
      </w:pPr>
      <w:r>
        <w:rPr>
          <w:rFonts w:hint="eastAsia" w:ascii="宋体" w:hAnsi="宋体" w:eastAsia="宋体" w:cs="Times New Roman"/>
          <w:color w:val="auto"/>
          <w:sz w:val="24"/>
          <w:szCs w:val="20"/>
          <w:highlight w:val="none"/>
          <w:shd w:val="clear" w:color="auto" w:fill="ffffff"/>
        </w:rPr>
        <w:t xml:space="preserve">7、本公司愿意遵守招标公告及招标文件中所列的收费标准。</w:t>
      </w:r>
      <w:r/>
    </w:p>
    <w:p>
      <w:pPr>
        <w:ind w:firstLine="480"/>
        <w:spacing w:line="400" w:lineRule="exact"/>
        <w:rPr>
          <w:rFonts w:ascii="宋体" w:hAnsi="宋体" w:eastAsia="宋体" w:cs="Times New Roman"/>
          <w:color w:val="auto"/>
          <w:sz w:val="24"/>
          <w:szCs w:val="20"/>
          <w:highlight w:val="none"/>
          <w:shd w:val="clear" w:color="auto" w:fill="ffffff"/>
        </w:rPr>
      </w:pPr>
      <w:r>
        <w:rPr>
          <w:rFonts w:hint="eastAsia" w:ascii="宋体" w:hAnsi="宋体" w:eastAsia="宋体" w:cs="Times New Roman"/>
          <w:color w:val="auto"/>
          <w:sz w:val="24"/>
          <w:szCs w:val="20"/>
          <w:highlight w:val="none"/>
          <w:shd w:val="clear" w:color="auto" w:fill="ffffff"/>
        </w:rPr>
        <w:t xml:space="preserve">8、本公司承诺该项投标在开标后的全过程中保持有效，不作任何更改和变动。</w:t>
      </w:r>
      <w:r/>
    </w:p>
    <w:p>
      <w:pPr>
        <w:ind w:firstLine="482"/>
        <w:spacing w:line="400" w:lineRule="exact"/>
        <w:rPr>
          <w:rFonts w:ascii="宋体" w:hAnsi="宋体" w:eastAsia="宋体" w:cs="Times New Roman"/>
          <w:b/>
          <w:bCs/>
          <w:color w:val="auto"/>
          <w:sz w:val="24"/>
          <w:szCs w:val="20"/>
          <w:highlight w:val="none"/>
          <w:shd w:val="clear" w:color="auto" w:fill="ffffff"/>
        </w:rPr>
      </w:pPr>
      <w:r>
        <w:rPr>
          <w:rFonts w:hint="eastAsia" w:ascii="宋体" w:hAnsi="宋体" w:eastAsia="宋体" w:cs="Times New Roman"/>
          <w:b/>
          <w:bCs/>
          <w:color w:val="auto"/>
          <w:sz w:val="24"/>
          <w:szCs w:val="20"/>
          <w:highlight w:val="none"/>
          <w:shd w:val="clear" w:color="auto" w:fill="ffffff"/>
        </w:rPr>
        <w:t xml:space="preserve">9、我方同意并接受采购人在招标文件、签约合同以及未来合同履行过程中设定的所有日常考核及综合考核制度，并无条件接受及承担因考核不达标或不合格产生的一切责任及后果。</w:t>
      </w:r>
      <w:r/>
    </w:p>
    <w:p>
      <w:pPr>
        <w:ind w:firstLine="480"/>
        <w:spacing w:line="400" w:lineRule="exact"/>
        <w:rPr>
          <w:rFonts w:ascii="宋体" w:hAnsi="宋体" w:eastAsia="宋体" w:cs="Times New Roman"/>
          <w:color w:val="auto"/>
          <w:sz w:val="24"/>
          <w:szCs w:val="20"/>
          <w:highlight w:val="none"/>
          <w:shd w:val="clear" w:color="auto" w:fill="ffffff"/>
        </w:rPr>
      </w:pPr>
      <w:r>
        <w:rPr>
          <w:rFonts w:ascii="宋体" w:hAnsi="宋体" w:eastAsia="宋体" w:cs="Times New Roman"/>
          <w:color w:val="auto"/>
          <w:sz w:val="24"/>
          <w:szCs w:val="20"/>
          <w:highlight w:val="none"/>
          <w:shd w:val="clear" w:color="auto" w:fill="ffffff"/>
        </w:rPr>
        <w:t xml:space="preserve">10</w:t>
      </w:r>
      <w:r>
        <w:rPr>
          <w:rFonts w:hint="eastAsia" w:ascii="宋体" w:hAnsi="宋体" w:eastAsia="宋体" w:cs="Times New Roman"/>
          <w:color w:val="auto"/>
          <w:sz w:val="24"/>
          <w:szCs w:val="20"/>
          <w:highlight w:val="none"/>
          <w:shd w:val="clear" w:color="auto" w:fill="ffffff"/>
        </w:rPr>
        <w:t xml:space="preserve">、如果本公司中标，本公司愿意按招标文件规定支付履约保证金和代理服务费。</w:t>
      </w:r>
      <w:r/>
    </w:p>
    <w:p>
      <w:pPr>
        <w:ind w:firstLine="480"/>
        <w:spacing w:line="400" w:lineRule="exact"/>
        <w:rPr>
          <w:rFonts w:ascii="宋体" w:hAnsi="宋体" w:eastAsia="宋体" w:cs="Times New Roman"/>
          <w:color w:val="auto"/>
          <w:sz w:val="24"/>
          <w:szCs w:val="20"/>
          <w:highlight w:val="none"/>
          <w:shd w:val="clear" w:color="auto" w:fill="ffffff"/>
        </w:rPr>
      </w:pPr>
      <w:r>
        <w:rPr>
          <w:rFonts w:ascii="宋体" w:hAnsi="宋体" w:eastAsia="宋体" w:cs="Times New Roman"/>
          <w:color w:val="auto"/>
          <w:sz w:val="24"/>
          <w:szCs w:val="20"/>
          <w:highlight w:val="none"/>
          <w:shd w:val="clear" w:color="auto" w:fill="ffffff"/>
        </w:rPr>
        <w:t xml:space="preserve">11</w:t>
      </w:r>
      <w:r>
        <w:rPr>
          <w:rFonts w:hint="eastAsia" w:ascii="宋体" w:hAnsi="宋体" w:eastAsia="宋体" w:cs="Times New Roman"/>
          <w:color w:val="auto"/>
          <w:sz w:val="24"/>
          <w:szCs w:val="20"/>
          <w:highlight w:val="none"/>
          <w:shd w:val="clear" w:color="auto" w:fill="ffffff"/>
        </w:rPr>
        <w:t xml:space="preserve">、本公司承诺符合</w:t>
      </w:r>
      <w:r>
        <w:rPr>
          <w:rFonts w:hint="eastAsia" w:ascii="宋体" w:hAnsi="宋体" w:cs="宋体"/>
          <w:color w:val="auto"/>
          <w:sz w:val="24"/>
          <w:szCs w:val="24"/>
          <w:highlight w:val="none"/>
        </w:rPr>
        <w:t xml:space="preserve">招标公告中的“申请人的资格要求”</w:t>
      </w:r>
      <w:r>
        <w:rPr>
          <w:rFonts w:hint="eastAsia" w:ascii="宋体" w:hAnsi="宋体" w:eastAsia="宋体" w:cs="Times New Roman"/>
          <w:color w:val="auto"/>
          <w:sz w:val="24"/>
          <w:szCs w:val="20"/>
          <w:highlight w:val="none"/>
          <w:shd w:val="clear" w:color="auto" w:fill="ffffff"/>
        </w:rPr>
        <w:t xml:space="preserve">的要求，若与真实情况不符，本公司愿意承担由此而产生的一切后果。</w:t>
      </w:r>
      <w:r/>
    </w:p>
    <w:p>
      <w:pPr>
        <w:ind w:firstLine="480"/>
        <w:spacing w:line="400" w:lineRule="exact"/>
        <w:rPr>
          <w:rFonts w:ascii="宋体" w:hAnsi="宋体" w:eastAsia="宋体" w:cs="Times New Roman"/>
          <w:color w:val="auto"/>
          <w:sz w:val="24"/>
          <w:szCs w:val="20"/>
          <w:highlight w:val="none"/>
          <w:shd w:val="clear" w:color="auto" w:fill="ffffff"/>
        </w:rPr>
      </w:pPr>
      <w:r>
        <w:rPr>
          <w:rFonts w:hint="eastAsia" w:ascii="宋体" w:hAnsi="宋体" w:eastAsia="宋体" w:cs="Times New Roman"/>
          <w:color w:val="auto"/>
          <w:sz w:val="24"/>
          <w:szCs w:val="20"/>
          <w:highlight w:val="none"/>
          <w:shd w:val="clear" w:color="auto" w:fill="ffffff"/>
        </w:rPr>
        <w:t xml:space="preserve">1</w:t>
      </w:r>
      <w:r>
        <w:rPr>
          <w:rFonts w:ascii="宋体" w:hAnsi="宋体" w:eastAsia="宋体" w:cs="Times New Roman"/>
          <w:color w:val="auto"/>
          <w:sz w:val="24"/>
          <w:szCs w:val="20"/>
          <w:highlight w:val="none"/>
          <w:shd w:val="clear" w:color="auto" w:fill="ffffff"/>
        </w:rPr>
        <w:t xml:space="preserve">2</w:t>
      </w:r>
      <w:r>
        <w:rPr>
          <w:rFonts w:hint="eastAsia" w:ascii="宋体" w:hAnsi="宋体" w:eastAsia="宋体" w:cs="Times New Roman"/>
          <w:color w:val="auto"/>
          <w:sz w:val="24"/>
          <w:szCs w:val="20"/>
          <w:highlight w:val="none"/>
          <w:shd w:val="clear" w:color="auto" w:fill="ffffff"/>
        </w:rPr>
        <w:t xml:space="preserve">、综合说明：</w:t>
      </w:r>
      <w:r/>
    </w:p>
    <w:p>
      <w:pPr>
        <w:ind w:firstLine="480"/>
        <w:spacing w:line="400" w:lineRule="exact"/>
        <w:rPr>
          <w:rFonts w:ascii="宋体" w:hAnsi="宋体" w:eastAsia="宋体" w:cs="Times New Roman"/>
          <w:color w:val="auto"/>
          <w:sz w:val="24"/>
          <w:szCs w:val="20"/>
          <w:highlight w:val="none"/>
          <w:shd w:val="clear" w:color="auto" w:fill="ffffff"/>
        </w:rPr>
      </w:pPr>
      <w:r>
        <w:rPr>
          <w:rFonts w:hint="eastAsia" w:ascii="宋体" w:hAnsi="宋体" w:eastAsia="宋体" w:cs="Times New Roman"/>
          <w:color w:val="auto"/>
          <w:sz w:val="24"/>
          <w:szCs w:val="20"/>
          <w:highlight w:val="none"/>
          <w:shd w:val="clear" w:color="auto" w:fill="ffffff"/>
        </w:rPr>
        <w:t xml:space="preserve">（</w:t>
      </w:r>
      <w:r>
        <w:rPr>
          <w:rFonts w:ascii="宋体" w:hAnsi="宋体" w:eastAsia="宋体" w:cs="Times New Roman"/>
          <w:color w:val="auto"/>
          <w:sz w:val="24"/>
          <w:szCs w:val="20"/>
          <w:highlight w:val="none"/>
          <w:shd w:val="clear" w:color="auto" w:fill="ffffff"/>
        </w:rPr>
        <w:t xml:space="preserve">1</w:t>
      </w:r>
      <w:r>
        <w:rPr>
          <w:rFonts w:hint="eastAsia" w:ascii="宋体" w:hAnsi="宋体" w:eastAsia="宋体" w:cs="Times New Roman"/>
          <w:color w:val="auto"/>
          <w:sz w:val="24"/>
          <w:szCs w:val="20"/>
          <w:highlight w:val="none"/>
          <w:shd w:val="clear" w:color="auto" w:fill="ffffff"/>
        </w:rPr>
        <w:t xml:space="preserve">）伴随服务及配合措施；</w:t>
      </w:r>
      <w:r/>
    </w:p>
    <w:p>
      <w:pPr>
        <w:ind w:firstLine="480"/>
        <w:spacing w:line="400" w:lineRule="exact"/>
        <w:rPr>
          <w:rFonts w:ascii="宋体" w:hAnsi="宋体" w:eastAsia="宋体" w:cs="Times New Roman"/>
          <w:color w:val="auto"/>
          <w:sz w:val="24"/>
          <w:szCs w:val="20"/>
          <w:highlight w:val="none"/>
          <w:shd w:val="clear" w:color="auto" w:fill="ffffff"/>
        </w:rPr>
      </w:pPr>
      <w:r>
        <w:rPr>
          <w:rFonts w:hint="eastAsia" w:ascii="宋体" w:hAnsi="宋体" w:eastAsia="宋体" w:cs="Times New Roman"/>
          <w:color w:val="auto"/>
          <w:sz w:val="24"/>
          <w:szCs w:val="20"/>
          <w:highlight w:val="none"/>
          <w:shd w:val="clear" w:color="auto" w:fill="ffffff"/>
        </w:rPr>
        <w:t xml:space="preserve">（</w:t>
      </w:r>
      <w:r>
        <w:rPr>
          <w:rFonts w:ascii="宋体" w:hAnsi="宋体" w:eastAsia="宋体" w:cs="Times New Roman"/>
          <w:color w:val="auto"/>
          <w:sz w:val="24"/>
          <w:szCs w:val="20"/>
          <w:highlight w:val="none"/>
          <w:shd w:val="clear" w:color="auto" w:fill="ffffff"/>
        </w:rPr>
        <w:t xml:space="preserve">2</w:t>
      </w:r>
      <w:r>
        <w:rPr>
          <w:rFonts w:hint="eastAsia" w:ascii="宋体" w:hAnsi="宋体" w:eastAsia="宋体" w:cs="Times New Roman"/>
          <w:color w:val="auto"/>
          <w:sz w:val="24"/>
          <w:szCs w:val="20"/>
          <w:highlight w:val="none"/>
          <w:shd w:val="clear" w:color="auto" w:fill="ffffff"/>
        </w:rPr>
        <w:t xml:space="preserve">）要求甲方提供的配合；</w:t>
      </w:r>
      <w:r/>
    </w:p>
    <w:p>
      <w:pPr>
        <w:ind w:firstLine="480"/>
        <w:spacing w:line="400" w:lineRule="exact"/>
        <w:rPr>
          <w:rFonts w:ascii="宋体" w:hAnsi="宋体" w:eastAsia="宋体" w:cs="Times New Roman"/>
          <w:color w:val="auto"/>
          <w:sz w:val="24"/>
          <w:szCs w:val="20"/>
          <w:highlight w:val="none"/>
          <w:shd w:val="clear" w:color="auto" w:fill="ffffff"/>
        </w:rPr>
      </w:pPr>
      <w:r>
        <w:rPr>
          <w:rFonts w:hint="eastAsia" w:ascii="宋体" w:hAnsi="宋体" w:eastAsia="宋体" w:cs="Times New Roman"/>
          <w:color w:val="auto"/>
          <w:sz w:val="24"/>
          <w:szCs w:val="20"/>
          <w:highlight w:val="none"/>
          <w:shd w:val="clear" w:color="auto" w:fill="ffffff"/>
        </w:rPr>
        <w:t xml:space="preserve">（</w:t>
      </w:r>
      <w:r>
        <w:rPr>
          <w:rFonts w:ascii="宋体" w:hAnsi="宋体" w:eastAsia="宋体" w:cs="Times New Roman"/>
          <w:color w:val="auto"/>
          <w:sz w:val="24"/>
          <w:szCs w:val="20"/>
          <w:highlight w:val="none"/>
          <w:shd w:val="clear" w:color="auto" w:fill="ffffff"/>
        </w:rPr>
        <w:t xml:space="preserve">3</w:t>
      </w:r>
      <w:r>
        <w:rPr>
          <w:rFonts w:hint="eastAsia" w:ascii="宋体" w:hAnsi="宋体" w:eastAsia="宋体" w:cs="Times New Roman"/>
          <w:color w:val="auto"/>
          <w:sz w:val="24"/>
          <w:szCs w:val="20"/>
          <w:highlight w:val="none"/>
          <w:shd w:val="clear" w:color="auto" w:fill="ffffff"/>
        </w:rPr>
        <w:t xml:space="preserve">）对招标文件有不同意见的偏离说明；</w:t>
      </w:r>
      <w:r/>
    </w:p>
    <w:p>
      <w:pPr>
        <w:ind w:firstLine="480"/>
        <w:spacing w:line="400" w:lineRule="exact"/>
        <w:rPr>
          <w:rFonts w:ascii="宋体" w:hAnsi="宋体" w:eastAsia="宋体" w:cs="Times New Roman"/>
          <w:color w:val="auto"/>
          <w:sz w:val="24"/>
          <w:szCs w:val="20"/>
          <w:highlight w:val="none"/>
          <w:shd w:val="clear" w:color="auto" w:fill="ffffff"/>
        </w:rPr>
      </w:pPr>
      <w:r>
        <w:rPr>
          <w:rFonts w:hint="eastAsia" w:ascii="宋体" w:hAnsi="宋体" w:eastAsia="宋体" w:cs="Times New Roman"/>
          <w:color w:val="auto"/>
          <w:sz w:val="24"/>
          <w:szCs w:val="20"/>
          <w:highlight w:val="none"/>
          <w:shd w:val="clear" w:color="auto" w:fill="ffffff"/>
        </w:rPr>
        <w:t xml:space="preserve">（</w:t>
      </w:r>
      <w:r>
        <w:rPr>
          <w:rFonts w:ascii="宋体" w:hAnsi="宋体" w:eastAsia="宋体" w:cs="Times New Roman"/>
          <w:color w:val="auto"/>
          <w:sz w:val="24"/>
          <w:szCs w:val="20"/>
          <w:highlight w:val="none"/>
          <w:shd w:val="clear" w:color="auto" w:fill="ffffff"/>
        </w:rPr>
        <w:t xml:space="preserve">4</w:t>
      </w:r>
      <w:r>
        <w:rPr>
          <w:rFonts w:hint="eastAsia" w:ascii="宋体" w:hAnsi="宋体" w:eastAsia="宋体" w:cs="Times New Roman"/>
          <w:color w:val="auto"/>
          <w:sz w:val="24"/>
          <w:szCs w:val="20"/>
          <w:highlight w:val="none"/>
          <w:shd w:val="clear" w:color="auto" w:fill="ffffff"/>
        </w:rPr>
        <w:t xml:space="preserve">）其它说明。</w:t>
      </w:r>
      <w:r/>
    </w:p>
    <w:p>
      <w:pPr>
        <w:ind w:firstLine="480"/>
        <w:spacing w:line="400" w:lineRule="exact"/>
        <w:rPr>
          <w:rFonts w:ascii="宋体" w:hAnsi="宋体" w:eastAsia="宋体" w:cs="Times New Roman"/>
          <w:color w:val="auto"/>
          <w:sz w:val="24"/>
          <w:szCs w:val="20"/>
          <w:highlight w:val="none"/>
          <w:shd w:val="clear" w:color="auto" w:fill="ffffff"/>
        </w:rPr>
      </w:pPr>
      <w:r>
        <w:rPr>
          <w:rFonts w:hint="eastAsia" w:ascii="宋体" w:hAnsi="宋体" w:eastAsia="宋体" w:cs="Times New Roman"/>
          <w:color w:val="auto"/>
          <w:sz w:val="24"/>
          <w:szCs w:val="20"/>
          <w:highlight w:val="none"/>
          <w:shd w:val="clear" w:color="auto" w:fill="ffffff"/>
        </w:rPr>
        <w:t xml:space="preserve">所有有关标书的函电，请按下列地址联系：</w:t>
      </w:r>
      <w:r/>
    </w:p>
    <w:p>
      <w:pPr>
        <w:ind w:firstLine="480"/>
        <w:spacing w:line="400" w:lineRule="exact"/>
        <w:rPr>
          <w:rFonts w:ascii="宋体" w:hAnsi="宋体" w:eastAsia="宋体" w:cs="Times New Roman"/>
          <w:color w:val="auto"/>
          <w:sz w:val="24"/>
          <w:szCs w:val="20"/>
          <w:highlight w:val="none"/>
          <w:shd w:val="clear" w:color="auto" w:fill="ffffff"/>
        </w:rPr>
      </w:pPr>
      <w:r>
        <w:rPr>
          <w:rFonts w:hint="eastAsia" w:ascii="宋体" w:hAnsi="宋体" w:eastAsia="宋体" w:cs="Times New Roman"/>
          <w:color w:val="auto"/>
          <w:sz w:val="24"/>
          <w:szCs w:val="20"/>
          <w:highlight w:val="none"/>
          <w:shd w:val="clear" w:color="auto" w:fill="ffffff"/>
        </w:rPr>
        <w:t xml:space="preserve">单位：</w:t>
      </w:r>
      <w:r>
        <w:rPr>
          <w:rFonts w:ascii="宋体" w:hAnsi="宋体" w:eastAsia="宋体" w:cs="Times New Roman"/>
          <w:color w:val="auto"/>
          <w:sz w:val="24"/>
          <w:szCs w:val="20"/>
          <w:highlight w:val="none"/>
          <w:shd w:val="clear" w:color="auto" w:fill="ffffff"/>
        </w:rPr>
        <w:tab/>
      </w:r>
      <w:r>
        <w:rPr>
          <w:rFonts w:ascii="宋体" w:hAnsi="宋体" w:eastAsia="宋体" w:cs="Times New Roman"/>
          <w:color w:val="auto"/>
          <w:sz w:val="24"/>
          <w:szCs w:val="20"/>
          <w:highlight w:val="none"/>
          <w:shd w:val="clear" w:color="auto" w:fill="ffffff"/>
        </w:rPr>
        <w:tab/>
      </w:r>
      <w:r>
        <w:rPr>
          <w:rFonts w:ascii="宋体" w:hAnsi="宋体" w:eastAsia="宋体" w:cs="Times New Roman"/>
          <w:color w:val="auto"/>
          <w:sz w:val="24"/>
          <w:szCs w:val="20"/>
          <w:highlight w:val="none"/>
          <w:shd w:val="clear" w:color="auto" w:fill="ffffff"/>
        </w:rPr>
        <w:tab/>
      </w:r>
      <w:r>
        <w:rPr>
          <w:rFonts w:ascii="宋体" w:hAnsi="宋体" w:eastAsia="宋体" w:cs="Times New Roman"/>
          <w:color w:val="auto"/>
          <w:sz w:val="24"/>
          <w:szCs w:val="20"/>
          <w:highlight w:val="none"/>
          <w:shd w:val="clear" w:color="auto" w:fill="ffffff"/>
        </w:rPr>
        <w:tab/>
      </w:r>
      <w:r>
        <w:rPr>
          <w:rFonts w:ascii="宋体" w:hAnsi="宋体" w:eastAsia="宋体" w:cs="Times New Roman"/>
          <w:color w:val="auto"/>
          <w:sz w:val="24"/>
          <w:szCs w:val="20"/>
          <w:highlight w:val="none"/>
          <w:shd w:val="clear" w:color="auto" w:fill="ffffff"/>
        </w:rPr>
        <w:tab/>
      </w:r>
      <w:r>
        <w:rPr>
          <w:rFonts w:ascii="宋体" w:hAnsi="宋体" w:eastAsia="宋体" w:cs="Times New Roman"/>
          <w:color w:val="auto"/>
          <w:sz w:val="24"/>
          <w:szCs w:val="20"/>
          <w:highlight w:val="none"/>
          <w:shd w:val="clear" w:color="auto" w:fill="ffffff"/>
        </w:rPr>
        <w:tab/>
      </w:r>
      <w:r>
        <w:rPr>
          <w:rFonts w:ascii="宋体" w:hAnsi="宋体" w:eastAsia="宋体" w:cs="Times New Roman"/>
          <w:color w:val="auto"/>
          <w:sz w:val="24"/>
          <w:szCs w:val="20"/>
          <w:highlight w:val="none"/>
          <w:shd w:val="clear" w:color="auto" w:fill="ffffff"/>
        </w:rPr>
        <w:tab/>
      </w:r>
      <w:r>
        <w:rPr>
          <w:rFonts w:ascii="宋体" w:hAnsi="宋体" w:eastAsia="宋体" w:cs="Times New Roman"/>
          <w:color w:val="auto"/>
          <w:sz w:val="24"/>
          <w:szCs w:val="20"/>
          <w:highlight w:val="none"/>
          <w:shd w:val="clear" w:color="auto" w:fill="ffffff"/>
        </w:rPr>
        <w:tab/>
      </w:r>
      <w:r>
        <w:rPr>
          <w:rFonts w:ascii="宋体" w:hAnsi="宋体" w:eastAsia="宋体" w:cs="Times New Roman"/>
          <w:color w:val="auto"/>
          <w:sz w:val="24"/>
          <w:szCs w:val="20"/>
          <w:highlight w:val="none"/>
          <w:shd w:val="clear" w:color="auto" w:fill="ffffff"/>
        </w:rPr>
        <w:tab/>
      </w:r>
      <w:r>
        <w:rPr>
          <w:rFonts w:hint="eastAsia" w:ascii="宋体" w:hAnsi="宋体" w:eastAsia="宋体" w:cs="Times New Roman"/>
          <w:color w:val="auto"/>
          <w:sz w:val="24"/>
          <w:szCs w:val="20"/>
          <w:highlight w:val="none"/>
          <w:shd w:val="clear" w:color="auto" w:fill="ffffff"/>
        </w:rPr>
        <w:t xml:space="preserve">联系人：</w:t>
      </w:r>
      <w:r/>
    </w:p>
    <w:p>
      <w:pPr>
        <w:ind w:firstLine="480"/>
        <w:spacing w:line="400" w:lineRule="exact"/>
        <w:rPr>
          <w:rFonts w:ascii="宋体" w:hAnsi="宋体" w:eastAsia="宋体" w:cs="Times New Roman"/>
          <w:color w:val="auto"/>
          <w:sz w:val="24"/>
          <w:szCs w:val="20"/>
          <w:highlight w:val="none"/>
          <w:shd w:val="clear" w:color="auto" w:fill="ffffff"/>
        </w:rPr>
      </w:pPr>
      <w:r>
        <w:rPr>
          <w:rFonts w:hint="eastAsia" w:ascii="宋体" w:hAnsi="宋体" w:eastAsia="宋体" w:cs="Times New Roman"/>
          <w:color w:val="auto"/>
          <w:sz w:val="24"/>
          <w:szCs w:val="20"/>
          <w:highlight w:val="none"/>
          <w:shd w:val="clear" w:color="auto" w:fill="ffffff"/>
        </w:rPr>
        <w:t xml:space="preserve">地址：</w:t>
      </w:r>
      <w:r>
        <w:rPr>
          <w:rFonts w:ascii="宋体" w:hAnsi="宋体" w:eastAsia="宋体" w:cs="Times New Roman"/>
          <w:color w:val="auto"/>
          <w:sz w:val="24"/>
          <w:szCs w:val="20"/>
          <w:highlight w:val="none"/>
          <w:shd w:val="clear" w:color="auto" w:fill="ffffff"/>
        </w:rPr>
        <w:tab/>
      </w:r>
      <w:r>
        <w:rPr>
          <w:rFonts w:ascii="宋体" w:hAnsi="宋体" w:eastAsia="宋体" w:cs="Times New Roman"/>
          <w:color w:val="auto"/>
          <w:sz w:val="24"/>
          <w:szCs w:val="20"/>
          <w:highlight w:val="none"/>
          <w:shd w:val="clear" w:color="auto" w:fill="ffffff"/>
        </w:rPr>
        <w:tab/>
      </w:r>
      <w:r>
        <w:rPr>
          <w:rFonts w:ascii="宋体" w:hAnsi="宋体" w:eastAsia="宋体" w:cs="Times New Roman"/>
          <w:color w:val="auto"/>
          <w:sz w:val="24"/>
          <w:szCs w:val="20"/>
          <w:highlight w:val="none"/>
          <w:shd w:val="clear" w:color="auto" w:fill="ffffff"/>
        </w:rPr>
        <w:tab/>
      </w:r>
      <w:r>
        <w:rPr>
          <w:rFonts w:ascii="宋体" w:hAnsi="宋体" w:eastAsia="宋体" w:cs="Times New Roman"/>
          <w:color w:val="auto"/>
          <w:sz w:val="24"/>
          <w:szCs w:val="20"/>
          <w:highlight w:val="none"/>
          <w:shd w:val="clear" w:color="auto" w:fill="ffffff"/>
        </w:rPr>
        <w:tab/>
      </w:r>
      <w:r>
        <w:rPr>
          <w:rFonts w:ascii="宋体" w:hAnsi="宋体" w:eastAsia="宋体" w:cs="Times New Roman"/>
          <w:color w:val="auto"/>
          <w:sz w:val="24"/>
          <w:szCs w:val="20"/>
          <w:highlight w:val="none"/>
          <w:shd w:val="clear" w:color="auto" w:fill="ffffff"/>
        </w:rPr>
        <w:tab/>
      </w:r>
      <w:r>
        <w:rPr>
          <w:rFonts w:ascii="宋体" w:hAnsi="宋体" w:eastAsia="宋体" w:cs="Times New Roman"/>
          <w:color w:val="auto"/>
          <w:sz w:val="24"/>
          <w:szCs w:val="20"/>
          <w:highlight w:val="none"/>
          <w:shd w:val="clear" w:color="auto" w:fill="ffffff"/>
        </w:rPr>
        <w:tab/>
      </w:r>
      <w:r>
        <w:rPr>
          <w:rFonts w:ascii="宋体" w:hAnsi="宋体" w:eastAsia="宋体" w:cs="Times New Roman"/>
          <w:color w:val="auto"/>
          <w:sz w:val="24"/>
          <w:szCs w:val="20"/>
          <w:highlight w:val="none"/>
          <w:shd w:val="clear" w:color="auto" w:fill="ffffff"/>
        </w:rPr>
        <w:tab/>
      </w:r>
      <w:r>
        <w:rPr>
          <w:rFonts w:ascii="宋体" w:hAnsi="宋体" w:eastAsia="宋体" w:cs="Times New Roman"/>
          <w:color w:val="auto"/>
          <w:sz w:val="24"/>
          <w:szCs w:val="20"/>
          <w:highlight w:val="none"/>
          <w:shd w:val="clear" w:color="auto" w:fill="ffffff"/>
        </w:rPr>
        <w:tab/>
      </w:r>
      <w:r>
        <w:rPr>
          <w:rFonts w:ascii="宋体" w:hAnsi="宋体" w:eastAsia="宋体" w:cs="Times New Roman"/>
          <w:color w:val="auto"/>
          <w:sz w:val="24"/>
          <w:szCs w:val="20"/>
          <w:highlight w:val="none"/>
          <w:shd w:val="clear" w:color="auto" w:fill="ffffff"/>
        </w:rPr>
        <w:tab/>
      </w:r>
      <w:r>
        <w:rPr>
          <w:rFonts w:hint="eastAsia" w:ascii="宋体" w:hAnsi="宋体" w:eastAsia="宋体" w:cs="Times New Roman"/>
          <w:color w:val="auto"/>
          <w:sz w:val="24"/>
          <w:szCs w:val="20"/>
          <w:highlight w:val="none"/>
          <w:shd w:val="clear" w:color="auto" w:fill="ffffff"/>
        </w:rPr>
        <w:t xml:space="preserve">邮政编码：</w:t>
      </w:r>
      <w:r/>
    </w:p>
    <w:p>
      <w:pPr>
        <w:ind w:firstLine="480"/>
        <w:spacing w:line="400" w:lineRule="exact"/>
        <w:rPr>
          <w:rFonts w:ascii="宋体" w:hAnsi="宋体" w:eastAsia="宋体" w:cs="Times New Roman"/>
          <w:color w:val="auto"/>
          <w:sz w:val="24"/>
          <w:szCs w:val="20"/>
          <w:highlight w:val="none"/>
          <w:shd w:val="clear" w:color="auto" w:fill="ffffff"/>
        </w:rPr>
      </w:pPr>
      <w:r>
        <w:rPr>
          <w:rFonts w:hint="eastAsia" w:ascii="宋体" w:hAnsi="宋体" w:eastAsia="宋体" w:cs="Times New Roman"/>
          <w:color w:val="auto"/>
          <w:sz w:val="24"/>
          <w:szCs w:val="20"/>
          <w:highlight w:val="none"/>
          <w:shd w:val="clear" w:color="auto" w:fill="ffffff"/>
        </w:rPr>
        <w:t xml:space="preserve">联系电话</w:t>
      </w:r>
      <w:r>
        <w:rPr>
          <w:rFonts w:hint="eastAsia" w:ascii="宋体" w:hAnsi="宋体" w:eastAsia="宋体" w:cs="Times New Roman"/>
          <w:color w:val="auto"/>
          <w:sz w:val="24"/>
          <w:szCs w:val="20"/>
          <w:highlight w:val="none"/>
          <w:shd w:val="clear" w:color="auto" w:fill="ffffff"/>
          <w:lang w:eastAsia="zh-CN"/>
        </w:rPr>
        <w:t xml:space="preserve">（</w:t>
      </w:r>
      <w:r>
        <w:rPr>
          <w:rFonts w:hint="eastAsia" w:ascii="宋体" w:hAnsi="宋体" w:eastAsia="宋体" w:cs="Times New Roman"/>
          <w:color w:val="auto"/>
          <w:sz w:val="24"/>
          <w:szCs w:val="20"/>
          <w:highlight w:val="none"/>
          <w:shd w:val="clear" w:color="auto" w:fill="ffffff"/>
          <w:lang w:val="en-US" w:eastAsia="zh-CN"/>
        </w:rPr>
        <w:t xml:space="preserve">手机</w:t>
      </w:r>
      <w:r>
        <w:rPr>
          <w:rFonts w:hint="eastAsia" w:ascii="宋体" w:hAnsi="宋体" w:eastAsia="宋体" w:cs="Times New Roman"/>
          <w:color w:val="auto"/>
          <w:sz w:val="24"/>
          <w:szCs w:val="20"/>
          <w:highlight w:val="none"/>
          <w:shd w:val="clear" w:color="auto" w:fill="ffffff"/>
          <w:lang w:eastAsia="zh-CN"/>
        </w:rPr>
        <w:t xml:space="preserve">）</w:t>
      </w:r>
      <w:r>
        <w:rPr>
          <w:rFonts w:hint="eastAsia" w:ascii="宋体" w:hAnsi="宋体" w:eastAsia="宋体" w:cs="Times New Roman"/>
          <w:color w:val="auto"/>
          <w:sz w:val="24"/>
          <w:szCs w:val="20"/>
          <w:highlight w:val="none"/>
          <w:shd w:val="clear" w:color="auto" w:fill="ffffff"/>
        </w:rPr>
        <w:t xml:space="preserve">：</w:t>
      </w:r>
      <w:r>
        <w:rPr>
          <w:rFonts w:ascii="宋体" w:hAnsi="宋体" w:eastAsia="宋体" w:cs="Times New Roman"/>
          <w:color w:val="auto"/>
          <w:sz w:val="24"/>
          <w:szCs w:val="20"/>
          <w:highlight w:val="none"/>
          <w:shd w:val="clear" w:color="auto" w:fill="ffffff"/>
        </w:rPr>
        <w:tab/>
      </w:r>
      <w:r>
        <w:rPr>
          <w:rFonts w:ascii="宋体" w:hAnsi="宋体" w:eastAsia="宋体" w:cs="Times New Roman"/>
          <w:color w:val="auto"/>
          <w:sz w:val="24"/>
          <w:szCs w:val="20"/>
          <w:highlight w:val="none"/>
          <w:shd w:val="clear" w:color="auto" w:fill="ffffff"/>
        </w:rPr>
        <w:tab/>
      </w:r>
      <w:r>
        <w:rPr>
          <w:rFonts w:ascii="宋体" w:hAnsi="宋体" w:eastAsia="宋体" w:cs="Times New Roman"/>
          <w:color w:val="auto"/>
          <w:sz w:val="24"/>
          <w:szCs w:val="20"/>
          <w:highlight w:val="none"/>
          <w:shd w:val="clear" w:color="auto" w:fill="ffffff"/>
        </w:rPr>
        <w:tab/>
      </w:r>
      <w:r>
        <w:rPr>
          <w:rFonts w:ascii="宋体" w:hAnsi="宋体" w:eastAsia="宋体" w:cs="Times New Roman"/>
          <w:color w:val="auto"/>
          <w:sz w:val="24"/>
          <w:szCs w:val="20"/>
          <w:highlight w:val="none"/>
          <w:shd w:val="clear" w:color="auto" w:fill="ffffff"/>
        </w:rPr>
        <w:tab/>
      </w:r>
      <w:r>
        <w:rPr>
          <w:rFonts w:ascii="宋体" w:hAnsi="宋体" w:eastAsia="宋体" w:cs="Times New Roman"/>
          <w:color w:val="auto"/>
          <w:sz w:val="24"/>
          <w:szCs w:val="20"/>
          <w:highlight w:val="none"/>
          <w:shd w:val="clear" w:color="auto" w:fill="ffffff"/>
        </w:rPr>
        <w:tab/>
      </w:r>
      <w:r>
        <w:rPr>
          <w:rFonts w:hint="eastAsia" w:ascii="宋体" w:hAnsi="宋体" w:eastAsia="宋体" w:cs="Times New Roman"/>
          <w:color w:val="auto"/>
          <w:sz w:val="24"/>
          <w:szCs w:val="20"/>
          <w:highlight w:val="none"/>
          <w:shd w:val="clear" w:color="auto" w:fill="ffffff"/>
        </w:rPr>
        <w:t xml:space="preserve">传真：</w:t>
      </w:r>
      <w:r/>
    </w:p>
    <w:p>
      <w:pPr>
        <w:ind w:firstLine="480"/>
        <w:spacing w:line="400" w:lineRule="exact"/>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公司电子邮箱：</w:t>
      </w:r>
      <w:r/>
    </w:p>
    <w:p>
      <w:pPr>
        <w:ind w:right="105" w:firstLine="210"/>
        <w:jc w:val="right"/>
        <w:spacing w:line="360" w:lineRule="auto"/>
        <w:rPr>
          <w:rFonts w:ascii="Times New Roman"/>
          <w:color w:val="auto"/>
          <w:szCs w:val="21"/>
          <w:highlight w:val="none"/>
        </w:rPr>
      </w:pPr>
      <w:r>
        <w:rPr>
          <w:rFonts w:ascii="Times New Roman"/>
          <w:color w:val="auto"/>
          <w:szCs w:val="21"/>
          <w:highlight w:val="none"/>
        </w:rPr>
        <w:t xml:space="preserve">供应商名称：（加盖CA电子公章）</w:t>
      </w:r>
      <w:r/>
    </w:p>
    <w:p>
      <w:pPr>
        <w:ind w:right="420" w:firstLine="210"/>
        <w:jc w:val="right"/>
        <w:spacing w:line="360" w:lineRule="auto"/>
        <w:rPr>
          <w:rFonts w:ascii="Times New Roman"/>
          <w:color w:val="auto"/>
          <w:szCs w:val="21"/>
          <w:highlight w:val="none"/>
        </w:rPr>
      </w:pPr>
      <w:r>
        <w:rPr>
          <w:rFonts w:ascii="Times New Roman"/>
          <w:color w:val="auto"/>
          <w:szCs w:val="21"/>
          <w:highlight w:val="none"/>
        </w:rPr>
        <w:t xml:space="preserve">日期：　　　年　　月　　日</w:t>
      </w:r>
      <w:r/>
    </w:p>
    <w:p>
      <w:pPr>
        <w:pStyle w:val="1000"/>
        <w:ind w:firstLine="520"/>
        <w:rPr>
          <w:color w:val="auto"/>
          <w:highlight w:val="none"/>
        </w:rPr>
      </w:pPr>
      <w:r>
        <w:rPr>
          <w:color w:val="auto"/>
          <w:highlight w:val="none"/>
        </w:rPr>
      </w:r>
      <w:r/>
    </w:p>
    <w:p>
      <w:pPr>
        <w:pStyle w:val="970"/>
        <w:rPr>
          <w:rFonts w:hint="default"/>
          <w:color w:val="auto"/>
          <w:highlight w:val="none"/>
        </w:rPr>
      </w:pPr>
      <w:r>
        <w:rPr>
          <w:rFonts w:hint="default"/>
          <w:color w:val="auto"/>
          <w:highlight w:val="none"/>
        </w:rPr>
      </w:r>
      <w:r/>
    </w:p>
    <w:p>
      <w:pPr>
        <w:rPr>
          <w:rFonts w:ascii="宋体" w:hAnsi="宋体" w:eastAsia="宋体"/>
          <w:b/>
          <w:color w:val="auto"/>
          <w:szCs w:val="24"/>
          <w:highlight w:val="none"/>
        </w:rPr>
      </w:pPr>
      <w:r>
        <w:rPr>
          <w:rFonts w:hint="eastAsia" w:ascii="宋体" w:hAnsi="宋体" w:eastAsia="宋体"/>
          <w:b/>
          <w:color w:val="auto"/>
          <w:szCs w:val="24"/>
          <w:highlight w:val="none"/>
        </w:rPr>
        <w:br w:type="page" w:clear="all"/>
      </w:r>
      <w:r/>
    </w:p>
    <w:p>
      <w:pPr>
        <w:pStyle w:val="962"/>
        <w:ind w:firstLine="0"/>
        <w:jc w:val="both"/>
        <w:spacing w:line="360" w:lineRule="auto"/>
        <w:rPr>
          <w:rFonts w:ascii="宋体" w:hAnsi="宋体" w:eastAsia="宋体"/>
          <w:b/>
          <w:color w:val="auto"/>
          <w:szCs w:val="24"/>
          <w:highlight w:val="none"/>
        </w:rPr>
        <w:outlineLvl w:val="1"/>
      </w:pPr>
      <w:r>
        <w:rPr>
          <w:rFonts w:hint="eastAsia" w:ascii="宋体" w:hAnsi="宋体" w:eastAsia="宋体"/>
          <w:b/>
          <w:color w:val="auto"/>
          <w:szCs w:val="24"/>
          <w:highlight w:val="none"/>
        </w:rPr>
        <w:t xml:space="preserve">3、开标一览表</w:t>
      </w:r>
      <w:r/>
    </w:p>
    <w:p>
      <w:pPr>
        <w:pStyle w:val="1104"/>
        <w:jc w:val="center"/>
        <w:spacing w:line="360" w:lineRule="auto"/>
        <w:rPr>
          <w:rFonts w:hAnsi="宋体" w:eastAsia="宋体"/>
          <w:b/>
          <w:color w:val="auto"/>
          <w:sz w:val="24"/>
          <w:szCs w:val="24"/>
          <w:highlight w:val="none"/>
        </w:rPr>
      </w:pPr>
      <w:r>
        <w:rPr>
          <w:rFonts w:hint="eastAsia" w:hAnsi="宋体" w:eastAsia="宋体"/>
          <w:b/>
          <w:color w:val="auto"/>
          <w:sz w:val="24"/>
          <w:szCs w:val="24"/>
          <w:highlight w:val="none"/>
        </w:rPr>
        <w:t xml:space="preserve">开标一览表（总报价）</w:t>
      </w:r>
      <w:r/>
    </w:p>
    <w:p>
      <w:pPr>
        <w:ind w:firstLine="420"/>
        <w:spacing w:line="440" w:lineRule="exact"/>
        <w:widowControl/>
        <w:rPr>
          <w:rFonts w:ascii="宋体" w:hAnsi="宋体" w:eastAsia="宋体"/>
          <w:color w:val="auto"/>
          <w:sz w:val="24"/>
          <w:szCs w:val="24"/>
          <w:highlight w:val="none"/>
          <w:lang w:val="zh-CN"/>
        </w:rPr>
      </w:pPr>
      <w:r>
        <w:rPr>
          <w:rFonts w:hint="eastAsia" w:ascii="宋体" w:hAnsi="宋体" w:eastAsia="宋体"/>
          <w:color w:val="auto"/>
          <w:sz w:val="24"/>
          <w:szCs w:val="24"/>
          <w:highlight w:val="none"/>
          <w:lang w:val="zh-CN"/>
        </w:rPr>
        <w:t xml:space="preserve">供应商</w:t>
      </w:r>
      <w:r>
        <w:rPr>
          <w:rFonts w:ascii="宋体" w:hAnsi="宋体" w:eastAsia="宋体"/>
          <w:color w:val="auto"/>
          <w:sz w:val="24"/>
          <w:szCs w:val="24"/>
          <w:highlight w:val="none"/>
          <w:lang w:val="zh-CN"/>
        </w:rPr>
        <w:t xml:space="preserve">全称：</w:t>
      </w:r>
      <w:bookmarkStart w:id="26" w:name="TBR"/>
      <w:r/>
      <w:bookmarkEnd w:id="26"/>
      <w:r/>
      <w:r/>
    </w:p>
    <w:p>
      <w:pPr>
        <w:ind w:firstLine="420"/>
        <w:spacing w:line="440" w:lineRule="exact"/>
        <w:widowControl/>
        <w:rPr>
          <w:rFonts w:ascii="宋体" w:hAnsi="宋体" w:eastAsia="宋体"/>
          <w:color w:val="auto"/>
          <w:sz w:val="24"/>
          <w:szCs w:val="24"/>
          <w:highlight w:val="none"/>
          <w:lang w:val="zh-CN"/>
        </w:rPr>
      </w:pPr>
      <w:r>
        <w:rPr>
          <w:rFonts w:ascii="宋体" w:hAnsi="宋体" w:eastAsia="宋体"/>
          <w:color w:val="auto"/>
          <w:sz w:val="24"/>
          <w:szCs w:val="24"/>
          <w:highlight w:val="none"/>
          <w:lang w:val="zh-CN"/>
        </w:rPr>
        <w:t xml:space="preserve">项目编号：</w:t>
      </w:r>
      <w:bookmarkStart w:id="27" w:name="XMBH"/>
      <w:r/>
      <w:bookmarkEnd w:id="27"/>
      <w:r/>
      <w:r/>
    </w:p>
    <w:p>
      <w:pPr>
        <w:ind w:firstLine="420"/>
        <w:spacing w:line="440" w:lineRule="exact"/>
        <w:widowControl/>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项目名称：</w:t>
      </w:r>
      <w:r/>
    </w:p>
    <w:tbl>
      <w:tblPr>
        <w:tblStyle w:val="959"/>
        <w:tblW w:w="9187"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468"/>
        <w:gridCol w:w="4719"/>
      </w:tblGrid>
      <w:tr>
        <w:trPr>
          <w:cantSplit/>
          <w:trHeight w:val="1098"/>
        </w:trPr>
        <w:tc>
          <w:tcPr>
            <w:tcBorders>
              <w:top w:val="single" w:color="auto" w:sz="4" w:space="0"/>
              <w:left w:val="single" w:color="auto" w:sz="4" w:space="0"/>
              <w:bottom w:val="single" w:color="auto" w:sz="4" w:space="0"/>
              <w:right w:val="single" w:color="auto" w:sz="4" w:space="0"/>
            </w:tcBorders>
            <w:tcW w:w="4468" w:type="dxa"/>
            <w:vAlign w:val="center"/>
            <w:textDirection w:val="lrTb"/>
            <w:noWrap w:val="false"/>
          </w:tcPr>
          <w:p>
            <w:pPr>
              <w:jc w:val="center"/>
              <w:spacing w:line="600" w:lineRule="exact"/>
              <w:widowControl/>
              <w:rPr>
                <w:rFonts w:ascii="宋体" w:hAnsi="宋体" w:eastAsia="宋体"/>
                <w:color w:val="auto"/>
                <w:sz w:val="24"/>
                <w:szCs w:val="24"/>
                <w:highlight w:val="none"/>
              </w:rPr>
            </w:pPr>
            <w:r/>
            <w:bookmarkStart w:id="28" w:name="FBH"/>
            <w:r/>
            <w:bookmarkEnd w:id="28"/>
            <w:r>
              <w:rPr>
                <w:rFonts w:ascii="宋体" w:hAnsi="宋体" w:eastAsia="宋体"/>
                <w:color w:val="auto"/>
                <w:sz w:val="24"/>
                <w:szCs w:val="24"/>
                <w:highlight w:val="none"/>
              </w:rPr>
              <w:t xml:space="preserve">项目名称</w:t>
            </w:r>
            <w:r/>
          </w:p>
        </w:tc>
        <w:tc>
          <w:tcPr>
            <w:tcBorders>
              <w:top w:val="single" w:color="auto" w:sz="4" w:space="0"/>
              <w:left w:val="single" w:color="auto" w:sz="4" w:space="0"/>
              <w:bottom w:val="single" w:color="auto" w:sz="4" w:space="0"/>
              <w:right w:val="single" w:color="auto" w:sz="4" w:space="0"/>
            </w:tcBorders>
            <w:tcW w:w="4719" w:type="dxa"/>
            <w:vAlign w:val="center"/>
            <w:textDirection w:val="lrTb"/>
            <w:noWrap w:val="false"/>
          </w:tcPr>
          <w:p>
            <w:pPr>
              <w:jc w:val="center"/>
              <w:spacing w:line="600" w:lineRule="exact"/>
              <w:widowControl/>
              <w:rPr>
                <w:rFonts w:ascii="宋体" w:hAnsi="宋体" w:eastAsia="宋体"/>
                <w:color w:val="auto"/>
                <w:sz w:val="24"/>
                <w:szCs w:val="24"/>
                <w:highlight w:val="none"/>
              </w:rPr>
            </w:pPr>
            <w:r>
              <w:rPr>
                <w:rFonts w:ascii="宋体" w:hAnsi="宋体" w:eastAsia="宋体"/>
                <w:color w:val="auto"/>
                <w:sz w:val="24"/>
                <w:szCs w:val="24"/>
                <w:highlight w:val="none"/>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4468" w:type="dxa"/>
            <w:vAlign w:val="center"/>
            <w:textDirection w:val="lrTb"/>
            <w:noWrap w:val="false"/>
          </w:tcPr>
          <w:p>
            <w:pPr>
              <w:jc w:val="center"/>
              <w:widowControl/>
              <w:rPr>
                <w:rFonts w:ascii="宋体" w:hAnsi="宋体" w:eastAsia="宋体"/>
                <w:color w:val="auto"/>
                <w:sz w:val="24"/>
                <w:szCs w:val="24"/>
                <w:highlight w:val="none"/>
              </w:rPr>
            </w:pPr>
            <w:r/>
            <w:bookmarkStart w:id="29" w:name="XMMC"/>
            <w:r/>
            <w:bookmarkEnd w:id="29"/>
            <w:r>
              <w:rPr>
                <w:rFonts w:hint="eastAsia" w:ascii="宋体" w:hAnsi="宋体"/>
                <w:color w:val="auto"/>
                <w:sz w:val="24"/>
                <w:highlight w:val="none"/>
                <w:lang w:eastAsia="zh-CN"/>
              </w:rPr>
              <w:t xml:space="preserve">星海实验中学改扩建项目厨房设备采购</w:t>
            </w:r>
            <w:r/>
          </w:p>
        </w:tc>
        <w:tc>
          <w:tcPr>
            <w:tcBorders>
              <w:top w:val="single" w:color="auto" w:sz="4" w:space="0"/>
              <w:left w:val="single" w:color="auto" w:sz="4" w:space="0"/>
              <w:bottom w:val="single" w:color="auto" w:sz="4" w:space="0"/>
              <w:right w:val="single" w:color="auto" w:sz="4" w:space="0"/>
            </w:tcBorders>
            <w:tcW w:w="4719" w:type="dxa"/>
            <w:vAlign w:val="center"/>
            <w:textDirection w:val="lrTb"/>
            <w:noWrap w:val="false"/>
          </w:tcPr>
          <w:p>
            <w:pPr>
              <w:jc w:val="center"/>
              <w:spacing w:line="600" w:lineRule="exact"/>
              <w:widowControl/>
              <w:rPr>
                <w:rFonts w:ascii="宋体" w:hAnsi="宋体" w:eastAsia="宋体"/>
                <w:color w:val="auto"/>
                <w:sz w:val="24"/>
                <w:szCs w:val="24"/>
                <w:highlight w:val="none"/>
              </w:rPr>
            </w:pPr>
            <w:r>
              <w:rPr>
                <w:rFonts w:ascii="宋体" w:hAnsi="宋体" w:eastAsia="宋体"/>
                <w:color w:val="auto"/>
                <w:sz w:val="24"/>
                <w:szCs w:val="24"/>
                <w:highlight w:val="none"/>
              </w:rPr>
              <w:t xml:space="preserve">小写：</w:t>
            </w:r>
            <w:bookmarkStart w:id="30" w:name="JEXX"/>
            <w:r/>
            <w:bookmarkEnd w:id="30"/>
            <w:r>
              <w:rPr>
                <w:rFonts w:ascii="宋体" w:hAnsi="宋体" w:eastAsia="宋体"/>
                <w:color w:val="auto"/>
                <w:sz w:val="24"/>
                <w:szCs w:val="24"/>
                <w:highlight w:val="none"/>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4468" w:type="dxa"/>
            <w:vAlign w:val="center"/>
            <w:textDirection w:val="lrTb"/>
            <w:noWrap w:val="false"/>
          </w:tcPr>
          <w:p>
            <w:pPr>
              <w:jc w:val="center"/>
              <w:spacing w:line="600" w:lineRule="exact"/>
              <w:widowControl/>
              <w:rPr>
                <w:rFonts w:ascii="宋体" w:hAnsi="宋体" w:eastAsia="宋体"/>
                <w:color w:val="auto"/>
                <w:sz w:val="24"/>
                <w:szCs w:val="24"/>
                <w:highlight w:val="none"/>
              </w:rPr>
            </w:pPr>
            <w:r>
              <w:rPr>
                <w:rFonts w:ascii="宋体" w:hAnsi="宋体" w:eastAsia="宋体"/>
                <w:color w:val="auto"/>
                <w:sz w:val="24"/>
                <w:szCs w:val="24"/>
                <w:highlight w:val="none"/>
              </w:rPr>
              <w:t xml:space="preserve">投标报价大写金额</w:t>
            </w:r>
            <w:r/>
          </w:p>
        </w:tc>
        <w:tc>
          <w:tcPr>
            <w:tcBorders>
              <w:top w:val="single" w:color="auto" w:sz="4" w:space="0"/>
              <w:left w:val="single" w:color="auto" w:sz="4" w:space="0"/>
              <w:bottom w:val="single" w:color="auto" w:sz="4" w:space="0"/>
              <w:right w:val="single" w:color="auto" w:sz="4" w:space="0"/>
            </w:tcBorders>
            <w:tcW w:w="4719" w:type="dxa"/>
            <w:vAlign w:val="center"/>
            <w:textDirection w:val="lrTb"/>
            <w:noWrap w:val="false"/>
          </w:tcPr>
          <w:p>
            <w:pPr>
              <w:spacing w:line="600" w:lineRule="exact"/>
              <w:widowControl/>
              <w:rPr>
                <w:rFonts w:ascii="宋体" w:hAnsi="宋体" w:eastAsia="宋体"/>
                <w:color w:val="auto"/>
                <w:sz w:val="24"/>
                <w:szCs w:val="24"/>
                <w:highlight w:val="none"/>
              </w:rPr>
            </w:pPr>
            <w:r/>
            <w:bookmarkStart w:id="31" w:name="JEDX"/>
            <w:r/>
            <w:bookmarkEnd w:id="31"/>
            <w:r/>
            <w:r/>
          </w:p>
        </w:tc>
      </w:tr>
    </w:tbl>
    <w:p>
      <w:pPr>
        <w:ind w:left="1024"/>
        <w:spacing w:line="600" w:lineRule="exact"/>
        <w:widowControl/>
        <w:rPr>
          <w:rFonts w:ascii="宋体" w:hAnsi="宋体" w:eastAsia="宋体"/>
          <w:color w:val="auto"/>
          <w:sz w:val="24"/>
          <w:szCs w:val="24"/>
          <w:highlight w:val="none"/>
        </w:rPr>
      </w:pPr>
      <w:r>
        <w:rPr>
          <w:rFonts w:ascii="宋体" w:hAnsi="宋体" w:eastAsia="宋体"/>
          <w:color w:val="auto"/>
          <w:sz w:val="24"/>
          <w:szCs w:val="24"/>
          <w:highlight w:val="none"/>
        </w:rPr>
      </w:r>
      <w:r/>
    </w:p>
    <w:p>
      <w:pPr>
        <w:ind w:right="105" w:firstLine="210"/>
        <w:jc w:val="right"/>
        <w:spacing w:line="360" w:lineRule="auto"/>
        <w:rPr>
          <w:rFonts w:ascii="Times New Roman"/>
          <w:color w:val="auto"/>
          <w:szCs w:val="21"/>
          <w:highlight w:val="none"/>
        </w:rPr>
      </w:pPr>
      <w:r>
        <w:rPr>
          <w:rFonts w:ascii="宋体" w:hAnsi="宋体" w:eastAsia="宋体"/>
          <w:color w:val="auto"/>
          <w:sz w:val="24"/>
          <w:szCs w:val="24"/>
          <w:highlight w:val="none"/>
        </w:rPr>
        <w:t xml:space="preserve">                                               </w:t>
      </w:r>
      <w:r>
        <w:rPr>
          <w:rFonts w:ascii="Times New Roman"/>
          <w:color w:val="auto"/>
          <w:szCs w:val="21"/>
          <w:highlight w:val="none"/>
        </w:rPr>
        <w:t xml:space="preserve">供应商名称：（加盖CA电子公章）</w:t>
      </w:r>
      <w:r/>
    </w:p>
    <w:p>
      <w:pPr>
        <w:ind w:right="420" w:firstLine="210"/>
        <w:jc w:val="right"/>
        <w:spacing w:line="360" w:lineRule="auto"/>
        <w:rPr>
          <w:rFonts w:ascii="Times New Roman"/>
          <w:color w:val="auto"/>
          <w:szCs w:val="21"/>
          <w:highlight w:val="none"/>
        </w:rPr>
      </w:pPr>
      <w:r>
        <w:rPr>
          <w:rFonts w:ascii="Times New Roman"/>
          <w:color w:val="auto"/>
          <w:szCs w:val="21"/>
          <w:highlight w:val="none"/>
        </w:rPr>
        <w:t xml:space="preserve">日期：　　　年　　月　　日</w:t>
      </w:r>
      <w:r/>
    </w:p>
    <w:p>
      <w:pPr>
        <w:jc w:val="left"/>
        <w:spacing w:line="360" w:lineRule="auto"/>
        <w:widowControl/>
        <w:rPr>
          <w:rFonts w:ascii="宋体" w:hAnsi="宋体" w:eastAsia="宋体"/>
          <w:color w:val="auto"/>
          <w:sz w:val="24"/>
          <w:szCs w:val="24"/>
          <w:highlight w:val="none"/>
        </w:rPr>
      </w:pPr>
      <w:r>
        <w:rPr>
          <w:rFonts w:ascii="宋体" w:hAnsi="宋体" w:eastAsia="宋体"/>
          <w:color w:val="auto"/>
          <w:sz w:val="24"/>
          <w:szCs w:val="24"/>
          <w:highlight w:val="none"/>
        </w:rPr>
      </w:r>
      <w:r/>
    </w:p>
    <w:p>
      <w:pPr>
        <w:spacing w:line="360" w:lineRule="auto"/>
        <w:rPr>
          <w:rFonts w:eastAsia="宋体"/>
          <w:color w:val="auto"/>
          <w:highlight w:val="none"/>
        </w:rPr>
        <w:outlineLvl w:val="1"/>
      </w:pPr>
      <w:r>
        <w:rPr>
          <w:rFonts w:ascii="宋体" w:hAnsi="宋体" w:eastAsia="宋体" w:cs="Times New Roman"/>
          <w:b/>
          <w:color w:val="auto"/>
          <w:sz w:val="24"/>
          <w:szCs w:val="24"/>
          <w:highlight w:val="none"/>
          <w:shd w:val="clear" w:color="auto" w:fill="ffffff"/>
        </w:rPr>
        <w:br w:type="page" w:clear="all"/>
      </w:r>
      <w:r>
        <w:rPr>
          <w:rFonts w:hint="eastAsia" w:ascii="宋体" w:hAnsi="宋体" w:eastAsia="宋体" w:cs="Times New Roman"/>
          <w:b/>
          <w:color w:val="auto"/>
          <w:sz w:val="24"/>
          <w:szCs w:val="24"/>
          <w:highlight w:val="none"/>
          <w:shd w:val="clear" w:color="auto" w:fill="ffffff"/>
        </w:rPr>
        <w:t xml:space="preserve">4、</w:t>
      </w:r>
      <w:r>
        <w:rPr>
          <w:rFonts w:hint="eastAsia" w:ascii="宋体" w:hAnsi="宋体" w:eastAsia="宋体" w:cs="宋体"/>
          <w:b/>
          <w:bCs/>
          <w:color w:val="auto"/>
          <w:sz w:val="24"/>
          <w:szCs w:val="24"/>
          <w:highlight w:val="none"/>
          <w:shd w:val="clear" w:color="auto" w:fill="ffffff"/>
        </w:rPr>
        <w:t xml:space="preserve">投标报价明细表</w:t>
      </w:r>
      <w:r/>
    </w:p>
    <w:p>
      <w:pPr>
        <w:pStyle w:val="970"/>
        <w:ind w:left="0" w:right="-607" w:firstLine="0"/>
        <w:jc w:val="center"/>
        <w:rPr>
          <w:rFonts w:hint="default" w:ascii="宋体" w:hAnsi="宋体" w:eastAsia="宋体"/>
          <w:b/>
          <w:color w:val="auto"/>
          <w:sz w:val="24"/>
          <w:szCs w:val="24"/>
          <w:highlight w:val="none"/>
          <w:shd w:val="clear" w:color="auto" w:fill="ffffff"/>
        </w:rPr>
      </w:pPr>
      <w:r>
        <w:rPr>
          <w:rFonts w:ascii="宋体" w:hAnsi="宋体" w:eastAsia="宋体" w:cs="宋体"/>
          <w:b/>
          <w:bCs/>
          <w:color w:val="auto"/>
          <w:sz w:val="24"/>
          <w:szCs w:val="24"/>
          <w:highlight w:val="none"/>
          <w:shd w:val="clear" w:color="auto" w:fill="ffffff"/>
        </w:rPr>
        <w:t xml:space="preserve">投标报价明细表</w:t>
      </w:r>
      <w:r/>
    </w:p>
    <w:p>
      <w:pPr>
        <w:jc w:val="center"/>
        <w:spacing w:before="100" w:beforeAutospacing="1" w:after="100" w:afterAutospacing="1"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bl>
      <w:tblPr>
        <w:tblStyle w:val="959"/>
        <w:tblW w:w="0" w:type="auto"/>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26"/>
        <w:gridCol w:w="195"/>
        <w:gridCol w:w="1599"/>
        <w:gridCol w:w="1257"/>
        <w:gridCol w:w="933"/>
        <w:gridCol w:w="983"/>
        <w:gridCol w:w="1017"/>
        <w:gridCol w:w="1137"/>
        <w:gridCol w:w="777"/>
      </w:tblGrid>
      <w:tr>
        <w:trPr>
          <w:jc w:val="center"/>
          <w:trHeight w:val="423"/>
        </w:trPr>
        <w:tc>
          <w:tcPr>
            <w:tcW w:w="626" w:type="dxa"/>
            <w:vAlign w:val="center"/>
            <w:textDirection w:val="lrTb"/>
            <w:noWrap w:val="false"/>
          </w:tcPr>
          <w:p>
            <w:pPr>
              <w:jc w:val="center"/>
              <w:spacing w:line="360" w:lineRule="auto"/>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t xml:space="preserve">序号</w:t>
            </w:r>
            <w:r/>
          </w:p>
        </w:tc>
        <w:tc>
          <w:tcPr>
            <w:gridSpan w:val="2"/>
            <w:tcW w:w="1794" w:type="dxa"/>
            <w:vAlign w:val="center"/>
            <w:textDirection w:val="lrTb"/>
            <w:noWrap w:val="false"/>
          </w:tcPr>
          <w:p>
            <w:pPr>
              <w:jc w:val="center"/>
              <w:spacing w:line="360" w:lineRule="auto"/>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t xml:space="preserve">产品名称</w:t>
            </w:r>
            <w:r/>
          </w:p>
        </w:tc>
        <w:tc>
          <w:tcPr>
            <w:tcW w:w="1257" w:type="dxa"/>
            <w:vAlign w:val="center"/>
            <w:textDirection w:val="lrTb"/>
            <w:noWrap w:val="false"/>
          </w:tcPr>
          <w:p>
            <w:pPr>
              <w:jc w:val="center"/>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lang w:val="en-US" w:eastAsia="zh-CN"/>
              </w:rPr>
              <w:t xml:space="preserve">品牌/</w:t>
            </w:r>
            <w:r>
              <w:rPr>
                <w:rFonts w:hint="eastAsia" w:ascii="宋体" w:hAnsi="宋体" w:eastAsia="宋体" w:cs="宋体"/>
                <w:color w:val="auto"/>
                <w:spacing w:val="20"/>
                <w:sz w:val="21"/>
                <w:szCs w:val="21"/>
                <w:highlight w:val="none"/>
              </w:rPr>
              <w:t xml:space="preserve">规格</w:t>
            </w:r>
            <w:r>
              <w:rPr>
                <w:rFonts w:hint="eastAsia" w:ascii="宋体" w:hAnsi="宋体" w:eastAsia="宋体" w:cs="宋体"/>
                <w:color w:val="auto"/>
                <w:spacing w:val="20"/>
                <w:sz w:val="21"/>
                <w:szCs w:val="21"/>
                <w:highlight w:val="none"/>
                <w:lang w:val="en-US" w:eastAsia="zh-CN"/>
              </w:rPr>
              <w:t xml:space="preserve">/</w:t>
            </w:r>
            <w:r>
              <w:rPr>
                <w:rFonts w:hint="eastAsia" w:ascii="宋体" w:hAnsi="宋体" w:eastAsia="宋体" w:cs="宋体"/>
                <w:color w:val="auto"/>
                <w:spacing w:val="20"/>
                <w:sz w:val="21"/>
                <w:szCs w:val="21"/>
                <w:highlight w:val="none"/>
              </w:rPr>
              <w:t xml:space="preserve">型号</w:t>
            </w:r>
            <w:r/>
          </w:p>
          <w:p>
            <w:pPr>
              <w:jc w:val="center"/>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t xml:space="preserve">（如有）</w:t>
            </w:r>
            <w:r/>
          </w:p>
        </w:tc>
        <w:tc>
          <w:tcPr>
            <w:tcW w:w="933" w:type="dxa"/>
            <w:vAlign w:val="center"/>
            <w:textDirection w:val="lrTb"/>
            <w:noWrap w:val="false"/>
          </w:tcPr>
          <w:p>
            <w:pPr>
              <w:jc w:val="center"/>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t xml:space="preserve">数量</w:t>
            </w:r>
            <w:r/>
          </w:p>
        </w:tc>
        <w:tc>
          <w:tcPr>
            <w:tcW w:w="983" w:type="dxa"/>
            <w:vAlign w:val="center"/>
            <w:textDirection w:val="lrTb"/>
            <w:noWrap w:val="false"/>
          </w:tcPr>
          <w:p>
            <w:pPr>
              <w:jc w:val="center"/>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t xml:space="preserve">单位</w:t>
            </w:r>
            <w:r/>
          </w:p>
        </w:tc>
        <w:tc>
          <w:tcPr>
            <w:tcW w:w="1017" w:type="dxa"/>
            <w:vAlign w:val="center"/>
            <w:textDirection w:val="lrTb"/>
            <w:noWrap w:val="false"/>
          </w:tcPr>
          <w:p>
            <w:pPr>
              <w:jc w:val="center"/>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t xml:space="preserve">单价（元）</w:t>
            </w:r>
            <w:r/>
          </w:p>
        </w:tc>
        <w:tc>
          <w:tcPr>
            <w:tcW w:w="1137" w:type="dxa"/>
            <w:vAlign w:val="center"/>
            <w:textDirection w:val="lrTb"/>
            <w:noWrap w:val="false"/>
          </w:tcPr>
          <w:p>
            <w:pPr>
              <w:jc w:val="center"/>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t xml:space="preserve">总价（元）</w:t>
            </w:r>
            <w:r/>
          </w:p>
        </w:tc>
        <w:tc>
          <w:tcPr>
            <w:tcW w:w="777" w:type="dxa"/>
            <w:vAlign w:val="center"/>
            <w:textDirection w:val="lrTb"/>
            <w:noWrap w:val="false"/>
          </w:tcPr>
          <w:p>
            <w:pPr>
              <w:jc w:val="center"/>
              <w:spacing w:line="360" w:lineRule="auto"/>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t xml:space="preserve">备注</w:t>
            </w:r>
            <w:r/>
          </w:p>
        </w:tc>
      </w:tr>
      <w:tr>
        <w:trPr>
          <w:jc w:val="center"/>
          <w:trHeight w:val="423"/>
        </w:trPr>
        <w:tc>
          <w:tcPr>
            <w:tcW w:w="62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gridSpan w:val="2"/>
            <w:tcW w:w="179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5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8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17" w:type="dxa"/>
            <w:vAlign w:val="center"/>
            <w:textDirection w:val="lrTb"/>
            <w:noWrap w:val="false"/>
          </w:tcPr>
          <w:p>
            <w:pPr>
              <w:jc w:val="center"/>
              <w:spacing w:line="360" w:lineRule="auto"/>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c>
          <w:tcPr>
            <w:tcW w:w="1137" w:type="dxa"/>
            <w:vAlign w:val="top"/>
            <w:textDirection w:val="lrTb"/>
            <w:noWrap w:val="false"/>
          </w:tcPr>
          <w:p>
            <w:pPr>
              <w:jc w:val="center"/>
              <w:spacing w:line="360" w:lineRule="auto"/>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c>
          <w:tcPr>
            <w:tcW w:w="777" w:type="dxa"/>
            <w:vAlign w:val="center"/>
            <w:textDirection w:val="lrTb"/>
            <w:noWrap w:val="false"/>
          </w:tcPr>
          <w:p>
            <w:pPr>
              <w:jc w:val="center"/>
              <w:spacing w:line="360" w:lineRule="auto"/>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r>
      <w:tr>
        <w:trPr>
          <w:jc w:val="center"/>
          <w:trHeight w:val="423"/>
        </w:trPr>
        <w:tc>
          <w:tcPr>
            <w:tcW w:w="62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gridSpan w:val="2"/>
            <w:tcW w:w="179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5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8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17" w:type="dxa"/>
            <w:vAlign w:val="center"/>
            <w:textDirection w:val="lrTb"/>
            <w:noWrap w:val="false"/>
          </w:tcPr>
          <w:p>
            <w:pPr>
              <w:jc w:val="center"/>
              <w:spacing w:line="360" w:lineRule="auto"/>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c>
          <w:tcPr>
            <w:tcW w:w="1137" w:type="dxa"/>
            <w:vAlign w:val="top"/>
            <w:textDirection w:val="lrTb"/>
            <w:noWrap w:val="false"/>
          </w:tcPr>
          <w:p>
            <w:pPr>
              <w:jc w:val="center"/>
              <w:spacing w:line="360" w:lineRule="auto"/>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c>
          <w:tcPr>
            <w:tcW w:w="777" w:type="dxa"/>
            <w:vAlign w:val="center"/>
            <w:textDirection w:val="lrTb"/>
            <w:noWrap w:val="false"/>
          </w:tcPr>
          <w:p>
            <w:pPr>
              <w:jc w:val="center"/>
              <w:spacing w:line="360" w:lineRule="auto"/>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r>
      <w:tr>
        <w:trPr>
          <w:jc w:val="center"/>
          <w:trHeight w:val="423"/>
        </w:trPr>
        <w:tc>
          <w:tcPr>
            <w:tcW w:w="62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gridSpan w:val="2"/>
            <w:tcW w:w="179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5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8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17" w:type="dxa"/>
            <w:vAlign w:val="center"/>
            <w:textDirection w:val="lrTb"/>
            <w:noWrap w:val="false"/>
          </w:tcPr>
          <w:p>
            <w:pPr>
              <w:jc w:val="center"/>
              <w:spacing w:line="360" w:lineRule="auto"/>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c>
          <w:tcPr>
            <w:tcW w:w="1137" w:type="dxa"/>
            <w:vAlign w:val="top"/>
            <w:textDirection w:val="lrTb"/>
            <w:noWrap w:val="false"/>
          </w:tcPr>
          <w:p>
            <w:pPr>
              <w:jc w:val="center"/>
              <w:spacing w:line="360" w:lineRule="auto"/>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c>
          <w:tcPr>
            <w:tcW w:w="777" w:type="dxa"/>
            <w:vAlign w:val="center"/>
            <w:textDirection w:val="lrTb"/>
            <w:noWrap w:val="false"/>
          </w:tcPr>
          <w:p>
            <w:pPr>
              <w:jc w:val="center"/>
              <w:spacing w:line="360" w:lineRule="auto"/>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r>
      <w:tr>
        <w:trPr>
          <w:jc w:val="center"/>
          <w:trHeight w:val="423"/>
        </w:trPr>
        <w:tc>
          <w:tcPr>
            <w:tcW w:w="62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gridSpan w:val="2"/>
            <w:tcW w:w="179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5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8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17" w:type="dxa"/>
            <w:vAlign w:val="center"/>
            <w:textDirection w:val="lrTb"/>
            <w:noWrap w:val="false"/>
          </w:tcPr>
          <w:p>
            <w:pPr>
              <w:jc w:val="center"/>
              <w:spacing w:line="360" w:lineRule="auto"/>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c>
          <w:tcPr>
            <w:tcW w:w="1137" w:type="dxa"/>
            <w:vAlign w:val="top"/>
            <w:textDirection w:val="lrTb"/>
            <w:noWrap w:val="false"/>
          </w:tcPr>
          <w:p>
            <w:pPr>
              <w:jc w:val="center"/>
              <w:spacing w:line="360" w:lineRule="auto"/>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c>
          <w:tcPr>
            <w:tcW w:w="777" w:type="dxa"/>
            <w:vAlign w:val="center"/>
            <w:textDirection w:val="lrTb"/>
            <w:noWrap w:val="false"/>
          </w:tcPr>
          <w:p>
            <w:pPr>
              <w:jc w:val="center"/>
              <w:spacing w:line="360" w:lineRule="auto"/>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r>
      <w:tr>
        <w:trPr>
          <w:jc w:val="center"/>
          <w:trHeight w:val="423"/>
        </w:trPr>
        <w:tc>
          <w:tcPr>
            <w:tcW w:w="626" w:type="dxa"/>
            <w:vAlign w:val="center"/>
            <w:textDirection w:val="lrTb"/>
            <w:noWrap w:val="false"/>
          </w:tcPr>
          <w:p>
            <w:pPr>
              <w:jc w:val="center"/>
              <w:spacing w:line="360" w:lineRule="auto"/>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c>
          <w:tcPr>
            <w:gridSpan w:val="2"/>
            <w:tcW w:w="1794" w:type="dxa"/>
            <w:vAlign w:val="center"/>
            <w:textDirection w:val="lrTb"/>
            <w:noWrap w:val="false"/>
          </w:tcPr>
          <w:p>
            <w:pPr>
              <w:jc w:val="center"/>
              <w:spacing w:line="360" w:lineRule="auto"/>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c>
          <w:tcPr>
            <w:tcW w:w="1257" w:type="dxa"/>
            <w:vAlign w:val="center"/>
            <w:textDirection w:val="lrTb"/>
            <w:noWrap w:val="false"/>
          </w:tcPr>
          <w:p>
            <w:pPr>
              <w:jc w:val="center"/>
              <w:spacing w:line="360" w:lineRule="auto"/>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c>
          <w:tcPr>
            <w:tcW w:w="933" w:type="dxa"/>
            <w:vAlign w:val="center"/>
            <w:textDirection w:val="lrTb"/>
            <w:noWrap w:val="false"/>
          </w:tcPr>
          <w:p>
            <w:pPr>
              <w:jc w:val="center"/>
              <w:spacing w:line="360" w:lineRule="auto"/>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c>
          <w:tcPr>
            <w:tcW w:w="983" w:type="dxa"/>
            <w:vAlign w:val="center"/>
            <w:textDirection w:val="lrTb"/>
            <w:noWrap w:val="false"/>
          </w:tcPr>
          <w:p>
            <w:pPr>
              <w:jc w:val="center"/>
              <w:spacing w:line="360" w:lineRule="auto"/>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c>
          <w:tcPr>
            <w:tcW w:w="1017" w:type="dxa"/>
            <w:vAlign w:val="center"/>
            <w:textDirection w:val="lrTb"/>
            <w:noWrap w:val="false"/>
          </w:tcPr>
          <w:p>
            <w:pPr>
              <w:jc w:val="center"/>
              <w:spacing w:line="360" w:lineRule="auto"/>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c>
          <w:tcPr>
            <w:tcW w:w="1137" w:type="dxa"/>
            <w:vAlign w:val="top"/>
            <w:textDirection w:val="lrTb"/>
            <w:noWrap w:val="false"/>
          </w:tcPr>
          <w:p>
            <w:pPr>
              <w:jc w:val="center"/>
              <w:spacing w:line="360" w:lineRule="auto"/>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c>
          <w:tcPr>
            <w:tcW w:w="777" w:type="dxa"/>
            <w:vAlign w:val="center"/>
            <w:textDirection w:val="lrTb"/>
            <w:noWrap w:val="false"/>
          </w:tcPr>
          <w:p>
            <w:pPr>
              <w:jc w:val="center"/>
              <w:spacing w:line="360" w:lineRule="auto"/>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r>
      <w:tr>
        <w:trPr>
          <w:jc w:val="center"/>
          <w:trHeight w:val="423"/>
        </w:trPr>
        <w:tc>
          <w:tcPr>
            <w:tcW w:w="626" w:type="dxa"/>
            <w:vAlign w:val="center"/>
            <w:textDirection w:val="lrTb"/>
            <w:noWrap w:val="false"/>
          </w:tcPr>
          <w:p>
            <w:pPr>
              <w:jc w:val="center"/>
              <w:spacing w:line="360" w:lineRule="auto"/>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c>
          <w:tcPr>
            <w:gridSpan w:val="2"/>
            <w:tcW w:w="1794" w:type="dxa"/>
            <w:vAlign w:val="center"/>
            <w:textDirection w:val="lrTb"/>
            <w:noWrap w:val="false"/>
          </w:tcPr>
          <w:p>
            <w:pPr>
              <w:jc w:val="center"/>
              <w:spacing w:line="360" w:lineRule="auto"/>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c>
          <w:tcPr>
            <w:tcW w:w="1257" w:type="dxa"/>
            <w:vAlign w:val="center"/>
            <w:textDirection w:val="lrTb"/>
            <w:noWrap w:val="false"/>
          </w:tcPr>
          <w:p>
            <w:pPr>
              <w:jc w:val="center"/>
              <w:spacing w:line="360" w:lineRule="auto"/>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c>
          <w:tcPr>
            <w:tcW w:w="933" w:type="dxa"/>
            <w:vAlign w:val="center"/>
            <w:textDirection w:val="lrTb"/>
            <w:noWrap w:val="false"/>
          </w:tcPr>
          <w:p>
            <w:pPr>
              <w:jc w:val="center"/>
              <w:spacing w:line="360" w:lineRule="auto"/>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c>
          <w:tcPr>
            <w:tcW w:w="983" w:type="dxa"/>
            <w:vAlign w:val="center"/>
            <w:textDirection w:val="lrTb"/>
            <w:noWrap w:val="false"/>
          </w:tcPr>
          <w:p>
            <w:pPr>
              <w:jc w:val="center"/>
              <w:spacing w:line="360" w:lineRule="auto"/>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c>
          <w:tcPr>
            <w:tcW w:w="1017" w:type="dxa"/>
            <w:vAlign w:val="center"/>
            <w:textDirection w:val="lrTb"/>
            <w:noWrap w:val="false"/>
          </w:tcPr>
          <w:p>
            <w:pPr>
              <w:jc w:val="center"/>
              <w:spacing w:line="360" w:lineRule="auto"/>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c>
          <w:tcPr>
            <w:tcW w:w="1137" w:type="dxa"/>
            <w:vAlign w:val="top"/>
            <w:textDirection w:val="lrTb"/>
            <w:noWrap w:val="false"/>
          </w:tcPr>
          <w:p>
            <w:pPr>
              <w:jc w:val="center"/>
              <w:spacing w:line="360" w:lineRule="auto"/>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c>
          <w:tcPr>
            <w:tcW w:w="777" w:type="dxa"/>
            <w:vAlign w:val="center"/>
            <w:textDirection w:val="lrTb"/>
            <w:noWrap w:val="false"/>
          </w:tcPr>
          <w:p>
            <w:pPr>
              <w:jc w:val="center"/>
              <w:spacing w:line="360" w:lineRule="auto"/>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r>
      <w:tr>
        <w:trPr>
          <w:jc w:val="center"/>
          <w:trHeight w:val="423"/>
        </w:trPr>
        <w:tc>
          <w:tcPr>
            <w:tcW w:w="626" w:type="dxa"/>
            <w:vAlign w:val="center"/>
            <w:textDirection w:val="lrTb"/>
            <w:noWrap w:val="false"/>
          </w:tcPr>
          <w:p>
            <w:pPr>
              <w:jc w:val="center"/>
              <w:spacing w:line="360" w:lineRule="auto"/>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c>
          <w:tcPr>
            <w:gridSpan w:val="2"/>
            <w:tcW w:w="1794" w:type="dxa"/>
            <w:vAlign w:val="center"/>
            <w:textDirection w:val="lrTb"/>
            <w:noWrap w:val="false"/>
          </w:tcPr>
          <w:p>
            <w:pPr>
              <w:jc w:val="center"/>
              <w:spacing w:line="360" w:lineRule="auto"/>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c>
          <w:tcPr>
            <w:tcW w:w="1257" w:type="dxa"/>
            <w:vAlign w:val="center"/>
            <w:textDirection w:val="lrTb"/>
            <w:noWrap w:val="false"/>
          </w:tcPr>
          <w:p>
            <w:pPr>
              <w:jc w:val="center"/>
              <w:spacing w:line="360" w:lineRule="auto"/>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c>
          <w:tcPr>
            <w:tcW w:w="933" w:type="dxa"/>
            <w:vAlign w:val="center"/>
            <w:textDirection w:val="lrTb"/>
            <w:noWrap w:val="false"/>
          </w:tcPr>
          <w:p>
            <w:pPr>
              <w:jc w:val="center"/>
              <w:spacing w:line="360" w:lineRule="auto"/>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c>
          <w:tcPr>
            <w:tcW w:w="983" w:type="dxa"/>
            <w:vAlign w:val="center"/>
            <w:textDirection w:val="lrTb"/>
            <w:noWrap w:val="false"/>
          </w:tcPr>
          <w:p>
            <w:pPr>
              <w:jc w:val="center"/>
              <w:spacing w:line="360" w:lineRule="auto"/>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c>
          <w:tcPr>
            <w:tcW w:w="1017" w:type="dxa"/>
            <w:vAlign w:val="center"/>
            <w:textDirection w:val="lrTb"/>
            <w:noWrap w:val="false"/>
          </w:tcPr>
          <w:p>
            <w:pPr>
              <w:jc w:val="center"/>
              <w:spacing w:line="360" w:lineRule="auto"/>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c>
          <w:tcPr>
            <w:tcW w:w="1137" w:type="dxa"/>
            <w:vAlign w:val="top"/>
            <w:textDirection w:val="lrTb"/>
            <w:noWrap w:val="false"/>
          </w:tcPr>
          <w:p>
            <w:pPr>
              <w:jc w:val="center"/>
              <w:spacing w:line="360" w:lineRule="auto"/>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c>
          <w:tcPr>
            <w:tcW w:w="777" w:type="dxa"/>
            <w:vAlign w:val="center"/>
            <w:textDirection w:val="lrTb"/>
            <w:noWrap w:val="false"/>
          </w:tcPr>
          <w:p>
            <w:pPr>
              <w:jc w:val="center"/>
              <w:spacing w:line="360" w:lineRule="auto"/>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r>
      <w:tr>
        <w:trPr>
          <w:jc w:val="center"/>
          <w:trHeight w:val="423"/>
        </w:trPr>
        <w:tc>
          <w:tcPr>
            <w:tcW w:w="626" w:type="dxa"/>
            <w:vAlign w:val="center"/>
            <w:textDirection w:val="lrTb"/>
            <w:noWrap w:val="false"/>
          </w:tcPr>
          <w:p>
            <w:pPr>
              <w:jc w:val="center"/>
              <w:spacing w:line="360" w:lineRule="auto"/>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c>
          <w:tcPr>
            <w:gridSpan w:val="2"/>
            <w:tcW w:w="1794" w:type="dxa"/>
            <w:vAlign w:val="center"/>
            <w:textDirection w:val="lrTb"/>
            <w:noWrap w:val="false"/>
          </w:tcPr>
          <w:p>
            <w:pPr>
              <w:jc w:val="center"/>
              <w:spacing w:line="360" w:lineRule="auto"/>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c>
          <w:tcPr>
            <w:tcW w:w="1257" w:type="dxa"/>
            <w:vAlign w:val="center"/>
            <w:textDirection w:val="lrTb"/>
            <w:noWrap w:val="false"/>
          </w:tcPr>
          <w:p>
            <w:pPr>
              <w:jc w:val="center"/>
              <w:spacing w:line="360" w:lineRule="auto"/>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c>
          <w:tcPr>
            <w:tcW w:w="933" w:type="dxa"/>
            <w:vAlign w:val="center"/>
            <w:textDirection w:val="lrTb"/>
            <w:noWrap w:val="false"/>
          </w:tcPr>
          <w:p>
            <w:pPr>
              <w:jc w:val="center"/>
              <w:spacing w:line="360" w:lineRule="auto"/>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c>
          <w:tcPr>
            <w:tcW w:w="983" w:type="dxa"/>
            <w:vAlign w:val="center"/>
            <w:textDirection w:val="lrTb"/>
            <w:noWrap w:val="false"/>
          </w:tcPr>
          <w:p>
            <w:pPr>
              <w:jc w:val="center"/>
              <w:spacing w:line="360" w:lineRule="auto"/>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c>
          <w:tcPr>
            <w:tcW w:w="1017" w:type="dxa"/>
            <w:vAlign w:val="center"/>
            <w:textDirection w:val="lrTb"/>
            <w:noWrap w:val="false"/>
          </w:tcPr>
          <w:p>
            <w:pPr>
              <w:jc w:val="center"/>
              <w:spacing w:line="360" w:lineRule="auto"/>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c>
          <w:tcPr>
            <w:tcW w:w="1137" w:type="dxa"/>
            <w:vAlign w:val="top"/>
            <w:textDirection w:val="lrTb"/>
            <w:noWrap w:val="false"/>
          </w:tcPr>
          <w:p>
            <w:pPr>
              <w:jc w:val="center"/>
              <w:spacing w:line="360" w:lineRule="auto"/>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c>
          <w:tcPr>
            <w:tcW w:w="777" w:type="dxa"/>
            <w:vAlign w:val="center"/>
            <w:textDirection w:val="lrTb"/>
            <w:noWrap w:val="false"/>
          </w:tcPr>
          <w:p>
            <w:pPr>
              <w:jc w:val="center"/>
              <w:spacing w:line="360" w:lineRule="auto"/>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r>
      <w:tr>
        <w:trPr>
          <w:jc w:val="center"/>
          <w:trHeight w:val="423"/>
        </w:trPr>
        <w:tc>
          <w:tcPr>
            <w:gridSpan w:val="2"/>
            <w:tcW w:w="821" w:type="dxa"/>
            <w:vAlign w:val="center"/>
            <w:textDirection w:val="lrTb"/>
            <w:noWrap w:val="false"/>
          </w:tcPr>
          <w:p>
            <w:pPr>
              <w:jc w:val="center"/>
              <w:spacing w:line="360" w:lineRule="auto"/>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c>
          <w:tcPr>
            <w:gridSpan w:val="7"/>
            <w:tcW w:w="7703" w:type="dxa"/>
            <w:vAlign w:val="center"/>
            <w:textDirection w:val="lrTb"/>
            <w:noWrap w:val="false"/>
          </w:tcPr>
          <w:p>
            <w:pPr>
              <w:jc w:val="center"/>
              <w:spacing w:line="360" w:lineRule="auto"/>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t xml:space="preserve">合计（人民币大写）：     小写：</w:t>
            </w:r>
            <w:r/>
          </w:p>
        </w:tc>
      </w:tr>
      <w:tr>
        <w:trPr>
          <w:jc w:val="center"/>
          <w:trHeight w:val="423"/>
        </w:trPr>
        <w:tc>
          <w:tcPr>
            <w:gridSpan w:val="9"/>
            <w:tcW w:w="8524" w:type="dxa"/>
            <w:vAlign w:val="center"/>
            <w:textDirection w:val="lrTb"/>
            <w:noWrap w:val="false"/>
          </w:tcPr>
          <w:p>
            <w:pPr>
              <w:jc w:val="left"/>
              <w:spacing w:line="360" w:lineRule="auto"/>
              <w:rPr>
                <w:rFonts w:hint="eastAsia" w:ascii="宋体" w:hAnsi="宋体" w:eastAsia="宋体" w:cs="宋体"/>
                <w:color w:val="auto"/>
                <w:spacing w:val="20"/>
                <w:sz w:val="21"/>
                <w:szCs w:val="21"/>
                <w:highlight w:val="none"/>
              </w:rPr>
            </w:pPr>
            <w:r>
              <w:rPr>
                <w:b/>
                <w:bCs/>
                <w:color w:val="auto"/>
                <w:spacing w:val="20"/>
                <w:szCs w:val="24"/>
                <w:highlight w:val="none"/>
              </w:rPr>
              <w:t xml:space="preserve">本采购包中提供的符合本国产品标准的产品成本之和占该采购包提供的全部产品成本之和的比例为</w:t>
            </w:r>
            <w:r>
              <w:rPr>
                <w:b/>
                <w:bCs/>
                <w:color w:val="auto"/>
                <w:spacing w:val="20"/>
                <w:szCs w:val="24"/>
                <w:highlight w:val="none"/>
                <w:u w:val="single"/>
              </w:rPr>
              <w:t xml:space="preserve">   </w:t>
            </w:r>
            <w:r>
              <w:rPr>
                <w:b/>
                <w:bCs/>
                <w:color w:val="auto"/>
                <w:spacing w:val="20"/>
                <w:szCs w:val="24"/>
                <w:highlight w:val="none"/>
              </w:rPr>
              <w:t xml:space="preserve">%</w:t>
            </w:r>
            <w:r/>
          </w:p>
        </w:tc>
      </w:tr>
    </w:tbl>
    <w:p>
      <w:pPr>
        <w:pStyle w:val="1119"/>
        <w:spacing w:line="360" w:lineRule="auto"/>
        <w:rPr>
          <w:rFonts w:hint="eastAsia" w:ascii="宋体" w:hAnsi="宋体" w:eastAsia="宋体" w:cs="宋体"/>
          <w:color w:val="auto"/>
          <w:szCs w:val="21"/>
          <w:highlight w:val="none"/>
          <w:lang w:bidi="en-US"/>
        </w:rPr>
      </w:pPr>
      <w:r>
        <w:rPr>
          <w:rFonts w:hint="eastAsia" w:ascii="宋体" w:hAnsi="宋体" w:eastAsia="宋体" w:cs="宋体"/>
          <w:color w:val="auto"/>
          <w:szCs w:val="21"/>
          <w:highlight w:val="none"/>
          <w:lang w:bidi="en-US"/>
        </w:rPr>
      </w:r>
      <w:r/>
    </w:p>
    <w:p>
      <w:pPr>
        <w:numPr>
          <w:ilvl w:val="0"/>
          <w:numId w:val="0"/>
        </w:numPr>
        <w:ind w:firstLine="632"/>
        <w:spacing w:line="400" w:lineRule="exact"/>
        <w:rPr>
          <w:b/>
          <w:bCs/>
          <w:color w:val="auto"/>
          <w:szCs w:val="21"/>
          <w:highlight w:val="none"/>
        </w:rPr>
      </w:pPr>
      <w:r>
        <w:rPr>
          <w:rFonts w:hint="eastAsia" w:cs="宋体" w:asciiTheme="minorEastAsia" w:hAnsiTheme="minorEastAsia"/>
          <w:b/>
          <w:bCs/>
          <w:color w:val="auto"/>
          <w:szCs w:val="21"/>
          <w:highlight w:val="none"/>
          <w:lang w:val="en-US" w:eastAsia="zh-CN"/>
        </w:rPr>
        <w:t xml:space="preserve">注：</w:t>
      </w:r>
      <w:r>
        <w:rPr>
          <w:b/>
          <w:bCs/>
          <w:color w:val="auto"/>
          <w:szCs w:val="21"/>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jc w:val="left"/>
        <w:widowControl/>
        <w:rPr>
          <w:rFonts w:eastAsiaTheme="minorEastAsia"/>
          <w:b/>
          <w:color w:val="auto"/>
          <w:szCs w:val="21"/>
          <w:highlight w:val="none"/>
        </w:rPr>
      </w:pPr>
      <w:r>
        <w:rPr>
          <w:rFonts w:eastAsiaTheme="minorEastAsia"/>
          <w:b/>
          <w:color w:val="auto"/>
          <w:szCs w:val="21"/>
          <w:highlight w:val="none"/>
        </w:rPr>
      </w:r>
      <w:r/>
    </w:p>
    <w:p>
      <w:pPr>
        <w:ind w:firstLine="422"/>
        <w:spacing w:line="360" w:lineRule="auto"/>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p>
      <w:pPr>
        <w:ind w:firstLine="422"/>
        <w:spacing w:line="360" w:lineRule="auto"/>
        <w:rPr>
          <w:rFonts w:hint="eastAsia" w:cs="宋体" w:asciiTheme="minorEastAsia" w:hAnsiTheme="minorEastAsia"/>
          <w:color w:val="auto"/>
          <w:szCs w:val="21"/>
          <w:highlight w:val="none"/>
          <w:lang w:val="zh-CN"/>
        </w:rPr>
      </w:pPr>
      <w:r>
        <w:rPr>
          <w:rFonts w:hint="eastAsia" w:cs="宋体" w:asciiTheme="minorEastAsia" w:hAnsiTheme="minorEastAsia"/>
          <w:color w:val="auto"/>
          <w:szCs w:val="21"/>
          <w:highlight w:val="none"/>
          <w:lang w:val="zh-CN"/>
        </w:rPr>
      </w:r>
      <w:r/>
    </w:p>
    <w:p>
      <w:pPr>
        <w:ind w:firstLine="422"/>
        <w:spacing w:line="360" w:lineRule="auto"/>
        <w:rPr>
          <w:rFonts w:hint="eastAsia" w:cs="宋体" w:asciiTheme="minorEastAsia" w:hAnsiTheme="minorEastAsia"/>
          <w:color w:val="auto"/>
          <w:szCs w:val="21"/>
          <w:highlight w:val="none"/>
          <w:lang w:val="zh-CN"/>
        </w:rPr>
      </w:pPr>
      <w:r>
        <w:rPr>
          <w:rFonts w:hint="eastAsia" w:cs="宋体" w:asciiTheme="minorEastAsia" w:hAnsiTheme="minorEastAsia"/>
          <w:color w:val="auto"/>
          <w:szCs w:val="21"/>
          <w:highlight w:val="none"/>
          <w:lang w:val="zh-CN"/>
        </w:rPr>
      </w:r>
      <w:r/>
    </w:p>
    <w:p>
      <w:pPr>
        <w:ind w:firstLine="422"/>
        <w:spacing w:line="360" w:lineRule="auto"/>
        <w:rPr>
          <w:rFonts w:hint="eastAsia" w:cs="宋体" w:asciiTheme="minorEastAsia" w:hAnsiTheme="minorEastAsia"/>
          <w:color w:val="auto"/>
          <w:szCs w:val="21"/>
          <w:highlight w:val="none"/>
          <w:lang w:val="zh-CN"/>
        </w:rPr>
      </w:pPr>
      <w:r>
        <w:rPr>
          <w:rFonts w:hint="eastAsia" w:cs="宋体" w:asciiTheme="minorEastAsia" w:hAnsiTheme="minorEastAsia"/>
          <w:color w:val="auto"/>
          <w:szCs w:val="21"/>
          <w:highlight w:val="none"/>
          <w:lang w:val="zh-CN"/>
        </w:rPr>
      </w:r>
      <w:r/>
    </w:p>
    <w:p>
      <w:pPr>
        <w:ind w:firstLine="422"/>
        <w:spacing w:line="360" w:lineRule="auto"/>
        <w:rPr>
          <w:rFonts w:cs="宋体" w:asciiTheme="minorEastAsia" w:hAnsiTheme="minorEastAsia"/>
          <w:color w:val="auto"/>
          <w:szCs w:val="21"/>
          <w:highlight w:val="none"/>
          <w:lang w:val="zh-CN"/>
        </w:rPr>
      </w:pPr>
      <w:r>
        <w:rPr>
          <w:rFonts w:hint="eastAsia" w:cs="宋体" w:asciiTheme="minorEastAsia" w:hAnsiTheme="minorEastAsia"/>
          <w:color w:val="auto"/>
          <w:szCs w:val="21"/>
          <w:highlight w:val="none"/>
          <w:lang w:val="zh-CN"/>
        </w:rPr>
        <w:t xml:space="preserve">供应商名称：（加盖CA电子公章）</w:t>
      </w:r>
      <w:r/>
    </w:p>
    <w:p>
      <w:pPr>
        <w:ind w:firstLine="422"/>
        <w:spacing w:line="360" w:lineRule="auto"/>
        <w:rPr>
          <w:rFonts w:cs="宋体" w:asciiTheme="minorEastAsia" w:hAnsiTheme="minorEastAsia"/>
          <w:color w:val="auto"/>
          <w:szCs w:val="21"/>
          <w:highlight w:val="none"/>
          <w:lang w:val="zh-CN"/>
        </w:rPr>
      </w:pPr>
      <w:r>
        <w:rPr>
          <w:rFonts w:hint="eastAsia" w:cs="宋体" w:asciiTheme="minorEastAsia" w:hAnsiTheme="minorEastAsia"/>
          <w:color w:val="auto"/>
          <w:szCs w:val="21"/>
          <w:highlight w:val="none"/>
          <w:lang w:val="zh-CN"/>
        </w:rPr>
        <w:t xml:space="preserve">法定代表人或代理人：（签字或盖章）</w:t>
      </w:r>
      <w:r/>
    </w:p>
    <w:p>
      <w:pPr>
        <w:pStyle w:val="967"/>
        <w:ind w:firstLine="420"/>
        <w:spacing w:before="184" w:line="218" w:lineRule="auto"/>
        <w:rPr>
          <w:rFonts w:asciiTheme="minorEastAsia" w:hAnsiTheme="minorEastAsia" w:eastAsiaTheme="minorEastAsia"/>
          <w:b/>
          <w:bCs/>
          <w:color w:val="auto"/>
          <w:spacing w:val="-1"/>
          <w:szCs w:val="24"/>
          <w:highlight w:val="none"/>
        </w:rPr>
        <w:outlineLvl w:val="1"/>
      </w:pPr>
      <w:r>
        <w:rPr>
          <w:rFonts w:hint="eastAsia" w:cs="宋体" w:asciiTheme="minorEastAsia" w:hAnsiTheme="minorEastAsia" w:eastAsiaTheme="minorEastAsia"/>
          <w:color w:val="auto"/>
          <w:sz w:val="21"/>
          <w:szCs w:val="21"/>
          <w:highlight w:val="none"/>
          <w:lang w:val="zh-CN"/>
        </w:rPr>
        <w:t xml:space="preserve">日期：    年    月    日</w:t>
      </w:r>
      <w:r/>
    </w:p>
    <w:p>
      <w:pPr>
        <w:pStyle w:val="1119"/>
        <w:ind w:firstLine="422"/>
        <w:rPr>
          <w:rFonts w:cs="宋体" w:asciiTheme="minorEastAsia" w:hAnsiTheme="minorEastAsia" w:eastAsiaTheme="minorEastAsia"/>
          <w:b/>
          <w:bCs/>
          <w:color w:val="auto"/>
          <w:szCs w:val="21"/>
          <w:highlight w:val="none"/>
        </w:rPr>
      </w:pPr>
      <w:r>
        <w:rPr>
          <w:rFonts w:cs="宋体" w:asciiTheme="minorEastAsia" w:hAnsiTheme="minorEastAsia" w:eastAsiaTheme="minorEastAsia"/>
          <w:b/>
          <w:bCs/>
          <w:color w:val="auto"/>
          <w:szCs w:val="21"/>
          <w:highlight w:val="none"/>
        </w:rPr>
      </w:r>
      <w:r/>
    </w:p>
    <w:p>
      <w:pPr>
        <w:spacing w:line="360" w:lineRule="auto"/>
        <w:rPr>
          <w:rFonts w:hint="eastAsia" w:ascii="宋体" w:hAnsi="宋体" w:eastAsia="宋体" w:cs="Times New Roman"/>
          <w:b/>
          <w:color w:val="auto"/>
          <w:sz w:val="24"/>
          <w:szCs w:val="24"/>
          <w:highlight w:val="none"/>
          <w:shd w:val="clear" w:color="auto" w:fill="ffffff"/>
        </w:rPr>
        <w:outlineLvl w:val="1"/>
      </w:pPr>
      <w:r>
        <w:rPr>
          <w:rFonts w:hint="eastAsia" w:ascii="宋体" w:hAnsi="宋体" w:eastAsia="宋体" w:cs="Times New Roman"/>
          <w:b/>
          <w:color w:val="auto"/>
          <w:sz w:val="24"/>
          <w:szCs w:val="24"/>
          <w:highlight w:val="none"/>
          <w:shd w:val="clear" w:color="auto" w:fill="ffffff"/>
        </w:rPr>
      </w:r>
      <w:r/>
    </w:p>
    <w:p>
      <w:pPr>
        <w:spacing w:line="360" w:lineRule="auto"/>
        <w:rPr>
          <w:rFonts w:hint="eastAsia" w:ascii="宋体" w:hAnsi="宋体" w:eastAsia="宋体" w:cs="Times New Roman"/>
          <w:b/>
          <w:color w:val="auto"/>
          <w:sz w:val="24"/>
          <w:szCs w:val="24"/>
          <w:highlight w:val="none"/>
          <w:shd w:val="clear" w:color="auto" w:fill="ffffff"/>
        </w:rPr>
        <w:outlineLvl w:val="1"/>
      </w:pPr>
      <w:r>
        <w:rPr>
          <w:rFonts w:hint="eastAsia" w:ascii="宋体" w:hAnsi="宋体" w:eastAsia="宋体" w:cs="Times New Roman"/>
          <w:b/>
          <w:color w:val="auto"/>
          <w:sz w:val="24"/>
          <w:szCs w:val="24"/>
          <w:highlight w:val="none"/>
          <w:shd w:val="clear" w:color="auto" w:fill="ffffff"/>
        </w:rPr>
      </w:r>
      <w:r/>
    </w:p>
    <w:p>
      <w:pPr>
        <w:spacing w:line="360" w:lineRule="auto"/>
        <w:rPr>
          <w:rFonts w:hint="eastAsia" w:ascii="宋体" w:hAnsi="宋体" w:eastAsia="宋体" w:cs="Times New Roman"/>
          <w:b/>
          <w:color w:val="auto"/>
          <w:sz w:val="24"/>
          <w:szCs w:val="24"/>
          <w:highlight w:val="none"/>
          <w:shd w:val="clear" w:color="auto" w:fill="ffffff"/>
        </w:rPr>
        <w:outlineLvl w:val="1"/>
      </w:pPr>
      <w:r>
        <w:rPr>
          <w:rFonts w:hint="eastAsia" w:ascii="宋体" w:hAnsi="宋体" w:eastAsia="宋体" w:cs="Times New Roman"/>
          <w:b/>
          <w:color w:val="auto"/>
          <w:sz w:val="24"/>
          <w:szCs w:val="24"/>
          <w:highlight w:val="none"/>
          <w:shd w:val="clear" w:color="auto" w:fill="ffffff"/>
        </w:rPr>
      </w:r>
      <w:r/>
    </w:p>
    <w:p>
      <w:pPr>
        <w:spacing w:line="360" w:lineRule="auto"/>
        <w:rPr>
          <w:rFonts w:hint="eastAsia" w:ascii="宋体" w:hAnsi="宋体" w:eastAsia="宋体" w:cs="Times New Roman"/>
          <w:b/>
          <w:color w:val="auto"/>
          <w:sz w:val="24"/>
          <w:szCs w:val="24"/>
          <w:highlight w:val="none"/>
          <w:shd w:val="clear" w:color="auto" w:fill="ffffff"/>
        </w:rPr>
        <w:outlineLvl w:val="1"/>
      </w:pPr>
      <w:r>
        <w:rPr>
          <w:rFonts w:hint="eastAsia" w:ascii="宋体" w:hAnsi="宋体" w:eastAsia="宋体" w:cs="Times New Roman"/>
          <w:b/>
          <w:color w:val="auto"/>
          <w:sz w:val="24"/>
          <w:szCs w:val="24"/>
          <w:highlight w:val="none"/>
          <w:shd w:val="clear" w:color="auto" w:fill="ffffff"/>
        </w:rPr>
      </w:r>
      <w:r/>
    </w:p>
    <w:p>
      <w:pPr>
        <w:spacing w:line="360" w:lineRule="auto"/>
        <w:rPr>
          <w:rFonts w:hint="eastAsia" w:ascii="宋体" w:hAnsi="宋体" w:eastAsia="宋体" w:cs="Times New Roman"/>
          <w:b/>
          <w:color w:val="auto"/>
          <w:sz w:val="24"/>
          <w:szCs w:val="24"/>
          <w:highlight w:val="none"/>
          <w:shd w:val="clear" w:color="auto" w:fill="ffffff"/>
        </w:rPr>
        <w:outlineLvl w:val="1"/>
      </w:pPr>
      <w:r>
        <w:rPr>
          <w:rFonts w:hint="eastAsia" w:ascii="宋体" w:hAnsi="宋体" w:eastAsia="宋体" w:cs="Times New Roman"/>
          <w:b/>
          <w:color w:val="auto"/>
          <w:sz w:val="24"/>
          <w:szCs w:val="24"/>
          <w:highlight w:val="none"/>
          <w:shd w:val="clear" w:color="auto" w:fill="ffffff"/>
        </w:rPr>
      </w:r>
      <w:r/>
    </w:p>
    <w:p>
      <w:pPr>
        <w:spacing w:line="360" w:lineRule="auto"/>
        <w:rPr>
          <w:rFonts w:hint="eastAsia" w:ascii="宋体" w:hAnsi="宋体" w:eastAsia="宋体" w:cs="Times New Roman"/>
          <w:b/>
          <w:color w:val="auto"/>
          <w:sz w:val="24"/>
          <w:szCs w:val="24"/>
          <w:highlight w:val="none"/>
          <w:shd w:val="clear" w:color="auto" w:fill="ffffff"/>
          <w:lang w:val="en-US" w:eastAsia="zh-CN"/>
        </w:rPr>
        <w:outlineLvl w:val="1"/>
      </w:pPr>
      <w:r>
        <w:rPr>
          <w:rFonts w:hint="eastAsia" w:ascii="宋体" w:hAnsi="宋体" w:eastAsia="宋体" w:cs="Times New Roman"/>
          <w:b/>
          <w:color w:val="auto"/>
          <w:sz w:val="24"/>
          <w:szCs w:val="24"/>
          <w:highlight w:val="none"/>
          <w:shd w:val="clear" w:color="auto" w:fill="ffffff"/>
          <w:lang w:val="en-US" w:eastAsia="zh-CN"/>
        </w:rPr>
      </w:r>
      <w:r/>
    </w:p>
    <w:p>
      <w:pPr>
        <w:spacing w:line="360" w:lineRule="auto"/>
        <w:rPr>
          <w:rFonts w:ascii="宋体" w:hAnsi="宋体" w:eastAsia="宋体" w:cs="宋体"/>
          <w:bCs/>
          <w:color w:val="auto"/>
          <w:sz w:val="24"/>
          <w:szCs w:val="24"/>
          <w:highlight w:val="none"/>
          <w:shd w:val="clear" w:color="auto" w:fill="ffffff"/>
          <w:lang w:val="zh-CN"/>
        </w:rPr>
        <w:outlineLvl w:val="1"/>
      </w:pPr>
      <w:r>
        <w:rPr>
          <w:rFonts w:hint="eastAsia" w:ascii="宋体" w:hAnsi="宋体" w:eastAsia="宋体" w:cs="Times New Roman"/>
          <w:b/>
          <w:color w:val="auto"/>
          <w:sz w:val="24"/>
          <w:szCs w:val="24"/>
          <w:highlight w:val="none"/>
          <w:shd w:val="clear" w:color="auto" w:fill="ffffff"/>
          <w:lang w:val="en-US" w:eastAsia="zh-CN"/>
        </w:rPr>
        <w:t xml:space="preserve">5</w:t>
      </w:r>
      <w:r>
        <w:rPr>
          <w:rFonts w:hint="eastAsia" w:ascii="宋体" w:hAnsi="宋体" w:eastAsia="宋体" w:cs="Times New Roman"/>
          <w:b/>
          <w:color w:val="auto"/>
          <w:sz w:val="24"/>
          <w:szCs w:val="24"/>
          <w:highlight w:val="none"/>
          <w:shd w:val="clear" w:color="auto" w:fill="ffffff"/>
        </w:rPr>
        <w:t xml:space="preserve">、服务或技术要求偏离表</w:t>
      </w:r>
      <w:r/>
    </w:p>
    <w:p>
      <w:pPr>
        <w:jc w:val="center"/>
        <w:spacing w:line="360" w:lineRule="auto"/>
        <w:rPr>
          <w:rFonts w:ascii="宋体" w:hAnsi="宋体" w:eastAsia="宋体" w:cs="Times New Roman"/>
          <w:b/>
          <w:color w:val="auto"/>
          <w:sz w:val="24"/>
          <w:szCs w:val="24"/>
          <w:highlight w:val="none"/>
          <w:shd w:val="clear" w:color="auto" w:fill="ffffff"/>
        </w:rPr>
      </w:pPr>
      <w:r>
        <w:rPr>
          <w:rFonts w:hint="eastAsia" w:ascii="宋体" w:hAnsi="宋体" w:eastAsia="宋体" w:cs="Times New Roman"/>
          <w:b/>
          <w:color w:val="auto"/>
          <w:sz w:val="24"/>
          <w:szCs w:val="24"/>
          <w:highlight w:val="none"/>
          <w:shd w:val="clear" w:color="auto" w:fill="ffffff"/>
        </w:rPr>
        <w:t xml:space="preserve">服务或技术要求偏离表</w:t>
      </w:r>
      <w:r/>
    </w:p>
    <w:tbl>
      <w:tblPr>
        <w:tblStyle w:val="959"/>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757"/>
      </w:tblGrid>
      <w:tr>
        <w:trPr>
          <w:jc w:val="center"/>
        </w:trPr>
        <w:tc>
          <w:tcPr>
            <w:tcW w:w="828" w:type="dxa"/>
            <w:vAlign w:val="center"/>
            <w:textDirection w:val="lrTb"/>
            <w:noWrap w:val="false"/>
          </w:tcPr>
          <w:p>
            <w:pPr>
              <w:jc w:val="center"/>
              <w:spacing w:before="240" w:after="240" w:line="300" w:lineRule="exact"/>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序号</w:t>
            </w:r>
            <w:r/>
          </w:p>
        </w:tc>
        <w:tc>
          <w:tcPr>
            <w:tcW w:w="1800" w:type="dxa"/>
            <w:vAlign w:val="center"/>
            <w:textDirection w:val="lrTb"/>
            <w:noWrap w:val="false"/>
          </w:tcPr>
          <w:p>
            <w:pPr>
              <w:jc w:val="center"/>
              <w:spacing w:line="300" w:lineRule="exact"/>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项目名称</w:t>
            </w:r>
            <w:r/>
          </w:p>
        </w:tc>
        <w:tc>
          <w:tcPr>
            <w:tcW w:w="1620" w:type="dxa"/>
            <w:vAlign w:val="center"/>
            <w:textDirection w:val="lrTb"/>
            <w:noWrap w:val="false"/>
          </w:tcPr>
          <w:p>
            <w:pPr>
              <w:jc w:val="center"/>
              <w:spacing w:line="300" w:lineRule="exact"/>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招标要求</w:t>
            </w:r>
            <w:r/>
          </w:p>
        </w:tc>
        <w:tc>
          <w:tcPr>
            <w:tcW w:w="1440" w:type="dxa"/>
            <w:vAlign w:val="center"/>
            <w:textDirection w:val="lrTb"/>
            <w:noWrap w:val="false"/>
          </w:tcPr>
          <w:p>
            <w:pPr>
              <w:jc w:val="center"/>
              <w:spacing w:line="300" w:lineRule="exact"/>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投标要求</w:t>
            </w:r>
            <w:r/>
          </w:p>
        </w:tc>
        <w:tc>
          <w:tcPr>
            <w:tcW w:w="1699" w:type="dxa"/>
            <w:vAlign w:val="center"/>
            <w:textDirection w:val="lrTb"/>
            <w:noWrap w:val="false"/>
          </w:tcPr>
          <w:p>
            <w:pPr>
              <w:jc w:val="center"/>
              <w:spacing w:line="300" w:lineRule="exact"/>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偏离/响应</w:t>
            </w:r>
            <w:r/>
          </w:p>
        </w:tc>
        <w:tc>
          <w:tcPr>
            <w:tcW w:w="1757" w:type="dxa"/>
            <w:vAlign w:val="center"/>
            <w:textDirection w:val="lrTb"/>
            <w:noWrap w:val="false"/>
          </w:tcPr>
          <w:p>
            <w:pPr>
              <w:jc w:val="center"/>
              <w:spacing w:line="300" w:lineRule="exact"/>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说明</w:t>
            </w:r>
            <w:r/>
          </w:p>
        </w:tc>
      </w:tr>
      <w:tr>
        <w:trPr>
          <w:jc w:val="center"/>
        </w:trPr>
        <w:tc>
          <w:tcPr>
            <w:tcW w:w="828" w:type="dxa"/>
            <w:textDirection w:val="lrTb"/>
            <w:noWrap w:val="false"/>
          </w:tcPr>
          <w:p>
            <w:pPr>
              <w:spacing w:before="240" w:after="240" w:line="300" w:lineRule="exact"/>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r>
            <w:r/>
          </w:p>
        </w:tc>
        <w:tc>
          <w:tcPr>
            <w:tcW w:w="1800" w:type="dxa"/>
            <w:textDirection w:val="lrTb"/>
            <w:noWrap w:val="false"/>
          </w:tcPr>
          <w:p>
            <w:pPr>
              <w:spacing w:line="300" w:lineRule="exact"/>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r>
            <w:r/>
          </w:p>
        </w:tc>
        <w:tc>
          <w:tcPr>
            <w:tcW w:w="1620" w:type="dxa"/>
            <w:textDirection w:val="lrTb"/>
            <w:noWrap w:val="false"/>
          </w:tcPr>
          <w:p>
            <w:pPr>
              <w:spacing w:line="300" w:lineRule="exact"/>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r>
            <w:r/>
          </w:p>
        </w:tc>
        <w:tc>
          <w:tcPr>
            <w:tcW w:w="1440" w:type="dxa"/>
            <w:textDirection w:val="lrTb"/>
            <w:noWrap w:val="false"/>
          </w:tcPr>
          <w:p>
            <w:pPr>
              <w:spacing w:line="300" w:lineRule="exact"/>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r>
            <w:r/>
          </w:p>
        </w:tc>
        <w:tc>
          <w:tcPr>
            <w:tcW w:w="1699" w:type="dxa"/>
            <w:textDirection w:val="lrTb"/>
            <w:noWrap w:val="false"/>
          </w:tcPr>
          <w:p>
            <w:pPr>
              <w:spacing w:line="300" w:lineRule="exact"/>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r>
            <w:r/>
          </w:p>
        </w:tc>
        <w:tc>
          <w:tcPr>
            <w:tcW w:w="1757" w:type="dxa"/>
            <w:textDirection w:val="lrTb"/>
            <w:noWrap w:val="false"/>
          </w:tcPr>
          <w:p>
            <w:pPr>
              <w:spacing w:line="300" w:lineRule="exact"/>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r>
            <w:r/>
          </w:p>
        </w:tc>
      </w:tr>
      <w:tr>
        <w:trPr>
          <w:jc w:val="center"/>
        </w:trPr>
        <w:tc>
          <w:tcPr>
            <w:tcW w:w="828" w:type="dxa"/>
            <w:textDirection w:val="lrTb"/>
            <w:noWrap w:val="false"/>
          </w:tcPr>
          <w:p>
            <w:pPr>
              <w:spacing w:before="240" w:after="240" w:line="300" w:lineRule="exact"/>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r>
            <w:r/>
          </w:p>
        </w:tc>
        <w:tc>
          <w:tcPr>
            <w:tcW w:w="1800" w:type="dxa"/>
            <w:textDirection w:val="lrTb"/>
            <w:noWrap w:val="false"/>
          </w:tcPr>
          <w:p>
            <w:pPr>
              <w:spacing w:line="300" w:lineRule="exact"/>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r>
            <w:r/>
          </w:p>
        </w:tc>
        <w:tc>
          <w:tcPr>
            <w:tcW w:w="1620" w:type="dxa"/>
            <w:textDirection w:val="lrTb"/>
            <w:noWrap w:val="false"/>
          </w:tcPr>
          <w:p>
            <w:pPr>
              <w:spacing w:line="300" w:lineRule="exact"/>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r>
            <w:r/>
          </w:p>
        </w:tc>
        <w:tc>
          <w:tcPr>
            <w:tcW w:w="1440" w:type="dxa"/>
            <w:textDirection w:val="lrTb"/>
            <w:noWrap w:val="false"/>
          </w:tcPr>
          <w:p>
            <w:pPr>
              <w:spacing w:line="300" w:lineRule="exact"/>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r>
            <w:r/>
          </w:p>
        </w:tc>
        <w:tc>
          <w:tcPr>
            <w:tcW w:w="1699" w:type="dxa"/>
            <w:textDirection w:val="lrTb"/>
            <w:noWrap w:val="false"/>
          </w:tcPr>
          <w:p>
            <w:pPr>
              <w:spacing w:line="300" w:lineRule="exact"/>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r>
            <w:r/>
          </w:p>
        </w:tc>
        <w:tc>
          <w:tcPr>
            <w:tcW w:w="1757" w:type="dxa"/>
            <w:textDirection w:val="lrTb"/>
            <w:noWrap w:val="false"/>
          </w:tcPr>
          <w:p>
            <w:pPr>
              <w:spacing w:line="300" w:lineRule="exact"/>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r>
            <w:r/>
          </w:p>
        </w:tc>
      </w:tr>
      <w:tr>
        <w:trPr>
          <w:jc w:val="center"/>
        </w:trPr>
        <w:tc>
          <w:tcPr>
            <w:tcW w:w="828" w:type="dxa"/>
            <w:textDirection w:val="lrTb"/>
            <w:noWrap w:val="false"/>
          </w:tcPr>
          <w:p>
            <w:pPr>
              <w:spacing w:before="240" w:after="240" w:line="300" w:lineRule="exact"/>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r>
            <w:r/>
          </w:p>
        </w:tc>
        <w:tc>
          <w:tcPr>
            <w:tcW w:w="1800" w:type="dxa"/>
            <w:textDirection w:val="lrTb"/>
            <w:noWrap w:val="false"/>
          </w:tcPr>
          <w:p>
            <w:pPr>
              <w:spacing w:line="300" w:lineRule="exact"/>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r>
            <w:r/>
          </w:p>
        </w:tc>
        <w:tc>
          <w:tcPr>
            <w:tcW w:w="1620" w:type="dxa"/>
            <w:textDirection w:val="lrTb"/>
            <w:noWrap w:val="false"/>
          </w:tcPr>
          <w:p>
            <w:pPr>
              <w:spacing w:line="300" w:lineRule="exact"/>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r>
            <w:r/>
          </w:p>
        </w:tc>
        <w:tc>
          <w:tcPr>
            <w:tcW w:w="1440" w:type="dxa"/>
            <w:textDirection w:val="lrTb"/>
            <w:noWrap w:val="false"/>
          </w:tcPr>
          <w:p>
            <w:pPr>
              <w:spacing w:line="300" w:lineRule="exact"/>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r>
            <w:r/>
          </w:p>
        </w:tc>
        <w:tc>
          <w:tcPr>
            <w:tcW w:w="1699" w:type="dxa"/>
            <w:textDirection w:val="lrTb"/>
            <w:noWrap w:val="false"/>
          </w:tcPr>
          <w:p>
            <w:pPr>
              <w:spacing w:line="300" w:lineRule="exact"/>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r>
            <w:r/>
          </w:p>
        </w:tc>
        <w:tc>
          <w:tcPr>
            <w:tcW w:w="1757" w:type="dxa"/>
            <w:textDirection w:val="lrTb"/>
            <w:noWrap w:val="false"/>
          </w:tcPr>
          <w:p>
            <w:pPr>
              <w:spacing w:line="300" w:lineRule="exact"/>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r>
            <w:r/>
          </w:p>
        </w:tc>
      </w:tr>
      <w:tr>
        <w:trPr>
          <w:jc w:val="center"/>
        </w:trPr>
        <w:tc>
          <w:tcPr>
            <w:tcW w:w="828" w:type="dxa"/>
            <w:textDirection w:val="lrTb"/>
            <w:noWrap w:val="false"/>
          </w:tcPr>
          <w:p>
            <w:pPr>
              <w:spacing w:before="240" w:after="240" w:line="300" w:lineRule="exact"/>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r>
            <w:r/>
          </w:p>
        </w:tc>
        <w:tc>
          <w:tcPr>
            <w:tcW w:w="1800" w:type="dxa"/>
            <w:textDirection w:val="lrTb"/>
            <w:noWrap w:val="false"/>
          </w:tcPr>
          <w:p>
            <w:pPr>
              <w:spacing w:line="300" w:lineRule="exact"/>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r>
            <w:r/>
          </w:p>
        </w:tc>
        <w:tc>
          <w:tcPr>
            <w:tcW w:w="1620" w:type="dxa"/>
            <w:textDirection w:val="lrTb"/>
            <w:noWrap w:val="false"/>
          </w:tcPr>
          <w:p>
            <w:pPr>
              <w:spacing w:line="300" w:lineRule="exact"/>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r>
            <w:r/>
          </w:p>
        </w:tc>
        <w:tc>
          <w:tcPr>
            <w:tcW w:w="1440" w:type="dxa"/>
            <w:textDirection w:val="lrTb"/>
            <w:noWrap w:val="false"/>
          </w:tcPr>
          <w:p>
            <w:pPr>
              <w:spacing w:line="300" w:lineRule="exact"/>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r>
            <w:r/>
          </w:p>
        </w:tc>
        <w:tc>
          <w:tcPr>
            <w:tcW w:w="1699" w:type="dxa"/>
            <w:textDirection w:val="lrTb"/>
            <w:noWrap w:val="false"/>
          </w:tcPr>
          <w:p>
            <w:pPr>
              <w:spacing w:line="300" w:lineRule="exact"/>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r>
            <w:r/>
          </w:p>
        </w:tc>
        <w:tc>
          <w:tcPr>
            <w:tcW w:w="1757" w:type="dxa"/>
            <w:textDirection w:val="lrTb"/>
            <w:noWrap w:val="false"/>
          </w:tcPr>
          <w:p>
            <w:pPr>
              <w:spacing w:line="300" w:lineRule="exact"/>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r>
            <w:r/>
          </w:p>
        </w:tc>
      </w:tr>
      <w:tr>
        <w:trPr>
          <w:jc w:val="center"/>
        </w:trPr>
        <w:tc>
          <w:tcPr>
            <w:tcW w:w="828" w:type="dxa"/>
            <w:textDirection w:val="lrTb"/>
            <w:noWrap w:val="false"/>
          </w:tcPr>
          <w:p>
            <w:pPr>
              <w:spacing w:before="240" w:after="240" w:line="300" w:lineRule="exact"/>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r>
            <w:r/>
          </w:p>
        </w:tc>
        <w:tc>
          <w:tcPr>
            <w:tcW w:w="1800" w:type="dxa"/>
            <w:textDirection w:val="lrTb"/>
            <w:noWrap w:val="false"/>
          </w:tcPr>
          <w:p>
            <w:pPr>
              <w:spacing w:line="300" w:lineRule="exact"/>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r>
            <w:r/>
          </w:p>
        </w:tc>
        <w:tc>
          <w:tcPr>
            <w:tcW w:w="1620" w:type="dxa"/>
            <w:textDirection w:val="lrTb"/>
            <w:noWrap w:val="false"/>
          </w:tcPr>
          <w:p>
            <w:pPr>
              <w:spacing w:line="300" w:lineRule="exact"/>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r>
            <w:r/>
          </w:p>
        </w:tc>
        <w:tc>
          <w:tcPr>
            <w:tcW w:w="1440" w:type="dxa"/>
            <w:textDirection w:val="lrTb"/>
            <w:noWrap w:val="false"/>
          </w:tcPr>
          <w:p>
            <w:pPr>
              <w:spacing w:line="300" w:lineRule="exact"/>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r>
            <w:r/>
          </w:p>
        </w:tc>
        <w:tc>
          <w:tcPr>
            <w:tcW w:w="1699" w:type="dxa"/>
            <w:textDirection w:val="lrTb"/>
            <w:noWrap w:val="false"/>
          </w:tcPr>
          <w:p>
            <w:pPr>
              <w:spacing w:line="300" w:lineRule="exact"/>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r>
            <w:r/>
          </w:p>
        </w:tc>
        <w:tc>
          <w:tcPr>
            <w:tcW w:w="1757" w:type="dxa"/>
            <w:textDirection w:val="lrTb"/>
            <w:noWrap w:val="false"/>
          </w:tcPr>
          <w:p>
            <w:pPr>
              <w:spacing w:line="300" w:lineRule="exact"/>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r>
            <w:r/>
          </w:p>
        </w:tc>
      </w:tr>
      <w:tr>
        <w:trPr>
          <w:jc w:val="center"/>
        </w:trPr>
        <w:tc>
          <w:tcPr>
            <w:tcW w:w="828" w:type="dxa"/>
            <w:textDirection w:val="lrTb"/>
            <w:noWrap w:val="false"/>
          </w:tcPr>
          <w:p>
            <w:pPr>
              <w:spacing w:before="240" w:after="240" w:line="300" w:lineRule="exact"/>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r>
            <w:r/>
          </w:p>
        </w:tc>
        <w:tc>
          <w:tcPr>
            <w:tcW w:w="1800" w:type="dxa"/>
            <w:textDirection w:val="lrTb"/>
            <w:noWrap w:val="false"/>
          </w:tcPr>
          <w:p>
            <w:pPr>
              <w:spacing w:line="300" w:lineRule="exact"/>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r>
            <w:r/>
          </w:p>
        </w:tc>
        <w:tc>
          <w:tcPr>
            <w:tcW w:w="1620" w:type="dxa"/>
            <w:textDirection w:val="lrTb"/>
            <w:noWrap w:val="false"/>
          </w:tcPr>
          <w:p>
            <w:pPr>
              <w:spacing w:line="300" w:lineRule="exact"/>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r>
            <w:r/>
          </w:p>
        </w:tc>
        <w:tc>
          <w:tcPr>
            <w:tcW w:w="1440" w:type="dxa"/>
            <w:textDirection w:val="lrTb"/>
            <w:noWrap w:val="false"/>
          </w:tcPr>
          <w:p>
            <w:pPr>
              <w:spacing w:line="300" w:lineRule="exact"/>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r>
            <w:r/>
          </w:p>
        </w:tc>
        <w:tc>
          <w:tcPr>
            <w:tcW w:w="1699" w:type="dxa"/>
            <w:textDirection w:val="lrTb"/>
            <w:noWrap w:val="false"/>
          </w:tcPr>
          <w:p>
            <w:pPr>
              <w:spacing w:line="300" w:lineRule="exact"/>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r>
            <w:r/>
          </w:p>
        </w:tc>
        <w:tc>
          <w:tcPr>
            <w:tcW w:w="1757" w:type="dxa"/>
            <w:textDirection w:val="lrTb"/>
            <w:noWrap w:val="false"/>
          </w:tcPr>
          <w:p>
            <w:pPr>
              <w:spacing w:line="300" w:lineRule="exact"/>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r>
            <w:r/>
          </w:p>
        </w:tc>
      </w:tr>
      <w:tr>
        <w:trPr>
          <w:jc w:val="center"/>
        </w:trPr>
        <w:tc>
          <w:tcPr>
            <w:tcW w:w="828" w:type="dxa"/>
            <w:textDirection w:val="lrTb"/>
            <w:noWrap w:val="false"/>
          </w:tcPr>
          <w:p>
            <w:pPr>
              <w:spacing w:before="240" w:after="240" w:line="300" w:lineRule="exact"/>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r>
            <w:r/>
          </w:p>
        </w:tc>
        <w:tc>
          <w:tcPr>
            <w:tcW w:w="1800" w:type="dxa"/>
            <w:textDirection w:val="lrTb"/>
            <w:noWrap w:val="false"/>
          </w:tcPr>
          <w:p>
            <w:pPr>
              <w:spacing w:line="300" w:lineRule="exact"/>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r>
            <w:r/>
          </w:p>
        </w:tc>
        <w:tc>
          <w:tcPr>
            <w:tcW w:w="1620" w:type="dxa"/>
            <w:textDirection w:val="lrTb"/>
            <w:noWrap w:val="false"/>
          </w:tcPr>
          <w:p>
            <w:pPr>
              <w:spacing w:line="300" w:lineRule="exact"/>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r>
            <w:r/>
          </w:p>
        </w:tc>
        <w:tc>
          <w:tcPr>
            <w:tcW w:w="1440" w:type="dxa"/>
            <w:textDirection w:val="lrTb"/>
            <w:noWrap w:val="false"/>
          </w:tcPr>
          <w:p>
            <w:pPr>
              <w:spacing w:line="300" w:lineRule="exact"/>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r>
            <w:r/>
          </w:p>
        </w:tc>
        <w:tc>
          <w:tcPr>
            <w:tcW w:w="1699" w:type="dxa"/>
            <w:textDirection w:val="lrTb"/>
            <w:noWrap w:val="false"/>
          </w:tcPr>
          <w:p>
            <w:pPr>
              <w:spacing w:line="300" w:lineRule="exact"/>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r>
            <w:r/>
          </w:p>
        </w:tc>
        <w:tc>
          <w:tcPr>
            <w:tcW w:w="1757" w:type="dxa"/>
            <w:textDirection w:val="lrTb"/>
            <w:noWrap w:val="false"/>
          </w:tcPr>
          <w:p>
            <w:pPr>
              <w:spacing w:line="300" w:lineRule="exact"/>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r>
            <w:r/>
          </w:p>
        </w:tc>
      </w:tr>
      <w:tr>
        <w:trPr>
          <w:jc w:val="center"/>
        </w:trPr>
        <w:tc>
          <w:tcPr>
            <w:tcW w:w="828" w:type="dxa"/>
            <w:textDirection w:val="lrTb"/>
            <w:noWrap w:val="false"/>
          </w:tcPr>
          <w:p>
            <w:pPr>
              <w:spacing w:before="240" w:after="240" w:line="300" w:lineRule="exact"/>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r>
            <w:r/>
          </w:p>
        </w:tc>
        <w:tc>
          <w:tcPr>
            <w:tcW w:w="1800" w:type="dxa"/>
            <w:textDirection w:val="lrTb"/>
            <w:noWrap w:val="false"/>
          </w:tcPr>
          <w:p>
            <w:pPr>
              <w:spacing w:line="300" w:lineRule="exact"/>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r>
            <w:r/>
          </w:p>
        </w:tc>
        <w:tc>
          <w:tcPr>
            <w:tcW w:w="1620" w:type="dxa"/>
            <w:textDirection w:val="lrTb"/>
            <w:noWrap w:val="false"/>
          </w:tcPr>
          <w:p>
            <w:pPr>
              <w:spacing w:line="300" w:lineRule="exact"/>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r>
            <w:r/>
          </w:p>
        </w:tc>
        <w:tc>
          <w:tcPr>
            <w:tcW w:w="1440" w:type="dxa"/>
            <w:textDirection w:val="lrTb"/>
            <w:noWrap w:val="false"/>
          </w:tcPr>
          <w:p>
            <w:pPr>
              <w:spacing w:line="300" w:lineRule="exact"/>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r>
            <w:r/>
          </w:p>
        </w:tc>
        <w:tc>
          <w:tcPr>
            <w:tcW w:w="1699" w:type="dxa"/>
            <w:textDirection w:val="lrTb"/>
            <w:noWrap w:val="false"/>
          </w:tcPr>
          <w:p>
            <w:pPr>
              <w:spacing w:line="300" w:lineRule="exact"/>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r>
            <w:r/>
          </w:p>
        </w:tc>
        <w:tc>
          <w:tcPr>
            <w:tcW w:w="1757" w:type="dxa"/>
            <w:textDirection w:val="lrTb"/>
            <w:noWrap w:val="false"/>
          </w:tcPr>
          <w:p>
            <w:pPr>
              <w:spacing w:line="300" w:lineRule="exact"/>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r>
            <w:r/>
          </w:p>
        </w:tc>
      </w:tr>
      <w:tr>
        <w:trPr>
          <w:jc w:val="center"/>
        </w:trPr>
        <w:tc>
          <w:tcPr>
            <w:tcW w:w="828" w:type="dxa"/>
            <w:textDirection w:val="lrTb"/>
            <w:noWrap w:val="false"/>
          </w:tcPr>
          <w:p>
            <w:pPr>
              <w:spacing w:before="240" w:after="240" w:line="300" w:lineRule="exact"/>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r>
            <w:r/>
          </w:p>
        </w:tc>
        <w:tc>
          <w:tcPr>
            <w:tcW w:w="1800" w:type="dxa"/>
            <w:textDirection w:val="lrTb"/>
            <w:noWrap w:val="false"/>
          </w:tcPr>
          <w:p>
            <w:pPr>
              <w:spacing w:line="300" w:lineRule="exact"/>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r>
            <w:r/>
          </w:p>
        </w:tc>
        <w:tc>
          <w:tcPr>
            <w:tcW w:w="1620" w:type="dxa"/>
            <w:textDirection w:val="lrTb"/>
            <w:noWrap w:val="false"/>
          </w:tcPr>
          <w:p>
            <w:pPr>
              <w:spacing w:line="300" w:lineRule="exact"/>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r>
            <w:r/>
          </w:p>
        </w:tc>
        <w:tc>
          <w:tcPr>
            <w:tcW w:w="1440" w:type="dxa"/>
            <w:textDirection w:val="lrTb"/>
            <w:noWrap w:val="false"/>
          </w:tcPr>
          <w:p>
            <w:pPr>
              <w:spacing w:line="300" w:lineRule="exact"/>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r>
            <w:r/>
          </w:p>
        </w:tc>
        <w:tc>
          <w:tcPr>
            <w:tcW w:w="1699" w:type="dxa"/>
            <w:textDirection w:val="lrTb"/>
            <w:noWrap w:val="false"/>
          </w:tcPr>
          <w:p>
            <w:pPr>
              <w:spacing w:line="300" w:lineRule="exact"/>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r>
            <w:r/>
          </w:p>
        </w:tc>
        <w:tc>
          <w:tcPr>
            <w:tcW w:w="1757" w:type="dxa"/>
            <w:textDirection w:val="lrTb"/>
            <w:noWrap w:val="false"/>
          </w:tcPr>
          <w:p>
            <w:pPr>
              <w:spacing w:line="300" w:lineRule="exact"/>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r>
            <w:r/>
          </w:p>
        </w:tc>
      </w:tr>
      <w:tr>
        <w:trPr>
          <w:jc w:val="center"/>
        </w:trPr>
        <w:tc>
          <w:tcPr>
            <w:tcW w:w="828" w:type="dxa"/>
            <w:textDirection w:val="lrTb"/>
            <w:noWrap w:val="false"/>
          </w:tcPr>
          <w:p>
            <w:pPr>
              <w:spacing w:before="240" w:after="240" w:line="300" w:lineRule="exact"/>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r>
            <w:r/>
          </w:p>
        </w:tc>
        <w:tc>
          <w:tcPr>
            <w:tcW w:w="1800" w:type="dxa"/>
            <w:textDirection w:val="lrTb"/>
            <w:noWrap w:val="false"/>
          </w:tcPr>
          <w:p>
            <w:pPr>
              <w:spacing w:line="300" w:lineRule="exact"/>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r>
            <w:r/>
          </w:p>
        </w:tc>
        <w:tc>
          <w:tcPr>
            <w:tcW w:w="1620" w:type="dxa"/>
            <w:textDirection w:val="lrTb"/>
            <w:noWrap w:val="false"/>
          </w:tcPr>
          <w:p>
            <w:pPr>
              <w:spacing w:line="300" w:lineRule="exact"/>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r>
            <w:r/>
          </w:p>
        </w:tc>
        <w:tc>
          <w:tcPr>
            <w:tcW w:w="1440" w:type="dxa"/>
            <w:textDirection w:val="lrTb"/>
            <w:noWrap w:val="false"/>
          </w:tcPr>
          <w:p>
            <w:pPr>
              <w:spacing w:line="300" w:lineRule="exact"/>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r>
            <w:r/>
          </w:p>
        </w:tc>
        <w:tc>
          <w:tcPr>
            <w:tcW w:w="1699" w:type="dxa"/>
            <w:textDirection w:val="lrTb"/>
            <w:noWrap w:val="false"/>
          </w:tcPr>
          <w:p>
            <w:pPr>
              <w:spacing w:line="300" w:lineRule="exact"/>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r>
            <w:r/>
          </w:p>
        </w:tc>
        <w:tc>
          <w:tcPr>
            <w:tcW w:w="1757" w:type="dxa"/>
            <w:textDirection w:val="lrTb"/>
            <w:noWrap w:val="false"/>
          </w:tcPr>
          <w:p>
            <w:pPr>
              <w:spacing w:line="300" w:lineRule="exact"/>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r>
            <w:r/>
          </w:p>
        </w:tc>
      </w:tr>
    </w:tbl>
    <w:p>
      <w:pPr>
        <w:ind w:firstLine="482"/>
        <w:rPr>
          <w:rFonts w:ascii="宋体" w:hAnsi="宋体" w:eastAsia="宋体" w:cs="Times New Roman"/>
          <w:b/>
          <w:color w:val="auto"/>
          <w:sz w:val="24"/>
          <w:szCs w:val="24"/>
          <w:highlight w:val="none"/>
          <w:shd w:val="clear" w:color="auto" w:fill="ffffff"/>
        </w:rPr>
      </w:pPr>
      <w:r>
        <w:rPr>
          <w:rFonts w:hint="eastAsia" w:ascii="宋体" w:hAnsi="宋体" w:eastAsia="宋体" w:cs="Times New Roman"/>
          <w:b/>
          <w:color w:val="auto"/>
          <w:sz w:val="24"/>
          <w:szCs w:val="24"/>
          <w:highlight w:val="none"/>
          <w:shd w:val="clear" w:color="auto" w:fill="ffffff"/>
        </w:rPr>
        <w:t xml:space="preserve">注：1、供应商应对照招标文件要求，所提供的服务与招标文件的规定有偏离的，应在此表中申明与招标要求的偏差和例外。</w:t>
      </w:r>
      <w:r/>
    </w:p>
    <w:p>
      <w:pPr>
        <w:ind w:firstLine="482"/>
        <w:rPr>
          <w:rFonts w:ascii="宋体" w:hAnsi="宋体" w:eastAsia="宋体" w:cs="Times New Roman"/>
          <w:b/>
          <w:color w:val="auto"/>
          <w:sz w:val="24"/>
          <w:szCs w:val="24"/>
          <w:highlight w:val="none"/>
          <w:shd w:val="clear" w:color="auto" w:fill="ffffff"/>
        </w:rPr>
      </w:pPr>
      <w:r>
        <w:rPr>
          <w:rFonts w:hint="eastAsia" w:ascii="宋体" w:hAnsi="宋体" w:eastAsia="宋体" w:cs="Times New Roman"/>
          <w:b/>
          <w:color w:val="auto"/>
          <w:sz w:val="24"/>
          <w:szCs w:val="24"/>
          <w:highlight w:val="none"/>
          <w:shd w:val="clear" w:color="auto" w:fill="ffffff"/>
        </w:rPr>
        <w:t xml:space="preserve">2、未在上表中说明的，如在响应文件其他内容中已有文字说明的，则以已有文字说明为准，否则，将被认为完全响应招标文件的规定。但该表不作为供应商对所投服务要求详细描述和说明的替代。</w:t>
      </w:r>
      <w:r/>
    </w:p>
    <w:p>
      <w:pPr>
        <w:spacing w:line="360" w:lineRule="auto"/>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ind w:right="105" w:firstLine="210"/>
        <w:jc w:val="right"/>
        <w:spacing w:line="360" w:lineRule="auto"/>
        <w:rPr>
          <w:rFonts w:ascii="Times New Roman"/>
          <w:color w:val="auto"/>
          <w:szCs w:val="21"/>
          <w:highlight w:val="none"/>
        </w:rPr>
      </w:pPr>
      <w:r>
        <w:rPr>
          <w:rFonts w:ascii="Times New Roman"/>
          <w:color w:val="auto"/>
          <w:szCs w:val="21"/>
          <w:highlight w:val="none"/>
        </w:rPr>
        <w:t xml:space="preserve">供应商名称：（加盖CA电子公章）</w:t>
      </w:r>
      <w:r/>
    </w:p>
    <w:p>
      <w:pPr>
        <w:ind w:right="420" w:firstLine="210"/>
        <w:jc w:val="right"/>
        <w:spacing w:line="360" w:lineRule="auto"/>
        <w:rPr>
          <w:rFonts w:ascii="Times New Roman"/>
          <w:color w:val="auto"/>
          <w:szCs w:val="21"/>
          <w:highlight w:val="none"/>
        </w:rPr>
      </w:pPr>
      <w:r>
        <w:rPr>
          <w:rFonts w:ascii="Times New Roman"/>
          <w:color w:val="auto"/>
          <w:szCs w:val="21"/>
          <w:highlight w:val="none"/>
        </w:rPr>
        <w:t xml:space="preserve">日期：　　　年　　月　　日</w:t>
      </w:r>
      <w:r/>
    </w:p>
    <w:p>
      <w:pPr>
        <w:rPr>
          <w:rFonts w:ascii="宋体" w:hAnsi="宋体" w:eastAsia="宋体" w:cs="Times New Roman"/>
          <w:b/>
          <w:color w:val="auto"/>
          <w:sz w:val="24"/>
          <w:szCs w:val="24"/>
          <w:highlight w:val="none"/>
          <w:shd w:val="clear" w:color="auto" w:fill="ffffff"/>
        </w:rPr>
      </w:pPr>
      <w:r>
        <w:rPr>
          <w:rFonts w:hint="eastAsia" w:ascii="宋体" w:hAnsi="宋体" w:eastAsia="宋体" w:cs="Times New Roman"/>
          <w:b/>
          <w:color w:val="auto"/>
          <w:sz w:val="24"/>
          <w:szCs w:val="24"/>
          <w:highlight w:val="none"/>
          <w:shd w:val="clear" w:color="auto" w:fill="ffffff"/>
        </w:rPr>
        <w:br w:type="page" w:clear="all"/>
      </w:r>
      <w:r/>
    </w:p>
    <w:p>
      <w:pPr>
        <w:spacing w:line="360" w:lineRule="auto"/>
        <w:rPr>
          <w:rFonts w:ascii="宋体" w:hAnsi="宋体" w:eastAsia="宋体" w:cs="Times New Roman"/>
          <w:b/>
          <w:color w:val="auto"/>
          <w:sz w:val="24"/>
          <w:szCs w:val="24"/>
          <w:highlight w:val="none"/>
          <w:shd w:val="clear" w:color="auto" w:fill="ffffff"/>
        </w:rPr>
        <w:outlineLvl w:val="1"/>
      </w:pPr>
      <w:r>
        <w:rPr>
          <w:rFonts w:hint="eastAsia" w:ascii="宋体" w:hAnsi="宋体" w:eastAsia="宋体" w:cs="Times New Roman"/>
          <w:b/>
          <w:color w:val="auto"/>
          <w:sz w:val="24"/>
          <w:szCs w:val="24"/>
          <w:highlight w:val="none"/>
          <w:shd w:val="clear" w:color="auto" w:fill="ffffff"/>
          <w:lang w:val="en-US" w:eastAsia="zh-CN"/>
        </w:rPr>
        <w:t xml:space="preserve">6</w:t>
      </w:r>
      <w:r>
        <w:rPr>
          <w:rFonts w:hint="eastAsia" w:ascii="宋体" w:hAnsi="宋体" w:eastAsia="宋体" w:cs="Times New Roman"/>
          <w:b/>
          <w:color w:val="auto"/>
          <w:sz w:val="24"/>
          <w:szCs w:val="24"/>
          <w:highlight w:val="none"/>
          <w:shd w:val="clear" w:color="auto" w:fill="ffffff"/>
        </w:rPr>
        <w:t xml:space="preserve">、商务条款偏离表</w:t>
      </w:r>
      <w:r/>
    </w:p>
    <w:p>
      <w:pPr>
        <w:jc w:val="center"/>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b/>
          <w:bCs/>
          <w:color w:val="auto"/>
          <w:sz w:val="24"/>
          <w:szCs w:val="24"/>
          <w:highlight w:val="none"/>
          <w:shd w:val="clear" w:color="auto" w:fill="ffffff"/>
        </w:rPr>
        <w:t xml:space="preserve">商务条款偏离表</w:t>
      </w:r>
      <w:r/>
    </w:p>
    <w:tbl>
      <w:tblPr>
        <w:tblStyle w:val="959"/>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30"/>
        <w:gridCol w:w="1920"/>
        <w:gridCol w:w="2400"/>
        <w:gridCol w:w="2400"/>
        <w:gridCol w:w="1097"/>
      </w:tblGrid>
      <w:tr>
        <w:trPr>
          <w:jc w:val="center"/>
        </w:trPr>
        <w:tc>
          <w:tcPr>
            <w:tcW w:w="1430" w:type="dxa"/>
            <w:textDirection w:val="lrTb"/>
            <w:noWrap w:val="false"/>
          </w:tcPr>
          <w:p>
            <w:pPr>
              <w:jc w:val="center"/>
              <w:spacing w:before="240" w:after="240" w:line="300" w:lineRule="exact"/>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序号</w:t>
            </w:r>
            <w:r/>
          </w:p>
        </w:tc>
        <w:tc>
          <w:tcPr>
            <w:tcW w:w="1920" w:type="dxa"/>
            <w:textDirection w:val="lrTb"/>
            <w:noWrap w:val="false"/>
          </w:tcPr>
          <w:p>
            <w:pPr>
              <w:jc w:val="center"/>
              <w:spacing w:before="240" w:after="240" w:line="300" w:lineRule="exact"/>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招标文件条目号</w:t>
            </w:r>
            <w:r/>
          </w:p>
        </w:tc>
        <w:tc>
          <w:tcPr>
            <w:tcW w:w="2400" w:type="dxa"/>
            <w:textDirection w:val="lrTb"/>
            <w:noWrap w:val="false"/>
          </w:tcPr>
          <w:p>
            <w:pPr>
              <w:jc w:val="center"/>
              <w:spacing w:before="240" w:after="240" w:line="300" w:lineRule="exact"/>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招标文件的商务条款</w:t>
            </w:r>
            <w:r/>
          </w:p>
        </w:tc>
        <w:tc>
          <w:tcPr>
            <w:tcW w:w="2400" w:type="dxa"/>
            <w:textDirection w:val="lrTb"/>
            <w:noWrap w:val="false"/>
          </w:tcPr>
          <w:p>
            <w:pPr>
              <w:jc w:val="center"/>
              <w:spacing w:before="240" w:after="240" w:line="300" w:lineRule="exact"/>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投标文件的商务条款</w:t>
            </w:r>
            <w:r/>
          </w:p>
        </w:tc>
        <w:tc>
          <w:tcPr>
            <w:tcW w:w="1097" w:type="dxa"/>
            <w:textDirection w:val="lrTb"/>
            <w:noWrap w:val="false"/>
          </w:tcPr>
          <w:p>
            <w:pPr>
              <w:jc w:val="center"/>
              <w:spacing w:before="240" w:after="240" w:line="300" w:lineRule="exact"/>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说明</w:t>
            </w:r>
            <w:r/>
          </w:p>
        </w:tc>
      </w:tr>
      <w:tr>
        <w:trPr>
          <w:jc w:val="center"/>
        </w:trPr>
        <w:tc>
          <w:tcPr>
            <w:tcW w:w="1430" w:type="dxa"/>
            <w:textDirection w:val="lrTb"/>
            <w:noWrap w:val="false"/>
          </w:tcPr>
          <w:p>
            <w:pPr>
              <w:jc w:val="center"/>
              <w:spacing w:before="240" w:after="240" w:line="300" w:lineRule="exact"/>
              <w:rPr>
                <w:rFonts w:hint="eastAsia" w:ascii="宋体" w:hAnsi="宋体" w:eastAsia="宋体" w:cs="Times New Roman"/>
                <w:color w:val="auto"/>
                <w:sz w:val="24"/>
                <w:szCs w:val="24"/>
                <w:highlight w:val="none"/>
                <w:shd w:val="clear" w:color="auto" w:fill="ffffff"/>
                <w:lang w:val="en-US" w:eastAsia="zh-CN"/>
              </w:rPr>
            </w:pPr>
            <w:r>
              <w:rPr>
                <w:rFonts w:hint="eastAsia" w:ascii="宋体" w:hAnsi="宋体" w:eastAsia="宋体" w:cs="Times New Roman"/>
                <w:color w:val="auto"/>
                <w:sz w:val="24"/>
                <w:szCs w:val="24"/>
                <w:highlight w:val="none"/>
                <w:shd w:val="clear" w:color="auto" w:fill="ffffff"/>
                <w:lang w:val="en-US" w:eastAsia="zh-CN"/>
              </w:rPr>
              <w:t xml:space="preserve">1</w:t>
            </w:r>
            <w:r/>
          </w:p>
        </w:tc>
        <w:tc>
          <w:tcPr>
            <w:tcW w:w="1920" w:type="dxa"/>
            <w:textDirection w:val="lrTb"/>
            <w:noWrap w:val="false"/>
          </w:tcPr>
          <w:p>
            <w:pPr>
              <w:spacing w:before="240" w:after="240" w:line="300" w:lineRule="exact"/>
              <w:rPr>
                <w:rFonts w:hint="default" w:ascii="宋体" w:hAnsi="宋体" w:eastAsia="宋体" w:cs="Times New Roman"/>
                <w:color w:val="auto"/>
                <w:sz w:val="24"/>
                <w:szCs w:val="24"/>
                <w:highlight w:val="none"/>
                <w:shd w:val="clear" w:color="auto" w:fill="ffffff"/>
                <w:lang w:val="en-US" w:eastAsia="zh-CN"/>
              </w:rPr>
            </w:pPr>
            <w:r>
              <w:rPr>
                <w:rFonts w:hint="eastAsia" w:ascii="宋体" w:hAnsi="宋体" w:eastAsia="宋体" w:cs="Times New Roman"/>
                <w:color w:val="auto"/>
                <w:sz w:val="24"/>
                <w:szCs w:val="24"/>
                <w:highlight w:val="none"/>
                <w:shd w:val="clear" w:color="auto" w:fill="ffffff"/>
                <w:lang w:val="en-US" w:eastAsia="zh-CN"/>
              </w:rPr>
              <w:t xml:space="preserve">付款方式</w:t>
            </w:r>
            <w:r/>
          </w:p>
        </w:tc>
        <w:tc>
          <w:tcPr>
            <w:tcW w:w="2400" w:type="dxa"/>
            <w:textDirection w:val="lrTb"/>
            <w:noWrap w:val="false"/>
          </w:tcPr>
          <w:p>
            <w:pPr>
              <w:spacing w:before="240" w:after="240" w:line="300" w:lineRule="exact"/>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r>
            <w:r/>
          </w:p>
        </w:tc>
        <w:tc>
          <w:tcPr>
            <w:tcW w:w="2400" w:type="dxa"/>
            <w:textDirection w:val="lrTb"/>
            <w:noWrap w:val="false"/>
          </w:tcPr>
          <w:p>
            <w:pPr>
              <w:spacing w:before="240" w:after="240" w:line="300" w:lineRule="exact"/>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r>
            <w:r/>
          </w:p>
        </w:tc>
        <w:tc>
          <w:tcPr>
            <w:tcW w:w="1097" w:type="dxa"/>
            <w:textDirection w:val="lrTb"/>
            <w:noWrap w:val="false"/>
          </w:tcPr>
          <w:p>
            <w:pPr>
              <w:spacing w:before="240" w:after="240" w:line="300" w:lineRule="exact"/>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r>
            <w:r/>
          </w:p>
        </w:tc>
      </w:tr>
      <w:tr>
        <w:trPr>
          <w:jc w:val="center"/>
        </w:trPr>
        <w:tc>
          <w:tcPr>
            <w:tcW w:w="1430" w:type="dxa"/>
            <w:textDirection w:val="lrTb"/>
            <w:noWrap w:val="false"/>
          </w:tcPr>
          <w:p>
            <w:pPr>
              <w:jc w:val="center"/>
              <w:spacing w:before="240" w:after="240" w:line="300" w:lineRule="exact"/>
              <w:rPr>
                <w:rFonts w:hint="eastAsia" w:ascii="宋体" w:hAnsi="宋体" w:eastAsia="宋体" w:cs="Times New Roman"/>
                <w:color w:val="auto"/>
                <w:sz w:val="24"/>
                <w:szCs w:val="24"/>
                <w:highlight w:val="none"/>
                <w:shd w:val="clear" w:color="auto" w:fill="ffffff"/>
                <w:lang w:val="en-US" w:eastAsia="zh-CN"/>
              </w:rPr>
            </w:pPr>
            <w:r>
              <w:rPr>
                <w:rFonts w:hint="eastAsia" w:ascii="宋体" w:hAnsi="宋体" w:eastAsia="宋体" w:cs="Times New Roman"/>
                <w:color w:val="auto"/>
                <w:sz w:val="24"/>
                <w:szCs w:val="24"/>
                <w:highlight w:val="none"/>
                <w:shd w:val="clear" w:color="auto" w:fill="ffffff"/>
                <w:lang w:val="en-US" w:eastAsia="zh-CN"/>
              </w:rPr>
              <w:t xml:space="preserve">2</w:t>
            </w:r>
            <w:r/>
          </w:p>
        </w:tc>
        <w:tc>
          <w:tcPr>
            <w:tcW w:w="1920" w:type="dxa"/>
            <w:textDirection w:val="lrTb"/>
            <w:noWrap w:val="false"/>
          </w:tcPr>
          <w:p>
            <w:pPr>
              <w:spacing w:before="240" w:after="240" w:line="300" w:lineRule="exact"/>
              <w:rPr>
                <w:rFonts w:ascii="宋体" w:hAnsi="宋体" w:eastAsia="宋体" w:cs="Times New Roman"/>
                <w:color w:val="auto"/>
                <w:sz w:val="24"/>
                <w:szCs w:val="24"/>
                <w:highlight w:val="none"/>
                <w:shd w:val="clear" w:color="auto" w:fill="ffffff"/>
              </w:rPr>
            </w:pPr>
            <w:r>
              <w:rPr>
                <w:rFonts w:hint="eastAsia" w:ascii="宋体" w:hAnsi="宋体" w:cs="Times New Roman"/>
                <w:color w:val="auto"/>
                <w:sz w:val="24"/>
                <w:highlight w:val="none"/>
                <w:lang w:eastAsia="zh-CN"/>
              </w:rPr>
              <w:t xml:space="preserve">合同履行期限</w:t>
            </w:r>
            <w:r/>
          </w:p>
        </w:tc>
        <w:tc>
          <w:tcPr>
            <w:tcW w:w="2400" w:type="dxa"/>
            <w:textDirection w:val="lrTb"/>
            <w:noWrap w:val="false"/>
          </w:tcPr>
          <w:p>
            <w:pPr>
              <w:spacing w:before="240" w:after="240" w:line="300" w:lineRule="exact"/>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r>
            <w:r/>
          </w:p>
        </w:tc>
        <w:tc>
          <w:tcPr>
            <w:tcW w:w="2400" w:type="dxa"/>
            <w:textDirection w:val="lrTb"/>
            <w:noWrap w:val="false"/>
          </w:tcPr>
          <w:p>
            <w:pPr>
              <w:spacing w:before="240" w:after="240" w:line="300" w:lineRule="exact"/>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r>
            <w:r/>
          </w:p>
        </w:tc>
        <w:tc>
          <w:tcPr>
            <w:tcW w:w="1097" w:type="dxa"/>
            <w:textDirection w:val="lrTb"/>
            <w:noWrap w:val="false"/>
          </w:tcPr>
          <w:p>
            <w:pPr>
              <w:spacing w:before="240" w:after="240" w:line="300" w:lineRule="exact"/>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r>
            <w:r/>
          </w:p>
        </w:tc>
      </w:tr>
      <w:tr>
        <w:trPr>
          <w:jc w:val="center"/>
        </w:trPr>
        <w:tc>
          <w:tcPr>
            <w:tcW w:w="1430" w:type="dxa"/>
            <w:textDirection w:val="lrTb"/>
            <w:noWrap w:val="false"/>
          </w:tcPr>
          <w:p>
            <w:pPr>
              <w:spacing w:before="240" w:after="240" w:line="300" w:lineRule="exact"/>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r>
            <w:r/>
          </w:p>
        </w:tc>
        <w:tc>
          <w:tcPr>
            <w:tcW w:w="1920" w:type="dxa"/>
            <w:textDirection w:val="lrTb"/>
            <w:noWrap w:val="false"/>
          </w:tcPr>
          <w:p>
            <w:pPr>
              <w:spacing w:before="240" w:after="240" w:line="300" w:lineRule="exact"/>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r>
            <w:r/>
          </w:p>
        </w:tc>
        <w:tc>
          <w:tcPr>
            <w:tcW w:w="2400" w:type="dxa"/>
            <w:textDirection w:val="lrTb"/>
            <w:noWrap w:val="false"/>
          </w:tcPr>
          <w:p>
            <w:pPr>
              <w:spacing w:before="240" w:after="240" w:line="300" w:lineRule="exact"/>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r>
            <w:r/>
          </w:p>
        </w:tc>
        <w:tc>
          <w:tcPr>
            <w:tcW w:w="2400" w:type="dxa"/>
            <w:textDirection w:val="lrTb"/>
            <w:noWrap w:val="false"/>
          </w:tcPr>
          <w:p>
            <w:pPr>
              <w:spacing w:before="240" w:after="240" w:line="300" w:lineRule="exact"/>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r>
            <w:r/>
          </w:p>
        </w:tc>
        <w:tc>
          <w:tcPr>
            <w:tcW w:w="1097" w:type="dxa"/>
            <w:textDirection w:val="lrTb"/>
            <w:noWrap w:val="false"/>
          </w:tcPr>
          <w:p>
            <w:pPr>
              <w:spacing w:before="240" w:after="240" w:line="300" w:lineRule="exact"/>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r>
            <w:r/>
          </w:p>
        </w:tc>
      </w:tr>
      <w:tr>
        <w:trPr>
          <w:jc w:val="center"/>
        </w:trPr>
        <w:tc>
          <w:tcPr>
            <w:tcW w:w="1430" w:type="dxa"/>
            <w:textDirection w:val="lrTb"/>
            <w:noWrap w:val="false"/>
          </w:tcPr>
          <w:p>
            <w:pPr>
              <w:spacing w:before="240" w:after="240" w:line="300" w:lineRule="exact"/>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r>
            <w:r/>
          </w:p>
        </w:tc>
        <w:tc>
          <w:tcPr>
            <w:tcW w:w="1920" w:type="dxa"/>
            <w:textDirection w:val="lrTb"/>
            <w:noWrap w:val="false"/>
          </w:tcPr>
          <w:p>
            <w:pPr>
              <w:spacing w:before="240" w:after="240" w:line="300" w:lineRule="exact"/>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r>
            <w:r/>
          </w:p>
        </w:tc>
        <w:tc>
          <w:tcPr>
            <w:tcW w:w="2400" w:type="dxa"/>
            <w:textDirection w:val="lrTb"/>
            <w:noWrap w:val="false"/>
          </w:tcPr>
          <w:p>
            <w:pPr>
              <w:spacing w:before="240" w:after="240" w:line="300" w:lineRule="exact"/>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r>
            <w:r/>
          </w:p>
        </w:tc>
        <w:tc>
          <w:tcPr>
            <w:tcW w:w="2400" w:type="dxa"/>
            <w:textDirection w:val="lrTb"/>
            <w:noWrap w:val="false"/>
          </w:tcPr>
          <w:p>
            <w:pPr>
              <w:spacing w:before="240" w:after="240" w:line="300" w:lineRule="exact"/>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r>
            <w:r/>
          </w:p>
        </w:tc>
        <w:tc>
          <w:tcPr>
            <w:tcW w:w="1097" w:type="dxa"/>
            <w:textDirection w:val="lrTb"/>
            <w:noWrap w:val="false"/>
          </w:tcPr>
          <w:p>
            <w:pPr>
              <w:spacing w:before="240" w:after="240" w:line="300" w:lineRule="exact"/>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r>
            <w:r/>
          </w:p>
        </w:tc>
      </w:tr>
      <w:tr>
        <w:trPr>
          <w:jc w:val="center"/>
        </w:trPr>
        <w:tc>
          <w:tcPr>
            <w:tcW w:w="1430" w:type="dxa"/>
            <w:textDirection w:val="lrTb"/>
            <w:noWrap w:val="false"/>
          </w:tcPr>
          <w:p>
            <w:pPr>
              <w:spacing w:before="240" w:after="240" w:line="300" w:lineRule="exact"/>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r>
            <w:r/>
          </w:p>
        </w:tc>
        <w:tc>
          <w:tcPr>
            <w:tcW w:w="1920" w:type="dxa"/>
            <w:textDirection w:val="lrTb"/>
            <w:noWrap w:val="false"/>
          </w:tcPr>
          <w:p>
            <w:pPr>
              <w:spacing w:before="240" w:after="240" w:line="300" w:lineRule="exact"/>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r>
            <w:r/>
          </w:p>
        </w:tc>
        <w:tc>
          <w:tcPr>
            <w:tcW w:w="2400" w:type="dxa"/>
            <w:textDirection w:val="lrTb"/>
            <w:noWrap w:val="false"/>
          </w:tcPr>
          <w:p>
            <w:pPr>
              <w:spacing w:before="240" w:after="240" w:line="300" w:lineRule="exact"/>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r>
            <w:r/>
          </w:p>
        </w:tc>
        <w:tc>
          <w:tcPr>
            <w:tcW w:w="2400" w:type="dxa"/>
            <w:textDirection w:val="lrTb"/>
            <w:noWrap w:val="false"/>
          </w:tcPr>
          <w:p>
            <w:pPr>
              <w:spacing w:before="240" w:after="240" w:line="300" w:lineRule="exact"/>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r>
            <w:r/>
          </w:p>
        </w:tc>
        <w:tc>
          <w:tcPr>
            <w:tcW w:w="1097" w:type="dxa"/>
            <w:textDirection w:val="lrTb"/>
            <w:noWrap w:val="false"/>
          </w:tcPr>
          <w:p>
            <w:pPr>
              <w:spacing w:before="240" w:after="240" w:line="300" w:lineRule="exact"/>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r>
            <w:r/>
          </w:p>
        </w:tc>
      </w:tr>
      <w:tr>
        <w:trPr>
          <w:jc w:val="center"/>
        </w:trPr>
        <w:tc>
          <w:tcPr>
            <w:tcW w:w="1430" w:type="dxa"/>
            <w:textDirection w:val="lrTb"/>
            <w:noWrap w:val="false"/>
          </w:tcPr>
          <w:p>
            <w:pPr>
              <w:spacing w:before="240" w:after="240" w:line="300" w:lineRule="exact"/>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r>
            <w:r/>
          </w:p>
        </w:tc>
        <w:tc>
          <w:tcPr>
            <w:tcW w:w="1920" w:type="dxa"/>
            <w:textDirection w:val="lrTb"/>
            <w:noWrap w:val="false"/>
          </w:tcPr>
          <w:p>
            <w:pPr>
              <w:spacing w:before="240" w:after="240" w:line="300" w:lineRule="exact"/>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r>
            <w:r/>
          </w:p>
        </w:tc>
        <w:tc>
          <w:tcPr>
            <w:tcW w:w="2400" w:type="dxa"/>
            <w:textDirection w:val="lrTb"/>
            <w:noWrap w:val="false"/>
          </w:tcPr>
          <w:p>
            <w:pPr>
              <w:spacing w:before="240" w:after="240" w:line="300" w:lineRule="exact"/>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r>
            <w:r/>
          </w:p>
        </w:tc>
        <w:tc>
          <w:tcPr>
            <w:tcW w:w="2400" w:type="dxa"/>
            <w:textDirection w:val="lrTb"/>
            <w:noWrap w:val="false"/>
          </w:tcPr>
          <w:p>
            <w:pPr>
              <w:spacing w:before="240" w:after="240" w:line="300" w:lineRule="exact"/>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r>
            <w:r/>
          </w:p>
        </w:tc>
        <w:tc>
          <w:tcPr>
            <w:tcW w:w="1097" w:type="dxa"/>
            <w:textDirection w:val="lrTb"/>
            <w:noWrap w:val="false"/>
          </w:tcPr>
          <w:p>
            <w:pPr>
              <w:spacing w:before="240" w:after="240" w:line="300" w:lineRule="exact"/>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r>
            <w:r/>
          </w:p>
        </w:tc>
      </w:tr>
      <w:tr>
        <w:trPr>
          <w:jc w:val="center"/>
        </w:trPr>
        <w:tc>
          <w:tcPr>
            <w:tcW w:w="1430" w:type="dxa"/>
            <w:textDirection w:val="lrTb"/>
            <w:noWrap w:val="false"/>
          </w:tcPr>
          <w:p>
            <w:pPr>
              <w:spacing w:before="240" w:after="240" w:line="300" w:lineRule="exact"/>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r>
            <w:r/>
          </w:p>
        </w:tc>
        <w:tc>
          <w:tcPr>
            <w:tcW w:w="1920" w:type="dxa"/>
            <w:textDirection w:val="lrTb"/>
            <w:noWrap w:val="false"/>
          </w:tcPr>
          <w:p>
            <w:pPr>
              <w:spacing w:before="240" w:after="240" w:line="300" w:lineRule="exact"/>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r>
            <w:r/>
          </w:p>
        </w:tc>
        <w:tc>
          <w:tcPr>
            <w:tcW w:w="2400" w:type="dxa"/>
            <w:textDirection w:val="lrTb"/>
            <w:noWrap w:val="false"/>
          </w:tcPr>
          <w:p>
            <w:pPr>
              <w:spacing w:before="240" w:after="240" w:line="300" w:lineRule="exact"/>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r>
            <w:r/>
          </w:p>
        </w:tc>
        <w:tc>
          <w:tcPr>
            <w:tcW w:w="2400" w:type="dxa"/>
            <w:textDirection w:val="lrTb"/>
            <w:noWrap w:val="false"/>
          </w:tcPr>
          <w:p>
            <w:pPr>
              <w:spacing w:before="240" w:after="240" w:line="300" w:lineRule="exact"/>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r>
            <w:r/>
          </w:p>
        </w:tc>
        <w:tc>
          <w:tcPr>
            <w:tcW w:w="1097" w:type="dxa"/>
            <w:textDirection w:val="lrTb"/>
            <w:noWrap w:val="false"/>
          </w:tcPr>
          <w:p>
            <w:pPr>
              <w:spacing w:before="240" w:after="240" w:line="300" w:lineRule="exact"/>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r>
            <w:r/>
          </w:p>
        </w:tc>
      </w:tr>
      <w:tr>
        <w:trPr>
          <w:jc w:val="center"/>
        </w:trPr>
        <w:tc>
          <w:tcPr>
            <w:tcW w:w="1430" w:type="dxa"/>
            <w:textDirection w:val="lrTb"/>
            <w:noWrap w:val="false"/>
          </w:tcPr>
          <w:p>
            <w:pPr>
              <w:spacing w:before="240" w:after="240" w:line="300" w:lineRule="exact"/>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r>
            <w:r/>
          </w:p>
        </w:tc>
        <w:tc>
          <w:tcPr>
            <w:tcW w:w="1920" w:type="dxa"/>
            <w:textDirection w:val="lrTb"/>
            <w:noWrap w:val="false"/>
          </w:tcPr>
          <w:p>
            <w:pPr>
              <w:spacing w:before="240" w:after="240" w:line="300" w:lineRule="exact"/>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r>
            <w:r/>
          </w:p>
        </w:tc>
        <w:tc>
          <w:tcPr>
            <w:tcW w:w="2400" w:type="dxa"/>
            <w:textDirection w:val="lrTb"/>
            <w:noWrap w:val="false"/>
          </w:tcPr>
          <w:p>
            <w:pPr>
              <w:spacing w:before="240" w:after="240" w:line="300" w:lineRule="exact"/>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r>
            <w:r/>
          </w:p>
        </w:tc>
        <w:tc>
          <w:tcPr>
            <w:tcW w:w="2400" w:type="dxa"/>
            <w:textDirection w:val="lrTb"/>
            <w:noWrap w:val="false"/>
          </w:tcPr>
          <w:p>
            <w:pPr>
              <w:spacing w:before="240" w:after="240" w:line="300" w:lineRule="exact"/>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r>
            <w:r/>
          </w:p>
        </w:tc>
        <w:tc>
          <w:tcPr>
            <w:tcW w:w="1097" w:type="dxa"/>
            <w:textDirection w:val="lrTb"/>
            <w:noWrap w:val="false"/>
          </w:tcPr>
          <w:p>
            <w:pPr>
              <w:spacing w:before="240" w:after="240" w:line="300" w:lineRule="exact"/>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r>
            <w:r/>
          </w:p>
        </w:tc>
      </w:tr>
      <w:tr>
        <w:trPr>
          <w:jc w:val="center"/>
        </w:trPr>
        <w:tc>
          <w:tcPr>
            <w:tcW w:w="1430" w:type="dxa"/>
            <w:textDirection w:val="lrTb"/>
            <w:noWrap w:val="false"/>
          </w:tcPr>
          <w:p>
            <w:pPr>
              <w:spacing w:before="240" w:after="240" w:line="300" w:lineRule="exact"/>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r>
            <w:r/>
          </w:p>
        </w:tc>
        <w:tc>
          <w:tcPr>
            <w:tcW w:w="1920" w:type="dxa"/>
            <w:textDirection w:val="lrTb"/>
            <w:noWrap w:val="false"/>
          </w:tcPr>
          <w:p>
            <w:pPr>
              <w:spacing w:before="240" w:after="240" w:line="300" w:lineRule="exact"/>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r>
            <w:r/>
          </w:p>
        </w:tc>
        <w:tc>
          <w:tcPr>
            <w:tcW w:w="2400" w:type="dxa"/>
            <w:textDirection w:val="lrTb"/>
            <w:noWrap w:val="false"/>
          </w:tcPr>
          <w:p>
            <w:pPr>
              <w:spacing w:before="240" w:after="240" w:line="300" w:lineRule="exact"/>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r>
            <w:r/>
          </w:p>
        </w:tc>
        <w:tc>
          <w:tcPr>
            <w:tcW w:w="2400" w:type="dxa"/>
            <w:textDirection w:val="lrTb"/>
            <w:noWrap w:val="false"/>
          </w:tcPr>
          <w:p>
            <w:pPr>
              <w:spacing w:before="240" w:after="240" w:line="300" w:lineRule="exact"/>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r>
            <w:r/>
          </w:p>
        </w:tc>
        <w:tc>
          <w:tcPr>
            <w:tcW w:w="1097" w:type="dxa"/>
            <w:textDirection w:val="lrTb"/>
            <w:noWrap w:val="false"/>
          </w:tcPr>
          <w:p>
            <w:pPr>
              <w:spacing w:before="240" w:after="240" w:line="300" w:lineRule="exact"/>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r>
            <w:r/>
          </w:p>
        </w:tc>
      </w:tr>
      <w:tr>
        <w:trPr>
          <w:jc w:val="center"/>
        </w:trPr>
        <w:tc>
          <w:tcPr>
            <w:tcW w:w="1430" w:type="dxa"/>
            <w:textDirection w:val="lrTb"/>
            <w:noWrap w:val="false"/>
          </w:tcPr>
          <w:p>
            <w:pPr>
              <w:spacing w:before="240" w:after="240" w:line="300" w:lineRule="exact"/>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r>
            <w:r/>
          </w:p>
        </w:tc>
        <w:tc>
          <w:tcPr>
            <w:tcW w:w="1920" w:type="dxa"/>
            <w:textDirection w:val="lrTb"/>
            <w:noWrap w:val="false"/>
          </w:tcPr>
          <w:p>
            <w:pPr>
              <w:spacing w:before="240" w:after="240" w:line="300" w:lineRule="exact"/>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r>
            <w:r/>
          </w:p>
        </w:tc>
        <w:tc>
          <w:tcPr>
            <w:tcW w:w="2400" w:type="dxa"/>
            <w:textDirection w:val="lrTb"/>
            <w:noWrap w:val="false"/>
          </w:tcPr>
          <w:p>
            <w:pPr>
              <w:spacing w:before="240" w:after="240" w:line="300" w:lineRule="exact"/>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r>
            <w:r/>
          </w:p>
        </w:tc>
        <w:tc>
          <w:tcPr>
            <w:tcW w:w="2400" w:type="dxa"/>
            <w:textDirection w:val="lrTb"/>
            <w:noWrap w:val="false"/>
          </w:tcPr>
          <w:p>
            <w:pPr>
              <w:spacing w:before="240" w:after="240" w:line="300" w:lineRule="exact"/>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r>
            <w:r/>
          </w:p>
        </w:tc>
        <w:tc>
          <w:tcPr>
            <w:tcW w:w="1097" w:type="dxa"/>
            <w:textDirection w:val="lrTb"/>
            <w:noWrap w:val="false"/>
          </w:tcPr>
          <w:p>
            <w:pPr>
              <w:spacing w:before="240" w:after="240" w:line="300" w:lineRule="exact"/>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r>
            <w:r/>
          </w:p>
        </w:tc>
      </w:tr>
    </w:tbl>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注：供应商的投标文件（除服务要求部分）与招标文件规定的有偏离的，应在此表中说明。未在上表中说明的，如在响应文件其他内容中已有文字说明的，则以已有文字说明为准，否则，将被认为完全响应招标文件的规定。但该表不作为供应商对所投标的物关于商务条款等详细描述和说明的替代。</w:t>
      </w:r>
      <w:r/>
    </w:p>
    <w:p>
      <w:pPr>
        <w:spacing w:line="360" w:lineRule="auto"/>
        <w:rPr>
          <w:rFonts w:ascii="宋体" w:hAnsi="宋体" w:eastAsia="宋体" w:cs="Times New Roman"/>
          <w:b/>
          <w:color w:val="auto"/>
          <w:sz w:val="24"/>
          <w:szCs w:val="24"/>
          <w:highlight w:val="none"/>
          <w:shd w:val="clear" w:color="auto" w:fill="ffffff"/>
        </w:rPr>
      </w:pPr>
      <w:r>
        <w:rPr>
          <w:rFonts w:ascii="宋体" w:hAnsi="宋体" w:eastAsia="宋体" w:cs="Times New Roman"/>
          <w:b/>
          <w:color w:val="auto"/>
          <w:sz w:val="24"/>
          <w:szCs w:val="24"/>
          <w:highlight w:val="none"/>
          <w:shd w:val="clear" w:color="auto" w:fill="ffffff"/>
        </w:rPr>
      </w:r>
      <w:r/>
    </w:p>
    <w:p>
      <w:pPr>
        <w:ind w:right="105" w:firstLine="210"/>
        <w:jc w:val="right"/>
        <w:spacing w:line="360" w:lineRule="auto"/>
        <w:rPr>
          <w:rFonts w:ascii="Times New Roman"/>
          <w:color w:val="auto"/>
          <w:szCs w:val="21"/>
          <w:highlight w:val="none"/>
        </w:rPr>
      </w:pPr>
      <w:r>
        <w:rPr>
          <w:rFonts w:ascii="Times New Roman"/>
          <w:color w:val="auto"/>
          <w:szCs w:val="21"/>
          <w:highlight w:val="none"/>
        </w:rPr>
        <w:t xml:space="preserve">供应商名称：（加盖CA电子公章）</w:t>
      </w:r>
      <w:r/>
    </w:p>
    <w:p>
      <w:pPr>
        <w:ind w:right="420" w:firstLine="210"/>
        <w:jc w:val="right"/>
        <w:spacing w:line="360" w:lineRule="auto"/>
        <w:rPr>
          <w:rFonts w:ascii="Times New Roman"/>
          <w:color w:val="auto"/>
          <w:szCs w:val="21"/>
          <w:highlight w:val="none"/>
        </w:rPr>
      </w:pPr>
      <w:r>
        <w:rPr>
          <w:rFonts w:ascii="Times New Roman"/>
          <w:color w:val="auto"/>
          <w:szCs w:val="21"/>
          <w:highlight w:val="none"/>
        </w:rPr>
        <w:t xml:space="preserve">日期：　　　年　　月　　日</w:t>
      </w:r>
      <w:r/>
    </w:p>
    <w:p>
      <w:pPr>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br w:type="page" w:clear="all"/>
      </w:r>
      <w:r/>
    </w:p>
    <w:p>
      <w:pPr>
        <w:spacing w:line="360" w:lineRule="auto"/>
        <w:rPr>
          <w:rFonts w:ascii="宋体" w:hAnsi="宋体" w:eastAsia="宋体" w:cs="Times New Roman"/>
          <w:b/>
          <w:color w:val="auto"/>
          <w:sz w:val="24"/>
          <w:szCs w:val="24"/>
          <w:highlight w:val="none"/>
          <w:shd w:val="clear" w:color="auto" w:fill="ffffff"/>
        </w:rPr>
        <w:outlineLvl w:val="1"/>
      </w:pPr>
      <w:r>
        <w:rPr>
          <w:rFonts w:hint="eastAsia" w:ascii="宋体" w:hAnsi="宋体" w:eastAsia="宋体" w:cs="Times New Roman"/>
          <w:b/>
          <w:color w:val="auto"/>
          <w:sz w:val="24"/>
          <w:szCs w:val="24"/>
          <w:highlight w:val="none"/>
          <w:shd w:val="clear" w:color="auto" w:fill="ffffff"/>
          <w:lang w:val="en-US" w:eastAsia="zh-CN"/>
        </w:rPr>
        <w:t xml:space="preserve">7</w:t>
      </w:r>
      <w:r>
        <w:rPr>
          <w:rFonts w:ascii="宋体" w:hAnsi="宋体" w:eastAsia="宋体" w:cs="Times New Roman"/>
          <w:b/>
          <w:color w:val="auto"/>
          <w:sz w:val="24"/>
          <w:szCs w:val="24"/>
          <w:highlight w:val="none"/>
          <w:shd w:val="clear" w:color="auto" w:fill="ffffff"/>
        </w:rPr>
        <w:t xml:space="preserve">、</w:t>
      </w:r>
      <w:r>
        <w:rPr>
          <w:rFonts w:hint="eastAsia" w:ascii="宋体" w:hAnsi="宋体" w:eastAsia="宋体" w:cs="Times New Roman"/>
          <w:b/>
          <w:color w:val="auto"/>
          <w:sz w:val="24"/>
          <w:szCs w:val="24"/>
          <w:highlight w:val="none"/>
          <w:shd w:val="clear" w:color="auto" w:fill="ffffff"/>
        </w:rPr>
        <w:t xml:space="preserve">拟投入项目组人员一览表</w:t>
      </w:r>
      <w:r/>
    </w:p>
    <w:p>
      <w:pPr>
        <w:pStyle w:val="1041"/>
        <w:jc w:val="center"/>
        <w:spacing w:line="360" w:lineRule="auto"/>
        <w:rPr>
          <w:rFonts w:hint="eastAsia" w:ascii="宋体" w:hAnsi="宋体" w:eastAsia="宋体" w:cs="宋体"/>
          <w:b/>
          <w:bCs/>
          <w:color w:val="auto"/>
          <w:sz w:val="30"/>
          <w:szCs w:val="30"/>
          <w:highlight w:val="none"/>
        </w:rPr>
      </w:pPr>
      <w:r>
        <w:rPr>
          <w:rFonts w:hint="eastAsia" w:ascii="宋体" w:hAnsi="宋体" w:eastAsia="宋体" w:cs="宋体"/>
          <w:b/>
          <w:bCs/>
          <w:color w:val="auto"/>
          <w:sz w:val="28"/>
          <w:szCs w:val="28"/>
          <w:highlight w:val="none"/>
        </w:rPr>
        <w:t xml:space="preserve">项目组人员一览表</w:t>
      </w:r>
      <w:r/>
    </w:p>
    <w:tbl>
      <w:tblPr>
        <w:tblStyle w:val="959"/>
        <w:tblpPr w:horzAnchor="margin" w:tblpXSpec="center" w:vertAnchor="text" w:tblpY="286"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3"/>
        <w:gridCol w:w="1989"/>
        <w:gridCol w:w="1171"/>
        <w:gridCol w:w="867"/>
        <w:gridCol w:w="900"/>
        <w:gridCol w:w="2556"/>
      </w:tblGrid>
      <w:tr>
        <w:trPr>
          <w:trHeight w:val="555"/>
        </w:trPr>
        <w:tc>
          <w:tcPr>
            <w:tcW w:w="1123" w:type="dxa"/>
            <w:vAlign w:val="center"/>
            <w:textDirection w:val="lrTb"/>
            <w:noWrap w:val="false"/>
          </w:tcPr>
          <w:p>
            <w:pPr>
              <w:jc w:val="center"/>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姓名</w:t>
            </w:r>
            <w:r/>
          </w:p>
        </w:tc>
        <w:tc>
          <w:tcPr>
            <w:tcW w:w="1989" w:type="dxa"/>
            <w:vAlign w:val="center"/>
            <w:textDirection w:val="lrTb"/>
            <w:noWrap w:val="false"/>
          </w:tcPr>
          <w:p>
            <w:pPr>
              <w:jc w:val="center"/>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本项目拟任职务</w:t>
            </w:r>
            <w:r/>
          </w:p>
        </w:tc>
        <w:tc>
          <w:tcPr>
            <w:tcW w:w="1171" w:type="dxa"/>
            <w:vAlign w:val="center"/>
            <w:textDirection w:val="lrTb"/>
            <w:noWrap w:val="false"/>
          </w:tcPr>
          <w:p>
            <w:pPr>
              <w:jc w:val="center"/>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技术职称</w:t>
            </w:r>
            <w:r/>
          </w:p>
        </w:tc>
        <w:tc>
          <w:tcPr>
            <w:tcW w:w="867" w:type="dxa"/>
            <w:vAlign w:val="center"/>
            <w:textDirection w:val="lrTb"/>
            <w:noWrap w:val="false"/>
          </w:tcPr>
          <w:p>
            <w:pPr>
              <w:jc w:val="center"/>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年龄</w:t>
            </w:r>
            <w:r/>
          </w:p>
        </w:tc>
        <w:tc>
          <w:tcPr>
            <w:tcW w:w="900" w:type="dxa"/>
            <w:vAlign w:val="center"/>
            <w:textDirection w:val="lrTb"/>
            <w:noWrap w:val="false"/>
          </w:tcPr>
          <w:p>
            <w:pPr>
              <w:jc w:val="center"/>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学历</w:t>
            </w:r>
            <w:r/>
          </w:p>
        </w:tc>
        <w:tc>
          <w:tcPr>
            <w:tcW w:w="2556" w:type="dxa"/>
            <w:vAlign w:val="center"/>
            <w:textDirection w:val="lrTb"/>
            <w:noWrap w:val="false"/>
          </w:tcPr>
          <w:p>
            <w:pPr>
              <w:jc w:val="center"/>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主要资历及担任过的职务</w:t>
            </w:r>
            <w:r/>
          </w:p>
        </w:tc>
      </w:tr>
      <w:tr>
        <w:trPr>
          <w:trHeight w:val="555"/>
        </w:trPr>
        <w:tc>
          <w:tcPr>
            <w:tcW w:w="1123" w:type="dxa"/>
            <w:vAlign w:val="center"/>
            <w:textDirection w:val="lrTb"/>
            <w:noWrap w:val="false"/>
          </w:tcPr>
          <w:p>
            <w:pPr>
              <w:jc w:val="center"/>
              <w:spacing w:line="5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89" w:type="dxa"/>
            <w:vAlign w:val="center"/>
            <w:textDirection w:val="lrTb"/>
            <w:noWrap w:val="false"/>
          </w:tcPr>
          <w:p>
            <w:pPr>
              <w:jc w:val="center"/>
              <w:spacing w:line="5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71" w:type="dxa"/>
            <w:vAlign w:val="center"/>
            <w:textDirection w:val="lrTb"/>
            <w:noWrap w:val="false"/>
          </w:tcPr>
          <w:p>
            <w:pPr>
              <w:jc w:val="center"/>
              <w:spacing w:line="5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67" w:type="dxa"/>
            <w:vAlign w:val="center"/>
            <w:textDirection w:val="lrTb"/>
            <w:noWrap w:val="false"/>
          </w:tcPr>
          <w:p>
            <w:pPr>
              <w:jc w:val="center"/>
              <w:spacing w:line="5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00" w:type="dxa"/>
            <w:vAlign w:val="center"/>
            <w:textDirection w:val="lrTb"/>
            <w:noWrap w:val="false"/>
          </w:tcPr>
          <w:p>
            <w:pPr>
              <w:jc w:val="center"/>
              <w:spacing w:line="5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56" w:type="dxa"/>
            <w:vAlign w:val="center"/>
            <w:textDirection w:val="lrTb"/>
            <w:noWrap w:val="false"/>
          </w:tcPr>
          <w:p>
            <w:pPr>
              <w:jc w:val="center"/>
              <w:spacing w:line="5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55"/>
        </w:trPr>
        <w:tc>
          <w:tcPr>
            <w:tcW w:w="1123" w:type="dxa"/>
            <w:vAlign w:val="center"/>
            <w:textDirection w:val="lrTb"/>
            <w:noWrap w:val="false"/>
          </w:tcPr>
          <w:p>
            <w:pPr>
              <w:jc w:val="center"/>
              <w:spacing w:line="5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89" w:type="dxa"/>
            <w:vAlign w:val="center"/>
            <w:textDirection w:val="lrTb"/>
            <w:noWrap w:val="false"/>
          </w:tcPr>
          <w:p>
            <w:pPr>
              <w:jc w:val="center"/>
              <w:spacing w:line="5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71" w:type="dxa"/>
            <w:vAlign w:val="center"/>
            <w:textDirection w:val="lrTb"/>
            <w:noWrap w:val="false"/>
          </w:tcPr>
          <w:p>
            <w:pPr>
              <w:jc w:val="center"/>
              <w:spacing w:line="5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67" w:type="dxa"/>
            <w:vAlign w:val="center"/>
            <w:textDirection w:val="lrTb"/>
            <w:noWrap w:val="false"/>
          </w:tcPr>
          <w:p>
            <w:pPr>
              <w:jc w:val="center"/>
              <w:spacing w:line="5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00" w:type="dxa"/>
            <w:vAlign w:val="center"/>
            <w:textDirection w:val="lrTb"/>
            <w:noWrap w:val="false"/>
          </w:tcPr>
          <w:p>
            <w:pPr>
              <w:jc w:val="center"/>
              <w:spacing w:line="5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56" w:type="dxa"/>
            <w:vAlign w:val="center"/>
            <w:textDirection w:val="lrTb"/>
            <w:noWrap w:val="false"/>
          </w:tcPr>
          <w:p>
            <w:pPr>
              <w:jc w:val="center"/>
              <w:spacing w:line="5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55"/>
        </w:trPr>
        <w:tc>
          <w:tcPr>
            <w:tcW w:w="1123" w:type="dxa"/>
            <w:vAlign w:val="center"/>
            <w:textDirection w:val="lrTb"/>
            <w:noWrap w:val="false"/>
          </w:tcPr>
          <w:p>
            <w:pPr>
              <w:jc w:val="center"/>
              <w:spacing w:line="5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89" w:type="dxa"/>
            <w:vAlign w:val="center"/>
            <w:textDirection w:val="lrTb"/>
            <w:noWrap w:val="false"/>
          </w:tcPr>
          <w:p>
            <w:pPr>
              <w:jc w:val="center"/>
              <w:spacing w:line="5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71" w:type="dxa"/>
            <w:vAlign w:val="center"/>
            <w:textDirection w:val="lrTb"/>
            <w:noWrap w:val="false"/>
          </w:tcPr>
          <w:p>
            <w:pPr>
              <w:jc w:val="center"/>
              <w:spacing w:line="5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67" w:type="dxa"/>
            <w:vAlign w:val="center"/>
            <w:textDirection w:val="lrTb"/>
            <w:noWrap w:val="false"/>
          </w:tcPr>
          <w:p>
            <w:pPr>
              <w:jc w:val="center"/>
              <w:spacing w:line="5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00" w:type="dxa"/>
            <w:vAlign w:val="center"/>
            <w:textDirection w:val="lrTb"/>
            <w:noWrap w:val="false"/>
          </w:tcPr>
          <w:p>
            <w:pPr>
              <w:jc w:val="center"/>
              <w:spacing w:line="5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56" w:type="dxa"/>
            <w:vAlign w:val="center"/>
            <w:textDirection w:val="lrTb"/>
            <w:noWrap w:val="false"/>
          </w:tcPr>
          <w:p>
            <w:pPr>
              <w:jc w:val="center"/>
              <w:spacing w:line="5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55"/>
        </w:trPr>
        <w:tc>
          <w:tcPr>
            <w:tcW w:w="1123" w:type="dxa"/>
            <w:vAlign w:val="center"/>
            <w:textDirection w:val="lrTb"/>
            <w:noWrap w:val="false"/>
          </w:tcPr>
          <w:p>
            <w:pPr>
              <w:jc w:val="center"/>
              <w:spacing w:line="5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89" w:type="dxa"/>
            <w:vAlign w:val="center"/>
            <w:textDirection w:val="lrTb"/>
            <w:noWrap w:val="false"/>
          </w:tcPr>
          <w:p>
            <w:pPr>
              <w:jc w:val="center"/>
              <w:spacing w:line="5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71" w:type="dxa"/>
            <w:vAlign w:val="center"/>
            <w:textDirection w:val="lrTb"/>
            <w:noWrap w:val="false"/>
          </w:tcPr>
          <w:p>
            <w:pPr>
              <w:jc w:val="center"/>
              <w:spacing w:line="5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67" w:type="dxa"/>
            <w:vAlign w:val="center"/>
            <w:textDirection w:val="lrTb"/>
            <w:noWrap w:val="false"/>
          </w:tcPr>
          <w:p>
            <w:pPr>
              <w:jc w:val="center"/>
              <w:spacing w:line="5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00" w:type="dxa"/>
            <w:vAlign w:val="center"/>
            <w:textDirection w:val="lrTb"/>
            <w:noWrap w:val="false"/>
          </w:tcPr>
          <w:p>
            <w:pPr>
              <w:jc w:val="center"/>
              <w:spacing w:line="5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56" w:type="dxa"/>
            <w:vAlign w:val="center"/>
            <w:textDirection w:val="lrTb"/>
            <w:noWrap w:val="false"/>
          </w:tcPr>
          <w:p>
            <w:pPr>
              <w:jc w:val="center"/>
              <w:spacing w:line="5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55"/>
        </w:trPr>
        <w:tc>
          <w:tcPr>
            <w:tcW w:w="1123" w:type="dxa"/>
            <w:vAlign w:val="center"/>
            <w:textDirection w:val="lrTb"/>
            <w:noWrap w:val="false"/>
          </w:tcPr>
          <w:p>
            <w:pPr>
              <w:jc w:val="center"/>
              <w:spacing w:line="5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89" w:type="dxa"/>
            <w:vAlign w:val="center"/>
            <w:textDirection w:val="lrTb"/>
            <w:noWrap w:val="false"/>
          </w:tcPr>
          <w:p>
            <w:pPr>
              <w:jc w:val="center"/>
              <w:spacing w:line="5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71" w:type="dxa"/>
            <w:vAlign w:val="center"/>
            <w:textDirection w:val="lrTb"/>
            <w:noWrap w:val="false"/>
          </w:tcPr>
          <w:p>
            <w:pPr>
              <w:jc w:val="center"/>
              <w:spacing w:line="5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67" w:type="dxa"/>
            <w:vAlign w:val="center"/>
            <w:textDirection w:val="lrTb"/>
            <w:noWrap w:val="false"/>
          </w:tcPr>
          <w:p>
            <w:pPr>
              <w:jc w:val="center"/>
              <w:spacing w:line="5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00" w:type="dxa"/>
            <w:vAlign w:val="center"/>
            <w:textDirection w:val="lrTb"/>
            <w:noWrap w:val="false"/>
          </w:tcPr>
          <w:p>
            <w:pPr>
              <w:jc w:val="center"/>
              <w:spacing w:line="5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56" w:type="dxa"/>
            <w:vAlign w:val="center"/>
            <w:textDirection w:val="lrTb"/>
            <w:noWrap w:val="false"/>
          </w:tcPr>
          <w:p>
            <w:pPr>
              <w:jc w:val="center"/>
              <w:spacing w:line="5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注：人员必须按本表承诺人员</w:t>
      </w:r>
      <w:r>
        <w:rPr>
          <w:rFonts w:hint="eastAsia" w:ascii="宋体" w:hAnsi="宋体" w:eastAsia="宋体" w:cs="宋体"/>
          <w:color w:val="auto"/>
          <w:sz w:val="21"/>
          <w:szCs w:val="21"/>
          <w:highlight w:val="none"/>
          <w:lang w:eastAsia="zh-CN"/>
        </w:rPr>
        <w:t xml:space="preserve">执行，</w:t>
      </w:r>
      <w:r>
        <w:rPr>
          <w:rFonts w:hint="eastAsia" w:ascii="宋体" w:hAnsi="宋体" w:eastAsia="宋体" w:cs="宋体"/>
          <w:color w:val="auto"/>
          <w:sz w:val="21"/>
          <w:szCs w:val="21"/>
          <w:highlight w:val="none"/>
        </w:rPr>
        <w:t xml:space="preserve">不得随意更换。</w:t>
      </w:r>
      <w:r/>
    </w:p>
    <w:p>
      <w:pPr>
        <w:ind w:left="422"/>
        <w:spacing w:line="400" w:lineRule="exact"/>
        <w:rPr>
          <w:rFonts w:cs="Arial" w:asciiTheme="minorEastAsia" w:hAnsiTheme="minorEastAsia"/>
          <w:color w:val="auto"/>
          <w:szCs w:val="21"/>
          <w:highlight w:val="none"/>
        </w:rPr>
      </w:pPr>
      <w:r>
        <w:rPr>
          <w:rFonts w:cs="Arial" w:asciiTheme="minorEastAsia" w:hAnsiTheme="minorEastAsia"/>
          <w:color w:val="auto"/>
          <w:szCs w:val="21"/>
          <w:highlight w:val="none"/>
        </w:rPr>
      </w:r>
      <w:r/>
    </w:p>
    <w:p>
      <w:pPr>
        <w:ind w:left="422"/>
        <w:spacing w:line="400" w:lineRule="exact"/>
        <w:rPr>
          <w:rFonts w:cs="Arial" w:asciiTheme="minorEastAsia" w:hAnsiTheme="minorEastAsia"/>
          <w:color w:val="auto"/>
          <w:szCs w:val="21"/>
          <w:highlight w:val="none"/>
        </w:rPr>
      </w:pPr>
      <w:r>
        <w:rPr>
          <w:rFonts w:cs="Arial" w:asciiTheme="minorEastAsia" w:hAnsiTheme="minorEastAsia"/>
          <w:color w:val="auto"/>
          <w:szCs w:val="21"/>
          <w:highlight w:val="none"/>
        </w:rPr>
        <w:t xml:space="preserve">投标人：（</w:t>
      </w:r>
      <w:r>
        <w:rPr>
          <w:rFonts w:hint="eastAsia" w:cs="Arial" w:asciiTheme="minorEastAsia" w:hAnsiTheme="minorEastAsia"/>
          <w:color w:val="auto"/>
          <w:szCs w:val="21"/>
          <w:highlight w:val="none"/>
        </w:rPr>
        <w:t xml:space="preserve">加盖CA电子公章</w:t>
      </w:r>
      <w:r>
        <w:rPr>
          <w:rFonts w:cs="Arial" w:asciiTheme="minorEastAsia" w:hAnsiTheme="minorEastAsia"/>
          <w:color w:val="auto"/>
          <w:szCs w:val="21"/>
          <w:highlight w:val="none"/>
        </w:rPr>
        <w:t xml:space="preserve">）</w:t>
      </w:r>
      <w:r/>
    </w:p>
    <w:p>
      <w:pPr>
        <w:pStyle w:val="962"/>
        <w:ind w:firstLine="422"/>
        <w:spacing w:line="400" w:lineRule="exact"/>
        <w:rPr>
          <w:rFonts w:cs="Arial" w:asciiTheme="minorEastAsia" w:hAnsiTheme="minorEastAsia" w:eastAsiaTheme="minorEastAsia"/>
          <w:color w:val="auto"/>
          <w:sz w:val="21"/>
          <w:szCs w:val="21"/>
          <w:highlight w:val="none"/>
        </w:rPr>
      </w:pPr>
      <w:r>
        <w:rPr>
          <w:rFonts w:cs="Arial" w:asciiTheme="minorEastAsia" w:hAnsiTheme="minorEastAsia" w:eastAsiaTheme="minorEastAsia"/>
          <w:color w:val="auto"/>
          <w:sz w:val="21"/>
          <w:szCs w:val="21"/>
          <w:highlight w:val="none"/>
        </w:rPr>
        <w:t xml:space="preserve">法定代表人或代理人：</w:t>
      </w:r>
      <w:r>
        <w:rPr>
          <w:rFonts w:hint="eastAsia" w:cs="Arial" w:asciiTheme="minorEastAsia" w:hAnsiTheme="minorEastAsia" w:eastAsiaTheme="minorEastAsia"/>
          <w:color w:val="auto"/>
          <w:sz w:val="21"/>
          <w:szCs w:val="21"/>
          <w:highlight w:val="none"/>
        </w:rPr>
        <w:t xml:space="preserve">（签字或签章）</w:t>
      </w:r>
      <w:r/>
    </w:p>
    <w:p>
      <w:pPr>
        <w:pStyle w:val="962"/>
        <w:ind w:firstLine="422"/>
        <w:spacing w:line="400" w:lineRule="exact"/>
        <w:rPr>
          <w:rFonts w:cs="Arial" w:asciiTheme="minorEastAsia" w:hAnsiTheme="minorEastAsia" w:eastAsiaTheme="minorEastAsia"/>
          <w:color w:val="auto"/>
          <w:sz w:val="21"/>
          <w:szCs w:val="21"/>
          <w:highlight w:val="none"/>
        </w:rPr>
      </w:pPr>
      <w:r>
        <w:rPr>
          <w:rFonts w:cs="Arial" w:asciiTheme="minorEastAsia" w:hAnsiTheme="minorEastAsia" w:eastAsiaTheme="minorEastAsia"/>
          <w:color w:val="auto"/>
          <w:sz w:val="21"/>
          <w:szCs w:val="21"/>
          <w:highlight w:val="none"/>
        </w:rPr>
        <w:t xml:space="preserve">日期：     年     月    日</w:t>
      </w:r>
      <w:r/>
    </w:p>
    <w:p>
      <w:pPr>
        <w:ind w:firstLine="680"/>
        <w:jc w:val="center"/>
        <w:spacing w:line="400" w:lineRule="exact"/>
        <w:rPr>
          <w:rFonts w:cs="Arial" w:asciiTheme="minorEastAsia" w:hAnsiTheme="minorEastAsia"/>
          <w:b/>
          <w:bCs/>
          <w:color w:val="auto"/>
          <w:spacing w:val="20"/>
          <w:sz w:val="30"/>
          <w:szCs w:val="30"/>
          <w:highlight w:val="none"/>
        </w:rPr>
      </w:pPr>
      <w:r>
        <w:rPr>
          <w:rFonts w:cs="Arial" w:asciiTheme="minorEastAsia" w:hAnsiTheme="minorEastAsia"/>
          <w:b/>
          <w:bCs/>
          <w:color w:val="auto"/>
          <w:spacing w:val="20"/>
          <w:sz w:val="30"/>
          <w:szCs w:val="30"/>
          <w:highlight w:val="none"/>
        </w:rPr>
      </w:r>
      <w:r/>
    </w:p>
    <w:p>
      <w:pPr>
        <w:ind w:firstLine="680"/>
        <w:jc w:val="center"/>
        <w:spacing w:line="400" w:lineRule="exact"/>
        <w:rPr>
          <w:rFonts w:cs="Arial" w:asciiTheme="minorEastAsia" w:hAnsiTheme="minorEastAsia"/>
          <w:b/>
          <w:bCs/>
          <w:color w:val="auto"/>
          <w:spacing w:val="20"/>
          <w:sz w:val="30"/>
          <w:szCs w:val="30"/>
          <w:highlight w:val="none"/>
        </w:rPr>
      </w:pPr>
      <w:r>
        <w:rPr>
          <w:rFonts w:cs="Arial" w:asciiTheme="minorEastAsia" w:hAnsiTheme="minorEastAsia"/>
          <w:b/>
          <w:bCs/>
          <w:color w:val="auto"/>
          <w:spacing w:val="20"/>
          <w:sz w:val="30"/>
          <w:szCs w:val="30"/>
          <w:highlight w:val="none"/>
        </w:rPr>
      </w:r>
      <w:r/>
    </w:p>
    <w:p>
      <w:pPr>
        <w:ind w:firstLine="680"/>
        <w:jc w:val="center"/>
        <w:spacing w:line="400" w:lineRule="exact"/>
        <w:rPr>
          <w:rFonts w:cs="Arial" w:asciiTheme="minorEastAsia" w:hAnsiTheme="minorEastAsia"/>
          <w:b/>
          <w:bCs/>
          <w:color w:val="auto"/>
          <w:spacing w:val="20"/>
          <w:sz w:val="30"/>
          <w:szCs w:val="30"/>
          <w:highlight w:val="none"/>
        </w:rPr>
      </w:pPr>
      <w:r>
        <w:rPr>
          <w:rFonts w:cs="Arial" w:asciiTheme="minorEastAsia" w:hAnsiTheme="minorEastAsia"/>
          <w:b/>
          <w:bCs/>
          <w:color w:val="auto"/>
          <w:spacing w:val="20"/>
          <w:sz w:val="30"/>
          <w:szCs w:val="30"/>
          <w:highlight w:val="none"/>
        </w:rPr>
      </w:r>
      <w:r/>
    </w:p>
    <w:p>
      <w:pPr>
        <w:ind w:firstLine="680"/>
        <w:jc w:val="center"/>
        <w:spacing w:line="400" w:lineRule="exact"/>
        <w:rPr>
          <w:rFonts w:cs="Arial" w:asciiTheme="minorEastAsia" w:hAnsiTheme="minorEastAsia"/>
          <w:b/>
          <w:bCs/>
          <w:color w:val="auto"/>
          <w:spacing w:val="20"/>
          <w:sz w:val="30"/>
          <w:szCs w:val="30"/>
          <w:highlight w:val="none"/>
        </w:rPr>
      </w:pPr>
      <w:r>
        <w:rPr>
          <w:rFonts w:cs="Arial" w:asciiTheme="minorEastAsia" w:hAnsiTheme="minorEastAsia"/>
          <w:b/>
          <w:bCs/>
          <w:color w:val="auto"/>
          <w:spacing w:val="20"/>
          <w:sz w:val="30"/>
          <w:szCs w:val="30"/>
          <w:highlight w:val="none"/>
        </w:rPr>
      </w:r>
      <w:r/>
    </w:p>
    <w:p>
      <w:pPr>
        <w:ind w:firstLine="680"/>
        <w:jc w:val="center"/>
        <w:spacing w:line="400" w:lineRule="exact"/>
        <w:rPr>
          <w:rFonts w:cs="Arial" w:asciiTheme="minorEastAsia" w:hAnsiTheme="minorEastAsia"/>
          <w:b/>
          <w:bCs/>
          <w:color w:val="auto"/>
          <w:spacing w:val="20"/>
          <w:sz w:val="30"/>
          <w:szCs w:val="30"/>
          <w:highlight w:val="none"/>
        </w:rPr>
      </w:pPr>
      <w:r>
        <w:rPr>
          <w:rFonts w:cs="Arial" w:asciiTheme="minorEastAsia" w:hAnsiTheme="minorEastAsia"/>
          <w:b/>
          <w:bCs/>
          <w:color w:val="auto"/>
          <w:spacing w:val="20"/>
          <w:sz w:val="30"/>
          <w:szCs w:val="30"/>
          <w:highlight w:val="none"/>
        </w:rPr>
      </w:r>
      <w:r/>
    </w:p>
    <w:p>
      <w:pPr>
        <w:ind w:firstLine="680"/>
        <w:jc w:val="center"/>
        <w:spacing w:line="400" w:lineRule="exact"/>
        <w:rPr>
          <w:rFonts w:cs="Arial" w:asciiTheme="minorEastAsia" w:hAnsiTheme="minorEastAsia"/>
          <w:b/>
          <w:bCs/>
          <w:color w:val="auto"/>
          <w:spacing w:val="20"/>
          <w:sz w:val="30"/>
          <w:szCs w:val="30"/>
          <w:highlight w:val="none"/>
        </w:rPr>
      </w:pPr>
      <w:r>
        <w:rPr>
          <w:rFonts w:cs="Arial" w:asciiTheme="minorEastAsia" w:hAnsiTheme="minorEastAsia"/>
          <w:b/>
          <w:bCs/>
          <w:color w:val="auto"/>
          <w:spacing w:val="20"/>
          <w:sz w:val="30"/>
          <w:szCs w:val="30"/>
          <w:highlight w:val="none"/>
        </w:rPr>
      </w:r>
      <w:r/>
    </w:p>
    <w:p>
      <w:pPr>
        <w:ind w:firstLine="682"/>
        <w:jc w:val="center"/>
        <w:spacing w:line="400" w:lineRule="exact"/>
        <w:rPr>
          <w:rFonts w:cs="Arial" w:asciiTheme="minorEastAsia" w:hAnsiTheme="minorEastAsia"/>
          <w:b/>
          <w:bCs/>
          <w:color w:val="auto"/>
          <w:spacing w:val="20"/>
          <w:sz w:val="30"/>
          <w:szCs w:val="30"/>
          <w:highlight w:val="none"/>
        </w:rPr>
      </w:pPr>
      <w:r>
        <w:rPr>
          <w:rFonts w:cs="Arial" w:asciiTheme="minorEastAsia" w:hAnsiTheme="minorEastAsia"/>
          <w:b/>
          <w:bCs/>
          <w:color w:val="auto"/>
          <w:spacing w:val="20"/>
          <w:sz w:val="30"/>
          <w:szCs w:val="30"/>
          <w:highlight w:val="none"/>
        </w:rPr>
      </w:r>
      <w:r/>
    </w:p>
    <w:p>
      <w:pPr>
        <w:ind w:firstLine="682"/>
        <w:jc w:val="center"/>
        <w:spacing w:line="400" w:lineRule="exact"/>
        <w:rPr>
          <w:rFonts w:cs="Arial" w:asciiTheme="minorEastAsia" w:hAnsiTheme="minorEastAsia"/>
          <w:b/>
          <w:bCs/>
          <w:color w:val="auto"/>
          <w:spacing w:val="20"/>
          <w:sz w:val="30"/>
          <w:szCs w:val="30"/>
          <w:highlight w:val="none"/>
        </w:rPr>
      </w:pPr>
      <w:r>
        <w:rPr>
          <w:rFonts w:cs="Arial" w:asciiTheme="minorEastAsia" w:hAnsiTheme="minorEastAsia"/>
          <w:b/>
          <w:bCs/>
          <w:color w:val="auto"/>
          <w:spacing w:val="20"/>
          <w:sz w:val="30"/>
          <w:szCs w:val="30"/>
          <w:highlight w:val="none"/>
        </w:rPr>
      </w:r>
      <w:r/>
    </w:p>
    <w:p>
      <w:pPr>
        <w:ind w:firstLine="682"/>
        <w:jc w:val="center"/>
        <w:spacing w:line="400" w:lineRule="exact"/>
        <w:rPr>
          <w:rFonts w:cs="Arial" w:asciiTheme="minorEastAsia" w:hAnsiTheme="minorEastAsia"/>
          <w:b/>
          <w:bCs/>
          <w:color w:val="auto"/>
          <w:spacing w:val="20"/>
          <w:sz w:val="30"/>
          <w:szCs w:val="30"/>
          <w:highlight w:val="none"/>
        </w:rPr>
      </w:pPr>
      <w:r>
        <w:rPr>
          <w:rFonts w:cs="Arial" w:asciiTheme="minorEastAsia" w:hAnsiTheme="minorEastAsia"/>
          <w:b/>
          <w:bCs/>
          <w:color w:val="auto"/>
          <w:spacing w:val="20"/>
          <w:sz w:val="30"/>
          <w:szCs w:val="30"/>
          <w:highlight w:val="none"/>
        </w:rPr>
      </w:r>
      <w:r/>
    </w:p>
    <w:p>
      <w:pPr>
        <w:ind w:firstLine="682"/>
        <w:jc w:val="center"/>
        <w:spacing w:line="400" w:lineRule="exact"/>
        <w:rPr>
          <w:rFonts w:cs="Arial" w:asciiTheme="minorEastAsia" w:hAnsiTheme="minorEastAsia"/>
          <w:b/>
          <w:bCs/>
          <w:color w:val="auto"/>
          <w:spacing w:val="20"/>
          <w:sz w:val="30"/>
          <w:szCs w:val="30"/>
          <w:highlight w:val="none"/>
        </w:rPr>
      </w:pPr>
      <w:r>
        <w:rPr>
          <w:rFonts w:cs="Arial" w:asciiTheme="minorEastAsia" w:hAnsiTheme="minorEastAsia"/>
          <w:b/>
          <w:bCs/>
          <w:color w:val="auto"/>
          <w:spacing w:val="20"/>
          <w:sz w:val="30"/>
          <w:szCs w:val="30"/>
          <w:highlight w:val="none"/>
        </w:rPr>
      </w:r>
      <w:r/>
    </w:p>
    <w:p>
      <w:pPr>
        <w:ind w:firstLine="682"/>
        <w:jc w:val="center"/>
        <w:spacing w:line="400" w:lineRule="exact"/>
        <w:rPr>
          <w:rFonts w:cs="Arial" w:asciiTheme="minorEastAsia" w:hAnsiTheme="minorEastAsia"/>
          <w:b/>
          <w:bCs/>
          <w:color w:val="auto"/>
          <w:spacing w:val="20"/>
          <w:sz w:val="30"/>
          <w:szCs w:val="30"/>
          <w:highlight w:val="none"/>
        </w:rPr>
      </w:pPr>
      <w:r>
        <w:rPr>
          <w:rFonts w:cs="Arial" w:asciiTheme="minorEastAsia" w:hAnsiTheme="minorEastAsia"/>
          <w:b/>
          <w:bCs/>
          <w:color w:val="auto"/>
          <w:spacing w:val="20"/>
          <w:sz w:val="30"/>
          <w:szCs w:val="30"/>
          <w:highlight w:val="none"/>
        </w:rPr>
      </w:r>
      <w:r/>
    </w:p>
    <w:p>
      <w:pPr>
        <w:rPr>
          <w:rFonts w:ascii="宋体" w:hAnsi="宋体" w:eastAsia="宋体" w:cs="Times New Roman"/>
          <w:b/>
          <w:color w:val="auto"/>
          <w:sz w:val="24"/>
          <w:szCs w:val="21"/>
          <w:highlight w:val="none"/>
        </w:rPr>
      </w:pPr>
      <w:r>
        <w:rPr>
          <w:rFonts w:ascii="宋体" w:hAnsi="宋体" w:eastAsia="宋体" w:cs="Times New Roman"/>
          <w:b/>
          <w:color w:val="auto"/>
          <w:sz w:val="24"/>
          <w:szCs w:val="21"/>
          <w:highlight w:val="none"/>
        </w:rPr>
      </w:r>
      <w:r/>
    </w:p>
    <w:p>
      <w:pPr>
        <w:spacing w:line="360" w:lineRule="auto"/>
        <w:rPr>
          <w:rFonts w:hint="eastAsia" w:ascii="宋体" w:hAnsi="宋体" w:eastAsia="宋体" w:cs="Times New Roman"/>
          <w:b/>
          <w:color w:val="auto"/>
          <w:sz w:val="24"/>
          <w:szCs w:val="21"/>
          <w:highlight w:val="none"/>
        </w:rPr>
        <w:outlineLvl w:val="1"/>
      </w:pPr>
      <w:r>
        <w:rPr>
          <w:rFonts w:hint="eastAsia" w:ascii="宋体" w:hAnsi="宋体" w:eastAsia="宋体" w:cs="Times New Roman"/>
          <w:b/>
          <w:color w:val="auto"/>
          <w:sz w:val="24"/>
          <w:szCs w:val="21"/>
          <w:highlight w:val="none"/>
        </w:rPr>
      </w:r>
      <w:r/>
    </w:p>
    <w:p>
      <w:pPr>
        <w:spacing w:line="360" w:lineRule="auto"/>
        <w:rPr>
          <w:rFonts w:hint="eastAsia" w:ascii="宋体" w:hAnsi="宋体" w:eastAsia="宋体" w:cs="Times New Roman"/>
          <w:b/>
          <w:color w:val="auto"/>
          <w:sz w:val="24"/>
          <w:szCs w:val="21"/>
          <w:highlight w:val="none"/>
        </w:rPr>
        <w:outlineLvl w:val="1"/>
      </w:pPr>
      <w:r>
        <w:rPr>
          <w:rFonts w:hint="eastAsia" w:ascii="宋体" w:hAnsi="宋体" w:eastAsia="宋体" w:cs="Times New Roman"/>
          <w:b/>
          <w:color w:val="auto"/>
          <w:sz w:val="24"/>
          <w:szCs w:val="21"/>
          <w:highlight w:val="none"/>
        </w:rPr>
      </w:r>
      <w:r/>
    </w:p>
    <w:p>
      <w:pPr>
        <w:spacing w:line="360" w:lineRule="auto"/>
        <w:rPr>
          <w:rFonts w:hint="eastAsia" w:ascii="宋体" w:hAnsi="宋体" w:eastAsia="宋体" w:cs="Times New Roman"/>
          <w:b/>
          <w:color w:val="auto"/>
          <w:sz w:val="24"/>
          <w:szCs w:val="21"/>
          <w:highlight w:val="none"/>
        </w:rPr>
        <w:outlineLvl w:val="1"/>
      </w:pPr>
      <w:r>
        <w:rPr>
          <w:rFonts w:hint="eastAsia" w:ascii="宋体" w:hAnsi="宋体" w:eastAsia="宋体" w:cs="Times New Roman"/>
          <w:b/>
          <w:color w:val="auto"/>
          <w:sz w:val="24"/>
          <w:szCs w:val="21"/>
          <w:highlight w:val="none"/>
        </w:rPr>
      </w:r>
      <w:r/>
    </w:p>
    <w:p>
      <w:pPr>
        <w:spacing w:line="360" w:lineRule="auto"/>
        <w:rPr>
          <w:rFonts w:hint="eastAsia" w:ascii="宋体" w:hAnsi="宋体" w:eastAsia="宋体" w:cs="Times New Roman"/>
          <w:b/>
          <w:color w:val="auto"/>
          <w:sz w:val="24"/>
          <w:szCs w:val="21"/>
          <w:highlight w:val="none"/>
        </w:rPr>
        <w:outlineLvl w:val="1"/>
      </w:pPr>
      <w:r>
        <w:rPr>
          <w:rFonts w:hint="eastAsia" w:ascii="宋体" w:hAnsi="宋体" w:eastAsia="宋体" w:cs="Times New Roman"/>
          <w:b/>
          <w:color w:val="auto"/>
          <w:sz w:val="24"/>
          <w:szCs w:val="21"/>
          <w:highlight w:val="none"/>
        </w:rPr>
      </w:r>
      <w:r/>
    </w:p>
    <w:p>
      <w:pPr>
        <w:spacing w:line="360" w:lineRule="auto"/>
        <w:rPr>
          <w:rFonts w:hint="eastAsia" w:ascii="宋体" w:hAnsi="宋体" w:eastAsia="宋体" w:cs="Times New Roman"/>
          <w:b/>
          <w:color w:val="auto"/>
          <w:sz w:val="24"/>
          <w:szCs w:val="21"/>
          <w:highlight w:val="none"/>
        </w:rPr>
        <w:outlineLvl w:val="1"/>
      </w:pPr>
      <w:r>
        <w:rPr>
          <w:rFonts w:hint="eastAsia" w:ascii="宋体" w:hAnsi="宋体" w:eastAsia="宋体" w:cs="Times New Roman"/>
          <w:b/>
          <w:color w:val="auto"/>
          <w:sz w:val="24"/>
          <w:szCs w:val="21"/>
          <w:highlight w:val="none"/>
        </w:rPr>
      </w:r>
      <w:r/>
    </w:p>
    <w:p>
      <w:pPr>
        <w:spacing w:line="360" w:lineRule="auto"/>
        <w:rPr>
          <w:rFonts w:ascii="宋体" w:hAnsi="宋体" w:eastAsia="宋体" w:cs="宋体"/>
          <w:b/>
          <w:bCs/>
          <w:color w:val="auto"/>
          <w:sz w:val="24"/>
          <w:szCs w:val="24"/>
          <w:highlight w:val="none"/>
        </w:rPr>
        <w:outlineLvl w:val="1"/>
      </w:pPr>
      <w:r>
        <w:rPr>
          <w:rFonts w:hint="eastAsia" w:ascii="宋体" w:hAnsi="宋体" w:eastAsia="宋体" w:cs="Times New Roman"/>
          <w:b/>
          <w:color w:val="auto"/>
          <w:sz w:val="24"/>
          <w:szCs w:val="21"/>
          <w:highlight w:val="none"/>
        </w:rPr>
      </w:r>
      <w:r>
        <w:rPr>
          <w:rFonts w:hint="eastAsia" w:ascii="宋体" w:hAnsi="宋体" w:eastAsia="宋体" w:cs="Times New Roman"/>
          <w:b/>
          <w:color w:val="auto"/>
          <w:sz w:val="24"/>
          <w:szCs w:val="21"/>
          <w:highlight w:val="none"/>
        </w:rPr>
      </w:r>
      <w:r/>
    </w:p>
    <w:p>
      <w:pPr>
        <w:spacing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color w:val="auto"/>
          <w:sz w:val="24"/>
          <w:szCs w:val="21"/>
          <w:highlight w:val="none"/>
          <w:lang w:val="en-US" w:eastAsia="zh-CN"/>
        </w:rPr>
        <w:t xml:space="preserve">8</w:t>
      </w:r>
      <w:r>
        <w:rPr>
          <w:rFonts w:hint="eastAsia" w:ascii="宋体" w:hAnsi="宋体" w:eastAsia="宋体" w:cs="Times New Roman"/>
          <w:b/>
          <w:color w:val="auto"/>
          <w:sz w:val="24"/>
          <w:szCs w:val="21"/>
          <w:highlight w:val="none"/>
        </w:rPr>
        <w:t xml:space="preserve">、类似业绩情况表</w:t>
      </w:r>
      <w:r/>
    </w:p>
    <w:p>
      <w:pPr>
        <w:jc w:val="center"/>
        <w:spacing w:line="360" w:lineRule="auto"/>
        <w:rPr>
          <w:rFonts w:hint="eastAsia" w:ascii="宋体" w:hAnsi="宋体" w:eastAsia="宋体" w:cs="宋体"/>
          <w:color w:val="auto"/>
          <w:highlight w:val="none"/>
        </w:rPr>
      </w:pPr>
      <w:r>
        <w:rPr>
          <w:rFonts w:hint="eastAsia" w:ascii="宋体" w:hAnsi="宋体" w:eastAsia="宋体" w:cs="宋体"/>
          <w:b/>
          <w:color w:val="auto"/>
          <w:sz w:val="24"/>
          <w:szCs w:val="24"/>
          <w:highlight w:val="none"/>
        </w:rPr>
        <w:t xml:space="preserve">类似业绩情况表</w:t>
      </w:r>
      <w:r/>
    </w:p>
    <w:tbl>
      <w:tblPr>
        <w:tblStyle w:val="959"/>
        <w:tblpPr w:horzAnchor="page" w:tblpX="1746" w:vertAnchor="text" w:tblpY="476"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9"/>
        <w:gridCol w:w="1980"/>
        <w:gridCol w:w="1093"/>
        <w:gridCol w:w="1304"/>
        <w:gridCol w:w="1709"/>
        <w:gridCol w:w="1113"/>
      </w:tblGrid>
      <w:tr>
        <w:trPr>
          <w:trHeight w:val="567"/>
        </w:trPr>
        <w:tc>
          <w:tcPr>
            <w:tcW w:w="1209"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序号</w:t>
            </w:r>
            <w:r/>
          </w:p>
        </w:tc>
        <w:tc>
          <w:tcPr>
            <w:tcW w:w="1980"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项目名称</w:t>
            </w:r>
            <w:r/>
          </w:p>
        </w:tc>
        <w:tc>
          <w:tcPr>
            <w:tcW w:w="1093"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项目时间</w:t>
            </w:r>
            <w:r/>
          </w:p>
        </w:tc>
        <w:tc>
          <w:tcPr>
            <w:tcW w:w="1304"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项目规模</w:t>
            </w:r>
            <w:r/>
          </w:p>
        </w:tc>
        <w:tc>
          <w:tcPr>
            <w:tcW w:w="1709"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业主单位</w:t>
            </w:r>
            <w:r/>
          </w:p>
        </w:tc>
        <w:tc>
          <w:tcPr>
            <w:tcW w:w="1113"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备注</w:t>
            </w:r>
            <w:r/>
          </w:p>
        </w:tc>
      </w:tr>
      <w:tr>
        <w:trPr>
          <w:trHeight w:val="567"/>
        </w:trPr>
        <w:tc>
          <w:tcPr>
            <w:tcW w:w="12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98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7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1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rPr>
        <w:tc>
          <w:tcPr>
            <w:tcW w:w="12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198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7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1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rPr>
        <w:tc>
          <w:tcPr>
            <w:tcW w:w="12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198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7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1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rPr>
        <w:tc>
          <w:tcPr>
            <w:tcW w:w="12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198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7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1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rPr>
        <w:tc>
          <w:tcPr>
            <w:tcW w:w="12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198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7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1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rPr>
        <w:tc>
          <w:tcPr>
            <w:tcW w:w="12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198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7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1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rPr>
        <w:tc>
          <w:tcPr>
            <w:tcW w:w="12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198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109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7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1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right="105" w:firstLine="210"/>
        <w:jc w:val="right"/>
        <w:spacing w:line="360" w:lineRule="auto"/>
        <w:rPr>
          <w:rFonts w:ascii="Times New Roman"/>
          <w:color w:val="auto"/>
          <w:szCs w:val="21"/>
          <w:highlight w:val="none"/>
        </w:rPr>
      </w:pPr>
      <w:r>
        <w:rPr>
          <w:rFonts w:ascii="Times New Roman"/>
          <w:color w:val="auto"/>
          <w:szCs w:val="21"/>
          <w:highlight w:val="none"/>
        </w:rPr>
      </w:r>
      <w:r/>
    </w:p>
    <w:p>
      <w:pPr>
        <w:ind w:right="420" w:firstLine="210"/>
        <w:jc w:val="right"/>
        <w:spacing w:line="360" w:lineRule="auto"/>
        <w:rPr>
          <w:rFonts w:ascii="Times New Roman"/>
          <w:color w:val="auto"/>
          <w:szCs w:val="21"/>
          <w:highlight w:val="none"/>
        </w:rPr>
      </w:pPr>
      <w:r>
        <w:rPr>
          <w:rFonts w:ascii="Times New Roman"/>
          <w:color w:val="auto"/>
          <w:szCs w:val="21"/>
          <w:highlight w:val="none"/>
        </w:rPr>
      </w:r>
      <w:r/>
    </w:p>
    <w:p>
      <w:pPr>
        <w:ind w:right="420" w:firstLine="210"/>
        <w:jc w:val="right"/>
        <w:spacing w:line="360" w:lineRule="auto"/>
        <w:rPr>
          <w:rFonts w:ascii="Times New Roman"/>
          <w:color w:val="auto"/>
          <w:szCs w:val="21"/>
          <w:highlight w:val="none"/>
        </w:rPr>
      </w:pPr>
      <w:r>
        <w:rPr>
          <w:rFonts w:ascii="Times New Roman"/>
          <w:color w:val="auto"/>
          <w:szCs w:val="21"/>
          <w:highlight w:val="none"/>
        </w:rPr>
      </w:r>
      <w:r/>
    </w:p>
    <w:p>
      <w:pPr>
        <w:ind w:right="420" w:firstLine="210"/>
        <w:jc w:val="right"/>
        <w:spacing w:line="360" w:lineRule="auto"/>
        <w:rPr>
          <w:rFonts w:ascii="Times New Roman"/>
          <w:color w:val="auto"/>
          <w:szCs w:val="21"/>
          <w:highlight w:val="none"/>
        </w:rPr>
      </w:pPr>
      <w:r>
        <w:rPr>
          <w:rFonts w:ascii="Times New Roman"/>
          <w:color w:val="auto"/>
          <w:szCs w:val="21"/>
          <w:highlight w:val="none"/>
        </w:rPr>
      </w:r>
      <w:r/>
    </w:p>
    <w:p>
      <w:pPr>
        <w:ind w:right="420" w:firstLine="210"/>
        <w:jc w:val="right"/>
        <w:spacing w:line="360" w:lineRule="auto"/>
        <w:rPr>
          <w:rFonts w:ascii="Times New Roman"/>
          <w:color w:val="auto"/>
          <w:szCs w:val="21"/>
          <w:highlight w:val="none"/>
        </w:rPr>
      </w:pPr>
      <w:r>
        <w:rPr>
          <w:rFonts w:ascii="Times New Roman"/>
          <w:color w:val="auto"/>
          <w:szCs w:val="21"/>
          <w:highlight w:val="none"/>
        </w:rPr>
      </w:r>
      <w:r/>
    </w:p>
    <w:p>
      <w:pPr>
        <w:ind w:right="420" w:firstLine="210"/>
        <w:jc w:val="right"/>
        <w:spacing w:line="360" w:lineRule="auto"/>
        <w:rPr>
          <w:rFonts w:ascii="Times New Roman"/>
          <w:color w:val="auto"/>
          <w:szCs w:val="21"/>
          <w:highlight w:val="none"/>
        </w:rPr>
      </w:pPr>
      <w:r>
        <w:rPr>
          <w:rFonts w:ascii="Times New Roman"/>
          <w:color w:val="auto"/>
          <w:szCs w:val="21"/>
          <w:highlight w:val="none"/>
        </w:rPr>
      </w:r>
      <w:r/>
    </w:p>
    <w:p>
      <w:pPr>
        <w:ind w:right="420" w:firstLine="210"/>
        <w:jc w:val="right"/>
        <w:spacing w:line="360" w:lineRule="auto"/>
        <w:rPr>
          <w:rFonts w:ascii="Times New Roman"/>
          <w:color w:val="auto"/>
          <w:szCs w:val="21"/>
          <w:highlight w:val="none"/>
        </w:rPr>
      </w:pPr>
      <w:r>
        <w:rPr>
          <w:rFonts w:ascii="Times New Roman"/>
          <w:color w:val="auto"/>
          <w:szCs w:val="21"/>
          <w:highlight w:val="none"/>
        </w:rPr>
      </w:r>
      <w:r/>
    </w:p>
    <w:p>
      <w:pPr>
        <w:ind w:right="420" w:firstLine="210"/>
        <w:jc w:val="right"/>
        <w:spacing w:line="360" w:lineRule="auto"/>
        <w:rPr>
          <w:rFonts w:ascii="Times New Roman"/>
          <w:color w:val="auto"/>
          <w:szCs w:val="21"/>
          <w:highlight w:val="none"/>
        </w:rPr>
      </w:pPr>
      <w:r>
        <w:rPr>
          <w:rFonts w:ascii="Times New Roman"/>
          <w:color w:val="auto"/>
          <w:szCs w:val="21"/>
          <w:highlight w:val="none"/>
        </w:rPr>
      </w:r>
      <w:r/>
    </w:p>
    <w:p>
      <w:pPr>
        <w:ind w:right="420" w:firstLine="210"/>
        <w:jc w:val="right"/>
        <w:spacing w:line="360" w:lineRule="auto"/>
        <w:rPr>
          <w:rFonts w:ascii="Times New Roman"/>
          <w:color w:val="auto"/>
          <w:szCs w:val="21"/>
          <w:highlight w:val="none"/>
        </w:rPr>
      </w:pPr>
      <w:r>
        <w:rPr>
          <w:rFonts w:ascii="Times New Roman"/>
          <w:color w:val="auto"/>
          <w:szCs w:val="21"/>
          <w:highlight w:val="none"/>
        </w:rPr>
      </w:r>
      <w:r/>
    </w:p>
    <w:p>
      <w:pPr>
        <w:ind w:right="420" w:firstLine="210"/>
        <w:jc w:val="right"/>
        <w:spacing w:line="360" w:lineRule="auto"/>
        <w:rPr>
          <w:rFonts w:ascii="Times New Roman"/>
          <w:color w:val="auto"/>
          <w:szCs w:val="21"/>
          <w:highlight w:val="none"/>
        </w:rPr>
      </w:pPr>
      <w:r>
        <w:rPr>
          <w:rFonts w:ascii="Times New Roman"/>
          <w:color w:val="auto"/>
          <w:szCs w:val="21"/>
          <w:highlight w:val="none"/>
        </w:rPr>
      </w:r>
      <w:r/>
    </w:p>
    <w:p>
      <w:pPr>
        <w:ind w:right="420" w:firstLine="210"/>
        <w:jc w:val="right"/>
        <w:spacing w:line="360" w:lineRule="auto"/>
        <w:rPr>
          <w:rFonts w:ascii="Times New Roman"/>
          <w:color w:val="auto"/>
          <w:szCs w:val="21"/>
          <w:highlight w:val="none"/>
        </w:rPr>
      </w:pPr>
      <w:r>
        <w:rPr>
          <w:rFonts w:ascii="Times New Roman"/>
          <w:color w:val="auto"/>
          <w:szCs w:val="21"/>
          <w:highlight w:val="none"/>
        </w:rPr>
      </w:r>
      <w:r/>
    </w:p>
    <w:p>
      <w:pPr>
        <w:ind w:right="420" w:firstLine="210"/>
        <w:jc w:val="right"/>
        <w:spacing w:line="360" w:lineRule="auto"/>
        <w:rPr>
          <w:rFonts w:ascii="Times New Roman"/>
          <w:color w:val="auto"/>
          <w:szCs w:val="21"/>
          <w:highlight w:val="none"/>
        </w:rPr>
      </w:pPr>
      <w:r>
        <w:rPr>
          <w:rFonts w:ascii="Times New Roman"/>
          <w:color w:val="auto"/>
          <w:szCs w:val="21"/>
          <w:highlight w:val="none"/>
        </w:rPr>
      </w:r>
      <w:r/>
    </w:p>
    <w:p>
      <w:pPr>
        <w:ind w:right="420" w:firstLine="210"/>
        <w:jc w:val="right"/>
        <w:spacing w:line="360" w:lineRule="auto"/>
        <w:rPr>
          <w:rFonts w:ascii="Times New Roman"/>
          <w:color w:val="auto"/>
          <w:szCs w:val="21"/>
          <w:highlight w:val="none"/>
        </w:rPr>
      </w:pPr>
      <w:r>
        <w:rPr>
          <w:rFonts w:ascii="Times New Roman"/>
          <w:color w:val="auto"/>
          <w:szCs w:val="21"/>
          <w:highlight w:val="none"/>
        </w:rPr>
      </w:r>
      <w:r/>
    </w:p>
    <w:p>
      <w:pPr>
        <w:ind w:right="420" w:firstLine="210"/>
        <w:jc w:val="right"/>
        <w:spacing w:line="360" w:lineRule="auto"/>
        <w:rPr>
          <w:rFonts w:ascii="Times New Roman"/>
          <w:color w:val="auto"/>
          <w:szCs w:val="21"/>
          <w:highlight w:val="none"/>
        </w:rPr>
      </w:pPr>
      <w:r>
        <w:rPr>
          <w:rFonts w:ascii="Times New Roman"/>
          <w:color w:val="auto"/>
          <w:szCs w:val="21"/>
          <w:highlight w:val="none"/>
        </w:rPr>
      </w:r>
      <w:r/>
    </w:p>
    <w:p>
      <w:pPr>
        <w:ind w:right="420" w:firstLine="210"/>
        <w:jc w:val="right"/>
        <w:spacing w:line="360" w:lineRule="auto"/>
        <w:rPr>
          <w:rFonts w:ascii="Times New Roman"/>
          <w:color w:val="auto"/>
          <w:szCs w:val="21"/>
          <w:highlight w:val="none"/>
        </w:rPr>
      </w:pPr>
      <w:r>
        <w:rPr>
          <w:rFonts w:ascii="Times New Roman"/>
          <w:color w:val="auto"/>
          <w:szCs w:val="21"/>
          <w:highlight w:val="none"/>
        </w:rPr>
      </w:r>
      <w:r/>
    </w:p>
    <w:p>
      <w:pPr>
        <w:ind w:right="420" w:firstLine="210"/>
        <w:jc w:val="right"/>
        <w:spacing w:line="360" w:lineRule="auto"/>
        <w:rPr>
          <w:rFonts w:ascii="Times New Roman"/>
          <w:color w:val="auto"/>
          <w:szCs w:val="21"/>
          <w:highlight w:val="none"/>
        </w:rPr>
      </w:pPr>
      <w:r>
        <w:rPr>
          <w:rFonts w:ascii="Times New Roman"/>
          <w:color w:val="auto"/>
          <w:szCs w:val="21"/>
          <w:highlight w:val="none"/>
        </w:rPr>
      </w:r>
      <w:r/>
    </w:p>
    <w:p>
      <w:pPr>
        <w:ind w:right="420" w:firstLine="210"/>
        <w:jc w:val="right"/>
        <w:spacing w:line="360" w:lineRule="auto"/>
        <w:rPr>
          <w:rFonts w:ascii="Times New Roman"/>
          <w:color w:val="auto"/>
          <w:szCs w:val="21"/>
          <w:highlight w:val="none"/>
        </w:rPr>
      </w:pPr>
      <w:r>
        <w:rPr>
          <w:rFonts w:ascii="Times New Roman"/>
          <w:color w:val="auto"/>
          <w:szCs w:val="21"/>
          <w:highlight w:val="none"/>
        </w:rPr>
        <w:t xml:space="preserve">供应商名称：（加盖CA电子公章）</w:t>
      </w:r>
      <w:r/>
    </w:p>
    <w:p>
      <w:pPr>
        <w:ind w:right="420" w:firstLine="210"/>
        <w:jc w:val="right"/>
        <w:spacing w:line="360" w:lineRule="auto"/>
        <w:rPr>
          <w:rFonts w:ascii="Times New Roman"/>
          <w:color w:val="auto"/>
          <w:szCs w:val="21"/>
          <w:highlight w:val="none"/>
        </w:rPr>
      </w:pPr>
      <w:r>
        <w:rPr>
          <w:rFonts w:ascii="Times New Roman"/>
          <w:color w:val="auto"/>
          <w:szCs w:val="21"/>
          <w:highlight w:val="none"/>
        </w:rPr>
        <w:t xml:space="preserve">日期：　　　年　　月　　日</w:t>
      </w:r>
      <w:r/>
    </w:p>
    <w:p>
      <w:pPr>
        <w:rPr>
          <w:rFonts w:ascii="宋体" w:hAnsi="宋体" w:eastAsia="宋体" w:cs="Times New Roman"/>
          <w:b/>
          <w:color w:val="auto"/>
          <w:sz w:val="24"/>
          <w:szCs w:val="21"/>
          <w:highlight w:val="none"/>
        </w:rPr>
      </w:pPr>
      <w:r>
        <w:rPr>
          <w:rFonts w:hint="eastAsia" w:ascii="宋体" w:hAnsi="宋体" w:eastAsia="宋体" w:cs="Times New Roman"/>
          <w:b/>
          <w:color w:val="auto"/>
          <w:sz w:val="24"/>
          <w:szCs w:val="21"/>
          <w:highlight w:val="none"/>
        </w:rPr>
        <w:br w:type="page" w:clear="all"/>
      </w:r>
      <w:r/>
    </w:p>
    <w:p>
      <w:pPr>
        <w:jc w:val="both"/>
        <w:spacing w:line="360" w:lineRule="auto"/>
        <w:tabs>
          <w:tab w:val="left" w:pos="132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9、</w:t>
      </w:r>
      <w:r>
        <w:rPr>
          <w:rFonts w:hint="eastAsia" w:ascii="宋体" w:hAnsi="宋体" w:eastAsia="宋体" w:cs="宋体"/>
          <w:b/>
          <w:color w:val="auto"/>
          <w:sz w:val="24"/>
          <w:szCs w:val="24"/>
          <w:highlight w:val="none"/>
        </w:rPr>
        <w:t xml:space="preserve">技术支持以及售后服务承诺</w:t>
      </w:r>
      <w:r/>
    </w:p>
    <w:p>
      <w:pPr>
        <w:jc w:val="center"/>
        <w:spacing w:line="360" w:lineRule="auto"/>
        <w:tabs>
          <w:tab w:val="left" w:pos="1320" w:leader="none"/>
        </w:tabs>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jc w:val="center"/>
        <w:spacing w:line="360" w:lineRule="auto"/>
        <w:tabs>
          <w:tab w:val="left" w:pos="132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tabs>
          <w:tab w:val="left" w:pos="132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技术支持以及售后服务承诺</w:t>
      </w:r>
      <w:r/>
    </w:p>
    <w:tbl>
      <w:tblPr>
        <w:tblStyle w:val="95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2"/>
        <w:gridCol w:w="2949"/>
        <w:gridCol w:w="3123"/>
        <w:gridCol w:w="1562"/>
      </w:tblGrid>
      <w:tr>
        <w:trPr>
          <w:trHeight w:val="850"/>
        </w:trPr>
        <w:tc>
          <w:tcPr>
            <w:tcW w:w="97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94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名称</w:t>
            </w:r>
            <w:r/>
          </w:p>
        </w:tc>
        <w:tc>
          <w:tcPr>
            <w:tcW w:w="312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投标承诺</w:t>
            </w:r>
            <w:r/>
          </w:p>
        </w:tc>
        <w:tc>
          <w:tcPr>
            <w:tcW w:w="156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tc>
      </w:tr>
      <w:tr>
        <w:trPr>
          <w:trHeight w:val="850"/>
        </w:trPr>
        <w:tc>
          <w:tcPr>
            <w:tcW w:w="97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94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服务响应时间</w:t>
            </w:r>
            <w:r/>
          </w:p>
        </w:tc>
        <w:tc>
          <w:tcPr>
            <w:tcW w:w="312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6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850"/>
        </w:trPr>
        <w:tc>
          <w:tcPr>
            <w:tcW w:w="97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94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到达现场时间</w:t>
            </w:r>
            <w:r/>
          </w:p>
        </w:tc>
        <w:tc>
          <w:tcPr>
            <w:tcW w:w="312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6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850"/>
        </w:trPr>
        <w:tc>
          <w:tcPr>
            <w:tcW w:w="97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294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解决问题时间</w:t>
            </w:r>
            <w:r/>
          </w:p>
        </w:tc>
        <w:tc>
          <w:tcPr>
            <w:tcW w:w="312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6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850"/>
        </w:trPr>
        <w:tc>
          <w:tcPr>
            <w:tcW w:w="97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294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免费质保期</w:t>
            </w:r>
            <w:r/>
          </w:p>
        </w:tc>
        <w:tc>
          <w:tcPr>
            <w:tcW w:w="312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6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pStyle w:val="1119"/>
        <w:spacing w:line="360" w:lineRule="auto"/>
        <w:rPr>
          <w:rFonts w:hint="eastAsia" w:ascii="宋体" w:hAnsi="宋体" w:eastAsia="宋体" w:cs="宋体"/>
          <w:color w:val="auto"/>
          <w:szCs w:val="21"/>
          <w:highlight w:val="none"/>
          <w:lang w:bidi="en-US"/>
        </w:rPr>
      </w:pPr>
      <w:r>
        <w:rPr>
          <w:rFonts w:hint="eastAsia" w:ascii="宋体" w:hAnsi="宋体" w:eastAsia="宋体" w:cs="宋体"/>
          <w:color w:val="auto"/>
          <w:szCs w:val="21"/>
          <w:highlight w:val="none"/>
          <w:lang w:bidi="en-US"/>
        </w:rPr>
      </w:r>
      <w:r/>
    </w:p>
    <w:p>
      <w:pPr>
        <w:spacing w:line="360" w:lineRule="auto"/>
        <w:rPr>
          <w:rFonts w:hint="eastAsia" w:ascii="宋体" w:hAnsi="宋体" w:eastAsia="宋体" w:cs="Times New Roman"/>
          <w:b/>
          <w:color w:val="auto"/>
          <w:sz w:val="24"/>
          <w:szCs w:val="21"/>
          <w:highlight w:val="none"/>
        </w:rPr>
        <w:outlineLvl w:val="1"/>
      </w:pPr>
      <w:r>
        <w:rPr>
          <w:rFonts w:hint="eastAsia" w:ascii="宋体" w:hAnsi="宋体" w:eastAsia="宋体" w:cs="Times New Roman"/>
          <w:b/>
          <w:color w:val="auto"/>
          <w:sz w:val="24"/>
          <w:szCs w:val="21"/>
          <w:highlight w:val="none"/>
        </w:rPr>
      </w:r>
      <w:r/>
    </w:p>
    <w:p>
      <w:pPr>
        <w:ind w:right="420" w:firstLine="210"/>
        <w:jc w:val="right"/>
        <w:spacing w:line="360" w:lineRule="auto"/>
        <w:rPr>
          <w:rFonts w:ascii="Times New Roman"/>
          <w:color w:val="auto"/>
          <w:szCs w:val="21"/>
          <w:highlight w:val="none"/>
        </w:rPr>
      </w:pPr>
      <w:r>
        <w:rPr>
          <w:rFonts w:ascii="Times New Roman"/>
          <w:color w:val="auto"/>
          <w:szCs w:val="21"/>
          <w:highlight w:val="none"/>
        </w:rPr>
        <w:t xml:space="preserve">供应商名称：（加盖CA电子公章）</w:t>
      </w:r>
      <w:r/>
    </w:p>
    <w:p>
      <w:pPr>
        <w:ind w:right="420" w:firstLine="210"/>
        <w:jc w:val="right"/>
        <w:spacing w:line="360" w:lineRule="auto"/>
        <w:rPr>
          <w:rFonts w:ascii="Times New Roman"/>
          <w:color w:val="auto"/>
          <w:szCs w:val="21"/>
          <w:highlight w:val="none"/>
        </w:rPr>
      </w:pPr>
      <w:r>
        <w:rPr>
          <w:rFonts w:ascii="Times New Roman"/>
          <w:color w:val="auto"/>
          <w:szCs w:val="21"/>
          <w:highlight w:val="none"/>
        </w:rPr>
        <w:t xml:space="preserve">日期：　　　年　　月　　日</w:t>
      </w:r>
      <w:r/>
    </w:p>
    <w:p>
      <w:pPr>
        <w:spacing w:line="360" w:lineRule="auto"/>
        <w:rPr>
          <w:rFonts w:hint="eastAsia" w:ascii="宋体" w:hAnsi="宋体" w:eastAsia="宋体" w:cs="Times New Roman"/>
          <w:b/>
          <w:color w:val="auto"/>
          <w:sz w:val="24"/>
          <w:szCs w:val="21"/>
          <w:highlight w:val="none"/>
        </w:rPr>
        <w:outlineLvl w:val="1"/>
      </w:pPr>
      <w:r>
        <w:rPr>
          <w:rFonts w:hint="eastAsia" w:ascii="宋体" w:hAnsi="宋体" w:eastAsia="宋体" w:cs="Times New Roman"/>
          <w:b/>
          <w:color w:val="auto"/>
          <w:sz w:val="24"/>
          <w:szCs w:val="21"/>
          <w:highlight w:val="none"/>
        </w:rPr>
      </w:r>
      <w:r/>
    </w:p>
    <w:p>
      <w:pPr>
        <w:spacing w:line="360" w:lineRule="auto"/>
        <w:rPr>
          <w:rFonts w:hint="eastAsia" w:ascii="宋体" w:hAnsi="宋体" w:eastAsia="宋体" w:cs="Times New Roman"/>
          <w:b/>
          <w:color w:val="auto"/>
          <w:sz w:val="24"/>
          <w:szCs w:val="21"/>
          <w:highlight w:val="none"/>
        </w:rPr>
        <w:outlineLvl w:val="1"/>
      </w:pPr>
      <w:r>
        <w:rPr>
          <w:rFonts w:hint="eastAsia" w:ascii="宋体" w:hAnsi="宋体" w:eastAsia="宋体" w:cs="Times New Roman"/>
          <w:b/>
          <w:color w:val="auto"/>
          <w:sz w:val="24"/>
          <w:szCs w:val="21"/>
          <w:highlight w:val="none"/>
        </w:rPr>
      </w:r>
      <w:r/>
    </w:p>
    <w:p>
      <w:pPr>
        <w:spacing w:line="360" w:lineRule="auto"/>
        <w:rPr>
          <w:rFonts w:hint="eastAsia" w:ascii="宋体" w:hAnsi="宋体" w:eastAsia="宋体" w:cs="Times New Roman"/>
          <w:b/>
          <w:color w:val="auto"/>
          <w:sz w:val="24"/>
          <w:szCs w:val="21"/>
          <w:highlight w:val="none"/>
        </w:rPr>
        <w:outlineLvl w:val="1"/>
      </w:pPr>
      <w:r>
        <w:rPr>
          <w:rFonts w:hint="eastAsia" w:ascii="宋体" w:hAnsi="宋体" w:eastAsia="宋体" w:cs="Times New Roman"/>
          <w:b/>
          <w:color w:val="auto"/>
          <w:sz w:val="24"/>
          <w:szCs w:val="21"/>
          <w:highlight w:val="none"/>
        </w:rPr>
      </w:r>
      <w:r/>
    </w:p>
    <w:p>
      <w:pPr>
        <w:spacing w:line="360" w:lineRule="auto"/>
        <w:rPr>
          <w:rFonts w:hint="eastAsia" w:ascii="宋体" w:hAnsi="宋体" w:eastAsia="宋体" w:cs="Times New Roman"/>
          <w:b/>
          <w:color w:val="auto"/>
          <w:sz w:val="24"/>
          <w:szCs w:val="21"/>
          <w:highlight w:val="none"/>
        </w:rPr>
        <w:outlineLvl w:val="1"/>
      </w:pPr>
      <w:r>
        <w:rPr>
          <w:rFonts w:hint="eastAsia" w:ascii="宋体" w:hAnsi="宋体" w:eastAsia="宋体" w:cs="Times New Roman"/>
          <w:b/>
          <w:color w:val="auto"/>
          <w:sz w:val="24"/>
          <w:szCs w:val="21"/>
          <w:highlight w:val="none"/>
        </w:rPr>
      </w:r>
      <w:r/>
    </w:p>
    <w:p>
      <w:pPr>
        <w:spacing w:line="360" w:lineRule="auto"/>
        <w:rPr>
          <w:rFonts w:hint="eastAsia" w:ascii="宋体" w:hAnsi="宋体" w:eastAsia="宋体" w:cs="Times New Roman"/>
          <w:b/>
          <w:color w:val="auto"/>
          <w:sz w:val="24"/>
          <w:szCs w:val="21"/>
          <w:highlight w:val="none"/>
        </w:rPr>
        <w:outlineLvl w:val="1"/>
      </w:pPr>
      <w:r>
        <w:rPr>
          <w:rFonts w:hint="eastAsia" w:ascii="宋体" w:hAnsi="宋体" w:eastAsia="宋体" w:cs="Times New Roman"/>
          <w:b/>
          <w:color w:val="auto"/>
          <w:sz w:val="24"/>
          <w:szCs w:val="21"/>
          <w:highlight w:val="none"/>
        </w:rPr>
      </w:r>
      <w:r/>
    </w:p>
    <w:p>
      <w:pPr>
        <w:spacing w:line="360" w:lineRule="auto"/>
        <w:rPr>
          <w:rFonts w:hint="eastAsia" w:ascii="宋体" w:hAnsi="宋体" w:eastAsia="宋体" w:cs="Times New Roman"/>
          <w:b/>
          <w:color w:val="auto"/>
          <w:sz w:val="24"/>
          <w:szCs w:val="21"/>
          <w:highlight w:val="none"/>
        </w:rPr>
        <w:outlineLvl w:val="1"/>
      </w:pPr>
      <w:r>
        <w:rPr>
          <w:rFonts w:hint="eastAsia" w:ascii="宋体" w:hAnsi="宋体" w:eastAsia="宋体" w:cs="Times New Roman"/>
          <w:b/>
          <w:color w:val="auto"/>
          <w:sz w:val="24"/>
          <w:szCs w:val="21"/>
          <w:highlight w:val="none"/>
        </w:rPr>
      </w:r>
      <w:r/>
    </w:p>
    <w:p>
      <w:pPr>
        <w:spacing w:line="360" w:lineRule="auto"/>
        <w:rPr>
          <w:rFonts w:hint="eastAsia" w:ascii="宋体" w:hAnsi="宋体" w:eastAsia="宋体" w:cs="Times New Roman"/>
          <w:b/>
          <w:color w:val="auto"/>
          <w:sz w:val="24"/>
          <w:szCs w:val="21"/>
          <w:highlight w:val="none"/>
        </w:rPr>
        <w:outlineLvl w:val="1"/>
      </w:pPr>
      <w:r>
        <w:rPr>
          <w:rFonts w:hint="eastAsia" w:ascii="宋体" w:hAnsi="宋体" w:eastAsia="宋体" w:cs="Times New Roman"/>
          <w:b/>
          <w:color w:val="auto"/>
          <w:sz w:val="24"/>
          <w:szCs w:val="21"/>
          <w:highlight w:val="none"/>
        </w:rPr>
      </w:r>
      <w:r/>
    </w:p>
    <w:p>
      <w:pPr>
        <w:spacing w:line="360" w:lineRule="auto"/>
        <w:rPr>
          <w:rFonts w:hint="eastAsia" w:ascii="宋体" w:hAnsi="宋体" w:eastAsia="宋体" w:cs="Times New Roman"/>
          <w:b/>
          <w:color w:val="auto"/>
          <w:sz w:val="24"/>
          <w:szCs w:val="21"/>
          <w:highlight w:val="none"/>
        </w:rPr>
        <w:outlineLvl w:val="1"/>
      </w:pPr>
      <w:r>
        <w:rPr>
          <w:rFonts w:hint="eastAsia" w:ascii="宋体" w:hAnsi="宋体" w:eastAsia="宋体" w:cs="Times New Roman"/>
          <w:b/>
          <w:color w:val="auto"/>
          <w:sz w:val="24"/>
          <w:szCs w:val="21"/>
          <w:highlight w:val="none"/>
        </w:rPr>
      </w:r>
      <w:r/>
    </w:p>
    <w:p>
      <w:pPr>
        <w:spacing w:line="360" w:lineRule="auto"/>
        <w:rPr>
          <w:rFonts w:hint="eastAsia" w:ascii="宋体" w:hAnsi="宋体" w:eastAsia="宋体" w:cs="Times New Roman"/>
          <w:b/>
          <w:color w:val="auto"/>
          <w:sz w:val="24"/>
          <w:szCs w:val="21"/>
          <w:highlight w:val="none"/>
        </w:rPr>
        <w:outlineLvl w:val="1"/>
      </w:pPr>
      <w:r>
        <w:rPr>
          <w:rFonts w:hint="eastAsia" w:ascii="宋体" w:hAnsi="宋体" w:eastAsia="宋体" w:cs="Times New Roman"/>
          <w:b/>
          <w:color w:val="auto"/>
          <w:sz w:val="24"/>
          <w:szCs w:val="21"/>
          <w:highlight w:val="none"/>
        </w:rPr>
      </w:r>
      <w:r/>
    </w:p>
    <w:p>
      <w:pPr>
        <w:spacing w:line="360" w:lineRule="auto"/>
        <w:rPr>
          <w:rFonts w:hint="eastAsia" w:ascii="宋体" w:hAnsi="宋体" w:eastAsia="宋体" w:cs="Times New Roman"/>
          <w:b/>
          <w:color w:val="auto"/>
          <w:sz w:val="24"/>
          <w:szCs w:val="21"/>
          <w:highlight w:val="none"/>
        </w:rPr>
        <w:outlineLvl w:val="1"/>
      </w:pPr>
      <w:r>
        <w:rPr>
          <w:rFonts w:hint="eastAsia" w:ascii="宋体" w:hAnsi="宋体" w:eastAsia="宋体" w:cs="Times New Roman"/>
          <w:b/>
          <w:color w:val="auto"/>
          <w:sz w:val="24"/>
          <w:szCs w:val="21"/>
          <w:highlight w:val="none"/>
        </w:rPr>
      </w:r>
      <w:r/>
    </w:p>
    <w:p>
      <w:pPr>
        <w:spacing w:line="360" w:lineRule="auto"/>
        <w:rPr>
          <w:rFonts w:hint="eastAsia" w:ascii="宋体" w:hAnsi="宋体" w:eastAsia="宋体" w:cs="Times New Roman"/>
          <w:b/>
          <w:color w:val="auto"/>
          <w:sz w:val="24"/>
          <w:szCs w:val="21"/>
          <w:highlight w:val="none"/>
        </w:rPr>
        <w:outlineLvl w:val="1"/>
      </w:pPr>
      <w:r>
        <w:rPr>
          <w:rFonts w:hint="eastAsia" w:ascii="宋体" w:hAnsi="宋体" w:eastAsia="宋体" w:cs="Times New Roman"/>
          <w:b/>
          <w:color w:val="auto"/>
          <w:sz w:val="24"/>
          <w:szCs w:val="21"/>
          <w:highlight w:val="none"/>
        </w:rPr>
      </w:r>
      <w:r/>
    </w:p>
    <w:p>
      <w:pPr>
        <w:spacing w:line="360" w:lineRule="auto"/>
        <w:rPr>
          <w:rFonts w:hint="eastAsia" w:ascii="宋体" w:hAnsi="宋体" w:eastAsia="宋体" w:cs="Times New Roman"/>
          <w:b/>
          <w:color w:val="auto"/>
          <w:sz w:val="24"/>
          <w:szCs w:val="21"/>
          <w:highlight w:val="none"/>
        </w:rPr>
        <w:outlineLvl w:val="1"/>
      </w:pPr>
      <w:r>
        <w:rPr>
          <w:rFonts w:hint="eastAsia" w:ascii="宋体" w:hAnsi="宋体" w:eastAsia="宋体" w:cs="Times New Roman"/>
          <w:b/>
          <w:color w:val="auto"/>
          <w:sz w:val="24"/>
          <w:szCs w:val="21"/>
          <w:highlight w:val="none"/>
        </w:rPr>
      </w:r>
      <w:r/>
    </w:p>
    <w:p>
      <w:pPr>
        <w:spacing w:line="360" w:lineRule="auto"/>
        <w:rPr>
          <w:rFonts w:hint="eastAsia" w:ascii="宋体" w:hAnsi="宋体" w:eastAsia="宋体" w:cs="Times New Roman"/>
          <w:b/>
          <w:color w:val="auto"/>
          <w:sz w:val="24"/>
          <w:szCs w:val="21"/>
          <w:highlight w:val="none"/>
        </w:rPr>
        <w:outlineLvl w:val="1"/>
      </w:pPr>
      <w:r>
        <w:rPr>
          <w:rFonts w:hint="eastAsia" w:ascii="宋体" w:hAnsi="宋体" w:eastAsia="宋体" w:cs="Times New Roman"/>
          <w:b/>
          <w:color w:val="auto"/>
          <w:sz w:val="24"/>
          <w:szCs w:val="21"/>
          <w:highlight w:val="none"/>
        </w:rPr>
      </w:r>
      <w:r/>
    </w:p>
    <w:p>
      <w:pPr>
        <w:spacing w:line="360" w:lineRule="auto"/>
        <w:rPr>
          <w:rFonts w:hint="eastAsia" w:ascii="宋体" w:hAnsi="宋体" w:eastAsia="宋体" w:cs="Times New Roman"/>
          <w:b/>
          <w:color w:val="auto"/>
          <w:sz w:val="24"/>
          <w:szCs w:val="21"/>
          <w:highlight w:val="none"/>
        </w:rPr>
        <w:outlineLvl w:val="1"/>
      </w:pPr>
      <w:r>
        <w:rPr>
          <w:rFonts w:hint="eastAsia" w:ascii="宋体" w:hAnsi="宋体" w:eastAsia="宋体" w:cs="Times New Roman"/>
          <w:b/>
          <w:color w:val="auto"/>
          <w:sz w:val="24"/>
          <w:szCs w:val="21"/>
          <w:highlight w:val="none"/>
        </w:rPr>
      </w:r>
      <w:r/>
    </w:p>
    <w:p>
      <w:pPr>
        <w:spacing w:line="360" w:lineRule="auto"/>
        <w:rPr>
          <w:rFonts w:hint="eastAsia" w:ascii="宋体" w:hAnsi="宋体" w:eastAsia="宋体" w:cs="Times New Roman"/>
          <w:b/>
          <w:color w:val="auto"/>
          <w:sz w:val="24"/>
          <w:szCs w:val="21"/>
          <w:highlight w:val="none"/>
        </w:rPr>
        <w:outlineLvl w:val="1"/>
      </w:pPr>
      <w:r>
        <w:rPr>
          <w:rFonts w:hint="eastAsia" w:ascii="宋体" w:hAnsi="宋体" w:eastAsia="宋体" w:cs="Times New Roman"/>
          <w:b/>
          <w:color w:val="auto"/>
          <w:sz w:val="24"/>
          <w:szCs w:val="21"/>
          <w:highlight w:val="none"/>
        </w:rPr>
      </w:r>
      <w:r/>
    </w:p>
    <w:p>
      <w:pPr>
        <w:spacing w:line="360" w:lineRule="auto"/>
        <w:rPr>
          <w:rFonts w:hint="eastAsia" w:ascii="宋体" w:hAnsi="宋体" w:eastAsia="宋体" w:cs="Times New Roman"/>
          <w:b/>
          <w:color w:val="auto"/>
          <w:sz w:val="24"/>
          <w:szCs w:val="21"/>
          <w:highlight w:val="none"/>
        </w:rPr>
        <w:outlineLvl w:val="1"/>
      </w:pPr>
      <w:r>
        <w:rPr>
          <w:rFonts w:hint="eastAsia" w:ascii="宋体" w:hAnsi="宋体" w:eastAsia="宋体" w:cs="Times New Roman"/>
          <w:b/>
          <w:color w:val="auto"/>
          <w:sz w:val="24"/>
          <w:szCs w:val="21"/>
          <w:highlight w:val="none"/>
        </w:rPr>
      </w:r>
      <w:r/>
    </w:p>
    <w:p>
      <w:pPr>
        <w:spacing w:line="360" w:lineRule="auto"/>
        <w:rPr>
          <w:rFonts w:ascii="宋体" w:hAnsi="宋体" w:eastAsia="宋体" w:cs="Times New Roman"/>
          <w:b/>
          <w:color w:val="auto"/>
          <w:sz w:val="24"/>
          <w:szCs w:val="20"/>
          <w:highlight w:val="none"/>
          <w:shd w:val="clear" w:color="auto" w:fill="ffffff"/>
        </w:rPr>
        <w:outlineLvl w:val="1"/>
      </w:pPr>
      <w:r>
        <w:rPr>
          <w:rFonts w:hint="eastAsia" w:ascii="宋体" w:hAnsi="宋体" w:eastAsia="宋体" w:cs="Times New Roman"/>
          <w:b/>
          <w:color w:val="auto"/>
          <w:sz w:val="24"/>
          <w:szCs w:val="21"/>
          <w:highlight w:val="none"/>
        </w:rPr>
        <w:t xml:space="preserve">1</w:t>
      </w:r>
      <w:r>
        <w:rPr>
          <w:rFonts w:hint="eastAsia" w:ascii="宋体" w:hAnsi="宋体" w:eastAsia="宋体" w:cs="Times New Roman"/>
          <w:b/>
          <w:color w:val="auto"/>
          <w:sz w:val="24"/>
          <w:szCs w:val="21"/>
          <w:highlight w:val="none"/>
          <w:lang w:val="en-US" w:eastAsia="zh-CN"/>
        </w:rPr>
        <w:t xml:space="preserve">0</w:t>
      </w:r>
      <w:r>
        <w:rPr>
          <w:rFonts w:hint="eastAsia" w:ascii="宋体" w:hAnsi="宋体" w:eastAsia="宋体" w:cs="Times New Roman"/>
          <w:b/>
          <w:color w:val="auto"/>
          <w:sz w:val="24"/>
          <w:szCs w:val="21"/>
          <w:highlight w:val="none"/>
        </w:rPr>
        <w:t xml:space="preserve">、资格证明文件</w:t>
      </w:r>
      <w:r/>
    </w:p>
    <w:p>
      <w:pPr>
        <w:spacing w:line="360" w:lineRule="auto"/>
        <w:rPr>
          <w:rFonts w:ascii="宋体" w:hAnsi="宋体" w:eastAsia="宋体" w:cs="Times New Roman"/>
          <w:b/>
          <w:color w:val="auto"/>
          <w:sz w:val="24"/>
          <w:szCs w:val="20"/>
          <w:highlight w:val="none"/>
          <w:shd w:val="clear" w:color="auto" w:fill="ffffff"/>
        </w:rPr>
      </w:pPr>
      <w:r>
        <w:rPr>
          <w:rFonts w:ascii="宋体" w:hAnsi="宋体" w:eastAsia="宋体" w:cs="Times New Roman"/>
          <w:b/>
          <w:color w:val="auto"/>
          <w:sz w:val="24"/>
          <w:szCs w:val="20"/>
          <w:highlight w:val="none"/>
          <w:shd w:val="clear" w:color="auto" w:fill="ffffff"/>
        </w:rPr>
      </w:r>
      <w:r/>
    </w:p>
    <w:p>
      <w:pPr>
        <w:spacing w:line="360" w:lineRule="auto"/>
        <w:rPr>
          <w:rFonts w:ascii="宋体" w:hAnsi="宋体" w:eastAsia="宋体" w:cs="Times New Roman"/>
          <w:b/>
          <w:color w:val="auto"/>
          <w:sz w:val="24"/>
          <w:szCs w:val="20"/>
          <w:highlight w:val="none"/>
          <w:shd w:val="clear" w:color="auto" w:fill="ffffff"/>
        </w:rPr>
      </w:pPr>
      <w:r>
        <w:rPr>
          <w:rFonts w:hint="eastAsia" w:ascii="宋体" w:hAnsi="宋体" w:eastAsia="宋体" w:cs="Times New Roman"/>
          <w:b/>
          <w:color w:val="auto"/>
          <w:sz w:val="24"/>
          <w:szCs w:val="20"/>
          <w:highlight w:val="none"/>
          <w:shd w:val="clear" w:color="auto" w:fill="ffffff"/>
        </w:rPr>
        <w:t xml:space="preserve">（1）资格文件的声明函</w:t>
      </w:r>
      <w:r/>
    </w:p>
    <w:p>
      <w:pPr>
        <w:jc w:val="center"/>
        <w:spacing w:line="360" w:lineRule="auto"/>
        <w:rPr>
          <w:rFonts w:ascii="宋体" w:hAnsi="宋体" w:eastAsia="宋体" w:cs="Times New Roman"/>
          <w:b/>
          <w:bCs/>
          <w:color w:val="auto"/>
          <w:sz w:val="24"/>
          <w:szCs w:val="20"/>
          <w:highlight w:val="none"/>
          <w:shd w:val="clear" w:color="auto" w:fill="ffffff"/>
        </w:rPr>
      </w:pPr>
      <w:r>
        <w:rPr>
          <w:rFonts w:hint="eastAsia" w:ascii="宋体" w:hAnsi="宋体" w:eastAsia="宋体" w:cs="Times New Roman"/>
          <w:b/>
          <w:bCs/>
          <w:color w:val="auto"/>
          <w:sz w:val="24"/>
          <w:szCs w:val="20"/>
          <w:highlight w:val="none"/>
          <w:shd w:val="clear" w:color="auto" w:fill="ffffff"/>
        </w:rPr>
        <w:t xml:space="preserve">资格文件的声明函</w:t>
      </w:r>
      <w:r/>
    </w:p>
    <w:p>
      <w:pPr>
        <w:pStyle w:val="1011"/>
        <w:ind w:firstLine="420"/>
        <w:spacing w:line="360" w:lineRule="auto"/>
        <w:rPr>
          <w:color w:val="auto"/>
          <w:highlight w:val="none"/>
          <w:lang w:val="en-US"/>
        </w:rPr>
      </w:pPr>
      <w:r>
        <w:rPr>
          <w:color w:val="auto"/>
          <w:highlight w:val="none"/>
          <w:lang w:val="en-US"/>
        </w:rPr>
      </w:r>
      <w:r/>
    </w:p>
    <w:p>
      <w:pPr>
        <w:spacing w:line="360" w:lineRule="auto"/>
        <w:rPr>
          <w:rFonts w:ascii="宋体" w:hAnsi="宋体" w:eastAsia="宋体" w:cs="Times New Roman"/>
          <w:color w:val="auto"/>
          <w:sz w:val="24"/>
          <w:szCs w:val="20"/>
          <w:highlight w:val="none"/>
          <w:shd w:val="clear" w:color="auto" w:fill="ffffff"/>
        </w:rPr>
      </w:pPr>
      <w:r>
        <w:rPr>
          <w:rFonts w:hint="eastAsia" w:ascii="宋体" w:hAnsi="宋体" w:eastAsia="宋体"/>
          <w:b/>
          <w:bCs/>
          <w:color w:val="auto"/>
          <w:sz w:val="24"/>
          <w:szCs w:val="24"/>
          <w:highlight w:val="none"/>
          <w:u w:val="single"/>
          <w:lang w:eastAsia="zh-CN"/>
        </w:rPr>
        <w:t xml:space="preserve">苏州工业园区教育局</w:t>
      </w:r>
      <w:r>
        <w:rPr>
          <w:rFonts w:ascii="宋体" w:hAnsi="宋体" w:eastAsia="宋体" w:cs="Times New Roman"/>
          <w:b/>
          <w:bCs/>
          <w:color w:val="auto"/>
          <w:sz w:val="24"/>
          <w:szCs w:val="24"/>
          <w:highlight w:val="none"/>
          <w:u w:val="single"/>
        </w:rPr>
        <w:t xml:space="preserve">：</w:t>
      </w:r>
      <w:r/>
    </w:p>
    <w:p>
      <w:pPr>
        <w:ind w:firstLine="480"/>
        <w:spacing w:line="360" w:lineRule="auto"/>
        <w:rPr>
          <w:rFonts w:ascii="宋体" w:hAnsi="宋体" w:eastAsia="宋体" w:cs="Times New Roman"/>
          <w:color w:val="auto"/>
          <w:sz w:val="24"/>
          <w:szCs w:val="20"/>
          <w:highlight w:val="none"/>
          <w:shd w:val="clear" w:color="auto" w:fill="ffffff"/>
        </w:rPr>
      </w:pPr>
      <w:r>
        <w:rPr>
          <w:rFonts w:hint="eastAsia" w:ascii="宋体" w:hAnsi="宋体" w:eastAsia="宋体" w:cs="Times New Roman"/>
          <w:color w:val="auto"/>
          <w:sz w:val="24"/>
          <w:szCs w:val="20"/>
          <w:highlight w:val="none"/>
          <w:shd w:val="clear" w:color="auto" w:fill="ffffff"/>
        </w:rPr>
        <w:t xml:space="preserve">本公司愿就由贵司组织实施的编号为</w:t>
      </w:r>
      <w:r>
        <w:rPr>
          <w:rFonts w:hint="eastAsia" w:ascii="宋体" w:hAnsi="宋体" w:eastAsia="宋体" w:cs="Times New Roman"/>
          <w:color w:val="auto"/>
          <w:sz w:val="24"/>
          <w:szCs w:val="20"/>
          <w:highlight w:val="none"/>
          <w:u w:val="single"/>
          <w:shd w:val="clear" w:color="auto" w:fill="ffffff"/>
        </w:rPr>
        <w:t xml:space="preserve">            </w:t>
      </w:r>
      <w:r>
        <w:rPr>
          <w:rFonts w:hint="eastAsia" w:ascii="宋体" w:hAnsi="宋体" w:eastAsia="宋体" w:cs="Times New Roman"/>
          <w:color w:val="auto"/>
          <w:sz w:val="24"/>
          <w:szCs w:val="20"/>
          <w:highlight w:val="none"/>
          <w:shd w:val="clear" w:color="auto" w:fill="ffffff"/>
        </w:rPr>
        <w:t xml:space="preserve">号的招标活动进行投标。本公司所提交的投标文件中所有关于投标资格的文件、证明和陈述均是真实的、准确的。若与真实情况不符，本公司愿意承担由此而产生的一切后果。</w:t>
      </w:r>
      <w:r/>
    </w:p>
    <w:p>
      <w:pPr>
        <w:ind w:firstLine="480"/>
        <w:spacing w:line="360" w:lineRule="auto"/>
        <w:rPr>
          <w:rFonts w:ascii="宋体" w:hAnsi="宋体" w:eastAsia="宋体" w:cs="Times New Roman"/>
          <w:color w:val="auto"/>
          <w:sz w:val="24"/>
          <w:szCs w:val="20"/>
          <w:highlight w:val="none"/>
          <w:shd w:val="clear" w:color="auto" w:fill="ffffff"/>
        </w:rPr>
      </w:pPr>
      <w:r>
        <w:rPr>
          <w:rFonts w:ascii="宋体" w:hAnsi="宋体" w:eastAsia="宋体" w:cs="Times New Roman"/>
          <w:color w:val="auto"/>
          <w:sz w:val="24"/>
          <w:szCs w:val="20"/>
          <w:highlight w:val="none"/>
          <w:shd w:val="clear" w:color="auto" w:fill="ffffff"/>
        </w:rPr>
      </w:r>
      <w:r/>
    </w:p>
    <w:p>
      <w:pPr>
        <w:ind w:firstLine="480"/>
        <w:spacing w:line="360" w:lineRule="auto"/>
        <w:rPr>
          <w:rFonts w:ascii="宋体" w:hAnsi="宋体" w:eastAsia="宋体" w:cs="Times New Roman"/>
          <w:color w:val="auto"/>
          <w:sz w:val="24"/>
          <w:szCs w:val="20"/>
          <w:highlight w:val="none"/>
          <w:shd w:val="clear" w:color="auto" w:fill="ffffff"/>
        </w:rPr>
      </w:pPr>
      <w:r>
        <w:rPr>
          <w:rFonts w:ascii="宋体" w:hAnsi="宋体" w:eastAsia="宋体" w:cs="Times New Roman"/>
          <w:color w:val="auto"/>
          <w:sz w:val="24"/>
          <w:szCs w:val="20"/>
          <w:highlight w:val="none"/>
          <w:shd w:val="clear" w:color="auto" w:fill="ffffff"/>
        </w:rPr>
      </w:r>
      <w:r/>
    </w:p>
    <w:p>
      <w:pPr>
        <w:ind w:firstLine="480"/>
        <w:spacing w:line="360" w:lineRule="auto"/>
        <w:rPr>
          <w:rFonts w:ascii="仿宋_GB2312" w:hAnsi="Calibri" w:eastAsia="仿宋_GB2312" w:cs="Times New Roman"/>
          <w:color w:val="auto"/>
          <w:sz w:val="24"/>
          <w:szCs w:val="24"/>
          <w:highlight w:val="none"/>
        </w:rPr>
      </w:pPr>
      <w:r>
        <w:rPr>
          <w:rFonts w:ascii="仿宋_GB2312" w:hAnsi="Calibri" w:eastAsia="仿宋_GB2312" w:cs="Times New Roman"/>
          <w:color w:val="auto"/>
          <w:sz w:val="24"/>
          <w:szCs w:val="24"/>
          <w:highlight w:val="none"/>
        </w:rPr>
      </w:r>
      <w:r/>
    </w:p>
    <w:p>
      <w:pPr>
        <w:ind w:right="105" w:firstLine="210"/>
        <w:jc w:val="right"/>
        <w:spacing w:line="360" w:lineRule="auto"/>
        <w:rPr>
          <w:rFonts w:ascii="Times New Roman"/>
          <w:color w:val="auto"/>
          <w:szCs w:val="21"/>
          <w:highlight w:val="none"/>
        </w:rPr>
      </w:pPr>
      <w:r>
        <w:rPr>
          <w:rFonts w:ascii="Times New Roman"/>
          <w:color w:val="auto"/>
          <w:szCs w:val="21"/>
          <w:highlight w:val="none"/>
        </w:rPr>
        <w:t xml:space="preserve">供应商名称：（加盖CA电子公章）</w:t>
      </w:r>
      <w:r/>
    </w:p>
    <w:p>
      <w:pPr>
        <w:ind w:right="420" w:firstLine="210"/>
        <w:jc w:val="right"/>
        <w:spacing w:line="360" w:lineRule="auto"/>
        <w:rPr>
          <w:rFonts w:ascii="Times New Roman"/>
          <w:color w:val="auto"/>
          <w:szCs w:val="21"/>
          <w:highlight w:val="none"/>
        </w:rPr>
      </w:pPr>
      <w:r>
        <w:rPr>
          <w:rFonts w:ascii="Times New Roman"/>
          <w:color w:val="auto"/>
          <w:szCs w:val="21"/>
          <w:highlight w:val="none"/>
        </w:rPr>
        <w:t xml:space="preserve">日期：　　　年　　月　　日</w:t>
      </w:r>
      <w:r/>
    </w:p>
    <w:p>
      <w:pPr>
        <w:spacing w:line="360" w:lineRule="auto"/>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rPr>
          <w:rFonts w:ascii="宋体" w:hAnsi="宋体" w:eastAsia="宋体" w:cs="Times New Roman"/>
          <w:b/>
          <w:color w:val="auto"/>
          <w:sz w:val="24"/>
          <w:szCs w:val="20"/>
          <w:highlight w:val="none"/>
          <w:shd w:val="clear" w:color="auto" w:fill="ffffff"/>
        </w:rPr>
      </w:pPr>
      <w:r>
        <w:rPr>
          <w:rFonts w:hint="eastAsia" w:ascii="宋体" w:hAnsi="宋体" w:eastAsia="宋体" w:cs="Times New Roman"/>
          <w:b/>
          <w:color w:val="auto"/>
          <w:sz w:val="24"/>
          <w:szCs w:val="20"/>
          <w:highlight w:val="none"/>
          <w:shd w:val="clear" w:color="auto" w:fill="ffffff"/>
        </w:rPr>
        <w:br w:type="page" w:clear="all"/>
      </w:r>
      <w:r/>
    </w:p>
    <w:p>
      <w:pPr>
        <w:spacing w:line="360" w:lineRule="auto"/>
        <w:rPr>
          <w:rFonts w:ascii="宋体" w:hAnsi="宋体" w:eastAsia="宋体" w:cs="Times New Roman"/>
          <w:b/>
          <w:color w:val="auto"/>
          <w:sz w:val="24"/>
          <w:szCs w:val="20"/>
          <w:highlight w:val="none"/>
          <w:shd w:val="clear" w:color="auto" w:fill="ffffff"/>
        </w:rPr>
      </w:pPr>
      <w:r>
        <w:rPr>
          <w:rFonts w:hint="eastAsia" w:ascii="宋体" w:hAnsi="宋体" w:eastAsia="宋体" w:cs="Times New Roman"/>
          <w:b/>
          <w:color w:val="auto"/>
          <w:sz w:val="24"/>
          <w:szCs w:val="20"/>
          <w:highlight w:val="none"/>
          <w:shd w:val="clear" w:color="auto" w:fill="ffffff"/>
        </w:rPr>
        <w:t xml:space="preserve">（2）中小企业声明函</w:t>
      </w:r>
      <w:r/>
    </w:p>
    <w:p>
      <w:pPr>
        <w:ind w:firstLine="630"/>
        <w:jc w:val="center"/>
        <w:spacing w:line="360" w:lineRule="auto"/>
        <w:rPr>
          <w:color w:val="auto"/>
          <w:szCs w:val="21"/>
          <w:highlight w:val="none"/>
          <w:lang w:val="zh-CN"/>
        </w:rPr>
      </w:pPr>
      <w:r>
        <w:rPr>
          <w:rFonts w:hint="eastAsia" w:ascii="宋体" w:hAnsi="宋体" w:eastAsia="宋体" w:cs="Times New Roman"/>
          <w:b/>
          <w:color w:val="auto"/>
          <w:sz w:val="24"/>
          <w:szCs w:val="20"/>
          <w:highlight w:val="none"/>
          <w:shd w:val="clear" w:color="auto" w:fill="ffffff"/>
        </w:rPr>
        <w:t xml:space="preserve">中小企业声明函</w:t>
      </w:r>
      <w:r/>
    </w:p>
    <w:p>
      <w:pPr>
        <w:ind w:firstLine="630"/>
        <w:spacing w:line="360" w:lineRule="auto"/>
        <w:rPr>
          <w:color w:val="auto"/>
          <w:szCs w:val="21"/>
          <w:highlight w:val="none"/>
          <w:lang w:val="zh-CN"/>
        </w:rPr>
      </w:pPr>
      <w:r>
        <w:rPr>
          <w:color w:val="auto"/>
          <w:szCs w:val="21"/>
          <w:highlight w:val="none"/>
          <w:lang w:val="zh-CN"/>
        </w:rPr>
      </w:r>
      <w:r/>
    </w:p>
    <w:p>
      <w:pPr>
        <w:ind w:firstLine="630"/>
        <w:spacing w:line="360" w:lineRule="auto"/>
        <w:rPr>
          <w:color w:val="auto"/>
          <w:szCs w:val="21"/>
          <w:highlight w:val="none"/>
        </w:rPr>
      </w:pPr>
      <w:r>
        <w:rPr>
          <w:color w:val="auto"/>
          <w:szCs w:val="21"/>
          <w:highlight w:val="none"/>
          <w:lang w:val="zh-CN"/>
        </w:rPr>
        <w:t xml:space="preserve">本公司郑重声明，根据《政府采购促进中小企业发展管理办法》（财库﹝2020﹞46 号）的规定，本公司参加</w:t>
      </w:r>
      <w:r>
        <w:rPr>
          <w:color w:val="auto"/>
          <w:szCs w:val="21"/>
          <w:highlight w:val="none"/>
          <w:u w:val="single"/>
          <w:lang w:val="zh-CN"/>
        </w:rPr>
        <w:t xml:space="preserve">（单位名称）</w:t>
      </w:r>
      <w:r>
        <w:rPr>
          <w:color w:val="auto"/>
          <w:szCs w:val="21"/>
          <w:highlight w:val="none"/>
          <w:lang w:val="zh-CN"/>
        </w:rPr>
        <w:t xml:space="preserve">的</w:t>
      </w:r>
      <w:r>
        <w:rPr>
          <w:bCs/>
          <w:color w:val="auto"/>
          <w:szCs w:val="21"/>
          <w:highlight w:val="none"/>
          <w:u w:val="single"/>
        </w:rPr>
        <w:t xml:space="preserve">（项目名称）</w:t>
      </w:r>
      <w:r>
        <w:rPr>
          <w:color w:val="auto"/>
          <w:szCs w:val="21"/>
          <w:highlight w:val="none"/>
          <w:lang w:val="zh-CN"/>
        </w:rPr>
        <w:t xml:space="preserve">采购活动，</w:t>
      </w:r>
      <w:r>
        <w:rPr>
          <w:color w:val="auto"/>
          <w:szCs w:val="21"/>
          <w:highlight w:val="none"/>
        </w:rPr>
        <w:t xml:space="preserve">提供的货物全部由符合政策要求的中小企业制造。</w:t>
      </w:r>
      <w:r>
        <w:rPr>
          <w:color w:val="auto"/>
          <w:szCs w:val="21"/>
          <w:highlight w:val="none"/>
          <w:lang w:val="zh-CN"/>
        </w:rPr>
        <w:t xml:space="preserve">相关企业（含联合体中的中小企业、签订分包意向协议的中小企业）的具体情况如下：</w:t>
      </w:r>
      <w:r/>
    </w:p>
    <w:p>
      <w:pPr>
        <w:ind w:firstLine="630"/>
        <w:spacing w:line="360" w:lineRule="auto"/>
        <w:rPr>
          <w:color w:val="auto"/>
          <w:szCs w:val="21"/>
          <w:highlight w:val="none"/>
          <w:lang w:val="zh-CN"/>
        </w:rPr>
      </w:pPr>
      <w:r>
        <w:rPr>
          <w:color w:val="auto"/>
          <w:szCs w:val="21"/>
          <w:highlight w:val="none"/>
          <w:lang w:val="zh-CN"/>
        </w:rPr>
        <w:t xml:space="preserve">1. </w:t>
      </w:r>
      <w:r>
        <w:rPr>
          <w:color w:val="auto"/>
          <w:szCs w:val="21"/>
          <w:highlight w:val="none"/>
          <w:u w:val="single"/>
          <w:lang w:val="zh-CN"/>
        </w:rPr>
        <w:t xml:space="preserve">（标的名称）</w:t>
      </w:r>
      <w:r>
        <w:rPr>
          <w:color w:val="auto"/>
          <w:szCs w:val="21"/>
          <w:highlight w:val="none"/>
          <w:lang w:val="zh-CN"/>
        </w:rPr>
        <w:t xml:space="preserve">，属于</w:t>
      </w:r>
      <w:r>
        <w:rPr>
          <w:color w:val="auto"/>
          <w:szCs w:val="21"/>
          <w:highlight w:val="none"/>
          <w:u w:val="single"/>
          <w:lang w:val="zh-CN"/>
        </w:rPr>
        <w:t xml:space="preserve">工业</w:t>
      </w:r>
      <w:r>
        <w:rPr>
          <w:color w:val="auto"/>
          <w:szCs w:val="21"/>
          <w:highlight w:val="none"/>
          <w:lang w:val="zh-CN"/>
        </w:rPr>
        <w:t xml:space="preserve">；制造商为</w:t>
      </w:r>
      <w:r>
        <w:rPr>
          <w:color w:val="auto"/>
          <w:szCs w:val="21"/>
          <w:highlight w:val="none"/>
          <w:u w:val="single"/>
          <w:lang w:val="zh-CN"/>
        </w:rPr>
        <w:t xml:space="preserve">（企业名称）</w:t>
      </w:r>
      <w:r>
        <w:rPr>
          <w:color w:val="auto"/>
          <w:szCs w:val="21"/>
          <w:highlight w:val="none"/>
          <w:lang w:val="zh-CN"/>
        </w:rPr>
        <w:t xml:space="preserve">，从业人员</w:t>
      </w:r>
      <w:r>
        <w:rPr>
          <w:color w:val="auto"/>
          <w:szCs w:val="21"/>
          <w:highlight w:val="none"/>
          <w:u w:val="single"/>
          <w:lang w:val="zh-CN"/>
        </w:rPr>
        <w:t xml:space="preserve">   </w:t>
      </w:r>
      <w:r>
        <w:rPr>
          <w:color w:val="auto"/>
          <w:szCs w:val="21"/>
          <w:highlight w:val="none"/>
          <w:lang w:val="zh-CN"/>
        </w:rPr>
        <w:t xml:space="preserve">人，营业收入为</w:t>
      </w:r>
      <w:r>
        <w:rPr>
          <w:color w:val="auto"/>
          <w:szCs w:val="21"/>
          <w:highlight w:val="none"/>
          <w:u w:val="single"/>
          <w:lang w:val="zh-CN"/>
        </w:rPr>
        <w:t xml:space="preserve">   </w:t>
      </w:r>
      <w:r>
        <w:rPr>
          <w:color w:val="auto"/>
          <w:szCs w:val="21"/>
          <w:highlight w:val="none"/>
          <w:lang w:val="zh-CN"/>
        </w:rPr>
        <w:t xml:space="preserve">万元，资产总额为</w:t>
      </w:r>
      <w:r>
        <w:rPr>
          <w:color w:val="auto"/>
          <w:szCs w:val="21"/>
          <w:highlight w:val="none"/>
          <w:u w:val="single"/>
          <w:lang w:val="zh-CN"/>
        </w:rPr>
        <w:t xml:space="preserve">   </w:t>
      </w:r>
      <w:r>
        <w:rPr>
          <w:color w:val="auto"/>
          <w:szCs w:val="21"/>
          <w:highlight w:val="none"/>
          <w:lang w:val="zh-CN"/>
        </w:rPr>
        <w:t xml:space="preserve">万元，属于</w:t>
      </w:r>
      <w:r>
        <w:rPr>
          <w:color w:val="auto"/>
          <w:szCs w:val="21"/>
          <w:highlight w:val="none"/>
          <w:u w:val="single"/>
          <w:lang w:val="zh-CN"/>
        </w:rPr>
        <w:t xml:space="preserve">               </w:t>
      </w:r>
      <w:r>
        <w:rPr>
          <w:color w:val="auto"/>
          <w:szCs w:val="21"/>
          <w:highlight w:val="none"/>
          <w:lang w:val="zh-CN"/>
        </w:rPr>
        <w:t xml:space="preserve">（中型企业、小型企业、微型企业，三者选一填写）；</w:t>
      </w:r>
      <w:r/>
    </w:p>
    <w:p>
      <w:pPr>
        <w:ind w:firstLine="630"/>
        <w:spacing w:line="360" w:lineRule="auto"/>
        <w:rPr>
          <w:color w:val="auto"/>
          <w:szCs w:val="21"/>
          <w:highlight w:val="none"/>
          <w:lang w:val="zh-CN"/>
        </w:rPr>
      </w:pPr>
      <w:r>
        <w:rPr>
          <w:color w:val="auto"/>
          <w:szCs w:val="21"/>
          <w:highlight w:val="none"/>
          <w:lang w:val="zh-CN"/>
        </w:rPr>
        <w:t xml:space="preserve">2. </w:t>
      </w:r>
      <w:r>
        <w:rPr>
          <w:color w:val="auto"/>
          <w:szCs w:val="21"/>
          <w:highlight w:val="none"/>
          <w:u w:val="single"/>
          <w:lang w:val="zh-CN"/>
        </w:rPr>
        <w:t xml:space="preserve">（标的名称）</w:t>
      </w:r>
      <w:r>
        <w:rPr>
          <w:color w:val="auto"/>
          <w:szCs w:val="21"/>
          <w:highlight w:val="none"/>
          <w:lang w:val="zh-CN"/>
        </w:rPr>
        <w:t xml:space="preserve">，属于</w:t>
      </w:r>
      <w:r>
        <w:rPr>
          <w:color w:val="auto"/>
          <w:szCs w:val="21"/>
          <w:highlight w:val="none"/>
          <w:u w:val="single"/>
          <w:lang w:val="zh-CN"/>
        </w:rPr>
        <w:t xml:space="preserve">工业</w:t>
      </w:r>
      <w:r>
        <w:rPr>
          <w:color w:val="auto"/>
          <w:szCs w:val="21"/>
          <w:highlight w:val="none"/>
          <w:lang w:val="zh-CN"/>
        </w:rPr>
        <w:t xml:space="preserve">；制造商为</w:t>
      </w:r>
      <w:r>
        <w:rPr>
          <w:color w:val="auto"/>
          <w:szCs w:val="21"/>
          <w:highlight w:val="none"/>
          <w:u w:val="single"/>
          <w:lang w:val="zh-CN"/>
        </w:rPr>
        <w:t xml:space="preserve">（企业名称）</w:t>
      </w:r>
      <w:r>
        <w:rPr>
          <w:color w:val="auto"/>
          <w:szCs w:val="21"/>
          <w:highlight w:val="none"/>
          <w:lang w:val="zh-CN"/>
        </w:rPr>
        <w:t xml:space="preserve">，从业人员</w:t>
      </w:r>
      <w:r>
        <w:rPr>
          <w:color w:val="auto"/>
          <w:szCs w:val="21"/>
          <w:highlight w:val="none"/>
          <w:u w:val="single"/>
          <w:lang w:val="zh-CN"/>
        </w:rPr>
        <w:t xml:space="preserve">   </w:t>
      </w:r>
      <w:r>
        <w:rPr>
          <w:color w:val="auto"/>
          <w:szCs w:val="21"/>
          <w:highlight w:val="none"/>
          <w:lang w:val="zh-CN"/>
        </w:rPr>
        <w:t xml:space="preserve">人，营业收入为</w:t>
      </w:r>
      <w:r>
        <w:rPr>
          <w:color w:val="auto"/>
          <w:szCs w:val="21"/>
          <w:highlight w:val="none"/>
          <w:u w:val="single"/>
          <w:lang w:val="zh-CN"/>
        </w:rPr>
        <w:t xml:space="preserve">   </w:t>
      </w:r>
      <w:r>
        <w:rPr>
          <w:color w:val="auto"/>
          <w:szCs w:val="21"/>
          <w:highlight w:val="none"/>
          <w:lang w:val="zh-CN"/>
        </w:rPr>
        <w:t xml:space="preserve">万元，资产总额为</w:t>
      </w:r>
      <w:r>
        <w:rPr>
          <w:color w:val="auto"/>
          <w:szCs w:val="21"/>
          <w:highlight w:val="none"/>
          <w:u w:val="single"/>
          <w:lang w:val="zh-CN"/>
        </w:rPr>
        <w:t xml:space="preserve">   </w:t>
      </w:r>
      <w:r>
        <w:rPr>
          <w:color w:val="auto"/>
          <w:szCs w:val="21"/>
          <w:highlight w:val="none"/>
          <w:lang w:val="zh-CN"/>
        </w:rPr>
        <w:t xml:space="preserve">万元，属于</w:t>
      </w:r>
      <w:r>
        <w:rPr>
          <w:color w:val="auto"/>
          <w:szCs w:val="21"/>
          <w:highlight w:val="none"/>
          <w:u w:val="single"/>
          <w:lang w:val="zh-CN"/>
        </w:rPr>
        <w:t xml:space="preserve">               </w:t>
      </w:r>
      <w:r>
        <w:rPr>
          <w:color w:val="auto"/>
          <w:szCs w:val="21"/>
          <w:highlight w:val="none"/>
          <w:lang w:val="zh-CN"/>
        </w:rPr>
        <w:t xml:space="preserve">（中型企业、小型企业、微型企业，三者选一填写）；</w:t>
      </w:r>
      <w:r/>
    </w:p>
    <w:p>
      <w:pPr>
        <w:ind w:firstLine="630"/>
        <w:spacing w:line="360" w:lineRule="auto"/>
        <w:rPr>
          <w:color w:val="auto"/>
          <w:szCs w:val="21"/>
          <w:highlight w:val="none"/>
          <w:lang w:val="zh-CN"/>
        </w:rPr>
      </w:pPr>
      <w:r>
        <w:rPr>
          <w:color w:val="auto"/>
          <w:szCs w:val="21"/>
          <w:highlight w:val="none"/>
          <w:lang w:val="zh-CN"/>
        </w:rPr>
        <w:t xml:space="preserve">……</w:t>
      </w:r>
      <w:r/>
    </w:p>
    <w:p>
      <w:pPr>
        <w:ind w:firstLine="630"/>
        <w:spacing w:line="360" w:lineRule="auto"/>
        <w:rPr>
          <w:color w:val="auto"/>
          <w:szCs w:val="21"/>
          <w:highlight w:val="none"/>
          <w:lang w:val="zh-CN"/>
        </w:rPr>
      </w:pPr>
      <w:r>
        <w:rPr>
          <w:color w:val="auto"/>
          <w:szCs w:val="21"/>
          <w:highlight w:val="none"/>
          <w:lang w:val="zh-CN"/>
        </w:rPr>
        <w:t xml:space="preserve">以上企业，不属于大企业的分支机构，不存在控股股东为大企业的情形，也不存在与大企业的负责人为同一人的情形。</w:t>
      </w:r>
      <w:r/>
    </w:p>
    <w:p>
      <w:pPr>
        <w:ind w:firstLine="630"/>
        <w:spacing w:line="360" w:lineRule="auto"/>
        <w:rPr>
          <w:color w:val="auto"/>
          <w:szCs w:val="21"/>
          <w:highlight w:val="none"/>
          <w:lang w:val="zh-CN"/>
        </w:rPr>
      </w:pPr>
      <w:r>
        <w:rPr>
          <w:color w:val="auto"/>
          <w:szCs w:val="21"/>
          <w:highlight w:val="none"/>
          <w:lang w:val="zh-CN"/>
        </w:rPr>
        <w:t xml:space="preserve">本企业对上述声明内容的真实性负责。如有虚假，将依法承担相应责任。</w:t>
      </w:r>
      <w:r/>
    </w:p>
    <w:p>
      <w:pPr>
        <w:ind w:firstLine="5880"/>
        <w:spacing w:line="360" w:lineRule="auto"/>
        <w:rPr>
          <w:color w:val="auto"/>
          <w:szCs w:val="24"/>
          <w:highlight w:val="none"/>
        </w:rPr>
      </w:pPr>
      <w:r>
        <w:rPr>
          <w:color w:val="auto"/>
          <w:szCs w:val="21"/>
          <w:highlight w:val="none"/>
          <w:lang w:val="zh-CN"/>
        </w:rPr>
        <w:t xml:space="preserve">企业名称（盖章）：</w:t>
      </w:r>
      <w:r/>
    </w:p>
    <w:p>
      <w:pPr>
        <w:ind w:firstLine="5880"/>
        <w:spacing w:line="360" w:lineRule="auto"/>
        <w:rPr>
          <w:color w:val="auto"/>
          <w:szCs w:val="21"/>
          <w:highlight w:val="none"/>
          <w:lang w:val="zh-CN"/>
        </w:rPr>
      </w:pPr>
      <w:r>
        <w:rPr>
          <w:color w:val="auto"/>
          <w:szCs w:val="21"/>
          <w:highlight w:val="none"/>
          <w:lang w:val="zh-CN"/>
        </w:rPr>
        <w:t xml:space="preserve">日期：</w:t>
      </w:r>
      <w:r>
        <w:rPr>
          <w:color w:val="auto"/>
          <w:szCs w:val="24"/>
          <w:highlight w:val="none"/>
        </w:rPr>
        <w:t xml:space="preserve">（填写）</w:t>
      </w:r>
      <w:r/>
    </w:p>
    <w:p>
      <w:pPr>
        <w:jc w:val="center"/>
        <w:widowControl/>
        <w:rPr>
          <w:color w:val="auto"/>
          <w:highlight w:val="none"/>
        </w:rPr>
      </w:pPr>
      <w:r>
        <w:rPr>
          <w:color w:val="auto"/>
          <w:highlight w:val="none"/>
        </w:rPr>
      </w:r>
      <w:r/>
    </w:p>
    <w:p>
      <w:pPr>
        <w:ind w:firstLine="422"/>
        <w:jc w:val="left"/>
        <w:spacing w:line="380" w:lineRule="exact"/>
        <w:rPr>
          <w:b/>
          <w:color w:val="auto"/>
          <w:szCs w:val="21"/>
          <w:highlight w:val="none"/>
        </w:rPr>
      </w:pPr>
      <w:r>
        <w:rPr>
          <w:b/>
          <w:color w:val="auto"/>
          <w:szCs w:val="21"/>
          <w:highlight w:val="none"/>
        </w:rPr>
        <w:t xml:space="preserve">备注：</w:t>
      </w:r>
      <w:r/>
    </w:p>
    <w:p>
      <w:pPr>
        <w:numPr>
          <w:ilvl w:val="0"/>
          <w:numId w:val="5"/>
        </w:numPr>
        <w:ind w:left="883"/>
        <w:spacing w:line="380" w:lineRule="exact"/>
        <w:rPr>
          <w:color w:val="auto"/>
          <w:szCs w:val="21"/>
          <w:highlight w:val="none"/>
          <w:lang w:val="zh-CN"/>
        </w:rPr>
      </w:pPr>
      <w:r>
        <w:rPr>
          <w:color w:val="auto"/>
          <w:szCs w:val="21"/>
          <w:highlight w:val="none"/>
          <w:lang w:val="zh-CN"/>
        </w:rPr>
        <w:t xml:space="preserve">从业人员、营业收入、资产总额填报上一年度数据，无上一年度数据的新成立企业可不填报；</w:t>
      </w:r>
      <w:r/>
    </w:p>
    <w:p>
      <w:pPr>
        <w:numPr>
          <w:ilvl w:val="0"/>
          <w:numId w:val="5"/>
        </w:numPr>
        <w:ind w:left="883"/>
        <w:spacing w:line="380" w:lineRule="exact"/>
        <w:rPr>
          <w:color w:val="auto"/>
          <w:szCs w:val="21"/>
          <w:highlight w:val="none"/>
          <w:lang w:val="zh-CN"/>
        </w:rPr>
      </w:pPr>
      <w:r>
        <w:rPr>
          <w:b/>
          <w:color w:val="auto"/>
          <w:szCs w:val="21"/>
          <w:highlight w:val="none"/>
          <w:lang w:val="zh-CN"/>
        </w:rPr>
        <w:t xml:space="preserve">若一个采购项目或采购包中含有多个货物采购标的的，则每个采购标的均应由中小企业制造。声明函中未包含采购的所有货物的制造商的，视为未提供中小企业声明函，不享受中小企业扶持政策</w:t>
      </w:r>
      <w:r>
        <w:rPr>
          <w:color w:val="auto"/>
          <w:szCs w:val="21"/>
          <w:highlight w:val="none"/>
          <w:lang w:val="zh-CN"/>
        </w:rPr>
        <w:t xml:space="preserve">；</w:t>
      </w:r>
      <w:r/>
    </w:p>
    <w:p>
      <w:pPr>
        <w:numPr>
          <w:ilvl w:val="0"/>
          <w:numId w:val="5"/>
        </w:numPr>
        <w:ind w:left="883"/>
        <w:spacing w:line="380" w:lineRule="exact"/>
        <w:rPr>
          <w:color w:val="auto"/>
          <w:szCs w:val="21"/>
          <w:highlight w:val="none"/>
          <w:lang w:val="zh-CN"/>
        </w:rPr>
      </w:pPr>
      <w:r>
        <w:rPr>
          <w:color w:val="auto"/>
          <w:szCs w:val="21"/>
          <w:highlight w:val="none"/>
          <w:lang w:val="zh-CN"/>
        </w:rPr>
        <w:t xml:space="preserve">若供应商提供的“中小企业声明函”内容不实的，属于提供虚假材料谋取中标、成交，依照《中华人民共和国政府采购法》等国家有关规定追究相应责任；</w:t>
      </w:r>
      <w:r/>
    </w:p>
    <w:p>
      <w:pPr>
        <w:numPr>
          <w:ilvl w:val="0"/>
          <w:numId w:val="5"/>
        </w:numPr>
        <w:ind w:left="883"/>
        <w:spacing w:line="380" w:lineRule="exact"/>
        <w:rPr>
          <w:color w:val="auto"/>
          <w:szCs w:val="21"/>
          <w:highlight w:val="none"/>
          <w:lang w:val="zh-CN"/>
        </w:rPr>
      </w:pPr>
      <w:r>
        <w:rPr>
          <w:color w:val="auto"/>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bookmarkStart w:id="32" w:name="_Hlk72923453"/>
      <w:r>
        <w:rPr>
          <w:color w:val="auto"/>
          <w:szCs w:val="21"/>
          <w:highlight w:val="none"/>
          <w:lang w:val="zh-CN"/>
        </w:rPr>
        <w:t xml:space="preserve">符合中小企业划分标准的个体工商户，在政府采购活动中视同中小企业</w:t>
      </w:r>
      <w:bookmarkEnd w:id="32"/>
      <w:r>
        <w:rPr>
          <w:color w:val="auto"/>
          <w:szCs w:val="21"/>
          <w:highlight w:val="none"/>
          <w:lang w:val="zh-CN"/>
        </w:rPr>
        <w:t xml:space="preserve">。</w:t>
      </w:r>
      <w:r/>
    </w:p>
    <w:p>
      <w:pPr>
        <w:numPr>
          <w:ilvl w:val="0"/>
          <w:numId w:val="5"/>
        </w:numPr>
        <w:ind w:left="851"/>
        <w:spacing w:line="380" w:lineRule="exact"/>
        <w:rPr>
          <w:color w:val="auto"/>
          <w:szCs w:val="21"/>
          <w:highlight w:val="none"/>
          <w:lang w:val="zh-CN"/>
        </w:rPr>
      </w:pPr>
      <w:r/>
      <w:bookmarkStart w:id="33" w:name="_Hlk94450593"/>
      <w:r>
        <w:rPr>
          <w:rFonts w:eastAsiaTheme="minorEastAsia"/>
          <w:color w:val="auto"/>
          <w:highlight w:val="none"/>
        </w:rPr>
        <w:t xml:space="preserve">投标文件中的电子签章视为投标人对本声明进行了签署盖章并承担相应责任。</w:t>
      </w:r>
      <w:bookmarkEnd w:id="33"/>
      <w:r/>
      <w:r/>
    </w:p>
    <w:p>
      <w:pPr>
        <w:jc w:val="left"/>
        <w:widowControl/>
        <w:rPr>
          <w:color w:val="auto"/>
          <w:highlight w:val="none"/>
        </w:rPr>
      </w:pPr>
      <w:r>
        <w:rPr>
          <w:color w:val="auto"/>
          <w:highlight w:val="none"/>
        </w:rPr>
        <w:br w:type="page" w:clear="all"/>
      </w:r>
      <w:r/>
    </w:p>
    <w:p>
      <w:pPr>
        <w:spacing w:before="156" w:line="240" w:lineRule="exact"/>
        <w:rPr>
          <w:b/>
          <w:color w:val="auto"/>
          <w:highlight w:val="none"/>
        </w:rPr>
      </w:pPr>
      <w:r>
        <w:rPr>
          <w:b/>
          <w:color w:val="auto"/>
          <w:highlight w:val="none"/>
        </w:rPr>
        <w:t xml:space="preserve">附：中小企业划型标准规定（工信部联企业〔2011〕300号）</w:t>
      </w:r>
      <w:r/>
    </w:p>
    <w:p>
      <w:pPr>
        <w:pStyle w:val="1010"/>
        <w:ind w:firstLine="420"/>
        <w:rPr>
          <w:rFonts w:ascii="Times New Roman"/>
          <w:color w:val="auto"/>
          <w:highlight w:val="none"/>
        </w:rPr>
      </w:pPr>
      <w:r>
        <w:rPr>
          <w:rFonts w:ascii="Times New Roman"/>
          <w:color w:val="auto"/>
          <w:highlight w:val="none"/>
        </w:rPr>
      </w:r>
      <w:r/>
    </w:p>
    <w:p>
      <w:pPr>
        <w:ind w:firstLine="422"/>
        <w:spacing w:before="156" w:line="240" w:lineRule="exact"/>
        <w:rPr>
          <w:color w:val="auto"/>
          <w:highlight w:val="none"/>
        </w:rPr>
      </w:pPr>
      <w:r>
        <w:rPr>
          <w:b/>
          <w:color w:val="auto"/>
          <w:highlight w:val="none"/>
        </w:rPr>
        <w:t xml:space="preserve">（一）农、林、牧、渔业。</w:t>
      </w:r>
      <w:r>
        <w:rPr>
          <w:color w:val="auto"/>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spacing w:before="156" w:line="240" w:lineRule="exact"/>
        <w:rPr>
          <w:color w:val="auto"/>
          <w:highlight w:val="none"/>
        </w:rPr>
      </w:pPr>
      <w:r>
        <w:rPr>
          <w:b/>
          <w:color w:val="auto"/>
          <w:highlight w:val="none"/>
        </w:rPr>
        <w:t xml:space="preserve">（二）工业。</w:t>
      </w:r>
      <w:r>
        <w:rPr>
          <w:color w:val="auto"/>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before="156" w:line="240" w:lineRule="exact"/>
        <w:rPr>
          <w:color w:val="auto"/>
          <w:highlight w:val="none"/>
        </w:rPr>
      </w:pPr>
      <w:r>
        <w:rPr>
          <w:b/>
          <w:color w:val="auto"/>
          <w:highlight w:val="none"/>
        </w:rPr>
        <w:t xml:space="preserve">（三）建筑业。</w:t>
      </w:r>
      <w:r>
        <w:rPr>
          <w:color w:val="auto"/>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before="156" w:line="240" w:lineRule="exact"/>
        <w:rPr>
          <w:color w:val="auto"/>
          <w:highlight w:val="none"/>
        </w:rPr>
      </w:pPr>
      <w:r>
        <w:rPr>
          <w:b/>
          <w:color w:val="auto"/>
          <w:highlight w:val="none"/>
        </w:rPr>
        <w:t xml:space="preserve">（四）批发业。</w:t>
      </w:r>
      <w:r>
        <w:rPr>
          <w:color w:val="auto"/>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before="156" w:line="240" w:lineRule="exact"/>
        <w:rPr>
          <w:color w:val="auto"/>
          <w:highlight w:val="none"/>
        </w:rPr>
      </w:pPr>
      <w:r>
        <w:rPr>
          <w:b/>
          <w:color w:val="auto"/>
          <w:highlight w:val="none"/>
        </w:rPr>
        <w:t xml:space="preserve">（五）零售业。</w:t>
      </w:r>
      <w:r>
        <w:rPr>
          <w:color w:val="auto"/>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before="156" w:line="240" w:lineRule="exact"/>
        <w:rPr>
          <w:color w:val="auto"/>
          <w:highlight w:val="none"/>
        </w:rPr>
      </w:pPr>
      <w:r>
        <w:rPr>
          <w:b/>
          <w:color w:val="auto"/>
          <w:highlight w:val="none"/>
        </w:rPr>
        <w:t xml:space="preserve">（六）交通运输业。</w:t>
      </w:r>
      <w:r>
        <w:rPr>
          <w:color w:val="auto"/>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before="156" w:line="240" w:lineRule="exact"/>
        <w:rPr>
          <w:color w:val="auto"/>
          <w:highlight w:val="none"/>
        </w:rPr>
      </w:pPr>
      <w:r>
        <w:rPr>
          <w:b/>
          <w:color w:val="auto"/>
          <w:highlight w:val="none"/>
        </w:rPr>
        <w:t xml:space="preserve">（七）仓储业。</w:t>
      </w:r>
      <w:r>
        <w:rPr>
          <w:color w:val="auto"/>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before="156" w:line="240" w:lineRule="exact"/>
        <w:rPr>
          <w:color w:val="auto"/>
          <w:highlight w:val="none"/>
        </w:rPr>
      </w:pPr>
      <w:r>
        <w:rPr>
          <w:b/>
          <w:color w:val="auto"/>
          <w:highlight w:val="none"/>
        </w:rPr>
        <w:t xml:space="preserve">（八）邮政业。</w:t>
      </w:r>
      <w:r>
        <w:rPr>
          <w:color w:val="auto"/>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before="156" w:line="240" w:lineRule="exact"/>
        <w:rPr>
          <w:color w:val="auto"/>
          <w:highlight w:val="none"/>
        </w:rPr>
      </w:pPr>
      <w:r>
        <w:rPr>
          <w:b/>
          <w:color w:val="auto"/>
          <w:highlight w:val="none"/>
        </w:rPr>
        <w:t xml:space="preserve">（九）住宿业。</w:t>
      </w:r>
      <w:r>
        <w:rPr>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240" w:lineRule="exact"/>
        <w:rPr>
          <w:color w:val="auto"/>
          <w:highlight w:val="none"/>
        </w:rPr>
      </w:pPr>
      <w:r>
        <w:rPr>
          <w:b/>
          <w:color w:val="auto"/>
          <w:highlight w:val="none"/>
        </w:rPr>
        <w:t xml:space="preserve">（十）餐饮业。</w:t>
      </w:r>
      <w:r>
        <w:rPr>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240" w:lineRule="exact"/>
        <w:rPr>
          <w:color w:val="auto"/>
          <w:highlight w:val="none"/>
        </w:rPr>
      </w:pPr>
      <w:r>
        <w:rPr>
          <w:b/>
          <w:color w:val="auto"/>
          <w:highlight w:val="none"/>
        </w:rPr>
        <w:t xml:space="preserve">（十一）信息传输业。</w:t>
      </w:r>
      <w:r>
        <w:rPr>
          <w:color w:val="auto"/>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before="156" w:line="240" w:lineRule="exact"/>
        <w:rPr>
          <w:color w:val="auto"/>
          <w:highlight w:val="none"/>
        </w:rPr>
      </w:pPr>
      <w:r>
        <w:rPr>
          <w:b/>
          <w:color w:val="auto"/>
          <w:highlight w:val="none"/>
        </w:rPr>
        <w:t xml:space="preserve">（十二）软件和信息技术服务业。</w:t>
      </w:r>
      <w:r>
        <w:rPr>
          <w:color w:val="auto"/>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before="156" w:line="240" w:lineRule="exact"/>
        <w:rPr>
          <w:color w:val="auto"/>
          <w:highlight w:val="none"/>
        </w:rPr>
      </w:pPr>
      <w:r>
        <w:rPr>
          <w:b/>
          <w:color w:val="auto"/>
          <w:highlight w:val="none"/>
        </w:rPr>
        <w:t xml:space="preserve">（十三）房地产开发经营。</w:t>
      </w:r>
      <w:r>
        <w:rPr>
          <w:color w:val="auto"/>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before="156" w:line="240" w:lineRule="exact"/>
        <w:rPr>
          <w:color w:val="auto"/>
          <w:highlight w:val="none"/>
        </w:rPr>
      </w:pPr>
      <w:r>
        <w:rPr>
          <w:b/>
          <w:color w:val="auto"/>
          <w:highlight w:val="none"/>
        </w:rPr>
        <w:t xml:space="preserve">（十四）物业管理。</w:t>
      </w:r>
      <w:r>
        <w:rPr>
          <w:color w:val="auto"/>
          <w:highlight w:val="none"/>
        </w:rPr>
        <w:t xml:space="preserve">从业人员1000人以下或营业收入5000万元以下的为中小微型企业。其中，从业人员</w:t>
      </w:r>
      <w:r/>
    </w:p>
    <w:p>
      <w:pPr>
        <w:spacing w:before="156" w:line="240" w:lineRule="exact"/>
        <w:rPr>
          <w:color w:val="auto"/>
          <w:highlight w:val="none"/>
        </w:rPr>
      </w:pPr>
      <w:r>
        <w:rPr>
          <w:color w:val="auto"/>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before="156" w:line="240" w:lineRule="exact"/>
        <w:rPr>
          <w:color w:val="auto"/>
          <w:highlight w:val="none"/>
        </w:rPr>
      </w:pPr>
      <w:r>
        <w:rPr>
          <w:b/>
          <w:color w:val="auto"/>
          <w:highlight w:val="none"/>
        </w:rPr>
        <w:t xml:space="preserve">（十五）租赁和商务服务业。</w:t>
      </w:r>
      <w:r>
        <w:rPr>
          <w:color w:val="auto"/>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before="156" w:line="240" w:lineRule="exact"/>
        <w:rPr>
          <w:color w:val="auto"/>
          <w:highlight w:val="none"/>
        </w:rPr>
      </w:pPr>
      <w:r>
        <w:rPr>
          <w:b/>
          <w:color w:val="auto"/>
          <w:highlight w:val="none"/>
        </w:rPr>
        <w:t xml:space="preserve">（十六）其他未列明行业。</w:t>
      </w:r>
      <w:r>
        <w:rPr>
          <w:color w:val="auto"/>
          <w:highlight w:val="none"/>
        </w:rPr>
        <w:t xml:space="preserve">从业人员300人以下的为中小微型企业。其中，从业人员100人及以上的为中型企业；从业人员10人及以上的为小型企业；从业人员10人以下的为微型企业。</w:t>
      </w:r>
      <w:r/>
    </w:p>
    <w:p>
      <w:pPr>
        <w:ind w:firstLine="420"/>
        <w:jc w:val="left"/>
        <w:spacing w:line="360" w:lineRule="auto"/>
        <w:rPr>
          <w:rFonts w:eastAsiaTheme="minorEastAsia"/>
          <w:b/>
          <w:color w:val="auto"/>
          <w:szCs w:val="21"/>
          <w:highlight w:val="none"/>
          <w:lang w:val="zh-CN"/>
        </w:rPr>
      </w:pPr>
      <w:r>
        <w:rPr>
          <w:rFonts w:eastAsiaTheme="minorEastAsia"/>
          <w:color w:val="auto"/>
          <w:szCs w:val="21"/>
          <w:highlight w:val="none"/>
          <w:lang w:val="zh-CN"/>
        </w:rPr>
        <w:br w:type="page" w:clear="all"/>
      </w:r>
      <w:r/>
    </w:p>
    <w:p>
      <w:pPr>
        <w:jc w:val="center"/>
        <w:spacing w:line="360" w:lineRule="auto"/>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r>
      <w:r/>
    </w:p>
    <w:p>
      <w:pPr>
        <w:ind w:left="570"/>
        <w:spacing w:line="360" w:lineRule="auto"/>
        <w:rPr>
          <w:rFonts w:ascii="宋体" w:hAnsi="宋体" w:eastAsia="宋体" w:cs="Times New Roman"/>
          <w:color w:val="auto"/>
          <w:sz w:val="24"/>
          <w:szCs w:val="20"/>
          <w:highlight w:val="none"/>
          <w:shd w:val="clear" w:color="auto" w:fill="ffffff"/>
        </w:rPr>
      </w:pPr>
      <w:r>
        <w:rPr>
          <w:rFonts w:ascii="宋体" w:hAnsi="宋体" w:eastAsia="宋体" w:cs="Times New Roman"/>
          <w:color w:val="auto"/>
          <w:sz w:val="24"/>
          <w:szCs w:val="20"/>
          <w:highlight w:val="none"/>
          <w:shd w:val="clear" w:color="auto" w:fill="ffffff"/>
        </w:rPr>
      </w:r>
      <w:r/>
    </w:p>
    <w:p>
      <w:pPr>
        <w:ind w:left="570"/>
        <w:spacing w:line="360" w:lineRule="auto"/>
        <w:rPr>
          <w:rFonts w:ascii="宋体" w:hAnsi="宋体" w:eastAsia="宋体" w:cs="Times New Roman"/>
          <w:color w:val="auto"/>
          <w:sz w:val="24"/>
          <w:szCs w:val="20"/>
          <w:highlight w:val="none"/>
          <w:shd w:val="clear" w:color="auto" w:fill="ffffff"/>
        </w:rPr>
      </w:pPr>
      <w:r>
        <w:rPr>
          <w:rFonts w:ascii="宋体" w:hAnsi="宋体" w:eastAsia="宋体" w:cs="Times New Roman"/>
          <w:color w:val="auto"/>
          <w:sz w:val="24"/>
          <w:szCs w:val="20"/>
          <w:highlight w:val="none"/>
          <w:shd w:val="clear" w:color="auto" w:fill="ffffff"/>
        </w:rPr>
      </w:r>
      <w:r/>
    </w:p>
    <w:p>
      <w:pPr>
        <w:spacing w:line="360" w:lineRule="auto"/>
        <w:rPr>
          <w:rFonts w:ascii="宋体" w:hAnsi="宋体" w:eastAsia="宋体" w:cs="宋体"/>
          <w:b/>
          <w:bCs/>
          <w:color w:val="auto"/>
          <w:sz w:val="24"/>
          <w:highlight w:val="none"/>
          <w:shd w:val="clear" w:color="auto" w:fill="ffffff"/>
        </w:rPr>
      </w:pPr>
      <w:r>
        <w:rPr>
          <w:rFonts w:hint="eastAsia" w:ascii="宋体" w:hAnsi="宋体" w:eastAsia="宋体" w:cs="Times New Roman"/>
          <w:b/>
          <w:color w:val="auto"/>
          <w:sz w:val="24"/>
          <w:szCs w:val="20"/>
          <w:highlight w:val="none"/>
          <w:shd w:val="clear" w:color="auto" w:fill="ffffff"/>
        </w:rPr>
        <w:t xml:space="preserve">（3）残疾人福利性单位声明函</w:t>
      </w:r>
      <w:r/>
    </w:p>
    <w:p>
      <w:pPr>
        <w:jc w:val="center"/>
        <w:spacing w:before="100" w:after="100" w:line="360" w:lineRule="auto"/>
        <w:widowControl/>
        <w:rPr>
          <w:rFonts w:ascii="宋体" w:hAnsi="宋体" w:eastAsia="宋体" w:cs="宋体"/>
          <w:b/>
          <w:color w:val="auto"/>
          <w:sz w:val="24"/>
          <w:highlight w:val="none"/>
          <w:shd w:val="clear" w:color="auto" w:fill="ffffff"/>
        </w:rPr>
      </w:pPr>
      <w:r>
        <w:rPr>
          <w:rFonts w:hint="eastAsia" w:ascii="宋体" w:hAnsi="宋体" w:eastAsia="宋体" w:cs="宋体"/>
          <w:b/>
          <w:color w:val="auto"/>
          <w:sz w:val="24"/>
          <w:highlight w:val="none"/>
          <w:shd w:val="clear" w:color="auto" w:fill="ffffff"/>
        </w:rPr>
        <w:t xml:space="preserve">残疾人福利性单位声明函</w:t>
      </w:r>
      <w:r/>
    </w:p>
    <w:p>
      <w:pPr>
        <w:ind w:firstLine="480"/>
        <w:jc w:val="left"/>
        <w:spacing w:before="100" w:after="100" w:line="360" w:lineRule="auto"/>
        <w:widowControl/>
        <w:rPr>
          <w:rFonts w:ascii="宋体" w:hAnsi="宋体" w:eastAsia="宋体" w:cs="宋体"/>
          <w:color w:val="auto"/>
          <w:sz w:val="24"/>
          <w:highlight w:val="none"/>
          <w:shd w:val="clear" w:color="auto" w:fill="ffffff"/>
        </w:rPr>
      </w:pPr>
      <w:r>
        <w:rPr>
          <w:rFonts w:ascii="宋体" w:hAnsi="宋体" w:eastAsia="宋体" w:cs="宋体"/>
          <w:color w:val="auto"/>
          <w:sz w:val="24"/>
          <w:highlight w:val="none"/>
          <w:shd w:val="clear" w:color="auto" w:fill="ffffff"/>
        </w:rPr>
      </w:r>
      <w:r/>
    </w:p>
    <w:p>
      <w:pPr>
        <w:ind w:firstLine="480"/>
        <w:jc w:val="left"/>
        <w:spacing w:before="100" w:after="100" w:line="360" w:lineRule="auto"/>
        <w:widowControl/>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本公司郑重声明，根据《财政部民政部中国残疾人联合会关于促进残疾人就业政府采购政策的通知》（财库〔2017〕141号）的规定，本公司为符合条件的残疾人福利性单位，且本公司参加______单位的______项目采购活动提供本公司制造的货物（由本公司承担工程/提供服务），或者提供其他残疾人福利性单位制造的货物（不包括使用非残疾人福利性单位注册商标的货物）。</w:t>
      </w:r>
      <w:r/>
    </w:p>
    <w:p>
      <w:pPr>
        <w:ind w:firstLine="480"/>
        <w:jc w:val="left"/>
        <w:spacing w:before="100" w:after="100" w:line="360" w:lineRule="auto"/>
        <w:widowControl/>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本公司对上述声明的真实性负责。如有虚假，将依法承担相应责任。</w:t>
      </w:r>
      <w:r/>
    </w:p>
    <w:p>
      <w:pPr>
        <w:ind w:firstLine="480"/>
        <w:jc w:val="left"/>
        <w:spacing w:before="100" w:after="100" w:line="360" w:lineRule="auto"/>
        <w:widowControl/>
        <w:rPr>
          <w:rFonts w:ascii="宋体" w:hAnsi="宋体" w:eastAsia="宋体" w:cs="宋体"/>
          <w:color w:val="auto"/>
          <w:sz w:val="24"/>
          <w:highlight w:val="none"/>
          <w:shd w:val="clear" w:color="auto" w:fill="ffffff"/>
        </w:rPr>
      </w:pPr>
      <w:r>
        <w:rPr>
          <w:rFonts w:ascii="宋体" w:hAnsi="宋体" w:eastAsia="宋体" w:cs="宋体"/>
          <w:color w:val="auto"/>
          <w:sz w:val="24"/>
          <w:highlight w:val="none"/>
          <w:shd w:val="clear" w:color="auto" w:fill="ffffff"/>
        </w:rPr>
      </w:r>
      <w:r/>
    </w:p>
    <w:p>
      <w:pPr>
        <w:ind w:firstLine="480"/>
        <w:jc w:val="left"/>
        <w:spacing w:before="100" w:after="100" w:line="360" w:lineRule="auto"/>
        <w:widowControl/>
        <w:rPr>
          <w:rFonts w:ascii="宋体" w:hAnsi="宋体" w:eastAsia="宋体" w:cs="宋体"/>
          <w:color w:val="auto"/>
          <w:sz w:val="24"/>
          <w:highlight w:val="none"/>
          <w:shd w:val="clear" w:color="auto" w:fill="ffffff"/>
        </w:rPr>
      </w:pPr>
      <w:r>
        <w:rPr>
          <w:rFonts w:ascii="宋体" w:hAnsi="宋体" w:eastAsia="宋体" w:cs="宋体"/>
          <w:color w:val="auto"/>
          <w:sz w:val="24"/>
          <w:highlight w:val="none"/>
          <w:shd w:val="clear" w:color="auto" w:fill="ffffff"/>
        </w:rPr>
      </w:r>
      <w:r/>
    </w:p>
    <w:p>
      <w:pPr>
        <w:ind w:firstLine="5280"/>
        <w:jc w:val="left"/>
        <w:spacing w:before="100" w:after="100" w:line="360" w:lineRule="auto"/>
        <w:widowControl/>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单位名称（盖章）：</w:t>
      </w:r>
      <w:r/>
    </w:p>
    <w:p>
      <w:pPr>
        <w:ind w:firstLine="5280"/>
        <w:jc w:val="left"/>
        <w:spacing w:before="100" w:after="100" w:line="360" w:lineRule="auto"/>
        <w:widowControl/>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日期：</w:t>
      </w:r>
      <w:r/>
    </w:p>
    <w:p>
      <w:pPr>
        <w:spacing w:line="360" w:lineRule="auto"/>
        <w:rPr>
          <w:rFonts w:ascii="宋体" w:hAnsi="宋体" w:eastAsia="宋体" w:cs="Times New Roman"/>
          <w:color w:val="auto"/>
          <w:sz w:val="30"/>
          <w:szCs w:val="30"/>
          <w:highlight w:val="none"/>
          <w:shd w:val="clear" w:color="auto" w:fill="ffffff"/>
        </w:rPr>
      </w:pPr>
      <w:r>
        <w:rPr>
          <w:rFonts w:ascii="宋体" w:hAnsi="宋体" w:eastAsia="宋体" w:cs="Times New Roman"/>
          <w:color w:val="auto"/>
          <w:sz w:val="30"/>
          <w:szCs w:val="30"/>
          <w:highlight w:val="none"/>
          <w:shd w:val="clear" w:color="auto" w:fill="ffffff"/>
        </w:rPr>
      </w:r>
      <w:r/>
    </w:p>
    <w:p>
      <w:pPr>
        <w:spacing w:line="360" w:lineRule="auto"/>
        <w:rPr>
          <w:rFonts w:ascii="宋体" w:hAnsi="宋体" w:eastAsia="宋体" w:cs="Times New Roman"/>
          <w:color w:val="auto"/>
          <w:sz w:val="30"/>
          <w:szCs w:val="30"/>
          <w:highlight w:val="none"/>
          <w:shd w:val="clear" w:color="auto" w:fill="ffffff"/>
        </w:rPr>
      </w:pPr>
      <w:r>
        <w:rPr>
          <w:rFonts w:ascii="宋体" w:hAnsi="宋体" w:eastAsia="宋体" w:cs="Times New Roman"/>
          <w:color w:val="auto"/>
          <w:sz w:val="30"/>
          <w:szCs w:val="30"/>
          <w:highlight w:val="none"/>
          <w:shd w:val="clear" w:color="auto" w:fill="ffffff"/>
        </w:rPr>
      </w:r>
      <w:r/>
    </w:p>
    <w:p>
      <w:pPr>
        <w:ind w:firstLine="211"/>
        <w:rPr>
          <w:rFonts w:ascii="Times New Roman"/>
          <w:color w:val="auto"/>
          <w:sz w:val="24"/>
          <w:szCs w:val="24"/>
          <w:highlight w:val="none"/>
        </w:rPr>
      </w:pPr>
      <w:r>
        <w:rPr>
          <w:rFonts w:ascii="Times New Roman"/>
          <w:b/>
          <w:color w:val="auto"/>
          <w:szCs w:val="21"/>
          <w:highlight w:val="none"/>
        </w:rPr>
        <w:t xml:space="preserve">注：</w:t>
      </w:r>
      <w:bookmarkStart w:id="34" w:name="_Hlk158140990"/>
      <w:r>
        <w:rPr>
          <w:rFonts w:ascii="Times New Roman"/>
          <w:b/>
          <w:color w:val="auto"/>
          <w:szCs w:val="21"/>
          <w:highlight w:val="none"/>
        </w:rPr>
        <w:t xml:space="preserve">投标文件中的电子签章视为供应商对本声明进行了签署盖章并承担相应责任</w:t>
      </w:r>
      <w:bookmarkEnd w:id="34"/>
      <w:r>
        <w:rPr>
          <w:rFonts w:ascii="Times New Roman"/>
          <w:b/>
          <w:color w:val="auto"/>
          <w:szCs w:val="21"/>
          <w:highlight w:val="none"/>
        </w:rPr>
        <w:t xml:space="preserve">。</w:t>
      </w:r>
      <w:r/>
    </w:p>
    <w:p>
      <w:pPr>
        <w:spacing w:line="360" w:lineRule="auto"/>
        <w:rPr>
          <w:rFonts w:ascii="宋体" w:hAnsi="宋体" w:eastAsia="宋体" w:cs="Times New Roman"/>
          <w:color w:val="auto"/>
          <w:sz w:val="30"/>
          <w:szCs w:val="30"/>
          <w:highlight w:val="none"/>
          <w:shd w:val="clear" w:color="auto" w:fill="ffffff"/>
        </w:rPr>
      </w:pPr>
      <w:r>
        <w:rPr>
          <w:rFonts w:ascii="宋体" w:hAnsi="宋体" w:eastAsia="宋体" w:cs="Times New Roman"/>
          <w:color w:val="auto"/>
          <w:sz w:val="30"/>
          <w:szCs w:val="30"/>
          <w:highlight w:val="none"/>
          <w:shd w:val="clear" w:color="auto" w:fill="ffffff"/>
        </w:rPr>
      </w:r>
      <w:r/>
    </w:p>
    <w:p>
      <w:pPr>
        <w:spacing w:line="360" w:lineRule="auto"/>
        <w:rPr>
          <w:rFonts w:ascii="宋体" w:hAnsi="宋体" w:eastAsia="宋体" w:cs="Times New Roman"/>
          <w:color w:val="auto"/>
          <w:sz w:val="30"/>
          <w:szCs w:val="30"/>
          <w:highlight w:val="none"/>
          <w:shd w:val="clear" w:color="auto" w:fill="ffffff"/>
        </w:rPr>
      </w:pPr>
      <w:r>
        <w:rPr>
          <w:rFonts w:ascii="宋体" w:hAnsi="宋体" w:eastAsia="宋体" w:cs="Times New Roman"/>
          <w:color w:val="auto"/>
          <w:sz w:val="30"/>
          <w:szCs w:val="30"/>
          <w:highlight w:val="none"/>
          <w:shd w:val="clear" w:color="auto" w:fill="ffffff"/>
        </w:rPr>
      </w:r>
      <w:r/>
    </w:p>
    <w:p>
      <w:pPr>
        <w:spacing w:line="360" w:lineRule="auto"/>
        <w:rPr>
          <w:rFonts w:ascii="宋体" w:hAnsi="宋体" w:eastAsia="宋体" w:cs="Times New Roman"/>
          <w:color w:val="auto"/>
          <w:sz w:val="30"/>
          <w:szCs w:val="30"/>
          <w:highlight w:val="none"/>
          <w:shd w:val="clear" w:color="auto" w:fill="ffffff"/>
        </w:rPr>
      </w:pPr>
      <w:r>
        <w:rPr>
          <w:rFonts w:ascii="宋体" w:hAnsi="宋体" w:eastAsia="宋体" w:cs="Times New Roman"/>
          <w:color w:val="auto"/>
          <w:sz w:val="30"/>
          <w:szCs w:val="30"/>
          <w:highlight w:val="none"/>
          <w:shd w:val="clear" w:color="auto" w:fill="ffffff"/>
        </w:rPr>
      </w:r>
      <w:r/>
    </w:p>
    <w:p>
      <w:pPr>
        <w:spacing w:line="360" w:lineRule="auto"/>
        <w:rPr>
          <w:rFonts w:ascii="宋体" w:hAnsi="宋体" w:eastAsia="宋体" w:cs="Times New Roman"/>
          <w:color w:val="auto"/>
          <w:sz w:val="30"/>
          <w:szCs w:val="30"/>
          <w:highlight w:val="none"/>
          <w:shd w:val="clear" w:color="auto" w:fill="ffffff"/>
        </w:rPr>
      </w:pPr>
      <w:r>
        <w:rPr>
          <w:rFonts w:ascii="宋体" w:hAnsi="宋体" w:eastAsia="宋体" w:cs="Times New Roman"/>
          <w:color w:val="auto"/>
          <w:sz w:val="30"/>
          <w:szCs w:val="30"/>
          <w:highlight w:val="none"/>
          <w:shd w:val="clear" w:color="auto" w:fill="ffffff"/>
        </w:rPr>
      </w:r>
      <w:r/>
    </w:p>
    <w:p>
      <w:pPr>
        <w:spacing w:line="360" w:lineRule="auto"/>
        <w:rPr>
          <w:rFonts w:ascii="宋体" w:hAnsi="宋体" w:eastAsia="宋体" w:cs="Times New Roman"/>
          <w:color w:val="auto"/>
          <w:sz w:val="30"/>
          <w:szCs w:val="30"/>
          <w:highlight w:val="none"/>
          <w:shd w:val="clear" w:color="auto" w:fill="ffffff"/>
        </w:rPr>
      </w:pPr>
      <w:r>
        <w:rPr>
          <w:rFonts w:ascii="宋体" w:hAnsi="宋体" w:eastAsia="宋体" w:cs="Times New Roman"/>
          <w:color w:val="auto"/>
          <w:sz w:val="30"/>
          <w:szCs w:val="30"/>
          <w:highlight w:val="none"/>
          <w:shd w:val="clear" w:color="auto" w:fill="ffffff"/>
        </w:rPr>
      </w:r>
      <w:r/>
    </w:p>
    <w:p>
      <w:pPr>
        <w:spacing w:line="360" w:lineRule="auto"/>
        <w:rPr>
          <w:rFonts w:ascii="宋体" w:hAnsi="宋体" w:eastAsia="宋体" w:cs="Times New Roman"/>
          <w:color w:val="auto"/>
          <w:sz w:val="30"/>
          <w:szCs w:val="30"/>
          <w:highlight w:val="none"/>
          <w:shd w:val="clear" w:color="auto" w:fill="ffffff"/>
        </w:rPr>
      </w:pPr>
      <w:r>
        <w:rPr>
          <w:rFonts w:ascii="宋体" w:hAnsi="宋体" w:eastAsia="宋体" w:cs="Times New Roman"/>
          <w:color w:val="auto"/>
          <w:sz w:val="30"/>
          <w:szCs w:val="30"/>
          <w:highlight w:val="none"/>
          <w:shd w:val="clear" w:color="auto" w:fill="ffffff"/>
        </w:rPr>
      </w:r>
      <w:r/>
    </w:p>
    <w:p>
      <w:pPr>
        <w:jc w:val="left"/>
        <w:spacing w:line="360" w:lineRule="auto"/>
        <w:rPr>
          <w:rFonts w:ascii="宋体" w:hAnsi="宋体" w:eastAsia="宋体" w:cs="Times New Roman"/>
          <w:color w:val="auto"/>
          <w:sz w:val="30"/>
          <w:szCs w:val="30"/>
          <w:highlight w:val="none"/>
          <w:shd w:val="clear" w:color="auto" w:fill="ffffff"/>
        </w:rPr>
      </w:pPr>
      <w:r>
        <w:rPr>
          <w:rFonts w:ascii="宋体" w:hAnsi="宋体" w:eastAsia="宋体" w:cs="Times New Roman"/>
          <w:color w:val="auto"/>
          <w:sz w:val="30"/>
          <w:szCs w:val="30"/>
          <w:highlight w:val="none"/>
          <w:shd w:val="clear" w:color="auto" w:fill="ffffff"/>
        </w:rPr>
        <w:br w:type="page" w:clear="all"/>
      </w:r>
      <w:r/>
    </w:p>
    <w:p>
      <w:pPr>
        <w:spacing w:line="360" w:lineRule="auto"/>
        <w:rPr>
          <w:rFonts w:hint="eastAsia" w:ascii="宋体" w:hAnsi="宋体" w:eastAsia="宋体" w:cs="Times New Roman"/>
          <w:b/>
          <w:color w:val="auto"/>
          <w:sz w:val="24"/>
          <w:szCs w:val="20"/>
          <w:highlight w:val="none"/>
          <w:shd w:val="clear" w:color="auto" w:fill="ffffff"/>
        </w:rPr>
      </w:pPr>
      <w:r>
        <w:rPr>
          <w:rFonts w:hint="eastAsia" w:ascii="宋体" w:hAnsi="宋体" w:eastAsia="宋体" w:cs="Times New Roman"/>
          <w:b/>
          <w:color w:val="auto"/>
          <w:sz w:val="24"/>
          <w:szCs w:val="20"/>
          <w:highlight w:val="none"/>
          <w:shd w:val="clear" w:color="auto" w:fill="ffffff"/>
        </w:rPr>
      </w:r>
      <w:r/>
    </w:p>
    <w:p>
      <w:pPr>
        <w:spacing w:line="360" w:lineRule="auto"/>
        <w:rPr>
          <w:color w:val="auto"/>
          <w:szCs w:val="24"/>
          <w:highlight w:val="none"/>
        </w:rPr>
      </w:pPr>
      <w:r>
        <w:rPr>
          <w:rFonts w:hint="eastAsia" w:ascii="宋体" w:hAnsi="宋体" w:eastAsia="宋体" w:cs="Times New Roman"/>
          <w:b/>
          <w:color w:val="auto"/>
          <w:sz w:val="24"/>
          <w:szCs w:val="20"/>
          <w:highlight w:val="none"/>
          <w:shd w:val="clear" w:color="auto" w:fill="ffffff"/>
        </w:rPr>
        <w:t xml:space="preserve">（</w:t>
      </w:r>
      <w:r>
        <w:rPr>
          <w:rFonts w:hint="eastAsia" w:ascii="宋体" w:hAnsi="宋体" w:eastAsia="宋体" w:cs="Times New Roman"/>
          <w:b/>
          <w:color w:val="auto"/>
          <w:sz w:val="24"/>
          <w:szCs w:val="20"/>
          <w:highlight w:val="none"/>
          <w:shd w:val="clear" w:color="auto" w:fill="ffffff"/>
          <w:lang w:val="en-US" w:eastAsia="zh-CN"/>
        </w:rPr>
        <w:t xml:space="preserve">4</w:t>
      </w:r>
      <w:r>
        <w:rPr>
          <w:rFonts w:hint="eastAsia" w:ascii="宋体" w:hAnsi="宋体" w:eastAsia="宋体" w:cs="Times New Roman"/>
          <w:b/>
          <w:color w:val="auto"/>
          <w:sz w:val="24"/>
          <w:szCs w:val="20"/>
          <w:highlight w:val="none"/>
          <w:shd w:val="clear" w:color="auto" w:fill="ffffff"/>
        </w:rPr>
        <w:t xml:space="preserve">）、关于符合本国产品标准的声明函</w:t>
      </w:r>
      <w:r>
        <w:rPr>
          <w:color w:val="auto"/>
          <w:highlight w:val="none"/>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关于符合本国产品标准的声明函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vertAlign w:val="superscript"/>
        </w:rPr>
        <w:t xml:space="preserve">1</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vertAlign w:val="superscript"/>
        </w:rPr>
        <w:t xml:space="preserve">2</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vertAlign w:val="superscript"/>
        </w:rPr>
        <w:t xml:space="preserve">3</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vertAlign w:val="superscript"/>
        </w:rPr>
        <w:t xml:space="preserve">4</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vertAlign w:val="superscript"/>
        </w:rPr>
        <w:t xml:space="preserve">5</w:t>
      </w:r>
      <w:r>
        <w:rPr>
          <w:rFonts w:ascii="SimSun" w:hAnsi="SimSun" w:eastAsia="SimSun" w:cs="SimSun"/>
          <w:color w:val="000000"/>
          <w:sz w:val="24"/>
          <w:highlight w:val="white"/>
        </w:rPr>
        <w:t xml:space="preserve">在中国境内完成。</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在中国境内完成。</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本公司（单位）对上述声明内容的真实性负责。如有虚假，愿承担相应法律责任。</w:t>
      </w:r>
      <w:r/>
    </w:p>
    <w:p>
      <w:pPr>
        <w:ind w:left="0" w:right="0" w:firstLine="0"/>
        <w:spacing w:before="30" w:after="30"/>
        <w:shd w:val="clear" w:color="ffffff" w:fill="ffffff"/>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highlight w:val="white"/>
        </w:rPr>
        <w:t xml:space="preserve"> </w:t>
      </w:r>
      <w:r/>
    </w:p>
    <w:p>
      <w:pPr>
        <w:ind w:left="0" w:right="0" w:firstLine="0"/>
        <w:jc w:val="right"/>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公司（单位）名称（加盖CA电子公章）：         </w:t>
      </w:r>
      <w:r/>
    </w:p>
    <w:p>
      <w:pPr>
        <w:ind w:left="0" w:right="0" w:firstLine="0"/>
        <w:jc w:val="center"/>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日期：      年   月   日         </w:t>
      </w:r>
      <w:r/>
    </w:p>
    <w:p>
      <w:pPr>
        <w:ind w:left="0" w:right="0" w:firstLine="0"/>
        <w:spacing w:before="30" w:after="30"/>
        <w:shd w:val="clear" w:color="ffffff" w:fill="ffffff"/>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highlight w:val="white"/>
        </w:rPr>
        <w:t xml:space="preserve"> </w:t>
      </w:r>
      <w:r/>
    </w:p>
    <w:p>
      <w:pPr>
        <w:ind w:left="0" w:right="0" w:firstLine="0"/>
        <w:spacing w:before="30" w:after="30"/>
        <w:shd w:val="clear" w:color="ffffff" w:fill="ffffff"/>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highlight w:val="white"/>
        </w:rPr>
        <w:t xml:space="preserve"> </w:t>
      </w:r>
      <w:r/>
    </w:p>
    <w:p>
      <w:pPr>
        <w:ind w:left="0" w:right="0" w:firstLine="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_________________</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1.产品如有型号，请在“产品名称”栏一并填写。</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2.生产厂名与厂址应与生产厂营业执照载明的相关信息保持一致。</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3.该产品的中国境内生产的组件成本占比相关要求实施前，“规定比例”栏可不填，下同。</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4.该产品的关键组件要求实施前，“关键组件”栏可不填，下同。</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5.该产品的关键工序要求实施前，“关键工序”栏可不填，下同。</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6.《声明函》中标注“</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”的地方无需填写。</w:t>
      </w:r>
      <w:r/>
    </w:p>
    <w:p>
      <w:pPr>
        <w:pStyle w:val="996"/>
        <w:spacing w:before="30" w:after="30"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left"/>
        <w:spacing w:line="360" w:lineRule="auto"/>
        <w:rPr>
          <w:rFonts w:ascii="宋体" w:hAnsi="宋体" w:eastAsia="宋体" w:cs="Times New Roman"/>
          <w:color w:val="auto"/>
          <w:sz w:val="30"/>
          <w:szCs w:val="30"/>
          <w:highlight w:val="none"/>
        </w:rPr>
      </w:pPr>
      <w:r>
        <w:rPr>
          <w:rFonts w:ascii="宋体" w:hAnsi="宋体" w:eastAsia="宋体" w:cs="Times New Roman"/>
          <w:color w:val="auto"/>
          <w:sz w:val="30"/>
          <w:szCs w:val="30"/>
          <w:highlight w:val="none"/>
          <w:shd w:val="clear" w:color="auto" w:fill="ffffff"/>
        </w:rPr>
      </w:r>
      <w:r>
        <w:rPr>
          <w:rFonts w:ascii="宋体" w:hAnsi="宋体" w:eastAsia="宋体" w:cs="Times New Roman"/>
          <w:color w:val="auto"/>
          <w:sz w:val="30"/>
          <w:szCs w:val="30"/>
          <w:highlight w:val="none"/>
          <w:shd w:val="clear" w:color="auto" w:fill="ffffff"/>
        </w:rPr>
      </w:r>
      <w:r/>
    </w:p>
    <w:p>
      <w:pPr>
        <w:jc w:val="left"/>
        <w:spacing w:line="360" w:lineRule="auto"/>
        <w:rPr>
          <w:rFonts w:ascii="宋体" w:hAnsi="宋体" w:eastAsia="宋体" w:cs="Times New Roman"/>
          <w:color w:val="auto"/>
          <w:sz w:val="30"/>
          <w:szCs w:val="30"/>
          <w:highlight w:val="none"/>
        </w:rPr>
      </w:pPr>
      <w:r>
        <w:rPr>
          <w:rFonts w:ascii="宋体" w:hAnsi="宋体" w:eastAsia="宋体" w:cs="Times New Roman"/>
          <w:color w:val="auto"/>
          <w:sz w:val="30"/>
          <w:szCs w:val="30"/>
          <w:highlight w:val="none"/>
          <w:shd w:val="clear" w:color="auto" w:fill="ffffff"/>
        </w:rPr>
      </w:r>
      <w:r>
        <w:rPr>
          <w:rFonts w:ascii="宋体" w:hAnsi="宋体" w:eastAsia="宋体" w:cs="Times New Roman"/>
          <w:color w:val="auto"/>
          <w:sz w:val="30"/>
          <w:szCs w:val="30"/>
          <w:highlight w:val="none"/>
          <w:shd w:val="clear" w:color="auto" w:fill="ffffff"/>
        </w:rPr>
      </w:r>
      <w:r/>
    </w:p>
    <w:p>
      <w:pPr>
        <w:jc w:val="left"/>
        <w:spacing w:line="360" w:lineRule="auto"/>
        <w:rPr>
          <w:rFonts w:ascii="宋体" w:hAnsi="宋体" w:eastAsia="宋体" w:cs="Times New Roman"/>
          <w:color w:val="auto"/>
          <w:sz w:val="30"/>
          <w:szCs w:val="30"/>
          <w:highlight w:val="none"/>
        </w:rPr>
      </w:pPr>
      <w:r>
        <w:rPr>
          <w:rFonts w:ascii="宋体" w:hAnsi="宋体" w:eastAsia="宋体" w:cs="Times New Roman"/>
          <w:color w:val="auto"/>
          <w:sz w:val="30"/>
          <w:szCs w:val="30"/>
          <w:highlight w:val="none"/>
        </w:rPr>
      </w:r>
      <w:r>
        <w:rPr>
          <w:rFonts w:ascii="宋体" w:hAnsi="宋体" w:eastAsia="宋体" w:cs="Times New Roman"/>
          <w:color w:val="auto"/>
          <w:sz w:val="30"/>
          <w:szCs w:val="30"/>
          <w:highlight w:val="none"/>
        </w:rPr>
      </w:r>
    </w:p>
    <w:p>
      <w:pPr>
        <w:jc w:val="left"/>
        <w:spacing w:line="360" w:lineRule="auto"/>
        <w:rPr>
          <w:rFonts w:ascii="宋体" w:hAnsi="宋体" w:eastAsia="宋体" w:cs="Times New Roman"/>
          <w:color w:val="auto"/>
          <w:sz w:val="30"/>
          <w:szCs w:val="30"/>
          <w:highlight w:val="none"/>
        </w:rPr>
      </w:pPr>
      <w:r>
        <w:rPr>
          <w:rFonts w:ascii="宋体" w:hAnsi="宋体" w:eastAsia="宋体" w:cs="Times New Roman"/>
          <w:color w:val="auto"/>
          <w:sz w:val="30"/>
          <w:szCs w:val="30"/>
          <w:highlight w:val="none"/>
        </w:rPr>
      </w:r>
      <w:r>
        <w:rPr>
          <w:rFonts w:ascii="宋体" w:hAnsi="宋体" w:eastAsia="宋体" w:cs="Times New Roman"/>
          <w:color w:val="auto"/>
          <w:sz w:val="30"/>
          <w:szCs w:val="30"/>
          <w:highlight w:val="none"/>
        </w:rPr>
      </w:r>
    </w:p>
    <w:p>
      <w:pPr>
        <w:jc w:val="left"/>
        <w:spacing w:line="360" w:lineRule="auto"/>
        <w:rPr>
          <w:rFonts w:ascii="宋体" w:hAnsi="宋体" w:eastAsia="宋体" w:cs="Times New Roman"/>
          <w:color w:val="auto"/>
          <w:sz w:val="30"/>
          <w:szCs w:val="30"/>
          <w:highlight w:val="none"/>
        </w:rPr>
      </w:pPr>
      <w:r>
        <w:rPr>
          <w:rFonts w:ascii="宋体" w:hAnsi="宋体" w:eastAsia="宋体" w:cs="Times New Roman"/>
          <w:color w:val="auto"/>
          <w:sz w:val="30"/>
          <w:szCs w:val="30"/>
          <w:highlight w:val="none"/>
        </w:rPr>
      </w:r>
      <w:r>
        <w:rPr>
          <w:rFonts w:ascii="宋体" w:hAnsi="宋体" w:eastAsia="宋体" w:cs="Times New Roman"/>
          <w:color w:val="auto"/>
          <w:sz w:val="30"/>
          <w:szCs w:val="30"/>
          <w:highlight w:val="none"/>
        </w:rPr>
      </w:r>
    </w:p>
    <w:p>
      <w:pPr>
        <w:jc w:val="left"/>
        <w:spacing w:line="360" w:lineRule="auto"/>
        <w:rPr>
          <w:rFonts w:ascii="宋体" w:hAnsi="宋体" w:eastAsia="宋体" w:cs="Times New Roman"/>
          <w:color w:val="auto"/>
          <w:sz w:val="30"/>
          <w:szCs w:val="30"/>
          <w:highlight w:val="none"/>
        </w:rPr>
      </w:pPr>
      <w:r>
        <w:rPr>
          <w:rFonts w:ascii="宋体" w:hAnsi="宋体" w:eastAsia="宋体" w:cs="Times New Roman"/>
          <w:color w:val="auto"/>
          <w:sz w:val="30"/>
          <w:szCs w:val="30"/>
          <w:highlight w:val="none"/>
        </w:rPr>
      </w:r>
      <w:r>
        <w:rPr>
          <w:rFonts w:ascii="宋体" w:hAnsi="宋体" w:eastAsia="宋体" w:cs="Times New Roman"/>
          <w:color w:val="auto"/>
          <w:sz w:val="30"/>
          <w:szCs w:val="30"/>
          <w:highlight w:val="none"/>
        </w:rPr>
      </w:r>
    </w:p>
    <w:p>
      <w:pPr>
        <w:jc w:val="left"/>
        <w:spacing w:line="360" w:lineRule="auto"/>
        <w:rPr>
          <w:rFonts w:ascii="宋体" w:hAnsi="宋体" w:eastAsia="宋体" w:cs="Times New Roman"/>
          <w:color w:val="auto"/>
          <w:sz w:val="30"/>
          <w:szCs w:val="30"/>
          <w:highlight w:val="none"/>
        </w:rPr>
      </w:pPr>
      <w:r>
        <w:rPr>
          <w:rFonts w:ascii="宋体" w:hAnsi="宋体" w:eastAsia="宋体" w:cs="Times New Roman"/>
          <w:color w:val="auto"/>
          <w:sz w:val="30"/>
          <w:szCs w:val="30"/>
          <w:highlight w:val="none"/>
        </w:rPr>
      </w:r>
      <w:r>
        <w:rPr>
          <w:rFonts w:ascii="宋体" w:hAnsi="宋体" w:eastAsia="宋体" w:cs="Times New Roman"/>
          <w:color w:val="auto"/>
          <w:sz w:val="30"/>
          <w:szCs w:val="30"/>
          <w:highlight w:val="none"/>
        </w:rPr>
      </w:r>
    </w:p>
    <w:p>
      <w:pPr>
        <w:jc w:val="left"/>
        <w:spacing w:line="360" w:lineRule="auto"/>
        <w:rPr>
          <w:rFonts w:ascii="宋体" w:hAnsi="宋体" w:eastAsia="宋体" w:cs="Times New Roman"/>
          <w:color w:val="auto"/>
          <w:sz w:val="30"/>
          <w:szCs w:val="30"/>
          <w:highlight w:val="none"/>
        </w:rPr>
      </w:pPr>
      <w:r>
        <w:rPr>
          <w:rFonts w:ascii="宋体" w:hAnsi="宋体" w:eastAsia="宋体" w:cs="Times New Roman"/>
          <w:color w:val="auto"/>
          <w:sz w:val="30"/>
          <w:szCs w:val="30"/>
          <w:highlight w:val="none"/>
          <w:shd w:val="clear" w:color="auto" w:fill="ffffff"/>
        </w:rPr>
      </w:r>
      <w:r>
        <w:rPr>
          <w:rFonts w:ascii="宋体" w:hAnsi="宋体" w:eastAsia="宋体" w:cs="Times New Roman"/>
          <w:color w:val="auto"/>
          <w:sz w:val="30"/>
          <w:szCs w:val="30"/>
          <w:highlight w:val="none"/>
          <w:shd w:val="clear" w:color="auto" w:fill="ffffff"/>
        </w:rPr>
      </w:r>
      <w:r/>
    </w:p>
    <w:p>
      <w:pPr>
        <w:jc w:val="left"/>
        <w:spacing w:line="360" w:lineRule="auto"/>
        <w:rPr>
          <w:rFonts w:ascii="宋体" w:hAnsi="宋体" w:eastAsia="宋体" w:cs="Times New Roman"/>
          <w:color w:val="auto"/>
          <w:sz w:val="30"/>
          <w:szCs w:val="30"/>
          <w:highlight w:val="none"/>
          <w:shd w:val="clear" w:color="auto" w:fill="ffffff"/>
        </w:rPr>
      </w:pPr>
      <w:r>
        <w:rPr>
          <w:rFonts w:ascii="宋体" w:hAnsi="宋体" w:eastAsia="宋体" w:cs="Times New Roman"/>
          <w:color w:val="auto"/>
          <w:sz w:val="30"/>
          <w:szCs w:val="30"/>
          <w:highlight w:val="none"/>
          <w:shd w:val="clear" w:color="auto" w:fill="ffffff"/>
        </w:rPr>
      </w:r>
      <w:r/>
    </w:p>
    <w:p>
      <w:pPr>
        <w:jc w:val="left"/>
        <w:spacing w:line="360" w:lineRule="auto"/>
        <w:rPr>
          <w:rFonts w:ascii="宋体" w:hAnsi="宋体" w:eastAsia="宋体"/>
          <w:b/>
          <w:color w:val="auto"/>
          <w:sz w:val="24"/>
          <w:highlight w:val="none"/>
          <w:shd w:val="clear" w:color="auto" w:fill="ffffff"/>
        </w:rPr>
      </w:pPr>
      <w:r>
        <w:rPr>
          <w:rFonts w:hint="eastAsia" w:ascii="宋体" w:hAnsi="宋体" w:eastAsia="宋体"/>
          <w:b/>
          <w:color w:val="auto"/>
          <w:sz w:val="24"/>
          <w:highlight w:val="none"/>
          <w:shd w:val="clear" w:color="auto" w:fill="ffffff"/>
        </w:rPr>
        <w:t xml:space="preserve">（</w:t>
      </w:r>
      <w:r>
        <w:rPr>
          <w:rFonts w:hint="eastAsia" w:ascii="宋体" w:hAnsi="宋体" w:eastAsia="宋体"/>
          <w:b/>
          <w:color w:val="auto"/>
          <w:sz w:val="24"/>
          <w:highlight w:val="none"/>
          <w:shd w:val="clear" w:color="auto" w:fill="ffffff"/>
          <w:lang w:val="en-US" w:eastAsia="zh-CN"/>
        </w:rPr>
        <w:t xml:space="preserve">5</w:t>
      </w:r>
      <w:r>
        <w:rPr>
          <w:rFonts w:hint="eastAsia" w:ascii="宋体" w:hAnsi="宋体" w:eastAsia="宋体"/>
          <w:b/>
          <w:color w:val="auto"/>
          <w:sz w:val="24"/>
          <w:highlight w:val="none"/>
          <w:shd w:val="clear" w:color="auto" w:fill="ffffff"/>
        </w:rPr>
        <w:t xml:space="preserve">）供应商与其他单位存在直接控股、管理关系情况表</w:t>
      </w:r>
      <w:r/>
    </w:p>
    <w:p>
      <w:pPr>
        <w:pStyle w:val="969"/>
        <w:ind w:left="0"/>
        <w:jc w:val="cente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tbl>
      <w:tblPr>
        <w:tblStyle w:val="959"/>
        <w:tblW w:w="0" w:type="auto"/>
        <w:jc w:val="center"/>
        <w:tblLayout w:type="fixed"/>
        <w:tblCellMar>
          <w:left w:w="108" w:type="dxa"/>
          <w:top w:w="0" w:type="dxa"/>
          <w:right w:w="108" w:type="dxa"/>
          <w:bottom w:w="0" w:type="dxa"/>
        </w:tblCellMar>
        <w:tblLook w:val="04A0" w:firstRow="1" w:lastRow="0" w:firstColumn="1" w:lastColumn="0" w:noHBand="0" w:noVBand="1"/>
      </w:tblPr>
      <w:tblGrid>
        <w:gridCol w:w="4852"/>
        <w:gridCol w:w="3508"/>
      </w:tblGrid>
      <w:tr>
        <w:trPr>
          <w:jc w:val="center"/>
          <w:trHeight w:val="637"/>
        </w:trPr>
        <w:tc>
          <w:tcPr>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与响应人存在控股、管理关系的单位名称</w:t>
            </w:r>
            <w:r/>
          </w:p>
        </w:tc>
        <w:tc>
          <w:tcPr>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控股、管理关系情况说明</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0"/>
                <w:highlight w:val="none"/>
              </w:rPr>
              <w:suppressLineNumbers w:val="0"/>
            </w:pPr>
            <w:r>
              <w:rPr>
                <w:rFonts w:hint="eastAsia" w:ascii="宋体" w:hAnsi="宋体" w:eastAsia="宋体" w:cs="宋体"/>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0"/>
                <w:highlight w:val="none"/>
              </w:rPr>
              <w:suppressLineNumbers w:val="0"/>
            </w:pPr>
            <w:r>
              <w:rPr>
                <w:rFonts w:hint="eastAsia" w:ascii="宋体" w:hAnsi="宋体" w:eastAsia="宋体" w:cs="宋体"/>
                <w:color w:val="auto"/>
                <w:sz w:val="24"/>
                <w:szCs w:val="20"/>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0"/>
                <w:highlight w:val="none"/>
              </w:rPr>
              <w:suppressLineNumbers w:val="0"/>
            </w:pPr>
            <w:r>
              <w:rPr>
                <w:rFonts w:hint="eastAsia" w:ascii="宋体" w:hAnsi="宋体" w:eastAsia="宋体" w:cs="宋体"/>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0"/>
                <w:highlight w:val="none"/>
              </w:rPr>
              <w:suppressLineNumbers w:val="0"/>
            </w:pPr>
            <w:r>
              <w:rPr>
                <w:rFonts w:hint="eastAsia" w:ascii="宋体" w:hAnsi="宋体" w:eastAsia="宋体" w:cs="宋体"/>
                <w:color w:val="auto"/>
                <w:sz w:val="24"/>
                <w:szCs w:val="20"/>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0"/>
                <w:highlight w:val="none"/>
              </w:rPr>
              <w:suppressLineNumbers w:val="0"/>
            </w:pPr>
            <w:r>
              <w:rPr>
                <w:rFonts w:hint="eastAsia" w:ascii="宋体" w:hAnsi="宋体" w:eastAsia="宋体" w:cs="宋体"/>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0"/>
                <w:highlight w:val="none"/>
              </w:rPr>
              <w:suppressLineNumbers w:val="0"/>
            </w:pPr>
            <w:r>
              <w:rPr>
                <w:rFonts w:hint="eastAsia" w:ascii="宋体" w:hAnsi="宋体" w:eastAsia="宋体" w:cs="宋体"/>
                <w:color w:val="auto"/>
                <w:sz w:val="24"/>
                <w:szCs w:val="20"/>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0"/>
                <w:highlight w:val="none"/>
              </w:rPr>
              <w:suppressLineNumbers w:val="0"/>
            </w:pPr>
            <w:r>
              <w:rPr>
                <w:rFonts w:hint="eastAsia" w:ascii="宋体" w:hAnsi="宋体" w:eastAsia="宋体" w:cs="宋体"/>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0"/>
                <w:highlight w:val="none"/>
              </w:rPr>
              <w:suppressLineNumbers w:val="0"/>
            </w:pPr>
            <w:r>
              <w:rPr>
                <w:rFonts w:hint="eastAsia" w:ascii="宋体" w:hAnsi="宋体" w:eastAsia="宋体" w:cs="宋体"/>
                <w:color w:val="auto"/>
                <w:sz w:val="24"/>
                <w:szCs w:val="20"/>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0"/>
                <w:highlight w:val="none"/>
              </w:rPr>
              <w:suppressLineNumbers w:val="0"/>
            </w:pPr>
            <w:r>
              <w:rPr>
                <w:rFonts w:hint="eastAsia" w:ascii="宋体" w:hAnsi="宋体" w:eastAsia="宋体" w:cs="宋体"/>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0"/>
                <w:highlight w:val="none"/>
              </w:rPr>
              <w:suppressLineNumbers w:val="0"/>
            </w:pPr>
            <w:r>
              <w:rPr>
                <w:rFonts w:hint="eastAsia" w:ascii="宋体" w:hAnsi="宋体" w:eastAsia="宋体" w:cs="宋体"/>
                <w:color w:val="auto"/>
                <w:sz w:val="24"/>
                <w:szCs w:val="20"/>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0"/>
                <w:highlight w:val="none"/>
              </w:rPr>
              <w:suppressLineNumbers w:val="0"/>
            </w:pPr>
            <w:r>
              <w:rPr>
                <w:rFonts w:hint="eastAsia" w:ascii="宋体" w:hAnsi="宋体" w:eastAsia="宋体" w:cs="宋体"/>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0"/>
                <w:highlight w:val="none"/>
              </w:rPr>
              <w:suppressLineNumbers w:val="0"/>
            </w:pPr>
            <w:r>
              <w:rPr>
                <w:rFonts w:hint="eastAsia" w:ascii="宋体" w:hAnsi="宋体" w:eastAsia="宋体" w:cs="宋体"/>
                <w:color w:val="auto"/>
                <w:sz w:val="24"/>
                <w:szCs w:val="20"/>
                <w:highlight w:val="none"/>
              </w:rPr>
            </w:r>
            <w:r/>
          </w:p>
        </w:tc>
      </w:tr>
    </w:tbl>
    <w:p>
      <w:pPr>
        <w:ind w:firstLine="482"/>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注：响应人须如实填写所有与之有控股、管理关系的情况。</w:t>
      </w:r>
      <w:r/>
    </w:p>
    <w:p>
      <w:pPr>
        <w:jc w:val="center"/>
        <w:spacing w:line="360" w:lineRule="auto"/>
        <w:widowControl/>
        <w:rPr>
          <w:rFonts w:ascii="宋体" w:hAnsi="宋体" w:eastAsia="宋体"/>
          <w:b/>
          <w:color w:val="auto"/>
          <w:sz w:val="24"/>
          <w:highlight w:val="none"/>
          <w:shd w:val="clear" w:color="auto" w:fill="ffffff"/>
        </w:rPr>
      </w:pPr>
      <w:r>
        <w:rPr>
          <w:rFonts w:ascii="宋体" w:hAnsi="宋体" w:eastAsia="宋体"/>
          <w:b/>
          <w:color w:val="auto"/>
          <w:sz w:val="24"/>
          <w:highlight w:val="none"/>
          <w:shd w:val="clear" w:color="auto" w:fill="ffffff"/>
        </w:rPr>
      </w:r>
      <w:r/>
    </w:p>
    <w:p>
      <w:pPr>
        <w:ind w:right="105" w:firstLine="210"/>
        <w:jc w:val="right"/>
        <w:spacing w:line="360" w:lineRule="auto"/>
        <w:rPr>
          <w:rFonts w:ascii="Times New Roman"/>
          <w:color w:val="auto"/>
          <w:szCs w:val="21"/>
          <w:highlight w:val="none"/>
        </w:rPr>
      </w:pPr>
      <w:r>
        <w:rPr>
          <w:rFonts w:ascii="Times New Roman"/>
          <w:color w:val="auto"/>
          <w:szCs w:val="21"/>
          <w:highlight w:val="none"/>
        </w:rPr>
      </w:r>
      <w:r/>
    </w:p>
    <w:p>
      <w:pPr>
        <w:ind w:right="105" w:firstLine="210"/>
        <w:jc w:val="right"/>
        <w:spacing w:line="360" w:lineRule="auto"/>
        <w:rPr>
          <w:rFonts w:ascii="Times New Roman"/>
          <w:color w:val="auto"/>
          <w:szCs w:val="21"/>
          <w:highlight w:val="none"/>
        </w:rPr>
      </w:pPr>
      <w:r>
        <w:rPr>
          <w:rFonts w:ascii="Times New Roman"/>
          <w:color w:val="auto"/>
          <w:szCs w:val="21"/>
          <w:highlight w:val="none"/>
        </w:rPr>
      </w:r>
      <w:r/>
    </w:p>
    <w:p>
      <w:pPr>
        <w:ind w:right="105" w:firstLine="210"/>
        <w:jc w:val="right"/>
        <w:spacing w:line="360" w:lineRule="auto"/>
        <w:rPr>
          <w:rFonts w:ascii="Times New Roman"/>
          <w:color w:val="auto"/>
          <w:szCs w:val="21"/>
          <w:highlight w:val="none"/>
        </w:rPr>
      </w:pPr>
      <w:r>
        <w:rPr>
          <w:rFonts w:ascii="Times New Roman"/>
          <w:color w:val="auto"/>
          <w:szCs w:val="21"/>
          <w:highlight w:val="none"/>
        </w:rPr>
      </w:r>
      <w:r/>
    </w:p>
    <w:p>
      <w:pPr>
        <w:ind w:right="105" w:firstLine="210"/>
        <w:jc w:val="right"/>
        <w:spacing w:line="360" w:lineRule="auto"/>
        <w:rPr>
          <w:rFonts w:ascii="Times New Roman"/>
          <w:color w:val="auto"/>
          <w:szCs w:val="21"/>
          <w:highlight w:val="none"/>
        </w:rPr>
      </w:pPr>
      <w:r>
        <w:rPr>
          <w:rFonts w:ascii="Times New Roman"/>
          <w:color w:val="auto"/>
          <w:szCs w:val="21"/>
          <w:highlight w:val="none"/>
        </w:rPr>
      </w:r>
      <w:r/>
    </w:p>
    <w:p>
      <w:pPr>
        <w:ind w:right="105" w:firstLine="210"/>
        <w:jc w:val="right"/>
        <w:spacing w:line="360" w:lineRule="auto"/>
        <w:rPr>
          <w:rFonts w:ascii="Times New Roman"/>
          <w:color w:val="auto"/>
          <w:szCs w:val="21"/>
          <w:highlight w:val="none"/>
        </w:rPr>
      </w:pPr>
      <w:r>
        <w:rPr>
          <w:rFonts w:ascii="Times New Roman"/>
          <w:color w:val="auto"/>
          <w:szCs w:val="21"/>
          <w:highlight w:val="none"/>
        </w:rPr>
        <w:t xml:space="preserve">供应商名称：（加盖CA电子公章）</w:t>
      </w:r>
      <w:r/>
    </w:p>
    <w:p>
      <w:pPr>
        <w:ind w:right="420" w:firstLine="210"/>
        <w:jc w:val="right"/>
        <w:spacing w:line="360" w:lineRule="auto"/>
        <w:rPr>
          <w:rFonts w:ascii="Times New Roman"/>
          <w:color w:val="auto"/>
          <w:szCs w:val="21"/>
          <w:highlight w:val="none"/>
        </w:rPr>
      </w:pPr>
      <w:r>
        <w:rPr>
          <w:rFonts w:ascii="Times New Roman"/>
          <w:color w:val="auto"/>
          <w:szCs w:val="21"/>
          <w:highlight w:val="none"/>
        </w:rPr>
        <w:t xml:space="preserve">日期：　　　年　　月　　日</w:t>
      </w:r>
      <w:r/>
    </w:p>
    <w:p>
      <w:pPr>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br w:type="page" w:clear="all"/>
      </w:r>
      <w:r/>
    </w:p>
    <w:p>
      <w:pPr>
        <w:jc w:val="left"/>
        <w:spacing w:line="360" w:lineRule="auto"/>
        <w:rPr>
          <w:rFonts w:ascii="宋体" w:hAnsi="宋体" w:eastAsia="宋体"/>
          <w:b/>
          <w:color w:val="auto"/>
          <w:sz w:val="24"/>
          <w:highlight w:val="none"/>
          <w:shd w:val="clear" w:color="auto" w:fill="ffffff"/>
        </w:rPr>
      </w:pPr>
      <w:r>
        <w:rPr>
          <w:rFonts w:hint="eastAsia" w:ascii="宋体" w:hAnsi="宋体" w:eastAsia="宋体"/>
          <w:b/>
          <w:color w:val="auto"/>
          <w:sz w:val="24"/>
          <w:highlight w:val="none"/>
          <w:shd w:val="clear" w:color="auto" w:fill="ffffff"/>
        </w:rPr>
        <w:t xml:space="preserve">（</w:t>
      </w:r>
      <w:r>
        <w:rPr>
          <w:rFonts w:hint="eastAsia" w:ascii="宋体" w:hAnsi="宋体" w:eastAsia="宋体"/>
          <w:b/>
          <w:color w:val="auto"/>
          <w:sz w:val="24"/>
          <w:highlight w:val="none"/>
          <w:shd w:val="clear" w:color="auto" w:fill="ffffff"/>
          <w:lang w:val="en-US" w:eastAsia="zh-CN"/>
        </w:rPr>
        <w:t xml:space="preserve">6</w:t>
      </w:r>
      <w:r>
        <w:rPr>
          <w:rFonts w:hint="eastAsia" w:ascii="宋体" w:hAnsi="宋体" w:eastAsia="宋体"/>
          <w:b/>
          <w:color w:val="auto"/>
          <w:sz w:val="24"/>
          <w:highlight w:val="none"/>
          <w:shd w:val="clear" w:color="auto" w:fill="ffffff"/>
        </w:rPr>
        <w:t xml:space="preserve">）参加政府采购活动前三年内，在经营活动中没有重大违法记录声明</w:t>
      </w:r>
      <w:r/>
    </w:p>
    <w:p>
      <w:pPr>
        <w:pStyle w:val="969"/>
        <w:rPr>
          <w:color w:val="auto"/>
          <w:highlight w:val="none"/>
        </w:rPr>
      </w:pPr>
      <w:r>
        <w:rPr>
          <w:color w:val="auto"/>
          <w:highlight w:val="none"/>
        </w:rPr>
      </w:r>
      <w:r/>
    </w:p>
    <w:p>
      <w:pPr>
        <w:spacing w:line="360" w:lineRule="auto"/>
        <w:rPr>
          <w:rFonts w:asciiTheme="minorEastAsia" w:hAnsiTheme="minorEastAsia"/>
          <w:color w:val="auto"/>
          <w:szCs w:val="21"/>
          <w:highlight w:val="none"/>
        </w:rPr>
      </w:pPr>
      <w:r>
        <w:rPr>
          <w:rFonts w:asciiTheme="minorEastAsia" w:hAnsiTheme="minorEastAsia"/>
          <w:color w:val="auto"/>
          <w:szCs w:val="21"/>
          <w:highlight w:val="none"/>
        </w:rPr>
      </w:r>
      <w:r/>
    </w:p>
    <w:p>
      <w:pPr>
        <w:spacing w:line="360" w:lineRule="auto"/>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u w:val="single"/>
        </w:rPr>
        <w:t xml:space="preserve">致：</w:t>
      </w:r>
      <w:r>
        <w:rPr>
          <w:rFonts w:hint="eastAsia" w:ascii="宋体" w:hAnsi="宋体" w:eastAsia="宋体"/>
          <w:b/>
          <w:bCs/>
          <w:color w:val="auto"/>
          <w:sz w:val="24"/>
          <w:szCs w:val="24"/>
          <w:highlight w:val="none"/>
          <w:u w:val="single"/>
          <w:lang w:eastAsia="zh-CN"/>
        </w:rPr>
        <w:t xml:space="preserve">苏州工业园区教育局</w:t>
      </w:r>
      <w:r>
        <w:rPr>
          <w:rFonts w:hint="eastAsia" w:ascii="宋体" w:hAnsi="宋体" w:eastAsia="宋体" w:cs="宋体"/>
          <w:b/>
          <w:bCs/>
          <w:color w:val="auto"/>
          <w:sz w:val="24"/>
          <w:szCs w:val="24"/>
          <w:highlight w:val="none"/>
          <w:u w:val="single"/>
        </w:rPr>
        <w:t xml:space="preserve">：</w:t>
      </w:r>
      <w:r/>
    </w:p>
    <w:p>
      <w:pPr>
        <w:spacing w:line="360" w:lineRule="auto"/>
        <w:rPr>
          <w:rFonts w:ascii="宋体" w:hAnsi="宋体" w:eastAsia="宋体" w:cs="宋体"/>
          <w:color w:val="auto"/>
          <w:sz w:val="24"/>
          <w:szCs w:val="24"/>
          <w:highlight w:val="none"/>
          <w:u w:val="single"/>
        </w:rPr>
      </w:pPr>
      <w:r>
        <w:rPr>
          <w:rFonts w:ascii="宋体" w:hAnsi="宋体" w:eastAsia="宋体" w:cs="宋体"/>
          <w:color w:val="auto"/>
          <w:sz w:val="24"/>
          <w:szCs w:val="24"/>
          <w:highlight w:val="none"/>
          <w:u w:val="single"/>
        </w:rPr>
      </w:r>
      <w:r/>
    </w:p>
    <w:p>
      <w:pPr>
        <w:ind w:firstLine="567"/>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w:t>
      </w:r>
      <w:r>
        <w:rPr>
          <w:rFonts w:hint="eastAsia" w:ascii="宋体" w:hAnsi="宋体" w:eastAsia="宋体" w:cs="宋体"/>
          <w:color w:val="auto"/>
          <w:sz w:val="24"/>
          <w:szCs w:val="24"/>
          <w:highlight w:val="none"/>
          <w:u w:val="single"/>
        </w:rPr>
        <w:t xml:space="preserve">         （供应商名称）        </w:t>
      </w:r>
      <w:r>
        <w:rPr>
          <w:rFonts w:hint="eastAsia" w:ascii="宋体" w:hAnsi="宋体" w:eastAsia="宋体" w:cs="宋体"/>
          <w:color w:val="auto"/>
          <w:sz w:val="24"/>
          <w:szCs w:val="24"/>
          <w:highlight w:val="none"/>
        </w:rPr>
        <w:t xml:space="preserve"> 在参加政府采购活动前三年内，没有重大违法记录，特此声明。</w:t>
      </w:r>
      <w:r/>
    </w:p>
    <w:p>
      <w:pPr>
        <w:ind w:firstLine="567"/>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若采购代理机构在本项目采购过程中发现本公司近三年内在经营活动中有重大违法记录，本公司将无条件退出本项目的投标，并承担因此引起的一起后果。</w:t>
      </w:r>
      <w:r/>
    </w:p>
    <w:p>
      <w:pPr>
        <w:pStyle w:val="1000"/>
        <w:ind w:firstLine="520"/>
        <w:rPr>
          <w:color w:val="auto"/>
          <w:highlight w:val="none"/>
        </w:rPr>
      </w:pPr>
      <w:r>
        <w:rPr>
          <w:color w:val="auto"/>
          <w:highlight w:val="none"/>
        </w:rPr>
      </w:r>
      <w:r/>
    </w:p>
    <w:p>
      <w:pPr>
        <w:ind w:right="105" w:firstLine="210"/>
        <w:jc w:val="right"/>
        <w:spacing w:line="360" w:lineRule="auto"/>
        <w:rPr>
          <w:rFonts w:ascii="Times New Roman"/>
          <w:color w:val="auto"/>
          <w:szCs w:val="21"/>
          <w:highlight w:val="none"/>
        </w:rPr>
      </w:pPr>
      <w:r>
        <w:rPr>
          <w:rFonts w:ascii="Times New Roman"/>
          <w:color w:val="auto"/>
          <w:szCs w:val="21"/>
          <w:highlight w:val="none"/>
        </w:rPr>
        <w:t xml:space="preserve">供应商名称：（加盖CA电子公章）</w:t>
      </w:r>
      <w:r/>
    </w:p>
    <w:p>
      <w:pPr>
        <w:ind w:right="420" w:firstLine="210"/>
        <w:jc w:val="right"/>
        <w:spacing w:line="360" w:lineRule="auto"/>
        <w:rPr>
          <w:rFonts w:ascii="Times New Roman"/>
          <w:color w:val="auto"/>
          <w:szCs w:val="21"/>
          <w:highlight w:val="none"/>
        </w:rPr>
      </w:pPr>
      <w:r>
        <w:rPr>
          <w:rFonts w:ascii="Times New Roman"/>
          <w:color w:val="auto"/>
          <w:szCs w:val="21"/>
          <w:highlight w:val="none"/>
        </w:rPr>
        <w:t xml:space="preserve">日期：　　　年　　月　　日</w:t>
      </w:r>
      <w:r/>
    </w:p>
    <w:p>
      <w:pPr>
        <w:ind w:firstLine="567"/>
        <w:spacing w:line="360" w:lineRule="auto"/>
        <w:rPr>
          <w:rFonts w:ascii="宋体" w:hAnsi="宋体" w:eastAsia="宋体" w:cs="Times New Roman"/>
          <w:color w:val="auto"/>
          <w:sz w:val="30"/>
          <w:szCs w:val="30"/>
          <w:highlight w:val="none"/>
          <w:shd w:val="clear" w:color="auto" w:fill="ffffff"/>
        </w:rPr>
      </w:pPr>
      <w:r>
        <w:rPr>
          <w:rFonts w:ascii="宋体" w:hAnsi="宋体" w:eastAsia="宋体" w:cs="Times New Roman"/>
          <w:color w:val="auto"/>
          <w:sz w:val="30"/>
          <w:szCs w:val="30"/>
          <w:highlight w:val="none"/>
          <w:shd w:val="clear" w:color="auto" w:fill="ffffff"/>
        </w:rPr>
        <w:br w:type="page" w:clear="all"/>
      </w:r>
      <w:r/>
    </w:p>
    <w:p>
      <w:pPr>
        <w:spacing w:line="360" w:lineRule="auto"/>
        <w:rPr>
          <w:rFonts w:ascii="宋体" w:hAnsi="宋体" w:eastAsia="宋体" w:cs="Times New Roman"/>
          <w:color w:val="auto"/>
          <w:sz w:val="30"/>
          <w:szCs w:val="30"/>
          <w:highlight w:val="none"/>
          <w:shd w:val="clear" w:color="auto" w:fill="ffffff"/>
        </w:rPr>
      </w:pPr>
      <w:r>
        <w:rPr>
          <w:rFonts w:ascii="宋体" w:hAnsi="宋体" w:eastAsia="宋体" w:cs="Times New Roman"/>
          <w:color w:val="auto"/>
          <w:sz w:val="30"/>
          <w:szCs w:val="30"/>
          <w:highlight w:val="none"/>
          <w:shd w:val="clear" w:color="auto" w:fill="ffffff"/>
        </w:rPr>
      </w:r>
      <w:r/>
    </w:p>
    <w:p>
      <w:pPr>
        <w:spacing w:line="360" w:lineRule="auto"/>
        <w:rPr>
          <w:rFonts w:ascii="宋体" w:hAnsi="宋体" w:eastAsia="宋体" w:cs="Times New Roman"/>
          <w:color w:val="auto"/>
          <w:sz w:val="30"/>
          <w:szCs w:val="30"/>
          <w:highlight w:val="none"/>
          <w:shd w:val="clear" w:color="auto" w:fill="ffffff"/>
        </w:rPr>
      </w:pPr>
      <w:r>
        <w:rPr>
          <w:rFonts w:ascii="宋体" w:hAnsi="宋体" w:eastAsia="宋体" w:cs="Times New Roman"/>
          <w:color w:val="auto"/>
          <w:sz w:val="30"/>
          <w:szCs w:val="30"/>
          <w:highlight w:val="none"/>
          <w:shd w:val="clear" w:color="auto" w:fill="ffffff"/>
        </w:rPr>
      </w:r>
      <w:r/>
    </w:p>
    <w:p>
      <w:pPr>
        <w:spacing w:line="360" w:lineRule="auto"/>
        <w:rPr>
          <w:rFonts w:ascii="宋体" w:hAnsi="宋体" w:eastAsia="宋体" w:cs="Times New Roman"/>
          <w:color w:val="auto"/>
          <w:sz w:val="30"/>
          <w:szCs w:val="30"/>
          <w:highlight w:val="none"/>
          <w:shd w:val="clear" w:color="auto" w:fill="ffffff"/>
        </w:rPr>
      </w:pPr>
      <w:r>
        <w:rPr>
          <w:rFonts w:ascii="宋体" w:hAnsi="宋体" w:eastAsia="宋体" w:cs="Times New Roman"/>
          <w:color w:val="auto"/>
          <w:sz w:val="30"/>
          <w:szCs w:val="30"/>
          <w:highlight w:val="none"/>
          <w:shd w:val="clear" w:color="auto" w:fill="ffffff"/>
        </w:rPr>
      </w:r>
      <w:r/>
    </w:p>
    <w:p>
      <w:pPr>
        <w:spacing w:line="360" w:lineRule="auto"/>
        <w:rPr>
          <w:rFonts w:ascii="宋体" w:hAnsi="宋体" w:eastAsia="宋体" w:cs="Times New Roman"/>
          <w:color w:val="auto"/>
          <w:sz w:val="30"/>
          <w:szCs w:val="30"/>
          <w:highlight w:val="none"/>
          <w:shd w:val="clear" w:color="auto" w:fill="ffffff"/>
        </w:rPr>
      </w:pPr>
      <w:r>
        <w:rPr>
          <w:rFonts w:ascii="宋体" w:hAnsi="宋体" w:eastAsia="宋体" w:cs="Times New Roman"/>
          <w:color w:val="auto"/>
          <w:sz w:val="30"/>
          <w:szCs w:val="30"/>
          <w:highlight w:val="none"/>
          <w:shd w:val="clear" w:color="auto" w:fill="ffffff"/>
        </w:rPr>
      </w:r>
      <w:r/>
    </w:p>
    <w:p>
      <w:pPr>
        <w:pStyle w:val="970"/>
        <w:rPr>
          <w:rFonts w:hint="default" w:ascii="宋体" w:hAnsi="宋体" w:eastAsia="宋体"/>
          <w:color w:val="auto"/>
          <w:sz w:val="30"/>
          <w:szCs w:val="30"/>
          <w:highlight w:val="none"/>
          <w:shd w:val="clear" w:color="auto" w:fill="ffffff"/>
        </w:rPr>
      </w:pPr>
      <w:r>
        <w:rPr>
          <w:rFonts w:hint="default" w:ascii="宋体" w:hAnsi="宋体" w:eastAsia="宋体"/>
          <w:color w:val="auto"/>
          <w:sz w:val="30"/>
          <w:szCs w:val="30"/>
          <w:highlight w:val="none"/>
          <w:shd w:val="clear" w:color="auto" w:fill="ffffff"/>
        </w:rPr>
      </w:r>
      <w:r/>
    </w:p>
    <w:p>
      <w:pPr>
        <w:pStyle w:val="970"/>
        <w:rPr>
          <w:rFonts w:hint="default" w:ascii="宋体" w:hAnsi="宋体" w:eastAsia="宋体"/>
          <w:color w:val="auto"/>
          <w:sz w:val="30"/>
          <w:szCs w:val="30"/>
          <w:highlight w:val="none"/>
          <w:shd w:val="clear" w:color="auto" w:fill="ffffff"/>
        </w:rPr>
      </w:pPr>
      <w:r>
        <w:rPr>
          <w:rFonts w:hint="default" w:ascii="宋体" w:hAnsi="宋体" w:eastAsia="宋体"/>
          <w:color w:val="auto"/>
          <w:sz w:val="30"/>
          <w:szCs w:val="30"/>
          <w:highlight w:val="none"/>
          <w:shd w:val="clear" w:color="auto" w:fill="ffffff"/>
        </w:rPr>
      </w:r>
      <w:r/>
    </w:p>
    <w:p>
      <w:pPr>
        <w:spacing w:line="360" w:lineRule="auto"/>
        <w:rPr>
          <w:rFonts w:ascii="宋体" w:hAnsi="宋体" w:eastAsia="宋体" w:cs="Times New Roman"/>
          <w:color w:val="auto"/>
          <w:sz w:val="30"/>
          <w:szCs w:val="30"/>
          <w:highlight w:val="none"/>
          <w:shd w:val="clear" w:color="auto" w:fill="ffffff"/>
        </w:rPr>
      </w:pPr>
      <w:r>
        <w:rPr>
          <w:rFonts w:ascii="宋体" w:hAnsi="宋体" w:eastAsia="宋体" w:cs="Times New Roman"/>
          <w:color w:val="auto"/>
          <w:sz w:val="30"/>
          <w:szCs w:val="30"/>
          <w:highlight w:val="none"/>
          <w:shd w:val="clear" w:color="auto" w:fill="ffffff"/>
        </w:rPr>
      </w:r>
      <w:r/>
    </w:p>
    <w:p>
      <w:pPr>
        <w:jc w:val="center"/>
        <w:keepLines/>
        <w:keepNext/>
        <w:spacing w:before="340" w:after="330" w:line="360" w:lineRule="auto"/>
        <w:rPr>
          <w:rFonts w:ascii="宋体" w:hAnsi="宋体" w:eastAsia="宋体" w:cs="Times New Roman"/>
          <w:b/>
          <w:color w:val="auto"/>
          <w:sz w:val="52"/>
          <w:szCs w:val="20"/>
          <w:highlight w:val="none"/>
          <w:shd w:val="clear" w:color="auto" w:fill="ffffff"/>
        </w:rPr>
        <w:outlineLvl w:val="0"/>
      </w:pPr>
      <w:r/>
      <w:bookmarkStart w:id="35" w:name="_Toc13642115"/>
      <w:r/>
      <w:bookmarkStart w:id="36" w:name="_Toc105940240"/>
      <w:r>
        <w:rPr>
          <w:rFonts w:hint="eastAsia" w:ascii="宋体" w:hAnsi="宋体" w:eastAsia="宋体" w:cs="Times New Roman"/>
          <w:b/>
          <w:color w:val="auto"/>
          <w:sz w:val="52"/>
          <w:szCs w:val="20"/>
          <w:highlight w:val="none"/>
          <w:shd w:val="clear" w:color="auto" w:fill="ffffff"/>
        </w:rPr>
        <w:t xml:space="preserve">第四章 招标书</w:t>
      </w:r>
      <w:bookmarkEnd w:id="35"/>
      <w:r/>
      <w:bookmarkEnd w:id="36"/>
      <w:r/>
      <w:r/>
    </w:p>
    <w:p>
      <w:pPr>
        <w:jc w:val="center"/>
        <w:spacing w:line="360" w:lineRule="auto"/>
        <w:rPr>
          <w:rFonts w:ascii="宋体" w:hAnsi="宋体" w:eastAsia="宋体" w:cs="Times New Roman"/>
          <w:b/>
          <w:color w:val="auto"/>
          <w:sz w:val="48"/>
          <w:szCs w:val="48"/>
          <w:highlight w:val="none"/>
          <w:shd w:val="clear" w:color="auto" w:fill="ffffff"/>
        </w:rPr>
      </w:pPr>
      <w:r/>
      <w:bookmarkStart w:id="37" w:name="_Toc13543212"/>
      <w:r>
        <w:rPr>
          <w:rFonts w:ascii="宋体" w:hAnsi="宋体" w:eastAsia="宋体" w:cs="Times New Roman"/>
          <w:b/>
          <w:color w:val="auto"/>
          <w:sz w:val="48"/>
          <w:szCs w:val="48"/>
          <w:highlight w:val="none"/>
          <w:shd w:val="clear" w:color="auto" w:fill="ffffff"/>
        </w:rPr>
        <w:br w:type="page" w:clear="all"/>
      </w:r>
      <w:r>
        <w:rPr>
          <w:rFonts w:hint="eastAsia" w:ascii="宋体" w:hAnsi="宋体" w:eastAsia="宋体" w:cs="Times New Roman"/>
          <w:b/>
          <w:color w:val="auto"/>
          <w:sz w:val="48"/>
          <w:szCs w:val="48"/>
          <w:highlight w:val="none"/>
          <w:shd w:val="clear" w:color="auto" w:fill="ffffff"/>
        </w:rPr>
        <w:t xml:space="preserve">招标书</w:t>
      </w:r>
      <w:bookmarkEnd w:id="37"/>
      <w:r/>
      <w:r/>
    </w:p>
    <w:p>
      <w:pPr>
        <w:ind w:firstLine="480"/>
        <w:jc w:val="left"/>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苏州华星工程造价咨询有限公司受</w:t>
      </w:r>
      <w:r>
        <w:rPr>
          <w:rFonts w:hint="eastAsia" w:ascii="宋体" w:hAnsi="宋体" w:eastAsia="宋体" w:cs="Times New Roman"/>
          <w:color w:val="auto"/>
          <w:sz w:val="24"/>
          <w:szCs w:val="24"/>
          <w:highlight w:val="none"/>
          <w:shd w:val="clear" w:color="auto" w:fill="ffffff"/>
          <w:lang w:eastAsia="zh-CN"/>
        </w:rPr>
        <w:t xml:space="preserve">苏州工业园区教育局</w:t>
      </w:r>
      <w:r>
        <w:rPr>
          <w:rFonts w:hint="eastAsia" w:ascii="宋体" w:hAnsi="宋体" w:eastAsia="宋体" w:cs="Times New Roman"/>
          <w:color w:val="auto"/>
          <w:sz w:val="24"/>
          <w:szCs w:val="24"/>
          <w:highlight w:val="none"/>
          <w:shd w:val="clear" w:color="auto" w:fill="ffffff"/>
        </w:rPr>
        <w:t xml:space="preserve">的委托，就其所需的</w:t>
      </w:r>
      <w:r>
        <w:rPr>
          <w:rFonts w:hint="eastAsia" w:ascii="宋体" w:hAnsi="宋体" w:eastAsia="宋体"/>
          <w:color w:val="auto"/>
          <w:sz w:val="24"/>
          <w:highlight w:val="none"/>
          <w:lang w:eastAsia="zh-CN"/>
        </w:rPr>
        <w:t xml:space="preserve">星海实验中学改扩建项目厨房设备采购</w:t>
      </w:r>
      <w:r>
        <w:rPr>
          <w:rFonts w:hint="eastAsia" w:ascii="宋体" w:hAnsi="宋体" w:eastAsia="宋体" w:cs="Times New Roman"/>
          <w:color w:val="auto"/>
          <w:sz w:val="24"/>
          <w:szCs w:val="24"/>
          <w:highlight w:val="none"/>
          <w:shd w:val="clear" w:color="auto" w:fill="ffffff"/>
        </w:rPr>
        <w:t xml:space="preserve">进行国内公开招标。欢迎有资格的供应商前来参加投标。</w:t>
      </w:r>
      <w:r/>
    </w:p>
    <w:p>
      <w:pPr>
        <w:ind w:firstLine="482"/>
        <w:jc w:val="left"/>
        <w:spacing w:line="360" w:lineRule="auto"/>
        <w:rPr>
          <w:rFonts w:hint="eastAsia" w:ascii="宋体" w:hAnsi="宋体" w:eastAsia="宋体" w:cs="Times New Roman"/>
          <w:color w:val="auto"/>
          <w:sz w:val="24"/>
          <w:szCs w:val="24"/>
          <w:highlight w:val="none"/>
          <w:shd w:val="clear" w:color="auto" w:fill="ffffff"/>
          <w:lang w:eastAsia="zh-CN"/>
        </w:rPr>
      </w:pPr>
      <w:r>
        <w:rPr>
          <w:rFonts w:hint="eastAsia" w:ascii="宋体" w:hAnsi="宋体" w:eastAsia="宋体" w:cs="Times New Roman"/>
          <w:b/>
          <w:bCs/>
          <w:color w:val="auto"/>
          <w:sz w:val="24"/>
          <w:szCs w:val="24"/>
          <w:highlight w:val="none"/>
          <w:shd w:val="clear" w:color="auto" w:fill="ffffff"/>
          <w:lang w:val="en-US" w:eastAsia="zh-CN"/>
        </w:rPr>
        <w:t xml:space="preserve">一、</w:t>
      </w:r>
      <w:r>
        <w:rPr>
          <w:rFonts w:hint="eastAsia" w:ascii="宋体" w:hAnsi="宋体" w:eastAsia="宋体" w:cs="Times New Roman"/>
          <w:b/>
          <w:bCs/>
          <w:color w:val="auto"/>
          <w:sz w:val="24"/>
          <w:szCs w:val="24"/>
          <w:highlight w:val="none"/>
          <w:shd w:val="clear" w:color="auto" w:fill="ffffff"/>
        </w:rPr>
        <w:t xml:space="preserve">招标编号</w:t>
      </w:r>
      <w:r>
        <w:rPr>
          <w:rFonts w:hint="eastAsia" w:ascii="宋体" w:hAnsi="宋体" w:eastAsia="宋体" w:cs="Times New Roman"/>
          <w:color w:val="auto"/>
          <w:sz w:val="24"/>
          <w:szCs w:val="24"/>
          <w:highlight w:val="none"/>
          <w:shd w:val="clear" w:color="auto" w:fill="ffffff"/>
        </w:rPr>
        <w:t xml:space="preserve">：</w:t>
      </w:r>
      <w:r>
        <w:rPr>
          <w:rFonts w:hint="eastAsia" w:ascii="宋体" w:hAnsi="宋体" w:eastAsia="宋体" w:cs="Times New Roman"/>
          <w:color w:val="auto"/>
          <w:sz w:val="24"/>
          <w:szCs w:val="24"/>
          <w:highlight w:val="none"/>
          <w:shd w:val="clear" w:color="auto" w:fill="ffffff"/>
          <w:lang w:eastAsia="zh-CN"/>
        </w:rPr>
        <w:t xml:space="preserve">JSZC-320591-HXZJ-G2026-0005</w:t>
      </w:r>
      <w:r/>
    </w:p>
    <w:p>
      <w:pPr>
        <w:ind w:firstLine="482"/>
        <w:jc w:val="left"/>
        <w:spacing w:line="360" w:lineRule="auto"/>
        <w:rPr>
          <w:rFonts w:hint="eastAsia" w:ascii="宋体" w:hAnsi="宋体" w:eastAsia="宋体" w:cs="Times New Roman"/>
          <w:color w:val="auto"/>
          <w:sz w:val="24"/>
          <w:szCs w:val="24"/>
          <w:highlight w:val="none"/>
          <w:shd w:val="clear" w:color="auto" w:fill="ffffff"/>
        </w:rPr>
      </w:pPr>
      <w:r>
        <w:rPr>
          <w:rFonts w:hint="eastAsia" w:ascii="宋体" w:hAnsi="宋体" w:eastAsia="宋体" w:cs="Times New Roman"/>
          <w:b/>
          <w:bCs/>
          <w:color w:val="auto"/>
          <w:sz w:val="24"/>
          <w:szCs w:val="24"/>
          <w:highlight w:val="none"/>
          <w:shd w:val="clear" w:color="auto" w:fill="ffffff"/>
          <w:lang w:val="en-US" w:eastAsia="zh-CN"/>
        </w:rPr>
        <w:t xml:space="preserve">二、</w:t>
      </w:r>
      <w:r>
        <w:rPr>
          <w:rFonts w:hint="eastAsia" w:ascii="宋体" w:hAnsi="宋体" w:eastAsia="宋体" w:cs="Times New Roman"/>
          <w:b/>
          <w:bCs/>
          <w:color w:val="auto"/>
          <w:sz w:val="24"/>
          <w:szCs w:val="24"/>
          <w:highlight w:val="none"/>
          <w:shd w:val="clear" w:color="auto" w:fill="ffffff"/>
        </w:rPr>
        <w:t xml:space="preserve">项目名称</w:t>
      </w:r>
      <w:r>
        <w:rPr>
          <w:rFonts w:hint="eastAsia" w:ascii="宋体" w:hAnsi="宋体" w:eastAsia="宋体" w:cs="Times New Roman"/>
          <w:color w:val="auto"/>
          <w:sz w:val="24"/>
          <w:szCs w:val="24"/>
          <w:highlight w:val="none"/>
          <w:shd w:val="clear" w:color="auto" w:fill="ffffff"/>
        </w:rPr>
        <w:t xml:space="preserve">：</w:t>
      </w:r>
      <w:r>
        <w:rPr>
          <w:rFonts w:hint="eastAsia" w:ascii="宋体" w:hAnsi="宋体" w:eastAsia="宋体"/>
          <w:color w:val="auto"/>
          <w:sz w:val="24"/>
          <w:highlight w:val="none"/>
          <w:lang w:eastAsia="zh-CN"/>
        </w:rPr>
        <w:t xml:space="preserve">星海实验中学改扩建项目厨房设备采购</w:t>
      </w:r>
      <w:r/>
    </w:p>
    <w:p>
      <w:pPr>
        <w:ind w:firstLine="482"/>
        <w:jc w:val="left"/>
        <w:spacing w:line="360" w:lineRule="auto"/>
        <w:rPr>
          <w:rFonts w:hint="eastAsia" w:ascii="宋体" w:hAnsi="宋体" w:eastAsia="宋体" w:cs="Times New Roman"/>
          <w:b/>
          <w:bCs/>
          <w:color w:val="auto"/>
          <w:sz w:val="24"/>
          <w:szCs w:val="24"/>
          <w:highlight w:val="none"/>
          <w:shd w:val="clear" w:color="auto" w:fill="ffffff"/>
        </w:rPr>
      </w:pPr>
      <w:r/>
      <w:bookmarkStart w:id="38" w:name="_Hlk183174478"/>
      <w:r>
        <w:rPr>
          <w:rFonts w:hint="eastAsia" w:ascii="宋体" w:hAnsi="宋体" w:eastAsia="宋体" w:cs="Times New Roman"/>
          <w:b/>
          <w:bCs/>
          <w:color w:val="auto"/>
          <w:sz w:val="24"/>
          <w:szCs w:val="24"/>
          <w:highlight w:val="none"/>
          <w:shd w:val="clear" w:color="auto" w:fill="ffffff"/>
          <w:lang w:val="en-US" w:eastAsia="zh-CN"/>
        </w:rPr>
        <w:t xml:space="preserve">三</w:t>
      </w:r>
      <w:r>
        <w:rPr>
          <w:rFonts w:hint="eastAsia" w:ascii="宋体" w:hAnsi="宋体" w:eastAsia="宋体" w:cs="Times New Roman"/>
          <w:b/>
          <w:bCs/>
          <w:color w:val="auto"/>
          <w:sz w:val="24"/>
          <w:szCs w:val="24"/>
          <w:highlight w:val="none"/>
          <w:shd w:val="clear" w:color="auto" w:fill="ffffff"/>
        </w:rPr>
        <w:t xml:space="preserve">、采购需求：</w:t>
      </w:r>
      <w:bookmarkEnd w:id="38"/>
      <w:r/>
      <w:r/>
    </w:p>
    <w:p>
      <w:pPr>
        <w:ind w:firstLine="480"/>
        <w:jc w:val="left"/>
        <w:spacing w:line="360" w:lineRule="auto"/>
        <w:rPr>
          <w:rFonts w:hint="eastAsia"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（一）项目概况</w:t>
      </w:r>
      <w:r/>
    </w:p>
    <w:p>
      <w:pPr>
        <w:ind w:firstLine="480"/>
        <w:jc w:val="left"/>
        <w:spacing w:line="360" w:lineRule="auto"/>
        <w:rPr>
          <w:rFonts w:hint="eastAsia"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本项目为</w:t>
      </w:r>
      <w:r>
        <w:rPr>
          <w:rFonts w:hint="eastAsia" w:ascii="宋体" w:hAnsi="宋体" w:eastAsia="宋体"/>
          <w:color w:val="auto"/>
          <w:sz w:val="24"/>
          <w:highlight w:val="none"/>
          <w:lang w:eastAsia="zh-CN"/>
        </w:rPr>
        <w:t xml:space="preserve">星海实验中学改扩建项目</w:t>
      </w:r>
      <w:r>
        <w:rPr>
          <w:rFonts w:hint="eastAsia" w:ascii="宋体" w:hAnsi="宋体" w:eastAsia="宋体" w:cs="Times New Roman"/>
          <w:color w:val="auto"/>
          <w:sz w:val="24"/>
          <w:szCs w:val="24"/>
          <w:highlight w:val="none"/>
          <w:shd w:val="clear" w:color="auto" w:fill="ffffff"/>
        </w:rPr>
        <w:t xml:space="preserve">的厨房设备供货与安装采购。投标人应履行所投产品的生产供货、安装、调试、培训、质保</w:t>
      </w:r>
      <w:r>
        <w:rPr>
          <w:rFonts w:hint="eastAsia" w:ascii="宋体" w:hAnsi="宋体" w:eastAsia="宋体" w:cs="Times New Roman"/>
          <w:color w:val="auto"/>
          <w:sz w:val="24"/>
          <w:szCs w:val="24"/>
          <w:highlight w:val="none"/>
          <w:shd w:val="clear" w:color="auto" w:fill="ffffff"/>
          <w:lang w:val="en-US" w:eastAsia="zh-CN"/>
        </w:rPr>
        <w:t xml:space="preserve">等要求</w:t>
      </w:r>
      <w:r>
        <w:rPr>
          <w:rFonts w:hint="eastAsia" w:ascii="宋体" w:hAnsi="宋体" w:eastAsia="宋体" w:cs="Times New Roman"/>
          <w:color w:val="auto"/>
          <w:sz w:val="24"/>
          <w:szCs w:val="24"/>
          <w:highlight w:val="none"/>
          <w:shd w:val="clear" w:color="auto" w:fill="ffffff"/>
        </w:rPr>
        <w:t xml:space="preserve">。</w:t>
      </w:r>
      <w:r/>
    </w:p>
    <w:p>
      <w:pPr>
        <w:numPr>
          <w:ilvl w:val="0"/>
          <w:numId w:val="6"/>
        </w:numPr>
        <w:ind w:firstLine="422"/>
        <w:spacing w:line="440" w:lineRule="exact"/>
        <w:rPr>
          <w:rFonts w:hint="eastAsia"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采购清单</w:t>
      </w:r>
      <w:r/>
    </w:p>
    <w:tbl>
      <w:tblPr>
        <w:tblStyle w:val="959"/>
        <w:tblW w:w="9769"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47"/>
        <w:gridCol w:w="1246"/>
        <w:gridCol w:w="1380"/>
        <w:gridCol w:w="4668"/>
        <w:gridCol w:w="696"/>
        <w:gridCol w:w="732"/>
      </w:tblGrid>
      <w:tr>
        <w:trPr>
          <w:trHeight w:val="279"/>
        </w:trPr>
        <w:tc>
          <w:tcPr>
            <w:shd w:val="clear" w:color="auto" w:fill="auto"/>
            <w:tcBorders>
              <w:top w:val="single" w:color="000000" w:sz="8" w:space="0"/>
              <w:left w:val="single" w:color="000000" w:sz="8" w:space="0"/>
              <w:bottom w:val="single" w:color="000000" w:sz="4" w:space="0"/>
              <w:right w:val="single" w:color="000000" w:sz="4" w:space="0"/>
            </w:tcBorders>
            <w:tcW w:w="1047" w:type="dxa"/>
            <w:vAlign w:val="center"/>
            <w:vMerge w:val="restart"/>
            <w:textDirection w:val="lrTb"/>
            <w:noWrap w:val="false"/>
          </w:tcPr>
          <w:p>
            <w:pPr>
              <w:jc w:val="center"/>
              <w:keepLines w:val="0"/>
              <w:keepNext w:val="0"/>
              <w:widowControl/>
              <w:rPr>
                <w:rFonts w:ascii="黑体" w:hAnsi="宋体" w:eastAsia="黑体" w:cs="黑体"/>
                <w:i w:val="0"/>
                <w:iCs w:val="0"/>
                <w:color w:val="auto"/>
                <w:sz w:val="21"/>
                <w:szCs w:val="21"/>
                <w:highlight w:val="none"/>
                <w:u w:val="none"/>
              </w:rPr>
              <w:suppressLineNumbers w:val="0"/>
            </w:pPr>
            <w:r>
              <w:rPr>
                <w:rFonts w:hint="eastAsia" w:ascii="黑体" w:hAnsi="宋体" w:eastAsia="黑体" w:cs="黑体"/>
                <w:i w:val="0"/>
                <w:iCs w:val="0"/>
                <w:color w:val="auto"/>
                <w:sz w:val="21"/>
                <w:szCs w:val="21"/>
                <w:highlight w:val="none"/>
                <w:u w:val="none"/>
                <w:lang w:val="en-US" w:eastAsia="zh-CN"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1246" w:type="dxa"/>
            <w:vAlign w:val="center"/>
            <w:vMerge w:val="restart"/>
            <w:textDirection w:val="lrTb"/>
            <w:noWrap w:val="false"/>
          </w:tcPr>
          <w:p>
            <w:pPr>
              <w:jc w:val="center"/>
              <w:keepLines w:val="0"/>
              <w:keepNext w:val="0"/>
              <w:widowControl/>
              <w:rPr>
                <w:rFonts w:hint="eastAsia" w:ascii="黑体" w:hAnsi="宋体" w:eastAsia="黑体" w:cs="黑体"/>
                <w:i w:val="0"/>
                <w:iCs w:val="0"/>
                <w:color w:val="auto"/>
                <w:sz w:val="21"/>
                <w:szCs w:val="21"/>
                <w:highlight w:val="none"/>
                <w:u w:val="none"/>
              </w:rPr>
              <w:suppressLineNumbers w:val="0"/>
            </w:pPr>
            <w:r>
              <w:rPr>
                <w:rFonts w:hint="eastAsia" w:ascii="黑体" w:hAnsi="宋体" w:eastAsia="黑体" w:cs="黑体"/>
                <w:i w:val="0"/>
                <w:iCs w:val="0"/>
                <w:color w:val="auto"/>
                <w:sz w:val="21"/>
                <w:szCs w:val="21"/>
                <w:highlight w:val="none"/>
                <w:u w:val="none"/>
                <w:lang w:val="en-US" w:eastAsia="zh-CN" w:bidi="ar"/>
              </w:rPr>
              <w:t xml:space="preserve">项目编码</w:t>
            </w:r>
            <w:r/>
          </w:p>
        </w:tc>
        <w:tc>
          <w:tcPr>
            <w:shd w:val="clear" w:color="auto" w:fill="auto"/>
            <w:tcBorders>
              <w:top w:val="single" w:color="000000" w:sz="8" w:space="0"/>
              <w:left w:val="single" w:color="000000" w:sz="4" w:space="0"/>
              <w:bottom w:val="single" w:color="000000" w:sz="4" w:space="0"/>
              <w:right w:val="single" w:color="000000" w:sz="4" w:space="0"/>
            </w:tcBorders>
            <w:tcW w:w="1380" w:type="dxa"/>
            <w:vAlign w:val="center"/>
            <w:vMerge w:val="restart"/>
            <w:textDirection w:val="lrTb"/>
            <w:noWrap w:val="false"/>
          </w:tcPr>
          <w:p>
            <w:pPr>
              <w:jc w:val="center"/>
              <w:keepLines w:val="0"/>
              <w:keepNext w:val="0"/>
              <w:widowControl/>
              <w:rPr>
                <w:rFonts w:hint="eastAsia" w:ascii="黑体" w:hAnsi="宋体" w:eastAsia="黑体" w:cs="黑体"/>
                <w:i w:val="0"/>
                <w:iCs w:val="0"/>
                <w:color w:val="auto"/>
                <w:sz w:val="21"/>
                <w:szCs w:val="21"/>
                <w:highlight w:val="none"/>
                <w:u w:val="none"/>
              </w:rPr>
              <w:suppressLineNumbers w:val="0"/>
            </w:pPr>
            <w:r>
              <w:rPr>
                <w:rFonts w:hint="eastAsia" w:ascii="黑体" w:hAnsi="宋体" w:eastAsia="黑体" w:cs="黑体"/>
                <w:i w:val="0"/>
                <w:iCs w:val="0"/>
                <w:color w:val="auto"/>
                <w:sz w:val="21"/>
                <w:szCs w:val="21"/>
                <w:highlight w:val="none"/>
                <w:u w:val="none"/>
                <w:lang w:val="en-US" w:eastAsia="zh-CN" w:bidi="ar"/>
              </w:rPr>
              <w:t xml:space="preserve">名称</w:t>
            </w:r>
            <w:r/>
          </w:p>
        </w:tc>
        <w:tc>
          <w:tcPr>
            <w:shd w:val="clear" w:color="auto" w:fill="auto"/>
            <w:tcBorders>
              <w:top w:val="single" w:color="000000" w:sz="8" w:space="0"/>
              <w:left w:val="single" w:color="000000" w:sz="4" w:space="0"/>
              <w:bottom w:val="single" w:color="000000" w:sz="4" w:space="0"/>
              <w:right w:val="single" w:color="000000" w:sz="4" w:space="0"/>
            </w:tcBorders>
            <w:tcW w:w="4668" w:type="dxa"/>
            <w:vAlign w:val="center"/>
            <w:vMerge w:val="restart"/>
            <w:textDirection w:val="lrTb"/>
            <w:noWrap w:val="false"/>
          </w:tcPr>
          <w:p>
            <w:pPr>
              <w:jc w:val="center"/>
              <w:keepLines w:val="0"/>
              <w:keepNext w:val="0"/>
              <w:widowControl/>
              <w:rPr>
                <w:rFonts w:hint="default" w:ascii="黑体" w:hAnsi="宋体" w:eastAsia="黑体" w:cs="黑体"/>
                <w:i w:val="0"/>
                <w:iCs w:val="0"/>
                <w:color w:val="auto"/>
                <w:sz w:val="21"/>
                <w:szCs w:val="21"/>
                <w:highlight w:val="none"/>
                <w:u w:val="none"/>
                <w:lang w:val="en-US"/>
              </w:rPr>
              <w:suppressLineNumbers w:val="0"/>
            </w:pPr>
            <w:r>
              <w:rPr>
                <w:rFonts w:hint="eastAsia" w:ascii="黑体" w:hAnsi="宋体" w:eastAsia="黑体" w:cs="黑体"/>
                <w:i w:val="0"/>
                <w:iCs w:val="0"/>
                <w:color w:val="auto"/>
                <w:sz w:val="21"/>
                <w:szCs w:val="21"/>
                <w:highlight w:val="none"/>
                <w:u w:val="none"/>
                <w:lang w:val="en-US" w:eastAsia="zh-CN" w:bidi="ar"/>
              </w:rPr>
              <w:t xml:space="preserve">技术说明</w:t>
            </w:r>
            <w:r/>
          </w:p>
        </w:tc>
        <w:tc>
          <w:tcPr>
            <w:shd w:val="clear" w:color="auto" w:fill="auto"/>
            <w:tcBorders>
              <w:top w:val="single" w:color="000000" w:sz="8" w:space="0"/>
              <w:left w:val="single" w:color="000000" w:sz="4" w:space="0"/>
              <w:bottom w:val="single" w:color="000000" w:sz="4" w:space="0"/>
              <w:right w:val="single" w:color="000000" w:sz="4" w:space="0"/>
            </w:tcBorders>
            <w:tcW w:w="696" w:type="dxa"/>
            <w:vAlign w:val="center"/>
            <w:vMerge w:val="restart"/>
            <w:textDirection w:val="lrTb"/>
            <w:noWrap w:val="false"/>
          </w:tcPr>
          <w:p>
            <w:pPr>
              <w:jc w:val="center"/>
              <w:keepLines w:val="0"/>
              <w:keepNext w:val="0"/>
              <w:widowControl/>
              <w:rPr>
                <w:rFonts w:hint="eastAsia" w:ascii="黑体" w:hAnsi="宋体" w:eastAsia="黑体" w:cs="黑体"/>
                <w:i w:val="0"/>
                <w:iCs w:val="0"/>
                <w:color w:val="auto"/>
                <w:sz w:val="21"/>
                <w:szCs w:val="21"/>
                <w:highlight w:val="none"/>
                <w:u w:val="none"/>
              </w:rPr>
              <w:suppressLineNumbers w:val="0"/>
            </w:pPr>
            <w:r>
              <w:rPr>
                <w:rFonts w:hint="eastAsia" w:ascii="黑体" w:hAnsi="宋体" w:eastAsia="黑体" w:cs="黑体"/>
                <w:i w:val="0"/>
                <w:iCs w:val="0"/>
                <w:color w:val="auto"/>
                <w:sz w:val="21"/>
                <w:szCs w:val="21"/>
                <w:highlight w:val="none"/>
                <w:u w:val="none"/>
                <w:lang w:val="en-US" w:eastAsia="zh-CN" w:bidi="ar"/>
              </w:rPr>
              <w:t xml:space="preserve">计量</w:t>
            </w:r>
            <w:r>
              <w:rPr>
                <w:rFonts w:hint="eastAsia" w:ascii="黑体" w:hAnsi="宋体" w:eastAsia="黑体" w:cs="黑体"/>
                <w:i w:val="0"/>
                <w:iCs w:val="0"/>
                <w:color w:val="auto"/>
                <w:sz w:val="21"/>
                <w:szCs w:val="21"/>
                <w:highlight w:val="none"/>
                <w:u w:val="none"/>
                <w:lang w:val="en-US" w:eastAsia="zh-CN" w:bidi="ar"/>
              </w:rPr>
              <w:br/>
            </w:r>
            <w:r>
              <w:rPr>
                <w:rFonts w:hint="eastAsia" w:ascii="黑体" w:hAnsi="宋体" w:eastAsia="黑体" w:cs="黑体"/>
                <w:i w:val="0"/>
                <w:iCs w:val="0"/>
                <w:color w:val="auto"/>
                <w:sz w:val="21"/>
                <w:szCs w:val="21"/>
                <w:highlight w:val="none"/>
                <w:u w:val="none"/>
                <w:lang w:val="en-US" w:eastAsia="zh-CN" w:bidi="ar"/>
              </w:rPr>
              <w:t xml:space="preserve">单位</w:t>
            </w:r>
            <w:r/>
          </w:p>
        </w:tc>
        <w:tc>
          <w:tcPr>
            <w:shd w:val="clear" w:color="auto" w:fill="auto"/>
            <w:tcBorders>
              <w:top w:val="single" w:color="000000" w:sz="8" w:space="0"/>
              <w:left w:val="single" w:color="000000" w:sz="4" w:space="0"/>
              <w:bottom w:val="single" w:color="000000" w:sz="4" w:space="0"/>
              <w:right w:val="single" w:color="000000" w:sz="4" w:space="0"/>
            </w:tcBorders>
            <w:tcW w:w="732" w:type="dxa"/>
            <w:vAlign w:val="center"/>
            <w:vMerge w:val="restart"/>
            <w:textDirection w:val="lrTb"/>
            <w:noWrap w:val="false"/>
          </w:tcPr>
          <w:p>
            <w:pPr>
              <w:jc w:val="center"/>
              <w:keepLines w:val="0"/>
              <w:keepNext w:val="0"/>
              <w:widowControl/>
              <w:rPr>
                <w:rFonts w:hint="default" w:ascii="黑体" w:hAnsi="宋体" w:eastAsia="黑体" w:cs="黑体"/>
                <w:i w:val="0"/>
                <w:iCs w:val="0"/>
                <w:color w:val="auto"/>
                <w:sz w:val="21"/>
                <w:szCs w:val="21"/>
                <w:highlight w:val="none"/>
                <w:u w:val="none"/>
                <w:lang w:val="en-US"/>
              </w:rPr>
              <w:suppressLineNumbers w:val="0"/>
            </w:pPr>
            <w:r>
              <w:rPr>
                <w:rFonts w:hint="eastAsia" w:ascii="黑体" w:hAnsi="宋体" w:eastAsia="黑体" w:cs="黑体"/>
                <w:i w:val="0"/>
                <w:iCs w:val="0"/>
                <w:color w:val="auto"/>
                <w:sz w:val="21"/>
                <w:szCs w:val="21"/>
                <w:highlight w:val="none"/>
                <w:u w:val="none"/>
                <w:lang w:val="en-US" w:eastAsia="zh-CN" w:bidi="ar"/>
              </w:rPr>
              <w:t xml:space="preserve">数量</w:t>
            </w:r>
            <w:r/>
          </w:p>
        </w:tc>
      </w:tr>
      <w:tr>
        <w:trPr>
          <w:trHeight w:val="288"/>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B区厨房设备</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288"/>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一层厨房</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288"/>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卸货区</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2304"/>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03B001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电子磅秤</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1.规格：600*700*800mm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2.技术参数:具有简易计数自动校正、自动零点追踪、双重过载保护功能，大型液晶 LCD 显示，具LED背光功能，外壳采 ABS 塑钢材质，电子显示头可调整适当的显示角度,电压/功率：220v/0.2kw</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152"/>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03B003</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地架</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1.规格：1200*500*250mm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2.技术参数：采用SUS304不锈钢板材，排档式，横档选用25*38*1.2mm不锈钢方管</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rHeight w:val="1728"/>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03B004</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洗地水枪</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1.规格：11m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2.技术参数：开放式洗地龙头联水枪头；喉管长度约≥10.7m,耐压≥:300PSI,耐温≥:80°C； 导向臂可4个方向定位； 配置喉管止动器，可调节</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2304"/>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03B005</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剪叉式电动液压升降平台</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1.规格：2000*2000mm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2.技术参数：台面框架:80*40*4矩形方管（Q345）,剪叉:120*50*5矩形方管（Q345）,载重:1000kg,工作行程:420—1920mm。底座:80*80角钢,面板:3mm防滑花纹板。辅助撑管:150*50矩形方管。</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288"/>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粗加工间</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2016"/>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03B006</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大单星盆台(带背)</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1.规格：1000*760*800mm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2.技术参数：采用SUS 304 不锈钢板，台面、槽体厚度δ=1.2mm，槽体深度h≥350mm，选用不锈钢防臭落水；立柱为Φ38*1.2mm不锈钢</w:t>
            </w:r>
            <w:r>
              <w:rPr>
                <w:rStyle w:val="1114"/>
                <w:color w:val="auto"/>
                <w:highlight w:val="none"/>
                <w:lang w:val="en-US" w:eastAsia="zh-CN" w:bidi="ar"/>
              </w:rPr>
              <w:t xml:space="preserve">201</w:t>
            </w:r>
            <w:r>
              <w:rPr>
                <w:rStyle w:val="1120"/>
                <w:color w:val="auto"/>
                <w:highlight w:val="none"/>
                <w:lang w:val="en-US" w:eastAsia="zh-CN" w:bidi="ar"/>
              </w:rPr>
              <w:t xml:space="preserve">管，配不锈钢调节脚。</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r>
      <w:tr>
        <w:trPr>
          <w:trHeight w:val="1728"/>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03B008</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工作台连下一层条板</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1.规格：400*560*800mm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2.技术要求：采用SUS304不锈钢板材，台面厚度1.2mm，加装加强筋100*40*1.2mm，下层条板厚度1.0mm；立柱为Φ38*1.2mm不锈钢</w:t>
            </w:r>
            <w:r>
              <w:rPr>
                <w:rStyle w:val="1114"/>
                <w:color w:val="auto"/>
                <w:highlight w:val="none"/>
                <w:lang w:val="en-US" w:eastAsia="zh-CN" w:bidi="ar"/>
              </w:rPr>
              <w:t xml:space="preserve">201</w:t>
            </w:r>
            <w:r>
              <w:rPr>
                <w:rStyle w:val="1120"/>
                <w:color w:val="auto"/>
                <w:highlight w:val="none"/>
                <w:lang w:val="en-US" w:eastAsia="zh-CN" w:bidi="ar"/>
              </w:rPr>
              <w:t xml:space="preserve">管，配不锈钢调节脚。</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728"/>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03B010</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工作台连下一层条板</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1.规格：700*760*800mm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2.技术参数：采用SUS304不锈钢板材，台面厚度1.2mm，加装加强筋100*40*1.2mm，下层条板厚度1.0mm；立柱为Φ38*1.2mm不锈钢</w:t>
            </w:r>
            <w:r>
              <w:rPr>
                <w:rStyle w:val="1114"/>
                <w:color w:val="auto"/>
                <w:highlight w:val="none"/>
                <w:lang w:val="en-US" w:eastAsia="zh-CN" w:bidi="ar"/>
              </w:rPr>
              <w:t xml:space="preserve">201</w:t>
            </w:r>
            <w:r>
              <w:rPr>
                <w:rStyle w:val="1120"/>
                <w:color w:val="auto"/>
                <w:highlight w:val="none"/>
                <w:lang w:val="en-US" w:eastAsia="zh-CN" w:bidi="ar"/>
              </w:rPr>
              <w:t xml:space="preserve">管，配不锈钢调节脚。</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152"/>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03B011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风幕机及支架</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1.规格：1500*183*226mm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2.技术参数：使用环境：-20°C-+40°C，无腐蚀气体下,电压/功率：220v/0.2kw</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728"/>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03B012</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灭蝇灯</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1.规格：490*210*195mm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2.技术参数：尺寸：490*210*195mm,采用专用灭蚊蝇灯管，内壁反吸光设计，有效面积≥40平方，电压/功率：220V/16W</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728"/>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03B014</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工作台连下一层条板</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1.规格：1800*1000*800mm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2.技术参数：采用SUS304不锈钢板材，台面厚度1.2mm，加装加强筋100*40*1.2mm，下层条板厚度1.0mm；立柱为Φ38*1.2mm不锈钢201管，配不锈钢调节脚。</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r>
      <w:tr>
        <w:trPr>
          <w:trHeight w:val="1152"/>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03B017</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地架</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1.规格：800*600*250mm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2.技术参数：采用SUS304不锈钢板材，排档式，横档选用25*38*1.2mm不锈钢方管</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4290"/>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03B018</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多功能切菜机</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1.规格：1100*600*1200mm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2.技术参数：SUS304，机体材料厚度3mm，电机外壳SUS304材质，材料厚度1.5mm，特性：将根茎类切成厚、薄片、丝条、丁等外形，并且为一次成型，切丝、切片精度≥2mm ;切割尺寸：2-60mm；皮带宽≥120mm；产量：300-1000KG/HR；电源：220V　单相 ;马力：3/4HP，设备带轮，移动方便，整机防水，可以用水直接清洗，刀盘拆卸、清洗方便。特性：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*变频控制，操作简易，可切成1-60毫米的段。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*刀为侧面悬挂式，外有保护盖，并在旋转门内配有微动开关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*机器为不锈钢材质。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*机器加高≥15cm，</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rHeight w:val="1152"/>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03B019</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挂墙可调式双层板</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1.规格：2000*350*650mm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 SUS304 不锈钢板制作，台面厚度 1.0mm</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rHeight w:val="2016"/>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03B020</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单星理鱼(带背+左星位)</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1.规格：1500*760*800mm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2.技术参数：采用SUS 304 不锈钢板，台面、槽体厚度δ=1.2mm，槽体深度h≥350mm，选用不锈钢防臭落水；立柱为Φ38*1.2mm不锈钢201管，配不锈钢调节脚。</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152"/>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03B021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挂墙可调式双层板</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1.规格：2500*350*650mm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 SUS304 不锈钢板制作，台面厚度 1.0mm</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728"/>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03B022</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工作台连下一层条板</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1.规格：1500*760*800mm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2.技术参数：采用SUS304不锈钢板材，台面厚度1.2mm，加装加强筋100*40*1.2mm，下层条板厚度1.0mm；立柱为Φ38*1.2mm不锈钢201管，配不锈钢调节脚。</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440"/>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03B668</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砧板刀具消毒柜</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1.规格：680*640*1520mm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2.技术参数：采用不锈钢201材质，消毒方式：紫外线/电热， 电压/功率：220v/2kw， 砧板架载重量：45KG</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rHeight w:val="1440"/>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03B023</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搅拌机</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1.技术参数：凡是接触食品的部分均为不锈钢材质，最大和面量≥8KG，料桶容积≥25L，电压：220V，电压/功率：22v/1KW，搅拌转速≥91r/min</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864"/>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03B024</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水杯柜</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1.规格：1200*350*700mm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2.技术参数：采用SUS 304 不锈钢板，材料厚度δ=1.2mm</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728"/>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03B025</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洗地水枪</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1.规格：11m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2.技术参数：开放式洗地龙头联水枪头；喉管长度约≥10.7m,耐压≥:300PSI,耐温≥:80°C； 导向臂可4个方向定位； 配置喉管止动器，可调节</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440"/>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03B026</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净水器</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1、技术参数：过滤精度≤0.5微米；尺寸（高宽深）：750*400*150mm；处理水量≥19升/分钟；水压：25-125psi；总处理量≥36000加仑</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728"/>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03B027</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收残工作台</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1.规格：1800*1000*800mm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 SUS304 不锈钢板制作，台面厚度 1.2mm，收餐孔直径 280mm,立柱 38*38 不锈钢201管，厚度 1.2mm,配不锈钢调整脚。</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90"/>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03B028</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蔬菜清洗机</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1.规格：1500*800*800+160mm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功率：3600W/220V，蔬菜＞200KG，瓜果＞300KG，耗电3.6KW/时，水容积：0.131/0.118m³，商用洗菜机，消毒杀菌洗菜机，多功能洗菜机，去泥沙除虫洗菜机，翻浪式蔬菜清洗机，节水型洗菜机，臭氧紫外线洗菜机，果树洗菜机。</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5822"/>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03B029</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流量程序活氧水杀菌消毒设备</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1.规格：140 x 128.5 x 210.5mm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2.技术参数：功率≤60w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电源:220V/50Hz流量:120-270LPH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1.设备内部带有纯水制作系统。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2.膜电极电解技术生成高纯度、高浓度、高饱和度的溶解臭氧杀菌水。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3.杀菌消毒降农残，无毒，无化学，不腐蚀。</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杀菌情况:金黄色葡萄球菌杀灭率:&gt;99.999%，大肠杆菌杀灭率:&gt;99.99%沙门氏菌杀灭率:&gt;99.9%，绿脓杆菌杀灭率:&gt;99.999%，白色念珠菌杀灭率&gt;99.999%，耐性金黄色葡萄球菌杀灭率:&gt;99.999%，单核增生李斯特菌杀灭率:&gt;99.999%。</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5.农药降解情况:磷类降解率:&gt;99%:氯菊脂类降解率:&gt;94%，余氯去除率&gt;80%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6.检测PH值为中性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7.安装方式:直接水路接入，设备自身出水，可挂壁，可台放安装。</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r>
      <w:tr>
        <w:trPr>
          <w:trHeight w:val="1440"/>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031006014001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直饮水机</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numPr>
                <w:ilvl w:val="0"/>
                <w:numId w:val="7"/>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名称：直饮水机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2、规格：410*410*1350mm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3、技术参数：五级过滤（RO400+6G）        </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水胆≥27L</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152"/>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03B669</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地架</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1.规格：1200*500*250mm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2.技术参数：采用SUS304不锈钢板材，排档式，横档选用25*38*1.2mm不锈钢方管</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rHeight w:val="3698"/>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03B670</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挂墙刀具消毒柜</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1.规格：540*135*646mm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2.技术参数：用电量：15W/220V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安装方式：箱体后设有挂墙孔，可选择悬挂或座台摆放。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全不锈钢制造，外观美观，坚固耐用。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内置304不锈钢磁力刀架，紫外线及臭氧双重消毒，实现灭菌无死角。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使用旋钮开关，0-60分钟可设定消毒时间，指示灯亮起开始工作，工作结束有闹铃提示音。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使用黑色有机玻璃门，高效防止紫外线外泄。设有磁性门吸和门锁，开门即自动关闭紫外线灯，使用安全，便于管理。</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288"/>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主/副食库、杂品库</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152"/>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03B030</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地架</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1.规格：1200*500*250mm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2.技术参数：采用SUS304不锈钢板材，排档式，横档选用25*38*1.2mm不锈钢方管</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rHeight w:val="1440"/>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03B031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平板四层层架</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1.规格：1200*500*1800mm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2.技术参数：采用SUS 304 不锈钢板，材料厚度δ=1.0mm；立柱为Φ38*1.2mm不锈钢201管，配不锈钢调节脚</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r>
      <w:tr>
        <w:trPr>
          <w:trHeight w:val="288"/>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烹饪间/蒸煮间/水果清洗间</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728"/>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03B032</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灶边工作台</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1.规格：500*1150*800mm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2.技术参数：采用SUS304不锈钢板材，台面厚度1.2mm，加装加强筋100*40*1.2mm，立柱为Φ38*1.2mm不锈钢201管，配不锈钢调节脚。</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r>
      <w:tr>
        <w:trPr>
          <w:trHeight w:val="4742"/>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03B033</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燃气双眼大锅灶(含锅）</w:t>
            </w:r>
            <w:r/>
          </w:p>
          <w:p>
            <w:pPr>
              <w:jc w:val="left"/>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1.规格：2000*1150*800mm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1、SUS304不锈钢板厚：台面、大梁1.5mm，前面板、侧板1.2mm，炉膛、后烟囱采用2.0mm后的铁板制成，骨架采用优质40*40镀锌角钢制作，经久耐用，炉脚采用Ø50mm钢管；外包不锈钢套管，配可调子弹脚。2、炉芯：炉头采用自动电子打火，煤气安全保护阀门、离子式熄火保护装置</w:t>
            </w:r>
            <w:r>
              <w:rPr>
                <w:rFonts w:hint="eastAsia" w:ascii="宋体" w:hAnsi="宋体" w:eastAsia="宋体" w:cs="宋体"/>
                <w:i w:val="0"/>
                <w:iCs w:val="0"/>
                <w:color w:val="auto"/>
                <w:sz w:val="21"/>
                <w:szCs w:val="21"/>
                <w:highlight w:val="none"/>
                <w:u w:val="none"/>
                <w:lang w:val="en-US" w:eastAsia="zh-CN" w:bidi="ar"/>
              </w:rPr>
              <w:t xml:space="preserve">，高热效率低噪音不锈钢预混合燃气节能炉头，3、炒灶为金蝉系统风气联动阀门，风机：低噪音（220V/250W*2）无刷变频风机； 4、内衬：1.2mm不锈钢板及石棉布隔热；烟道采用1.2mm不锈钢板。5、炉体主体骨架采用201-1.2不锈钢钣金铆接工艺；水管：均采用黄铜管，主气管采用无缝钢管，6、下水不锈钢管连接，配800mm大锅2口，并配锅盖2只；                                                       生产执行标准采用最新（GB35848-2024标准）</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r>
      <w:tr>
        <w:trPr>
          <w:trHeight w:val="3098"/>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03B035</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万能蒸烤箱</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1.规格：20盘</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全新触摸屏控制，物联网实时烹饪监控，可实现菜单上传下发，数据查看等功能，三重除垢，三层玻璃门，一机多能：蒸、烤、蒸烤三种模式，可存储上千个分≥15段烹饪的专业菜单，单独控制每层烹饪时间，智能恒温设计，多重自动清洗模式，自带锅炉，温度范围：25-250℃,电压/功率：：380V/40KW,容量≥20个GN1/1" 盆, 內膛尺寸：440x645x1515mm 每层高度≥60mm；</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rHeight w:val="1728"/>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03B036</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燃气汤煲</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1.规格：200L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2.技术参数：容积≥200L,锅口直径≥900mm ,全不锈钢结构，内置保温装置，材料厚度3mm，带熄火保护装置，电压/功率：220V/0.25KW</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2304"/>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03B037</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灭火系统及控制箱</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1.规格：双瓶组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2.技术参数：装置设计有自动探测部件，可24小时监控，可自动启动灭火装置灭火，同时关闭燃气阀并报警，自动灭火装置主控箱、多功能机械控制阀、减压器、灭火药剂瓶、灭火药剂、电路板等整套装置</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r>
      <w:tr>
        <w:trPr>
          <w:trHeight w:val="1152"/>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03B038</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风幕机及支架</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1.规格：1500*183*226mm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2.技术参数：使用环境：-20°C-+40°C，无腐蚀气体下,电压/功率：220v/0.2kw</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152"/>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03B039</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地架</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1.规格：1200*500*250mm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2.技术参数：采用SUS304不锈钢板材，排档式，横档选用25*38*1.2mm不锈钢方管</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r>
      <w:tr>
        <w:trPr>
          <w:trHeight w:val="1728"/>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03B040</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工作台连下一层条板</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1.规格：1800*800*800mm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2.技术参数：采用SUS304不锈钢板材，台面厚度1.2mm，加装加强筋100*40*1.2mm，下层条板厚度1.0mm；立柱为Φ38*1.2mm不锈钢201管，配不锈钢调节脚。</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r>
      <w:tr>
        <w:trPr>
          <w:trHeight w:val="2016"/>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03B041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大单星盆台(带背)</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1.规格：1000*800*800mm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2.技术参数：采用SUS 304 不锈钢板，台面、槽体厚度δ=1.2mm，槽体深度h≥350mm，选用不锈钢防臭落水；立柱为Φ38*1.2mm不锈钢201管，配不锈钢调节脚。</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250"/>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03B042</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洗地水枪</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1.规格：11m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2.技术参数：开放式洗地龙头联水枪头；喉管长度约≥10.7m,耐压≥:300PSI,耐温≥:80°C； 导向臂可4个方向定位； 配置喉管止动器，可调节</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454"/>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03B043</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大单星盆台(带背)</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1.规格：1000*800*800mm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2.技术参数：采用SUS 304 不锈钢板，台面、槽体厚度δ=1.2mm，槽体深度h≥350mm，选用不锈钢防臭落水；立柱为Φ38*1.2mm不锈钢201管，配不锈钢调节脚。</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728"/>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03B044</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工作台连下一层条板</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1.规格：2000*800*800mm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2.技术参数：采用SUS304不锈钢板材，台面厚度1.2mm，加装加强筋100*40*1.2mm，下层条板厚度1.0mm；立柱为Φ38*1.2mm不锈钢201管，配不锈钢调节脚。</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728"/>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03B045</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工作台连下一层条板</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1.规格：1500*800*800mm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2.技术参数：采用SUS304不锈钢板材，台面厚度1.2mm，加装加强筋100*40*1.2mm，下层条板厚度1.0mm；立柱为Φ38*1.2mm不锈钢201管，配不锈钢调节脚。</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440"/>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03B046</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四层层架</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1.规格：1200*500*1800mm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2.技术参数：采用304#不锈钢板，层板厚度1.0mm，立柱为φ38mm*1.2mm不锈钢201管，配不锈钢调节脚</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r>
      <w:tr>
        <w:trPr>
          <w:trHeight w:val="1730"/>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03B047</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大单星盆台(带背)</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1.规格：1000*760*800mm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2.技术参数：采用SUS 304 不锈钢板，台面、槽体厚度δ=1.2mm，槽体深度h≥350mm，选用不锈钢防臭落水；立柱为Φ38*1.2mm不锈钢201管，配不锈钢调节脚。</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r>
      <w:tr>
        <w:trPr>
          <w:trHeight w:val="2078"/>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03B048</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定制双门电加热饭车（竖盘）</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1.规格：24盘</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304不锈钢材料制作，材料厚度0.8mm，框体骨架1.0mm，最大蒸饭能力：72-96KG/H，电压/功率：380V/12KW*2，缺水自动断电防止干烧，一次成型内胆，自动补水装置，高精度电器，承重脚，内含24只不锈钢304材质饭盘，饭盘尺寸：580*440*55mm，材料厚度0.8mm</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r>
      <w:tr>
        <w:trPr>
          <w:trHeight w:val="864"/>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03B049</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集气罩</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1.规格：3000*1000*550mm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2.技术参数：罩体SUS304材质，厚度δ=1.0mm</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576"/>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03B050</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不锈钢烟罩封板含封墙板</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1.技术参数：采用SUS 304 不锈钢板，材料厚度δ=1.0mm</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19.5</w:t>
            </w:r>
            <w:r/>
          </w:p>
        </w:tc>
      </w:tr>
      <w:tr>
        <w:trPr>
          <w:trHeight w:val="864"/>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03B671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集气罩</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1.规格：5600*1350*500mm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2.技术参数：罩体SUS304材质，厚度δ=1.0mm</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2714"/>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03B053</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油烟净化一体机</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1.规格：2600*1350*1000mm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2.技术参数：1、本体采用不锈钢304材质，材料厚度1.0mm，一体式烟罩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2、高清液晶显示屏，中文、动态图标全视角显示设备的运行状态。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3、单片机控制系统，SDK芯片配置，可后台编辑、修订设备参数。 GPS组合模块。电容保护装置。可与智慧化厨房，智慧化平台无缝对接。</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576"/>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03B054</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不锈钢烟罩封板含封墙板</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1.技术参数：采用SUS 304 不锈钢板，材料厚度δ=1.0mm</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w:t>
            </w:r>
            <w:r/>
          </w:p>
        </w:tc>
      </w:tr>
      <w:tr>
        <w:trPr>
          <w:trHeight w:val="1440"/>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031006010001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净水器</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1、技术参数：过滤精度≤0.5微米；尺寸（高宽深）：750*400*150mm；处理水量≥19升/分钟；水压：25-125psi；总处理量≥36000加仑</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r>
      <w:tr>
        <w:trPr>
          <w:trHeight w:val="1440"/>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031006014002</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软水机</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1.规格：360*200*490mm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2.技术参数：软水流量：约≥15L/min；储盐量：约≥9KG；软水量：约≥30吨；装盐周期：约≥10天；</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418"/>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03B055</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灭蝇灯</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1.规格：490*210*195mm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2.技术参数：尺寸：490*210*195mm,采用专用灭蚊蝇灯管，内壁反吸光设计，有效面积≥40平方，电压/功率：220V/16W</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rHeight w:val="288"/>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用具清洗间/餐具回收间</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2016"/>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03B056</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大单星盆台(带背)</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1.规格：1000*760*800mm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2.技术参数：采用SUS 304 不锈钢板，台面、槽体厚度δ=1.2mm，槽体深度h≥350mm，选用不锈钢防臭落水；立柱为Φ38*1.2mm不锈钢201管，配不锈钢调节脚。</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2016"/>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03B057</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大单星盆台(带背)</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1.规格：1200*760*800mm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2.技术参数：采用SUS 304 不锈钢板，台面、槽体厚度δ=1.2mm，槽体深度h≥350mm，选用不锈钢防臭落水；立柱为Φ38*1.2mm不锈钢201管，配不锈钢调节脚。</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rHeight w:val="1728"/>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03B058</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工作台连下一层条板</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1.规格：1800*800*800mm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2.技术参数：采用SUS304不锈钢板材，台面厚度1.2mm，加装加强筋100*40*1.2mm，下层条板厚度1.0mm；立柱为Φ38*1.2mm不锈钢201管，配不锈钢调节脚。</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310"/>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03B059</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紫外线杀菌灯</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1.规格：36W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2.技术参数：灯管：石英高压放电管，紫外线（UV-B）波长：200～290nm，强力杀菌，效率高，时间短，电压/功率：220v/0.36kw</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310"/>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03B061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灭蝇灯</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1.规格：490*210*195mm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2.技术参数：尺寸：490*210*195mm,采用专用灭蚊蝇灯管，内壁反吸光设计，有效面积≥40平方，电压/功率：220V/16W</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r>
      <w:tr>
        <w:trPr>
          <w:trHeight w:val="288"/>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面点特色餐间</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418"/>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03B062</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双层挂墙柜</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1.规格：1300*350*610mm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 304#不锈钢板，台面厚度δ  =1.2MM，层板及底板δ  =1.2mm,门板、侧板、背板材料1.0mm，底层为平板式</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rHeight w:val="1514"/>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03B063</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大单星盆台(带背)</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1.规格：600*760*800mm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2.技术参数：采用SUS 304 不锈钢板，台面、槽体厚度δ=1.2mm，槽体深度h≥350mm，选用不锈钢防臭落水；立柱为Φ38*1.2mm不锈钢201管，配不锈钢调节脚。</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90"/>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03B064</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保鲜工作台</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一.规格：1800*800*800mm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二.技术参数：1、制冷方式：直冷，规格尺寸：1800*800*800mm，温度：2℃~8℃，有效容量≥420L。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2、箱体内外均采用食品级不锈钢，箱体整体发泡，中梁配加热丝，可拆卸门封条，自动回归门设计；纯铜蒸发器，在最高42℃的极端环境温度下也能正常制冷；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3、配置离子食物保鲜系统，通过释放活氧抑制细菌生长，通过释放负离子延缓食物氧化，延长食物保鲜时间；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采用智能微电脑触摸屏控制器，触摸显示屏最短边尺寸≥10cm；触摸显示屏可根据需求调节冷藏/冷冻间室温度，并显示箱体内实时温度；冰箱出现故障时触摸显示屏显示中文故障提示；可通过触摸显示屏显示累计耗电量，并开启节能功能，显示累计节电数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冰箱具有物联网功能，可通过物联网平台远程查看冰箱实时状态及累计使用天数，并可远程开启化霜、节能、离子保鲜、抑菌等功能，远程调节温度功能，同时可生成节电量曲线图；其中节累计能电量、累计耗电量、累计使用天数、累计减少碳排放需有数字化大屏管理显示界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6、具备远程故障报修系统，当冰箱出现故障时，在显示屏显示中文故障提示，并同步将故</w:t>
            </w:r>
            <w:r>
              <w:rPr>
                <w:rFonts w:hint="eastAsia" w:ascii="宋体" w:hAnsi="宋体" w:eastAsia="宋体" w:cs="宋体"/>
                <w:i w:val="0"/>
                <w:iCs w:val="0"/>
                <w:color w:val="auto"/>
                <w:sz w:val="21"/>
                <w:szCs w:val="21"/>
                <w:highlight w:val="none"/>
                <w:u w:val="none"/>
                <w:lang w:val="en-US" w:eastAsia="zh-CN" w:bidi="ar"/>
              </w:rPr>
              <w:t xml:space="preserve">障信息通过物联网向授权用户管理员、经销商、制造商发送；其中产品具备行业分布显示界面、在线设备及总设备管理显示界面，售后管理平台远程故障报警及保修故障管理界面，设备运行报表管理界面及故障分析管理界面需数字化大屏显示；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382"/>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03B065</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紫外线杀菌灯</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1.规格：36W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2.技术参数：灯管：石英高压放电管，紫外线（UV-B）波长：200～290nm，强力杀菌，效率高，时间短，电压/功率：220v/0.36kw</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rHeight w:val="864"/>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03B067</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保温灯</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1.规格：L=1500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2.技术参数：电压/功率：220v/1.5kw</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440"/>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03B068</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玻璃卫生罩</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1.规格：1500*350*600mm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2.技术参数：采用SUS304不锈钢板，台面厚度δ=1.2mm，支架采用304不锈钢方管38*25*1.2mm；顶面、侧面配10mm钢化玻璃装饰</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923"/>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03B069</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四盆电热汤池</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1.规格：700*700*230mm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2.技术参数：采用SUS304不锈钢板，台面及水箱材料厚度δ=1.2mm，门板、侧板材料厚度1.0mm，电控恒温式保温方式，电压/功率：220v/3kw，内含1/1 150mm不锈钢食物盒连盖，立柱为Φ51*1.2不锈钢201管，配不锈钢子弹脚</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864"/>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03B070</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集气罩</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1.规格：3400*1000*500mm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2.技术参数：罩体SUS304材质，厚度δ=1.0mm</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576"/>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03B071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不锈钢烟罩封板含封墙板</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1.技术参数：采用SUS 304 不锈钢板，材料厚度δ=1.0mm</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r>
      <w:tr>
        <w:trPr>
          <w:trHeight w:val="1440"/>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03B672</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电热铛</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1.尺寸：660*840*760mm                                                                                                                                                                        </w:t>
            </w:r>
            <w:r>
              <w:rPr>
                <w:rFonts w:hint="eastAsia" w:ascii="宋体" w:hAnsi="宋体" w:eastAsia="宋体" w:cs="宋体"/>
                <w:i w:val="0"/>
                <w:iCs w:val="0"/>
                <w:color w:val="auto"/>
                <w:sz w:val="21"/>
                <w:szCs w:val="21"/>
                <w:highlight w:val="none"/>
                <w:u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2.技术参数：设有超温保护装置，带温控，工作温度：120~250℃，内径约≥53CM ,电压/功率：380V/4.5KW</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323"/>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03B073</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电磁煎包炉</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1.尺寸：800*800*800mm</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2.技术参数：材质：全SUS304不锈钢加厚机身，耐腐蚀，经久耐用。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立体三防结构设计，防水、防油烟、防虫。</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搭载磁电引擎技术，机芯稳定性高。</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P耐高温齿形线盘组件，搭配高效聚能稀土磁条，创新导风散热结构，磁场分布均匀，发热低、损耗小、不偏火、不烧线盘。</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全封闭机芯，喇叭形散热风道设计，散热速度快。电子器件与风道完全隔离，避免油烟、水汽侵蚀电路，电压/功率：380V/8KW</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864"/>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03B074</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集气罩</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1.规格：4200*1200*500mm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2.技术参数：罩体SUS304材质，厚度δ=1.0mm</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994"/>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03B075</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灭火系统及控制箱</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1.规格：双瓶组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2.技术参数：装置设计有自动探测部件，可24小时监控，可自动启动灭火装置灭火，同时关闭燃气阀并报警，自动灭火装置主控箱、多功能机械控制阀、减压器、灭火药剂瓶、灭火药剂、电路板等整套装置</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288"/>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二次更衣间/售餐间</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214"/>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03B076</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紫外线杀菌灯</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1.规格：36W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2.技术参数：灯管：石英高压放电管，紫外线（UV-B）波长：200～290nm，强力杀菌，效率高，时间短，电压/功率：220v/0.36kw</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r>
      <w:tr>
        <w:trPr>
          <w:trHeight w:val="1586"/>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03B077</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单门保温餐车</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1.规格：11层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2.技术参数：不锈钢304材质，材料厚度1.0mm，790*975*1795，内膛规格：540*680*1380，每层高度≥115mm，电压/功率：220V/2.62KW</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r>
      <w:tr>
        <w:trPr>
          <w:trHeight w:val="1728"/>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03B080</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工作台连下一层条板</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1.规格：1800*700*800mm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2.技术参数：采用SUS304不锈钢板材，台面厚度1.2mm，加装加强筋100*40*1.2mm，下层条板厚度1.0mm；立柱为Φ38*1.2mm不锈钢201管，配不锈钢调节脚。</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r>
      <w:tr>
        <w:trPr>
          <w:trHeight w:val="864"/>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03B081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保温灯</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1.规格：L=1500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2.技术参数：电压/功率：220v/1.5kw</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rHeight w:val="1440"/>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03B082</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玻璃卫生罩</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1.规格：1800*350*600mm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2.技术参数：采用SUS304不锈钢板，台面厚度δ=1.2mm，支架采用304不锈钢方管38*25*1.2mm；顶面、侧面配10mm钢化玻璃装饰</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rHeight w:val="1728"/>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03B084</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工作台连下一层条板</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1.规格：1500*700*800mm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2.技术参数：采用SUS304不锈钢板材，台面厚度1.2mm，加装加强筋100*40*1.2mm，下层条板厚度1.0mm；立柱为Φ38*1.2mm不锈钢201管，配不锈钢调节脚。</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rHeight w:val="1152"/>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03B085</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保温传菜柜</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1.规格：1500*800*1800mm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2.技术参数：采用SUS304不锈钢板材，材料厚度δ=1.2mm，电压/功率：220V/3kw</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742"/>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03B673</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四格保温台</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1.规格：1500*700*800mm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2.技术参数：采用SUS304不锈钢板，台面及水箱材料厚度δ=1.2mm，侧板材料厚度1.0mm，电控恒温式保温方式，电压/功率：380v/4.5kw，立柱为Φ51*1.2mm不锈钢201管，配不锈钢子弹脚</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r>
      <w:tr>
        <w:trPr>
          <w:trHeight w:val="1826"/>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03B674</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电热暖饭台</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1.规格：600*700*800mm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2.技术参数：采用304#不锈钢板，台面厚度δ=1.2mm，侧板厚度δ=1.0mm，电控恒温式保温方式，内含Φ400不锈钢饭桶，电压/功率：220v/2kw，立柱为201不锈钢管，φ38mm*1.2mm，配不锈钢调节脚</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r>
      <w:tr>
        <w:trPr>
          <w:trHeight w:val="288"/>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洗碗间</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418"/>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03B088</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灭蝇灯</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1.规格：490*210*195mm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2.技术参数：尺寸：490*210*195mm,采用专用灭蚊蝇灯管，内壁反吸光设计，有效面积≥40平方，电压/功率：220V/16W</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4156"/>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03B089</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活水浸泡池</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一.规格：1500*800*800mm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二.技术参数：1、产品功能：通过高压风机在水池中产生气泡，让水池里水翻滚去除残渣，降低操作人员的劳动强度。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2、规格：1500*800*850mm 。                                                                                        3、总功率：9.75KW。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4、采用多功能型气嘴，扇形伞状气泡设计，使水分子成纳米状，大范围分解油脂及异物残留。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5、配置高品质高压风机，更经久耐用。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6、配置水位传感器，可自动控制进水。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7、内置大容量残渣篮，便于使用及维护。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8、自动加热和保温，无需热水进水。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9、整机不锈钢板材为SUS304材质，耐腐蚀性更强。</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454"/>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03B090</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简易残食台</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1.规格：1100*760*860mm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 SUS304 不锈钢板制作，台面厚度 1.2mm，收餐孔直径 280mm,立柱 38*38 不锈钢201管，厚度 1.2mm,配不锈钢调整脚。</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322"/>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03B675</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洗地水枪</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1.规格：11m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2.技术参数：开放式洗地龙头联水枪头；喉管长度约≥10.7m,耐压≥:300PSI,耐温≥:80°C； 导向臂可4个方向定位； 配置喉管止动器，可调节</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3988"/>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03B092</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长龙式洗碗机带烘干</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1.规格：3800*860*2101mm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2.技术参数：传送带速度≥1.6m/min；耗水量：≤350 升/小</w:t>
            </w:r>
            <w:r>
              <w:rPr>
                <w:rFonts w:hint="eastAsia" w:ascii="宋体" w:hAnsi="宋体" w:eastAsia="宋体" w:cs="宋体"/>
                <w:i w:val="0"/>
                <w:iCs w:val="0"/>
                <w:color w:val="auto"/>
                <w:sz w:val="21"/>
                <w:szCs w:val="21"/>
                <w:highlight w:val="none"/>
                <w:u w:val="none"/>
                <w:lang w:val="en-US" w:eastAsia="zh-CN" w:bidi="ar"/>
              </w:rPr>
              <w:t xml:space="preserve">时；清洗温度：55-65℃；喷淋温度：82-90℃；传送带宽度≥612mm；有效洗涤高度≥440mm；进口长度≥700mm；出口长度≥900mm；清洗长度≥800mm；喷淋长度≥600mm；烘干长度≥800mm；水箱加热功率≤18kW；喷淋加热功率≤30kW；烘干机≤10kW；总配电量≤60kW；餐具进入机器时红外线感应启动洗涤程序；清洗系统配置8根洗臂；洗臂、喷淋臂采用抽拉式结构，双道喷淋系统，升温箱分级加热控制，进出口双齿轮设计，可以在手动、自动操作模式下自由切换；进口、出口预留排风接口，多方位气流导向</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864"/>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03B093</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牛角罩</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1.技术参数：匹配洗碗机，采用SUS 304 不锈钢板，罩体厚度δ=1.0mm</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728"/>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03B094</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工作台连下一层条板</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1.规格：480*760*800mm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2.技术参数：采用SUS304不锈钢板材，台面厚度1.2mm，加装加强筋100*40*1.2mm，下层条板厚度1.0mm；立柱为Φ38*1.2mm不锈钢201管，配不锈钢调节脚。</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728"/>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03B095</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工作台连下一层条板</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1.规格：800*760*800mm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2.技术参数：采用SUS304不锈钢板材，台面厚度1.2mm，加装加强筋100*40*1.2mm，下层条板厚度1.0mm；立柱为Φ38*1.2mm不锈钢201管，配不锈钢调节脚。</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152"/>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03B096</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双层挂墙架</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1.规格：1800*350*600mm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 SUS304 不锈钢板制作，台面厚度 1.0mm</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r>
      <w:tr>
        <w:trPr>
          <w:trHeight w:val="1058"/>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03B097</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风幕机及支架</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1.规格：1200*183*226mm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2.技术参数：使用环境：-20°C-+40°C，无腐蚀气体下,电压/功率：220v/0.2kw</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7424"/>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03B100</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热风循环消毒房</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一.规格：2350*4100*2500mm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二.技术参数：库体材质≥100mm 厚手工岩棉板，房间内外304 不锈钢板保温岩棉板，0.8mm 钢板，房间内加玻镁，保温棉容重≥120kg，耐高温胶水，不可燃烧。保温材料：矿物岩棉≥100mm，密度≥50kg/m³，耐温阻燃型。照明装置：高温防爆照明灯3盏测温体：铂金PT-100 = 1只，显示:触摸屏温度时时显示。  消毒温度范围:90-110℃。设备主要功能：a用具烘干；b用具消毒；c用具保管期间安全保护；d系统智能化控制。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温度测控系统:1.触摸式真彩液晶微电脑控制器；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2.7寸触摸显示屏显示。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3.可设置时间断电,即0-99小时任何时间断电,消毒房停止工作并自动声光提示，并可自动打开排风功能，同时切断加热总电源。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4.预约启动功能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5.温度控制发热体均采用功率自动调节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6.故障报警及显示故障原因、解决方法等。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7.自动控制加热功率，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8.房间配备自动紫外线杀菌灯、自动臭氧消毒功能。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9.可自动定时开关机，预约启动，可实现两个月以上餐具无菌保管功能。</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288"/>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餐厅</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358"/>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03B101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双孔收餐柜（方孔）</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1.规格：1200*600*1100mm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 SUS304 不锈钢板制作，台面厚度 1.2mm，收餐孔直径 280mm,立柱 38*38 不锈钢201管，厚度 1.2mm,配不锈钢调整脚。</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r>
      <w:tr>
        <w:trPr>
          <w:trHeight w:val="1152"/>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03B103</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风幕机及支架</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1.规格：1200*183*226mm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2.技术参数：使用环境：-20°C-+40°C，无腐蚀气体下,电压/功率：220v/0.2kw</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rHeight w:val="1440"/>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03B104</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食品保温汤桶连车</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1.规格：50升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2.技术参数：车仔用50*25*1.2不锈钢201方管制作，底部配5寸承重万向轮4个。配双层保温汤桶连盖1套。</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rHeight w:val="1152"/>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03B105</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挂墙消毒柜</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1.规格：1000*350*600mm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2.技术参数：采用201不锈钢板，温度范围：20-80℃，容积≥150L，电压/功率：220V/1..3KW</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rHeight w:val="1152"/>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03B106</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风幕机及支架</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1.规格：1800*183*226mm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2.技术参数：使用环境：-20°C-+40°C，无腐蚀气体下,电压/功率：220v/0.2kw</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rHeight w:val="1728"/>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03B107</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工作台连下一层条板</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1.规格：1500*700*800mm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2.技术参数：采用SUS304不锈钢板材，台面厚度1.2mm，加装加强筋100*40*1.2mm，下层条板厚度1.0mm；立柱为Φ38*1.2mm不锈钢201管，配不锈钢调节脚。</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728"/>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03B108</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灭蝇灯</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1.规格：490*210*195mm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2.技术参数：尺寸：490*210*195mm,采用专用灭蚊蝇灯管，内壁反吸光设计，有效面积≥40平方，电压/功率：220V/16W</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2304"/>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03B676</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定制汤饭保温柜</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1.规格：2000*1240*1338mm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2.技术参数：采用SUS304不锈钢板，台面及水箱材料厚度δ=1.2mm，侧板材料厚度1.0mm，电控恒温式保温方式，电压/功率：380v/4.5kw，立柱为Φ51*1.2mm不锈钢201管，配不锈钢子弹脚</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rHeight w:val="288"/>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男女更衣室</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864"/>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03B110</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六格更衣柜</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1.规格：900*500*1800mm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2.技术参数：冷轧钢板材质，材料≥0.8mm</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r>
      <w:tr>
        <w:trPr>
          <w:trHeight w:val="1440"/>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03B112</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膝顶洗手水池(带背）</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1.规格：450*450*800/150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2.技术参数：采用304#不锈钢板，珐纹处理，材料厚度δ=1.2mm，槽体深度h≥200mm，带膝顶式水阀</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rHeight w:val="288"/>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二层厨房</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288"/>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洗碗间</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728"/>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03B115</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工作台连下一层条板</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1.规格：900*800*800mm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2.技术参数：采用SUS304不锈钢板材，台面厚度1.2mm，加装加强筋100*40*1.2mm，下层条板厚度1.0mm；立柱为Φ38*1.2mm不锈钢201管，配不锈钢调节脚。</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440"/>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03B116</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四层层架</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1.规格：1200*500*1800mm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2.技术参数：采用304#不锈钢板，层板厚度1.0mm，立柱为φ38mm*1.2mm不锈钢201管，配不锈钢调节脚</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rHeight w:val="1728"/>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03B117</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洗地水枪</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1.规格：11m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2.技术参数：开放式洗地龙头联水枪头；喉管长度约≥10.7m,耐压≥:300PSI,耐温≥:80°C； 导向臂可4个方向定位； 配置喉管止动器，可调节</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728"/>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03B119</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简易残食台</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1.规格：970*800*800mm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 SUS304 不锈钢板制作，台面厚度 1.2mm，收餐孔直径 280mm,立柱 38*38 不锈钢201管，厚度 1.2mm,配不锈钢调整脚。</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5138"/>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03B120</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活水浸泡池</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一.规格：1500*800*800mm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二.技术参数：1、产品功能：通过高压风机在水池中产生气泡，让水池里水翻滚去除残渣，降低操作人员的劳动强度。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2、规格：1500*800*850mm 。                                                                                        3、总功率：9.75KW。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4、采用多功能型气嘴，扇形伞状气泡设计，使水分子成纳米状，大范围分解油脂及异物残留。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5、配置高品质高压风机，更经久耐用。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6、配置水位传感器，可自动控制进水。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7、内置大容量残渣篮，便于使用及维护。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8、自动加热和保温，无需热水进水。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9、整机不锈钢板材为SUS304材质，耐腐蚀性更强。</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2016"/>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03B121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大单星盆台(带背)</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1.规格：1200*760*800mm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2.技术参数：采用SUS 304 不锈钢板，台面、槽体厚度δ=1.2mm，槽体深度h≥350mm，选用不锈钢防臭落水；立柱为Φ38*1.2mm不锈钢201管，配不锈钢调节脚。</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r>
      <w:tr>
        <w:trPr>
          <w:trHeight w:val="1152"/>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03B122</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风幕机及支架</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1.规格：1500*183*226mm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2.技术参数：使用环境：-20°C-+40°C，无腐蚀气体下,电压/功率：220v/0.2kw</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152"/>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03B124</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双层挂墙架</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1.规格：2400*350*600mm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 SUS304 不锈钢板制作，台面厚度 1.0mm</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rHeight w:val="8190"/>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03B125</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热风循环消毒房</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一.规格：1600*6460*2500mm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二.技术参数：库体材质≥100mm 厚手工岩棉板，房间内外304 不锈钢板保温岩棉板，0.8mm 钢板，房间内加玻镁，保温棉容重≥120kg，耐高温胶水，不可燃烧。保温材料：矿物岩棉≥100mm，密度≥50kg/m³，耐温阻燃型。照明装置：高温防爆照明灯3盏测温体：铂金PT-100 = 1只，显示:触摸屏温度时时显示。  消毒温度范围:90-110℃。设备主要功能：a用具烘干；b用具消毒；c用具保管期间安全保护；d系统智能化控制。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温度测控系统:1.触摸式真彩液晶微电脑控制器；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2.7寸触摸显示屏显示。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3.可设置时间断电,即0-99小时任何时间断电,消毒房停止工作并自动声光提示，并可自动打开排风功能，同时切断加热总电源。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4.预约启动功能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5.温度控制发热体均采用功率自动调节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6.故障报警及显示故障原因、解决方法等。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7.自动控制加热功率，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8.房间配备自动紫外线杀菌灯、自动臭氧消毒功能。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9.可自动定时开关机，预约启动，可实现两个月以上餐具无菌保管功能。</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728"/>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03B677</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灭蝇灯</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1.规格：490*210*195mm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2.技术参数：尺寸：490*210*195mm,采用专用灭蚊蝇灯管，内壁反吸光设计，有效面积≥40平方，电压/功率：220V/16W</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288"/>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二次更衣间/售餐间</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440"/>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03B126</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膝顶洗手水池(带背）</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1.规格：450*450*800/150mm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2.技术参数：采用304#不锈钢板，珐纹处理，材料厚度δ=1.2mm，槽体深度h≥200mm，带膝顶式水阀</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728"/>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03B127</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紫外线杀菌灯</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1.规格：36W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2.技术参数：灯管：石英高压放电管，紫外线（UV-B）波长：200～290nm，强力杀菌，效率高，时间短，电压/功率：220v/0.36kw</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r>
      <w:tr>
        <w:trPr>
          <w:trHeight w:val="864"/>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03B128</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不锈钢挂衣架</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1.规格：400*40*40mm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2.技术参数：采用SUS304不锈钢板0.6mm厚</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r>
      <w:tr>
        <w:trPr>
          <w:trHeight w:val="1728"/>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03B129</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工作台连下一层条板</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1.规格：1800*800*800mm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2.技术参数：采用SUS304不锈钢板材，台面厚度1.2mm，加装加强筋100*40*1.2mm，下层条板厚度1.0mm；立柱为Φ38*1.2mm不锈钢201管，配不锈钢调节脚。</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r>
      <w:tr>
        <w:trPr>
          <w:trHeight w:val="2016"/>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03B130</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单门保温餐车</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1.规格：11层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2.技术参数：不锈钢304材质，材料厚度1.0mm，790*975*1795，内膛规格：540*680*1380，每层高度≥115mm，电压/功率：220V/2.62KW</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r>
      <w:tr>
        <w:trPr>
          <w:trHeight w:val="1440"/>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03B131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单门高身留样柜</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1.规格：600*600*1820mm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2.技术参数：容积≥318L,温度：2℃~-10℃，制冷剂：R134a，电压/功率:220v/210W，制冷方式：直冷</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152"/>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03B132</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双门热风循环消毒柜</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1.规格：1310*700*1850mm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2.技术参数：采用201不锈钢板，温度范围：20-80℃，容积≥600L，电压/功率：220V/4.4KW</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r>
      <w:tr>
        <w:trPr>
          <w:trHeight w:val="90"/>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03B133</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工作台连下一层条板</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1.规格：1500*700*800mm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2.技术参数：采用SUS304不锈钢板材，台面厚度1.2mm，加装加强筋100*40*1.2mm，下层条板厚度1.0mm；立柱为Φ38*1.2mm不锈钢201管，配不锈钢调节脚。</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2304"/>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03B678</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五格保温售饭台</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1.规格：1800*700*800mm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2.技术参数：采用SUS304不锈钢板，台面及水箱材料厚度δ=1.2mm，侧板材料厚度1.0mm，电控恒温式保温方式，电压/功率：380v/6kw，立柱为Φ51*1.2mm不锈钢201管，配不锈钢子弹脚</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r>
      <w:tr>
        <w:trPr>
          <w:trHeight w:val="288"/>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餐厅</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440"/>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03B136</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食品保温汤桶连车</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1.规格：50升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2.技术参数：车仔用50*25*1.2不锈钢201方管制作，底部配5寸承重万向轮4个。配双层保温汤桶连盖1套。</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r>
      <w:tr>
        <w:trPr>
          <w:trHeight w:val="1152"/>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03B137</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挂墙消毒柜</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1.规格：800*350*600mm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2.技术参数：采用201不锈钢板，温度范围：20-80℃，容积≥150L，电压/功率：220V/1..3KW</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r>
      <w:tr>
        <w:trPr>
          <w:trHeight w:val="1728"/>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03B139</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双孔收餐柜（方孔）</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1.规格：1200*600*1100mm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 SUS304 不锈钢板制作，台面厚度 1.2mm，收餐孔直径 280mm,立柱 38*38 不锈钢201面管，厚度 1.2mm,配不锈钢调整脚。</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r>
      <w:tr>
        <w:trPr>
          <w:trHeight w:val="1152"/>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03B140</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风幕机及支架</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1.规格：1200*183*226mm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2.技术参数：使用环境：-20°C-+40°C，无腐蚀气体下,电压/功率：220v/0.2kw</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r>
      <w:tr>
        <w:trPr>
          <w:trHeight w:val="1152"/>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03B141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风幕机及支架</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1.规格：1800*183*226mm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2.技术参数：使用环境：-20°C-+40°C，无腐蚀气体下,电压/功率：220v/0.2kw</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728"/>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03B142</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灭蝇灯</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1.规格：490*210*195mm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2.技术参数：尺寸：490*210*195mm,采用专用灭蚊蝇灯管，内壁反吸光设计，有效面积≥40平方，电压/功率：220V/16W</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r>
      <w:tr>
        <w:trPr>
          <w:trHeight w:val="288"/>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烹饪间排油烟系统</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864"/>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030702003001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不锈钢风管</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1、规格：800*500mm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2、技术参数：采用SUS 304 不锈钢板，材料厚度δ=1.0mm</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68</w:t>
            </w:r>
            <w:r/>
          </w:p>
        </w:tc>
      </w:tr>
      <w:tr>
        <w:trPr>
          <w:trHeight w:val="864"/>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030702003002</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不锈钢风管</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1、规格：900*500mm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2、技术参数：采用SUS 304 不锈钢板，材料厚度δ=1.0mm</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r>
      <w:tr>
        <w:trPr>
          <w:trHeight w:val="864"/>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030702003003</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不锈钢风管</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1、规格：700*500mm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2、技术参数：采用SUS 304 不锈钢板，材料厚度δ=1.0mm</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w:t>
            </w:r>
            <w:r/>
          </w:p>
        </w:tc>
      </w:tr>
      <w:tr>
        <w:trPr>
          <w:trHeight w:val="864"/>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030702003004</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不锈钢风管</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1、规格：600*500mm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2、技术参数：采用SUS 304 不锈钢板，材料厚度δ=1.0mm</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82</w:t>
            </w:r>
            <w:r/>
          </w:p>
        </w:tc>
      </w:tr>
      <w:tr>
        <w:trPr>
          <w:trHeight w:val="1152"/>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030108003001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轴流风机</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2、技术参数：转速≥1450r/min，全压：382-196Pa，电压/功率：220v/1.1kw</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r>
      <w:tr>
        <w:trPr>
          <w:trHeight w:val="288"/>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03B143</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防虫网</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1.材质：不锈钢201材质</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r>
      <w:tr>
        <w:trPr>
          <w:trHeight w:val="576"/>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031003010001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帆布软连接</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1、材质：采用专用油性帆布软接，减少震动、噪音及防漏</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r>
      <w:tr>
        <w:trPr>
          <w:trHeight w:val="864"/>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031002002001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风机槽钢支架及避震</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1、形式：10#槽钢，配4个减震装置无震动、低噪音、防锈防腐。</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152"/>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030703001001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防火阀</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1、型号：150℃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2、技术参数：柜体、风片采用热镀锌板制作；超温保护，当温度达到≥150度后自动关闭。</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r>
      <w:tr>
        <w:trPr>
          <w:trHeight w:val="864"/>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03B144</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风管抗震支架</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1.技术参数：采用A3角钢制作，表面采用抗蚀,防腐,耐水,环保水性调和漆进行防锈处理</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付</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r>
      <w:tr>
        <w:trPr>
          <w:trHeight w:val="288"/>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03B679</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镀锌法兰</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1.规格：3#角铁</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付</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58</w:t>
            </w:r>
            <w:r/>
          </w:p>
        </w:tc>
      </w:tr>
      <w:tr>
        <w:trPr>
          <w:trHeight w:val="288"/>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洗碗间排风系统</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864"/>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030702003005</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不锈钢风管</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1、规格：500*400mm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2、技术参数：采用SUS 304 不锈钢板，材料厚度δ=1.0mm</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w:t>
            </w:r>
            <w:r/>
          </w:p>
        </w:tc>
      </w:tr>
      <w:tr>
        <w:trPr>
          <w:trHeight w:val="288"/>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03B145</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防虫网</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1.材质：不锈钢201材质</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rHeight w:val="576"/>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031003010002</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帆布软连接</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1、材质：采用专用油性帆布软接，减少震动、噪音及防漏</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rHeight w:val="288"/>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03B680</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镀锌法兰</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1.规格：3#角铁</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付</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r>
      <w:tr>
        <w:trPr>
          <w:trHeight w:val="288"/>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厨房送新风系统</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864"/>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030702003006</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不锈钢风管</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1、规格：800*300mm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2、技术参数：采用SUS 304 不锈钢板，材料厚度δ=1.0mm</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w:t>
            </w:r>
            <w:r/>
          </w:p>
        </w:tc>
      </w:tr>
      <w:tr>
        <w:trPr>
          <w:trHeight w:val="864"/>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030702003007</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不锈钢风管</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1、规格：500*250mm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2、技术参数：采用SUS 304 不锈钢板，材料厚度δ=1.0mm</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w:t>
            </w:r>
            <w:r/>
          </w:p>
        </w:tc>
      </w:tr>
      <w:tr>
        <w:trPr>
          <w:trHeight w:val="864"/>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030702003008</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不锈钢风管</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1、规格：500*200mm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2、技术参数：采用SUS 304 不锈钢板，材料厚度δ=1.0mm</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r>
      <w:tr>
        <w:trPr>
          <w:trHeight w:val="1152"/>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030703001002</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防火阀</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1、型号：150℃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2、技术参数：柜体、风片采用热镀锌板制作；超温保护，当温度达到≥150度后自动关闭。</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288"/>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03B146</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防虫网</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1.材质：不锈钢201材质</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864"/>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03B147</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风管抗震支架</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1.技术参数：采用A3角钢制作，表面采用抗蚀,防腐,耐水,环保水性调和漆进行防锈处理</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付</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r>
      <w:tr>
        <w:trPr>
          <w:trHeight w:val="288"/>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03B681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镀锌法兰</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1.规格：3#角铁</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付</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r>
      <w:tr>
        <w:trPr>
          <w:trHeight w:val="288"/>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其他</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728"/>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031004014001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冷热混合龙头</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1、型号、规格：DN15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2、技术参数：产品主体黄铜，黄铜陶瓷阀芯。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龙头开孔间距≥203mm  开双孔单个开孔直径≥22mm 配鹅颈管中心距≥145mm。</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r>
      <w:tr>
        <w:trPr>
          <w:trHeight w:val="864"/>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031001003001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金属给水管</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2、技术参数：直径：4分内，材质外丝不锈钢编织管</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88</w:t>
            </w:r>
            <w:r/>
          </w:p>
        </w:tc>
      </w:tr>
      <w:tr>
        <w:trPr>
          <w:trHeight w:val="864"/>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031001006001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排水管</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2、技术参数：直径：40mm,材质pvc塑料</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r>
      <w:tr>
        <w:trPr>
          <w:trHeight w:val="1152"/>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03B702</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防鼠板</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1、规格：900*600*25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2、技术参数：采用SUS 304 不锈钢板，材料厚度δ=1.0mm，插板式</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rHeight w:val="1152"/>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03B704</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防鼠板</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1、规格：1500*600*25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2、技术参数：采用SUS 304 不锈钢板，材料厚度δ=1.0mm，插板式</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r>
      <w:tr>
        <w:trPr>
          <w:trHeight w:val="1152"/>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03B705</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防鼠板</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1、规格：1200*600*25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2、技术参数：采用SUS 304 不锈钢板，材料厚度δ=1.0mm，插板式</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288"/>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031001006003</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旧设备安装维修</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1、名称：B区域旧设备安装维修（旧件设备详见下表：旧件表）</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288"/>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031001006004</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B区厨房拆卸搬运</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1、名称：B区厨房拆卸搬运（旧件设备详见下表：旧件表）</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288"/>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C区厨房设备</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288"/>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卸货区/粗加工间/水果清洗间</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152"/>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03B326</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地架</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1.规格：1200*500*250mm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2.技术参数：采用SUS304不锈钢板材，排档式，横档选用25*38*1.2mm不锈钢方管</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r>
      <w:tr>
        <w:trPr>
          <w:trHeight w:val="1152"/>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03B327</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地架</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1.规格：1000*600*250mm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2.技术参数：采用SUS304不锈钢板材，排档式，横档选用25*38*1.2mm不锈钢方管</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r>
      <w:tr>
        <w:trPr>
          <w:trHeight w:val="5644"/>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03B328</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多功能切菜机</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1.规格：1100*600*1200mm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2.技术参数：SUS304，机体材料厚度3mm，电机外壳SUS304材质，材料厚度1.5mm，特性：将根茎类切成厚、薄片、丝条、丁等外形，并且为一次成型，切丝、切片精度≥2mm ;切割尺寸：2-60mm；皮带宽≥120mm；产量：300-1000KG/HR；电源：220V　单相 ;马力：3/4HP，设备带轮，移动方便，整机防水，可以用水直接清洗，刀盘拆卸、清洗方便。特性：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*连续式生产、产量大、效率高。</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*变频控制，操作简易，可切成1-60毫米的段。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*刀为侧面悬挂式，外有保护盖，并在旋转门内配有微动开关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*机器为不锈钢材质。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*机器加高≥15cm</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rHeight w:val="1440"/>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03B329</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四层层架</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1.规格：1200*500*1800mm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2.技术参数：采用SUS 304 不锈钢板，材料厚度δ=1.0mm；立柱为Φ38*1.2mm不锈钢镜面管，配不锈钢调节脚</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r>
      <w:tr>
        <w:trPr>
          <w:trHeight w:val="1440"/>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03B692</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砧板刀具消毒柜</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1.规格：680*640*1520mm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2.技术参数：采用不锈钢201材质，消毒方式：紫外线/电热， 电压/功率：220v/2kw， 砧板架载重量：45KG</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r>
      <w:tr>
        <w:trPr>
          <w:trHeight w:val="1728"/>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03B330</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工作台连下一层条板</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1.规格：1800*800*800mm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2.技术参数：采用SUS304不锈钢板材，台面厚度1.2mm，加装加强筋100*40*1.2mm，下层条板厚度1.0mm；立柱为Φ38*1.2mm不锈钢201管，配不锈钢调节脚。</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r>
      <w:tr>
        <w:trPr>
          <w:trHeight w:val="2016"/>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03B332</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大单星盆台(带背)</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1.规格：1200*760*800mm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2.技术参数：采用SUS 304 不锈钢板，台面、槽体厚度δ=1.2mm，槽体深度h≥350mm，选用不锈钢防臭落水；立柱为Φ38*1.2mm不锈钢201管，配不锈钢调节脚。</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r>
      <w:tr>
        <w:trPr>
          <w:trHeight w:val="2880"/>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03B333</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多功能绞切机</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1.规格：570*465*870mm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整体机身和内部框架全部采用AISI304不锈钢，不锈钢拉丝处理，刀俎部件拆卸简单，独立刀组，减噪音的高强度尼龙轮，刀片SUS420不锈钢材质，生产能力：绞肉≥300KG/H，切片≥500kg/h，绞盘：3/4.5/6/8/10mm，厚度≥3.5mm，电压/功率：380V/1.1KW</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728"/>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03B334</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灭蝇灯</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1.规格：490*210*195mm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2.技术参数：尺寸：490*210*195mm,采用专用灭蚊蝇灯管，内壁反吸光设计，有效面积≥40平方，电压/功率：220V/16W</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rHeight w:val="926"/>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03B335</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洗地水枪</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1.规格：11m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2.技术参数：开放式洗地龙头联水枪头；喉管长度约≥10.7m,耐压≥:300PSI,耐温≥:80°C； 导向臂可4个方向定位； 配置喉管止动器，可调节</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rHeight w:val="1982"/>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03B336</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毛刷清洗机</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1.规格：1200*750*1070mm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2.技术参数：产量≥400KG/h；功率≥2KW；本机主要将茎类物料的清洗、去皮、抛光，如：土豆、胡萝卜、甜菜、山药.果品类等物料的清洗.去皮。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工作原理：物料通过毛刷转动，物料表面与毛刷磨擦，从而达到物料要清洗、去皮、抛光的效果，清洗、去皮、抛光要选择毛刷的粗细。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机身整体304不锈钢。</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152"/>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03B337</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风幕机及支架</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1.规格：1500*183*226mm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2.技术参数：使用环境：-20°C-+40°C，无腐蚀气体下,电压/功率：220v/0.2kw</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166"/>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03B338</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电子磅秤</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1.规格：600*700*800mm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2.技术参数:具有简易计数自动校正、自动零点追踪、双重过载保护功能，大型液晶 LCD 显示，具LED背光功能，外壳采 ABS 塑钢材质，电子显示头可调整适当的显示角度,电压/功率：220v/0.2kw</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2016"/>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03B339</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大单星盆台(带背)</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1.规格：1400*760*800mm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2.技术参数：采用SUS 304 不锈钢板，台面、槽体厚度δ=1.2mm，槽体深度h≥350mm，选用不锈钢防臭落水；立柱为Φ38*1.2mm不锈钢201管，配不锈钢调节脚。</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728"/>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03B342</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工作台连下一层条板</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1.规格：1500*600*800mm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2.技术参数：采用SUS304不锈钢板材，台面厚度1.2mm，加装加强筋100*40*1.2mm，下层条板厚度1.0mm；立柱为Φ38*1.2mm不锈钢201管，配不锈钢调节脚。</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2016"/>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03B343</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大单星盆台(带背)</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1.规格：1000*760*800mm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2.技术参数：采用SUS 304 不锈钢板，台面、槽体厚度δ=1.2mm，槽体深度h≥350mm，选用不锈钢防臭落水；立柱为Φ38*1.2mm不锈钢201管，配不锈钢调节脚。</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rHeight w:val="1440"/>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03B344</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净水系统（粗过滤）</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1.规格：337*332*1027mm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2.技术参数：额定工作压：0.15-0.5Mpa，水处理量≥2吨/小时；适合温度：5-48°C；活性炭容量≥25L；</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5452"/>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03B345</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流量程序活氧水杀菌消毒设备</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1.规格：140 x 128.5 x 210.5mm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2.技术参数：功率≤60w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电源:220V/50Hz流量:120-270LPH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1.设备内部带有纯水制作系统。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2.膜电极电解技术生成高纯度、高浓度、高饱和度的溶解臭氧杀菌水。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3.杀菌消毒降农残，无毒，无化学，不腐蚀。</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杀菌情况:金黄色葡萄球菌杀灭率:&gt;99.999%，大肠杆菌杀灭率:&gt;99.99%沙门氏菌杀灭率:&gt;99.9%，绿脓杆菌杀灭率:&gt;99.999%，白色念珠菌杀灭率&gt;99.999%，耐性金黄色葡萄球菌杀灭率:&gt;99.999%，单核增生李斯特菌杀灭率:&gt;99.999%。</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5.农药降解情况:磷类降解率:&gt;99%:氯菊脂类降解率:&gt;94%，余氯去除率&gt;80%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6.检测PH值为中性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7.安装方式:直接水路接入，设备自身出水，可挂壁，可台放安装。</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r>
      <w:tr>
        <w:trPr>
          <w:trHeight w:val="1152"/>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03B346</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地架</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1.规格：1000*500*250mm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2.技术参数：采用SUS304不锈钢板材，排档式，横档选用25*38*1.2mm不锈钢方管</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4032"/>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031006014003</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直饮水机</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1、名称：直饮水机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2、规格：410*410*1350mm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3、技术参数：五级过滤（RO400+6G）        水胆≥27L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电压/功率：22v/3KW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电源：220V 50HZ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出水方式：一开二温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出水形式：触摸出水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过滤：标准3级过滤（聚丙烯PP+颗粒活性炭+压缩碳棒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尺寸: 900*450*1530mm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出水量：开水≥30L/小时 温开水≥100L/小时</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864"/>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03B348</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水杯柜</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1.规格：1200*350*700mm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2.技术参数：采用SUS 304 不锈钢板，材料厚度δ=1.2mm</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288"/>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男女更衣间</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864"/>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03B349</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六格更衣柜</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1.规格：900*500*1800mm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2.技术参数：冷轧钢板材质，材料≥0.8mm</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r>
      <w:tr>
        <w:trPr>
          <w:trHeight w:val="864"/>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03B350</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鞋架</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1.规格：1200*350*1800mm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2.技术参数：采用SUS 304 不锈钢板，台面、槽体厚度δ=0.8mm</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r>
      <w:tr>
        <w:trPr>
          <w:trHeight w:val="1440"/>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03B351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膝顶洗手水池(带背）</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1.规格：450*450*800/150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2.技术参数：采用304#不锈钢板，珐纹处理，材料厚度δ=1.2mm，槽体深度h≥200mm，带膝顶式水阀</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rHeight w:val="288"/>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主/副食库、杂品库</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152"/>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03B353</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地架</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1.规格：1200*500*250mm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2.技术参数：采用SUS304不锈钢板材，排档式，横档选用25*38*1.2mm不锈钢方管</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r>
      <w:tr>
        <w:trPr>
          <w:trHeight w:val="1440"/>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03B355</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平板四层层架</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1.规格：1200*500*1800mm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2.技术参数：采用SUS 304 不锈钢板，材料厚度δ=1.0mm；立柱为Φ38*1.2mm不锈钢201管，配不锈钢调节脚</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r>
      <w:tr>
        <w:trPr>
          <w:trHeight w:val="1440"/>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03B354</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四层层架</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1.规格：1200*500*1800mm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2.技术参数：采用SUS 304 不锈钢板，材料厚度δ=1.0mm；立柱为Φ38*1.2mm不锈钢201管，配不锈钢调节脚</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288"/>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烹饪间/蒸煮间</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4032"/>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03B693</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用具消毒柜</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numPr>
                <w:ilvl w:val="0"/>
                <w:numId w:val="8"/>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规格：1800*850*1980mm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二.技术参数：1、内外箱均为不锈钢板304材质；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2、使用耐高温风机、不锈钢加热管及微电脑控制板；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3、柜内配备不锈钢网篮，网框为不锈钢材质，卫生、耐用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4、内箱板材厚度0.7mm，外箱板材厚度0.8mm。外箱顶部及外箱后背板使用环保无锌花表面钝化优质镀锌板；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5、电压/功率：220/4KW*2</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2016"/>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03B356</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大单星盆台(带背)</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1.规格：1200*760*800mm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2.技术参数：采用SUS 304 不锈钢板，台面、槽体厚度δ=1.2mm，槽体深度h≥350mm，选用不锈钢防臭落水；立柱为Φ38*1.2mm不锈钢201管，配不锈钢调节脚。</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rHeight w:val="1152"/>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03B357</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地架</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1.规格：1200*500*250mm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2.技术参数：采用SUS304不锈钢板材，排档式，横档选用25*38*1.2mm不锈钢方管</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r>
      <w:tr>
        <w:trPr>
          <w:trHeight w:val="1728"/>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03B359</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工作台连下一层条板</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1.规格：1800*800*800mm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2.技术参数：采用SUS304不锈钢板材，台面厚度1.2mm，加装加强筋100*40*1.2mm，下层条板厚度1.0mm；立柱为Φ38*1.2mm不锈钢201管，配不锈钢调节脚。</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r>
      <w:tr>
        <w:trPr>
          <w:trHeight w:val="1728"/>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03B360</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灶边工作台</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1.规格：400*1150*800mm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2.技术参数：采用SUS304不锈钢板材，台面厚度1.2mm，加装加强筋100*40*1.2mm，立柱为Φ38*1.2mm不锈钢201管，配不锈钢调节脚。</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r>
      <w:tr>
        <w:trPr>
          <w:trHeight w:val="4514"/>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03B361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燃气双眼大锅灶(含锅）</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1.规格：2000*1150*850mm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1、SUS304不锈钢板厚：台面、大梁1.5mm，前面板、侧板1.2mm，炉膛、后烟囱采用2.0mm后的铁板制成，骨架采用优质40*40镀锌角钢制作，经久耐用，炉脚采用Ø50mm钢管；外包不锈钢套管，配可调子弹脚。2、炉芯：炉头采用自动电子打火，煤气安全保护阀门、离子式熄火保护装置</w:t>
            </w:r>
            <w:r>
              <w:rPr>
                <w:rFonts w:hint="eastAsia" w:ascii="宋体" w:hAnsi="宋体" w:eastAsia="宋体" w:cs="宋体"/>
                <w:i w:val="0"/>
                <w:iCs w:val="0"/>
                <w:color w:val="auto"/>
                <w:sz w:val="21"/>
                <w:szCs w:val="21"/>
                <w:highlight w:val="none"/>
                <w:u w:val="none"/>
                <w:lang w:val="en-US" w:eastAsia="zh-CN" w:bidi="ar"/>
              </w:rPr>
              <w:t xml:space="preserve">，高热效率低噪音不锈钢预混合燃气节能炉头，3、炒灶为金蝉系统风气联动阀门，风机：低噪音（220V/250W*2）无刷变频风机； 4、内衬：1.2mm不锈钢板及石棉布隔热；烟道采用1.2mm不锈钢板。5、炉体主体骨架采用201-1.2不锈钢钣金铆接工艺；水管：均采用黄铜管，主气管采用无缝钢管，6、下水不锈钢管连接，配800mm大锅2口，并配锅盖2只；                                                       生产执行标准采用最新（GB35848-2024标准）</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r>
      <w:tr>
        <w:trPr>
          <w:trHeight w:val="1152"/>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03B362</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风幕机及支架</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1.规格：1500*183*226mm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2.技术参数：使用环境：-20°C-+40°C，无腐蚀气体下,电压/功率：220v/0.2kw</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728"/>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03B363</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灶边工作台</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1.规格：1000*650*800mm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2.技术参数：采用SUS304不锈钢板材，台面厚度1.2mm，加装加强筋100*40*1.2mm，立柱为Φ38*1.2mm不锈钢201管，配不锈钢调节脚。</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152"/>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03B694</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保温传菜柜</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1.规格：1500*800*1800mm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2.技术参数：采用SUS304不锈钢板材，材料厚度δ=1.2mm，电压/功率：220V/3kw</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728"/>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03B364</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燃气汤煲</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1.规格：1320*870*935mm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2.技术参数：容积≥200L,锅口直径≥900mm ,全不锈钢结构，内置保温装置，材料厚度3mm，带熄火保护装置，电压/功率：220V/0.25KW</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2762"/>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03B365</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万能蒸烤箱</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1.规格：20盘</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全新触摸屏控制，物联网实时烹饪监控，可实现菜单上传下发，数据查看等功能，三重除垢，三层玻璃门，一机多能：蒸、烤、蒸烤三种模式，可存储上千个分≥15段烹饪的专业菜单，单独控制每层烹饪时间，智能恒温设计，多重自动清洗模式，自带锅炉，温度范围：25-250℃,电压/功率：：380V/40KW,容量≥20个GN1/1" 盆, 內膛尺寸：440x645x1515mm 每层高度≥60mm；</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rHeight w:val="3456"/>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03B367</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油烟净化一体机</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一.规格：2200*1300*1000mm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二.技术参数：1、本体采用不锈钢304材质，材料厚度1.0mm，一体式烟罩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2、高清液晶显示屏，中文、动态图标全视角显示设备的运行状态。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3、单片机控制系统，SDK芯片配置，可后台编辑、修订设备参数。 GPS组合模块。电容保护装置。可与智慧化厨房，智慧化平台无缝对接。</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rHeight w:val="576"/>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03B368</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不锈钢烟罩封板含封墙板</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1.技术参数：采用SUS 304 不锈钢板，材料厚度δ=1.0mm</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r>
      <w:tr>
        <w:trPr>
          <w:trHeight w:val="4238"/>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03B369</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燃气双眼大锅灶(含锅）</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1.规格：2000*1150*850mm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1、SUS304不锈钢板厚：台面、大梁1.5mm，前面板、侧板1.2mm，炉膛、后烟囱采用2.0mm后的铁板制成，骨架采用优质40*40镀锌角钢制作，经久耐用，炉脚采用Ø50mm钢管；外包不锈钢套管，配可调子弹脚。2、炉芯：炉头采用自动电子打火，煤气安全保护阀门、离子式熄火保护装置</w:t>
            </w:r>
            <w:r>
              <w:rPr>
                <w:rFonts w:hint="eastAsia" w:ascii="宋体" w:hAnsi="宋体" w:eastAsia="宋体" w:cs="宋体"/>
                <w:i w:val="0"/>
                <w:iCs w:val="0"/>
                <w:color w:val="auto"/>
                <w:sz w:val="21"/>
                <w:szCs w:val="21"/>
                <w:highlight w:val="none"/>
                <w:u w:val="none"/>
                <w:lang w:val="en-US" w:eastAsia="zh-CN" w:bidi="ar"/>
              </w:rPr>
              <w:t xml:space="preserve">，高热效率低噪音不锈钢预混合燃气节能炉头，3、炒灶为金蝉系统风气联动阀门，风机：低噪音（220V/250W*2）无刷变频风机； 4、内衬：1.2mm不锈钢板及石棉布隔热；烟道采用1.2mm不锈钢板。5、炉体主体骨架采用201-1.2不锈钢钣金铆接工艺；水管：均采用黄铜管，主气管采用无缝钢管，6、下水不锈钢管连接，配800mm大锅2口，并配锅盖2只；                                                       生产执行标准采用最新（GB35848-2024标准）</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728"/>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03B370</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工作台连下一层条板</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1.规格：2000*760*800mm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2.技术参数：采用SUS304不锈钢板材，台面厚度1.2mm，加装加强筋100*40*1.2mm，下层条板厚度1.0mm；立柱为Φ38*1.2mm不锈钢201管，配不锈钢调节脚。</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r>
      <w:tr>
        <w:trPr>
          <w:trHeight w:val="2016"/>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03B371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大单星盆台(带背)</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1.规格：1000*760*800mm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2.技术参数：采用SUS 304 不锈钢板，台面、槽体厚度δ=1.2mm，槽体深度h≥350mm，选用不锈钢防臭落水；立柱为Φ38*1.2mm不锈钢201管，配不锈钢调节脚。</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rHeight w:val="1728"/>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03B372</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工作台连下一层条板</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1.规格：1800*800*800mm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2.技术参数：采用SUS304不锈钢板材，台面厚度1.2mm，加装加强筋100*40*1.2mm，下层条板厚度1.0mm；立柱为Φ38*1.2mm不锈钢201管，配不锈钢调节脚。</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440"/>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03B373</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四层层架</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1.规格：1400*500*1800mm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2.技术参数：采用SUS 304 不锈钢板，材料厚度δ=1.0mm；立柱为Φ38*1.2mm不锈钢201管，配不锈钢调节脚</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3168"/>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03B374</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定制双门电加热饭车（竖盘）</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1.规格：380V/12KW*2</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304不锈钢材料制作，材料厚度0.8mm，框体骨架1.0mm，最大蒸饭能力：72-96KG/H，电压/功率：380V/12KW*2，缺水自动断电防止干烧，一次成型内胆，自动补水装置，高精度电器，承重脚，内含24只不锈钢304材质饭盘，饭盘尺寸：580*440*55mm，材料厚度0.8mm</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r>
      <w:tr>
        <w:trPr>
          <w:trHeight w:val="576"/>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203</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03B375</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不锈钢烟罩封板含封墙板</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1.技术参数：采用SUS 304 不锈钢板，材料厚度δ=1.0mm</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r>
      <w:tr>
        <w:trPr>
          <w:trHeight w:val="2304"/>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03B376</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灭火系统及控制箱</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1.规格：双瓶组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2.技术参数：装置设计有自动探测部件，可24小时监控，可自动启动灭火装置灭火，同时关闭燃气阀并报警，自动灭火装置主控箱、多功能机械控制阀、减压器、灭火药剂瓶、灭火药剂、电路板等整套装置</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r>
      <w:tr>
        <w:trPr>
          <w:trHeight w:val="1728"/>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03B377</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灭蝇灯</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1.规格：490*210*195mm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2.技术参数：尺寸：490*210*195mm,采用专用灭蚊蝇灯管，内壁反吸光设计，有效面积≥40平方，电压/功率：220V/16W</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rHeight w:val="1440"/>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03B378</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净水器</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1、技术参数：过滤精度≤0.5微米；尺寸（高宽深）：750*400*150mm；处理水量≥19升/分钟；水压：25-125psi；总处理量≥36000加仑</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rHeight w:val="1440"/>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207</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03B379</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软水机</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1.规格：360*200*490mm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2.技术参数：软水流量：约≥15L/min；储盐量：约≥9KG；软水量：约≥30吨；装盐周期：约≥10天；</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728"/>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03B380</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洗地水枪</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1.规格：11m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2.技术参数：开放式洗地龙头联水枪头；喉管长度约≥10.7m,耐压≥:300PSI,耐温≥:80°C； 导向臂可4个方向定位； 配置喉管止动器，可调节</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rHeight w:val="1440"/>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03B695</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四层层架</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1.规格：1200*500*1800mm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2.技术参数：采用SUS 304 不锈钢板，材料厚度δ=1.0mm；立柱为Φ38*1.2mm不锈钢201管，配不锈钢调节脚</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288"/>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用具清洗间</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728"/>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03B381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工作台连下一层条板</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1.规格：600*760*800mm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2.技术参数：采用SUS304不锈钢板材，台面厚度1.2mm，加装加强筋100*40*1.2mm，下层条板厚度1.0mm；立柱为Φ38*1.2mm不锈钢201管，配不锈钢调节脚。</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2016"/>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03B382</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大单星盆台(带背)</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1.规格：1000*760*800mm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2.技术参数：采用SUS 304 不锈钢板，台面、槽体厚度δ=1.2mm，槽体深度h≥350mm，选用不锈钢防臭落水；立柱为Φ38*1.2mm不锈钢201管，配不锈钢调节脚。</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r>
      <w:tr>
        <w:trPr>
          <w:trHeight w:val="1728"/>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03B383</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简易残食台</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1.规格：800*760*860mm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 SUS304 不锈钢板制作，台面厚度 1.2mm，收餐孔直径 280mm,立柱 38*38 不锈钢201管，厚度 1.2mm,配不锈钢调整脚。</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728"/>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03B385</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工作台连下一层条板</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1.规格：1800*800*800mm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2.技术参数：采用SUS304不锈钢板材，台面厚度1.2mm，加装加强筋100*40*1.2mm，下层条板厚度1.0mm；立柱为Φ38*1.2mm不锈钢201管，配不锈钢调节脚。</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728"/>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03B386</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灭蝇灯</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1.规格：490*210*195mm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2.技术参数：尺寸：490*210*195mm,采用专用灭蚊蝇灯管，内壁反吸光设计，有效面积≥40平方，电压/功率：220V/16W</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288"/>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面点间、特色餐间</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576"/>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03B387</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不锈钢烟罩封板含封墙板</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1.技术参数：采用SUS 304 不锈钢板，材料厚度δ=1.0mm</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r>
      <w:tr>
        <w:trPr>
          <w:trHeight w:val="2304"/>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03B388</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三层六盘电烤箱</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1.规格：1225*770*1540mm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2.技术参数：拉砂不锈钢板制作柜体；红外线辐射管为发热元件；底火，面火控制温度可在室温≤300℃范围内，根据需要任意设定，并能自动恒温；电压/功率：380V/20.4KW，配烤盘 6 个。</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440"/>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217</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03B389</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电热铛</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1.尺寸：660*840*760mm                                                                                                                                                                        </w:t>
            </w:r>
            <w:r>
              <w:rPr>
                <w:rFonts w:hint="eastAsia" w:ascii="宋体" w:hAnsi="宋体" w:eastAsia="宋体" w:cs="宋体"/>
                <w:i w:val="0"/>
                <w:iCs w:val="0"/>
                <w:color w:val="auto"/>
                <w:sz w:val="21"/>
                <w:szCs w:val="21"/>
                <w:highlight w:val="none"/>
                <w:u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2.技术参数：设有超温保护装置，带温控，工作温度：120~250℃，内径约≥53CM ,电压/功率：380V/4.5KW</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rHeight w:val="1728"/>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218</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03B391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工作台连下一层条板</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1.规格：1800*600*800mm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2.技术参数：采用SUS304不锈钢板材，台面厚度1.2mm，加装加强筋100*40*1.2mm，下层条板厚度1.0mm；立柱为Φ38*1.2mm不锈钢201管，配不锈钢调节脚。</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2016"/>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219</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03B392</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大单星盆台(带背)</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1.规格：700*700*800mm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2.技术参数：采用SUS 304 不锈钢板，台面、槽体厚度δ=1.2mm，槽体深度h≥350mm，选用不锈钢防臭落水；立柱为Φ38*1.2mm不锈钢201管，配不锈钢调节脚。</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728"/>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03B393</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双层挂墙柜</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1.规格：1200*350*1800mm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 304#不锈钢板，台面厚度δ  =1.2MM，层板及底板δ  =1.2mm,门板、侧板、背板材料1.0mm，底层为平板式</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rHeight w:val="1802"/>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03B394</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移门工作台柜(无背)</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1.规格：1500*900*800mm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2.技术参数：采用SUS 304 不锈钢板，台面、层板厚度1.2mm，门板、侧板、背板材料厚度1.0mm，加强筋1.2mm，移门把手采用门边一体拉手，方便使用；中层板加强支撑，底层为平板式；立柱为Φ51*1.2mm不锈钢201管，配不锈钢子弹脚</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424"/>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03B395</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工作台连下一层条板</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1.规格：1800*800*800mm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2.技术参数：采用SUS304不锈钢板材，台面厚度1.2mm，加装加强筋100*40*1.2mm，下层条板厚度1.0mm；立柱为Φ38*1.2mm不锈钢201管，配不锈钢调节脚。</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728"/>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03B396</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工作台连下一层条板</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1.规格：800*1100*800mm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2.技术参数：采用SUS304不锈钢板材，台面厚度1.2mm，加装加强筋100*40*1.2mm，下层条板厚度1.0mm；立柱为Φ38*1.2mm不锈钢201管，配不锈钢调节脚。</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454"/>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03B696</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电磁双眼煮面炉</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1.规格：1900*1100*800mm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2.技术参数：SUS304不锈钢材质，珐纹处理，氩焊处打磨处理，材料厚度δ=1.2mm，背板厚度δ=1.0mm，一体成型台面，ADD磁电引擎，进口6mm厚微晶板，电压/功率：380V/20KW*2</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864"/>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03B397</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集气罩</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1.规格：2100*1300*550mm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2.技术参数：罩体SUS304材质，厚度δ=1.0mm</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576"/>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226</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03B398</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不锈钢烟罩封板含封墙板</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1.技术参数：采用SUS 304 不锈钢板，材料厚度δ=1.0mm</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8.5</w:t>
            </w:r>
            <w:r/>
          </w:p>
        </w:tc>
      </w:tr>
      <w:tr>
        <w:trPr>
          <w:trHeight w:val="90"/>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227</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03B399</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单星盆台(带背)</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1.规格：700*760*800mm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2.技术参数：采用SUS 304 不锈钢板，台面、槽体厚度δ=1.2mm，槽体深度h≥350mm，选用不锈钢防臭落水；立柱为Φ38*1.2mm不锈钢201管，配不锈钢调节脚。</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6356"/>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03B400</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保鲜工作台</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一.规格：1800*800*800mm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二.技术参数：1、制冷方式：直冷，规格尺寸：1800*800*800mm，温度：2℃~8℃，有效容量≥420L。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2、箱体内外均采用食品级不锈钢，箱体整体发泡，中梁配加热丝，可拆卸门封条，自动回归门设计；纯铜蒸发器，在最高42℃的极端环境温度下也能正常制冷；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3、配置离子食物保鲜系统，通过释放活氧抑制细菌生长，通过释放负离子延缓食物氧化，延长食物保鲜时间；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采用智能微电脑触摸屏控制器，触摸显示屏最短边尺寸≥10cm；触摸显示屏可根据需求调节冷藏/冷冻间室温度，并显示箱体内实时温度；冰箱出现故障时触摸显示屏显示中文故障提示；可通过触摸显示屏显示累计耗电量，并开启节能功能，显示累计节电数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冰箱具有物联网功能，可通过物联网平台远程查看冰箱实时状态及累计使用天数，并可远程开启化霜、节能、离子保鲜、抑菌等功能，远程调节温度功能，同时可生成节电量曲线图；其中节累计能电量、累计耗电量、累计使用天数、累计减少碳排放需有数字化大屏管理显示界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具备远程故障报修系统，当冰箱出现故障时，在显示屏显示中文故障提示，并同步将故障信息通过物联网向授权用户管理员、经销商、制造商发送；其中产品具备行业分布显示界面、在线设备及总设备管理显示界面，售后管理平台远程故障报警及保修故障管理界面，设备运行报表管理界面及故障分析管理界面需数字化大屏显示；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rHeight w:val="1728"/>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229</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03B401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双层挂墙柜</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numPr>
                <w:ilvl w:val="0"/>
                <w:numId w:val="9"/>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规格：1900*350*1800mm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 304#不锈钢板，台面厚度δ  =1.2MM，层板及底板δ  =1.2mm,门板、侧</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板、背板材料1.0mm，底层为平板式</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rHeight w:val="1728"/>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03B402</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双层挂墙柜</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1.规格：1200*350*1800mm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 304#不锈钢板，台面厚度δ  =1.2MM，层板及底板δ  =1.2mm,门板、侧板、背板材料1.0mm，底层为平板式</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864"/>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231</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03B403</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集气罩</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1.规格：1400*1000*550mm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2.技术参数：罩体SUS304材质，厚度δ=1.0mm</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576"/>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232</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03B404</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不锈钢烟罩封板含封墙板</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1.技术参数：采用SUS 304 不锈钢板，材料厚度δ=1.0mm</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5.9</w:t>
            </w:r>
            <w:r/>
          </w:p>
        </w:tc>
      </w:tr>
      <w:tr>
        <w:trPr>
          <w:trHeight w:val="1728"/>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233</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03B405</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灶边工作台</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1.规格：700*900*800mm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2.技术参数：采用SUS304不锈钢板材，台面厚度1.2mm，加装加强筋100*40*1.2mm，立柱为Φ38*1.2mm不锈钢201管，配不锈钢调节脚。</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728"/>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234</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03B697</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工作台连下一层条板</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1.规格：900*700*800mm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2.技术参数：采用SUS304不锈钢板材，台面厚度1.2mm，加装加强筋100*40*1.2mm，下层条板厚度1.0mm；立柱为Φ38*1.2mm不锈钢201管，配不锈钢调节脚。</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2304"/>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235</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03B407</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灭火系统及控制箱</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1.规格：双瓶组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2.技术参数：装置设计有自动探测部件，可24小时监控，可自动启动灭火装置灭火，同时关闭燃气阀并报警，自动灭火装置主控箱、多功能机械控制阀、减压器、灭火药剂瓶、灭火药剂、电路板等整套装置</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2304"/>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236</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03B408</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灭火系统及控制箱</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1.规格：单瓶组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2.技术参数：装置设计有自动探测部件，可24小时监控，可自动启动灭火装置灭火，同时关闭燃气阀并报警，自动灭火装置主控箱、多功能机械控制阀、减压器、灭火药剂瓶、灭火药剂、电路板等整套装置</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288"/>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二次更衣间/售餐间</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2304"/>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237</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03B409</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电热暖饭台</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1.规格：600*700*800mm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2.技术参数：采用304#不锈钢板，台面厚度δ=1.2mm，侧板厚度δ=1.0mm，电控恒温式保温方式，内含Φ400不锈钢饭桶，电压/功率：220v/2kw，立柱为201不锈钢管，φ38mm*1.2mm，配不锈钢调节脚</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r>
      <w:tr>
        <w:trPr>
          <w:trHeight w:val="1728"/>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03B410</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紫外线杀菌灯</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1.规格：36W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2.技术参数：灯管：石英高压放电管，紫外线（UV-B）波长：200～290nm，强力杀菌，效率高，时间短，电压/功率：220v/0.36kw</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r>
      <w:tr>
        <w:trPr>
          <w:trHeight w:val="2304"/>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239</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03B411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四格保温台</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1.规格：1500*700*800mm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2.技术参数：采用SUS304不锈钢板，台面及水箱材料厚度δ=1.2mm，侧板材料厚度1.0mm，电控恒温式保温方式，电压/功率：380v/4.5kw，立柱为Φ51*1.2mm不锈钢201管，配不锈钢子弹脚</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r>
      <w:tr>
        <w:trPr>
          <w:trHeight w:val="1440"/>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03B412</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膝顶洗手水池(带背）</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1.规格：450*450*800/150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2.技术参数：采用304#不锈钢板，珐纹处理，材料厚度δ=1.2mm，槽体深度h≥200mm，带膝顶式水阀</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r>
      <w:tr>
        <w:trPr>
          <w:trHeight w:val="2016"/>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241</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03B413</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单门保温餐车</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1.规格：11层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2.技术参数：不锈钢304材质，材料厚度1.0mm，790*975*1795，内膛规格：540*680*1380，每层高度≥115mm，电压/功率：220V/2.62KW</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r>
      <w:tr>
        <w:trPr>
          <w:trHeight w:val="1152"/>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242</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03B414</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双门热风循环消毒柜</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1.规格：1310*700*1850mm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2.技术参数：采用201不锈钢板，温度范围：20-80℃，容积≥600L，电压/功率：220V/4.4KW</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r>
      <w:tr>
        <w:trPr>
          <w:trHeight w:val="1440"/>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243</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03B415</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平板四层层架</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1.规格：1200*500*1800mm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2.技术参数：采用SUS 304 不锈钢板，材料厚度δ=1.0mm；立柱为Φ38*1.2mm不锈钢201管，配不锈钢调节脚</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r>
      <w:tr>
        <w:trPr>
          <w:trHeight w:val="1728"/>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244</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03B416</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工作台连下一层条板</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1.规格：1100*400*800mm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2.技术参数：采用SUS304不锈钢板材，台面厚度1.2mm，加装加强筋100*40*1.2mm，下层条板厚度1.0mm；立柱为Φ38*1.2mm不锈钢201管，配不锈钢调节脚。</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728"/>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245</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03B417</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工作台连下一层条板</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1.规格：1900*400*800mm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2.技术参数：采用SUS304不锈钢板材，台面厚度1.2mm，加装加强筋100*40*1.2mm，下层条板厚度1.0mm；立柱为Φ38*1.2mm不锈钢201管，配不锈钢调节脚。</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rHeight w:val="1728"/>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03B418</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工作台连下一层条板</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1.规格：1500*700*800mm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2.技术参数：采用SUS304不锈钢板材，台面厚度1.2mm，加装加强筋100*40*1.2mm，下层条板厚度1.0mm；立柱为Φ38*1.2mm不锈钢201管，配不锈钢调节脚。</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rHeight w:val="864"/>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247</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03B419</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不锈钢挂衣架</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1.规格：400*40*40mm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2.技术参数：采用SUS304不锈钢板0.6mm厚</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rHeight w:val="2304"/>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03B420</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五格保温售饭台</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1.规格：1800*700*800mm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2.技术参数：采用SUS304不锈钢板，台面及水箱材料厚度δ=1.2mm，侧板材料厚度1.0mm，电控恒温式保温方式，电压/功率：380v/6kw，立柱为Φ51*1.2mm不锈钢201管，配不锈钢子弹脚</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r>
      <w:tr>
        <w:trPr>
          <w:trHeight w:val="864"/>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249</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03B421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座台双层架</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1.规格：1800*350*700mm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2.技术参数：采用SUS 304 不锈钢板，材料厚度1.2mm</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r>
      <w:tr>
        <w:trPr>
          <w:trHeight w:val="1728"/>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03B422</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工作台连下一层条板</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1.规格：900*700*800mm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2.技术参数：采用SUS304不锈钢板材，台面厚度1.2mm，加装加强筋100*40*1.2mm，下层条板厚度1.0mm；立柱为Φ38*1.2mm不锈钢201管，配不锈钢调节脚。</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2016"/>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251</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03B423</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多功能保温台</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1.规格：1500*700*800mm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2.技术参数：台面及水箱选用SUS304材质，材料厚度δ=1.2mm，电控恒温式保温方式，电压/功率：220v/3kw，上层不锈钢冲孔板，立柱为Φ38*1.0不锈钢201管</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r>
      <w:tr>
        <w:trPr>
          <w:trHeight w:val="864"/>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252</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03B424</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保温灯</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1.规格：L=1500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2.技术参数：电压/功率：220v/1.5kw</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r>
      <w:tr>
        <w:trPr>
          <w:trHeight w:val="1440"/>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253</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03B425</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玻璃卫生罩</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1.规格：1500*350*600mm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2.技术参数：采用SUS304不锈钢板，台面厚度δ=1.2mm，支架采用304不锈钢方管38*25*1.2mm；顶面、侧面配10mm钢化玻璃装饰</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r>
      <w:tr>
        <w:trPr>
          <w:trHeight w:val="864"/>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254</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03B426</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保温灯</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1.规格：L=600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2.技术参数：电压/功率：220v/1.5kw</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440"/>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255</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03B427</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玻璃卫生罩</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1.规格：600*350*600mm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2.技术参数：采用SUS304不锈钢板，台面厚度δ=1.2mm，支架采用304不锈钢方管38*25*1.2mm；顶面、侧面配10mm钢化玻璃装饰</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2304"/>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256</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03B428</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电加热三格保温台</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1.规格：1200*700*800mm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2.技术参数：采用SUS304不锈钢板，台面及水箱材料厚度δ=1.2mm，侧板材料厚度1.0mm，电控恒温式保温方式，电压/功率：220v/3kw，立柱为Φ51*1.2mm不锈钢201管，配不锈钢子弹脚</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728"/>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257</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03B429</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工作台连下一层条板</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1.规格：1900*400*800mm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2.技术参数：采用SUS304不锈钢板材，台面厚度1.2mm，加装加强筋100*40*1.2mm，下层条板厚度1.0mm；立柱Φ38*1.2mm不锈钢201管，配不锈钢调节脚。</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rHeight w:val="1728"/>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258</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03B430</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工作台连下一层条板</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1.规格：1500*600*800mm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2.技术参数：采用SUS304不锈钢板材，台面厚度1.2mm，加装加强筋100*40*1.2mm，下层条板厚度1.0mm；立柱Φ38*1.2mm不锈钢201管，配不锈钢调节脚。</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r>
      <w:tr>
        <w:trPr>
          <w:trHeight w:val="864"/>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259</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03B431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座台双层架</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1.规格：2100*350*700mm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2.技术参数：采用SUS 304 不锈钢板，材料厚度1.2mm</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r>
      <w:tr>
        <w:trPr>
          <w:trHeight w:val="2016"/>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03B432</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冲孔保温台</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1.规格：1300*400*800mm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2.技术参数：台面及水箱选用SUS304材质，材料厚度δ=1.2mm，电控恒温式保温方式，电压/功率：220v/3kw，上层不锈钢冲孔板，立柱为Φ38*1.0不锈钢201管</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rHeight w:val="2016"/>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261</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03B433</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冲孔保温台</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1.规格：1500*400*800mm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2.技术参数：台面及水箱选用SUS304材质，材料厚度δ=1.2mm，电控恒温式保温方式，电压/功率：220v/3kw，上层不锈钢冲孔板，立柱为Φ38*1.0不锈钢201管</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rHeight w:val="2016"/>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262</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03B434</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冲孔保温台</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1.规格：2200*400*800mm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2.技术参数：台面及水箱选用SUS304材质，材料厚度δ=1.2mm，电控恒温式保温方式，电压/功率：220v/3kw，上层不锈钢冲孔板，立柱为Φ38*1.0不锈钢201管</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2016"/>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263</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03B435</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冲孔保温台</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1.规格：1700*400*800mm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2.技术参数：台面及水箱选用SUS304材质，材料厚度δ=1.2mm，电控恒温式保温方式，电压/功率：220v/3kw，上层不锈钢冲孔板，立柱为Φ38*1.0不锈钢201管</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rHeight w:val="2016"/>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264</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03B436</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冲孔保温台</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1.规格：1200*400*800mm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2.技术参数：台面及水箱选用SUS304材质，材料厚度δ=1.2mm，电控恒温式保温方式，电压/功率：220v/3kw，上层不锈钢冲孔板，立柱为Φ38*1.0不锈钢201管</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288"/>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洗碗间/消毒保洁间</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152"/>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265</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03B437</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风幕机及支架</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1.规格：900*183*226mm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2.技术参数：使用环境：-20°C-+40°C，无腐蚀气体下,电压/功率：220v/0.2kw</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2016"/>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266</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03B438</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大单星盆台(带背)</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1.规格：1000*760*800mm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2.技术参数：采用SUS 304 不锈钢板，台面、槽体厚度δ=1.2mm，槽体深度h≥350mm，选用不锈钢防臭落水；立柱为Φ38*1.2mm不锈钢201管，配不锈钢调节脚。</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r>
      <w:tr>
        <w:trPr>
          <w:trHeight w:val="1728"/>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267</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03B439</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工作台连下一层条板</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1.规格：1500*800*800mm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2.技术参数：采用SUS304不锈钢板材，台面厚度1.2mm，加装加强筋100*40*1.2mm，下层条板厚度1.0mm；立柱为Φ38*1.2mm不锈钢201管，配不锈钢调节脚。</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728"/>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268</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03B440</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简易残食台</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1.规格：900*830*860mm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 SUS304 不锈钢板制作，台面厚度 1.2mm，收餐孔直径 280mm,立柱 38*38 不锈钢201管，厚度 1.2mm,配不锈钢调整脚。</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rHeight w:val="4946"/>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269</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03B443</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活水浸泡池（无背）</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一.规格：1800*800*800mm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二.技术参数：1、产品功能：通过高压风机在水池中产生气泡，让水池里水翻滚去除残渣，降低操作人员的劳动强度。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2、规格：1800*800*800mm 。                                                                                        3、总功率：9.75KW。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4、采用多功能型气嘴，扇形伞状气泡设计，使水分子成纳米状，大范围分解油脂及异物残留。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5、配置高品质高压风机，更经久耐用。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6、配置水位传感器，可自动控制进水。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7、内置大容量残渣篮，便于使用及维护。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8、自动加热和保温，无需热水进水。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9、整机不锈钢板材为SUS304材质，耐腐蚀性更强。</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rHeight w:val="1728"/>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03B444</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灭蝇灯</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1.规格：490*210*195mm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2.技术参数：尺寸：490*210*195mm,采用专用灭蚊蝇灯管，内壁反吸光设计，有效面积≥40平方，电压/功率：220V/16W</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440"/>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271</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03B445</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四层层架</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1.规格：1200*500*1800mm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2.技术参数：采用304#不锈钢板，层板厚度1.0mm，立柱为φ38mm*1.2mm不锈钢201管，配不锈钢调节脚</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rHeight w:val="1728"/>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272</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03B446</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洗地水枪</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1.规格：11m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2.技术参数：开放式洗地龙头联水枪头；喉管长度约≥10.7m,耐压≥:300PSI,耐温≥:80°C； 导向臂可4个方向定位； 配置喉管止动器，可调节</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rHeight w:val="1440"/>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273</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03B447</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拖把架</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1.规格：1200*550*1800mm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2.技术参数：采用SUS304不锈钢板，立柱为φ38mm *1.2mm，其他材料1.0mm；挂钩为不锈钢圆钢柱，φ6mm</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rHeight w:val="2016"/>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274</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03B448</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拖把池（带背）</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1.规格：600*600*600mm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2.技术参数：采用SUS 304 不锈钢板，台面、槽体厚度δ=1.2mm，槽体深度h≥280mm，选用不锈钢防臭落水，立柱为201不锈钢管，直径38mm*1.2mm，配不锈钢调节脚。</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6812"/>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275</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03B449</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高温蒸汽消毒房</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一.规格：6350*2610*2500mm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二.技术参数：库体材质≥100mm 厚手工岩棉板，房间内外304 不锈钢板保温岩棉板，0.8mm 钢板，房间内加玻镁，保温棉容重≥120kg，耐高温胶水，不可燃烧。保温材料：矿物岩棉≥100mm，密度≥50kg/m³，耐温阻燃型。照明装置：高温防爆照明灯3盏测温体：铂金PT-100 = 1只，显示:触摸屏温度时时显示。  消毒温度范围:常温～125度可调。设备主要功能：a用具烘干；b用具消毒；c用具保管期间安全保护；d系统智能化控制。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温度测控系统:1.触摸式真彩液晶微电脑控制器；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2.7寸触摸显示屏显示。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3.可设置时间断电,即0-99小时任何时间断电,消毒房停止工作并自动声光提示，并可自动打开排风功能，同时切断加热总电源。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4.预约启动功能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5.温度控制发热体均采用功率自动调节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6.故障报警及显示故障原因、解决方法等。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7.自动控制加热功率，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8.房间配备高温蒸汽物理消毒，蒸汽穿透力强，消毒效果好功能。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9.可自动定时开关机，预约启动，可实现两个月以上餐具无菌保管功能。</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4058"/>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276</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03B450</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长龙式洗碗机带烘干</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1.规格：3800*860*2101mm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2.技术参数：传送带速度≥1.6m/min；耗水量：≤350 升/小</w:t>
            </w:r>
            <w:r>
              <w:rPr>
                <w:rFonts w:hint="eastAsia" w:ascii="宋体" w:hAnsi="宋体" w:eastAsia="宋体" w:cs="宋体"/>
                <w:i w:val="0"/>
                <w:iCs w:val="0"/>
                <w:color w:val="auto"/>
                <w:sz w:val="21"/>
                <w:szCs w:val="21"/>
                <w:highlight w:val="none"/>
                <w:u w:val="none"/>
                <w:lang w:val="en-US" w:eastAsia="zh-CN" w:bidi="ar"/>
              </w:rPr>
              <w:t xml:space="preserve">时；清洗温度：55-65℃；喷淋温度：82-90℃；传送带宽度≥612mm；有效洗涤高度≥440mm；进口长度≥700mm；出口长度≥900mm；清洗长度≥800mm；喷淋长度≥600mm；烘干长度≥800mm；水箱加热功率≤18kW；喷淋加热功率≤30kW；烘干机≤10kW；总配电量≤60kW；餐具进入机器时红外线感应启动洗涤程序；清洗系统配置8根洗臂；洗臂、喷淋臂采用抽拉式结构，双道喷淋系统，升温箱分级加热控制，进出口双齿轮设计，可以在手动、自动操作模式下自由切换；进口、出口预留排风接口，多方位气流导向</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rHeight w:val="864"/>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277</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03B451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牛角罩</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1.技术参数：匹配洗碗机，采用SUS 304 不锈钢板，罩体厚度δ=1.0mm</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152"/>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278</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03B452</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风幕机及支架</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1.规格：1500*183*226mm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2.技术参数：使用环境：-20°C-+40°C，无腐蚀气体下,电压/功率：220v/0.2kw</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288"/>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餐厅</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440"/>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279</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03B453</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食品保温汤桶连车</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1.规格：50升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2.技术参数：车仔用50*25*1.2不锈钢201方管制作，底部配5寸承重万向轮4个。配双层保温汤桶连盖1套。</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r>
      <w:tr>
        <w:trPr>
          <w:trHeight w:val="1152"/>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03B454</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挂墙消毒柜</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1.规格：1000*350*600mm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2.技术参数：采用201不锈钢板，温度范围：20-80℃，容积≥150L，电压/功率：220V/1..3KW</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r>
      <w:tr>
        <w:trPr>
          <w:trHeight w:val="1728"/>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281</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03B455</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垃圾收残柜</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1.规格：1200*600*1100mm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 SUS304 不锈钢板制作，台面厚度 1.2mm，收餐孔直径 280mm,立柱 38*38 不锈钢201管，厚度 1.2mm,配不锈钢调整脚。</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r>
      <w:tr>
        <w:trPr>
          <w:trHeight w:val="2304"/>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282</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03B701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定制汤饭保温柜</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1.规格：2000*1240*1338mm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2.技术参数：采用SUS304不锈钢板，台面及水箱材料厚度δ=1.2mm，侧板材料厚度1.0mm，电控恒温式保温方式，美控温控控制，电压/功率：380v/4.5kw，立柱为Φ51*1.2mm不锈钢201管，配不锈钢子弹脚</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152"/>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283</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03B458</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风幕机及支架</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1.规格：1500*183*226mm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2.技术参数：使用环境：-20°C-+40°C，无腐蚀气体下,电压/功率：220v/0.2kw</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r>
      <w:tr>
        <w:trPr>
          <w:trHeight w:val="1152"/>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284</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03B459</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风幕机及支架</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1.规格：1200*183*226mm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2.技术参数：使用环境：-20°C-+40°C，无腐蚀气体下,电压/功率：220v/0.2kw</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728"/>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285</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03B460</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灭蝇灯</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1.规格：490*210*195mm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2.技术参数：尺寸：490*210*195mm,采用专用灭蚊蝇灯管，内壁反吸光设计，有效面积≥40平方，电压/功率：220V/16W</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r>
      <w:tr>
        <w:trPr>
          <w:trHeight w:val="288"/>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烹饪间排油烟系统</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864"/>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286</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030702003009</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不锈钢风管</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1、规格：600*400mm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2、技术参数：采用SUS 304 不锈钢板，材料厚度δ=1.0mm</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w:t>
            </w:r>
            <w:r/>
          </w:p>
        </w:tc>
      </w:tr>
      <w:tr>
        <w:trPr>
          <w:trHeight w:val="864"/>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287</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030702003010</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不锈钢风管</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1、规格：800*400mm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2、技术参数：采用SUS 304 不锈钢板，材料厚度δ=1.0mm</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140</w:t>
            </w:r>
            <w:r/>
          </w:p>
        </w:tc>
      </w:tr>
      <w:tr>
        <w:trPr>
          <w:trHeight w:val="864"/>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030702003011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不锈钢风管</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1、规格：1300*400mm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2、技术参数：采用SUS 304 不锈钢板，材料厚度δ=1.0mm</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68</w:t>
            </w:r>
            <w:r/>
          </w:p>
        </w:tc>
      </w:tr>
      <w:tr>
        <w:trPr>
          <w:trHeight w:val="864"/>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289</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030702003012</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不锈钢风管</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1、规格：700*400mm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2、技术参数：采用SUS 304 不锈钢板，材料厚度δ=1.0mm</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r>
      <w:tr>
        <w:trPr>
          <w:trHeight w:val="864"/>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030702003013</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不锈钢风管</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1、规格：1000*400mm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2、技术参数：采用SUS 304 不锈钢板，材料厚度δ=1.0mm</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w:t>
            </w:r>
            <w:r/>
          </w:p>
        </w:tc>
      </w:tr>
      <w:tr>
        <w:trPr>
          <w:trHeight w:val="864"/>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291</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030702003014</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不锈钢风管</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1、规格：1400*400mm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2、技术参数：采用SUS 304 不锈钢板，材料厚度δ=1.0mm</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130</w:t>
            </w:r>
            <w:r/>
          </w:p>
        </w:tc>
      </w:tr>
      <w:tr>
        <w:trPr>
          <w:trHeight w:val="4608"/>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03B461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静电式油烟净化器+活性炭去味装置</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一.规格：29000m³/h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二.技术参数：1、净化效率≥95%，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2、设备外壳采用A3碳钢，外壳采用热固性纯聚酯粉末涂料喷涂处理，设备采用两级电场净化处理，电场采用钢性好、不易变形、使用寿命长的全不锈钢电场，。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3、设备面板带有数字显示屏，显示运行电流、故障代码。设备安全性能好，安装有门磁，具有开门断电功能。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4、油烟净化器数显示屏通过GB/T 2423.3-2016(环境试验 第2部分：试验方法</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8190"/>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试验Cab:恒定湿热试验)评判结果为合格。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5、油烟净化设备门磁开关通过GB/T 2423.2-2008高温测试，试验结果为合格。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6、油烟净化设备瓷瓶绝缘陶瓷抗折强度符合GB/T 5593-2015表1中A-75 75%三氧化二铝瓷的要求，体积密度≥3.2 g/cm³、抗折强度≥200MPa。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7、静电式餐饮油烟净化器通过GB/T 4208-2017外壳防护IP66等级测试。防护涂层符合依据HG/T2006- 2006《 热固性粉末涂料》，耐碱性(5%NaOH)168H无异常、耐酸性(3%HCl)240H无异常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8、静电式餐饮油烟净化设备高压绝缘子瓷件符合GB/T 772-2005《高压绝缘子瓷件 技术条件》，内外壁之间在电压65KV，正弦50HZ条件进行壁厚工频击穿电压试验、结果均合格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9、油烟净化器电磁环境的工频电场和工频磁场符合《电磁环境控制限值》GB 8702-2014的要求。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10、油烟净化器电源适应低温和高温环境，低温符合GB/T 2423.1-2008要求，高温符合GB/T 2423.2-2008要求。在-40℃低温环境满功率负载条件下连续运行4小时能正常工作，在80℃高温环境满功率负载条件下连续运行4小时能正常工作。</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744"/>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293</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030108001001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后倾高压双吸式低噪音离心风机</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1、规格：33000-25000m³/h /  1550*1110*1160/380V/15KW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单机试运转要求：①风机生产执行标准：JB/T9068-1999、GB/10080-2001。②风机板材采用亚光镀锌板，耐用、耐腐蚀，外表美观，生产工艺先进，钣金设计结构合理。顶底和柱子均是一块板拆成型。（风机内蜗壳采用0.7mm厚度镀锌板，常规风机外壳采用1.5mm厚度镀锌板，中压风机外壳采用1.5mm厚度镀锌板，后倾高压风机外壳</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288"/>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294</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03B462</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消声风管</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1.规格：1200*900*900mm                                                   2、技术参数：采用SUS 304 不锈钢板，材料厚度δ=1.0mm</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rHeight w:val="864"/>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295</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030703020001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消声器</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1、技术参数：2100L*700*700，选用不锈钢材质，材料厚度δ=1.0mm</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2016"/>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296</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030404016001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风机变频控制箱</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技术参数：1、触控按键；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2、一键切换，按键锁定；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3、变频控制，无极调速；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4、集风机、净化器联动（适合所有类型净化器）；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5、不锈钢拉丝箱体；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6、降低风管和电机噪音。</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8190"/>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297</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03B463</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油烟净化实时监控系统</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1.检测精度0.05mg/M3</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2.技术参数：满足《环保产品认证实施规则饮食业油烟浓度在线监控仪》（CCAEPI-RG-Y-020-2011）相关要求；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油烟浓度量程：0~10mg/m3；非甲烷总烃量程：0~100mg/m3；颗粒物量程：0~10mg/m3；准确度：相对误差不超过±20%；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配备大容量存储芯片，具备1分钟、5分钟、10分钟、1小时、日报表、月报表数据查询功能，可存储至少1年历史运行数据；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可内置3.5寸及以上触摸屏，显示工作状态，包括电源，运行、设备、通信状态、设备工作电流、排放浓度值，实现系统配置、报警查询、历史查询等功能；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可外接巡检仪（触摸屏），实现除内置屏全部功能外，还可显示趋势图，更直观，支持日常巡检考勤，运维更方便；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1路TTL，用于连接传感器；1路RS-232接口；配置硬件看门狗；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带备用电池的实时时钟，始终可与服务器自动同步；数据发送时间间隔可调；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具有在通讯出现故障及通讯恢复后的缓存续传功能，并可使用TF卡导出数据；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集成探头断线及拨出报警功能；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传输方式：NBIOT（可选配GPRS或4G等无线通信接口）；</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288"/>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298</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03B464</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防虫网</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1.材质：不锈钢201材质</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288"/>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299</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03B465</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防虫网</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1.材质：不锈钢201材质</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576"/>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031003010003</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帆布软连接</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1、材质：采用专用油性帆布软接，减少震动、噪音及防漏</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288"/>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301</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03B466</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防虫网</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1.材质：不锈钢材质</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576"/>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302</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031003010004</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帆布软连接</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1、材质：采用专用油性帆布软接，减少震动、噪音及防漏</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864"/>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303</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031002002002</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风机槽钢支架及避震</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1、形式：10#槽钢，配4个减震装置无震动、低噪音、防锈防腐。</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152"/>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030703001003</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防火阀</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1、型号：150℃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2、技术参数：柜体、风片采用热镀锌板制作；超温保护，当温度达到≥150度后自动关闭。</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r>
      <w:tr>
        <w:trPr>
          <w:trHeight w:val="864"/>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305</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03B467</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风管抗震支架</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1.技术参数：采用A3角钢制作，表面采用抗蚀,防腐,耐水,环保水性调和漆进行防锈处理</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r>
      <w:tr>
        <w:trPr>
          <w:trHeight w:val="288"/>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306</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03B700</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镀锌法兰</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1.技术参数：3#角铁</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付</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74</w:t>
            </w:r>
            <w:r/>
          </w:p>
        </w:tc>
      </w:tr>
      <w:tr>
        <w:trPr>
          <w:trHeight w:val="288"/>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洗碗间排风系统</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864"/>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307</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030702003015</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不锈钢风管</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1、规格：500*400mm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2、技术参数：采用SUS 304 不锈钢板，材料厚度δ=1.0mm</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w:t>
            </w:r>
            <w:r/>
          </w:p>
        </w:tc>
      </w:tr>
      <w:tr>
        <w:trPr>
          <w:trHeight w:val="1152"/>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308</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030108003002</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轴流风机</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2、技术参数：转速≥1450r/min，全压：382-196Pa，电压/功率：220v/1.1kw</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288"/>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309</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03B468</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防虫网</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1.材质：不锈钢201材质</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576"/>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031003010005</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帆布软连接</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1、材质：采用专用油性帆布软接，减少震动、噪音及防漏</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288"/>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311</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03B699</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镀锌法兰</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1.技术参数：3#角铁</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付</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r>
      <w:tr>
        <w:trPr>
          <w:trHeight w:val="288"/>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厨房送新风系统</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864"/>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030702003016</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不锈钢风管</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1、规格：600*400mm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2、技术参数：采用SUS 304 不锈钢板，材料厚度δ=1.0mm</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r>
      <w:tr>
        <w:trPr>
          <w:trHeight w:val="864"/>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313</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030702003017</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不锈钢风管</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1、规格：500*400mm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2、技术参数：采用SUS 304 不锈钢板，材料厚度δ=1.0mm</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r>
      <w:tr>
        <w:trPr>
          <w:trHeight w:val="864"/>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314</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030702003018</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不锈钢风管</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1、规格：800*400mm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2、技术参数：采用SUS 304 不锈钢板，材料厚度δ=1.0mm</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w:t>
            </w:r>
            <w:r/>
          </w:p>
        </w:tc>
      </w:tr>
      <w:tr>
        <w:trPr>
          <w:trHeight w:val="864"/>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315</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030702003019</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不锈钢风管</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1、规格：700*400mm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2、技术参数：采用SUS 304 不锈钢板，材料厚度δ=1.0mm</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r>
      <w:tr>
        <w:trPr>
          <w:trHeight w:val="6048"/>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316</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030108001002</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中压前向多翼双吸式低噪音离心风机</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一.规格：18500m³/h /  1150*1010*1000/380V/7.5KW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二.技术参数：1、风机板材采用亚光镀锌板，耐用、耐腐蚀，顶底和柱子均是一块板拆成型，风机外壳采用1.2m 厚度镀锌板。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2、风机叶轮采用多翼式双吸口，材料采用镀锌板及钢板喷塑以机械化模具制作。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3、Y系列三相异步电动机，额定电压为380V，额定电功率为50Hz。采用B级绝缘，外壳防护等级为IP44，冷却方式IC411。4、SPB 皮带轮。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5、TR轴承。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6、风机的顶底和法兰由一张板成型，机身四角，接口和缝隙处都涂上密封胶。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外形尺寸：1150*1010*1000,电压/功率：380V/7.5KW,全压≥850Pa, 转速（r/min)≥926</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2016"/>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317</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030404016002</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风机变频控制箱2</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技术参数：1、触控按键；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2、一键切换，按键锁定；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3、变频控制，无极调速；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4、集风机、净化器联动（适合所有类型净化器）；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5、不锈钢拉丝箱体；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6、降低风管和电机噪音。</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152"/>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318</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030703001004</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防火阀</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1、型号：150℃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2、技术参数：柜体、风片采用热镀锌板制作；超温保护，当温度达到≥150度后自动关闭。</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rHeight w:val="864"/>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319</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03B469</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风管抗震支架</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1.技术参数：采用A3角钢制作，表面采用抗蚀,防腐,耐水,环保水性调和漆进行防锈处理</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付</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w:t>
            </w:r>
            <w:r/>
          </w:p>
        </w:tc>
      </w:tr>
      <w:tr>
        <w:trPr>
          <w:trHeight w:val="288"/>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03B470</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防虫网</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1.材质：不锈钢201材质</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864"/>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321</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03B471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风管抗震支架</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1.技术参数：采用A3角钢制作，表面采用抗蚀,防腐,耐水,环保水性调和漆进行防锈处理</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付</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r>
      <w:tr>
        <w:trPr>
          <w:trHeight w:val="288"/>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322</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03B698</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镀锌法兰</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1.技术参数：3#角铁</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付</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51</w:t>
            </w:r>
            <w:r/>
          </w:p>
        </w:tc>
      </w:tr>
      <w:tr>
        <w:trPr>
          <w:trHeight w:val="288"/>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其他</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070"/>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323</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031004014002</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冷热混合龙头</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1、型号、规格：DN15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2、技术参数：产品主体黄铜，黄铜陶瓷阀芯。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龙头开孔间距≥203mm  开双孔单个开孔直径≥22mm 配鹅颈管中心距≥145mm。</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r>
      <w:tr>
        <w:trPr>
          <w:trHeight w:val="864"/>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324</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031001003002</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金属给水管</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2、技术参数：直径：4分内，材质外丝不锈钢编织管</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142</w:t>
            </w:r>
            <w:r/>
          </w:p>
        </w:tc>
      </w:tr>
      <w:tr>
        <w:trPr>
          <w:trHeight w:val="864"/>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325</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031001006002</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排水管</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2、技术参数：直径：40mm,材质pvc塑料</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51</w:t>
            </w:r>
            <w:r/>
          </w:p>
        </w:tc>
      </w:tr>
      <w:tr>
        <w:trPr>
          <w:trHeight w:val="1152"/>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326</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03B707</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防鼠板</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1、规格：1500*600*25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2、技术参数：采用SUS 304 不锈钢板，材料厚度δ=1.0mm，插板式</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r>
      <w:tr>
        <w:trPr>
          <w:trHeight w:val="1152"/>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327</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03B708</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防鼠板</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1、规格：1200*600*25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2、技术参数：采用SUS 304 不锈钢板，材料厚度δ=1.0mm，插板式</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902"/>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328</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03B706</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防鼠板</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1、规格：900*600*25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2、技术参数：采用SUS 304 不锈钢板，材料厚度δ=1.0mm，插板式</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r>
      <w:tr>
        <w:trPr>
          <w:trHeight w:val="350"/>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329</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031001006005</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旧设备安装维修</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1、名称：C区旧设备安装维修（旧件设备详见下表：旧件表）</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288"/>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031001006006</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C区厨房拆卸搬运</w:t>
            </w:r>
            <w:r/>
          </w:p>
        </w:tc>
        <w:tc>
          <w:tcPr>
            <w:shd w:val="clear" w:color="auto" w:fill="auto"/>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1、名称：C区厨房拆卸搬运（旧件设备详见下表：旧件表）</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bl>
    <w:p>
      <w:pPr>
        <w:rPr>
          <w:color w:val="auto"/>
          <w:highlight w:val="none"/>
        </w:rPr>
      </w:pPr>
      <w:r>
        <w:rPr>
          <w:color w:val="auto"/>
          <w:highlight w:val="none"/>
        </w:rPr>
      </w:r>
      <w:r/>
    </w:p>
    <w:p>
      <w:pPr>
        <w:ind w:firstLine="422"/>
        <w:spacing w:line="44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ind w:firstLine="422"/>
        <w:spacing w:line="44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旧件表：</w:t>
      </w:r>
      <w:r/>
    </w:p>
    <w:tbl>
      <w:tblPr>
        <w:tblStyle w:val="959"/>
        <w:tblW w:w="855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57"/>
        <w:gridCol w:w="2945"/>
        <w:gridCol w:w="2416"/>
        <w:gridCol w:w="1216"/>
        <w:gridCol w:w="1216"/>
      </w:tblGrid>
      <w:tr>
        <w:trPr>
          <w:trHeight w:val="460"/>
        </w:trPr>
        <w:tc>
          <w:tcPr>
            <w:gridSpan w:val="5"/>
            <w:shd w:val="clear" w:color="auto" w:fill="auto"/>
            <w:tcBorders>
              <w:top w:val="none" w:color="000000" w:sz="4" w:space="0"/>
              <w:left w:val="none" w:color="000000" w:sz="4" w:space="0"/>
              <w:bottom w:val="none" w:color="000000" w:sz="4" w:space="0"/>
              <w:right w:val="none" w:color="000000" w:sz="4" w:space="0"/>
            </w:tcBorders>
            <w:tcW w:w="8558" w:type="dxa"/>
            <w:vAlign w:val="center"/>
            <w:textDirection w:val="lrTb"/>
            <w:noWrap w:val="false"/>
          </w:tcPr>
          <w:p>
            <w:pPr>
              <w:jc w:val="left"/>
              <w:keepLines w:val="0"/>
              <w:keepNext w:val="0"/>
              <w:widowControl/>
              <w:rPr>
                <w:rFonts w:hint="default" w:ascii="宋体" w:hAnsi="宋体" w:eastAsia="宋体" w:cs="宋体"/>
                <w:b/>
                <w:bCs/>
                <w:i w:val="0"/>
                <w:iCs w:val="0"/>
                <w:color w:val="auto"/>
                <w:sz w:val="21"/>
                <w:szCs w:val="21"/>
                <w:highlight w:val="none"/>
                <w:u w:val="none"/>
                <w:lang w:val="en-US"/>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B区厨房旧设备拆除清单</w:t>
            </w:r>
            <w:r>
              <w:rPr>
                <w:rFonts w:hint="eastAsia" w:ascii="宋体" w:hAnsi="宋体" w:cs="宋体"/>
                <w:b/>
                <w:bCs/>
                <w:i w:val="0"/>
                <w:iCs w:val="0"/>
                <w:color w:val="auto"/>
                <w:sz w:val="21"/>
                <w:szCs w:val="21"/>
                <w:highlight w:val="none"/>
                <w:u w:val="none"/>
                <w:lang w:val="en-US" w:eastAsia="zh-CN" w:bidi="ar"/>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  次</w:t>
            </w:r>
            <w:r/>
          </w:p>
        </w:tc>
        <w:tc>
          <w:tcPr>
            <w:shd w:val="clear" w:color="auto" w:fill="auto"/>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规格型号尺寸</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r>
      <w:tr>
        <w:trPr>
          <w:trHeight w:val="600"/>
        </w:trPr>
        <w:tc>
          <w:tcPr>
            <w:gridSpan w:val="5"/>
            <w:shd w:val="clear" w:color="auto" w:fill="bfbfbf"/>
            <w:tcBorders>
              <w:top w:val="single" w:color="000000" w:sz="4" w:space="0"/>
              <w:left w:val="single" w:color="000000" w:sz="4" w:space="0"/>
              <w:bottom w:val="single" w:color="000000" w:sz="4" w:space="0"/>
              <w:right w:val="single" w:color="000000" w:sz="4" w:space="0"/>
            </w:tcBorders>
            <w:tcW w:w="855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教师售餐间</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保温工作台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1830*820*800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双层格栅工作台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双门留样冰箱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1200*700*1960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保温热板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1000*300*30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自助收银机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感应洗手池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600*400*800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格栅双层送餐车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1300*550*800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0"/>
        </w:trPr>
        <w:tc>
          <w:tcPr>
            <w:gridSpan w:val="5"/>
            <w:shd w:val="clear" w:color="auto" w:fill="bfbfbf"/>
            <w:tcBorders>
              <w:top w:val="single" w:color="000000" w:sz="4" w:space="0"/>
              <w:left w:val="single" w:color="000000" w:sz="4" w:space="0"/>
              <w:bottom w:val="single" w:color="000000" w:sz="4" w:space="0"/>
              <w:right w:val="single" w:color="000000" w:sz="4" w:space="0"/>
            </w:tcBorders>
            <w:tcW w:w="855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洗碗间</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开水器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双层格栅工作台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四层格栅货架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1200*500*1800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三星水池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1800*700*800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平板双层餐车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890*450*960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卧式酸奶冷藏冰箱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900*900*920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六门冰箱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1780*680*1900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双门热风循环消毒柜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1500*690*2000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水杯架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1540*130*440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0"/>
        </w:trPr>
        <w:tc>
          <w:tcPr>
            <w:gridSpan w:val="5"/>
            <w:shd w:val="clear" w:color="auto" w:fill="bfbfbf"/>
            <w:tcBorders>
              <w:top w:val="single" w:color="000000" w:sz="4" w:space="0"/>
              <w:left w:val="single" w:color="000000" w:sz="4" w:space="0"/>
              <w:bottom w:val="single" w:color="000000" w:sz="4" w:space="0"/>
              <w:right w:val="single" w:color="000000" w:sz="4" w:space="0"/>
            </w:tcBorders>
            <w:tcW w:w="855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杂品库</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六门冰箱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1800*700*1880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0"/>
        </w:trPr>
        <w:tc>
          <w:tcPr>
            <w:gridSpan w:val="5"/>
            <w:shd w:val="clear" w:color="auto" w:fill="bfbfbf"/>
            <w:tcBorders>
              <w:top w:val="single" w:color="000000" w:sz="4" w:space="0"/>
              <w:left w:val="single" w:color="000000" w:sz="4" w:space="0"/>
              <w:bottom w:val="single" w:color="000000" w:sz="4" w:space="0"/>
              <w:right w:val="single" w:color="000000" w:sz="4" w:space="0"/>
            </w:tcBorders>
            <w:tcW w:w="855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主食库</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地架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1300*900*300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除湿机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255*220*450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灭火箱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350*180*500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0"/>
        </w:trPr>
        <w:tc>
          <w:tcPr>
            <w:gridSpan w:val="5"/>
            <w:shd w:val="clear" w:color="auto" w:fill="bfbfbf"/>
            <w:tcBorders>
              <w:top w:val="single" w:color="000000" w:sz="4" w:space="0"/>
              <w:left w:val="single" w:color="000000" w:sz="4" w:space="0"/>
              <w:bottom w:val="single" w:color="000000" w:sz="4" w:space="0"/>
              <w:right w:val="single" w:color="000000" w:sz="4" w:space="0"/>
            </w:tcBorders>
            <w:tcW w:w="855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调料库</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1200*500*1800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1500*500*1800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除湿机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255*220*450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灭火箱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350*180*500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0"/>
        </w:trPr>
        <w:tc>
          <w:tcPr>
            <w:gridSpan w:val="5"/>
            <w:shd w:val="clear" w:color="auto" w:fill="bfbfbf"/>
            <w:tcBorders>
              <w:top w:val="single" w:color="000000" w:sz="4" w:space="0"/>
              <w:left w:val="single" w:color="000000" w:sz="4" w:space="0"/>
              <w:bottom w:val="single" w:color="000000" w:sz="4" w:space="0"/>
              <w:right w:val="single" w:color="000000" w:sz="4" w:space="0"/>
            </w:tcBorders>
            <w:tcW w:w="855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粗加工</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清洗去皮机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1100*700*960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双层格栅工作台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砧板刀具消毒柜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600*600*1200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单星水池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1200*750*800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双星水池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1800*750*800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双星水池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1500*750*800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绞肉机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630*450*1000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单层挂墙架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1200*300*300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开水器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双层格栅工作台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1500*760*800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双层格栅工作台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双层格栅工作台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1800*900*800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立式双速活面机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活动地架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1100*500*180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四层格栅货架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1500*600*1750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单星水池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1200*650*800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单层工作台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1800*900*800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切菜机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HCQ-601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0"/>
        </w:trPr>
        <w:tc>
          <w:tcPr>
            <w:gridSpan w:val="5"/>
            <w:shd w:val="clear" w:color="auto" w:fill="bfbfbf"/>
            <w:tcBorders>
              <w:top w:val="single" w:color="000000" w:sz="4" w:space="0"/>
              <w:left w:val="single" w:color="000000" w:sz="4" w:space="0"/>
              <w:bottom w:val="single" w:color="000000" w:sz="4" w:space="0"/>
              <w:right w:val="single" w:color="000000" w:sz="4" w:space="0"/>
            </w:tcBorders>
            <w:tcW w:w="855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男更衣间</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三格更衣柜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900*500*1850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0"/>
        </w:trPr>
        <w:tc>
          <w:tcPr>
            <w:gridSpan w:val="5"/>
            <w:shd w:val="clear" w:color="auto" w:fill="bfbfbf"/>
            <w:tcBorders>
              <w:top w:val="single" w:color="000000" w:sz="4" w:space="0"/>
              <w:left w:val="single" w:color="000000" w:sz="4" w:space="0"/>
              <w:bottom w:val="single" w:color="000000" w:sz="4" w:space="0"/>
              <w:right w:val="single" w:color="000000" w:sz="4" w:space="0"/>
            </w:tcBorders>
            <w:tcW w:w="855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女更衣间</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三格更衣柜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900*500*1850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四格更衣柜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860*400*1800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0"/>
        </w:trPr>
        <w:tc>
          <w:tcPr>
            <w:gridSpan w:val="5"/>
            <w:shd w:val="clear" w:color="auto" w:fill="bfbfbf"/>
            <w:tcBorders>
              <w:top w:val="single" w:color="000000" w:sz="4" w:space="0"/>
              <w:left w:val="single" w:color="000000" w:sz="4" w:space="0"/>
              <w:bottom w:val="single" w:color="000000" w:sz="4" w:space="0"/>
              <w:right w:val="single" w:color="000000" w:sz="4" w:space="0"/>
            </w:tcBorders>
            <w:tcW w:w="855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主厨房</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燃气汤锅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L=1600/φ1000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双眼大锅灶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2100*1150*800+400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单星水池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1000*750*800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四层格栅货架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1200*460*1800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三门热风循环消毒柜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1800*850*1980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双层格栅工作台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2200*1100*800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双移门工作柜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2200*1100*800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双层格栅工作台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1800*900*800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油烟净化一体机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14900*1300*900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后倾高压双吸式低噪音离心风机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1550*1110*1160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静电式油烟净化器+活性炭去味装置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25000m³/h</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不锈钢风管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r>
      <w:tr>
        <w:trPr>
          <w:trHeight w:val="600"/>
        </w:trPr>
        <w:tc>
          <w:tcPr>
            <w:gridSpan w:val="5"/>
            <w:shd w:val="clear" w:color="auto" w:fill="bfbfbf"/>
            <w:tcBorders>
              <w:top w:val="single" w:color="000000" w:sz="4" w:space="0"/>
              <w:left w:val="single" w:color="000000" w:sz="4" w:space="0"/>
              <w:bottom w:val="single" w:color="000000" w:sz="4" w:space="0"/>
              <w:right w:val="single" w:color="000000" w:sz="4" w:space="0"/>
            </w:tcBorders>
            <w:tcW w:w="855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学生售餐间</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五格保温台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1780*680*800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双层格栅工作台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0"/>
        </w:trPr>
        <w:tc>
          <w:tcPr>
            <w:gridSpan w:val="5"/>
            <w:shd w:val="clear" w:color="auto" w:fill="bfbfb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洗碗间/消毒间</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洗地龙头</w:t>
            </w:r>
            <w:r/>
          </w:p>
        </w:tc>
        <w:tc>
          <w:tcPr>
            <w:shd w:val="clear" w:color="auto" w:fill="auto"/>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10.7M</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大单星水池</w:t>
            </w:r>
            <w:r/>
          </w:p>
        </w:tc>
        <w:tc>
          <w:tcPr>
            <w:shd w:val="clear" w:color="auto" w:fill="auto"/>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1200*800*800/150</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单门消毒柜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570*470*1705</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双门热风循环消毒柜</w:t>
            </w:r>
            <w:r/>
          </w:p>
        </w:tc>
        <w:tc>
          <w:tcPr>
            <w:shd w:val="clear" w:color="auto" w:fill="auto"/>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1310*660*1960</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0"/>
        </w:trPr>
        <w:tc>
          <w:tcPr>
            <w:gridSpan w:val="5"/>
            <w:shd w:val="clear" w:color="auto" w:fill="bfbfb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二次更衣间/售餐间</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膝顶式洗手星盆</w:t>
            </w:r>
            <w:r/>
          </w:p>
        </w:tc>
        <w:tc>
          <w:tcPr>
            <w:shd w:val="clear" w:color="auto" w:fill="auto"/>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450*450*270/150</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五格保温台</w:t>
            </w:r>
            <w:r/>
          </w:p>
        </w:tc>
        <w:tc>
          <w:tcPr>
            <w:shd w:val="clear" w:color="auto" w:fill="auto"/>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1800*700*800</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电热暖汤饭台</w:t>
            </w:r>
            <w:r/>
          </w:p>
        </w:tc>
        <w:tc>
          <w:tcPr>
            <w:shd w:val="clear" w:color="auto" w:fill="auto"/>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600*700*800</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简易工作台下栅格</w:t>
            </w:r>
            <w:r/>
          </w:p>
        </w:tc>
        <w:tc>
          <w:tcPr>
            <w:shd w:val="clear" w:color="auto" w:fill="auto"/>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1200*700*800</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单层拼台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400*560*800</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简易工作台下栅格</w:t>
            </w:r>
            <w:r/>
          </w:p>
        </w:tc>
        <w:tc>
          <w:tcPr>
            <w:shd w:val="clear" w:color="auto" w:fill="auto"/>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0</wp:posOffset>
                      </wp:positionH>
                      <wp:positionV relativeFrom="paragraph">
                        <wp:posOffset>0</wp:posOffset>
                      </wp:positionV>
                      <wp:extent cx="1631950" cy="217170"/>
                      <wp:effectExtent l="0" t="0" r="0" b="0"/>
                      <wp:wrapNone/>
                      <wp:docPr id="4" name="Picture_26"/>
                      <wp:cNvGraphicFramePr/>
                      <a:graphic xmlns:a="http://schemas.openxmlformats.org/drawingml/2006/main">
                        <a:graphicData uri="http://schemas.openxmlformats.org/drawingml/2006/picture">
                          <pic:pic xmlns:pic="http://schemas.openxmlformats.org/drawingml/2006/picture">
                            <pic:nvPicPr>
                              <pic:cNvPr id="57" name="Picture_26"/>
                              <pic:cNvPicPr/>
                              <pic:nvPr/>
                            </pic:nvPicPr>
                            <pic:blipFill>
                              <a:blip r:embed="rId15"/>
                              <a:stretch/>
                            </pic:blipFill>
                            <pic:spPr bwMode="auto">
                              <a:xfrm>
                                <a:off x="0" y="0"/>
                                <a:ext cx="1631950" cy="2171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71552;o:allowoverlap:true;o:allowincell:true;mso-position-horizontal-relative:text;margin-left:0.0pt;mso-position-horizontal:absolute;mso-position-vertical-relative:text;margin-top:0.0pt;mso-position-vertical:absolute;width:128.5pt;height:17.1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0</wp:posOffset>
                      </wp:positionH>
                      <wp:positionV relativeFrom="paragraph">
                        <wp:posOffset>0</wp:posOffset>
                      </wp:positionV>
                      <wp:extent cx="1631950" cy="217170"/>
                      <wp:effectExtent l="0" t="0" r="0" b="0"/>
                      <wp:wrapNone/>
                      <wp:docPr id="5" name="Picture_26_SpCnt_1"/>
                      <wp:cNvGraphicFramePr/>
                      <a:graphic xmlns:a="http://schemas.openxmlformats.org/drawingml/2006/main">
                        <a:graphicData uri="http://schemas.openxmlformats.org/drawingml/2006/picture">
                          <pic:pic xmlns:pic="http://schemas.openxmlformats.org/drawingml/2006/picture">
                            <pic:nvPicPr>
                              <pic:cNvPr id="60" name="Picture_26_SpCnt_1"/>
                              <pic:cNvPicPr/>
                              <pic:nvPr/>
                            </pic:nvPicPr>
                            <pic:blipFill>
                              <a:blip r:embed="rId15"/>
                              <a:stretch/>
                            </pic:blipFill>
                            <pic:spPr bwMode="auto">
                              <a:xfrm>
                                <a:off x="0" y="0"/>
                                <a:ext cx="1631950" cy="2171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71552;o:allowoverlap:true;o:allowincell:true;mso-position-horizontal-relative:text;margin-left:0.0pt;mso-position-horizontal:absolute;mso-position-vertical-relative:text;margin-top:0.0pt;mso-position-vertical:absolute;width:128.5pt;height:17.1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0</wp:posOffset>
                      </wp:positionH>
                      <wp:positionV relativeFrom="paragraph">
                        <wp:posOffset>0</wp:posOffset>
                      </wp:positionV>
                      <wp:extent cx="1631950" cy="214630"/>
                      <wp:effectExtent l="0" t="0" r="0" b="0"/>
                      <wp:wrapNone/>
                      <wp:docPr id="6" name="Picture_26_SpCnt_2"/>
                      <wp:cNvGraphicFramePr/>
                      <a:graphic xmlns:a="http://schemas.openxmlformats.org/drawingml/2006/main">
                        <a:graphicData uri="http://schemas.openxmlformats.org/drawingml/2006/picture">
                          <pic:pic xmlns:pic="http://schemas.openxmlformats.org/drawingml/2006/picture">
                            <pic:nvPicPr>
                              <pic:cNvPr id="53" name="Picture_26_SpCnt_2"/>
                              <pic:cNvPicPr/>
                              <pic:nvPr/>
                            </pic:nvPicPr>
                            <pic:blipFill>
                              <a:blip r:embed="rId15"/>
                              <a:stretch/>
                            </pic:blipFill>
                            <pic:spPr bwMode="auto">
                              <a:xfrm>
                                <a:off x="0" y="0"/>
                                <a:ext cx="1631950" cy="2146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71552;o:allowoverlap:true;o:allowincell:true;mso-position-horizontal-relative:text;margin-left:0.0pt;mso-position-horizontal:absolute;mso-position-vertical-relative:text;margin-top:0.0pt;mso-position-vertical:absolute;width:128.5pt;height:16.9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0</wp:posOffset>
                      </wp:positionH>
                      <wp:positionV relativeFrom="paragraph">
                        <wp:posOffset>0</wp:posOffset>
                      </wp:positionV>
                      <wp:extent cx="1631950" cy="214630"/>
                      <wp:effectExtent l="0" t="0" r="0" b="0"/>
                      <wp:wrapNone/>
                      <wp:docPr id="7" name="Picture_26_SpCnt_3"/>
                      <wp:cNvGraphicFramePr/>
                      <a:graphic xmlns:a="http://schemas.openxmlformats.org/drawingml/2006/main">
                        <a:graphicData uri="http://schemas.openxmlformats.org/drawingml/2006/picture">
                          <pic:pic xmlns:pic="http://schemas.openxmlformats.org/drawingml/2006/picture">
                            <pic:nvPicPr>
                              <pic:cNvPr id="61" name="Picture_26_SpCnt_3"/>
                              <pic:cNvPicPr/>
                              <pic:nvPr/>
                            </pic:nvPicPr>
                            <pic:blipFill>
                              <a:blip r:embed="rId15"/>
                              <a:stretch/>
                            </pic:blipFill>
                            <pic:spPr bwMode="auto">
                              <a:xfrm>
                                <a:off x="0" y="0"/>
                                <a:ext cx="1631950" cy="2146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71552;o:allowoverlap:true;o:allowincell:true;mso-position-horizontal-relative:text;margin-left:0.0pt;mso-position-horizontal:absolute;mso-position-vertical-relative:text;margin-top:0.0pt;mso-position-vertical:absolute;width:128.5pt;height:16.9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0</wp:posOffset>
                      </wp:positionH>
                      <wp:positionV relativeFrom="paragraph">
                        <wp:posOffset>0</wp:posOffset>
                      </wp:positionV>
                      <wp:extent cx="1631950" cy="214630"/>
                      <wp:effectExtent l="0" t="0" r="0" b="0"/>
                      <wp:wrapNone/>
                      <wp:docPr id="8" name="Picture_26_SpCnt_4"/>
                      <wp:cNvGraphicFramePr/>
                      <a:graphic xmlns:a="http://schemas.openxmlformats.org/drawingml/2006/main">
                        <a:graphicData uri="http://schemas.openxmlformats.org/drawingml/2006/picture">
                          <pic:pic xmlns:pic="http://schemas.openxmlformats.org/drawingml/2006/picture">
                            <pic:nvPicPr>
                              <pic:cNvPr id="63" name="Picture_26_SpCnt_4"/>
                              <pic:cNvPicPr/>
                              <pic:nvPr/>
                            </pic:nvPicPr>
                            <pic:blipFill>
                              <a:blip r:embed="rId15"/>
                              <a:stretch/>
                            </pic:blipFill>
                            <pic:spPr bwMode="auto">
                              <a:xfrm>
                                <a:off x="0" y="0"/>
                                <a:ext cx="1631950" cy="2146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71552;o:allowoverlap:true;o:allowincell:true;mso-position-horizontal-relative:text;margin-left:0.0pt;mso-position-horizontal:absolute;mso-position-vertical-relative:text;margin-top:0.0pt;mso-position-vertical:absolute;width:128.5pt;height:16.9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0</wp:posOffset>
                      </wp:positionH>
                      <wp:positionV relativeFrom="paragraph">
                        <wp:posOffset>0</wp:posOffset>
                      </wp:positionV>
                      <wp:extent cx="1631950" cy="214630"/>
                      <wp:effectExtent l="0" t="0" r="0" b="0"/>
                      <wp:wrapNone/>
                      <wp:docPr id="9" name="Picture_26_SpCnt_5"/>
                      <wp:cNvGraphicFramePr/>
                      <a:graphic xmlns:a="http://schemas.openxmlformats.org/drawingml/2006/main">
                        <a:graphicData uri="http://schemas.openxmlformats.org/drawingml/2006/picture">
                          <pic:pic xmlns:pic="http://schemas.openxmlformats.org/drawingml/2006/picture">
                            <pic:nvPicPr>
                              <pic:cNvPr id="62" name="Picture_26_SpCnt_5"/>
                              <pic:cNvPicPr/>
                              <pic:nvPr/>
                            </pic:nvPicPr>
                            <pic:blipFill>
                              <a:blip r:embed="rId15"/>
                              <a:stretch/>
                            </pic:blipFill>
                            <pic:spPr bwMode="auto">
                              <a:xfrm>
                                <a:off x="0" y="0"/>
                                <a:ext cx="1631950" cy="2146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71552;o:allowoverlap:true;o:allowincell:true;mso-position-horizontal-relative:text;margin-left:0.0pt;mso-position-horizontal:absolute;mso-position-vertical-relative:text;margin-top:0.0pt;mso-position-vertical:absolute;width:128.5pt;height:16.9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0</wp:posOffset>
                      </wp:positionH>
                      <wp:positionV relativeFrom="paragraph">
                        <wp:posOffset>0</wp:posOffset>
                      </wp:positionV>
                      <wp:extent cx="1631950" cy="214630"/>
                      <wp:effectExtent l="0" t="0" r="0" b="0"/>
                      <wp:wrapNone/>
                      <wp:docPr id="10" name="Picture_26_SpCnt_6"/>
                      <wp:cNvGraphicFramePr/>
                      <a:graphic xmlns:a="http://schemas.openxmlformats.org/drawingml/2006/main">
                        <a:graphicData uri="http://schemas.openxmlformats.org/drawingml/2006/picture">
                          <pic:pic xmlns:pic="http://schemas.openxmlformats.org/drawingml/2006/picture">
                            <pic:nvPicPr>
                              <pic:cNvPr id="64" name="Picture_26_SpCnt_6"/>
                              <pic:cNvPicPr/>
                              <pic:nvPr/>
                            </pic:nvPicPr>
                            <pic:blipFill>
                              <a:blip r:embed="rId15"/>
                              <a:stretch/>
                            </pic:blipFill>
                            <pic:spPr bwMode="auto">
                              <a:xfrm>
                                <a:off x="0" y="0"/>
                                <a:ext cx="1631950" cy="2146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71552;o:allowoverlap:true;o:allowincell:true;mso-position-horizontal-relative:text;margin-left:0.0pt;mso-position-horizontal:absolute;mso-position-vertical-relative:text;margin-top:0.0pt;mso-position-vertical:absolute;width:128.5pt;height:16.9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0</wp:posOffset>
                      </wp:positionH>
                      <wp:positionV relativeFrom="paragraph">
                        <wp:posOffset>0</wp:posOffset>
                      </wp:positionV>
                      <wp:extent cx="1631950" cy="214630"/>
                      <wp:effectExtent l="0" t="0" r="0" b="0"/>
                      <wp:wrapNone/>
                      <wp:docPr id="11" name="Picture_26_SpCnt_7"/>
                      <wp:cNvGraphicFramePr/>
                      <a:graphic xmlns:a="http://schemas.openxmlformats.org/drawingml/2006/main">
                        <a:graphicData uri="http://schemas.openxmlformats.org/drawingml/2006/picture">
                          <pic:pic xmlns:pic="http://schemas.openxmlformats.org/drawingml/2006/picture">
                            <pic:nvPicPr>
                              <pic:cNvPr id="54" name="Picture_26_SpCnt_7"/>
                              <pic:cNvPicPr/>
                              <pic:nvPr/>
                            </pic:nvPicPr>
                            <pic:blipFill>
                              <a:blip r:embed="rId15"/>
                              <a:stretch/>
                            </pic:blipFill>
                            <pic:spPr bwMode="auto">
                              <a:xfrm>
                                <a:off x="0" y="0"/>
                                <a:ext cx="1631950" cy="2146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71552;o:allowoverlap:true;o:allowincell:true;mso-position-horizontal-relative:text;margin-left:0.0pt;mso-position-horizontal:absolute;mso-position-vertical-relative:text;margin-top:0.0pt;mso-position-vertical:absolute;width:128.5pt;height:16.9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0</wp:posOffset>
                      </wp:positionH>
                      <wp:positionV relativeFrom="paragraph">
                        <wp:posOffset>0</wp:posOffset>
                      </wp:positionV>
                      <wp:extent cx="1631950" cy="214630"/>
                      <wp:effectExtent l="0" t="0" r="0" b="0"/>
                      <wp:wrapNone/>
                      <wp:docPr id="12" name="Picture_26_SpCnt_8"/>
                      <wp:cNvGraphicFramePr/>
                      <a:graphic xmlns:a="http://schemas.openxmlformats.org/drawingml/2006/main">
                        <a:graphicData uri="http://schemas.openxmlformats.org/drawingml/2006/picture">
                          <pic:pic xmlns:pic="http://schemas.openxmlformats.org/drawingml/2006/picture">
                            <pic:nvPicPr>
                              <pic:cNvPr id="55" name="Picture_26_SpCnt_8"/>
                              <pic:cNvPicPr/>
                              <pic:nvPr/>
                            </pic:nvPicPr>
                            <pic:blipFill>
                              <a:blip r:embed="rId15"/>
                              <a:stretch/>
                            </pic:blipFill>
                            <pic:spPr bwMode="auto">
                              <a:xfrm>
                                <a:off x="0" y="0"/>
                                <a:ext cx="1631950" cy="2146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71552;o:allowoverlap:true;o:allowincell:true;mso-position-horizontal-relative:text;margin-left:0.0pt;mso-position-horizontal:absolute;mso-position-vertical-relative:text;margin-top:0.0pt;mso-position-vertical:absolute;width:128.5pt;height:16.9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0</wp:posOffset>
                      </wp:positionH>
                      <wp:positionV relativeFrom="paragraph">
                        <wp:posOffset>0</wp:posOffset>
                      </wp:positionV>
                      <wp:extent cx="1631950" cy="214630"/>
                      <wp:effectExtent l="0" t="0" r="0" b="0"/>
                      <wp:wrapNone/>
                      <wp:docPr id="13" name="Picture_26_SpCnt_9"/>
                      <wp:cNvGraphicFramePr/>
                      <a:graphic xmlns:a="http://schemas.openxmlformats.org/drawingml/2006/main">
                        <a:graphicData uri="http://schemas.openxmlformats.org/drawingml/2006/picture">
                          <pic:pic xmlns:pic="http://schemas.openxmlformats.org/drawingml/2006/picture">
                            <pic:nvPicPr>
                              <pic:cNvPr id="56" name="Picture_26_SpCnt_9"/>
                              <pic:cNvPicPr/>
                              <pic:nvPr/>
                            </pic:nvPicPr>
                            <pic:blipFill>
                              <a:blip r:embed="rId15"/>
                              <a:stretch/>
                            </pic:blipFill>
                            <pic:spPr bwMode="auto">
                              <a:xfrm>
                                <a:off x="0" y="0"/>
                                <a:ext cx="1631950" cy="21463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71552;o:allowoverlap:true;o:allowincell:true;mso-position-horizontal-relative:text;margin-left:0.0pt;mso-position-horizontal:absolute;mso-position-vertical-relative:text;margin-top:0.0pt;mso-position-vertical:absolute;width:128.5pt;height:16.9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0</wp:posOffset>
                      </wp:positionH>
                      <wp:positionV relativeFrom="paragraph">
                        <wp:posOffset>0</wp:posOffset>
                      </wp:positionV>
                      <wp:extent cx="1631950" cy="214630"/>
                      <wp:effectExtent l="0" t="0" r="0" b="0"/>
                      <wp:wrapNone/>
                      <wp:docPr id="14" name="Picture_26_SpCnt_10"/>
                      <wp:cNvGraphicFramePr/>
                      <a:graphic xmlns:a="http://schemas.openxmlformats.org/drawingml/2006/main">
                        <a:graphicData uri="http://schemas.openxmlformats.org/drawingml/2006/picture">
                          <pic:pic xmlns:pic="http://schemas.openxmlformats.org/drawingml/2006/picture">
                            <pic:nvPicPr>
                              <pic:cNvPr id="58" name="Picture_26_SpCnt_10"/>
                              <pic:cNvPicPr/>
                              <pic:nvPr/>
                            </pic:nvPicPr>
                            <pic:blipFill>
                              <a:blip r:embed="rId15"/>
                              <a:stretch/>
                            </pic:blipFill>
                            <pic:spPr bwMode="auto">
                              <a:xfrm>
                                <a:off x="0" y="0"/>
                                <a:ext cx="1631950" cy="2146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71552;o:allowoverlap:true;o:allowincell:true;mso-position-horizontal-relative:text;margin-left:0.0pt;mso-position-horizontal:absolute;mso-position-vertical-relative:text;margin-top:0.0pt;mso-position-vertical:absolute;width:128.5pt;height:16.9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0</wp:posOffset>
                      </wp:positionH>
                      <wp:positionV relativeFrom="paragraph">
                        <wp:posOffset>0</wp:posOffset>
                      </wp:positionV>
                      <wp:extent cx="1631950" cy="214630"/>
                      <wp:effectExtent l="0" t="0" r="0" b="0"/>
                      <wp:wrapNone/>
                      <wp:docPr id="15" name="Picture_26_SpCnt_11"/>
                      <wp:cNvGraphicFramePr/>
                      <a:graphic xmlns:a="http://schemas.openxmlformats.org/drawingml/2006/main">
                        <a:graphicData uri="http://schemas.openxmlformats.org/drawingml/2006/picture">
                          <pic:pic xmlns:pic="http://schemas.openxmlformats.org/drawingml/2006/picture">
                            <pic:nvPicPr>
                              <pic:cNvPr id="59" name="Picture_26_SpCnt_11"/>
                              <pic:cNvPicPr/>
                              <pic:nvPr/>
                            </pic:nvPicPr>
                            <pic:blipFill>
                              <a:blip r:embed="rId15"/>
                              <a:stretch/>
                            </pic:blipFill>
                            <pic:spPr bwMode="auto">
                              <a:xfrm>
                                <a:off x="0" y="0"/>
                                <a:ext cx="1631950" cy="21463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71552;o:allowoverlap:true;o:allowincell:true;mso-position-horizontal-relative:text;margin-left:0.0pt;mso-position-horizontal:absolute;mso-position-vertical-relative:text;margin-top:0.0pt;mso-position-vertical:absolute;width:128.5pt;height:16.9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0</wp:posOffset>
                      </wp:positionH>
                      <wp:positionV relativeFrom="paragraph">
                        <wp:posOffset>0</wp:posOffset>
                      </wp:positionV>
                      <wp:extent cx="1631950" cy="214630"/>
                      <wp:effectExtent l="0" t="0" r="0" b="0"/>
                      <wp:wrapNone/>
                      <wp:docPr id="16" name="Picture_26_SpCnt_12"/>
                      <wp:cNvGraphicFramePr/>
                      <a:graphic xmlns:a="http://schemas.openxmlformats.org/drawingml/2006/main">
                        <a:graphicData uri="http://schemas.openxmlformats.org/drawingml/2006/picture">
                          <pic:pic xmlns:pic="http://schemas.openxmlformats.org/drawingml/2006/picture">
                            <pic:nvPicPr>
                              <pic:cNvPr id="49" name="Picture_26_SpCnt_12"/>
                              <pic:cNvPicPr/>
                              <pic:nvPr/>
                            </pic:nvPicPr>
                            <pic:blipFill>
                              <a:blip r:embed="rId15"/>
                              <a:stretch/>
                            </pic:blipFill>
                            <pic:spPr bwMode="auto">
                              <a:xfrm>
                                <a:off x="0" y="0"/>
                                <a:ext cx="1631950" cy="2146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71552;o:allowoverlap:true;o:allowincell:true;mso-position-horizontal-relative:text;margin-left:0.0pt;mso-position-horizontal:absolute;mso-position-vertical-relative:text;margin-top:0.0pt;mso-position-vertical:absolute;width:128.5pt;height:16.9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0</wp:posOffset>
                      </wp:positionH>
                      <wp:positionV relativeFrom="paragraph">
                        <wp:posOffset>0</wp:posOffset>
                      </wp:positionV>
                      <wp:extent cx="1631950" cy="214630"/>
                      <wp:effectExtent l="0" t="0" r="0" b="0"/>
                      <wp:wrapNone/>
                      <wp:docPr id="17" name="Picture_26_SpCnt_13"/>
                      <wp:cNvGraphicFramePr/>
                      <a:graphic xmlns:a="http://schemas.openxmlformats.org/drawingml/2006/main">
                        <a:graphicData uri="http://schemas.openxmlformats.org/drawingml/2006/picture">
                          <pic:pic xmlns:pic="http://schemas.openxmlformats.org/drawingml/2006/picture">
                            <pic:nvPicPr>
                              <pic:cNvPr id="52" name="Picture_26_SpCnt_13"/>
                              <pic:cNvPicPr/>
                              <pic:nvPr/>
                            </pic:nvPicPr>
                            <pic:blipFill>
                              <a:blip r:embed="rId15"/>
                              <a:stretch/>
                            </pic:blipFill>
                            <pic:spPr bwMode="auto">
                              <a:xfrm>
                                <a:off x="0" y="0"/>
                                <a:ext cx="1631950" cy="2146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71552;o:allowoverlap:true;o:allowincell:true;mso-position-horizontal-relative:text;margin-left:0.0pt;mso-position-horizontal:absolute;mso-position-vertical-relative:text;margin-top:0.0pt;mso-position-vertical:absolute;width:128.5pt;height:16.9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0</wp:posOffset>
                      </wp:positionH>
                      <wp:positionV relativeFrom="paragraph">
                        <wp:posOffset>0</wp:posOffset>
                      </wp:positionV>
                      <wp:extent cx="1631950" cy="217170"/>
                      <wp:effectExtent l="0" t="0" r="0" b="0"/>
                      <wp:wrapNone/>
                      <wp:docPr id="18" name="Picture_26_SpCnt_14"/>
                      <wp:cNvGraphicFramePr/>
                      <a:graphic xmlns:a="http://schemas.openxmlformats.org/drawingml/2006/main">
                        <a:graphicData uri="http://schemas.openxmlformats.org/drawingml/2006/picture">
                          <pic:pic xmlns:pic="http://schemas.openxmlformats.org/drawingml/2006/picture">
                            <pic:nvPicPr>
                              <pic:cNvPr id="50" name="Picture_26_SpCnt_14"/>
                              <pic:cNvPicPr/>
                              <pic:nvPr/>
                            </pic:nvPicPr>
                            <pic:blipFill>
                              <a:blip r:embed="rId15"/>
                              <a:stretch/>
                            </pic:blipFill>
                            <pic:spPr bwMode="auto">
                              <a:xfrm>
                                <a:off x="0" y="0"/>
                                <a:ext cx="1631950" cy="2171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71552;o:allowoverlap:true;o:allowincell:true;mso-position-horizontal-relative:text;margin-left:0.0pt;mso-position-horizontal:absolute;mso-position-vertical-relative:text;margin-top:0.0pt;mso-position-vertical:absolute;width:128.5pt;height:17.1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0</wp:posOffset>
                      </wp:positionH>
                      <wp:positionV relativeFrom="paragraph">
                        <wp:posOffset>0</wp:posOffset>
                      </wp:positionV>
                      <wp:extent cx="1631950" cy="217170"/>
                      <wp:effectExtent l="0" t="0" r="0" b="0"/>
                      <wp:wrapNone/>
                      <wp:docPr id="19" name="Picture_26_SpCnt_15"/>
                      <wp:cNvGraphicFramePr/>
                      <a:graphic xmlns:a="http://schemas.openxmlformats.org/drawingml/2006/main">
                        <a:graphicData uri="http://schemas.openxmlformats.org/drawingml/2006/picture">
                          <pic:pic xmlns:pic="http://schemas.openxmlformats.org/drawingml/2006/picture">
                            <pic:nvPicPr>
                              <pic:cNvPr id="51" name="Picture_26_SpCnt_15"/>
                              <pic:cNvPicPr/>
                              <pic:nvPr/>
                            </pic:nvPicPr>
                            <pic:blipFill>
                              <a:blip r:embed="rId15"/>
                              <a:stretch/>
                            </pic:blipFill>
                            <pic:spPr bwMode="auto">
                              <a:xfrm>
                                <a:off x="0" y="0"/>
                                <a:ext cx="1631950" cy="2171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71552;o:allowoverlap:true;o:allowincell:true;mso-position-horizontal-relative:text;margin-left:0.0pt;mso-position-horizontal:absolute;mso-position-vertical-relative:text;margin-top:0.0pt;mso-position-vertical:absolute;width:128.5pt;height:17.1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i w:val="0"/>
                <w:iCs w:val="0"/>
                <w:color w:val="auto"/>
                <w:sz w:val="21"/>
                <w:szCs w:val="21"/>
                <w:highlight w:val="none"/>
                <w:u w:val="none"/>
                <w:lang w:val="en-US" w:eastAsia="zh-CN" w:bidi="ar"/>
              </w:rPr>
              <w:t xml:space="preserve">1800*700*800</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双门热风循环消毒柜</w:t>
            </w:r>
            <w:r/>
          </w:p>
        </w:tc>
        <w:tc>
          <w:tcPr>
            <w:shd w:val="clear" w:color="auto" w:fill="auto"/>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1310*660*1960</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四格保温台</w:t>
            </w:r>
            <w:r/>
          </w:p>
        </w:tc>
        <w:tc>
          <w:tcPr>
            <w:shd w:val="clear" w:color="auto" w:fill="auto"/>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1500*700*800</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简易工作台下栅格</w:t>
            </w:r>
            <w:r/>
          </w:p>
        </w:tc>
        <w:tc>
          <w:tcPr>
            <w:shd w:val="clear" w:color="auto" w:fill="auto"/>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1500*700*800</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单星水池</w:t>
            </w:r>
            <w:r/>
          </w:p>
        </w:tc>
        <w:tc>
          <w:tcPr>
            <w:shd w:val="clear" w:color="auto" w:fill="auto"/>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600*700*800/150</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蒸笼三角架</w:t>
            </w:r>
            <w:r/>
          </w:p>
        </w:tc>
        <w:tc>
          <w:tcPr>
            <w:shd w:val="clear" w:color="auto" w:fill="auto"/>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φ80</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蒸笼(五层一帽)</w:t>
            </w:r>
            <w:r/>
          </w:p>
        </w:tc>
        <w:tc>
          <w:tcPr>
            <w:shd w:val="clear" w:color="auto" w:fill="auto"/>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φ80</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0"/>
        </w:trPr>
        <w:tc>
          <w:tcPr>
            <w:gridSpan w:val="5"/>
            <w:shd w:val="clear" w:color="auto" w:fill="bfbfb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餐厅</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定制汤饭台带推车</w:t>
            </w:r>
            <w:r/>
          </w:p>
        </w:tc>
        <w:tc>
          <w:tcPr>
            <w:shd w:val="clear" w:color="auto" w:fill="auto"/>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800*800*800</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餐具回收车</w:t>
            </w:r>
            <w:r/>
          </w:p>
        </w:tc>
        <w:tc>
          <w:tcPr>
            <w:shd w:val="clear" w:color="auto" w:fill="auto"/>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1480*780*1100</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双孔收餐柜（方孔）</w:t>
            </w:r>
            <w:r/>
          </w:p>
        </w:tc>
        <w:tc>
          <w:tcPr>
            <w:shd w:val="clear" w:color="auto" w:fill="auto"/>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1200*600*1100</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0"/>
        </w:trPr>
        <w:tc>
          <w:tcPr>
            <w:gridSpan w:val="5"/>
            <w:shd w:val="clear" w:color="auto" w:fill="bfbfb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学生售餐间</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商用豆浆机米糊机</w:t>
            </w:r>
            <w:r/>
          </w:p>
        </w:tc>
        <w:tc>
          <w:tcPr>
            <w:shd w:val="clear" w:color="auto" w:fill="auto"/>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HY500b-G50</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集气罩</w:t>
            </w:r>
            <w:r/>
          </w:p>
        </w:tc>
        <w:tc>
          <w:tcPr>
            <w:shd w:val="clear" w:color="auto" w:fill="auto"/>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2000*1200*550</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餐具回收车</w:t>
            </w:r>
            <w:r/>
          </w:p>
        </w:tc>
        <w:tc>
          <w:tcPr>
            <w:shd w:val="clear" w:color="auto" w:fill="auto"/>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1860*700*750/150</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三层六盘烤箱</w:t>
            </w:r>
            <w:r/>
          </w:p>
        </w:tc>
        <w:tc>
          <w:tcPr>
            <w:shd w:val="clear" w:color="auto" w:fill="auto"/>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1225*920*1535</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电饼铛</w:t>
            </w:r>
            <w:r/>
          </w:p>
        </w:tc>
        <w:tc>
          <w:tcPr>
            <w:shd w:val="clear" w:color="auto" w:fill="auto"/>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45型</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轴流风机</w:t>
            </w:r>
            <w:r/>
          </w:p>
        </w:tc>
        <w:tc>
          <w:tcPr>
            <w:shd w:val="clear" w:color="auto" w:fill="auto"/>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220V/1KW</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双动双速和面机</w:t>
            </w:r>
            <w:r/>
          </w:p>
        </w:tc>
        <w:tc>
          <w:tcPr>
            <w:shd w:val="clear" w:color="auto" w:fill="auto"/>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880*520*1040mm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压面机</w:t>
            </w:r>
            <w:r/>
          </w:p>
        </w:tc>
        <w:tc>
          <w:tcPr>
            <w:shd w:val="clear" w:color="auto" w:fill="auto"/>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560*710*1230mm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搅拌机</w:t>
            </w:r>
            <w:r/>
          </w:p>
        </w:tc>
        <w:tc>
          <w:tcPr>
            <w:shd w:val="clear" w:color="auto" w:fill="auto"/>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600*530*890mm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洗米机</w:t>
            </w:r>
            <w:r/>
          </w:p>
        </w:tc>
        <w:tc>
          <w:tcPr>
            <w:shd w:val="clear" w:color="auto" w:fill="auto"/>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φ650*φ550*H950mm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挂墙壁扇</w:t>
            </w:r>
            <w:r/>
          </w:p>
        </w:tc>
        <w:tc>
          <w:tcPr>
            <w:shd w:val="clear" w:color="auto" w:fill="auto"/>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φ400mm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L=1500MM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双层工作台</w:t>
            </w:r>
            <w:r/>
          </w:p>
        </w:tc>
        <w:tc>
          <w:tcPr>
            <w:shd w:val="clear" w:color="auto" w:fill="auto"/>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1000*750*800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电磁双眼煮面炉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1700*1000*800+400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单门醒发箱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490*750*1860/FX13A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双门平台冷柜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1800*600*800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集气罩</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3200*1000*550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轴流风机</w:t>
            </w:r>
            <w:r/>
          </w:p>
        </w:tc>
        <w:tc>
          <w:tcPr>
            <w:shd w:val="clear" w:color="auto" w:fill="auto"/>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220V/1KW</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不锈钢风管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电热蒸饭车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1030*840*1685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0"/>
        </w:trPr>
        <w:tc>
          <w:tcPr>
            <w:gridSpan w:val="5"/>
            <w:shd w:val="clear" w:color="auto" w:fill="bfbfb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二层食堂</w:t>
            </w:r>
            <w:r/>
          </w:p>
        </w:tc>
      </w:tr>
      <w:tr>
        <w:trPr>
          <w:trHeight w:val="600"/>
        </w:trPr>
        <w:tc>
          <w:tcPr>
            <w:gridSpan w:val="5"/>
            <w:shd w:val="clear" w:color="auto" w:fill="bfbfb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洗碗间</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双门保温餐车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2070*700*1850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双星水池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单星水池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1200*750*800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单层工作台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860*750*800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长龙洗碗机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3300*800*1850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0"/>
        </w:trPr>
        <w:tc>
          <w:tcPr>
            <w:gridSpan w:val="5"/>
            <w:shd w:val="clear" w:color="auto" w:fill="bfbfb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蒸饭消毒间</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双门热风循环消毒柜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1300*630*1950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双门热风循环消毒柜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1500*690*1950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自动控温热水器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1600*750*1400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三星水池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1800*750*800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双门蒸饭箱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1300*830*1500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双门蒸饭箱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1100*770*1500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双门蒸饭箱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1090*750*1500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四层格栅货架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1500*600*1800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双层格栅工作台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1500*760*800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淘米机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0"/>
        </w:trPr>
        <w:tc>
          <w:tcPr>
            <w:gridSpan w:val="5"/>
            <w:shd w:val="clear" w:color="auto" w:fill="bfbfb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送新风</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中压前向多翼双吸式低噪音离心风机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1150*1010*1000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不锈钢风管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r>
    </w:tbl>
    <w:p>
      <w:pPr>
        <w:ind w:firstLine="422"/>
        <w:spacing w:line="440" w:lineRule="exact"/>
        <w:rPr>
          <w:rFonts w:hint="default" w:ascii="宋体" w:hAnsi="宋体" w:eastAsia="宋体" w:cs="宋体"/>
          <w:b/>
          <w:bCs/>
          <w:color w:val="auto"/>
          <w:sz w:val="21"/>
          <w:szCs w:val="21"/>
          <w:highlight w:val="none"/>
          <w:lang w:val="en-US" w:eastAsia="zh-CN"/>
        </w:rPr>
      </w:pPr>
      <w:r>
        <w:rPr>
          <w:rFonts w:hint="default" w:ascii="宋体" w:hAnsi="宋体" w:eastAsia="宋体" w:cs="宋体"/>
          <w:b/>
          <w:bCs/>
          <w:color w:val="auto"/>
          <w:sz w:val="21"/>
          <w:szCs w:val="21"/>
          <w:highlight w:val="none"/>
          <w:lang w:val="en-US" w:eastAsia="zh-CN"/>
        </w:rPr>
      </w:r>
      <w:r/>
    </w:p>
    <w:tbl>
      <w:tblPr>
        <w:tblStyle w:val="959"/>
        <w:tblW w:w="8549"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17"/>
        <w:gridCol w:w="3471"/>
        <w:gridCol w:w="2333"/>
        <w:gridCol w:w="1064"/>
        <w:gridCol w:w="1064"/>
      </w:tblGrid>
      <w:tr>
        <w:trPr>
          <w:trHeight w:val="601"/>
        </w:trPr>
        <w:tc>
          <w:tcPr>
            <w:gridSpan w:val="5"/>
            <w:shd w:val="clear" w:color="auto" w:fill="auto"/>
            <w:tcBorders>
              <w:top w:val="none" w:color="000000" w:sz="4" w:space="0"/>
              <w:left w:val="none" w:color="000000" w:sz="4" w:space="0"/>
              <w:bottom w:val="none" w:color="000000" w:sz="4" w:space="0"/>
              <w:right w:val="none" w:color="000000" w:sz="4" w:space="0"/>
            </w:tcBorders>
            <w:tcW w:w="9524" w:type="dxa"/>
            <w:vAlign w:val="center"/>
            <w:textDirection w:val="lrTb"/>
            <w:noWrap w:val="false"/>
          </w:tcPr>
          <w:p>
            <w:pPr>
              <w:jc w:val="left"/>
              <w:keepLines w:val="0"/>
              <w:keepNext w:val="0"/>
              <w:widowControl/>
              <w:rPr>
                <w:rFonts w:hint="eastAsia" w:ascii="宋体" w:hAnsi="宋体" w:eastAsia="宋体" w:cs="宋体"/>
                <w:b/>
                <w:bCs/>
                <w:i w:val="0"/>
                <w:iCs w:val="0"/>
                <w:color w:val="auto"/>
                <w:sz w:val="36"/>
                <w:szCs w:val="36"/>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-1133475</wp:posOffset>
                      </wp:positionH>
                      <wp:positionV relativeFrom="paragraph">
                        <wp:posOffset>-76200</wp:posOffset>
                      </wp:positionV>
                      <wp:extent cx="1633220" cy="214630"/>
                      <wp:effectExtent l="0" t="0" r="0" b="0"/>
                      <wp:wrapNone/>
                      <wp:docPr id="20" name="Picture_26_SpCnt_27"/>
                      <wp:cNvGraphicFramePr/>
                      <a:graphic xmlns:a="http://schemas.openxmlformats.org/drawingml/2006/main">
                        <a:graphicData uri="http://schemas.openxmlformats.org/drawingml/2006/picture">
                          <pic:pic xmlns:pic="http://schemas.openxmlformats.org/drawingml/2006/picture">
                            <pic:nvPicPr>
                              <pic:cNvPr id="16" name="Picture_26_SpCnt_27"/>
                              <pic:cNvPicPr/>
                              <pic:nvPr/>
                            </pic:nvPicPr>
                            <pic:blipFill>
                              <a:blip r:embed="rId15"/>
                              <a:stretch/>
                            </pic:blipFill>
                            <pic:spPr bwMode="auto">
                              <a:xfrm>
                                <a:off x="0" y="0"/>
                                <a:ext cx="1633220" cy="2146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72576;o:allowoverlap:true;o:allowincell:true;mso-position-horizontal-relative:text;margin-left:-89.2pt;mso-position-horizontal:absolute;mso-position-vertical-relative:text;margin-top:-6.0pt;mso-position-vertical:absolute;width:128.6pt;height:16.9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b/>
                <w:bCs/>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0</wp:posOffset>
                      </wp:positionH>
                      <wp:positionV relativeFrom="paragraph">
                        <wp:posOffset>0</wp:posOffset>
                      </wp:positionV>
                      <wp:extent cx="1633220" cy="216535"/>
                      <wp:effectExtent l="0" t="0" r="0" b="0"/>
                      <wp:wrapNone/>
                      <wp:docPr id="21" name="Picture_26"/>
                      <wp:cNvGraphicFramePr/>
                      <a:graphic xmlns:a="http://schemas.openxmlformats.org/drawingml/2006/main">
                        <a:graphicData uri="http://schemas.openxmlformats.org/drawingml/2006/picture">
                          <pic:pic xmlns:pic="http://schemas.openxmlformats.org/drawingml/2006/picture">
                            <pic:nvPicPr>
                              <pic:cNvPr id="17" name="Picture_26"/>
                              <pic:cNvPicPr/>
                              <pic:nvPr/>
                            </pic:nvPicPr>
                            <pic:blipFill>
                              <a:blip r:embed="rId15"/>
                              <a:stretch/>
                            </pic:blipFill>
                            <pic:spPr bwMode="auto">
                              <a:xfrm>
                                <a:off x="0" y="0"/>
                                <a:ext cx="1633220" cy="2165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72576;o:allowoverlap:true;o:allowincell:true;mso-position-horizontal-relative:text;margin-left:0.0pt;mso-position-horizontal:absolute;mso-position-vertical-relative:text;margin-top:0.0pt;mso-position-vertical:absolute;width:128.6pt;height:17.1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b/>
                <w:bCs/>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0</wp:posOffset>
                      </wp:positionH>
                      <wp:positionV relativeFrom="paragraph">
                        <wp:posOffset>0</wp:posOffset>
                      </wp:positionV>
                      <wp:extent cx="1633220" cy="216535"/>
                      <wp:effectExtent l="0" t="0" r="0" b="0"/>
                      <wp:wrapNone/>
                      <wp:docPr id="22" name="Picture_26_SpCnt_1"/>
                      <wp:cNvGraphicFramePr/>
                      <a:graphic xmlns:a="http://schemas.openxmlformats.org/drawingml/2006/main">
                        <a:graphicData uri="http://schemas.openxmlformats.org/drawingml/2006/picture">
                          <pic:pic xmlns:pic="http://schemas.openxmlformats.org/drawingml/2006/picture">
                            <pic:nvPicPr>
                              <pic:cNvPr id="18" name="Picture_26_SpCnt_1"/>
                              <pic:cNvPicPr/>
                              <pic:nvPr/>
                            </pic:nvPicPr>
                            <pic:blipFill>
                              <a:blip r:embed="rId15"/>
                              <a:stretch/>
                            </pic:blipFill>
                            <pic:spPr bwMode="auto">
                              <a:xfrm>
                                <a:off x="0" y="0"/>
                                <a:ext cx="1633220" cy="2165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72576;o:allowoverlap:true;o:allowincell:true;mso-position-horizontal-relative:text;margin-left:0.0pt;mso-position-horizontal:absolute;mso-position-vertical-relative:text;margin-top:0.0pt;mso-position-vertical:absolute;width:128.6pt;height:17.1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b/>
                <w:bCs/>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0</wp:posOffset>
                      </wp:positionH>
                      <wp:positionV relativeFrom="paragraph">
                        <wp:posOffset>0</wp:posOffset>
                      </wp:positionV>
                      <wp:extent cx="1633220" cy="214630"/>
                      <wp:effectExtent l="0" t="0" r="0" b="0"/>
                      <wp:wrapNone/>
                      <wp:docPr id="23" name="Picture_26_SpCnt_2"/>
                      <wp:cNvGraphicFramePr/>
                      <a:graphic xmlns:a="http://schemas.openxmlformats.org/drawingml/2006/main">
                        <a:graphicData uri="http://schemas.openxmlformats.org/drawingml/2006/picture">
                          <pic:pic xmlns:pic="http://schemas.openxmlformats.org/drawingml/2006/picture">
                            <pic:nvPicPr>
                              <pic:cNvPr id="67" name="Picture_26_SpCnt_2"/>
                              <pic:cNvPicPr/>
                              <pic:nvPr/>
                            </pic:nvPicPr>
                            <pic:blipFill>
                              <a:blip r:embed="rId15"/>
                              <a:stretch/>
                            </pic:blipFill>
                            <pic:spPr bwMode="auto">
                              <a:xfrm>
                                <a:off x="0" y="0"/>
                                <a:ext cx="1633220" cy="2146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72576;o:allowoverlap:true;o:allowincell:true;mso-position-horizontal-relative:text;margin-left:0.0pt;mso-position-horizontal:absolute;mso-position-vertical-relative:text;margin-top:0.0pt;mso-position-vertical:absolute;width:128.6pt;height:16.9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b/>
                <w:bCs/>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0</wp:posOffset>
                      </wp:positionH>
                      <wp:positionV relativeFrom="paragraph">
                        <wp:posOffset>0</wp:posOffset>
                      </wp:positionV>
                      <wp:extent cx="1633220" cy="214630"/>
                      <wp:effectExtent l="0" t="0" r="0" b="0"/>
                      <wp:wrapNone/>
                      <wp:docPr id="24" name="Picture_26_SpCnt_3"/>
                      <wp:cNvGraphicFramePr/>
                      <a:graphic xmlns:a="http://schemas.openxmlformats.org/drawingml/2006/main">
                        <a:graphicData uri="http://schemas.openxmlformats.org/drawingml/2006/picture">
                          <pic:pic xmlns:pic="http://schemas.openxmlformats.org/drawingml/2006/picture">
                            <pic:nvPicPr>
                              <pic:cNvPr id="19" name="Picture_26_SpCnt_3"/>
                              <pic:cNvPicPr/>
                              <pic:nvPr/>
                            </pic:nvPicPr>
                            <pic:blipFill>
                              <a:blip r:embed="rId15"/>
                              <a:stretch/>
                            </pic:blipFill>
                            <pic:spPr bwMode="auto">
                              <a:xfrm>
                                <a:off x="0" y="0"/>
                                <a:ext cx="1633220" cy="2146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72576;o:allowoverlap:true;o:allowincell:true;mso-position-horizontal-relative:text;margin-left:0.0pt;mso-position-horizontal:absolute;mso-position-vertical-relative:text;margin-top:0.0pt;mso-position-vertical:absolute;width:128.6pt;height:16.9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b/>
                <w:bCs/>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0</wp:posOffset>
                      </wp:positionH>
                      <wp:positionV relativeFrom="paragraph">
                        <wp:posOffset>0</wp:posOffset>
                      </wp:positionV>
                      <wp:extent cx="1633220" cy="214630"/>
                      <wp:effectExtent l="0" t="0" r="0" b="0"/>
                      <wp:wrapNone/>
                      <wp:docPr id="25" name="Picture_26_SpCnt_4"/>
                      <wp:cNvGraphicFramePr/>
                      <a:graphic xmlns:a="http://schemas.openxmlformats.org/drawingml/2006/main">
                        <a:graphicData uri="http://schemas.openxmlformats.org/drawingml/2006/picture">
                          <pic:pic xmlns:pic="http://schemas.openxmlformats.org/drawingml/2006/picture">
                            <pic:nvPicPr>
                              <pic:cNvPr id="20" name="Picture_26_SpCnt_4"/>
                              <pic:cNvPicPr/>
                              <pic:nvPr/>
                            </pic:nvPicPr>
                            <pic:blipFill>
                              <a:blip r:embed="rId15"/>
                              <a:stretch/>
                            </pic:blipFill>
                            <pic:spPr bwMode="auto">
                              <a:xfrm>
                                <a:off x="0" y="0"/>
                                <a:ext cx="1633220" cy="2146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72576;o:allowoverlap:true;o:allowincell:true;mso-position-horizontal-relative:text;margin-left:0.0pt;mso-position-horizontal:absolute;mso-position-vertical-relative:text;margin-top:0.0pt;mso-position-vertical:absolute;width:128.6pt;height:16.9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b/>
                <w:bCs/>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0</wp:posOffset>
                      </wp:positionH>
                      <wp:positionV relativeFrom="paragraph">
                        <wp:posOffset>0</wp:posOffset>
                      </wp:positionV>
                      <wp:extent cx="1630680" cy="212725"/>
                      <wp:effectExtent l="0" t="0" r="0" b="0"/>
                      <wp:wrapNone/>
                      <wp:docPr id="26" name="Picture_26_SpCnt_5"/>
                      <wp:cNvGraphicFramePr/>
                      <a:graphic xmlns:a="http://schemas.openxmlformats.org/drawingml/2006/main">
                        <a:graphicData uri="http://schemas.openxmlformats.org/drawingml/2006/picture">
                          <pic:pic xmlns:pic="http://schemas.openxmlformats.org/drawingml/2006/picture">
                            <pic:nvPicPr>
                              <pic:cNvPr id="21" name="Picture_26_SpCnt_5"/>
                              <pic:cNvPicPr/>
                              <pic:nvPr/>
                            </pic:nvPicPr>
                            <pic:blipFill>
                              <a:blip r:embed="rId15"/>
                              <a:stretch/>
                            </pic:blipFill>
                            <pic:spPr bwMode="auto">
                              <a:xfrm>
                                <a:off x="0" y="0"/>
                                <a:ext cx="1630680" cy="212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72576;o:allowoverlap:true;o:allowincell:true;mso-position-horizontal-relative:text;margin-left:0.0pt;mso-position-horizontal:absolute;mso-position-vertical-relative:text;margin-top:0.0pt;mso-position-vertical:absolute;width:128.4pt;height:16.8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b/>
                <w:bCs/>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0</wp:posOffset>
                      </wp:positionH>
                      <wp:positionV relativeFrom="paragraph">
                        <wp:posOffset>0</wp:posOffset>
                      </wp:positionV>
                      <wp:extent cx="1633220" cy="214630"/>
                      <wp:effectExtent l="0" t="0" r="0" b="0"/>
                      <wp:wrapNone/>
                      <wp:docPr id="27" name="Picture_26_SpCnt_6"/>
                      <wp:cNvGraphicFramePr/>
                      <a:graphic xmlns:a="http://schemas.openxmlformats.org/drawingml/2006/main">
                        <a:graphicData uri="http://schemas.openxmlformats.org/drawingml/2006/picture">
                          <pic:pic xmlns:pic="http://schemas.openxmlformats.org/drawingml/2006/picture">
                            <pic:nvPicPr>
                              <pic:cNvPr id="70" name="Picture_26_SpCnt_6"/>
                              <pic:cNvPicPr/>
                              <pic:nvPr/>
                            </pic:nvPicPr>
                            <pic:blipFill>
                              <a:blip r:embed="rId15"/>
                              <a:stretch/>
                            </pic:blipFill>
                            <pic:spPr bwMode="auto">
                              <a:xfrm>
                                <a:off x="0" y="0"/>
                                <a:ext cx="1633220" cy="2146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72576;o:allowoverlap:true;o:allowincell:true;mso-position-horizontal-relative:text;margin-left:0.0pt;mso-position-horizontal:absolute;mso-position-vertical-relative:text;margin-top:0.0pt;mso-position-vertical:absolute;width:128.6pt;height:16.9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b/>
                <w:bCs/>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0</wp:posOffset>
                      </wp:positionH>
                      <wp:positionV relativeFrom="paragraph">
                        <wp:posOffset>0</wp:posOffset>
                      </wp:positionV>
                      <wp:extent cx="1633220" cy="214630"/>
                      <wp:effectExtent l="0" t="0" r="0" b="0"/>
                      <wp:wrapNone/>
                      <wp:docPr id="28" name="Picture_26_SpCnt_7"/>
                      <wp:cNvGraphicFramePr/>
                      <a:graphic xmlns:a="http://schemas.openxmlformats.org/drawingml/2006/main">
                        <a:graphicData uri="http://schemas.openxmlformats.org/drawingml/2006/picture">
                          <pic:pic xmlns:pic="http://schemas.openxmlformats.org/drawingml/2006/picture">
                            <pic:nvPicPr>
                              <pic:cNvPr id="66" name="Picture_26_SpCnt_7"/>
                              <pic:cNvPicPr/>
                              <pic:nvPr/>
                            </pic:nvPicPr>
                            <pic:blipFill>
                              <a:blip r:embed="rId15"/>
                              <a:stretch/>
                            </pic:blipFill>
                            <pic:spPr bwMode="auto">
                              <a:xfrm>
                                <a:off x="0" y="0"/>
                                <a:ext cx="1633220" cy="2146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72576;o:allowoverlap:true;o:allowincell:true;mso-position-horizontal-relative:text;margin-left:0.0pt;mso-position-horizontal:absolute;mso-position-vertical-relative:text;margin-top:0.0pt;mso-position-vertical:absolute;width:128.6pt;height:16.9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b/>
                <w:bCs/>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0</wp:posOffset>
                      </wp:positionH>
                      <wp:positionV relativeFrom="paragraph">
                        <wp:posOffset>0</wp:posOffset>
                      </wp:positionV>
                      <wp:extent cx="1630680" cy="212725"/>
                      <wp:effectExtent l="0" t="0" r="0" b="0"/>
                      <wp:wrapNone/>
                      <wp:docPr id="29" name="Picture_26_SpCnt_8"/>
                      <wp:cNvGraphicFramePr/>
                      <a:graphic xmlns:a="http://schemas.openxmlformats.org/drawingml/2006/main">
                        <a:graphicData uri="http://schemas.openxmlformats.org/drawingml/2006/picture">
                          <pic:pic xmlns:pic="http://schemas.openxmlformats.org/drawingml/2006/picture">
                            <pic:nvPicPr>
                              <pic:cNvPr id="65" name="Picture_26_SpCnt_8"/>
                              <pic:cNvPicPr/>
                              <pic:nvPr/>
                            </pic:nvPicPr>
                            <pic:blipFill>
                              <a:blip r:embed="rId15"/>
                              <a:stretch/>
                            </pic:blipFill>
                            <pic:spPr bwMode="auto">
                              <a:xfrm>
                                <a:off x="0" y="0"/>
                                <a:ext cx="1630680" cy="212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72576;o:allowoverlap:true;o:allowincell:true;mso-position-horizontal-relative:text;margin-left:0.0pt;mso-position-horizontal:absolute;mso-position-vertical-relative:text;margin-top:0.0pt;mso-position-vertical:absolute;width:128.4pt;height:16.8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b/>
                <w:bCs/>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0</wp:posOffset>
                      </wp:positionH>
                      <wp:positionV relativeFrom="paragraph">
                        <wp:posOffset>0</wp:posOffset>
                      </wp:positionV>
                      <wp:extent cx="1630680" cy="212725"/>
                      <wp:effectExtent l="0" t="0" r="0" b="0"/>
                      <wp:wrapNone/>
                      <wp:docPr id="30" name="Picture_26_SpCnt_9"/>
                      <wp:cNvGraphicFramePr/>
                      <a:graphic xmlns:a="http://schemas.openxmlformats.org/drawingml/2006/main">
                        <a:graphicData uri="http://schemas.openxmlformats.org/drawingml/2006/picture">
                          <pic:pic xmlns:pic="http://schemas.openxmlformats.org/drawingml/2006/picture">
                            <pic:nvPicPr>
                              <pic:cNvPr id="69" name="Picture_26_SpCnt_9"/>
                              <pic:cNvPicPr/>
                              <pic:nvPr/>
                            </pic:nvPicPr>
                            <pic:blipFill>
                              <a:blip r:embed="rId15"/>
                              <a:stretch/>
                            </pic:blipFill>
                            <pic:spPr bwMode="auto">
                              <a:xfrm>
                                <a:off x="0" y="0"/>
                                <a:ext cx="1630680" cy="212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72576;o:allowoverlap:true;o:allowincell:true;mso-position-horizontal-relative:text;margin-left:0.0pt;mso-position-horizontal:absolute;mso-position-vertical-relative:text;margin-top:0.0pt;mso-position-vertical:absolute;width:128.4pt;height:16.8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b/>
                <w:bCs/>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0</wp:posOffset>
                      </wp:positionH>
                      <wp:positionV relativeFrom="paragraph">
                        <wp:posOffset>0</wp:posOffset>
                      </wp:positionV>
                      <wp:extent cx="1633220" cy="214630"/>
                      <wp:effectExtent l="0" t="0" r="0" b="0"/>
                      <wp:wrapNone/>
                      <wp:docPr id="31" name="Picture_26_SpCnt_10"/>
                      <wp:cNvGraphicFramePr/>
                      <a:graphic xmlns:a="http://schemas.openxmlformats.org/drawingml/2006/main">
                        <a:graphicData uri="http://schemas.openxmlformats.org/drawingml/2006/picture">
                          <pic:pic xmlns:pic="http://schemas.openxmlformats.org/drawingml/2006/picture">
                            <pic:nvPicPr>
                              <pic:cNvPr id="68" name="Picture_26_SpCnt_10"/>
                              <pic:cNvPicPr/>
                              <pic:nvPr/>
                            </pic:nvPicPr>
                            <pic:blipFill>
                              <a:blip r:embed="rId15"/>
                              <a:stretch/>
                            </pic:blipFill>
                            <pic:spPr bwMode="auto">
                              <a:xfrm>
                                <a:off x="0" y="0"/>
                                <a:ext cx="1633220" cy="2146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72576;o:allowoverlap:true;o:allowincell:true;mso-position-horizontal-relative:text;margin-left:0.0pt;mso-position-horizontal:absolute;mso-position-vertical-relative:text;margin-top:0.0pt;mso-position-vertical:absolute;width:128.6pt;height:16.9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b/>
                <w:bCs/>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0</wp:posOffset>
                      </wp:positionH>
                      <wp:positionV relativeFrom="paragraph">
                        <wp:posOffset>0</wp:posOffset>
                      </wp:positionV>
                      <wp:extent cx="1630680" cy="212725"/>
                      <wp:effectExtent l="0" t="0" r="0" b="0"/>
                      <wp:wrapNone/>
                      <wp:docPr id="32" name="Picture_26_SpCnt_11"/>
                      <wp:cNvGraphicFramePr/>
                      <a:graphic xmlns:a="http://schemas.openxmlformats.org/drawingml/2006/main">
                        <a:graphicData uri="http://schemas.openxmlformats.org/drawingml/2006/picture">
                          <pic:pic xmlns:pic="http://schemas.openxmlformats.org/drawingml/2006/picture">
                            <pic:nvPicPr>
                              <pic:cNvPr id="71" name="Picture_26_SpCnt_11"/>
                              <pic:cNvPicPr/>
                              <pic:nvPr/>
                            </pic:nvPicPr>
                            <pic:blipFill>
                              <a:blip r:embed="rId15"/>
                              <a:stretch/>
                            </pic:blipFill>
                            <pic:spPr bwMode="auto">
                              <a:xfrm>
                                <a:off x="0" y="0"/>
                                <a:ext cx="1630680" cy="212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72576;o:allowoverlap:true;o:allowincell:true;mso-position-horizontal-relative:text;margin-left:0.0pt;mso-position-horizontal:absolute;mso-position-vertical-relative:text;margin-top:0.0pt;mso-position-vertical:absolute;width:128.4pt;height:16.8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b/>
                <w:bCs/>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0</wp:posOffset>
                      </wp:positionH>
                      <wp:positionV relativeFrom="paragraph">
                        <wp:posOffset>0</wp:posOffset>
                      </wp:positionV>
                      <wp:extent cx="1630680" cy="212725"/>
                      <wp:effectExtent l="0" t="0" r="0" b="0"/>
                      <wp:wrapNone/>
                      <wp:docPr id="33" name="Picture_26_SpCnt_12"/>
                      <wp:cNvGraphicFramePr/>
                      <a:graphic xmlns:a="http://schemas.openxmlformats.org/drawingml/2006/main">
                        <a:graphicData uri="http://schemas.openxmlformats.org/drawingml/2006/picture">
                          <pic:pic xmlns:pic="http://schemas.openxmlformats.org/drawingml/2006/picture">
                            <pic:nvPicPr>
                              <pic:cNvPr id="22" name="Picture_26_SpCnt_12"/>
                              <pic:cNvPicPr/>
                              <pic:nvPr/>
                            </pic:nvPicPr>
                            <pic:blipFill>
                              <a:blip r:embed="rId15"/>
                              <a:stretch/>
                            </pic:blipFill>
                            <pic:spPr bwMode="auto">
                              <a:xfrm>
                                <a:off x="0" y="0"/>
                                <a:ext cx="1630680" cy="212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72576;o:allowoverlap:true;o:allowincell:true;mso-position-horizontal-relative:text;margin-left:0.0pt;mso-position-horizontal:absolute;mso-position-vertical-relative:text;margin-top:0.0pt;mso-position-vertical:absolute;width:128.4pt;height:16.8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b/>
                <w:bCs/>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0</wp:posOffset>
                      </wp:positionH>
                      <wp:positionV relativeFrom="paragraph">
                        <wp:posOffset>0</wp:posOffset>
                      </wp:positionV>
                      <wp:extent cx="1633220" cy="216535"/>
                      <wp:effectExtent l="0" t="0" r="0" b="0"/>
                      <wp:wrapNone/>
                      <wp:docPr id="34" name="Picture_26_SpCnt_13"/>
                      <wp:cNvGraphicFramePr/>
                      <a:graphic xmlns:a="http://schemas.openxmlformats.org/drawingml/2006/main">
                        <a:graphicData uri="http://schemas.openxmlformats.org/drawingml/2006/picture">
                          <pic:pic xmlns:pic="http://schemas.openxmlformats.org/drawingml/2006/picture">
                            <pic:nvPicPr>
                              <pic:cNvPr id="23" name="Picture_26_SpCnt_13"/>
                              <pic:cNvPicPr/>
                              <pic:nvPr/>
                            </pic:nvPicPr>
                            <pic:blipFill>
                              <a:blip r:embed="rId15"/>
                              <a:stretch/>
                            </pic:blipFill>
                            <pic:spPr bwMode="auto">
                              <a:xfrm>
                                <a:off x="0" y="0"/>
                                <a:ext cx="1633220" cy="2165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72576;o:allowoverlap:true;o:allowincell:true;mso-position-horizontal-relative:text;margin-left:0.0pt;mso-position-horizontal:absolute;mso-position-vertical-relative:text;margin-top:0.0pt;mso-position-vertical:absolute;width:128.6pt;height:17.1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b/>
                <w:bCs/>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0</wp:posOffset>
                      </wp:positionH>
                      <wp:positionV relativeFrom="paragraph">
                        <wp:posOffset>0</wp:posOffset>
                      </wp:positionV>
                      <wp:extent cx="1633220" cy="214630"/>
                      <wp:effectExtent l="0" t="0" r="0" b="0"/>
                      <wp:wrapNone/>
                      <wp:docPr id="35" name="Picture_26_SpCnt_14"/>
                      <wp:cNvGraphicFramePr/>
                      <a:graphic xmlns:a="http://schemas.openxmlformats.org/drawingml/2006/main">
                        <a:graphicData uri="http://schemas.openxmlformats.org/drawingml/2006/picture">
                          <pic:pic xmlns:pic="http://schemas.openxmlformats.org/drawingml/2006/picture">
                            <pic:nvPicPr>
                              <pic:cNvPr id="28" name="Picture_26_SpCnt_14"/>
                              <pic:cNvPicPr/>
                              <pic:nvPr/>
                            </pic:nvPicPr>
                            <pic:blipFill>
                              <a:blip r:embed="rId15"/>
                              <a:stretch/>
                            </pic:blipFill>
                            <pic:spPr bwMode="auto">
                              <a:xfrm>
                                <a:off x="0" y="0"/>
                                <a:ext cx="1633220" cy="2146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672576;o:allowoverlap:true;o:allowincell:true;mso-position-horizontal-relative:text;margin-left:0.0pt;mso-position-horizontal:absolute;mso-position-vertical-relative:text;margin-top:0.0pt;mso-position-vertical:absolute;width:128.6pt;height:16.9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b/>
                <w:bCs/>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0</wp:posOffset>
                      </wp:positionH>
                      <wp:positionV relativeFrom="paragraph">
                        <wp:posOffset>0</wp:posOffset>
                      </wp:positionV>
                      <wp:extent cx="1633220" cy="214630"/>
                      <wp:effectExtent l="0" t="0" r="0" b="0"/>
                      <wp:wrapNone/>
                      <wp:docPr id="36" name="Picture_26_SpCnt_15"/>
                      <wp:cNvGraphicFramePr/>
                      <a:graphic xmlns:a="http://schemas.openxmlformats.org/drawingml/2006/main">
                        <a:graphicData uri="http://schemas.openxmlformats.org/drawingml/2006/picture">
                          <pic:pic xmlns:pic="http://schemas.openxmlformats.org/drawingml/2006/picture">
                            <pic:nvPicPr>
                              <pic:cNvPr id="29" name="Picture_26_SpCnt_15"/>
                              <pic:cNvPicPr/>
                              <pic:nvPr/>
                            </pic:nvPicPr>
                            <pic:blipFill>
                              <a:blip r:embed="rId15"/>
                              <a:stretch/>
                            </pic:blipFill>
                            <pic:spPr bwMode="auto">
                              <a:xfrm>
                                <a:off x="0" y="0"/>
                                <a:ext cx="1633220" cy="214630"/>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672576;o:allowoverlap:true;o:allowincell:true;mso-position-horizontal-relative:text;margin-left:0.0pt;mso-position-horizontal:absolute;mso-position-vertical-relative:text;margin-top:0.0pt;mso-position-vertical:absolute;width:128.6pt;height:16.9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b/>
                <w:bCs/>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0</wp:posOffset>
                      </wp:positionH>
                      <wp:positionV relativeFrom="paragraph">
                        <wp:posOffset>0</wp:posOffset>
                      </wp:positionV>
                      <wp:extent cx="1630680" cy="212725"/>
                      <wp:effectExtent l="0" t="0" r="0" b="0"/>
                      <wp:wrapNone/>
                      <wp:docPr id="37" name="Picture_26_SpCnt_16"/>
                      <wp:cNvGraphicFramePr/>
                      <a:graphic xmlns:a="http://schemas.openxmlformats.org/drawingml/2006/main">
                        <a:graphicData uri="http://schemas.openxmlformats.org/drawingml/2006/picture">
                          <pic:pic xmlns:pic="http://schemas.openxmlformats.org/drawingml/2006/picture">
                            <pic:nvPicPr>
                              <pic:cNvPr id="30" name="Picture_26_SpCnt_16"/>
                              <pic:cNvPicPr/>
                              <pic:nvPr/>
                            </pic:nvPicPr>
                            <pic:blipFill>
                              <a:blip r:embed="rId15"/>
                              <a:stretch/>
                            </pic:blipFill>
                            <pic:spPr bwMode="auto">
                              <a:xfrm>
                                <a:off x="0" y="0"/>
                                <a:ext cx="1630680" cy="212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672576;o:allowoverlap:true;o:allowincell:true;mso-position-horizontal-relative:text;margin-left:0.0pt;mso-position-horizontal:absolute;mso-position-vertical-relative:text;margin-top:0.0pt;mso-position-vertical:absolute;width:128.4pt;height:16.8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b/>
                <w:bCs/>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0</wp:posOffset>
                      </wp:positionH>
                      <wp:positionV relativeFrom="paragraph">
                        <wp:posOffset>0</wp:posOffset>
                      </wp:positionV>
                      <wp:extent cx="1630680" cy="214630"/>
                      <wp:effectExtent l="0" t="0" r="0" b="0"/>
                      <wp:wrapNone/>
                      <wp:docPr id="38" name="Picture_26_SpCnt_17"/>
                      <wp:cNvGraphicFramePr/>
                      <a:graphic xmlns:a="http://schemas.openxmlformats.org/drawingml/2006/main">
                        <a:graphicData uri="http://schemas.openxmlformats.org/drawingml/2006/picture">
                          <pic:pic xmlns:pic="http://schemas.openxmlformats.org/drawingml/2006/picture">
                            <pic:nvPicPr>
                              <pic:cNvPr id="31" name="Picture_26_SpCnt_17"/>
                              <pic:cNvPicPr/>
                              <pic:nvPr/>
                            </pic:nvPicPr>
                            <pic:blipFill>
                              <a:blip r:embed="rId15"/>
                              <a:stretch/>
                            </pic:blipFill>
                            <pic:spPr bwMode="auto">
                              <a:xfrm>
                                <a:off x="0" y="0"/>
                                <a:ext cx="1630680" cy="2146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672576;o:allowoverlap:true;o:allowincell:true;mso-position-horizontal-relative:text;margin-left:0.0pt;mso-position-horizontal:absolute;mso-position-vertical-relative:text;margin-top:0.0pt;mso-position-vertical:absolute;width:128.4pt;height:16.9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b/>
                <w:bCs/>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0</wp:posOffset>
                      </wp:positionH>
                      <wp:positionV relativeFrom="paragraph">
                        <wp:posOffset>0</wp:posOffset>
                      </wp:positionV>
                      <wp:extent cx="1633220" cy="214630"/>
                      <wp:effectExtent l="0" t="0" r="0" b="0"/>
                      <wp:wrapNone/>
                      <wp:docPr id="39" name="Picture_26_SpCnt_18"/>
                      <wp:cNvGraphicFramePr/>
                      <a:graphic xmlns:a="http://schemas.openxmlformats.org/drawingml/2006/main">
                        <a:graphicData uri="http://schemas.openxmlformats.org/drawingml/2006/picture">
                          <pic:pic xmlns:pic="http://schemas.openxmlformats.org/drawingml/2006/picture">
                            <pic:nvPicPr>
                              <pic:cNvPr id="32" name="Picture_26_SpCnt_18"/>
                              <pic:cNvPicPr/>
                              <pic:nvPr/>
                            </pic:nvPicPr>
                            <pic:blipFill>
                              <a:blip r:embed="rId15"/>
                              <a:stretch/>
                            </pic:blipFill>
                            <pic:spPr bwMode="auto">
                              <a:xfrm>
                                <a:off x="0" y="0"/>
                                <a:ext cx="1633220" cy="2146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position:absolute;z-index:251672576;o:allowoverlap:true;o:allowincell:true;mso-position-horizontal-relative:text;margin-left:0.0pt;mso-position-horizontal:absolute;mso-position-vertical-relative:text;margin-top:0.0pt;mso-position-vertical:absolute;width:128.6pt;height:16.9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b/>
                <w:bCs/>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0</wp:posOffset>
                      </wp:positionH>
                      <wp:positionV relativeFrom="paragraph">
                        <wp:posOffset>0</wp:posOffset>
                      </wp:positionV>
                      <wp:extent cx="1630680" cy="214630"/>
                      <wp:effectExtent l="0" t="0" r="0" b="0"/>
                      <wp:wrapNone/>
                      <wp:docPr id="40" name="Picture_26_SpCnt_19"/>
                      <wp:cNvGraphicFramePr/>
                      <a:graphic xmlns:a="http://schemas.openxmlformats.org/drawingml/2006/main">
                        <a:graphicData uri="http://schemas.openxmlformats.org/drawingml/2006/picture">
                          <pic:pic xmlns:pic="http://schemas.openxmlformats.org/drawingml/2006/picture">
                            <pic:nvPicPr>
                              <pic:cNvPr id="34" name="Picture_26_SpCnt_19"/>
                              <pic:cNvPicPr/>
                              <pic:nvPr/>
                            </pic:nvPicPr>
                            <pic:blipFill>
                              <a:blip r:embed="rId15"/>
                              <a:stretch/>
                            </pic:blipFill>
                            <pic:spPr bwMode="auto">
                              <a:xfrm>
                                <a:off x="0" y="0"/>
                                <a:ext cx="1630680" cy="2146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position:absolute;z-index:251672576;o:allowoverlap:true;o:allowincell:true;mso-position-horizontal-relative:text;margin-left:0.0pt;mso-position-horizontal:absolute;mso-position-vertical-relative:text;margin-top:0.0pt;mso-position-vertical:absolute;width:128.4pt;height:16.9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b/>
                <w:bCs/>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0</wp:posOffset>
                      </wp:positionH>
                      <wp:positionV relativeFrom="paragraph">
                        <wp:posOffset>0</wp:posOffset>
                      </wp:positionV>
                      <wp:extent cx="1630680" cy="214630"/>
                      <wp:effectExtent l="0" t="0" r="0" b="0"/>
                      <wp:wrapNone/>
                      <wp:docPr id="41" name="Picture_26_SpCnt_20"/>
                      <wp:cNvGraphicFramePr/>
                      <a:graphic xmlns:a="http://schemas.openxmlformats.org/drawingml/2006/main">
                        <a:graphicData uri="http://schemas.openxmlformats.org/drawingml/2006/picture">
                          <pic:pic xmlns:pic="http://schemas.openxmlformats.org/drawingml/2006/picture">
                            <pic:nvPicPr>
                              <pic:cNvPr id="35" name="Picture_26_SpCnt_20"/>
                              <pic:cNvPicPr/>
                              <pic:nvPr/>
                            </pic:nvPicPr>
                            <pic:blipFill>
                              <a:blip r:embed="rId15"/>
                              <a:stretch/>
                            </pic:blipFill>
                            <pic:spPr bwMode="auto">
                              <a:xfrm>
                                <a:off x="0" y="0"/>
                                <a:ext cx="1630680" cy="2146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position:absolute;z-index:251672576;o:allowoverlap:true;o:allowincell:true;mso-position-horizontal-relative:text;margin-left:0.0pt;mso-position-horizontal:absolute;mso-position-vertical-relative:text;margin-top:0.0pt;mso-position-vertical:absolute;width:128.4pt;height:16.9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b/>
                <w:bCs/>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0</wp:posOffset>
                      </wp:positionH>
                      <wp:positionV relativeFrom="paragraph">
                        <wp:posOffset>0</wp:posOffset>
                      </wp:positionV>
                      <wp:extent cx="1633220" cy="216535"/>
                      <wp:effectExtent l="0" t="0" r="0" b="0"/>
                      <wp:wrapNone/>
                      <wp:docPr id="42" name="Picture_26_SpCnt_21"/>
                      <wp:cNvGraphicFramePr/>
                      <a:graphic xmlns:a="http://schemas.openxmlformats.org/drawingml/2006/main">
                        <a:graphicData uri="http://schemas.openxmlformats.org/drawingml/2006/picture">
                          <pic:pic xmlns:pic="http://schemas.openxmlformats.org/drawingml/2006/picture">
                            <pic:nvPicPr>
                              <pic:cNvPr id="36" name="Picture_26_SpCnt_21"/>
                              <pic:cNvPicPr/>
                              <pic:nvPr/>
                            </pic:nvPicPr>
                            <pic:blipFill>
                              <a:blip r:embed="rId15"/>
                              <a:stretch/>
                            </pic:blipFill>
                            <pic:spPr bwMode="auto">
                              <a:xfrm>
                                <a:off x="0" y="0"/>
                                <a:ext cx="1633220" cy="2165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position:absolute;z-index:251672576;o:allowoverlap:true;o:allowincell:true;mso-position-horizontal-relative:text;margin-left:0.0pt;mso-position-horizontal:absolute;mso-position-vertical-relative:text;margin-top:0.0pt;mso-position-vertical:absolute;width:128.6pt;height:17.1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b/>
                <w:bCs/>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0</wp:posOffset>
                      </wp:positionH>
                      <wp:positionV relativeFrom="paragraph">
                        <wp:posOffset>0</wp:posOffset>
                      </wp:positionV>
                      <wp:extent cx="1633220" cy="214630"/>
                      <wp:effectExtent l="0" t="0" r="0" b="0"/>
                      <wp:wrapNone/>
                      <wp:docPr id="43" name="Picture_26_SpCnt_22"/>
                      <wp:cNvGraphicFramePr/>
                      <a:graphic xmlns:a="http://schemas.openxmlformats.org/drawingml/2006/main">
                        <a:graphicData uri="http://schemas.openxmlformats.org/drawingml/2006/picture">
                          <pic:pic xmlns:pic="http://schemas.openxmlformats.org/drawingml/2006/picture">
                            <pic:nvPicPr>
                              <pic:cNvPr id="33" name="Picture_26_SpCnt_22"/>
                              <pic:cNvPicPr/>
                              <pic:nvPr/>
                            </pic:nvPicPr>
                            <pic:blipFill>
                              <a:blip r:embed="rId15"/>
                              <a:stretch/>
                            </pic:blipFill>
                            <pic:spPr bwMode="auto">
                              <a:xfrm>
                                <a:off x="0" y="0"/>
                                <a:ext cx="1633220" cy="2146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position:absolute;z-index:251672576;o:allowoverlap:true;o:allowincell:true;mso-position-horizontal-relative:text;margin-left:0.0pt;mso-position-horizontal:absolute;mso-position-vertical-relative:text;margin-top:0.0pt;mso-position-vertical:absolute;width:128.6pt;height:16.9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b/>
                <w:bCs/>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0</wp:posOffset>
                      </wp:positionH>
                      <wp:positionV relativeFrom="paragraph">
                        <wp:posOffset>0</wp:posOffset>
                      </wp:positionV>
                      <wp:extent cx="1630680" cy="214630"/>
                      <wp:effectExtent l="0" t="0" r="0" b="0"/>
                      <wp:wrapNone/>
                      <wp:docPr id="44" name="Picture_26_SpCnt_23"/>
                      <wp:cNvGraphicFramePr/>
                      <a:graphic xmlns:a="http://schemas.openxmlformats.org/drawingml/2006/main">
                        <a:graphicData uri="http://schemas.openxmlformats.org/drawingml/2006/picture">
                          <pic:pic xmlns:pic="http://schemas.openxmlformats.org/drawingml/2006/picture">
                            <pic:nvPicPr>
                              <pic:cNvPr id="37" name="Picture_26_SpCnt_23"/>
                              <pic:cNvPicPr/>
                              <pic:nvPr/>
                            </pic:nvPicPr>
                            <pic:blipFill>
                              <a:blip r:embed="rId15"/>
                              <a:stretch/>
                            </pic:blipFill>
                            <pic:spPr bwMode="auto">
                              <a:xfrm>
                                <a:off x="0" y="0"/>
                                <a:ext cx="1630680" cy="2146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position:absolute;z-index:251672576;o:allowoverlap:true;o:allowincell:true;mso-position-horizontal-relative:text;margin-left:0.0pt;mso-position-horizontal:absolute;mso-position-vertical-relative:text;margin-top:0.0pt;mso-position-vertical:absolute;width:128.4pt;height:16.9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b/>
                <w:bCs/>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0</wp:posOffset>
                      </wp:positionH>
                      <wp:positionV relativeFrom="paragraph">
                        <wp:posOffset>0</wp:posOffset>
                      </wp:positionV>
                      <wp:extent cx="1630680" cy="214630"/>
                      <wp:effectExtent l="0" t="0" r="0" b="0"/>
                      <wp:wrapNone/>
                      <wp:docPr id="45" name="Picture_26_SpCnt_24"/>
                      <wp:cNvGraphicFramePr/>
                      <a:graphic xmlns:a="http://schemas.openxmlformats.org/drawingml/2006/main">
                        <a:graphicData uri="http://schemas.openxmlformats.org/drawingml/2006/picture">
                          <pic:pic xmlns:pic="http://schemas.openxmlformats.org/drawingml/2006/picture">
                            <pic:nvPicPr>
                              <pic:cNvPr id="24" name="Picture_26_SpCnt_24"/>
                              <pic:cNvPicPr/>
                              <pic:nvPr/>
                            </pic:nvPicPr>
                            <pic:blipFill>
                              <a:blip r:embed="rId15"/>
                              <a:stretch/>
                            </pic:blipFill>
                            <pic:spPr bwMode="auto">
                              <a:xfrm>
                                <a:off x="0" y="0"/>
                                <a:ext cx="1630680" cy="2146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position:absolute;z-index:251672576;o:allowoverlap:true;o:allowincell:true;mso-position-horizontal-relative:text;margin-left:0.0pt;mso-position-horizontal:absolute;mso-position-vertical-relative:text;margin-top:0.0pt;mso-position-vertical:absolute;width:128.4pt;height:16.9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b/>
                <w:bCs/>
                <w:i w:val="0"/>
                <w:iCs w:val="0"/>
                <w:color w:val="auto"/>
                <w:sz w:val="21"/>
                <w:szCs w:val="21"/>
                <w:highlight w:val="none"/>
                <w:u w:val="none"/>
                <w:lang w:val="en-US" w:eastAsia="zh-CN" w:bidi="ar"/>
              </w:rPr>
              <w:t xml:space="preserve">C区厨房旧设备拆除清单：</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  次</w:t>
            </w:r>
            <w:r/>
          </w:p>
        </w:tc>
        <w:tc>
          <w:tcPr>
            <w:shd w:val="clear" w:color="auto" w:fill="auto"/>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254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规格型号尺寸</w:t>
            </w:r>
            <w:r/>
          </w:p>
        </w:tc>
        <w:tc>
          <w:tcPr>
            <w:shd w:val="clear" w:color="auto" w:fill="auto"/>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r>
      <w:tr>
        <w:trPr>
          <w:trHeight w:val="601"/>
        </w:trPr>
        <w:tc>
          <w:tcPr>
            <w:gridSpan w:val="5"/>
            <w:shd w:val="clear" w:color="auto" w:fill="bfbfb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shd w:val="clear" w:color="auto" w:fill="bfbfb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2552065</wp:posOffset>
                      </wp:positionH>
                      <wp:positionV relativeFrom="paragraph">
                        <wp:posOffset>0</wp:posOffset>
                      </wp:positionV>
                      <wp:extent cx="1632585" cy="216535"/>
                      <wp:effectExtent l="0" t="0" r="0" b="0"/>
                      <wp:wrapNone/>
                      <wp:docPr id="46" name="Picture_26_SpCnt_28"/>
                      <wp:cNvGraphicFramePr/>
                      <a:graphic xmlns:a="http://schemas.openxmlformats.org/drawingml/2006/main">
                        <a:graphicData uri="http://schemas.openxmlformats.org/drawingml/2006/picture">
                          <pic:pic xmlns:pic="http://schemas.openxmlformats.org/drawingml/2006/picture">
                            <pic:nvPicPr>
                              <pic:cNvPr id="25" name="Picture_26_SpCnt_28"/>
                              <pic:cNvPicPr/>
                              <pic:nvPr/>
                            </pic:nvPicPr>
                            <pic:blipFill>
                              <a:blip r:embed="rId15"/>
                              <a:stretch/>
                            </pic:blipFill>
                            <pic:spPr bwMode="auto">
                              <a:xfrm>
                                <a:off x="0" y="0"/>
                                <a:ext cx="1632585" cy="2165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position:absolute;z-index:251672576;o:allowoverlap:true;o:allowincell:true;mso-position-horizontal-relative:text;margin-left:200.9pt;mso-position-horizontal:absolute;mso-position-vertical-relative:text;margin-top:0.0pt;mso-position-vertical:absolute;width:128.5pt;height:17.1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b/>
                <w:bCs/>
                <w:i w:val="0"/>
                <w:iCs w:val="0"/>
                <w:color w:val="auto"/>
                <w:sz w:val="21"/>
                <w:szCs w:val="21"/>
                <w:highlight w:val="none"/>
                <w:u w:val="none"/>
                <w:shd w:val="clear" w:color="auto" w:fill="bfbfb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2552065</wp:posOffset>
                      </wp:positionH>
                      <wp:positionV relativeFrom="paragraph">
                        <wp:posOffset>0</wp:posOffset>
                      </wp:positionV>
                      <wp:extent cx="1632585" cy="214630"/>
                      <wp:effectExtent l="0" t="0" r="0" b="0"/>
                      <wp:wrapNone/>
                      <wp:docPr id="47" name="Picture_26_SpCnt_29"/>
                      <wp:cNvGraphicFramePr/>
                      <a:graphic xmlns:a="http://schemas.openxmlformats.org/drawingml/2006/main">
                        <a:graphicData uri="http://schemas.openxmlformats.org/drawingml/2006/picture">
                          <pic:pic xmlns:pic="http://schemas.openxmlformats.org/drawingml/2006/picture">
                            <pic:nvPicPr>
                              <pic:cNvPr id="46" name="Picture_26_SpCnt_29"/>
                              <pic:cNvPicPr/>
                              <pic:nvPr/>
                            </pic:nvPicPr>
                            <pic:blipFill>
                              <a:blip r:embed="rId15"/>
                              <a:stretch/>
                            </pic:blipFill>
                            <pic:spPr bwMode="auto">
                              <a:xfrm>
                                <a:off x="0" y="0"/>
                                <a:ext cx="1632585" cy="2146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position:absolute;z-index:251672576;o:allowoverlap:true;o:allowincell:true;mso-position-horizontal-relative:text;margin-left:200.9pt;mso-position-horizontal:absolute;mso-position-vertical-relative:text;margin-top:0.0pt;mso-position-vertical:absolute;width:128.5pt;height:16.9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b/>
                <w:bCs/>
                <w:i w:val="0"/>
                <w:iCs w:val="0"/>
                <w:color w:val="auto"/>
                <w:sz w:val="21"/>
                <w:szCs w:val="21"/>
                <w:highlight w:val="none"/>
                <w:u w:val="none"/>
                <w:shd w:val="clear" w:color="auto" w:fill="bfbfb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2552065</wp:posOffset>
                      </wp:positionH>
                      <wp:positionV relativeFrom="paragraph">
                        <wp:posOffset>0</wp:posOffset>
                      </wp:positionV>
                      <wp:extent cx="1632585" cy="214630"/>
                      <wp:effectExtent l="0" t="0" r="0" b="0"/>
                      <wp:wrapNone/>
                      <wp:docPr id="48" name="Picture_26_SpCnt_30"/>
                      <wp:cNvGraphicFramePr/>
                      <a:graphic xmlns:a="http://schemas.openxmlformats.org/drawingml/2006/main">
                        <a:graphicData uri="http://schemas.openxmlformats.org/drawingml/2006/picture">
                          <pic:pic xmlns:pic="http://schemas.openxmlformats.org/drawingml/2006/picture">
                            <pic:nvPicPr>
                              <pic:cNvPr id="43" name="Picture_26_SpCnt_30"/>
                              <pic:cNvPicPr/>
                              <pic:nvPr/>
                            </pic:nvPicPr>
                            <pic:blipFill>
                              <a:blip r:embed="rId15"/>
                              <a:stretch/>
                            </pic:blipFill>
                            <pic:spPr bwMode="auto">
                              <a:xfrm>
                                <a:off x="0" y="0"/>
                                <a:ext cx="1632585" cy="2146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position:absolute;z-index:251672576;o:allowoverlap:true;o:allowincell:true;mso-position-horizontal-relative:text;margin-left:200.9pt;mso-position-horizontal:absolute;mso-position-vertical-relative:text;margin-top:0.0pt;mso-position-vertical:absolute;width:128.5pt;height:16.9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b/>
                <w:bCs/>
                <w:i w:val="0"/>
                <w:iCs w:val="0"/>
                <w:color w:val="auto"/>
                <w:sz w:val="21"/>
                <w:szCs w:val="21"/>
                <w:highlight w:val="none"/>
                <w:u w:val="none"/>
                <w:shd w:val="clear" w:color="auto" w:fill="bfbfb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2552065</wp:posOffset>
                      </wp:positionH>
                      <wp:positionV relativeFrom="paragraph">
                        <wp:posOffset>0</wp:posOffset>
                      </wp:positionV>
                      <wp:extent cx="1632585" cy="214630"/>
                      <wp:effectExtent l="0" t="0" r="0" b="0"/>
                      <wp:wrapNone/>
                      <wp:docPr id="49" name="Picture_26_SpCnt_31"/>
                      <wp:cNvGraphicFramePr/>
                      <a:graphic xmlns:a="http://schemas.openxmlformats.org/drawingml/2006/main">
                        <a:graphicData uri="http://schemas.openxmlformats.org/drawingml/2006/picture">
                          <pic:pic xmlns:pic="http://schemas.openxmlformats.org/drawingml/2006/picture">
                            <pic:nvPicPr>
                              <pic:cNvPr id="41" name="Picture_26_SpCnt_31"/>
                              <pic:cNvPicPr/>
                              <pic:nvPr/>
                            </pic:nvPicPr>
                            <pic:blipFill>
                              <a:blip r:embed="rId15"/>
                              <a:stretch/>
                            </pic:blipFill>
                            <pic:spPr bwMode="auto">
                              <a:xfrm>
                                <a:off x="0" y="0"/>
                                <a:ext cx="1632585" cy="2146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position:absolute;z-index:251672576;o:allowoverlap:true;o:allowincell:true;mso-position-horizontal-relative:text;margin-left:200.9pt;mso-position-horizontal:absolute;mso-position-vertical-relative:text;margin-top:0.0pt;mso-position-vertical:absolute;width:128.5pt;height:16.9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b/>
                <w:bCs/>
                <w:i w:val="0"/>
                <w:iCs w:val="0"/>
                <w:color w:val="auto"/>
                <w:sz w:val="21"/>
                <w:szCs w:val="21"/>
                <w:highlight w:val="none"/>
                <w:u w:val="none"/>
                <w:shd w:val="clear" w:color="auto" w:fill="bfbfb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2552065</wp:posOffset>
                      </wp:positionH>
                      <wp:positionV relativeFrom="paragraph">
                        <wp:posOffset>0</wp:posOffset>
                      </wp:positionV>
                      <wp:extent cx="1632585" cy="216535"/>
                      <wp:effectExtent l="0" t="0" r="0" b="0"/>
                      <wp:wrapNone/>
                      <wp:docPr id="50" name="Picture_26_SpCnt_32"/>
                      <wp:cNvGraphicFramePr/>
                      <a:graphic xmlns:a="http://schemas.openxmlformats.org/drawingml/2006/main">
                        <a:graphicData uri="http://schemas.openxmlformats.org/drawingml/2006/picture">
                          <pic:pic xmlns:pic="http://schemas.openxmlformats.org/drawingml/2006/picture">
                            <pic:nvPicPr>
                              <pic:cNvPr id="47" name="Picture_26_SpCnt_32"/>
                              <pic:cNvPicPr/>
                              <pic:nvPr/>
                            </pic:nvPicPr>
                            <pic:blipFill>
                              <a:blip r:embed="rId15"/>
                              <a:stretch/>
                            </pic:blipFill>
                            <pic:spPr bwMode="auto">
                              <a:xfrm>
                                <a:off x="0" y="0"/>
                                <a:ext cx="1632585" cy="2165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position:absolute;z-index:251672576;o:allowoverlap:true;o:allowincell:true;mso-position-horizontal-relative:text;margin-left:200.9pt;mso-position-horizontal:absolute;mso-position-vertical-relative:text;margin-top:0.0pt;mso-position-vertical:absolute;width:128.5pt;height:17.1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b/>
                <w:bCs/>
                <w:i w:val="0"/>
                <w:iCs w:val="0"/>
                <w:color w:val="auto"/>
                <w:sz w:val="21"/>
                <w:szCs w:val="21"/>
                <w:highlight w:val="none"/>
                <w:u w:val="none"/>
                <w:shd w:val="clear" w:color="auto" w:fill="bfbfb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2552065</wp:posOffset>
                      </wp:positionH>
                      <wp:positionV relativeFrom="paragraph">
                        <wp:posOffset>0</wp:posOffset>
                      </wp:positionV>
                      <wp:extent cx="1632585" cy="214630"/>
                      <wp:effectExtent l="0" t="0" r="0" b="0"/>
                      <wp:wrapNone/>
                      <wp:docPr id="51" name="Picture_26_SpCnt_33"/>
                      <wp:cNvGraphicFramePr/>
                      <a:graphic xmlns:a="http://schemas.openxmlformats.org/drawingml/2006/main">
                        <a:graphicData uri="http://schemas.openxmlformats.org/drawingml/2006/picture">
                          <pic:pic xmlns:pic="http://schemas.openxmlformats.org/drawingml/2006/picture">
                            <pic:nvPicPr>
                              <pic:cNvPr id="40" name="Picture_26_SpCnt_33"/>
                              <pic:cNvPicPr/>
                              <pic:nvPr/>
                            </pic:nvPicPr>
                            <pic:blipFill>
                              <a:blip r:embed="rId15"/>
                              <a:stretch/>
                            </pic:blipFill>
                            <pic:spPr bwMode="auto">
                              <a:xfrm>
                                <a:off x="0" y="0"/>
                                <a:ext cx="1632585" cy="214630"/>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position:absolute;z-index:251672576;o:allowoverlap:true;o:allowincell:true;mso-position-horizontal-relative:text;margin-left:200.9pt;mso-position-horizontal:absolute;mso-position-vertical-relative:text;margin-top:0.0pt;mso-position-vertical:absolute;width:128.5pt;height:16.9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b/>
                <w:bCs/>
                <w:i w:val="0"/>
                <w:iCs w:val="0"/>
                <w:color w:val="auto"/>
                <w:sz w:val="21"/>
                <w:szCs w:val="21"/>
                <w:highlight w:val="none"/>
                <w:u w:val="none"/>
                <w:shd w:val="clear" w:color="auto" w:fill="bfbfb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2552065</wp:posOffset>
                      </wp:positionH>
                      <wp:positionV relativeFrom="paragraph">
                        <wp:posOffset>0</wp:posOffset>
                      </wp:positionV>
                      <wp:extent cx="1632585" cy="214630"/>
                      <wp:effectExtent l="0" t="0" r="0" b="0"/>
                      <wp:wrapNone/>
                      <wp:docPr id="52" name="Picture_26_SpCnt_34"/>
                      <wp:cNvGraphicFramePr/>
                      <a:graphic xmlns:a="http://schemas.openxmlformats.org/drawingml/2006/main">
                        <a:graphicData uri="http://schemas.openxmlformats.org/drawingml/2006/picture">
                          <pic:pic xmlns:pic="http://schemas.openxmlformats.org/drawingml/2006/picture">
                            <pic:nvPicPr>
                              <pic:cNvPr id="42" name="Picture_26_SpCnt_34"/>
                              <pic:cNvPicPr/>
                              <pic:nvPr/>
                            </pic:nvPicPr>
                            <pic:blipFill>
                              <a:blip r:embed="rId15"/>
                              <a:stretch/>
                            </pic:blipFill>
                            <pic:spPr bwMode="auto">
                              <a:xfrm>
                                <a:off x="0" y="0"/>
                                <a:ext cx="1632585" cy="2146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position:absolute;z-index:251672576;o:allowoverlap:true;o:allowincell:true;mso-position-horizontal-relative:text;margin-left:200.9pt;mso-position-horizontal:absolute;mso-position-vertical-relative:text;margin-top:0.0pt;mso-position-vertical:absolute;width:128.5pt;height:16.9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b/>
                <w:bCs/>
                <w:i w:val="0"/>
                <w:iCs w:val="0"/>
                <w:color w:val="auto"/>
                <w:sz w:val="21"/>
                <w:szCs w:val="21"/>
                <w:highlight w:val="none"/>
                <w:u w:val="none"/>
                <w:shd w:val="clear" w:color="auto" w:fill="bfbfb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2552065</wp:posOffset>
                      </wp:positionH>
                      <wp:positionV relativeFrom="paragraph">
                        <wp:posOffset>0</wp:posOffset>
                      </wp:positionV>
                      <wp:extent cx="1632585" cy="214630"/>
                      <wp:effectExtent l="0" t="0" r="0" b="0"/>
                      <wp:wrapNone/>
                      <wp:docPr id="53" name="Picture_26_SpCnt_35"/>
                      <wp:cNvGraphicFramePr/>
                      <a:graphic xmlns:a="http://schemas.openxmlformats.org/drawingml/2006/main">
                        <a:graphicData uri="http://schemas.openxmlformats.org/drawingml/2006/picture">
                          <pic:pic xmlns:pic="http://schemas.openxmlformats.org/drawingml/2006/picture">
                            <pic:nvPicPr>
                              <pic:cNvPr id="48" name="Picture_26_SpCnt_35"/>
                              <pic:cNvPicPr/>
                              <pic:nvPr/>
                            </pic:nvPicPr>
                            <pic:blipFill>
                              <a:blip r:embed="rId15"/>
                              <a:stretch/>
                            </pic:blipFill>
                            <pic:spPr bwMode="auto">
                              <a:xfrm>
                                <a:off x="0" y="0"/>
                                <a:ext cx="1632585" cy="2146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position:absolute;z-index:251672576;o:allowoverlap:true;o:allowincell:true;mso-position-horizontal-relative:text;margin-left:200.9pt;mso-position-horizontal:absolute;mso-position-vertical-relative:text;margin-top:0.0pt;mso-position-vertical:absolute;width:128.5pt;height:16.9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b/>
                <w:bCs/>
                <w:i w:val="0"/>
                <w:iCs w:val="0"/>
                <w:color w:val="auto"/>
                <w:sz w:val="21"/>
                <w:szCs w:val="21"/>
                <w:highlight w:val="none"/>
                <w:u w:val="none"/>
                <w:shd w:val="clear" w:color="auto" w:fill="bfbfb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2552065</wp:posOffset>
                      </wp:positionH>
                      <wp:positionV relativeFrom="paragraph">
                        <wp:posOffset>0</wp:posOffset>
                      </wp:positionV>
                      <wp:extent cx="1632585" cy="214630"/>
                      <wp:effectExtent l="0" t="0" r="0" b="0"/>
                      <wp:wrapNone/>
                      <wp:docPr id="54" name="Picture_26_SpCnt_36"/>
                      <wp:cNvGraphicFramePr/>
                      <a:graphic xmlns:a="http://schemas.openxmlformats.org/drawingml/2006/main">
                        <a:graphicData uri="http://schemas.openxmlformats.org/drawingml/2006/picture">
                          <pic:pic xmlns:pic="http://schemas.openxmlformats.org/drawingml/2006/picture">
                            <pic:nvPicPr>
                              <pic:cNvPr id="45" name="Picture_26_SpCnt_36"/>
                              <pic:cNvPicPr/>
                              <pic:nvPr/>
                            </pic:nvPicPr>
                            <pic:blipFill>
                              <a:blip r:embed="rId15"/>
                              <a:stretch/>
                            </pic:blipFill>
                            <pic:spPr bwMode="auto">
                              <a:xfrm>
                                <a:off x="0" y="0"/>
                                <a:ext cx="1632585" cy="2146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position:absolute;z-index:251672576;o:allowoverlap:true;o:allowincell:true;mso-position-horizontal-relative:text;margin-left:200.9pt;mso-position-horizontal:absolute;mso-position-vertical-relative:text;margin-top:0.0pt;mso-position-vertical:absolute;width:128.5pt;height:16.9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b/>
                <w:bCs/>
                <w:i w:val="0"/>
                <w:iCs w:val="0"/>
                <w:color w:val="auto"/>
                <w:sz w:val="21"/>
                <w:szCs w:val="21"/>
                <w:highlight w:val="none"/>
                <w:u w:val="none"/>
                <w:shd w:val="clear" w:color="auto" w:fill="bfbfb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2552065</wp:posOffset>
                      </wp:positionH>
                      <wp:positionV relativeFrom="paragraph">
                        <wp:posOffset>0</wp:posOffset>
                      </wp:positionV>
                      <wp:extent cx="1632585" cy="214630"/>
                      <wp:effectExtent l="0" t="0" r="0" b="0"/>
                      <wp:wrapNone/>
                      <wp:docPr id="55" name="Picture_26_SpCnt_37"/>
                      <wp:cNvGraphicFramePr/>
                      <a:graphic xmlns:a="http://schemas.openxmlformats.org/drawingml/2006/main">
                        <a:graphicData uri="http://schemas.openxmlformats.org/drawingml/2006/picture">
                          <pic:pic xmlns:pic="http://schemas.openxmlformats.org/drawingml/2006/picture">
                            <pic:nvPicPr>
                              <pic:cNvPr id="44" name="Picture_26_SpCnt_37"/>
                              <pic:cNvPicPr/>
                              <pic:nvPr/>
                            </pic:nvPicPr>
                            <pic:blipFill>
                              <a:blip r:embed="rId15"/>
                              <a:stretch/>
                            </pic:blipFill>
                            <pic:spPr bwMode="auto">
                              <a:xfrm>
                                <a:off x="0" y="0"/>
                                <a:ext cx="1632585" cy="2146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position:absolute;z-index:251672576;o:allowoverlap:true;o:allowincell:true;mso-position-horizontal-relative:text;margin-left:200.9pt;mso-position-horizontal:absolute;mso-position-vertical-relative:text;margin-top:0.0pt;mso-position-vertical:absolute;width:128.5pt;height:16.9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b/>
                <w:bCs/>
                <w:i w:val="0"/>
                <w:iCs w:val="0"/>
                <w:color w:val="auto"/>
                <w:sz w:val="21"/>
                <w:szCs w:val="21"/>
                <w:highlight w:val="none"/>
                <w:u w:val="none"/>
                <w:shd w:val="clear" w:color="auto" w:fill="bfbfb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2552065</wp:posOffset>
                      </wp:positionH>
                      <wp:positionV relativeFrom="paragraph">
                        <wp:posOffset>0</wp:posOffset>
                      </wp:positionV>
                      <wp:extent cx="1632585" cy="214630"/>
                      <wp:effectExtent l="0" t="0" r="0" b="0"/>
                      <wp:wrapNone/>
                      <wp:docPr id="56" name="Picture_26_SpCnt_38"/>
                      <wp:cNvGraphicFramePr/>
                      <a:graphic xmlns:a="http://schemas.openxmlformats.org/drawingml/2006/main">
                        <a:graphicData uri="http://schemas.openxmlformats.org/drawingml/2006/picture">
                          <pic:pic xmlns:pic="http://schemas.openxmlformats.org/drawingml/2006/picture">
                            <pic:nvPicPr>
                              <pic:cNvPr id="26" name="Picture_26_SpCnt_38"/>
                              <pic:cNvPicPr/>
                              <pic:nvPr/>
                            </pic:nvPicPr>
                            <pic:blipFill>
                              <a:blip r:embed="rId15"/>
                              <a:stretch/>
                            </pic:blipFill>
                            <pic:spPr bwMode="auto">
                              <a:xfrm>
                                <a:off x="0" y="0"/>
                                <a:ext cx="1632585" cy="2146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position:absolute;z-index:251672576;o:allowoverlap:true;o:allowincell:true;mso-position-horizontal-relative:text;margin-left:200.9pt;mso-position-horizontal:absolute;mso-position-vertical-relative:text;margin-top:0.0pt;mso-position-vertical:absolute;width:128.5pt;height:16.9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b/>
                <w:bCs/>
                <w:i w:val="0"/>
                <w:iCs w:val="0"/>
                <w:color w:val="auto"/>
                <w:sz w:val="21"/>
                <w:szCs w:val="21"/>
                <w:highlight w:val="none"/>
                <w:u w:val="none"/>
                <w:shd w:val="clear" w:color="auto" w:fill="bfbfb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2552065</wp:posOffset>
                      </wp:positionH>
                      <wp:positionV relativeFrom="paragraph">
                        <wp:posOffset>0</wp:posOffset>
                      </wp:positionV>
                      <wp:extent cx="1632585" cy="214630"/>
                      <wp:effectExtent l="0" t="0" r="0" b="0"/>
                      <wp:wrapNone/>
                      <wp:docPr id="57" name="Picture_26_SpCnt_39"/>
                      <wp:cNvGraphicFramePr/>
                      <a:graphic xmlns:a="http://schemas.openxmlformats.org/drawingml/2006/main">
                        <a:graphicData uri="http://schemas.openxmlformats.org/drawingml/2006/picture">
                          <pic:pic xmlns:pic="http://schemas.openxmlformats.org/drawingml/2006/picture">
                            <pic:nvPicPr>
                              <pic:cNvPr id="39" name="Picture_26_SpCnt_39"/>
                              <pic:cNvPicPr/>
                              <pic:nvPr/>
                            </pic:nvPicPr>
                            <pic:blipFill>
                              <a:blip r:embed="rId15"/>
                              <a:stretch/>
                            </pic:blipFill>
                            <pic:spPr bwMode="auto">
                              <a:xfrm>
                                <a:off x="0" y="0"/>
                                <a:ext cx="1632585" cy="2146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position:absolute;z-index:251672576;o:allowoverlap:true;o:allowincell:true;mso-position-horizontal-relative:text;margin-left:200.9pt;mso-position-horizontal:absolute;mso-position-vertical-relative:text;margin-top:0.0pt;mso-position-vertical:absolute;width:128.5pt;height:16.9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b/>
                <w:bCs/>
                <w:i w:val="0"/>
                <w:iCs w:val="0"/>
                <w:color w:val="auto"/>
                <w:sz w:val="21"/>
                <w:szCs w:val="21"/>
                <w:highlight w:val="none"/>
                <w:u w:val="none"/>
                <w:shd w:val="clear" w:color="auto" w:fill="bfbfb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2552065</wp:posOffset>
                      </wp:positionH>
                      <wp:positionV relativeFrom="paragraph">
                        <wp:posOffset>0</wp:posOffset>
                      </wp:positionV>
                      <wp:extent cx="1632585" cy="214630"/>
                      <wp:effectExtent l="0" t="0" r="0" b="0"/>
                      <wp:wrapNone/>
                      <wp:docPr id="58" name="Picture_26_SpCnt_40"/>
                      <wp:cNvGraphicFramePr/>
                      <a:graphic xmlns:a="http://schemas.openxmlformats.org/drawingml/2006/main">
                        <a:graphicData uri="http://schemas.openxmlformats.org/drawingml/2006/picture">
                          <pic:pic xmlns:pic="http://schemas.openxmlformats.org/drawingml/2006/picture">
                            <pic:nvPicPr>
                              <pic:cNvPr id="27" name="Picture_26_SpCnt_40"/>
                              <pic:cNvPicPr/>
                              <pic:nvPr/>
                            </pic:nvPicPr>
                            <pic:blipFill>
                              <a:blip r:embed="rId15"/>
                              <a:stretch/>
                            </pic:blipFill>
                            <pic:spPr bwMode="auto">
                              <a:xfrm>
                                <a:off x="0" y="0"/>
                                <a:ext cx="1632585" cy="2146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position:absolute;z-index:251672576;o:allowoverlap:true;o:allowincell:true;mso-position-horizontal-relative:text;margin-left:200.9pt;mso-position-horizontal:absolute;mso-position-vertical-relative:text;margin-top:0.0pt;mso-position-vertical:absolute;width:128.5pt;height:16.9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b/>
                <w:bCs/>
                <w:i w:val="0"/>
                <w:iCs w:val="0"/>
                <w:color w:val="auto"/>
                <w:sz w:val="21"/>
                <w:szCs w:val="21"/>
                <w:highlight w:val="none"/>
                <w:u w:val="none"/>
                <w:shd w:val="clear" w:color="auto" w:fill="bfbfb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2552065</wp:posOffset>
                      </wp:positionH>
                      <wp:positionV relativeFrom="paragraph">
                        <wp:posOffset>0</wp:posOffset>
                      </wp:positionV>
                      <wp:extent cx="1632585" cy="216535"/>
                      <wp:effectExtent l="0" t="0" r="0" b="0"/>
                      <wp:wrapNone/>
                      <wp:docPr id="59" name="Picture_26_SpCnt_41"/>
                      <wp:cNvGraphicFramePr/>
                      <a:graphic xmlns:a="http://schemas.openxmlformats.org/drawingml/2006/main">
                        <a:graphicData uri="http://schemas.openxmlformats.org/drawingml/2006/picture">
                          <pic:pic xmlns:pic="http://schemas.openxmlformats.org/drawingml/2006/picture">
                            <pic:nvPicPr>
                              <pic:cNvPr id="38" name="Picture_26_SpCnt_41"/>
                              <pic:cNvPicPr/>
                              <pic:nvPr/>
                            </pic:nvPicPr>
                            <pic:blipFill>
                              <a:blip r:embed="rId15"/>
                              <a:stretch/>
                            </pic:blipFill>
                            <pic:spPr bwMode="auto">
                              <a:xfrm>
                                <a:off x="0" y="0"/>
                                <a:ext cx="1632585" cy="2165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position:absolute;z-index:251672576;o:allowoverlap:true;o:allowincell:true;mso-position-horizontal-relative:text;margin-left:200.9pt;mso-position-horizontal:absolute;mso-position-vertical-relative:text;margin-top:0.0pt;mso-position-vertical:absolute;width:128.5pt;height:17.1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b/>
                <w:bCs/>
                <w:i w:val="0"/>
                <w:iCs w:val="0"/>
                <w:color w:val="auto"/>
                <w:sz w:val="21"/>
                <w:szCs w:val="21"/>
                <w:highlight w:val="none"/>
                <w:u w:val="none"/>
                <w:shd w:val="clear" w:color="auto" w:fill="bfbfb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2552065</wp:posOffset>
                      </wp:positionH>
                      <wp:positionV relativeFrom="paragraph">
                        <wp:posOffset>0</wp:posOffset>
                      </wp:positionV>
                      <wp:extent cx="1632585" cy="216535"/>
                      <wp:effectExtent l="0" t="0" r="0" b="0"/>
                      <wp:wrapNone/>
                      <wp:docPr id="60" name="Picture_26_SpCnt_42"/>
                      <wp:cNvGraphicFramePr/>
                      <a:graphic xmlns:a="http://schemas.openxmlformats.org/drawingml/2006/main">
                        <a:graphicData uri="http://schemas.openxmlformats.org/drawingml/2006/picture">
                          <pic:pic xmlns:pic="http://schemas.openxmlformats.org/drawingml/2006/picture">
                            <pic:nvPicPr>
                              <pic:cNvPr id="72" name="Picture_26_SpCnt_42"/>
                              <pic:cNvPicPr/>
                              <pic:nvPr/>
                            </pic:nvPicPr>
                            <pic:blipFill>
                              <a:blip r:embed="rId15"/>
                              <a:stretch/>
                            </pic:blipFill>
                            <pic:spPr bwMode="auto">
                              <a:xfrm>
                                <a:off x="0" y="0"/>
                                <a:ext cx="1632585" cy="2165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position:absolute;z-index:251672576;o:allowoverlap:true;o:allowincell:true;mso-position-horizontal-relative:text;margin-left:200.9pt;mso-position-horizontal:absolute;mso-position-vertical-relative:text;margin-top:0.0pt;mso-position-vertical:absolute;width:128.5pt;height:17.1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b/>
                <w:bCs/>
                <w:i w:val="0"/>
                <w:iCs w:val="0"/>
                <w:color w:val="auto"/>
                <w:sz w:val="21"/>
                <w:szCs w:val="21"/>
                <w:highlight w:val="none"/>
                <w:u w:val="none"/>
                <w:shd w:val="clear" w:color="auto" w:fill="bfbfb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2552065</wp:posOffset>
                      </wp:positionH>
                      <wp:positionV relativeFrom="paragraph">
                        <wp:posOffset>0</wp:posOffset>
                      </wp:positionV>
                      <wp:extent cx="1632585" cy="214630"/>
                      <wp:effectExtent l="0" t="0" r="0" b="0"/>
                      <wp:wrapNone/>
                      <wp:docPr id="61" name="Picture_26_SpCnt_43"/>
                      <wp:cNvGraphicFramePr/>
                      <a:graphic xmlns:a="http://schemas.openxmlformats.org/drawingml/2006/main">
                        <a:graphicData uri="http://schemas.openxmlformats.org/drawingml/2006/picture">
                          <pic:pic xmlns:pic="http://schemas.openxmlformats.org/drawingml/2006/picture">
                            <pic:nvPicPr>
                              <pic:cNvPr id="73" name="Picture_26_SpCnt_43"/>
                              <pic:cNvPicPr/>
                              <pic:nvPr/>
                            </pic:nvPicPr>
                            <pic:blipFill>
                              <a:blip r:embed="rId15"/>
                              <a:stretch/>
                            </pic:blipFill>
                            <pic:spPr bwMode="auto">
                              <a:xfrm>
                                <a:off x="0" y="0"/>
                                <a:ext cx="1632585" cy="2146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position:absolute;z-index:251672576;o:allowoverlap:true;o:allowincell:true;mso-position-horizontal-relative:text;margin-left:200.9pt;mso-position-horizontal:absolute;mso-position-vertical-relative:text;margin-top:0.0pt;mso-position-vertical:absolute;width:128.5pt;height:16.9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b/>
                <w:bCs/>
                <w:i w:val="0"/>
                <w:iCs w:val="0"/>
                <w:color w:val="auto"/>
                <w:sz w:val="21"/>
                <w:szCs w:val="21"/>
                <w:highlight w:val="none"/>
                <w:u w:val="none"/>
                <w:lang w:val="en-US" w:eastAsia="zh-CN" w:bidi="ar"/>
              </w:rPr>
              <w:t xml:space="preserve">教师售餐间</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八格保温台定制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2300*455*800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双门热风循环消毒柜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1190*600*1950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1"/>
        </w:trPr>
        <w:tc>
          <w:tcPr>
            <w:gridSpan w:val="5"/>
            <w:shd w:val="clear" w:color="auto" w:fill="bfbfb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特色售餐间</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双层工作台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1500*600*800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双层工作台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四格保温台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1500*700*800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移门工作柜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保洁柜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1180*500*1780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排气罩</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5400*1200*500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双门蒸饭车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1080*760*1600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电磁双眼大锅灶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1900*1100*800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电饼铛</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640*800*800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活动拼台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350*800*800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1"/>
        </w:trPr>
        <w:tc>
          <w:tcPr>
            <w:gridSpan w:val="5"/>
            <w:shd w:val="clear" w:color="auto" w:fill="bfbfb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面点加工间</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双温六门冰箱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1800*760*1930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禾元豆浆机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φ600*1300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单星水池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500*500*800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压面机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750*600*1100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搅拌机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700*550*1090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平冷操作台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三层六盘烤箱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1200*850*1520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电饼档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640*800*800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醒发箱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500*700*1960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饼盘车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465*610*1680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排气罩</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2820*1010*500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中压前向多翼双吸式低噪音离心风机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1150*1010*1000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双门玻璃冷藏冰箱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1200*680*1910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卧式冰箱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960*670*860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1150*500*1800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不锈钢风管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r>
      <w:tr>
        <w:trPr>
          <w:trHeight w:val="601"/>
        </w:trPr>
        <w:tc>
          <w:tcPr>
            <w:gridSpan w:val="5"/>
            <w:shd w:val="clear" w:color="auto" w:fill="bfbfb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主食库</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米面架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800*600*1500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智能除湿机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400*370*700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1"/>
        </w:trPr>
        <w:tc>
          <w:tcPr>
            <w:gridSpan w:val="5"/>
            <w:shd w:val="clear" w:color="auto" w:fill="bfbfb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粗加工区/消毒间</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脱皮机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800*530*800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刀具砧板消毒柜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620*600*1200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大双星水池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1800*820*800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单星水池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800*760*800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双层挂墙板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1700*360*470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双层挂墙板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1800*360*470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双层工作台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2150*800*800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双层工作台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1800*760*800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四层格栅货架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1200*500*1800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四层格栅货架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1500*500*1800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切菜机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1230*610*1400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条板推车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1200*500*830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双星水池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1800*760*800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双层挂墙架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1800*350*450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双层工作台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双层工作台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1500*800*800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四层格栅货架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1200*500*1800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双门热风循环消毒柜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1300*620*1950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四门碗柜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1200*500*1800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1"/>
        </w:trPr>
        <w:tc>
          <w:tcPr>
            <w:gridSpan w:val="5"/>
            <w:shd w:val="clear" w:color="auto" w:fill="bfbfb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烹饪间</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用具消毒柜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1800*850*1980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双层工作台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双层工作台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1800*1200*800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保洁柜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1200*500*800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洗米机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蒸饭箱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1100*720*1540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蒸饭箱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960*740*1600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排气罩</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4450*1200*500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双眼大锅灶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2100*1150*800+400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大型开水炉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1600*750*1410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油烟净化一体机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8400*1300*900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后倾高压双吸式低噪音离心风机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1550*1110*1160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静电式油烟净化器+活性炭去味装置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25000m³/h</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不锈钢风管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r>
      <w:tr>
        <w:trPr>
          <w:trHeight w:val="601"/>
        </w:trPr>
        <w:tc>
          <w:tcPr>
            <w:gridSpan w:val="5"/>
            <w:shd w:val="clear" w:color="auto" w:fill="bfbfb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消毒区</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双门消毒柜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1350*650*1950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单门消毒柜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660*650*1950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1"/>
        </w:trPr>
        <w:tc>
          <w:tcPr>
            <w:gridSpan w:val="5"/>
            <w:shd w:val="clear" w:color="auto" w:fill="bfbfb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售餐间</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四层格栅货架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1200*500*1800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四层格栅货架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730*500*1800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1160*500*1800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双层工作台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1550*500*800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双层工作台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1520*400*800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双层工作台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880*600*800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六格保温台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2200*760*800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留样冰箱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550*550*1640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双门消毒柜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1325*650*1950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1"/>
        </w:trPr>
        <w:tc>
          <w:tcPr>
            <w:gridSpan w:val="5"/>
            <w:shd w:val="clear" w:color="auto" w:fill="bfbfb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洗碗间</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单星水池（无背）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750*800*800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单星水池（无背）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800*760*800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单星水池（无背）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1400*760*800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单星水池（无背）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950*650*830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长龙洗碗机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E90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双门消毒柜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1300*650*1950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双层工作台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850*700*800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01"/>
        </w:trPr>
        <w:tc>
          <w:tcPr>
            <w:gridSpan w:val="5"/>
            <w:shd w:val="clear" w:color="auto" w:fill="bfbfb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新风</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不锈钢风管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r>
    </w:tbl>
    <w:p>
      <w:pPr>
        <w:ind w:firstLine="422"/>
        <w:spacing w:line="440" w:lineRule="exact"/>
        <w:rPr>
          <w:rFonts w:hint="default" w:ascii="宋体" w:hAnsi="宋体" w:eastAsia="宋体" w:cs="宋体"/>
          <w:b/>
          <w:bCs/>
          <w:color w:val="auto"/>
          <w:sz w:val="21"/>
          <w:szCs w:val="21"/>
          <w:highlight w:val="none"/>
          <w:lang w:val="en-US" w:eastAsia="zh-CN"/>
        </w:rPr>
      </w:pPr>
      <w:r>
        <w:rPr>
          <w:rFonts w:hint="default" w:ascii="宋体" w:hAnsi="宋体" w:eastAsia="宋体" w:cs="宋体"/>
          <w:b/>
          <w:bCs/>
          <w:color w:val="auto"/>
          <w:sz w:val="21"/>
          <w:szCs w:val="21"/>
          <w:highlight w:val="none"/>
          <w:lang w:val="en-US" w:eastAsia="zh-CN"/>
        </w:rPr>
      </w:r>
      <w:r/>
    </w:p>
    <w:tbl>
      <w:tblPr>
        <w:tblStyle w:val="95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49"/>
        <w:gridCol w:w="2208"/>
        <w:gridCol w:w="2736"/>
        <w:gridCol w:w="852"/>
        <w:gridCol w:w="682"/>
        <w:gridCol w:w="2527"/>
      </w:tblGrid>
      <w:tr>
        <w:trPr>
          <w:trHeight w:val="740"/>
        </w:trPr>
        <w:tc>
          <w:tcPr>
            <w:gridSpan w:val="6"/>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auto"/>
                <w:sz w:val="36"/>
                <w:szCs w:val="36"/>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B区厨房旧设备安装维修清单：</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  次</w:t>
            </w:r>
            <w:r/>
          </w:p>
        </w:tc>
        <w:tc>
          <w:tcPr>
            <w:shd w:val="clear" w:color="auto" w:fill="auto"/>
            <w:tcBorders>
              <w:top w:val="single" w:color="000000" w:sz="4" w:space="0"/>
              <w:left w:val="single" w:color="000000" w:sz="4" w:space="0"/>
              <w:bottom w:val="single" w:color="000000" w:sz="4" w:space="0"/>
              <w:right w:val="single" w:color="000000" w:sz="4" w:space="0"/>
            </w:tcBorders>
            <w:tcW w:w="1219"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053"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规格尺寸</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377"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备注</w:t>
            </w:r>
            <w:r/>
          </w:p>
        </w:tc>
      </w:tr>
      <w:tr>
        <w:trPr>
          <w:trHeight w:val="601"/>
        </w:trPr>
        <w:tc>
          <w:tcPr>
            <w:gridSpan w:val="6"/>
            <w:shd w:val="clear" w:color="auto" w:fill="bfbfbf"/>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B区厨房设备搬运安装</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毛刷清洗机</w:t>
            </w:r>
            <w:r/>
          </w:p>
        </w:tc>
        <w:tc>
          <w:tcPr>
            <w:shd w:val="clear" w:color="auto" w:fill="auto"/>
            <w:tcBorders>
              <w:top w:val="single" w:color="000000" w:sz="4" w:space="0"/>
              <w:left w:val="single" w:color="000000" w:sz="4" w:space="0"/>
              <w:bottom w:val="single" w:color="000000" w:sz="4" w:space="0"/>
              <w:right w:val="single" w:color="000000" w:sz="4" w:space="0"/>
            </w:tcBorders>
            <w:tcW w:w="105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1100*700*960</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7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二次搬运及安装</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1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地架</w:t>
            </w:r>
            <w:r/>
          </w:p>
        </w:tc>
        <w:tc>
          <w:tcPr>
            <w:shd w:val="clear" w:color="auto" w:fill="auto"/>
            <w:tcBorders>
              <w:top w:val="single" w:color="000000" w:sz="4" w:space="0"/>
              <w:left w:val="single" w:color="000000" w:sz="4" w:space="0"/>
              <w:bottom w:val="single" w:color="000000" w:sz="4" w:space="0"/>
              <w:right w:val="single" w:color="000000" w:sz="4" w:space="0"/>
            </w:tcBorders>
            <w:tcW w:w="105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1300*900*250</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7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二次搬运及安装</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1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平板四层层架</w:t>
            </w:r>
            <w:r/>
          </w:p>
        </w:tc>
        <w:tc>
          <w:tcPr>
            <w:shd w:val="clear" w:color="auto" w:fill="auto"/>
            <w:tcBorders>
              <w:top w:val="single" w:color="000000" w:sz="4" w:space="0"/>
              <w:left w:val="single" w:color="000000" w:sz="4" w:space="0"/>
              <w:bottom w:val="single" w:color="000000" w:sz="4" w:space="0"/>
              <w:right w:val="single" w:color="000000" w:sz="4" w:space="0"/>
            </w:tcBorders>
            <w:tcW w:w="105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1200*500*1800</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7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二次搬运及安装</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1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平板四层层架</w:t>
            </w:r>
            <w:r/>
          </w:p>
        </w:tc>
        <w:tc>
          <w:tcPr>
            <w:shd w:val="clear" w:color="auto" w:fill="auto"/>
            <w:tcBorders>
              <w:top w:val="single" w:color="000000" w:sz="4" w:space="0"/>
              <w:left w:val="single" w:color="000000" w:sz="4" w:space="0"/>
              <w:bottom w:val="single" w:color="000000" w:sz="4" w:space="0"/>
              <w:right w:val="single" w:color="000000" w:sz="4" w:space="0"/>
            </w:tcBorders>
            <w:tcW w:w="105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1500*500*1800</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7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二次搬运及安装</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1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工作台连下一层条板</w:t>
            </w:r>
            <w:r/>
          </w:p>
        </w:tc>
        <w:tc>
          <w:tcPr>
            <w:shd w:val="clear" w:color="auto" w:fill="auto"/>
            <w:tcBorders>
              <w:top w:val="single" w:color="000000" w:sz="4" w:space="0"/>
              <w:left w:val="single" w:color="000000" w:sz="4" w:space="0"/>
              <w:bottom w:val="single" w:color="000000" w:sz="4" w:space="0"/>
              <w:right w:val="single" w:color="000000" w:sz="4" w:space="0"/>
            </w:tcBorders>
            <w:tcW w:w="105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7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二次搬运及安装</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1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三门用具消毒柜</w:t>
            </w:r>
            <w:r/>
          </w:p>
        </w:tc>
        <w:tc>
          <w:tcPr>
            <w:shd w:val="clear" w:color="auto" w:fill="auto"/>
            <w:tcBorders>
              <w:top w:val="single" w:color="000000" w:sz="4" w:space="0"/>
              <w:left w:val="single" w:color="000000" w:sz="4" w:space="0"/>
              <w:bottom w:val="single" w:color="000000" w:sz="4" w:space="0"/>
              <w:right w:val="single" w:color="000000" w:sz="4" w:space="0"/>
            </w:tcBorders>
            <w:tcW w:w="105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1800*850*1980</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7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二次搬运及安装</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1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四层层架</w:t>
            </w:r>
            <w:r/>
          </w:p>
        </w:tc>
        <w:tc>
          <w:tcPr>
            <w:shd w:val="clear" w:color="auto" w:fill="auto"/>
            <w:tcBorders>
              <w:top w:val="single" w:color="000000" w:sz="4" w:space="0"/>
              <w:left w:val="single" w:color="000000" w:sz="4" w:space="0"/>
              <w:bottom w:val="single" w:color="000000" w:sz="4" w:space="0"/>
              <w:right w:val="single" w:color="000000" w:sz="4" w:space="0"/>
            </w:tcBorders>
            <w:tcW w:w="105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1500*600*1800</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7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二次搬运及安装</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1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洗米机</w:t>
            </w:r>
            <w:r/>
          </w:p>
        </w:tc>
        <w:tc>
          <w:tcPr>
            <w:shd w:val="clear" w:color="auto" w:fill="auto"/>
            <w:tcBorders>
              <w:top w:val="single" w:color="000000" w:sz="4" w:space="0"/>
              <w:left w:val="single" w:color="000000" w:sz="4" w:space="0"/>
              <w:bottom w:val="single" w:color="000000" w:sz="4" w:space="0"/>
              <w:right w:val="single" w:color="000000" w:sz="4" w:space="0"/>
            </w:tcBorders>
            <w:tcW w:w="1053"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7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二次搬运及安装</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1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定制双门电加热饭车（竖盘）</w:t>
            </w:r>
            <w:r/>
          </w:p>
        </w:tc>
        <w:tc>
          <w:tcPr>
            <w:shd w:val="clear" w:color="auto" w:fill="auto"/>
            <w:tcBorders>
              <w:top w:val="single" w:color="000000" w:sz="4" w:space="0"/>
              <w:left w:val="single" w:color="000000" w:sz="4" w:space="0"/>
              <w:bottom w:val="single" w:color="000000" w:sz="4" w:space="0"/>
              <w:right w:val="single" w:color="000000" w:sz="4" w:space="0"/>
            </w:tcBorders>
            <w:tcW w:w="1053"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7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二次搬运及安装</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1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集气罩</w:t>
            </w:r>
            <w:r/>
          </w:p>
        </w:tc>
        <w:tc>
          <w:tcPr>
            <w:shd w:val="clear" w:color="auto" w:fill="auto"/>
            <w:tcBorders>
              <w:top w:val="single" w:color="000000" w:sz="4" w:space="0"/>
              <w:left w:val="single" w:color="000000" w:sz="4" w:space="0"/>
              <w:bottom w:val="single" w:color="000000" w:sz="4" w:space="0"/>
              <w:right w:val="single" w:color="000000" w:sz="4" w:space="0"/>
            </w:tcBorders>
            <w:tcW w:w="105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3200*1000*550</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7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二次搬运及安装</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1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油烟净化一体机</w:t>
            </w:r>
            <w:r/>
          </w:p>
        </w:tc>
        <w:tc>
          <w:tcPr>
            <w:shd w:val="clear" w:color="auto" w:fill="auto"/>
            <w:tcBorders>
              <w:top w:val="single" w:color="000000" w:sz="4" w:space="0"/>
              <w:left w:val="single" w:color="000000" w:sz="4" w:space="0"/>
              <w:bottom w:val="single" w:color="000000" w:sz="4" w:space="0"/>
              <w:right w:val="single" w:color="000000" w:sz="4" w:space="0"/>
            </w:tcBorders>
            <w:tcW w:w="105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2400*1350*1000</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7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二次搬运及安装</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油烟净化一体机</w:t>
            </w:r>
            <w:r/>
          </w:p>
        </w:tc>
        <w:tc>
          <w:tcPr>
            <w:shd w:val="clear" w:color="auto" w:fill="auto"/>
            <w:tcBorders>
              <w:top w:val="single" w:color="000000" w:sz="4" w:space="0"/>
              <w:left w:val="single" w:color="000000" w:sz="4" w:space="0"/>
              <w:bottom w:val="single" w:color="000000" w:sz="4" w:space="0"/>
              <w:right w:val="single" w:color="000000" w:sz="4" w:space="0"/>
            </w:tcBorders>
            <w:tcW w:w="105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2000*1350*1000</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7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二次搬运及安装</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油烟净化一体机</w:t>
            </w:r>
            <w:r/>
          </w:p>
        </w:tc>
        <w:tc>
          <w:tcPr>
            <w:shd w:val="clear" w:color="auto" w:fill="auto"/>
            <w:tcBorders>
              <w:top w:val="single" w:color="000000" w:sz="4" w:space="0"/>
              <w:left w:val="single" w:color="000000" w:sz="4" w:space="0"/>
              <w:bottom w:val="single" w:color="000000" w:sz="4" w:space="0"/>
              <w:right w:val="single" w:color="000000" w:sz="4" w:space="0"/>
            </w:tcBorders>
            <w:tcW w:w="105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2400*1350*1000</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7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二次搬运及安装</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油烟净化一体机</w:t>
            </w:r>
            <w:r/>
          </w:p>
        </w:tc>
        <w:tc>
          <w:tcPr>
            <w:shd w:val="clear" w:color="auto" w:fill="auto"/>
            <w:tcBorders>
              <w:top w:val="single" w:color="000000" w:sz="4" w:space="0"/>
              <w:left w:val="single" w:color="000000" w:sz="4" w:space="0"/>
              <w:bottom w:val="single" w:color="000000" w:sz="4" w:space="0"/>
              <w:right w:val="single" w:color="000000" w:sz="4" w:space="0"/>
            </w:tcBorders>
            <w:tcW w:w="105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2200*1350*1000</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7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二次搬运及安装</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油烟净化一体机</w:t>
            </w:r>
            <w:r/>
          </w:p>
        </w:tc>
        <w:tc>
          <w:tcPr>
            <w:shd w:val="clear" w:color="auto" w:fill="auto"/>
            <w:tcBorders>
              <w:top w:val="single" w:color="000000" w:sz="4" w:space="0"/>
              <w:left w:val="single" w:color="000000" w:sz="4" w:space="0"/>
              <w:bottom w:val="single" w:color="000000" w:sz="4" w:space="0"/>
              <w:right w:val="single" w:color="000000" w:sz="4" w:space="0"/>
            </w:tcBorders>
            <w:tcW w:w="105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2000*1350*1000</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7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二次搬运及安装</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1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三门用具消毒柜</w:t>
            </w:r>
            <w:r/>
          </w:p>
        </w:tc>
        <w:tc>
          <w:tcPr>
            <w:shd w:val="clear" w:color="auto" w:fill="auto"/>
            <w:tcBorders>
              <w:top w:val="single" w:color="000000" w:sz="4" w:space="0"/>
              <w:left w:val="single" w:color="000000" w:sz="4" w:space="0"/>
              <w:bottom w:val="single" w:color="000000" w:sz="4" w:space="0"/>
              <w:right w:val="single" w:color="000000" w:sz="4" w:space="0"/>
            </w:tcBorders>
            <w:tcW w:w="105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1800*850*1980</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7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二次搬运及安装</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1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双眼收残柜</w:t>
            </w:r>
            <w:r/>
          </w:p>
        </w:tc>
        <w:tc>
          <w:tcPr>
            <w:shd w:val="clear" w:color="auto" w:fill="auto"/>
            <w:tcBorders>
              <w:top w:val="single" w:color="000000" w:sz="4" w:space="0"/>
              <w:left w:val="single" w:color="000000" w:sz="4" w:space="0"/>
              <w:bottom w:val="single" w:color="000000" w:sz="4" w:space="0"/>
              <w:right w:val="single" w:color="000000" w:sz="4" w:space="0"/>
            </w:tcBorders>
            <w:tcW w:w="105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1200*600*1100</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7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二次搬运及安装</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1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搅拌机</w:t>
            </w:r>
            <w:r/>
          </w:p>
        </w:tc>
        <w:tc>
          <w:tcPr>
            <w:shd w:val="clear" w:color="auto" w:fill="auto"/>
            <w:tcBorders>
              <w:top w:val="single" w:color="000000" w:sz="4" w:space="0"/>
              <w:left w:val="single" w:color="000000" w:sz="4" w:space="0"/>
              <w:bottom w:val="single" w:color="000000" w:sz="4" w:space="0"/>
              <w:right w:val="single" w:color="000000" w:sz="4" w:space="0"/>
            </w:tcBorders>
            <w:tcW w:w="105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415*530*780</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7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二次搬运及安装</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1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和面机</w:t>
            </w:r>
            <w:r/>
          </w:p>
        </w:tc>
        <w:tc>
          <w:tcPr>
            <w:shd w:val="clear" w:color="auto" w:fill="auto"/>
            <w:tcBorders>
              <w:top w:val="single" w:color="000000" w:sz="4" w:space="0"/>
              <w:left w:val="single" w:color="000000" w:sz="4" w:space="0"/>
              <w:bottom w:val="single" w:color="000000" w:sz="4" w:space="0"/>
              <w:right w:val="single" w:color="000000" w:sz="4" w:space="0"/>
            </w:tcBorders>
            <w:tcW w:w="105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480*870*935</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7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二次搬运及安装</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1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座地压面机</w:t>
            </w:r>
            <w:r/>
          </w:p>
        </w:tc>
        <w:tc>
          <w:tcPr>
            <w:shd w:val="clear" w:color="auto" w:fill="auto"/>
            <w:tcBorders>
              <w:top w:val="single" w:color="000000" w:sz="4" w:space="0"/>
              <w:left w:val="single" w:color="000000" w:sz="4" w:space="0"/>
              <w:bottom w:val="single" w:color="000000" w:sz="4" w:space="0"/>
              <w:right w:val="single" w:color="000000" w:sz="4" w:space="0"/>
            </w:tcBorders>
            <w:tcW w:w="105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450*360*1040</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7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二次搬运及安装</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1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豆浆机</w:t>
            </w:r>
            <w:r/>
          </w:p>
        </w:tc>
        <w:tc>
          <w:tcPr>
            <w:shd w:val="clear" w:color="auto" w:fill="auto"/>
            <w:tcBorders>
              <w:top w:val="single" w:color="000000" w:sz="4" w:space="0"/>
              <w:left w:val="single" w:color="000000" w:sz="4" w:space="0"/>
              <w:bottom w:val="single" w:color="000000" w:sz="4" w:space="0"/>
              <w:right w:val="single" w:color="000000" w:sz="4" w:space="0"/>
            </w:tcBorders>
            <w:tcW w:w="105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670*505*970</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7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二次搬运及安装</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1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四格保温台</w:t>
            </w:r>
            <w:r/>
          </w:p>
        </w:tc>
        <w:tc>
          <w:tcPr>
            <w:shd w:val="clear" w:color="auto" w:fill="auto"/>
            <w:tcBorders>
              <w:top w:val="single" w:color="000000" w:sz="4" w:space="0"/>
              <w:left w:val="single" w:color="000000" w:sz="4" w:space="0"/>
              <w:bottom w:val="single" w:color="000000" w:sz="4" w:space="0"/>
              <w:right w:val="single" w:color="000000" w:sz="4" w:space="0"/>
            </w:tcBorders>
            <w:tcW w:w="105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1500*700*800</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7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二次搬运及安装</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1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保鲜工作台</w:t>
            </w:r>
            <w:r/>
          </w:p>
        </w:tc>
        <w:tc>
          <w:tcPr>
            <w:shd w:val="clear" w:color="auto" w:fill="auto"/>
            <w:tcBorders>
              <w:top w:val="single" w:color="000000" w:sz="4" w:space="0"/>
              <w:left w:val="single" w:color="000000" w:sz="4" w:space="0"/>
              <w:bottom w:val="single" w:color="000000" w:sz="4" w:space="0"/>
              <w:right w:val="single" w:color="000000" w:sz="4" w:space="0"/>
            </w:tcBorders>
            <w:tcW w:w="105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1800*600*800</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7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二次搬运及安装</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1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电磁双眼煮面炉</w:t>
            </w:r>
            <w:r/>
          </w:p>
        </w:tc>
        <w:tc>
          <w:tcPr>
            <w:shd w:val="clear" w:color="auto" w:fill="auto"/>
            <w:tcBorders>
              <w:top w:val="single" w:color="000000" w:sz="4" w:space="0"/>
              <w:left w:val="single" w:color="000000" w:sz="4" w:space="0"/>
              <w:bottom w:val="single" w:color="000000" w:sz="4" w:space="0"/>
              <w:right w:val="single" w:color="000000" w:sz="4" w:space="0"/>
            </w:tcBorders>
            <w:tcW w:w="105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1850*950*810</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7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二次搬运及安装</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21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电饼铛</w:t>
            </w:r>
            <w:r/>
          </w:p>
        </w:tc>
        <w:tc>
          <w:tcPr>
            <w:shd w:val="clear" w:color="auto" w:fill="auto"/>
            <w:tcBorders>
              <w:top w:val="single" w:color="000000" w:sz="4" w:space="0"/>
              <w:left w:val="single" w:color="000000" w:sz="4" w:space="0"/>
              <w:bottom w:val="single" w:color="000000" w:sz="4" w:space="0"/>
              <w:right w:val="single" w:color="000000" w:sz="4" w:space="0"/>
            </w:tcBorders>
            <w:tcW w:w="1053"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7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二次搬运及安装</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21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三层六盘电烤箱</w:t>
            </w:r>
            <w:r/>
          </w:p>
        </w:tc>
        <w:tc>
          <w:tcPr>
            <w:shd w:val="clear" w:color="auto" w:fill="auto"/>
            <w:tcBorders>
              <w:top w:val="single" w:color="000000" w:sz="4" w:space="0"/>
              <w:left w:val="single" w:color="000000" w:sz="4" w:space="0"/>
              <w:bottom w:val="single" w:color="000000" w:sz="4" w:space="0"/>
              <w:right w:val="single" w:color="000000" w:sz="4" w:space="0"/>
            </w:tcBorders>
            <w:tcW w:w="105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1225*770*1540</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7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二次搬运及安装</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21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定制双门电加热饭车（竖盘）</w:t>
            </w:r>
            <w:r/>
          </w:p>
        </w:tc>
        <w:tc>
          <w:tcPr>
            <w:shd w:val="clear" w:color="auto" w:fill="auto"/>
            <w:tcBorders>
              <w:top w:val="single" w:color="000000" w:sz="4" w:space="0"/>
              <w:left w:val="single" w:color="000000" w:sz="4" w:space="0"/>
              <w:bottom w:val="single" w:color="000000" w:sz="4" w:space="0"/>
              <w:right w:val="single" w:color="000000" w:sz="4" w:space="0"/>
            </w:tcBorders>
            <w:tcW w:w="105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24盘</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7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二次搬运及安装</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1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单门醒发箱</w:t>
            </w:r>
            <w:r/>
          </w:p>
        </w:tc>
        <w:tc>
          <w:tcPr>
            <w:shd w:val="clear" w:color="auto" w:fill="auto"/>
            <w:tcBorders>
              <w:top w:val="single" w:color="000000" w:sz="4" w:space="0"/>
              <w:left w:val="single" w:color="000000" w:sz="4" w:space="0"/>
              <w:bottom w:val="single" w:color="000000" w:sz="4" w:space="0"/>
              <w:right w:val="single" w:color="000000" w:sz="4" w:space="0"/>
            </w:tcBorders>
            <w:tcW w:w="105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500*710*1740</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7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二次搬运及安装</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21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膝顶洗手水池(带背）</w:t>
            </w:r>
            <w:r/>
          </w:p>
        </w:tc>
        <w:tc>
          <w:tcPr>
            <w:shd w:val="clear" w:color="auto" w:fill="auto"/>
            <w:tcBorders>
              <w:top w:val="single" w:color="000000" w:sz="4" w:space="0"/>
              <w:left w:val="single" w:color="000000" w:sz="4" w:space="0"/>
              <w:bottom w:val="single" w:color="000000" w:sz="4" w:space="0"/>
              <w:right w:val="single" w:color="000000" w:sz="4" w:space="0"/>
            </w:tcBorders>
            <w:tcW w:w="105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450*450*800/150</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7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二次搬运及安装</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21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双门热风循环消毒柜</w:t>
            </w:r>
            <w:r/>
          </w:p>
        </w:tc>
        <w:tc>
          <w:tcPr>
            <w:shd w:val="clear" w:color="auto" w:fill="auto"/>
            <w:tcBorders>
              <w:top w:val="single" w:color="000000" w:sz="4" w:space="0"/>
              <w:left w:val="single" w:color="000000" w:sz="4" w:space="0"/>
              <w:bottom w:val="single" w:color="000000" w:sz="4" w:space="0"/>
              <w:right w:val="single" w:color="000000" w:sz="4" w:space="0"/>
            </w:tcBorders>
            <w:tcW w:w="105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1310*700*1850</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7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二次搬运及安装</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21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四格保温台</w:t>
            </w:r>
            <w:r/>
          </w:p>
        </w:tc>
        <w:tc>
          <w:tcPr>
            <w:shd w:val="clear" w:color="auto" w:fill="auto"/>
            <w:tcBorders>
              <w:top w:val="single" w:color="000000" w:sz="4" w:space="0"/>
              <w:left w:val="single" w:color="000000" w:sz="4" w:space="0"/>
              <w:bottom w:val="single" w:color="000000" w:sz="4" w:space="0"/>
              <w:right w:val="single" w:color="000000" w:sz="4" w:space="0"/>
            </w:tcBorders>
            <w:tcW w:w="105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1500*700*800</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7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二次搬运及安装</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21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五格保温售饭台</w:t>
            </w:r>
            <w:r/>
          </w:p>
        </w:tc>
        <w:tc>
          <w:tcPr>
            <w:shd w:val="clear" w:color="auto" w:fill="auto"/>
            <w:tcBorders>
              <w:top w:val="single" w:color="000000" w:sz="4" w:space="0"/>
              <w:left w:val="single" w:color="000000" w:sz="4" w:space="0"/>
              <w:bottom w:val="single" w:color="000000" w:sz="4" w:space="0"/>
              <w:right w:val="single" w:color="000000" w:sz="4" w:space="0"/>
            </w:tcBorders>
            <w:tcW w:w="105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1800*700*800</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7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二次搬运及安装</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21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电热暖饭台</w:t>
            </w:r>
            <w:r/>
          </w:p>
        </w:tc>
        <w:tc>
          <w:tcPr>
            <w:shd w:val="clear" w:color="auto" w:fill="auto"/>
            <w:tcBorders>
              <w:top w:val="single" w:color="000000" w:sz="4" w:space="0"/>
              <w:left w:val="single" w:color="000000" w:sz="4" w:space="0"/>
              <w:bottom w:val="single" w:color="000000" w:sz="4" w:space="0"/>
              <w:right w:val="single" w:color="000000" w:sz="4" w:space="0"/>
            </w:tcBorders>
            <w:tcW w:w="105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600*700*800</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7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二次搬运及安装</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1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单门高身留样柜</w:t>
            </w:r>
            <w:r/>
          </w:p>
        </w:tc>
        <w:tc>
          <w:tcPr>
            <w:shd w:val="clear" w:color="auto" w:fill="auto"/>
            <w:tcBorders>
              <w:top w:val="single" w:color="000000" w:sz="4" w:space="0"/>
              <w:left w:val="single" w:color="000000" w:sz="4" w:space="0"/>
              <w:bottom w:val="single" w:color="000000" w:sz="4" w:space="0"/>
              <w:right w:val="single" w:color="000000" w:sz="4" w:space="0"/>
            </w:tcBorders>
            <w:tcW w:w="105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600*600*1820</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7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二次搬运及安装</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21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大单星盆台(带背)</w:t>
            </w:r>
            <w:r/>
          </w:p>
        </w:tc>
        <w:tc>
          <w:tcPr>
            <w:shd w:val="clear" w:color="auto" w:fill="auto"/>
            <w:tcBorders>
              <w:top w:val="single" w:color="000000" w:sz="4" w:space="0"/>
              <w:left w:val="single" w:color="000000" w:sz="4" w:space="0"/>
              <w:bottom w:val="single" w:color="000000" w:sz="4" w:space="0"/>
              <w:right w:val="single" w:color="000000" w:sz="4" w:space="0"/>
            </w:tcBorders>
            <w:tcW w:w="105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1200*760*800</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7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二次搬运及安装</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21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长龙式洗碗机带烘干</w:t>
            </w:r>
            <w:r/>
          </w:p>
        </w:tc>
        <w:tc>
          <w:tcPr>
            <w:shd w:val="clear" w:color="auto" w:fill="auto"/>
            <w:tcBorders>
              <w:top w:val="single" w:color="000000" w:sz="4" w:space="0"/>
              <w:left w:val="single" w:color="000000" w:sz="4" w:space="0"/>
              <w:bottom w:val="single" w:color="000000" w:sz="4" w:space="0"/>
              <w:right w:val="single" w:color="000000" w:sz="4" w:space="0"/>
            </w:tcBorders>
            <w:tcW w:w="105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3300*800*1850</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7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二次搬运及安装</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牛角罩</w:t>
            </w:r>
            <w:r/>
          </w:p>
        </w:tc>
        <w:tc>
          <w:tcPr>
            <w:shd w:val="clear" w:color="auto" w:fill="auto"/>
            <w:tcBorders>
              <w:top w:val="single" w:color="000000" w:sz="4" w:space="0"/>
              <w:left w:val="single" w:color="000000" w:sz="4" w:space="0"/>
              <w:bottom w:val="single" w:color="000000" w:sz="4" w:space="0"/>
              <w:right w:val="single" w:color="000000" w:sz="4" w:space="0"/>
            </w:tcBorders>
            <w:tcW w:w="1053"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7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二次搬运及安装</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21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消声风管</w:t>
            </w:r>
            <w:r/>
          </w:p>
        </w:tc>
        <w:tc>
          <w:tcPr>
            <w:shd w:val="clear" w:color="auto" w:fill="auto"/>
            <w:tcBorders>
              <w:top w:val="single" w:color="000000" w:sz="4" w:space="0"/>
              <w:left w:val="single" w:color="000000" w:sz="4" w:space="0"/>
              <w:bottom w:val="single" w:color="000000" w:sz="4" w:space="0"/>
              <w:right w:val="single" w:color="000000" w:sz="4" w:space="0"/>
            </w:tcBorders>
            <w:tcW w:w="105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1200*900</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7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二次搬运及安装</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21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静电式油烟净化器+活性炭去味装置</w:t>
            </w:r>
            <w:r/>
          </w:p>
        </w:tc>
        <w:tc>
          <w:tcPr>
            <w:shd w:val="clear" w:color="auto" w:fill="auto"/>
            <w:tcBorders>
              <w:top w:val="single" w:color="000000" w:sz="4" w:space="0"/>
              <w:left w:val="single" w:color="000000" w:sz="4" w:space="0"/>
              <w:bottom w:val="single" w:color="000000" w:sz="4" w:space="0"/>
              <w:right w:val="single" w:color="000000" w:sz="4" w:space="0"/>
            </w:tcBorders>
            <w:tcW w:w="105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26000m³/h</w:t>
            </w:r>
            <w:r>
              <w:rPr>
                <w:rFonts w:hint="eastAsia" w:ascii="宋体" w:hAnsi="宋体" w:eastAsia="宋体" w:cs="宋体"/>
                <w:b/>
                <w:bCs/>
                <w:i w:val="0"/>
                <w:iCs w:val="0"/>
                <w:color w:val="auto"/>
                <w:sz w:val="21"/>
                <w:szCs w:val="21"/>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7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二次搬运及安装</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21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后倾高压双吸式低噪音离心风机</w:t>
            </w:r>
            <w:r/>
          </w:p>
        </w:tc>
        <w:tc>
          <w:tcPr>
            <w:shd w:val="clear" w:color="auto" w:fill="auto"/>
            <w:tcBorders>
              <w:top w:val="single" w:color="000000" w:sz="4" w:space="0"/>
              <w:left w:val="single" w:color="000000" w:sz="4" w:space="0"/>
              <w:bottom w:val="single" w:color="000000" w:sz="4" w:space="0"/>
              <w:right w:val="single" w:color="000000" w:sz="4" w:space="0"/>
            </w:tcBorders>
            <w:tcW w:w="105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30000-23000m³/h/h /  1550*1110*1160/380V/11KW </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7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二次搬运及安装</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21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消声器</w:t>
            </w:r>
            <w:r/>
          </w:p>
        </w:tc>
        <w:tc>
          <w:tcPr>
            <w:shd w:val="clear" w:color="auto" w:fill="auto"/>
            <w:tcBorders>
              <w:top w:val="single" w:color="000000" w:sz="4" w:space="0"/>
              <w:left w:val="single" w:color="000000" w:sz="4" w:space="0"/>
              <w:bottom w:val="single" w:color="000000" w:sz="4" w:space="0"/>
              <w:right w:val="single" w:color="000000" w:sz="4" w:space="0"/>
            </w:tcBorders>
            <w:tcW w:w="105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2100*700*700               </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7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二次搬运及安装</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21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风机变频控制箱</w:t>
            </w:r>
            <w:r/>
          </w:p>
        </w:tc>
        <w:tc>
          <w:tcPr>
            <w:shd w:val="clear" w:color="auto" w:fill="auto"/>
            <w:tcBorders>
              <w:top w:val="single" w:color="000000" w:sz="4" w:space="0"/>
              <w:left w:val="single" w:color="000000" w:sz="4" w:space="0"/>
              <w:bottom w:val="single" w:color="000000" w:sz="4" w:space="0"/>
              <w:right w:val="single" w:color="000000" w:sz="4" w:space="0"/>
            </w:tcBorders>
            <w:tcW w:w="1053"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7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二次搬运及安装</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21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油烟净化实时监控系统</w:t>
            </w:r>
            <w:r/>
          </w:p>
        </w:tc>
        <w:tc>
          <w:tcPr>
            <w:shd w:val="clear" w:color="auto" w:fill="auto"/>
            <w:tcBorders>
              <w:top w:val="single" w:color="000000" w:sz="4" w:space="0"/>
              <w:left w:val="single" w:color="000000" w:sz="4" w:space="0"/>
              <w:bottom w:val="single" w:color="000000" w:sz="4" w:space="0"/>
              <w:right w:val="single" w:color="000000" w:sz="4" w:space="0"/>
            </w:tcBorders>
            <w:tcW w:w="105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检测精度0.05mg/M3</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37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二次搬运及安装</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21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轴流风机</w:t>
            </w:r>
            <w:r/>
          </w:p>
        </w:tc>
        <w:tc>
          <w:tcPr>
            <w:shd w:val="clear" w:color="auto" w:fill="auto"/>
            <w:tcBorders>
              <w:top w:val="single" w:color="000000" w:sz="4" w:space="0"/>
              <w:left w:val="single" w:color="000000" w:sz="4" w:space="0"/>
              <w:bottom w:val="single" w:color="000000" w:sz="4" w:space="0"/>
              <w:right w:val="single" w:color="000000" w:sz="4" w:space="0"/>
            </w:tcBorders>
            <w:tcW w:w="1053"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7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二次搬运及安装</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1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中压前向多翼双吸式低噪音离心风机</w:t>
            </w:r>
            <w:r/>
          </w:p>
        </w:tc>
        <w:tc>
          <w:tcPr>
            <w:shd w:val="clear" w:color="auto" w:fill="auto"/>
            <w:tcBorders>
              <w:top w:val="single" w:color="000000" w:sz="4" w:space="0"/>
              <w:left w:val="single" w:color="000000" w:sz="4" w:space="0"/>
              <w:bottom w:val="single" w:color="000000" w:sz="4" w:space="0"/>
              <w:right w:val="single" w:color="000000" w:sz="4" w:space="0"/>
            </w:tcBorders>
            <w:tcW w:w="1053"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7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二次搬运及安装</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21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风机变频控制箱</w:t>
            </w:r>
            <w:r/>
          </w:p>
        </w:tc>
        <w:tc>
          <w:tcPr>
            <w:shd w:val="clear" w:color="auto" w:fill="auto"/>
            <w:tcBorders>
              <w:top w:val="single" w:color="000000" w:sz="4" w:space="0"/>
              <w:left w:val="single" w:color="000000" w:sz="4" w:space="0"/>
              <w:bottom w:val="single" w:color="000000" w:sz="4" w:space="0"/>
              <w:right w:val="single" w:color="000000" w:sz="4" w:space="0"/>
            </w:tcBorders>
            <w:tcW w:w="1053"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7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二次搬运及安装</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21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高压移动清洗车</w:t>
            </w:r>
            <w:r/>
          </w:p>
        </w:tc>
        <w:tc>
          <w:tcPr>
            <w:shd w:val="clear" w:color="auto" w:fill="auto"/>
            <w:tcBorders>
              <w:top w:val="single" w:color="000000" w:sz="4" w:space="0"/>
              <w:left w:val="single" w:color="000000" w:sz="4" w:space="0"/>
              <w:bottom w:val="single" w:color="000000" w:sz="4" w:space="0"/>
              <w:right w:val="single" w:color="000000" w:sz="4" w:space="0"/>
            </w:tcBorders>
            <w:tcW w:w="1053"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7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二次搬运及安装</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21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挂壁风扇</w:t>
            </w:r>
            <w:r/>
          </w:p>
        </w:tc>
        <w:tc>
          <w:tcPr>
            <w:shd w:val="clear" w:color="auto" w:fill="auto"/>
            <w:tcBorders>
              <w:top w:val="single" w:color="000000" w:sz="4" w:space="0"/>
              <w:left w:val="single" w:color="000000" w:sz="4" w:space="0"/>
              <w:bottom w:val="single" w:color="000000" w:sz="4" w:space="0"/>
              <w:right w:val="single" w:color="000000" w:sz="4" w:space="0"/>
            </w:tcBorders>
            <w:tcW w:w="1053"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7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二次搬运及安装</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21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四门冷冻冰箱</w:t>
            </w:r>
            <w:r/>
          </w:p>
        </w:tc>
        <w:tc>
          <w:tcPr>
            <w:shd w:val="clear" w:color="auto" w:fill="auto"/>
            <w:tcBorders>
              <w:top w:val="single" w:color="000000" w:sz="4" w:space="0"/>
              <w:left w:val="single" w:color="000000" w:sz="4" w:space="0"/>
              <w:bottom w:val="single" w:color="000000" w:sz="4" w:space="0"/>
              <w:right w:val="single" w:color="000000" w:sz="4" w:space="0"/>
            </w:tcBorders>
            <w:tcW w:w="105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1220*760*1950</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7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二次搬运及安装</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21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除湿机</w:t>
            </w:r>
            <w:r/>
          </w:p>
        </w:tc>
        <w:tc>
          <w:tcPr>
            <w:shd w:val="clear" w:color="auto" w:fill="auto"/>
            <w:tcBorders>
              <w:top w:val="single" w:color="000000" w:sz="4" w:space="0"/>
              <w:left w:val="single" w:color="000000" w:sz="4" w:space="0"/>
              <w:bottom w:val="single" w:color="000000" w:sz="4" w:space="0"/>
              <w:right w:val="single" w:color="000000" w:sz="4" w:space="0"/>
            </w:tcBorders>
            <w:tcW w:w="1053"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7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二次搬运及安装</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21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六门高身双温雪柜</w:t>
            </w:r>
            <w:r/>
          </w:p>
        </w:tc>
        <w:tc>
          <w:tcPr>
            <w:shd w:val="clear" w:color="auto" w:fill="auto"/>
            <w:tcBorders>
              <w:top w:val="single" w:color="000000" w:sz="4" w:space="0"/>
              <w:left w:val="single" w:color="000000" w:sz="4" w:space="0"/>
              <w:bottom w:val="single" w:color="000000" w:sz="4" w:space="0"/>
              <w:right w:val="single" w:color="000000" w:sz="4" w:space="0"/>
            </w:tcBorders>
            <w:tcW w:w="105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1800*760*1950</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7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二次搬运及安装</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21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双层餐车</w:t>
            </w:r>
            <w:r/>
          </w:p>
        </w:tc>
        <w:tc>
          <w:tcPr>
            <w:shd w:val="clear" w:color="auto" w:fill="auto"/>
            <w:tcBorders>
              <w:top w:val="single" w:color="000000" w:sz="4" w:space="0"/>
              <w:left w:val="single" w:color="000000" w:sz="4" w:space="0"/>
              <w:bottom w:val="single" w:color="000000" w:sz="4" w:space="0"/>
              <w:right w:val="single" w:color="000000" w:sz="4" w:space="0"/>
            </w:tcBorders>
            <w:tcW w:w="1053"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7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二次搬运及安装</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21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不锈钢挂衣架</w:t>
            </w:r>
            <w:r/>
          </w:p>
        </w:tc>
        <w:tc>
          <w:tcPr>
            <w:shd w:val="clear" w:color="auto" w:fill="auto"/>
            <w:tcBorders>
              <w:top w:val="single" w:color="000000" w:sz="4" w:space="0"/>
              <w:left w:val="single" w:color="000000" w:sz="4" w:space="0"/>
              <w:bottom w:val="single" w:color="000000" w:sz="4" w:space="0"/>
              <w:right w:val="single" w:color="000000" w:sz="4" w:space="0"/>
            </w:tcBorders>
            <w:tcW w:w="1053"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7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二次搬运及安装</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21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干手器</w:t>
            </w:r>
            <w:r/>
          </w:p>
        </w:tc>
        <w:tc>
          <w:tcPr>
            <w:shd w:val="clear" w:color="auto" w:fill="auto"/>
            <w:tcBorders>
              <w:top w:val="single" w:color="000000" w:sz="4" w:space="0"/>
              <w:left w:val="single" w:color="000000" w:sz="4" w:space="0"/>
              <w:bottom w:val="single" w:color="000000" w:sz="4" w:space="0"/>
              <w:right w:val="single" w:color="000000" w:sz="4" w:space="0"/>
            </w:tcBorders>
            <w:tcW w:w="1053"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7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二次搬运及安装</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1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手消毒器</w:t>
            </w:r>
            <w:r/>
          </w:p>
        </w:tc>
        <w:tc>
          <w:tcPr>
            <w:shd w:val="clear" w:color="auto" w:fill="auto"/>
            <w:tcBorders>
              <w:top w:val="single" w:color="000000" w:sz="4" w:space="0"/>
              <w:left w:val="single" w:color="000000" w:sz="4" w:space="0"/>
              <w:bottom w:val="single" w:color="000000" w:sz="4" w:space="0"/>
              <w:right w:val="single" w:color="000000" w:sz="4" w:space="0"/>
            </w:tcBorders>
            <w:tcW w:w="1053"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7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二次搬运及安装</w:t>
            </w:r>
            <w:r/>
          </w:p>
        </w:tc>
      </w:tr>
      <w:tr>
        <w:trPr>
          <w:trHeight w:val="601"/>
        </w:trPr>
        <w:tc>
          <w:tcPr>
            <w:gridSpan w:val="6"/>
            <w:shd w:val="clear" w:color="auto" w:fill="bfbfbf"/>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B区厨房设备维修</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地架</w:t>
            </w:r>
            <w:r/>
          </w:p>
        </w:tc>
        <w:tc>
          <w:tcPr>
            <w:shd w:val="clear" w:color="auto" w:fill="auto"/>
            <w:tcBorders>
              <w:top w:val="single" w:color="000000" w:sz="4" w:space="0"/>
              <w:left w:val="single" w:color="000000" w:sz="4" w:space="0"/>
              <w:bottom w:val="single" w:color="000000" w:sz="4" w:space="0"/>
              <w:right w:val="single" w:color="000000" w:sz="4" w:space="0"/>
            </w:tcBorders>
            <w:tcW w:w="105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1300*900*250</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7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调整脚更换、层架脱焊补焊</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1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平板四层层架</w:t>
            </w:r>
            <w:r/>
          </w:p>
        </w:tc>
        <w:tc>
          <w:tcPr>
            <w:shd w:val="clear" w:color="auto" w:fill="auto"/>
            <w:tcBorders>
              <w:top w:val="single" w:color="000000" w:sz="4" w:space="0"/>
              <w:left w:val="single" w:color="000000" w:sz="4" w:space="0"/>
              <w:bottom w:val="single" w:color="000000" w:sz="4" w:space="0"/>
              <w:right w:val="single" w:color="000000" w:sz="4" w:space="0"/>
            </w:tcBorders>
            <w:tcW w:w="105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1200*500*1800</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7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调整脚更换、层架脱焊补焊</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1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平板四层层架</w:t>
            </w:r>
            <w:r/>
          </w:p>
        </w:tc>
        <w:tc>
          <w:tcPr>
            <w:shd w:val="clear" w:color="auto" w:fill="auto"/>
            <w:tcBorders>
              <w:top w:val="single" w:color="000000" w:sz="4" w:space="0"/>
              <w:left w:val="single" w:color="000000" w:sz="4" w:space="0"/>
              <w:bottom w:val="single" w:color="000000" w:sz="4" w:space="0"/>
              <w:right w:val="single" w:color="000000" w:sz="4" w:space="0"/>
            </w:tcBorders>
            <w:tcW w:w="105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1500*500*1800</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7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调整脚更换、层架脱焊补焊</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1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三门用具消毒柜</w:t>
            </w:r>
            <w:r/>
          </w:p>
        </w:tc>
        <w:tc>
          <w:tcPr>
            <w:shd w:val="clear" w:color="auto" w:fill="auto"/>
            <w:tcBorders>
              <w:top w:val="single" w:color="000000" w:sz="4" w:space="0"/>
              <w:left w:val="single" w:color="000000" w:sz="4" w:space="0"/>
              <w:bottom w:val="single" w:color="000000" w:sz="4" w:space="0"/>
              <w:right w:val="single" w:color="000000" w:sz="4" w:space="0"/>
            </w:tcBorders>
            <w:tcW w:w="105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1800*850*1980</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7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温控开关更换、密封胶条更换</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1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四格保温台</w:t>
            </w:r>
            <w:r/>
          </w:p>
        </w:tc>
        <w:tc>
          <w:tcPr>
            <w:shd w:val="clear" w:color="auto" w:fill="auto"/>
            <w:tcBorders>
              <w:top w:val="single" w:color="000000" w:sz="4" w:space="0"/>
              <w:left w:val="single" w:color="000000" w:sz="4" w:space="0"/>
              <w:bottom w:val="single" w:color="000000" w:sz="4" w:space="0"/>
              <w:right w:val="single" w:color="000000" w:sz="4" w:space="0"/>
            </w:tcBorders>
            <w:tcW w:w="105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1500*700*800</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7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电加热管更换</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1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五格保温售饭台</w:t>
            </w:r>
            <w:r/>
          </w:p>
        </w:tc>
        <w:tc>
          <w:tcPr>
            <w:shd w:val="clear" w:color="auto" w:fill="auto"/>
            <w:tcBorders>
              <w:top w:val="single" w:color="000000" w:sz="4" w:space="0"/>
              <w:left w:val="single" w:color="000000" w:sz="4" w:space="0"/>
              <w:bottom w:val="single" w:color="000000" w:sz="4" w:space="0"/>
              <w:right w:val="single" w:color="000000" w:sz="4" w:space="0"/>
            </w:tcBorders>
            <w:tcW w:w="105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1800*700*800</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7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电加热管更换</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1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电热暖饭台</w:t>
            </w:r>
            <w:r/>
          </w:p>
        </w:tc>
        <w:tc>
          <w:tcPr>
            <w:shd w:val="clear" w:color="auto" w:fill="auto"/>
            <w:tcBorders>
              <w:top w:val="single" w:color="000000" w:sz="4" w:space="0"/>
              <w:left w:val="single" w:color="000000" w:sz="4" w:space="0"/>
              <w:bottom w:val="single" w:color="000000" w:sz="4" w:space="0"/>
              <w:right w:val="single" w:color="000000" w:sz="4" w:space="0"/>
            </w:tcBorders>
            <w:tcW w:w="105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600*700*800</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7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电加热管更换</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1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定制双门电加热饭车（竖盘）</w:t>
            </w:r>
            <w:r/>
          </w:p>
        </w:tc>
        <w:tc>
          <w:tcPr>
            <w:shd w:val="clear" w:color="auto" w:fill="auto"/>
            <w:tcBorders>
              <w:top w:val="single" w:color="000000" w:sz="4" w:space="0"/>
              <w:left w:val="single" w:color="000000" w:sz="4" w:space="0"/>
              <w:bottom w:val="single" w:color="000000" w:sz="4" w:space="0"/>
              <w:right w:val="single" w:color="000000" w:sz="4" w:space="0"/>
            </w:tcBorders>
            <w:tcW w:w="1053"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7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电加热管更换、密封胶条更换</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1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豆浆机</w:t>
            </w:r>
            <w:r/>
          </w:p>
        </w:tc>
        <w:tc>
          <w:tcPr>
            <w:shd w:val="clear" w:color="auto" w:fill="auto"/>
            <w:tcBorders>
              <w:top w:val="single" w:color="000000" w:sz="4" w:space="0"/>
              <w:left w:val="single" w:color="000000" w:sz="4" w:space="0"/>
              <w:bottom w:val="single" w:color="000000" w:sz="4" w:space="0"/>
              <w:right w:val="single" w:color="000000" w:sz="4" w:space="0"/>
            </w:tcBorders>
            <w:tcW w:w="105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670*505*970</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7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电加热管更换、刀片更换</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1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集气罩</w:t>
            </w:r>
            <w:r/>
          </w:p>
        </w:tc>
        <w:tc>
          <w:tcPr>
            <w:shd w:val="clear" w:color="auto" w:fill="auto"/>
            <w:tcBorders>
              <w:top w:val="single" w:color="000000" w:sz="4" w:space="0"/>
              <w:left w:val="single" w:color="000000" w:sz="4" w:space="0"/>
              <w:bottom w:val="single" w:color="000000" w:sz="4" w:space="0"/>
              <w:right w:val="single" w:color="000000" w:sz="4" w:space="0"/>
            </w:tcBorders>
            <w:tcW w:w="105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3200*1000*550</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7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烟罩油网更换</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1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三门用具消毒柜</w:t>
            </w:r>
            <w:r/>
          </w:p>
        </w:tc>
        <w:tc>
          <w:tcPr>
            <w:shd w:val="clear" w:color="auto" w:fill="auto"/>
            <w:tcBorders>
              <w:top w:val="single" w:color="000000" w:sz="4" w:space="0"/>
              <w:left w:val="single" w:color="000000" w:sz="4" w:space="0"/>
              <w:bottom w:val="single" w:color="000000" w:sz="4" w:space="0"/>
              <w:right w:val="single" w:color="000000" w:sz="4" w:space="0"/>
            </w:tcBorders>
            <w:tcW w:w="105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1800*850*1980</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7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温控开关更换、密封胶条更换</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1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双门热风循环消毒柜</w:t>
            </w:r>
            <w:r/>
          </w:p>
        </w:tc>
        <w:tc>
          <w:tcPr>
            <w:shd w:val="clear" w:color="auto" w:fill="auto"/>
            <w:tcBorders>
              <w:top w:val="single" w:color="000000" w:sz="4" w:space="0"/>
              <w:left w:val="single" w:color="000000" w:sz="4" w:space="0"/>
              <w:bottom w:val="single" w:color="000000" w:sz="4" w:space="0"/>
              <w:right w:val="single" w:color="000000" w:sz="4" w:space="0"/>
            </w:tcBorders>
            <w:tcW w:w="105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1310*700*1850</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7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密封胶条更换</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1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静电式油烟净化器+活性炭去味装置</w:t>
            </w:r>
            <w:r/>
          </w:p>
        </w:tc>
        <w:tc>
          <w:tcPr>
            <w:shd w:val="clear" w:color="auto" w:fill="auto"/>
            <w:tcBorders>
              <w:top w:val="single" w:color="000000" w:sz="4" w:space="0"/>
              <w:left w:val="single" w:color="000000" w:sz="4" w:space="0"/>
              <w:bottom w:val="single" w:color="000000" w:sz="4" w:space="0"/>
              <w:right w:val="single" w:color="000000" w:sz="4" w:space="0"/>
            </w:tcBorders>
            <w:tcW w:w="105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26000m³/h</w:t>
            </w:r>
            <w:r>
              <w:rPr>
                <w:rFonts w:hint="eastAsia" w:ascii="宋体" w:hAnsi="宋体" w:eastAsia="宋体" w:cs="宋体"/>
                <w:b/>
                <w:bCs/>
                <w:i w:val="0"/>
                <w:iCs w:val="0"/>
                <w:color w:val="auto"/>
                <w:sz w:val="21"/>
                <w:szCs w:val="21"/>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7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活性炭更换</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1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后倾高压双吸式低噪音离心风机</w:t>
            </w:r>
            <w:r/>
          </w:p>
        </w:tc>
        <w:tc>
          <w:tcPr>
            <w:shd w:val="clear" w:color="auto" w:fill="auto"/>
            <w:tcBorders>
              <w:top w:val="single" w:color="000000" w:sz="4" w:space="0"/>
              <w:left w:val="single" w:color="000000" w:sz="4" w:space="0"/>
              <w:bottom w:val="single" w:color="000000" w:sz="4" w:space="0"/>
              <w:right w:val="single" w:color="000000" w:sz="4" w:space="0"/>
            </w:tcBorders>
            <w:tcW w:w="105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30000-23000m³/h/h /  1550*1110*1160/380V/11KW </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7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风机皮带轮更换</w:t>
            </w:r>
            <w:r/>
          </w:p>
        </w:tc>
      </w:tr>
    </w:tbl>
    <w:p>
      <w:pPr>
        <w:ind w:firstLine="422"/>
        <w:spacing w:line="440" w:lineRule="exact"/>
        <w:rPr>
          <w:rFonts w:hint="default" w:ascii="宋体" w:hAnsi="宋体" w:eastAsia="宋体" w:cs="宋体"/>
          <w:b/>
          <w:bCs/>
          <w:color w:val="auto"/>
          <w:sz w:val="21"/>
          <w:szCs w:val="21"/>
          <w:highlight w:val="none"/>
          <w:lang w:val="en-US" w:eastAsia="zh-CN"/>
        </w:rPr>
      </w:pPr>
      <w:r>
        <w:rPr>
          <w:rFonts w:hint="default" w:ascii="宋体" w:hAnsi="宋体" w:eastAsia="宋体" w:cs="宋体"/>
          <w:b/>
          <w:bCs/>
          <w:color w:val="auto"/>
          <w:sz w:val="21"/>
          <w:szCs w:val="21"/>
          <w:highlight w:val="none"/>
          <w:lang w:val="en-US" w:eastAsia="zh-CN"/>
        </w:rPr>
      </w:r>
      <w:r/>
    </w:p>
    <w:tbl>
      <w:tblPr>
        <w:tblStyle w:val="95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19"/>
        <w:gridCol w:w="2434"/>
        <w:gridCol w:w="2937"/>
        <w:gridCol w:w="867"/>
        <w:gridCol w:w="816"/>
        <w:gridCol w:w="2280"/>
      </w:tblGrid>
      <w:tr>
        <w:trPr>
          <w:trHeight w:val="480"/>
        </w:trPr>
        <w:tc>
          <w:tcPr>
            <w:gridSpan w:val="6"/>
            <w:shd w:val="clear" w:color="auto" w:fill="auto"/>
            <w:tcBorders>
              <w:top w:val="none" w:color="000000" w:sz="4" w:space="0"/>
              <w:left w:val="none" w:color="000000" w:sz="4" w:space="0"/>
              <w:bottom w:val="single" w:color="auto" w:sz="4" w:space="0"/>
              <w:right w:val="none" w:color="000000" w:sz="4" w:space="0"/>
            </w:tcBorders>
            <w:tcW w:w="5000" w:type="pct"/>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C区厨房旧设备安装维修清单：</w:t>
            </w:r>
            <w:r/>
          </w:p>
        </w:tc>
      </w:tr>
      <w:tr>
        <w:trPr>
          <w:trHeight w:val="700"/>
        </w:trPr>
        <w:tc>
          <w:tcPr>
            <w:shd w:val="clear" w:color="auto" w:fill="auto"/>
            <w:tcBorders>
              <w:top w:val="single" w:color="auto" w:sz="4" w:space="0"/>
              <w:left w:val="single" w:color="000000" w:sz="4" w:space="0"/>
              <w:bottom w:val="single" w:color="000000" w:sz="4" w:space="0"/>
              <w:right w:val="single" w:color="000000" w:sz="4" w:space="0"/>
            </w:tcBorders>
            <w:tcW w:w="26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  次</w:t>
            </w:r>
            <w:r/>
          </w:p>
        </w:tc>
        <w:tc>
          <w:tcPr>
            <w:shd w:val="clear" w:color="auto" w:fill="auto"/>
            <w:tcBorders>
              <w:top w:val="single" w:color="auto" w:sz="4" w:space="0"/>
              <w:left w:val="single" w:color="000000" w:sz="4" w:space="0"/>
              <w:bottom w:val="single" w:color="000000" w:sz="4" w:space="0"/>
              <w:right w:val="single" w:color="000000" w:sz="4" w:space="0"/>
            </w:tcBorders>
            <w:tcW w:w="123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设备名称</w:t>
            </w:r>
            <w:r/>
          </w:p>
        </w:tc>
        <w:tc>
          <w:tcPr>
            <w:shd w:val="clear" w:color="auto" w:fill="auto"/>
            <w:tcBorders>
              <w:top w:val="single" w:color="auto" w:sz="4" w:space="0"/>
              <w:left w:val="single" w:color="000000" w:sz="4" w:space="0"/>
              <w:bottom w:val="single" w:color="000000" w:sz="4" w:space="0"/>
              <w:right w:val="single" w:color="000000" w:sz="4" w:space="0"/>
            </w:tcBorders>
            <w:tcW w:w="149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规格尺寸</w:t>
            </w:r>
            <w:r/>
          </w:p>
        </w:tc>
        <w:tc>
          <w:tcPr>
            <w:shd w:val="clear" w:color="auto" w:fill="auto"/>
            <w:tcBorders>
              <w:top w:val="single" w:color="auto"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shd w:val="clear" w:color="auto" w:fill="auto"/>
            <w:tcBorders>
              <w:top w:val="single" w:color="auto"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shd w:val="clear" w:color="auto" w:fill="auto"/>
            <w:tcBorders>
              <w:top w:val="single" w:color="auto" w:sz="4" w:space="0"/>
              <w:left w:val="single" w:color="000000" w:sz="4" w:space="0"/>
              <w:bottom w:val="single" w:color="000000" w:sz="4" w:space="0"/>
              <w:right w:val="single" w:color="000000" w:sz="4" w:space="0"/>
            </w:tcBorders>
            <w:tcW w:w="115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备注</w:t>
            </w:r>
            <w:r/>
          </w:p>
        </w:tc>
      </w:tr>
      <w:tr>
        <w:trPr>
          <w:trHeight w:val="700"/>
        </w:trPr>
        <w:tc>
          <w:tcPr>
            <w:gridSpan w:val="6"/>
            <w:shd w:val="clear" w:color="auto" w:fill="dcd8c2" w:themeFill="background2" w:themeFillShade="E5"/>
            <w:tcBorders>
              <w:top w:val="single" w:color="auto"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shd w:val="clear" w:color="auto"/>
                <w:lang w:val="en-US" w:eastAsia="zh-CN" w:bidi="ar"/>
              </w:rPr>
              <w:t xml:space="preserve">C区厨房设备搬运安装</w:t>
            </w:r>
            <w:r/>
          </w:p>
        </w:tc>
      </w:tr>
      <w:tr>
        <w:trPr>
          <w:trHeight w:val="700"/>
        </w:trPr>
        <w:tc>
          <w:tcPr>
            <w:shd w:val="clear" w:color="auto" w:fill="auto"/>
            <w:tcBorders>
              <w:top w:val="single" w:color="auto" w:sz="4" w:space="0"/>
              <w:left w:val="single" w:color="000000" w:sz="4" w:space="0"/>
              <w:bottom w:val="single" w:color="000000" w:sz="4" w:space="0"/>
              <w:right w:val="single" w:color="000000" w:sz="4" w:space="0"/>
            </w:tcBorders>
            <w:tcW w:w="26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auto" w:sz="4" w:space="0"/>
              <w:left w:val="single" w:color="000000" w:sz="4" w:space="0"/>
              <w:bottom w:val="single" w:color="000000" w:sz="4" w:space="0"/>
              <w:right w:val="single" w:color="000000" w:sz="4" w:space="0"/>
            </w:tcBorders>
            <w:tcW w:w="123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四层层架</w:t>
            </w:r>
            <w:r/>
          </w:p>
        </w:tc>
        <w:tc>
          <w:tcPr>
            <w:shd w:val="clear" w:color="auto" w:fill="auto"/>
            <w:tcBorders>
              <w:top w:val="single" w:color="auto" w:sz="4" w:space="0"/>
              <w:left w:val="single" w:color="000000" w:sz="4" w:space="0"/>
              <w:bottom w:val="single" w:color="000000" w:sz="4" w:space="0"/>
              <w:right w:val="single" w:color="000000" w:sz="4" w:space="0"/>
            </w:tcBorders>
            <w:tcW w:w="149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1200*500*1800</w:t>
            </w:r>
            <w:r/>
          </w:p>
        </w:tc>
        <w:tc>
          <w:tcPr>
            <w:shd w:val="clear" w:color="auto" w:fill="auto"/>
            <w:tcBorders>
              <w:top w:val="single" w:color="auto"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auto"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auto" w:sz="4" w:space="0"/>
              <w:left w:val="single" w:color="000000" w:sz="4" w:space="0"/>
              <w:bottom w:val="single" w:color="000000" w:sz="4" w:space="0"/>
              <w:right w:val="single" w:color="000000" w:sz="4" w:space="0"/>
            </w:tcBorders>
            <w:tcW w:w="115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二次搬运及安装</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3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四层层架</w:t>
            </w:r>
            <w:r/>
          </w:p>
        </w:tc>
        <w:tc>
          <w:tcPr>
            <w:shd w:val="clear" w:color="auto" w:fill="auto"/>
            <w:tcBorders>
              <w:top w:val="single" w:color="000000" w:sz="4" w:space="0"/>
              <w:left w:val="single" w:color="000000" w:sz="4" w:space="0"/>
              <w:bottom w:val="single" w:color="000000" w:sz="4" w:space="0"/>
              <w:right w:val="single" w:color="000000" w:sz="4" w:space="0"/>
            </w:tcBorders>
            <w:tcW w:w="149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1500*500*1800</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二次搬运及安装</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3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条板推车</w:t>
            </w:r>
            <w:r/>
          </w:p>
        </w:tc>
        <w:tc>
          <w:tcPr>
            <w:shd w:val="clear" w:color="auto" w:fill="auto"/>
            <w:tcBorders>
              <w:top w:val="single" w:color="000000" w:sz="4" w:space="0"/>
              <w:left w:val="single" w:color="000000" w:sz="4" w:space="0"/>
              <w:bottom w:val="single" w:color="000000" w:sz="4" w:space="0"/>
              <w:right w:val="single" w:color="000000" w:sz="4" w:space="0"/>
            </w:tcBorders>
            <w:tcW w:w="1490"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二次搬运及安装</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3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智能除湿机</w:t>
            </w:r>
            <w:r/>
          </w:p>
        </w:tc>
        <w:tc>
          <w:tcPr>
            <w:shd w:val="clear" w:color="auto" w:fill="auto"/>
            <w:tcBorders>
              <w:top w:val="single" w:color="000000" w:sz="4" w:space="0"/>
              <w:left w:val="single" w:color="000000" w:sz="4" w:space="0"/>
              <w:bottom w:val="single" w:color="000000" w:sz="4" w:space="0"/>
              <w:right w:val="single" w:color="000000" w:sz="4" w:space="0"/>
            </w:tcBorders>
            <w:tcW w:w="1490"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二次搬运及安装</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3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用具消毒柜</w:t>
            </w:r>
            <w:r/>
          </w:p>
        </w:tc>
        <w:tc>
          <w:tcPr>
            <w:shd w:val="clear" w:color="auto" w:fill="auto"/>
            <w:tcBorders>
              <w:top w:val="single" w:color="000000" w:sz="4" w:space="0"/>
              <w:left w:val="single" w:color="000000" w:sz="4" w:space="0"/>
              <w:bottom w:val="single" w:color="000000" w:sz="4" w:space="0"/>
              <w:right w:val="single" w:color="000000" w:sz="4" w:space="0"/>
            </w:tcBorders>
            <w:tcW w:w="149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1700*750*1980</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二次搬运及安装</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3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四层层架</w:t>
            </w:r>
            <w:r/>
          </w:p>
        </w:tc>
        <w:tc>
          <w:tcPr>
            <w:shd w:val="clear" w:color="auto" w:fill="auto"/>
            <w:tcBorders>
              <w:top w:val="single" w:color="000000" w:sz="4" w:space="0"/>
              <w:left w:val="single" w:color="000000" w:sz="4" w:space="0"/>
              <w:bottom w:val="single" w:color="000000" w:sz="4" w:space="0"/>
              <w:right w:val="single" w:color="000000" w:sz="4" w:space="0"/>
            </w:tcBorders>
            <w:tcW w:w="149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1500*500*1800</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二次搬运及安装</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3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集气罩</w:t>
            </w:r>
            <w:r/>
          </w:p>
        </w:tc>
        <w:tc>
          <w:tcPr>
            <w:shd w:val="clear" w:color="auto" w:fill="auto"/>
            <w:tcBorders>
              <w:top w:val="single" w:color="000000" w:sz="4" w:space="0"/>
              <w:left w:val="single" w:color="000000" w:sz="4" w:space="0"/>
              <w:bottom w:val="single" w:color="000000" w:sz="4" w:space="0"/>
              <w:right w:val="single" w:color="000000" w:sz="4" w:space="0"/>
            </w:tcBorders>
            <w:tcW w:w="149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5400*1200*500</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二次搬运及安装</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3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油烟净化一体机</w:t>
            </w:r>
            <w:r/>
          </w:p>
        </w:tc>
        <w:tc>
          <w:tcPr>
            <w:shd w:val="clear" w:color="auto" w:fill="auto"/>
            <w:tcBorders>
              <w:top w:val="single" w:color="000000" w:sz="4" w:space="0"/>
              <w:left w:val="single" w:color="000000" w:sz="4" w:space="0"/>
              <w:bottom w:val="single" w:color="000000" w:sz="4" w:space="0"/>
              <w:right w:val="single" w:color="000000" w:sz="4" w:space="0"/>
            </w:tcBorders>
            <w:tcW w:w="149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2000*1300*1000</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二次搬运及安装</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3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油烟净化一体机</w:t>
            </w:r>
            <w:r/>
          </w:p>
        </w:tc>
        <w:tc>
          <w:tcPr>
            <w:shd w:val="clear" w:color="auto" w:fill="auto"/>
            <w:tcBorders>
              <w:top w:val="single" w:color="000000" w:sz="4" w:space="0"/>
              <w:left w:val="single" w:color="000000" w:sz="4" w:space="0"/>
              <w:bottom w:val="single" w:color="000000" w:sz="4" w:space="0"/>
              <w:right w:val="single" w:color="000000" w:sz="4" w:space="0"/>
            </w:tcBorders>
            <w:tcW w:w="149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2200*1300*1000</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二次搬运及安装</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洗米机</w:t>
            </w:r>
            <w:r/>
          </w:p>
        </w:tc>
        <w:tc>
          <w:tcPr>
            <w:shd w:val="clear" w:color="auto" w:fill="auto"/>
            <w:tcBorders>
              <w:top w:val="single" w:color="000000" w:sz="4" w:space="0"/>
              <w:left w:val="single" w:color="000000" w:sz="4" w:space="0"/>
              <w:bottom w:val="single" w:color="000000" w:sz="4" w:space="0"/>
              <w:right w:val="single" w:color="000000" w:sz="4" w:space="0"/>
            </w:tcBorders>
            <w:tcW w:w="1490"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二次搬运及安装</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3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集气罩</w:t>
            </w:r>
            <w:r/>
          </w:p>
        </w:tc>
        <w:tc>
          <w:tcPr>
            <w:shd w:val="clear" w:color="auto" w:fill="auto"/>
            <w:tcBorders>
              <w:top w:val="single" w:color="000000" w:sz="4" w:space="0"/>
              <w:left w:val="single" w:color="000000" w:sz="4" w:space="0"/>
              <w:bottom w:val="single" w:color="000000" w:sz="4" w:space="0"/>
              <w:right w:val="single" w:color="000000" w:sz="4" w:space="0"/>
            </w:tcBorders>
            <w:tcW w:w="149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4450*1200*500</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二次搬运及安装</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3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用具消毒柜</w:t>
            </w:r>
            <w:r/>
          </w:p>
        </w:tc>
        <w:tc>
          <w:tcPr>
            <w:shd w:val="clear" w:color="auto" w:fill="auto"/>
            <w:tcBorders>
              <w:top w:val="single" w:color="000000" w:sz="4" w:space="0"/>
              <w:left w:val="single" w:color="000000" w:sz="4" w:space="0"/>
              <w:bottom w:val="single" w:color="000000" w:sz="4" w:space="0"/>
              <w:right w:val="single" w:color="000000" w:sz="4" w:space="0"/>
            </w:tcBorders>
            <w:tcW w:w="149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1700*750*1980</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二次搬运及安装</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3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单门醒发箱</w:t>
            </w:r>
            <w:r/>
          </w:p>
        </w:tc>
        <w:tc>
          <w:tcPr>
            <w:shd w:val="clear" w:color="auto" w:fill="auto"/>
            <w:tcBorders>
              <w:top w:val="single" w:color="000000" w:sz="4" w:space="0"/>
              <w:left w:val="single" w:color="000000" w:sz="4" w:space="0"/>
              <w:bottom w:val="single" w:color="000000" w:sz="4" w:space="0"/>
              <w:right w:val="single" w:color="000000" w:sz="4" w:space="0"/>
            </w:tcBorders>
            <w:tcW w:w="149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500*710*1740</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二次搬运及安装</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3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集气罩</w:t>
            </w:r>
            <w:r/>
          </w:p>
        </w:tc>
        <w:tc>
          <w:tcPr>
            <w:shd w:val="clear" w:color="auto" w:fill="auto"/>
            <w:tcBorders>
              <w:top w:val="single" w:color="000000" w:sz="4" w:space="0"/>
              <w:left w:val="single" w:color="000000" w:sz="4" w:space="0"/>
              <w:bottom w:val="single" w:color="000000" w:sz="4" w:space="0"/>
              <w:right w:val="single" w:color="000000" w:sz="4" w:space="0"/>
            </w:tcBorders>
            <w:tcW w:w="149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2820*1010*500</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二次搬运及安装</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3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豆浆机</w:t>
            </w:r>
            <w:r/>
          </w:p>
        </w:tc>
        <w:tc>
          <w:tcPr>
            <w:shd w:val="clear" w:color="auto" w:fill="auto"/>
            <w:tcBorders>
              <w:top w:val="single" w:color="000000" w:sz="4" w:space="0"/>
              <w:left w:val="single" w:color="000000" w:sz="4" w:space="0"/>
              <w:bottom w:val="single" w:color="000000" w:sz="4" w:space="0"/>
              <w:right w:val="single" w:color="000000" w:sz="4" w:space="0"/>
            </w:tcBorders>
            <w:tcW w:w="149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670*505*970</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二次搬运及安装</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3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搅拌机</w:t>
            </w:r>
            <w:r/>
          </w:p>
        </w:tc>
        <w:tc>
          <w:tcPr>
            <w:shd w:val="clear" w:color="auto" w:fill="auto"/>
            <w:tcBorders>
              <w:top w:val="single" w:color="000000" w:sz="4" w:space="0"/>
              <w:left w:val="single" w:color="000000" w:sz="4" w:space="0"/>
              <w:bottom w:val="single" w:color="000000" w:sz="4" w:space="0"/>
              <w:right w:val="single" w:color="000000" w:sz="4" w:space="0"/>
            </w:tcBorders>
            <w:tcW w:w="149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415*530*780</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二次搬运及安装</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3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和面机</w:t>
            </w:r>
            <w:r/>
          </w:p>
        </w:tc>
        <w:tc>
          <w:tcPr>
            <w:shd w:val="clear" w:color="auto" w:fill="auto"/>
            <w:tcBorders>
              <w:top w:val="single" w:color="000000" w:sz="4" w:space="0"/>
              <w:left w:val="single" w:color="000000" w:sz="4" w:space="0"/>
              <w:bottom w:val="single" w:color="000000" w:sz="4" w:space="0"/>
              <w:right w:val="single" w:color="000000" w:sz="4" w:space="0"/>
            </w:tcBorders>
            <w:tcW w:w="149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480*870*935</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二次搬运及安装</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3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座地压面机</w:t>
            </w:r>
            <w:r/>
          </w:p>
        </w:tc>
        <w:tc>
          <w:tcPr>
            <w:shd w:val="clear" w:color="auto" w:fill="auto"/>
            <w:tcBorders>
              <w:top w:val="single" w:color="000000" w:sz="4" w:space="0"/>
              <w:left w:val="single" w:color="000000" w:sz="4" w:space="0"/>
              <w:bottom w:val="single" w:color="000000" w:sz="4" w:space="0"/>
              <w:right w:val="single" w:color="000000" w:sz="4" w:space="0"/>
            </w:tcBorders>
            <w:tcW w:w="149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450*360*1040</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二次搬运及安装</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3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定制双门电加热饭车（竖盘）</w:t>
            </w:r>
            <w:r/>
          </w:p>
        </w:tc>
        <w:tc>
          <w:tcPr>
            <w:shd w:val="clear" w:color="auto" w:fill="auto"/>
            <w:tcBorders>
              <w:top w:val="single" w:color="000000" w:sz="4" w:space="0"/>
              <w:left w:val="single" w:color="000000" w:sz="4" w:space="0"/>
              <w:bottom w:val="single" w:color="000000" w:sz="4" w:space="0"/>
              <w:right w:val="single" w:color="000000" w:sz="4" w:space="0"/>
            </w:tcBorders>
            <w:tcW w:w="1490"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二次搬运及安装</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23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双缸电炸炉</w:t>
            </w:r>
            <w:r/>
          </w:p>
        </w:tc>
        <w:tc>
          <w:tcPr>
            <w:shd w:val="clear" w:color="auto" w:fill="auto"/>
            <w:tcBorders>
              <w:top w:val="single" w:color="000000" w:sz="4" w:space="0"/>
              <w:left w:val="single" w:color="000000" w:sz="4" w:space="0"/>
              <w:bottom w:val="single" w:color="000000" w:sz="4" w:space="0"/>
              <w:right w:val="single" w:color="000000" w:sz="4" w:space="0"/>
            </w:tcBorders>
            <w:tcW w:w="149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850*700*800</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二次搬运及安装</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23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四格保温台</w:t>
            </w:r>
            <w:r/>
          </w:p>
        </w:tc>
        <w:tc>
          <w:tcPr>
            <w:shd w:val="clear" w:color="auto" w:fill="auto"/>
            <w:tcBorders>
              <w:top w:val="single" w:color="000000" w:sz="4" w:space="0"/>
              <w:left w:val="single" w:color="000000" w:sz="4" w:space="0"/>
              <w:bottom w:val="single" w:color="000000" w:sz="4" w:space="0"/>
              <w:right w:val="single" w:color="000000" w:sz="4" w:space="0"/>
            </w:tcBorders>
            <w:tcW w:w="149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1500*700*800</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二次搬运及安装</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23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双门热风循环消毒柜</w:t>
            </w:r>
            <w:r/>
          </w:p>
        </w:tc>
        <w:tc>
          <w:tcPr>
            <w:shd w:val="clear" w:color="auto" w:fill="auto"/>
            <w:tcBorders>
              <w:top w:val="single" w:color="000000" w:sz="4" w:space="0"/>
              <w:left w:val="single" w:color="000000" w:sz="4" w:space="0"/>
              <w:bottom w:val="single" w:color="000000" w:sz="4" w:space="0"/>
              <w:right w:val="single" w:color="000000" w:sz="4" w:space="0"/>
            </w:tcBorders>
            <w:tcW w:w="149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1310*700*1850</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二次搬运及安装</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3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单门高身留样柜</w:t>
            </w:r>
            <w:r/>
          </w:p>
        </w:tc>
        <w:tc>
          <w:tcPr>
            <w:shd w:val="clear" w:color="auto" w:fill="auto"/>
            <w:tcBorders>
              <w:top w:val="single" w:color="000000" w:sz="4" w:space="0"/>
              <w:left w:val="single" w:color="000000" w:sz="4" w:space="0"/>
              <w:bottom w:val="single" w:color="000000" w:sz="4" w:space="0"/>
              <w:right w:val="single" w:color="000000" w:sz="4" w:space="0"/>
            </w:tcBorders>
            <w:tcW w:w="149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600*600*1820</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二次搬运及安装</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23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静电式油烟净化器+活性炭去味装置</w:t>
            </w:r>
            <w:r/>
          </w:p>
        </w:tc>
        <w:tc>
          <w:tcPr>
            <w:shd w:val="clear" w:color="auto" w:fill="auto"/>
            <w:tcBorders>
              <w:top w:val="single" w:color="000000" w:sz="4" w:space="0"/>
              <w:left w:val="single" w:color="000000" w:sz="4" w:space="0"/>
              <w:bottom w:val="single" w:color="000000" w:sz="4" w:space="0"/>
              <w:right w:val="single" w:color="000000" w:sz="4" w:space="0"/>
            </w:tcBorders>
            <w:tcW w:w="149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26000m³/h</w:t>
            </w:r>
            <w:r>
              <w:rPr>
                <w:rFonts w:hint="eastAsia" w:ascii="宋体" w:hAnsi="宋体" w:eastAsia="宋体" w:cs="宋体"/>
                <w:b/>
                <w:bCs/>
                <w:i w:val="0"/>
                <w:iCs w:val="0"/>
                <w:color w:val="auto"/>
                <w:sz w:val="21"/>
                <w:szCs w:val="21"/>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二次搬运及安装</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23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后倾高压双吸式低噪音离心风机</w:t>
            </w:r>
            <w:r/>
          </w:p>
        </w:tc>
        <w:tc>
          <w:tcPr>
            <w:shd w:val="clear" w:color="auto" w:fill="auto"/>
            <w:tcBorders>
              <w:top w:val="single" w:color="000000" w:sz="4" w:space="0"/>
              <w:left w:val="single" w:color="000000" w:sz="4" w:space="0"/>
              <w:bottom w:val="single" w:color="000000" w:sz="4" w:space="0"/>
              <w:right w:val="single" w:color="000000" w:sz="4" w:space="0"/>
            </w:tcBorders>
            <w:tcW w:w="149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30000-23000m³/h /  1550*1110*1160/380V/11KW </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二次搬运及安装</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23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消声风管</w:t>
            </w:r>
            <w:r/>
          </w:p>
        </w:tc>
        <w:tc>
          <w:tcPr>
            <w:shd w:val="clear" w:color="auto" w:fill="auto"/>
            <w:tcBorders>
              <w:top w:val="single" w:color="000000" w:sz="4" w:space="0"/>
              <w:left w:val="single" w:color="000000" w:sz="4" w:space="0"/>
              <w:bottom w:val="single" w:color="000000" w:sz="4" w:space="0"/>
              <w:right w:val="single" w:color="000000" w:sz="4" w:space="0"/>
            </w:tcBorders>
            <w:tcW w:w="149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1200*900*900</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二次搬运及安装</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23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消声器</w:t>
            </w:r>
            <w:r/>
          </w:p>
        </w:tc>
        <w:tc>
          <w:tcPr>
            <w:shd w:val="clear" w:color="auto" w:fill="auto"/>
            <w:tcBorders>
              <w:top w:val="single" w:color="000000" w:sz="4" w:space="0"/>
              <w:left w:val="single" w:color="000000" w:sz="4" w:space="0"/>
              <w:bottom w:val="single" w:color="000000" w:sz="4" w:space="0"/>
              <w:right w:val="single" w:color="000000" w:sz="4" w:space="0"/>
            </w:tcBorders>
            <w:tcW w:w="149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2100*700*700               </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二次搬运及安装</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23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风机变频控制箱</w:t>
            </w:r>
            <w:r/>
          </w:p>
        </w:tc>
        <w:tc>
          <w:tcPr>
            <w:shd w:val="clear" w:color="auto" w:fill="auto"/>
            <w:tcBorders>
              <w:top w:val="single" w:color="000000" w:sz="4" w:space="0"/>
              <w:left w:val="single" w:color="000000" w:sz="4" w:space="0"/>
              <w:bottom w:val="single" w:color="000000" w:sz="4" w:space="0"/>
              <w:right w:val="single" w:color="000000" w:sz="4" w:space="0"/>
            </w:tcBorders>
            <w:tcW w:w="1490"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二次搬运及安装</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3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油烟净化实时监控系统</w:t>
            </w:r>
            <w:r/>
          </w:p>
        </w:tc>
        <w:tc>
          <w:tcPr>
            <w:shd w:val="clear" w:color="auto" w:fill="auto"/>
            <w:tcBorders>
              <w:top w:val="single" w:color="000000" w:sz="4" w:space="0"/>
              <w:left w:val="single" w:color="000000" w:sz="4" w:space="0"/>
              <w:bottom w:val="single" w:color="000000" w:sz="4" w:space="0"/>
              <w:right w:val="single" w:color="000000" w:sz="4" w:space="0"/>
            </w:tcBorders>
            <w:tcW w:w="149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检测精度0.05mg/M3</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二次搬运及安装</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shd w:val="clear" w:color="auto" w:fill="auto"/>
            <w:tcBorders>
              <w:top w:val="single" w:color="000000" w:sz="4" w:space="0"/>
              <w:left w:val="single" w:color="000000" w:sz="4" w:space="0"/>
              <w:bottom w:val="none" w:color="000000" w:sz="4" w:space="0"/>
              <w:right w:val="single" w:color="000000" w:sz="4" w:space="0"/>
            </w:tcBorders>
            <w:tcW w:w="123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轴流风机</w:t>
            </w:r>
            <w:r/>
          </w:p>
        </w:tc>
        <w:tc>
          <w:tcPr>
            <w:shd w:val="clear" w:color="auto" w:fill="auto"/>
            <w:tcBorders>
              <w:top w:val="single" w:color="000000" w:sz="4" w:space="0"/>
              <w:left w:val="single" w:color="000000" w:sz="4" w:space="0"/>
              <w:bottom w:val="none" w:color="000000" w:sz="4" w:space="0"/>
              <w:right w:val="single" w:color="000000" w:sz="4" w:space="0"/>
            </w:tcBorders>
            <w:tcW w:w="1490"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二次搬运及安装</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23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六门冰箱（冷冻）</w:t>
            </w:r>
            <w:r/>
          </w:p>
        </w:tc>
        <w:tc>
          <w:tcPr>
            <w:shd w:val="clear" w:color="auto" w:fill="auto"/>
            <w:tcBorders>
              <w:top w:val="single" w:color="000000" w:sz="4" w:space="0"/>
              <w:left w:val="single" w:color="000000" w:sz="4" w:space="0"/>
              <w:bottom w:val="single" w:color="000000" w:sz="4" w:space="0"/>
              <w:right w:val="single" w:color="000000" w:sz="4" w:space="0"/>
            </w:tcBorders>
            <w:tcW w:w="149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1820*760*1950</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二次搬运及安装</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23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六门冰箱（冷藏）</w:t>
            </w:r>
            <w:r/>
          </w:p>
        </w:tc>
        <w:tc>
          <w:tcPr>
            <w:shd w:val="clear" w:color="auto" w:fill="auto"/>
            <w:tcBorders>
              <w:top w:val="single" w:color="000000" w:sz="4" w:space="0"/>
              <w:left w:val="single" w:color="000000" w:sz="4" w:space="0"/>
              <w:bottom w:val="single" w:color="000000" w:sz="4" w:space="0"/>
              <w:right w:val="single" w:color="000000" w:sz="4" w:space="0"/>
            </w:tcBorders>
            <w:tcW w:w="149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1820*760*1950</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二次搬运及安装</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23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四门冰箱（冷藏）</w:t>
            </w:r>
            <w:r/>
          </w:p>
        </w:tc>
        <w:tc>
          <w:tcPr>
            <w:shd w:val="clear" w:color="auto" w:fill="auto"/>
            <w:tcBorders>
              <w:top w:val="single" w:color="000000" w:sz="4" w:space="0"/>
              <w:left w:val="single" w:color="000000" w:sz="4" w:space="0"/>
              <w:bottom w:val="single" w:color="000000" w:sz="4" w:space="0"/>
              <w:right w:val="single" w:color="000000" w:sz="4" w:space="0"/>
            </w:tcBorders>
            <w:tcW w:w="149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1220*760*1950</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二次搬运及安装</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23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四门玻璃门冰箱（冷藏）</w:t>
            </w:r>
            <w:r/>
          </w:p>
        </w:tc>
        <w:tc>
          <w:tcPr>
            <w:shd w:val="clear" w:color="auto" w:fill="auto"/>
            <w:tcBorders>
              <w:top w:val="single" w:color="000000" w:sz="4" w:space="0"/>
              <w:left w:val="single" w:color="000000" w:sz="4" w:space="0"/>
              <w:bottom w:val="single" w:color="000000" w:sz="4" w:space="0"/>
              <w:right w:val="single" w:color="000000" w:sz="4" w:space="0"/>
            </w:tcBorders>
            <w:tcW w:w="149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1220*760*1950</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二次搬运及安装</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23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四门冰箱（冷冻）</w:t>
            </w:r>
            <w:r/>
          </w:p>
        </w:tc>
        <w:tc>
          <w:tcPr>
            <w:shd w:val="clear" w:color="auto" w:fill="auto"/>
            <w:tcBorders>
              <w:top w:val="single" w:color="000000" w:sz="4" w:space="0"/>
              <w:left w:val="single" w:color="000000" w:sz="4" w:space="0"/>
              <w:bottom w:val="single" w:color="000000" w:sz="4" w:space="0"/>
              <w:right w:val="single" w:color="000000" w:sz="4" w:space="0"/>
            </w:tcBorders>
            <w:tcW w:w="149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1220*760*1950</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二次搬运及安装</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23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卧式冷冻</w:t>
            </w:r>
            <w:r/>
          </w:p>
        </w:tc>
        <w:tc>
          <w:tcPr>
            <w:shd w:val="clear" w:color="auto" w:fill="auto"/>
            <w:tcBorders>
              <w:top w:val="single" w:color="000000" w:sz="4" w:space="0"/>
              <w:left w:val="single" w:color="000000" w:sz="4" w:space="0"/>
              <w:bottom w:val="single" w:color="000000" w:sz="4" w:space="0"/>
              <w:right w:val="single" w:color="000000" w:sz="4" w:space="0"/>
            </w:tcBorders>
            <w:tcW w:w="149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960*670*860</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二次搬运及安装</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23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高压移动清洗车</w:t>
            </w:r>
            <w:r/>
          </w:p>
        </w:tc>
        <w:tc>
          <w:tcPr>
            <w:shd w:val="clear" w:color="auto" w:fill="auto"/>
            <w:tcBorders>
              <w:top w:val="single" w:color="000000" w:sz="4" w:space="0"/>
              <w:left w:val="single" w:color="000000" w:sz="4" w:space="0"/>
              <w:bottom w:val="single" w:color="000000" w:sz="4" w:space="0"/>
              <w:right w:val="single" w:color="000000" w:sz="4" w:space="0"/>
            </w:tcBorders>
            <w:tcW w:w="1490"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二次搬运及安装</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23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挂壁风扇</w:t>
            </w:r>
            <w:r/>
          </w:p>
        </w:tc>
        <w:tc>
          <w:tcPr>
            <w:shd w:val="clear" w:color="auto" w:fill="auto"/>
            <w:tcBorders>
              <w:top w:val="single" w:color="000000" w:sz="4" w:space="0"/>
              <w:left w:val="single" w:color="000000" w:sz="4" w:space="0"/>
              <w:bottom w:val="single" w:color="000000" w:sz="4" w:space="0"/>
              <w:right w:val="single" w:color="000000" w:sz="4" w:space="0"/>
            </w:tcBorders>
            <w:tcW w:w="1490"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二次搬运及安装</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3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双门蔬菜保温车</w:t>
            </w:r>
            <w:r/>
          </w:p>
        </w:tc>
        <w:tc>
          <w:tcPr>
            <w:shd w:val="clear" w:color="auto" w:fill="auto"/>
            <w:tcBorders>
              <w:top w:val="single" w:color="000000" w:sz="4" w:space="0"/>
              <w:left w:val="single" w:color="000000" w:sz="4" w:space="0"/>
              <w:bottom w:val="single" w:color="000000" w:sz="4" w:space="0"/>
              <w:right w:val="single" w:color="000000" w:sz="4" w:space="0"/>
            </w:tcBorders>
            <w:tcW w:w="1490"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二次搬运及安装</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23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干手器</w:t>
            </w:r>
            <w:r/>
          </w:p>
        </w:tc>
        <w:tc>
          <w:tcPr>
            <w:shd w:val="clear" w:color="auto" w:fill="auto"/>
            <w:tcBorders>
              <w:top w:val="single" w:color="000000" w:sz="4" w:space="0"/>
              <w:left w:val="single" w:color="000000" w:sz="4" w:space="0"/>
              <w:bottom w:val="single" w:color="000000" w:sz="4" w:space="0"/>
              <w:right w:val="single" w:color="000000" w:sz="4" w:space="0"/>
            </w:tcBorders>
            <w:tcW w:w="1490"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二次搬运及安装</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23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手消毒器</w:t>
            </w:r>
            <w:r/>
          </w:p>
        </w:tc>
        <w:tc>
          <w:tcPr>
            <w:shd w:val="clear" w:color="auto" w:fill="auto"/>
            <w:tcBorders>
              <w:top w:val="single" w:color="000000" w:sz="4" w:space="0"/>
              <w:left w:val="single" w:color="000000" w:sz="4" w:space="0"/>
              <w:bottom w:val="single" w:color="000000" w:sz="4" w:space="0"/>
              <w:right w:val="single" w:color="000000" w:sz="4" w:space="0"/>
            </w:tcBorders>
            <w:tcW w:w="1490"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二次搬运及安装</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23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牛角罩</w:t>
            </w:r>
            <w:r/>
          </w:p>
        </w:tc>
        <w:tc>
          <w:tcPr>
            <w:shd w:val="clear" w:color="auto" w:fill="auto"/>
            <w:tcBorders>
              <w:top w:val="single" w:color="000000" w:sz="4" w:space="0"/>
              <w:left w:val="single" w:color="000000" w:sz="4" w:space="0"/>
              <w:bottom w:val="single" w:color="000000" w:sz="4" w:space="0"/>
              <w:right w:val="single" w:color="000000" w:sz="4" w:space="0"/>
            </w:tcBorders>
            <w:tcW w:w="1490"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二次搬运及安装</w:t>
            </w:r>
            <w:r/>
          </w:p>
        </w:tc>
      </w:tr>
      <w:tr>
        <w:trPr>
          <w:trHeight w:val="480"/>
        </w:trPr>
        <w:tc>
          <w:tcPr>
            <w:gridSpan w:val="6"/>
            <w:shd w:val="clear" w:color="auto" w:fill="bfbfbf"/>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C区厨房设备维修</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四层层架</w:t>
            </w:r>
            <w:r/>
          </w:p>
        </w:tc>
        <w:tc>
          <w:tcPr>
            <w:shd w:val="clear" w:color="auto" w:fill="auto"/>
            <w:tcBorders>
              <w:top w:val="single" w:color="000000" w:sz="4" w:space="0"/>
              <w:left w:val="single" w:color="000000" w:sz="4" w:space="0"/>
              <w:bottom w:val="single" w:color="000000" w:sz="4" w:space="0"/>
              <w:right w:val="single" w:color="000000" w:sz="4" w:space="0"/>
            </w:tcBorders>
            <w:tcW w:w="149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1200*500*1800</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调整脚更换、层架脱焊补焊</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3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四层层架</w:t>
            </w:r>
            <w:r/>
          </w:p>
        </w:tc>
        <w:tc>
          <w:tcPr>
            <w:shd w:val="clear" w:color="auto" w:fill="auto"/>
            <w:tcBorders>
              <w:top w:val="single" w:color="000000" w:sz="4" w:space="0"/>
              <w:left w:val="single" w:color="000000" w:sz="4" w:space="0"/>
              <w:bottom w:val="single" w:color="000000" w:sz="4" w:space="0"/>
              <w:right w:val="single" w:color="000000" w:sz="4" w:space="0"/>
            </w:tcBorders>
            <w:tcW w:w="149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1500*500*1800</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调整脚更换、层架脱焊补焊</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3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四层层架</w:t>
            </w:r>
            <w:r/>
          </w:p>
        </w:tc>
        <w:tc>
          <w:tcPr>
            <w:shd w:val="clear" w:color="auto" w:fill="auto"/>
            <w:tcBorders>
              <w:top w:val="single" w:color="000000" w:sz="4" w:space="0"/>
              <w:left w:val="single" w:color="000000" w:sz="4" w:space="0"/>
              <w:bottom w:val="single" w:color="000000" w:sz="4" w:space="0"/>
              <w:right w:val="single" w:color="000000" w:sz="4" w:space="0"/>
            </w:tcBorders>
            <w:tcW w:w="149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1500*500*1800</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调整脚更换、层架脱焊补焊</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3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集气罩</w:t>
            </w:r>
            <w:r/>
          </w:p>
        </w:tc>
        <w:tc>
          <w:tcPr>
            <w:shd w:val="clear" w:color="auto" w:fill="auto"/>
            <w:tcBorders>
              <w:top w:val="single" w:color="000000" w:sz="4" w:space="0"/>
              <w:left w:val="single" w:color="000000" w:sz="4" w:space="0"/>
              <w:bottom w:val="single" w:color="000000" w:sz="4" w:space="0"/>
              <w:right w:val="single" w:color="000000" w:sz="4" w:space="0"/>
            </w:tcBorders>
            <w:tcW w:w="149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5400*1200*500</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烟罩灯更换</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3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双门电加热饭车</w:t>
            </w:r>
            <w:r/>
          </w:p>
        </w:tc>
        <w:tc>
          <w:tcPr>
            <w:shd w:val="clear" w:color="auto" w:fill="auto"/>
            <w:tcBorders>
              <w:top w:val="single" w:color="000000" w:sz="4" w:space="0"/>
              <w:left w:val="single" w:color="000000" w:sz="4" w:space="0"/>
              <w:bottom w:val="single" w:color="000000" w:sz="4" w:space="0"/>
              <w:right w:val="single" w:color="000000" w:sz="4" w:space="0"/>
            </w:tcBorders>
            <w:tcW w:w="1490"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电加热管更换、密封胶条更换</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3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集气罩</w:t>
            </w:r>
            <w:r/>
          </w:p>
        </w:tc>
        <w:tc>
          <w:tcPr>
            <w:shd w:val="clear" w:color="auto" w:fill="auto"/>
            <w:tcBorders>
              <w:top w:val="single" w:color="000000" w:sz="4" w:space="0"/>
              <w:left w:val="single" w:color="000000" w:sz="4" w:space="0"/>
              <w:bottom w:val="single" w:color="000000" w:sz="4" w:space="0"/>
              <w:right w:val="single" w:color="000000" w:sz="4" w:space="0"/>
            </w:tcBorders>
            <w:tcW w:w="149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4450*1200*500</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烟罩灯更换</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3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集气罩</w:t>
            </w:r>
            <w:r/>
          </w:p>
        </w:tc>
        <w:tc>
          <w:tcPr>
            <w:shd w:val="clear" w:color="auto" w:fill="auto"/>
            <w:tcBorders>
              <w:top w:val="single" w:color="000000" w:sz="4" w:space="0"/>
              <w:left w:val="single" w:color="000000" w:sz="4" w:space="0"/>
              <w:bottom w:val="single" w:color="000000" w:sz="4" w:space="0"/>
              <w:right w:val="single" w:color="000000" w:sz="4" w:space="0"/>
            </w:tcBorders>
            <w:tcW w:w="149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2820*1010*500</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烟罩油网更换</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3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豆浆机</w:t>
            </w:r>
            <w:r/>
          </w:p>
        </w:tc>
        <w:tc>
          <w:tcPr>
            <w:shd w:val="clear" w:color="auto" w:fill="auto"/>
            <w:tcBorders>
              <w:top w:val="single" w:color="000000" w:sz="4" w:space="0"/>
              <w:left w:val="single" w:color="000000" w:sz="4" w:space="0"/>
              <w:bottom w:val="single" w:color="000000" w:sz="4" w:space="0"/>
              <w:right w:val="single" w:color="000000" w:sz="4" w:space="0"/>
            </w:tcBorders>
            <w:tcW w:w="149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670*505*970</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刀片更换</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3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定制双门电加热饭车（竖盘）</w:t>
            </w:r>
            <w:r/>
          </w:p>
        </w:tc>
        <w:tc>
          <w:tcPr>
            <w:shd w:val="clear" w:color="auto" w:fill="auto"/>
            <w:tcBorders>
              <w:top w:val="single" w:color="000000" w:sz="4" w:space="0"/>
              <w:left w:val="single" w:color="000000" w:sz="4" w:space="0"/>
              <w:bottom w:val="single" w:color="000000" w:sz="4" w:space="0"/>
              <w:right w:val="single" w:color="000000" w:sz="4" w:space="0"/>
            </w:tcBorders>
            <w:tcW w:w="1490"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电加热管更换、密封胶条更换</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双门热风循环消毒柜</w:t>
            </w:r>
            <w:r/>
          </w:p>
        </w:tc>
        <w:tc>
          <w:tcPr>
            <w:shd w:val="clear" w:color="auto" w:fill="auto"/>
            <w:tcBorders>
              <w:top w:val="single" w:color="000000" w:sz="4" w:space="0"/>
              <w:left w:val="single" w:color="000000" w:sz="4" w:space="0"/>
              <w:bottom w:val="single" w:color="000000" w:sz="4" w:space="0"/>
              <w:right w:val="single" w:color="000000" w:sz="4" w:space="0"/>
            </w:tcBorders>
            <w:tcW w:w="149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1310*700*1850</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密封胶条更换</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3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长龙式洗碗机带烘干</w:t>
            </w:r>
            <w:r/>
          </w:p>
        </w:tc>
        <w:tc>
          <w:tcPr>
            <w:shd w:val="clear" w:color="auto" w:fill="auto"/>
            <w:tcBorders>
              <w:top w:val="single" w:color="000000" w:sz="4" w:space="0"/>
              <w:left w:val="single" w:color="000000" w:sz="4" w:space="0"/>
              <w:bottom w:val="single" w:color="000000" w:sz="4" w:space="0"/>
              <w:right w:val="single" w:color="000000" w:sz="4" w:space="0"/>
            </w:tcBorders>
            <w:tcW w:w="149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3800*860*2101</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洗涤剂分配器更换</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3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静电式油烟净化器+活性炭去味装置</w:t>
            </w:r>
            <w:r/>
          </w:p>
        </w:tc>
        <w:tc>
          <w:tcPr>
            <w:shd w:val="clear" w:color="auto" w:fill="auto"/>
            <w:tcBorders>
              <w:top w:val="single" w:color="000000" w:sz="4" w:space="0"/>
              <w:left w:val="single" w:color="000000" w:sz="4" w:space="0"/>
              <w:bottom w:val="single" w:color="000000" w:sz="4" w:space="0"/>
              <w:right w:val="single" w:color="000000" w:sz="4" w:space="0"/>
            </w:tcBorders>
            <w:tcW w:w="149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26000m³/h</w:t>
            </w:r>
            <w:r>
              <w:rPr>
                <w:rFonts w:hint="eastAsia" w:ascii="宋体" w:hAnsi="宋体" w:eastAsia="宋体" w:cs="宋体"/>
                <w:b/>
                <w:bCs/>
                <w:i w:val="0"/>
                <w:iCs w:val="0"/>
                <w:color w:val="auto"/>
                <w:sz w:val="21"/>
                <w:szCs w:val="21"/>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活性炭更换</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3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后倾高压双吸式低噪音离心风机</w:t>
            </w:r>
            <w:r/>
          </w:p>
        </w:tc>
        <w:tc>
          <w:tcPr>
            <w:shd w:val="clear" w:color="auto" w:fill="auto"/>
            <w:tcBorders>
              <w:top w:val="single" w:color="000000" w:sz="4" w:space="0"/>
              <w:left w:val="single" w:color="000000" w:sz="4" w:space="0"/>
              <w:bottom w:val="single" w:color="000000" w:sz="4" w:space="0"/>
              <w:right w:val="single" w:color="000000" w:sz="4" w:space="0"/>
            </w:tcBorders>
            <w:tcW w:w="149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30000-23000m³/h /  1550*1110*1160/380V/11KW </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风机皮带轮更换</w:t>
            </w:r>
            <w:r/>
          </w:p>
        </w:tc>
      </w:tr>
    </w:tbl>
    <w:p>
      <w:pPr>
        <w:ind w:firstLine="422"/>
        <w:spacing w:line="440" w:lineRule="exact"/>
        <w:rPr>
          <w:rFonts w:hint="default" w:ascii="宋体" w:hAnsi="宋体" w:eastAsia="宋体" w:cs="宋体"/>
          <w:b/>
          <w:bCs/>
          <w:color w:val="auto"/>
          <w:sz w:val="21"/>
          <w:szCs w:val="21"/>
          <w:highlight w:val="none"/>
          <w:lang w:val="en-US" w:eastAsia="zh-CN"/>
        </w:rPr>
      </w:pPr>
      <w:r>
        <w:rPr>
          <w:rFonts w:hint="default" w:ascii="宋体" w:hAnsi="宋体" w:eastAsia="宋体" w:cs="宋体"/>
          <w:b/>
          <w:bCs/>
          <w:color w:val="auto"/>
          <w:sz w:val="21"/>
          <w:szCs w:val="21"/>
          <w:highlight w:val="none"/>
          <w:lang w:val="en-US" w:eastAsia="zh-CN"/>
        </w:rPr>
      </w:r>
      <w:r/>
    </w:p>
    <w:p>
      <w:pPr>
        <w:numPr>
          <w:ilvl w:val="0"/>
          <w:numId w:val="0"/>
        </w:numPr>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注：</w:t>
      </w:r>
      <w:r/>
    </w:p>
    <w:p>
      <w:pPr>
        <w:ind w:firstLine="422"/>
        <w:spacing w:line="440" w:lineRule="exact"/>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rPr>
        <w:t xml:space="preserve">产品符合上表中规格（投标产品规格允许±5%内的偏差）</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投标产品涉及国家强制认证的（如电器）须具有相关认证证书（如3</w:t>
      </w:r>
      <w:r>
        <w:rPr>
          <w:rFonts w:hint="eastAsia" w:ascii="宋体" w:hAnsi="宋体" w:eastAsia="宋体" w:cs="宋体"/>
          <w:b/>
          <w:bCs/>
          <w:color w:val="auto"/>
          <w:sz w:val="21"/>
          <w:szCs w:val="21"/>
          <w:highlight w:val="none"/>
          <w:lang w:eastAsia="zh-CN"/>
        </w:rPr>
        <w:t xml:space="preserve">C国家强制性产品认证证书）。</w:t>
      </w:r>
      <w:r/>
    </w:p>
    <w:p>
      <w:pPr>
        <w:ind w:firstLine="422"/>
        <w:spacing w:line="44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2、与本项目有关的图纸请至百度网盘下载获取。</w:t>
      </w:r>
      <w:r/>
    </w:p>
    <w:p>
      <w:pPr>
        <w:ind w:firstLine="422"/>
        <w:spacing w:line="44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链接: https://pan.baidu.com/s/1dBQoUXYoxVV25aEmz5nDSg?pwd=zvhd 提取码: zvhd </w:t>
      </w:r>
      <w:r/>
    </w:p>
    <w:p>
      <w:pPr>
        <w:ind w:firstLine="422"/>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（三）规范和标准</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投标人所提供的产品及安装必须符合以下（包含但不限于）规范及标准（如下述内容中不为最新版本，请按最新版本采用）</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工业产品使用说明书总则（GB 9969.1-1998），原材料不锈钢冷轧钢板（GB/T 3280-1992），《不锈钢厨具》行业标准（QB/T 2174-95），饮食业油烟排放标准（GB 18483-2001）</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投标人应采用最新的规范和标准，具体以图纸描述为准。</w:t>
      </w:r>
      <w:r/>
    </w:p>
    <w:p>
      <w:pPr>
        <w:ind w:firstLine="422"/>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（四）采购范围及接口界面</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1、范围说明</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（1）厨房设备的生产供货、安装、调试、质量保证及售后服务；</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（2）根据招标文件中厨房设备平面布置图纸、采购设备清单，提供所有劳动力，材料、设备、服务、包装运货等，包括在图纸上、文件上未有提及，但合理运行需</w:t>
      </w:r>
      <w:r>
        <w:rPr>
          <w:rFonts w:hint="eastAsia" w:ascii="宋体" w:hAnsi="宋体" w:eastAsia="宋体" w:cs="宋体"/>
          <w:color w:val="auto"/>
          <w:sz w:val="21"/>
          <w:szCs w:val="21"/>
          <w:highlight w:val="none"/>
          <w:lang w:eastAsia="zh-CN"/>
        </w:rPr>
        <w:t xml:space="preserve">要</w:t>
      </w:r>
      <w:r>
        <w:rPr>
          <w:rFonts w:hint="eastAsia" w:ascii="宋体" w:hAnsi="宋体" w:eastAsia="宋体" w:cs="宋体"/>
          <w:color w:val="auto"/>
          <w:sz w:val="21"/>
          <w:szCs w:val="21"/>
          <w:highlight w:val="none"/>
        </w:rPr>
        <w:t xml:space="preserve">的附件及相关图纸。</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（3）提供</w:t>
      </w:r>
      <w:r>
        <w:rPr>
          <w:rFonts w:hint="eastAsia" w:ascii="宋体" w:hAnsi="宋体" w:eastAsia="宋体" w:cs="宋体"/>
          <w:color w:val="auto"/>
          <w:sz w:val="21"/>
          <w:szCs w:val="21"/>
          <w:highlight w:val="none"/>
          <w:lang w:val="en-US" w:eastAsia="zh-CN"/>
        </w:rPr>
        <w:t xml:space="preserve">安装单位</w:t>
      </w:r>
      <w:r>
        <w:rPr>
          <w:rFonts w:hint="eastAsia" w:ascii="宋体" w:hAnsi="宋体" w:eastAsia="宋体" w:cs="宋体"/>
          <w:color w:val="auto"/>
          <w:sz w:val="21"/>
          <w:szCs w:val="21"/>
          <w:highlight w:val="none"/>
        </w:rPr>
        <w:t xml:space="preserve">为安全或合理操作设备所需要的一些特别配件。如该配件并不是设备本身之</w:t>
      </w:r>
      <w:r>
        <w:rPr>
          <w:rFonts w:hint="eastAsia" w:ascii="宋体" w:hAnsi="宋体" w:eastAsia="宋体" w:cs="宋体"/>
          <w:color w:val="auto"/>
          <w:sz w:val="21"/>
          <w:szCs w:val="21"/>
          <w:highlight w:val="none"/>
          <w:lang w:eastAsia="zh-CN"/>
        </w:rPr>
        <w:t xml:space="preserve">部分</w:t>
      </w:r>
      <w:r>
        <w:rPr>
          <w:rFonts w:hint="eastAsia" w:ascii="宋体" w:hAnsi="宋体" w:eastAsia="宋体" w:cs="宋体"/>
          <w:color w:val="auto"/>
          <w:sz w:val="21"/>
          <w:szCs w:val="21"/>
          <w:highlight w:val="none"/>
        </w:rPr>
        <w:t xml:space="preserve">，该等配件亦需在工地安装前，交予有关安装单位。</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（4）投标单位要遵循现有厨艺设计，要与现有厨房工艺设计进行对接。</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2、接口界面</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与其它承办的接口界面</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（1）除特别注明外，厨房预留接驳点到厨具设备的水、电管线须投标人负责。</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（2）除特别注明外，厨房排油烟风机、油烟净化装置、厨房排油烟风管、补新风机、补新风风管等设备由投标人负责。</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（3）地沟的土建部分不在此项目内。</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（4）冷冻库、冷藏库内的地坪地砖不在此项目内。</w:t>
      </w:r>
      <w:r/>
    </w:p>
    <w:p>
      <w:pPr>
        <w:ind w:firstLine="422"/>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（五）工艺要求</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1、电器材料及设备工艺</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投标人需提供设备适当的插头或软线。</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当使用软线及插头时，软线需 3心或 4心PVC 包裹的软线，其中一根线需连接设备的框架及接地。所有软线及插座需有一定的安全系数及</w:t>
      </w:r>
      <w:r>
        <w:rPr>
          <w:rFonts w:hint="eastAsia" w:ascii="宋体" w:hAnsi="宋体" w:eastAsia="宋体" w:cs="宋体"/>
          <w:color w:val="auto"/>
          <w:sz w:val="21"/>
          <w:szCs w:val="21"/>
          <w:highlight w:val="none"/>
          <w:lang w:eastAsia="zh-CN"/>
        </w:rPr>
        <w:t xml:space="preserve">符合</w:t>
      </w:r>
      <w:r>
        <w:rPr>
          <w:rFonts w:hint="eastAsia" w:ascii="宋体" w:hAnsi="宋体" w:eastAsia="宋体" w:cs="宋体"/>
          <w:color w:val="auto"/>
          <w:sz w:val="21"/>
          <w:szCs w:val="21"/>
          <w:highlight w:val="none"/>
        </w:rPr>
        <w:t xml:space="preserve">当地的条例。</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所有电器设备需适当地接地。</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招标人有权要求投标人提供设备有关之电路图。</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2、龙头、阀门、配件等</w:t>
      </w:r>
      <w:r>
        <w:rPr>
          <w:rFonts w:hint="eastAsia" w:ascii="宋体" w:hAnsi="宋体" w:eastAsia="宋体" w:cs="宋体"/>
          <w:color w:val="auto"/>
          <w:sz w:val="21"/>
          <w:szCs w:val="21"/>
          <w:highlight w:val="none"/>
        </w:rPr>
        <w:tab/>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厨房所有龙头、排水设备包含给、排水接驳辅件、溢水管、软管等相关配件。</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如果水压</w:t>
      </w:r>
      <w:r>
        <w:rPr>
          <w:rFonts w:hint="eastAsia" w:ascii="宋体" w:hAnsi="宋体" w:eastAsia="宋体" w:cs="宋体"/>
          <w:color w:val="auto"/>
          <w:sz w:val="21"/>
          <w:szCs w:val="21"/>
          <w:highlight w:val="none"/>
          <w:lang w:eastAsia="zh-CN"/>
        </w:rPr>
        <w:t xml:space="preserve">供应</w:t>
      </w:r>
      <w:r>
        <w:rPr>
          <w:rFonts w:hint="eastAsia" w:ascii="宋体" w:hAnsi="宋体" w:eastAsia="宋体" w:cs="宋体"/>
          <w:color w:val="auto"/>
          <w:sz w:val="21"/>
          <w:szCs w:val="21"/>
          <w:highlight w:val="none"/>
        </w:rPr>
        <w:t xml:space="preserve">高于设备指定的承受压力，投标人需提供减压装置。</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3、制冷设备  </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所有冷凝机组，不论安装在柜台内，或分离式安装或安放在平台上均需安装品质优良的减震装置。冷凝机组在接驳铜管时，需要除湿及密封，并需附有压力保护装置，干燥器及冷媒观察镜等。由冷凝机组至蒸发器之铜管需作绝热包裹及适当地固定，高压管道需与低压管道分别包裹。</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4、不锈钢</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原材料不锈钢为304－2B标准</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不锈钢表面处理为 4 号沙光处理。</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5、不锈钢管</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不锈钢管使用1.0mm厚的无缝不锈钢管</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并需表面处理以配合其它配件。</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6、手柄、支架、锁、小五金等</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设备内使用的小五金， 如手柄、铰、锁等必须为铜制及镀铬磨光或不锈钢制造。</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所有抽屉、柜、冰箱等使用的锁，必须为圆形及镀铬磨光。所有的锁必须牢固结实。</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7、焊接</w:t>
      </w:r>
      <w:r>
        <w:rPr>
          <w:rFonts w:hint="eastAsia" w:ascii="宋体" w:hAnsi="宋体" w:eastAsia="宋体" w:cs="宋体"/>
          <w:color w:val="auto"/>
          <w:sz w:val="21"/>
          <w:szCs w:val="21"/>
          <w:highlight w:val="none"/>
        </w:rPr>
        <w:tab/>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不锈钢</w:t>
      </w:r>
      <w:r>
        <w:rPr>
          <w:rFonts w:hint="eastAsia" w:ascii="宋体" w:hAnsi="宋体" w:eastAsia="宋体" w:cs="宋体"/>
          <w:color w:val="auto"/>
          <w:sz w:val="21"/>
          <w:szCs w:val="21"/>
          <w:highlight w:val="none"/>
        </w:rPr>
        <w:t xml:space="preserve">焊接必须采用氩弧焊，不允许采用其它焊接方式。焊条需与金属本身</w:t>
      </w:r>
      <w:r>
        <w:rPr>
          <w:rFonts w:hint="eastAsia" w:ascii="宋体" w:hAnsi="宋体" w:eastAsia="宋体" w:cs="宋体"/>
          <w:color w:val="auto"/>
          <w:sz w:val="21"/>
          <w:szCs w:val="21"/>
          <w:highlight w:val="none"/>
          <w:lang w:eastAsia="zh-CN"/>
        </w:rPr>
        <w:t xml:space="preserve">成分相同</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透彻地</w:t>
      </w:r>
      <w:r>
        <w:rPr>
          <w:rFonts w:hint="eastAsia" w:ascii="宋体" w:hAnsi="宋体" w:eastAsia="宋体" w:cs="宋体"/>
          <w:color w:val="auto"/>
          <w:sz w:val="21"/>
          <w:szCs w:val="21"/>
          <w:highlight w:val="none"/>
        </w:rPr>
        <w:t xml:space="preserve">焊接，不能有砂眼，裂缝等不完整的地方。焊缝必须坚固</w:t>
      </w:r>
      <w:r>
        <w:rPr>
          <w:rFonts w:hint="eastAsia" w:ascii="宋体" w:hAnsi="宋体" w:eastAsia="宋体" w:cs="宋体"/>
          <w:color w:val="auto"/>
          <w:sz w:val="21"/>
          <w:szCs w:val="21"/>
          <w:highlight w:val="none"/>
          <w:lang w:val="en-US" w:eastAsia="zh-CN"/>
        </w:rPr>
        <w:t xml:space="preserve">具有</w:t>
      </w:r>
      <w:r>
        <w:rPr>
          <w:rFonts w:hint="eastAsia" w:ascii="宋体" w:hAnsi="宋体" w:eastAsia="宋体" w:cs="宋体"/>
          <w:color w:val="auto"/>
          <w:sz w:val="21"/>
          <w:szCs w:val="21"/>
          <w:highlight w:val="none"/>
        </w:rPr>
        <w:t xml:space="preserve">韧性。多余的填料必须磨平及磨光至焊接物本身的颜色一样。</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所有需要在工地焊接的设备焊接人员具有“建筑施工特种作业操作资格证（建筑焊工）”。</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8、表面处理</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所有表面能看见的焊接即需要适当地磨平、磨光及作表面处理，如果焊缝由于在焊接时下沉，则需整平及磨平不能有高底点。 在磨平时应避免不锈钢过热使变色。在工序处理时应先粗磨平，再磨光</w:t>
      </w:r>
      <w:r>
        <w:rPr>
          <w:rFonts w:hint="eastAsia" w:ascii="宋体" w:hAnsi="宋体" w:eastAsia="宋体" w:cs="宋体"/>
          <w:color w:val="auto"/>
          <w:sz w:val="21"/>
          <w:szCs w:val="21"/>
          <w:highlight w:val="none"/>
          <w:lang w:val="en-US" w:eastAsia="zh-CN"/>
        </w:rPr>
        <w:t xml:space="preserve">作</w:t>
      </w:r>
      <w:r>
        <w:rPr>
          <w:rFonts w:hint="eastAsia" w:ascii="宋体" w:hAnsi="宋体" w:eastAsia="宋体" w:cs="宋体"/>
          <w:color w:val="auto"/>
          <w:sz w:val="21"/>
          <w:szCs w:val="21"/>
          <w:highlight w:val="none"/>
        </w:rPr>
        <w:t xml:space="preserve">最后表面处理。</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所有由于不锈钢在加工时产生的拆裂，锯齿边等问题都需要磨平、磨光。在圆角的地方需要磨平磨光圆滑。</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9、冰箱、冰柜</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所有冰箱必须符合标准食物容器GN盆使用，内箱圆弧转角工艺。</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10、小车轮</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所有小车轮最低负荷 70 公斤。</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11、烟罩灭火系统</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烟罩灭火系统必须符合消防认证。</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系统为预充灭火液式</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经过安装在固定位置之喷咀，当火警发生时，把灭火液喷洒在着火之设备上面。</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烟罩灭火系统必须能扑灭烟罩下面各项灶具设备引起之火警。</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烟罩灭火系统必须能自动感应火警发生，并能自动激活，系统并须附有手动激活装置，切断阀门可采用机械式或电磁阀，系统须附有讯号接点，供消防承造商连接系统激活往消防中央控制屏。</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系统必须附有详细之技术资料，包括设计，安装，充液，保养，</w:t>
      </w:r>
      <w:r>
        <w:rPr>
          <w:rFonts w:hint="eastAsia" w:ascii="宋体" w:hAnsi="宋体" w:eastAsia="宋体" w:cs="宋体"/>
          <w:color w:val="auto"/>
          <w:sz w:val="21"/>
          <w:szCs w:val="21"/>
          <w:highlight w:val="none"/>
          <w:lang w:val="en-US" w:eastAsia="zh-CN"/>
        </w:rPr>
        <w:t xml:space="preserve">零配件</w:t>
      </w:r>
      <w:r>
        <w:rPr>
          <w:rFonts w:hint="eastAsia" w:ascii="宋体" w:hAnsi="宋体" w:eastAsia="宋体" w:cs="宋体"/>
          <w:color w:val="auto"/>
          <w:sz w:val="21"/>
          <w:szCs w:val="21"/>
          <w:highlight w:val="none"/>
        </w:rPr>
        <w:t xml:space="preserve">之安装，复位说明等。</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12、风管安装</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排油烟、送新风风管须按暖通规范安装，所用到的防火阀必须通过消防认证。油烟</w:t>
      </w:r>
      <w:r>
        <w:rPr>
          <w:rFonts w:hint="eastAsia" w:ascii="宋体" w:hAnsi="宋体" w:eastAsia="宋体" w:cs="宋体"/>
          <w:color w:val="auto"/>
          <w:sz w:val="21"/>
          <w:szCs w:val="21"/>
          <w:highlight w:val="none"/>
          <w:lang w:eastAsia="zh-CN"/>
        </w:rPr>
        <w:t xml:space="preserve">净化</w:t>
      </w:r>
      <w:r>
        <w:rPr>
          <w:rFonts w:hint="eastAsia" w:ascii="宋体" w:hAnsi="宋体" w:eastAsia="宋体" w:cs="宋体"/>
          <w:color w:val="auto"/>
          <w:sz w:val="21"/>
          <w:szCs w:val="21"/>
          <w:highlight w:val="none"/>
        </w:rPr>
        <w:t xml:space="preserve">设备须通过环保认证。</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13、基本材料规格</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工作台、柜、水池、保洁柜：</w:t>
      </w:r>
      <w:r/>
    </w:p>
    <w:tbl>
      <w:tblPr>
        <w:tblStyle w:val="95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81"/>
        <w:gridCol w:w="4025"/>
      </w:tblGrid>
      <w:tr>
        <w:trPr>
          <w:trHeight w:val="510"/>
        </w:trPr>
        <w:tc>
          <w:tcPr>
            <w:tcW w:w="4581" w:type="dxa"/>
            <w:vAlign w:val="center"/>
            <w:textDirection w:val="lrTb"/>
            <w:noWrap w:val="false"/>
          </w:tcPr>
          <w:p>
            <w:pPr>
              <w:jc w:val="center"/>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台面</w:t>
            </w:r>
            <w:r/>
          </w:p>
        </w:tc>
        <w:tc>
          <w:tcPr>
            <w:tcW w:w="4025" w:type="dxa"/>
            <w:vAlign w:val="center"/>
            <w:textDirection w:val="lrTb"/>
            <w:noWrap w:val="false"/>
          </w:tcPr>
          <w:p>
            <w:pPr>
              <w:jc w:val="center"/>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1.2毫米不锈钢</w:t>
            </w:r>
            <w:r/>
          </w:p>
        </w:tc>
      </w:tr>
      <w:tr>
        <w:trPr>
          <w:trHeight w:val="510"/>
        </w:trPr>
        <w:tc>
          <w:tcPr>
            <w:tcW w:w="4581" w:type="dxa"/>
            <w:vAlign w:val="center"/>
            <w:textDirection w:val="lrTb"/>
            <w:noWrap w:val="false"/>
          </w:tcPr>
          <w:p>
            <w:pPr>
              <w:jc w:val="center"/>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洗盆</w:t>
            </w:r>
            <w:r/>
          </w:p>
        </w:tc>
        <w:tc>
          <w:tcPr>
            <w:tcW w:w="4025" w:type="dxa"/>
            <w:vAlign w:val="center"/>
            <w:textDirection w:val="lrTb"/>
            <w:noWrap w:val="false"/>
          </w:tcPr>
          <w:p>
            <w:pPr>
              <w:jc w:val="center"/>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1.2毫米不锈钢</w:t>
            </w:r>
            <w:r/>
          </w:p>
        </w:tc>
      </w:tr>
      <w:tr>
        <w:trPr>
          <w:trHeight w:val="510"/>
        </w:trPr>
        <w:tc>
          <w:tcPr>
            <w:tcW w:w="4581" w:type="dxa"/>
            <w:vAlign w:val="center"/>
            <w:textDirection w:val="lrTb"/>
            <w:noWrap w:val="false"/>
          </w:tcPr>
          <w:p>
            <w:pPr>
              <w:jc w:val="center"/>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柜外身</w:t>
            </w:r>
            <w:r/>
          </w:p>
        </w:tc>
        <w:tc>
          <w:tcPr>
            <w:tcW w:w="4025" w:type="dxa"/>
            <w:vAlign w:val="center"/>
            <w:textDirection w:val="lrTb"/>
            <w:noWrap w:val="false"/>
          </w:tcPr>
          <w:p>
            <w:pPr>
              <w:jc w:val="center"/>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1.0毫米不锈钢</w:t>
            </w:r>
            <w:r/>
          </w:p>
        </w:tc>
      </w:tr>
      <w:tr>
        <w:trPr>
          <w:trHeight w:val="510"/>
        </w:trPr>
        <w:tc>
          <w:tcPr>
            <w:tcW w:w="4581" w:type="dxa"/>
            <w:vAlign w:val="center"/>
            <w:textDirection w:val="lrTb"/>
            <w:noWrap w:val="false"/>
          </w:tcPr>
          <w:p>
            <w:pPr>
              <w:jc w:val="center"/>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门外身</w:t>
            </w:r>
            <w:r/>
          </w:p>
        </w:tc>
        <w:tc>
          <w:tcPr>
            <w:tcW w:w="4025" w:type="dxa"/>
            <w:vAlign w:val="center"/>
            <w:textDirection w:val="lrTb"/>
            <w:noWrap w:val="false"/>
          </w:tcPr>
          <w:p>
            <w:pPr>
              <w:jc w:val="center"/>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1.0毫米不锈钢</w:t>
            </w:r>
            <w:r/>
          </w:p>
        </w:tc>
      </w:tr>
      <w:tr>
        <w:trPr>
          <w:trHeight w:val="510"/>
        </w:trPr>
        <w:tc>
          <w:tcPr>
            <w:tcW w:w="4581" w:type="dxa"/>
            <w:vAlign w:val="center"/>
            <w:textDirection w:val="lrTb"/>
            <w:noWrap w:val="false"/>
          </w:tcPr>
          <w:p>
            <w:pPr>
              <w:jc w:val="center"/>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暖菜柜水槽/热汤池柜水槽</w:t>
            </w:r>
            <w:r/>
          </w:p>
        </w:tc>
        <w:tc>
          <w:tcPr>
            <w:tcW w:w="4025" w:type="dxa"/>
            <w:vAlign w:val="center"/>
            <w:textDirection w:val="lrTb"/>
            <w:noWrap w:val="false"/>
          </w:tcPr>
          <w:p>
            <w:pPr>
              <w:jc w:val="center"/>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1.2毫米不锈钢</w:t>
            </w:r>
            <w:r/>
          </w:p>
        </w:tc>
      </w:tr>
      <w:tr>
        <w:trPr>
          <w:trHeight w:val="510"/>
        </w:trPr>
        <w:tc>
          <w:tcPr>
            <w:tcW w:w="4581" w:type="dxa"/>
            <w:vAlign w:val="center"/>
            <w:textDirection w:val="lrTb"/>
            <w:noWrap w:val="false"/>
          </w:tcPr>
          <w:p>
            <w:pPr>
              <w:jc w:val="center"/>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挂墙层板</w:t>
            </w:r>
            <w:r/>
          </w:p>
        </w:tc>
        <w:tc>
          <w:tcPr>
            <w:tcW w:w="4025" w:type="dxa"/>
            <w:vAlign w:val="center"/>
            <w:textDirection w:val="lrTb"/>
            <w:noWrap w:val="false"/>
          </w:tcPr>
          <w:p>
            <w:pPr>
              <w:jc w:val="center"/>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1.2毫米不锈钢</w:t>
            </w:r>
            <w:r/>
          </w:p>
        </w:tc>
      </w:tr>
      <w:tr>
        <w:trPr>
          <w:trHeight w:val="510"/>
        </w:trPr>
        <w:tc>
          <w:tcPr>
            <w:tcW w:w="4581" w:type="dxa"/>
            <w:vAlign w:val="center"/>
            <w:textDirection w:val="lrTb"/>
            <w:noWrap w:val="false"/>
          </w:tcPr>
          <w:p>
            <w:pPr>
              <w:jc w:val="center"/>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台面柜</w:t>
            </w:r>
            <w:r/>
          </w:p>
        </w:tc>
        <w:tc>
          <w:tcPr>
            <w:tcW w:w="4025" w:type="dxa"/>
            <w:vAlign w:val="center"/>
            <w:textDirection w:val="lrTb"/>
            <w:noWrap w:val="false"/>
          </w:tcPr>
          <w:p>
            <w:pPr>
              <w:jc w:val="center"/>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1.2毫米不锈钢</w:t>
            </w:r>
            <w:r/>
          </w:p>
        </w:tc>
      </w:tr>
      <w:tr>
        <w:trPr>
          <w:trHeight w:val="510"/>
        </w:trPr>
        <w:tc>
          <w:tcPr>
            <w:tcW w:w="4581" w:type="dxa"/>
            <w:vAlign w:val="center"/>
            <w:textDirection w:val="lrTb"/>
            <w:noWrap w:val="false"/>
          </w:tcPr>
          <w:p>
            <w:pPr>
              <w:jc w:val="center"/>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补强撑</w:t>
            </w:r>
            <w:r/>
          </w:p>
        </w:tc>
        <w:tc>
          <w:tcPr>
            <w:tcW w:w="4025" w:type="dxa"/>
            <w:vAlign w:val="center"/>
            <w:textDirection w:val="lrTb"/>
            <w:noWrap w:val="false"/>
          </w:tcPr>
          <w:p>
            <w:pPr>
              <w:jc w:val="center"/>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1.2毫米不锈钢</w:t>
            </w:r>
            <w:r/>
          </w:p>
        </w:tc>
      </w:tr>
      <w:tr>
        <w:trPr>
          <w:trHeight w:val="510"/>
        </w:trPr>
        <w:tc>
          <w:tcPr>
            <w:tcW w:w="4581" w:type="dxa"/>
            <w:vAlign w:val="center"/>
            <w:textDirection w:val="lrTb"/>
            <w:noWrap w:val="false"/>
          </w:tcPr>
          <w:p>
            <w:pPr>
              <w:jc w:val="center"/>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柜内层板</w:t>
            </w:r>
            <w:r/>
          </w:p>
        </w:tc>
        <w:tc>
          <w:tcPr>
            <w:tcW w:w="4025" w:type="dxa"/>
            <w:vAlign w:val="center"/>
            <w:textDirection w:val="lrTb"/>
            <w:noWrap w:val="false"/>
          </w:tcPr>
          <w:p>
            <w:pPr>
              <w:jc w:val="center"/>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1.2毫米不锈钢</w:t>
            </w:r>
            <w:r/>
          </w:p>
        </w:tc>
      </w:tr>
    </w:tbl>
    <w:p>
      <w:pPr>
        <w:ind w:firstLine="422"/>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（六）实施要求</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1、施工场地与条件</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投标人应全面负责施工范围内的现场施工管理，对施工范围场地内的用水、用电、施工现场的安全与卫生、场地内的施工协调负有全面的管理责任。</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2、临时用地</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工地管理单位将向投标人提供施工作业场地，但不包括投标人为实施本项目而设置的办公、仓储、加工、生活等所需的临时设施用地。</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3、施工通道</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可利用人行通道作为施工人员、材料，小型设备的出入口。大型设备可租用工程车运输施工场地。如投标人的施工设备、采购的设备、材料需工程车运输，应报招标人协调安排。投标人使用运输场地、通道等均应遵守工地管理单</w:t>
      </w:r>
      <w:r>
        <w:rPr>
          <w:rFonts w:hint="eastAsia" w:ascii="宋体" w:hAnsi="宋体" w:eastAsia="宋体" w:cs="宋体"/>
          <w:color w:val="auto"/>
          <w:sz w:val="21"/>
          <w:szCs w:val="21"/>
          <w:highlight w:val="none"/>
          <w:lang w:eastAsia="zh-CN"/>
        </w:rPr>
        <w:t xml:space="preserve">位的</w:t>
      </w:r>
      <w:r>
        <w:rPr>
          <w:rFonts w:hint="eastAsia" w:ascii="宋体" w:hAnsi="宋体" w:eastAsia="宋体" w:cs="宋体"/>
          <w:color w:val="auto"/>
          <w:sz w:val="21"/>
          <w:szCs w:val="21"/>
          <w:highlight w:val="none"/>
        </w:rPr>
        <w:t xml:space="preserve">相关规定。</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4、场地管理</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（1）场地一经移交给投标人，投标人应在本</w:t>
      </w:r>
      <w:r>
        <w:rPr>
          <w:rFonts w:hint="eastAsia" w:ascii="宋体" w:hAnsi="宋体" w:eastAsia="宋体" w:cs="宋体"/>
          <w:color w:val="auto"/>
          <w:sz w:val="21"/>
          <w:szCs w:val="21"/>
          <w:highlight w:val="none"/>
          <w:lang w:val="en-US" w:eastAsia="zh-CN"/>
        </w:rPr>
        <w:t xml:space="preserve">项目</w:t>
      </w:r>
      <w:r>
        <w:rPr>
          <w:rFonts w:hint="eastAsia" w:ascii="宋体" w:hAnsi="宋体" w:eastAsia="宋体" w:cs="宋体"/>
          <w:color w:val="auto"/>
          <w:sz w:val="21"/>
          <w:szCs w:val="21"/>
          <w:highlight w:val="none"/>
        </w:rPr>
        <w:t xml:space="preserve">实施全过程中全面负责施工范围内的现场管理，对场地的安全保卫、环境卫生（负责将垃圾清运至地盘管理商指定地点）、污水排放以及周围房屋、市政设施等负全责，因场地管理不善引发的一切纠纷由投标人自行解决，招标人不承担任何责任。</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（2）在本</w:t>
      </w:r>
      <w:r>
        <w:rPr>
          <w:rFonts w:hint="eastAsia" w:ascii="宋体" w:hAnsi="宋体" w:eastAsia="宋体" w:cs="宋体"/>
          <w:color w:val="auto"/>
          <w:sz w:val="21"/>
          <w:szCs w:val="21"/>
          <w:highlight w:val="none"/>
          <w:lang w:val="en-US" w:eastAsia="zh-CN"/>
        </w:rPr>
        <w:t xml:space="preserve">项目</w:t>
      </w:r>
      <w:r>
        <w:rPr>
          <w:rFonts w:hint="eastAsia" w:ascii="宋体" w:hAnsi="宋体" w:eastAsia="宋体" w:cs="宋体"/>
          <w:color w:val="auto"/>
          <w:sz w:val="21"/>
          <w:szCs w:val="21"/>
          <w:highlight w:val="none"/>
        </w:rPr>
        <w:t xml:space="preserve">完成时，投标人应负责清场，即负责将其所使用和修建的或留在现场的所有临时设施（包括装置、设备）和任何材料、物品进行拆除及清运。</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5、施工用水、用电</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需遵守工地管理单位的相关约定，并在指定的位置进行临时水、电的接驳。投标人负责由该接驳点至其使用地点的连接设施。投标人应与工地管理单位协调，并配合施工用水、用电的具体安排。投标人应确保只供本</w:t>
      </w:r>
      <w:r>
        <w:rPr>
          <w:rFonts w:hint="eastAsia" w:ascii="宋体" w:hAnsi="宋体" w:eastAsia="宋体" w:cs="宋体"/>
          <w:color w:val="auto"/>
          <w:sz w:val="21"/>
          <w:szCs w:val="21"/>
          <w:highlight w:val="none"/>
          <w:lang w:val="en-US" w:eastAsia="zh-CN"/>
        </w:rPr>
        <w:t xml:space="preserve">项目</w:t>
      </w:r>
      <w:r>
        <w:rPr>
          <w:rFonts w:hint="eastAsia" w:ascii="宋体" w:hAnsi="宋体" w:eastAsia="宋体" w:cs="宋体"/>
          <w:color w:val="auto"/>
          <w:sz w:val="21"/>
          <w:szCs w:val="21"/>
          <w:highlight w:val="none"/>
        </w:rPr>
        <w:t xml:space="preserve">使用。</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投标人供给招标人的设备、材料及安装所需工具、机具、起重设备、材料及临时设施，进入工地现场后的保管由投标人自己解决；所有材料、设备二次搬运费用由投标人自理；投标人在工地现场安装、调试、验收人员的安全、保险、食宿、交通，由投标人负责。除合同内商定的条款外，任何安装问题或费用均与买方无关。</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7、现场的检查与移交</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对不同系统的安装，应具备一定的前提条件。</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投标人应参加与设备相关承包商或其它承包商的相关工序检查；在每批设备安装开始前一个月进行现场检查认可。</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8、施工准备</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（1）投标人应充分考虑本</w:t>
      </w:r>
      <w:r>
        <w:rPr>
          <w:rFonts w:hint="eastAsia" w:ascii="宋体" w:hAnsi="宋体" w:eastAsia="宋体" w:cs="宋体"/>
          <w:color w:val="auto"/>
          <w:sz w:val="21"/>
          <w:szCs w:val="21"/>
          <w:highlight w:val="none"/>
          <w:lang w:val="en-US" w:eastAsia="zh-CN"/>
        </w:rPr>
        <w:t xml:space="preserve">项目</w:t>
      </w:r>
      <w:r>
        <w:rPr>
          <w:rFonts w:hint="eastAsia" w:ascii="宋体" w:hAnsi="宋体" w:eastAsia="宋体" w:cs="宋体"/>
          <w:color w:val="auto"/>
          <w:sz w:val="21"/>
          <w:szCs w:val="21"/>
          <w:highlight w:val="none"/>
        </w:rPr>
        <w:t xml:space="preserve">的特点，包括工期要求和施工时的相互干扰等，提出切实可行的施工方法和施工组织方案。</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（2）认真</w:t>
      </w:r>
      <w:r>
        <w:rPr>
          <w:rFonts w:hint="eastAsia" w:ascii="宋体" w:hAnsi="宋体" w:eastAsia="宋体" w:cs="宋体"/>
          <w:color w:val="auto"/>
          <w:sz w:val="21"/>
          <w:szCs w:val="21"/>
          <w:highlight w:val="none"/>
          <w:lang w:eastAsia="zh-CN"/>
        </w:rPr>
        <w:t xml:space="preserve">做好</w:t>
      </w:r>
      <w:r>
        <w:rPr>
          <w:rFonts w:hint="eastAsia" w:ascii="宋体" w:hAnsi="宋体" w:eastAsia="宋体" w:cs="宋体"/>
          <w:color w:val="auto"/>
          <w:sz w:val="21"/>
          <w:szCs w:val="21"/>
          <w:highlight w:val="none"/>
        </w:rPr>
        <w:t xml:space="preserve">施工图交底工作。</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（3）现场跟踪、检查预留孔洞、沟槽设备基础是否符合要求，发现与设计不符者，应及时提出，并与相关承包商协商处理。</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（4）检查安装机具的种类、数量及功能是否满足施工要求。</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（5）检查场地是否满足进场条件。</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（6）针对本</w:t>
      </w:r>
      <w:r>
        <w:rPr>
          <w:rFonts w:hint="eastAsia" w:ascii="宋体" w:hAnsi="宋体" w:eastAsia="宋体" w:cs="宋体"/>
          <w:color w:val="auto"/>
          <w:sz w:val="21"/>
          <w:szCs w:val="21"/>
          <w:highlight w:val="none"/>
          <w:lang w:val="en-US" w:eastAsia="zh-CN"/>
        </w:rPr>
        <w:t xml:space="preserve">项目</w:t>
      </w:r>
      <w:r>
        <w:rPr>
          <w:rFonts w:hint="eastAsia" w:ascii="宋体" w:hAnsi="宋体" w:eastAsia="宋体" w:cs="宋体"/>
          <w:color w:val="auto"/>
          <w:sz w:val="21"/>
          <w:szCs w:val="21"/>
          <w:highlight w:val="none"/>
        </w:rPr>
        <w:t xml:space="preserve">的特点，对各级</w:t>
      </w:r>
      <w:r>
        <w:rPr>
          <w:rFonts w:hint="eastAsia" w:ascii="宋体" w:hAnsi="宋体" w:eastAsia="宋体" w:cs="宋体"/>
          <w:color w:val="auto"/>
          <w:sz w:val="21"/>
          <w:szCs w:val="21"/>
          <w:highlight w:val="none"/>
          <w:lang w:val="en-US" w:eastAsia="zh-CN"/>
        </w:rPr>
        <w:t xml:space="preserve">安装</w:t>
      </w:r>
      <w:r>
        <w:rPr>
          <w:rFonts w:hint="eastAsia" w:ascii="宋体" w:hAnsi="宋体" w:eastAsia="宋体" w:cs="宋体"/>
          <w:color w:val="auto"/>
          <w:sz w:val="21"/>
          <w:szCs w:val="21"/>
          <w:highlight w:val="none"/>
        </w:rPr>
        <w:t xml:space="preserve">人员进行有关安装工艺质量及安全等方面的培训，并经考核合格，</w:t>
      </w:r>
      <w:r>
        <w:rPr>
          <w:rFonts w:hint="eastAsia" w:ascii="宋体" w:hAnsi="宋体" w:eastAsia="宋体" w:cs="宋体"/>
          <w:color w:val="auto"/>
          <w:sz w:val="21"/>
          <w:szCs w:val="21"/>
          <w:highlight w:val="none"/>
          <w:lang w:eastAsia="zh-CN"/>
        </w:rPr>
        <w:t xml:space="preserve">方可</w:t>
      </w:r>
      <w:r>
        <w:rPr>
          <w:rFonts w:hint="eastAsia" w:ascii="宋体" w:hAnsi="宋体" w:eastAsia="宋体" w:cs="宋体"/>
          <w:color w:val="auto"/>
          <w:sz w:val="21"/>
          <w:szCs w:val="21"/>
          <w:highlight w:val="none"/>
        </w:rPr>
        <w:t xml:space="preserve">参加本</w:t>
      </w:r>
      <w:r>
        <w:rPr>
          <w:rFonts w:hint="eastAsia" w:ascii="宋体" w:hAnsi="宋体" w:eastAsia="宋体" w:cs="宋体"/>
          <w:color w:val="auto"/>
          <w:sz w:val="21"/>
          <w:szCs w:val="21"/>
          <w:highlight w:val="none"/>
          <w:lang w:val="en-US" w:eastAsia="zh-CN"/>
        </w:rPr>
        <w:t xml:space="preserve">项目</w:t>
      </w:r>
      <w:r>
        <w:rPr>
          <w:rFonts w:hint="eastAsia" w:ascii="宋体" w:hAnsi="宋体" w:eastAsia="宋体" w:cs="宋体"/>
          <w:color w:val="auto"/>
          <w:sz w:val="21"/>
          <w:szCs w:val="21"/>
          <w:highlight w:val="none"/>
        </w:rPr>
        <w:t xml:space="preserve">的</w:t>
      </w:r>
      <w:r>
        <w:rPr>
          <w:rFonts w:hint="eastAsia" w:ascii="宋体" w:hAnsi="宋体" w:eastAsia="宋体" w:cs="宋体"/>
          <w:color w:val="auto"/>
          <w:sz w:val="21"/>
          <w:szCs w:val="21"/>
          <w:highlight w:val="none"/>
          <w:lang w:val="en-US" w:eastAsia="zh-CN"/>
        </w:rPr>
        <w:t xml:space="preserve">安装</w:t>
      </w:r>
      <w:r>
        <w:rPr>
          <w:rFonts w:hint="eastAsia" w:ascii="宋体" w:hAnsi="宋体" w:eastAsia="宋体" w:cs="宋体"/>
          <w:color w:val="auto"/>
          <w:sz w:val="21"/>
          <w:szCs w:val="21"/>
          <w:highlight w:val="none"/>
        </w:rPr>
        <w:t xml:space="preserve">。</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（7）应编制施工组织方案的实施计划，并与其它设备与建筑装修工作相协调。</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9、设备、材料现场保管和维护</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（1）投标人施工范围内的所有设备、设施的维护保管应遵循这些设备的国家有关规定及设备说明书要求，因投标人原因造成材料、设备受损，一切费用和</w:t>
      </w:r>
      <w:r>
        <w:rPr>
          <w:rFonts w:hint="eastAsia" w:ascii="宋体" w:hAnsi="宋体" w:eastAsia="宋体" w:cs="宋体"/>
          <w:color w:val="auto"/>
          <w:sz w:val="21"/>
          <w:szCs w:val="21"/>
          <w:highlight w:val="none"/>
          <w:lang w:eastAsia="zh-CN"/>
        </w:rPr>
        <w:t xml:space="preserve">补偿</w:t>
      </w:r>
      <w:r>
        <w:rPr>
          <w:rFonts w:hint="eastAsia" w:ascii="宋体" w:hAnsi="宋体" w:eastAsia="宋体" w:cs="宋体"/>
          <w:color w:val="auto"/>
          <w:sz w:val="21"/>
          <w:szCs w:val="21"/>
          <w:highlight w:val="none"/>
        </w:rPr>
        <w:t xml:space="preserve">由投标人承担。</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（2）材料的现场保管和维护</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1）投标人的现场施工材料应在其临建仓库存放，考虑到施工空间较密集，未经招标人或监理工程师许可，不得在任何房间、区域堆放材料或搭建临用仓库。</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2）投标人应负责设备及材料存放的防火、防盗、防潮等。</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3）由于存放和维护措施不当而造成材料的变形、变质由投标人负责。</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10、安全防护与文明施工</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（1）安全防护</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1）投标人对安全防护的责任在</w:t>
      </w:r>
      <w:r>
        <w:rPr>
          <w:rFonts w:hint="eastAsia" w:ascii="宋体" w:hAnsi="宋体" w:eastAsia="宋体" w:cs="宋体"/>
          <w:color w:val="auto"/>
          <w:sz w:val="21"/>
          <w:szCs w:val="21"/>
          <w:highlight w:val="none"/>
          <w:lang w:val="en-US" w:eastAsia="zh-CN"/>
        </w:rPr>
        <w:t xml:space="preserve">项目</w:t>
      </w:r>
      <w:r>
        <w:rPr>
          <w:rFonts w:hint="eastAsia" w:ascii="宋体" w:hAnsi="宋体" w:eastAsia="宋体" w:cs="宋体"/>
          <w:color w:val="auto"/>
          <w:sz w:val="21"/>
          <w:szCs w:val="21"/>
          <w:highlight w:val="none"/>
        </w:rPr>
        <w:t xml:space="preserve">最终验收之前的整个施工期内，投标人必须制定并采取一切必要的措施，保证</w:t>
      </w:r>
      <w:r>
        <w:rPr>
          <w:rFonts w:hint="eastAsia" w:ascii="宋体" w:hAnsi="宋体" w:eastAsia="宋体" w:cs="宋体"/>
          <w:color w:val="auto"/>
          <w:sz w:val="21"/>
          <w:szCs w:val="21"/>
          <w:highlight w:val="none"/>
          <w:lang w:val="en-US" w:eastAsia="zh-CN"/>
        </w:rPr>
        <w:t xml:space="preserve">项目</w:t>
      </w:r>
      <w:r>
        <w:rPr>
          <w:rFonts w:hint="eastAsia" w:ascii="宋体" w:hAnsi="宋体" w:eastAsia="宋体" w:cs="宋体"/>
          <w:color w:val="auto"/>
          <w:sz w:val="21"/>
          <w:szCs w:val="21"/>
          <w:highlight w:val="none"/>
        </w:rPr>
        <w:t xml:space="preserve">现场施工安全（包括承包商和非承包商的人员安全）维护工地正常生产、生活秩序。投标人必须遵守国家颁布的有关安全规程。对于不符合我国法律、法令、安全规程及本合同规定的事故隐患，监理工程师有权进行干预，如发生重大安全事故，投标人必须按国家的有关法规及时通知监理工程师、招标人和有关上级主管部门，并按相关处理规定执行。投标人应对因违反安全规程造成的责任事故承担责任，而不应为此增加招标人支付费用或延迟施工进度。</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2）劳动保护</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凡属投标人雇用的现场工作人员，投标人必须根据作业种类和特点并按照国家的劳动保护法等法律法规严格执行。</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3）安全防护信号</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①投标人应在</w:t>
      </w:r>
      <w:r>
        <w:rPr>
          <w:rFonts w:hint="eastAsia" w:ascii="宋体" w:hAnsi="宋体" w:eastAsia="宋体" w:cs="宋体"/>
          <w:color w:val="auto"/>
          <w:sz w:val="21"/>
          <w:szCs w:val="21"/>
          <w:highlight w:val="none"/>
          <w:lang w:val="en-US" w:eastAsia="zh-CN"/>
        </w:rPr>
        <w:t xml:space="preserve">安装</w:t>
      </w:r>
      <w:r>
        <w:rPr>
          <w:rFonts w:hint="eastAsia" w:ascii="宋体" w:hAnsi="宋体" w:eastAsia="宋体" w:cs="宋体"/>
          <w:color w:val="auto"/>
          <w:sz w:val="21"/>
          <w:szCs w:val="21"/>
          <w:highlight w:val="none"/>
        </w:rPr>
        <w:t xml:space="preserve">区内设置一切必要的安全防护信号（或标志）装置。</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②投标人应负责维护自己和招标人在</w:t>
      </w:r>
      <w:r>
        <w:rPr>
          <w:rFonts w:hint="eastAsia" w:ascii="宋体" w:hAnsi="宋体" w:eastAsia="宋体" w:cs="宋体"/>
          <w:color w:val="auto"/>
          <w:sz w:val="21"/>
          <w:szCs w:val="21"/>
          <w:highlight w:val="none"/>
          <w:lang w:val="en-US" w:eastAsia="zh-CN"/>
        </w:rPr>
        <w:t xml:space="preserve">项目</w:t>
      </w:r>
      <w:r>
        <w:rPr>
          <w:rFonts w:hint="eastAsia" w:ascii="宋体" w:hAnsi="宋体" w:eastAsia="宋体" w:cs="宋体"/>
          <w:color w:val="auto"/>
          <w:sz w:val="21"/>
          <w:szCs w:val="21"/>
          <w:highlight w:val="none"/>
        </w:rPr>
        <w:t xml:space="preserve">区内放置的所有信号（或标志）装置。</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③若监理工程师认为投标人提供的信号（或标志）系统不能有效地保证安全，投标人必须按监理工程师的要求补充、修改、更换该系统或标志。</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（2）文明施工</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1）投标人必须严格遵守国家和苏州市颁布有关安全生产及文明施工的规定，招标人和监理工程师将进行不定期的检查，政府相关部门发现投标人有违例施工或不</w:t>
      </w:r>
      <w:r>
        <w:rPr>
          <w:rFonts w:hint="eastAsia" w:ascii="宋体" w:hAnsi="宋体" w:eastAsia="宋体" w:cs="宋体"/>
          <w:color w:val="auto"/>
          <w:sz w:val="21"/>
          <w:szCs w:val="21"/>
          <w:highlight w:val="none"/>
          <w:lang w:eastAsia="zh-CN"/>
        </w:rPr>
        <w:t xml:space="preserve">符合</w:t>
      </w:r>
      <w:r>
        <w:rPr>
          <w:rFonts w:hint="eastAsia" w:ascii="宋体" w:hAnsi="宋体" w:eastAsia="宋体" w:cs="宋体"/>
          <w:color w:val="auto"/>
          <w:sz w:val="21"/>
          <w:szCs w:val="21"/>
          <w:highlight w:val="none"/>
        </w:rPr>
        <w:t xml:space="preserve">文明施工的情况，视问题的严重程度进行处置，甚至处罚。由此造成的一切损失由投标人自行承担。</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2）投标人应指定安全生产及文明施工的责任人，并结合本</w:t>
      </w:r>
      <w:r>
        <w:rPr>
          <w:rFonts w:hint="eastAsia" w:ascii="宋体" w:hAnsi="宋体" w:eastAsia="宋体" w:cs="宋体"/>
          <w:color w:val="auto"/>
          <w:sz w:val="21"/>
          <w:szCs w:val="21"/>
          <w:highlight w:val="none"/>
          <w:lang w:val="en-US" w:eastAsia="zh-CN"/>
        </w:rPr>
        <w:t xml:space="preserve">项目</w:t>
      </w:r>
      <w:r>
        <w:rPr>
          <w:rFonts w:hint="eastAsia" w:ascii="宋体" w:hAnsi="宋体" w:eastAsia="宋体" w:cs="宋体"/>
          <w:color w:val="auto"/>
          <w:sz w:val="21"/>
          <w:szCs w:val="21"/>
          <w:highlight w:val="none"/>
        </w:rPr>
        <w:t xml:space="preserve">的特点制定一整套安全生产和文明施工的规章制度。</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11、包装、运输</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（1）概述</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投标人应按有关标准和其设备的特殊要求对其提供的设备进行合适的包装、运输，保证其设备在运输过程中完好无损，投标人提供的设备应适应苏州地区的存储环境。</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凡</w:t>
      </w:r>
      <w:r>
        <w:rPr>
          <w:rFonts w:hint="eastAsia" w:ascii="宋体" w:hAnsi="宋体" w:eastAsia="宋体" w:cs="宋体"/>
          <w:color w:val="auto"/>
          <w:sz w:val="21"/>
          <w:szCs w:val="21"/>
          <w:highlight w:val="none"/>
        </w:rPr>
        <w:t xml:space="preserve">由于投标人对货物包装不善或标记不当导致货物损失、损坏或丢失，或因此引起事故时，其一切责任及因此造成的损失由投标人承担。</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（2）包装</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投标人提供的所有设备和材料应具备适应内陆运输和多次搬运、装卸的坚固包装，并应根据货物特点及需要，采取防潮、防雨、防锈、防腐蚀等保护措施，以保证货物安全无损地运抵安装现场。</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笨重设备应有固定的底座，外包装上应有吊装挂钩，容易散失的零部件应包装在箱内。</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对于裸装货物，投标人应采取特殊措施保护货物及方便搬运。</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投标人对交付的技术文件和技术资料应进行妥善包装，以适合长途运输、多次搬运，并采取防潮、防雨措施。</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12、安装验收</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设备安装验收</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设备安装完成后，招标人和投标人代表按确认的安装验收标准进行安装验收，各方需到场参加和见证。</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安装验收须根据合同相关条款和计划的规定进行并完成。</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投标人应无偿服从招标人对施工界面的划分，在</w:t>
      </w:r>
      <w:r>
        <w:rPr>
          <w:rFonts w:hint="eastAsia" w:ascii="宋体" w:hAnsi="宋体" w:eastAsia="宋体" w:cs="宋体"/>
          <w:color w:val="auto"/>
          <w:sz w:val="21"/>
          <w:szCs w:val="21"/>
          <w:highlight w:val="none"/>
          <w:lang w:val="en-US" w:eastAsia="zh-CN"/>
        </w:rPr>
        <w:t xml:space="preserve">项目</w:t>
      </w:r>
      <w:r>
        <w:rPr>
          <w:rFonts w:hint="eastAsia" w:ascii="宋体" w:hAnsi="宋体" w:eastAsia="宋体" w:cs="宋体"/>
          <w:color w:val="auto"/>
          <w:sz w:val="21"/>
          <w:szCs w:val="21"/>
          <w:highlight w:val="none"/>
        </w:rPr>
        <w:t xml:space="preserve">管理中无偿做好安装督导，服从招标人管理。</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13、设备调试</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投标人应对整个厨房设备的调试负责，包括自身设备的安装调试、与相关系统的接口调试。</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投标人应负责在现场进行井然有序的调试并使之符合相关要求。应派出足够的、合格且技术熟练的技术人员到工地完成调试工作。</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14、培训</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有责任对招标人指定的人员进行操作培训，通过培训应使被培训人员获得足够的技能和知识，达到运营所必需的要求。投标人负责派出经验丰富的授课人员对招标人人员进行培训，使招标人人员能全面掌握设备的操作、日常维护等技能。</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rPr>
          <w:rFonts w:hint="eastAsia" w:ascii="宋体" w:hAnsi="宋体" w:eastAsia="宋体" w:cs="宋体"/>
          <w:color w:val="auto"/>
          <w:sz w:val="21"/>
          <w:szCs w:val="21"/>
          <w:highlight w:val="none"/>
          <w:lang w:val="en-US" w:eastAsia="zh-CN"/>
        </w:rPr>
        <w:t xml:space="preserve">免费</w:t>
      </w:r>
      <w:r>
        <w:rPr>
          <w:rFonts w:hint="eastAsia" w:ascii="宋体" w:hAnsi="宋体" w:eastAsia="宋体" w:cs="宋体"/>
          <w:color w:val="auto"/>
          <w:sz w:val="21"/>
          <w:szCs w:val="21"/>
          <w:highlight w:val="none"/>
        </w:rPr>
        <w:t xml:space="preserve">质量保证期</w:t>
      </w:r>
      <w:r/>
    </w:p>
    <w:p>
      <w:pPr>
        <w:ind w:firstLine="420"/>
        <w:spacing w:line="44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验收通过</w:t>
      </w:r>
      <w:r>
        <w:rPr>
          <w:rFonts w:hint="eastAsia" w:ascii="宋体" w:hAnsi="宋体" w:eastAsia="宋体" w:cs="宋体"/>
          <w:color w:val="auto"/>
          <w:sz w:val="21"/>
          <w:szCs w:val="21"/>
          <w:highlight w:val="none"/>
          <w:lang w:val="en-US" w:eastAsia="zh-CN"/>
        </w:rPr>
        <w:t xml:space="preserve">并移交</w:t>
      </w:r>
      <w:r>
        <w:rPr>
          <w:rFonts w:hint="eastAsia" w:ascii="宋体" w:hAnsi="宋体" w:eastAsia="宋体" w:cs="宋体"/>
          <w:color w:val="auto"/>
          <w:sz w:val="21"/>
          <w:szCs w:val="21"/>
          <w:highlight w:val="none"/>
        </w:rPr>
        <w:t xml:space="preserve">后2年的质保期。</w:t>
      </w:r>
      <w:r>
        <w:rPr>
          <w:rFonts w:hint="default" w:ascii="宋体" w:hAnsi="宋体" w:eastAsia="宋体" w:cs="宋体"/>
          <w:color w:val="auto"/>
          <w:sz w:val="21"/>
          <w:szCs w:val="21"/>
          <w:highlight w:val="none"/>
        </w:rPr>
        <w:t xml:space="preserve">若货物生产厂家规定的免费质保期长于本合同质保期，质保期以较长者为准。</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保证期内，投标人继续对所有安装和提供的系统和设备负责。无论是否能从各设备供应商得到保修，投标人须对各种设备提供保修。系统应不受设计、材料、零部件和工艺方面缺陷的影响，并且满足合同中规定的功能要求；保修费用已包含在合同总价中。保证期结束后，完成合同履约。</w:t>
      </w:r>
      <w:r/>
    </w:p>
    <w:p>
      <w:pPr>
        <w:ind w:firstLine="420"/>
        <w:spacing w:line="440" w:lineRule="exact"/>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在免费质保期内，</w:t>
      </w:r>
      <w:r>
        <w:rPr>
          <w:rFonts w:hint="eastAsia" w:ascii="宋体" w:hAnsi="宋体" w:eastAsia="宋体" w:cs="宋体"/>
          <w:color w:val="auto"/>
          <w:sz w:val="21"/>
          <w:szCs w:val="21"/>
          <w:highlight w:val="none"/>
          <w:lang w:val="en-US" w:eastAsia="zh-CN"/>
        </w:rPr>
        <w:t xml:space="preserve">投标人</w:t>
      </w:r>
      <w:r>
        <w:rPr>
          <w:rFonts w:hint="default" w:ascii="宋体" w:hAnsi="宋体" w:eastAsia="宋体" w:cs="宋体"/>
          <w:color w:val="auto"/>
          <w:sz w:val="21"/>
          <w:szCs w:val="21"/>
          <w:highlight w:val="none"/>
        </w:rPr>
        <w:t xml:space="preserve">应以优良的服务态度，一旦货物发生质量问题，</w:t>
      </w:r>
      <w:r>
        <w:rPr>
          <w:rFonts w:hint="eastAsia" w:ascii="宋体" w:hAnsi="宋体" w:eastAsia="宋体" w:cs="宋体"/>
          <w:color w:val="auto"/>
          <w:sz w:val="21"/>
          <w:szCs w:val="21"/>
          <w:highlight w:val="none"/>
          <w:lang w:val="en-US" w:eastAsia="zh-CN"/>
        </w:rPr>
        <w:t xml:space="preserve">投标人</w:t>
      </w:r>
      <w:r>
        <w:rPr>
          <w:rFonts w:hint="default" w:ascii="宋体" w:hAnsi="宋体" w:eastAsia="宋体" w:cs="宋体"/>
          <w:color w:val="auto"/>
          <w:sz w:val="21"/>
          <w:szCs w:val="21"/>
          <w:highlight w:val="none"/>
        </w:rPr>
        <w:t xml:space="preserve">应在2小时以内响应，4小时内赶到现场，8小时内解决问题，如在8小时内不能解决问题，应免费用同样品牌、规格的的产品更换到位。如</w:t>
      </w:r>
      <w:r>
        <w:rPr>
          <w:rFonts w:hint="eastAsia" w:ascii="宋体" w:hAnsi="宋体" w:eastAsia="宋体" w:cs="宋体"/>
          <w:color w:val="auto"/>
          <w:sz w:val="21"/>
          <w:szCs w:val="21"/>
          <w:highlight w:val="none"/>
          <w:lang w:val="en-US" w:eastAsia="zh-CN"/>
        </w:rPr>
        <w:t xml:space="preserve">投标人</w:t>
      </w:r>
      <w:r>
        <w:rPr>
          <w:rFonts w:hint="default" w:ascii="宋体" w:hAnsi="宋体" w:eastAsia="宋体" w:cs="宋体"/>
          <w:color w:val="auto"/>
          <w:sz w:val="21"/>
          <w:szCs w:val="21"/>
          <w:highlight w:val="none"/>
        </w:rPr>
        <w:t xml:space="preserve">在接到通知后24小时内没有答复或处理问题，</w:t>
      </w:r>
      <w:r>
        <w:rPr>
          <w:rFonts w:hint="eastAsia" w:ascii="宋体" w:hAnsi="宋体" w:eastAsia="宋体" w:cs="宋体"/>
          <w:color w:val="auto"/>
          <w:sz w:val="21"/>
          <w:szCs w:val="21"/>
          <w:highlight w:val="none"/>
          <w:lang w:val="en-US" w:eastAsia="zh-CN"/>
        </w:rPr>
        <w:t xml:space="preserve">采购</w:t>
      </w:r>
      <w:r>
        <w:rPr>
          <w:rFonts w:hint="default" w:ascii="宋体" w:hAnsi="宋体" w:eastAsia="宋体" w:cs="宋体"/>
          <w:color w:val="auto"/>
          <w:sz w:val="21"/>
          <w:szCs w:val="21"/>
          <w:highlight w:val="none"/>
        </w:rPr>
        <w:t xml:space="preserve">方有权直接聘请第三方提供，因此而造成的费用、损失风险由</w:t>
      </w:r>
      <w:r>
        <w:rPr>
          <w:rFonts w:hint="eastAsia" w:ascii="宋体" w:hAnsi="宋体" w:eastAsia="宋体" w:cs="宋体"/>
          <w:color w:val="auto"/>
          <w:sz w:val="21"/>
          <w:szCs w:val="21"/>
          <w:highlight w:val="none"/>
          <w:lang w:val="en-US" w:eastAsia="zh-CN"/>
        </w:rPr>
        <w:t xml:space="preserve">投标人</w:t>
      </w:r>
      <w:r>
        <w:rPr>
          <w:rFonts w:hint="default" w:ascii="宋体" w:hAnsi="宋体" w:eastAsia="宋体" w:cs="宋体"/>
          <w:color w:val="auto"/>
          <w:sz w:val="21"/>
          <w:szCs w:val="21"/>
          <w:highlight w:val="none"/>
        </w:rPr>
        <w:t xml:space="preserve">承担。</w:t>
      </w:r>
      <w:r/>
    </w:p>
    <w:p>
      <w:pPr>
        <w:ind w:firstLine="420"/>
        <w:spacing w:line="440" w:lineRule="exact"/>
        <w:rPr>
          <w:rFonts w:hint="eastAsia" w:ascii="宋体" w:hAnsi="宋体" w:eastAsia="宋体" w:cs="宋体"/>
          <w:b/>
          <w:bCs/>
          <w:color w:val="auto"/>
          <w:sz w:val="21"/>
          <w:szCs w:val="21"/>
          <w:highlight w:val="none"/>
          <w:u w:val="single"/>
        </w:rPr>
      </w:pPr>
      <w:r>
        <w:rPr>
          <w:rFonts w:hint="eastAsia" w:ascii="宋体" w:hAnsi="宋体" w:eastAsia="宋体" w:cs="宋体"/>
          <w:b/>
          <w:bCs/>
          <w:color w:val="auto"/>
          <w:sz w:val="21"/>
          <w:szCs w:val="21"/>
          <w:highlight w:val="none"/>
          <w:u w:val="single"/>
        </w:rPr>
        <w:t xml:space="preserve">（七）本项目采购清单中的核心产品为：</w:t>
      </w:r>
      <w:r>
        <w:rPr>
          <w:rFonts w:hint="eastAsia" w:ascii="宋体" w:hAnsi="宋体" w:eastAsia="宋体" w:cs="宋体"/>
          <w:b/>
          <w:bCs/>
          <w:color w:val="auto"/>
          <w:sz w:val="21"/>
          <w:szCs w:val="21"/>
          <w:highlight w:val="none"/>
          <w:u w:val="single"/>
          <w:lang w:val="en-US" w:eastAsia="zh-CN"/>
        </w:rPr>
        <w:t xml:space="preserve">序号31</w:t>
      </w:r>
      <w:r>
        <w:rPr>
          <w:rFonts w:hint="eastAsia" w:ascii="宋体" w:hAnsi="宋体" w:eastAsia="宋体" w:cs="宋体"/>
          <w:b/>
          <w:bCs/>
          <w:color w:val="auto"/>
          <w:szCs w:val="21"/>
          <w:highlight w:val="none"/>
          <w:u w:val="single"/>
        </w:rPr>
        <w:t xml:space="preserve">燃气双眼大锅灶</w:t>
      </w:r>
      <w:r>
        <w:rPr>
          <w:rFonts w:hint="eastAsia" w:ascii="宋体" w:hAnsi="宋体" w:eastAsia="宋体" w:cs="宋体"/>
          <w:b/>
          <w:bCs/>
          <w:i w:val="0"/>
          <w:iCs w:val="0"/>
          <w:color w:val="auto"/>
          <w:sz w:val="21"/>
          <w:szCs w:val="21"/>
          <w:highlight w:val="none"/>
          <w:u w:val="single"/>
          <w:lang w:val="en-US" w:eastAsia="zh-CN" w:bidi="ar"/>
        </w:rPr>
        <w:t xml:space="preserve">(含锅）</w:t>
      </w:r>
      <w:r>
        <w:rPr>
          <w:rFonts w:hint="eastAsia" w:ascii="宋体" w:hAnsi="宋体" w:eastAsia="宋体" w:cs="宋体"/>
          <w:b/>
          <w:bCs/>
          <w:color w:val="auto"/>
          <w:sz w:val="21"/>
          <w:szCs w:val="21"/>
          <w:highlight w:val="none"/>
          <w:u w:val="single"/>
        </w:rPr>
        <w:t xml:space="preserve">。</w:t>
      </w:r>
      <w:r/>
    </w:p>
    <w:p>
      <w:pPr>
        <w:ind w:firstLine="422"/>
        <w:spacing w:line="44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八</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相关证书</w:t>
      </w:r>
      <w:r/>
    </w:p>
    <w:p>
      <w:pPr>
        <w:ind w:firstLine="422"/>
        <w:spacing w:line="440" w:lineRule="exact"/>
        <w:rPr>
          <w:rFonts w:hint="eastAsia" w:ascii="宋体" w:hAnsi="宋体" w:eastAsia="宋体" w:cs="宋体"/>
          <w:b/>
          <w:bCs/>
          <w:color w:val="auto"/>
          <w:sz w:val="21"/>
          <w:szCs w:val="21"/>
          <w:highlight w:val="none"/>
          <w:u w:val="single"/>
          <w:lang w:eastAsia="zh-CN"/>
        </w:rPr>
      </w:pPr>
      <w:r>
        <w:rPr>
          <w:rFonts w:hint="eastAsia" w:ascii="宋体" w:hAnsi="宋体" w:eastAsia="宋体" w:cs="宋体"/>
          <w:b/>
          <w:bCs/>
          <w:color w:val="auto"/>
          <w:sz w:val="21"/>
          <w:szCs w:val="21"/>
          <w:highlight w:val="none"/>
          <w:u w:val="single"/>
          <w:lang w:val="en-US" w:eastAsia="zh-CN"/>
        </w:rPr>
        <w:t xml:space="preserve">1、</w:t>
      </w:r>
      <w:r>
        <w:rPr>
          <w:rFonts w:hint="eastAsia" w:ascii="宋体" w:hAnsi="宋体" w:eastAsia="宋体" w:cs="宋体"/>
          <w:b/>
          <w:bCs/>
          <w:color w:val="auto"/>
          <w:sz w:val="21"/>
          <w:szCs w:val="21"/>
          <w:highlight w:val="none"/>
          <w:u w:val="single"/>
          <w:lang w:eastAsia="zh-CN"/>
        </w:rPr>
        <w:t xml:space="preserve">投标单位或所投工业和商用电热食品加工设备的生产厂家具有有效期内的《全国工业产品生产许可证（工业和商用电热食品加工设备）》或《全国工业产品生产许可证（电热食品加工设备）》（许可内容包含蒸汽炊具、电烤箱、电</w:t>
      </w:r>
      <w:r>
        <w:rPr>
          <w:rFonts w:hint="eastAsia" w:ascii="宋体" w:hAnsi="宋体" w:eastAsia="宋体" w:cs="宋体"/>
          <w:b/>
          <w:bCs/>
          <w:color w:val="auto"/>
          <w:sz w:val="21"/>
          <w:szCs w:val="21"/>
          <w:highlight w:val="none"/>
          <w:u w:val="single"/>
          <w:lang w:val="en-US" w:eastAsia="zh-CN"/>
        </w:rPr>
        <w:t xml:space="preserve">热</w:t>
      </w:r>
      <w:r>
        <w:rPr>
          <w:rFonts w:hint="eastAsia" w:ascii="宋体" w:hAnsi="宋体" w:eastAsia="宋体" w:cs="宋体"/>
          <w:b/>
          <w:bCs/>
          <w:color w:val="auto"/>
          <w:sz w:val="21"/>
          <w:szCs w:val="21"/>
          <w:highlight w:val="none"/>
          <w:u w:val="single"/>
          <w:lang w:eastAsia="zh-CN"/>
        </w:rPr>
        <w:t xml:space="preserve">铛、</w:t>
      </w:r>
      <w:r>
        <w:rPr>
          <w:rFonts w:hint="eastAsia" w:ascii="宋体" w:hAnsi="宋体" w:eastAsia="宋体" w:cs="宋体"/>
          <w:b/>
          <w:bCs/>
          <w:color w:val="auto"/>
          <w:sz w:val="21"/>
          <w:szCs w:val="21"/>
          <w:highlight w:val="none"/>
          <w:u w:val="single"/>
          <w:lang w:val="en-US" w:eastAsia="zh-CN"/>
        </w:rPr>
        <w:t xml:space="preserve">电磁灶</w:t>
      </w:r>
      <w:r>
        <w:rPr>
          <w:rFonts w:hint="eastAsia" w:ascii="宋体" w:hAnsi="宋体" w:eastAsia="宋体" w:cs="宋体"/>
          <w:b/>
          <w:bCs/>
          <w:color w:val="auto"/>
          <w:sz w:val="21"/>
          <w:szCs w:val="21"/>
          <w:highlight w:val="none"/>
          <w:u w:val="single"/>
          <w:lang w:eastAsia="zh-CN"/>
        </w:rPr>
        <w:t xml:space="preserve">），投标文件中提供相关证明材料。</w:t>
      </w:r>
      <w:r/>
    </w:p>
    <w:p>
      <w:pPr>
        <w:ind w:firstLine="422"/>
        <w:spacing w:line="440" w:lineRule="exact"/>
        <w:rPr>
          <w:rFonts w:hint="eastAsia" w:ascii="宋体" w:hAnsi="宋体" w:eastAsia="宋体" w:cs="宋体"/>
          <w:b/>
          <w:bCs/>
          <w:color w:val="auto"/>
          <w:sz w:val="21"/>
          <w:szCs w:val="21"/>
          <w:highlight w:val="none"/>
          <w:u w:val="single"/>
          <w:lang w:eastAsia="zh-CN"/>
        </w:rPr>
      </w:pPr>
      <w:r>
        <w:rPr>
          <w:rFonts w:hint="eastAsia" w:ascii="宋体" w:hAnsi="宋体" w:eastAsia="宋体" w:cs="宋体"/>
          <w:b/>
          <w:bCs/>
          <w:color w:val="auto"/>
          <w:sz w:val="21"/>
          <w:szCs w:val="21"/>
          <w:highlight w:val="none"/>
          <w:u w:val="single"/>
          <w:lang w:val="en-US" w:eastAsia="zh-CN"/>
        </w:rPr>
        <w:t xml:space="preserve">2、</w:t>
      </w:r>
      <w:r>
        <w:rPr>
          <w:rFonts w:hint="eastAsia" w:ascii="宋体" w:hAnsi="宋体" w:eastAsia="宋体" w:cs="宋体"/>
          <w:b/>
          <w:bCs/>
          <w:color w:val="auto"/>
          <w:sz w:val="21"/>
          <w:szCs w:val="21"/>
          <w:highlight w:val="none"/>
          <w:u w:val="single"/>
          <w:lang w:eastAsia="zh-CN"/>
        </w:rPr>
        <w:t xml:space="preserve">投标单位或所投消毒产品的生产厂家具有有效期内的《消毒产品生产企业卫生许可证》（许可内容包含电热消毒柜、</w:t>
      </w:r>
      <w:r>
        <w:rPr>
          <w:rFonts w:hint="eastAsia" w:ascii="宋体" w:hAnsi="宋体" w:eastAsia="宋体" w:cs="宋体"/>
          <w:b/>
          <w:bCs/>
          <w:color w:val="auto"/>
          <w:sz w:val="21"/>
          <w:szCs w:val="21"/>
          <w:highlight w:val="none"/>
          <w:u w:val="single"/>
          <w:lang w:val="en-US" w:eastAsia="zh-CN"/>
        </w:rPr>
        <w:t xml:space="preserve">紫外线杀菌灯、臭氧水发生器</w:t>
      </w:r>
      <w:r>
        <w:rPr>
          <w:rFonts w:hint="eastAsia" w:ascii="宋体" w:hAnsi="宋体" w:eastAsia="宋体" w:cs="宋体"/>
          <w:b/>
          <w:bCs/>
          <w:color w:val="auto"/>
          <w:sz w:val="21"/>
          <w:szCs w:val="21"/>
          <w:highlight w:val="none"/>
          <w:u w:val="single"/>
          <w:lang w:eastAsia="zh-CN"/>
        </w:rPr>
        <w:t xml:space="preserve">），投标文件中提供相关证明材料。</w:t>
      </w:r>
      <w:r/>
    </w:p>
    <w:p>
      <w:pPr>
        <w:ind w:firstLine="422"/>
        <w:spacing w:line="440" w:lineRule="exact"/>
        <w:rPr>
          <w:rFonts w:hint="eastAsia" w:ascii="宋体" w:hAnsi="宋体" w:eastAsia="宋体" w:cs="宋体"/>
          <w:b/>
          <w:bCs/>
          <w:color w:val="auto"/>
          <w:sz w:val="21"/>
          <w:szCs w:val="21"/>
          <w:highlight w:val="none"/>
          <w:u w:val="single"/>
          <w:lang w:eastAsia="zh-CN"/>
        </w:rPr>
      </w:pPr>
      <w:r>
        <w:rPr>
          <w:rFonts w:hint="eastAsia" w:ascii="宋体" w:hAnsi="宋体" w:eastAsia="宋体" w:cs="宋体"/>
          <w:b/>
          <w:bCs/>
          <w:color w:val="auto"/>
          <w:sz w:val="21"/>
          <w:szCs w:val="21"/>
          <w:highlight w:val="none"/>
          <w:u w:val="single"/>
          <w:lang w:eastAsia="zh-CN"/>
        </w:rPr>
        <w:t xml:space="preserve">以上</w:t>
      </w:r>
      <w:r>
        <w:rPr>
          <w:rFonts w:hint="eastAsia" w:ascii="宋体" w:hAnsi="宋体" w:eastAsia="宋体" w:cs="宋体"/>
          <w:b/>
          <w:bCs/>
          <w:color w:val="auto"/>
          <w:sz w:val="21"/>
          <w:szCs w:val="21"/>
          <w:highlight w:val="none"/>
          <w:u w:val="single"/>
          <w:lang w:val="en-US" w:eastAsia="zh-CN"/>
        </w:rPr>
        <w:t xml:space="preserve">两</w:t>
      </w:r>
      <w:r>
        <w:rPr>
          <w:rFonts w:hint="eastAsia" w:ascii="宋体" w:hAnsi="宋体" w:eastAsia="宋体" w:cs="宋体"/>
          <w:b/>
          <w:bCs/>
          <w:color w:val="auto"/>
          <w:sz w:val="21"/>
          <w:szCs w:val="21"/>
          <w:highlight w:val="none"/>
          <w:u w:val="single"/>
          <w:lang w:eastAsia="zh-CN"/>
        </w:rPr>
        <w:t xml:space="preserve">项证书均需在</w:t>
      </w:r>
      <w:r>
        <w:rPr>
          <w:rFonts w:hint="eastAsia" w:ascii="宋体" w:hAnsi="宋体" w:eastAsia="宋体" w:cs="宋体"/>
          <w:b/>
          <w:bCs/>
          <w:color w:val="auto"/>
          <w:sz w:val="21"/>
          <w:szCs w:val="21"/>
          <w:highlight w:val="none"/>
          <w:u w:val="single"/>
          <w:lang w:val="en-US" w:eastAsia="zh-CN"/>
        </w:rPr>
        <w:t xml:space="preserve">投标文件中</w:t>
      </w:r>
      <w:r>
        <w:rPr>
          <w:rFonts w:hint="eastAsia" w:ascii="宋体" w:hAnsi="宋体" w:eastAsia="宋体" w:cs="宋体"/>
          <w:b/>
          <w:bCs/>
          <w:color w:val="auto"/>
          <w:sz w:val="21"/>
          <w:szCs w:val="21"/>
          <w:highlight w:val="none"/>
          <w:u w:val="single"/>
          <w:lang w:eastAsia="zh-CN"/>
        </w:rPr>
        <w:t xml:space="preserve">体现，提供相关证明材料，未提供视为未实质性响应。</w:t>
      </w:r>
      <w:r/>
    </w:p>
    <w:p>
      <w:pPr>
        <w:ind w:firstLine="422"/>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五、综合说明：</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1、投标人明确所投设备的品牌、规格、型号；提供设备的详细功能及技术参数说明；提供设备配置清单；提供设备彩页宣传资料。当提供的设备功能及技术参数和彩页宣传资料不一致时以彩页宣传资料为准。</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2、投标人收到采购人供货通知，必须无条件免费供应以接到采购人通知时间后的最新升级的硬件及软件产品来供货。</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3、投标人必须承诺采购文件中提出的全部技术规格与要求，如果以其中某些条款不响应时，应在文件中逐条列出，未列出的视同响应。</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投标总报价包括设备、随机备品备件、易损件（包括保障设备正常运行三年所需的备品备件、易损件）、降噪、专用工具、安装、调试价（包括损耗、额外材料等，含安装、调试、试运行等相关费用）、运输及保险（包括货物运至最终目的地点的运输费、装卸费、保险费，含伴随货物交运的有关费用）、为完成本项目的全部相关服务费用（包括但不限于现场保管仓储费、零星工程费、培训费、质保期内维护保养费，以及相关税费等保证本项目正常实施和运行所需的一切相关费用）。</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5、交货时间：</w:t>
      </w:r>
      <w:r>
        <w:rPr>
          <w:rFonts w:hint="eastAsia" w:ascii="宋体" w:hAnsi="宋体" w:eastAsia="宋体" w:cs="宋体"/>
          <w:color w:val="auto"/>
          <w:sz w:val="21"/>
          <w:szCs w:val="21"/>
          <w:highlight w:val="none"/>
          <w:lang w:val="en-US" w:eastAsia="zh-CN"/>
        </w:rPr>
        <w:t xml:space="preserve">接到采购人通知后30天内完成安装及调试</w:t>
      </w:r>
      <w:r>
        <w:rPr>
          <w:rFonts w:hint="eastAsia" w:ascii="宋体" w:hAnsi="宋体" w:eastAsia="宋体" w:cs="宋体"/>
          <w:color w:val="auto"/>
          <w:sz w:val="21"/>
          <w:szCs w:val="21"/>
          <w:highlight w:val="none"/>
        </w:rPr>
        <w:t xml:space="preserve">。</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6、交货地点：具体根据采购人指定地点。</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7、付款方式：详见合同条款。</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8、安装要求</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（1）由中标单位负责安装，现场调试。所有安装施工材料质量及施工质量必须严格按照国家规范及江苏省、苏州市地方规范、采购文件、材料厂家的技术及安全规范要求严格执行。</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中标单位对安装施工安全、质量全面负责，并承担成品保护，如因中标单位原因造成安全、质量事故或成品损坏，中标单位承担一切经济法律责任。中标单位进场前须与总包单位协商现场配合及安全管理等事项，签订总包管理协议，相关费用应在投标报价中充分考虑。</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（3）中标单位负责标的物合格、正常、安全使用，所需要通过的相关部门的验收，相关费用由中标单位负责。</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（4）伴随服务：投标方需提供详细完整的售后服务方案，在保修期内驻场服务。如需更换设备或送修，必须在1个工作日内完成，一时无法维修时，必须提供备机使用。</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安装要求：投标人需具备仓储能力，采购方项目安装现场不提供仓储场地。同时，所有采购产品安装完毕并经采购方验收接管后，采购方才承担保管责任，在此之前的安装期间所有货品的保管责任由投标人自行负责保管。</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本项目在向中标单位发放中标通知书时，将向参与项目评审的未中标供应商发放《未中标通知书》，以电子招投标系统通知形式告知该未中标供应商的评审得分与排名，请及时接收查阅，未中标供应商未按约定的时间和方式获取告知信息的，视为自动放弃并自行承担相应后果。</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eastAsia="zh-CN"/>
        </w:rPr>
        <w:t xml:space="preserve">本项目不接受进口产品。</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凡涉及招标文件的补充说明和修改，均以采购代理机构在网上发布的内容为准。</w:t>
      </w:r>
      <w:r/>
    </w:p>
    <w:p>
      <w:pPr>
        <w:ind w:firstLine="480"/>
        <w:jc w:val="left"/>
        <w:spacing w:line="360" w:lineRule="auto"/>
        <w:rPr>
          <w:rFonts w:hint="eastAsia" w:ascii="宋体" w:hAnsi="宋体" w:eastAsia="宋体" w:cs="Times New Roman"/>
          <w:color w:val="auto"/>
          <w:sz w:val="24"/>
          <w:szCs w:val="24"/>
          <w:highlight w:val="none"/>
          <w:shd w:val="clear" w:color="auto" w:fill="ffffff"/>
          <w:lang w:eastAsia="zh-CN"/>
        </w:rPr>
      </w:pPr>
      <w:r>
        <w:rPr>
          <w:rFonts w:hint="eastAsia" w:ascii="宋体" w:hAnsi="宋体" w:eastAsia="宋体" w:cs="Times New Roman"/>
          <w:color w:val="auto"/>
          <w:sz w:val="24"/>
          <w:szCs w:val="24"/>
          <w:highlight w:val="none"/>
          <w:shd w:val="clear" w:color="auto" w:fill="ffffff"/>
          <w:lang w:eastAsia="zh-CN"/>
        </w:rPr>
      </w:r>
      <w:r/>
    </w:p>
    <w:p>
      <w:pPr>
        <w:jc w:val="center"/>
        <w:keepLines/>
        <w:keepNext/>
        <w:spacing w:before="340" w:after="330" w:line="360" w:lineRule="auto"/>
        <w:rPr>
          <w:rFonts w:hint="eastAsia" w:ascii="宋体" w:hAnsi="宋体" w:eastAsia="宋体" w:cs="Times New Roman"/>
          <w:b/>
          <w:color w:val="auto"/>
          <w:sz w:val="48"/>
          <w:szCs w:val="48"/>
          <w:highlight w:val="none"/>
          <w:shd w:val="clear" w:color="auto" w:fill="ffffff"/>
        </w:rPr>
        <w:outlineLvl w:val="0"/>
      </w:pPr>
      <w:r/>
      <w:bookmarkStart w:id="39" w:name="_Toc105940241"/>
      <w:r/>
      <w:bookmarkStart w:id="40" w:name="_Toc396747046"/>
      <w:r/>
      <w:bookmarkStart w:id="41" w:name="OLE_LINK1"/>
      <w:r/>
      <w:r/>
    </w:p>
    <w:p>
      <w:pPr>
        <w:jc w:val="both"/>
        <w:keepLines/>
        <w:keepNext/>
        <w:spacing w:before="340" w:after="330" w:line="360" w:lineRule="auto"/>
        <w:rPr>
          <w:rFonts w:hint="eastAsia" w:ascii="宋体" w:hAnsi="宋体" w:eastAsia="宋体" w:cs="Times New Roman"/>
          <w:b/>
          <w:color w:val="auto"/>
          <w:sz w:val="48"/>
          <w:szCs w:val="48"/>
          <w:highlight w:val="none"/>
          <w:shd w:val="clear" w:color="auto" w:fill="ffffff"/>
        </w:rPr>
        <w:outlineLvl w:val="0"/>
      </w:pPr>
      <w:r>
        <w:rPr>
          <w:rFonts w:hint="eastAsia" w:ascii="宋体" w:hAnsi="宋体" w:eastAsia="宋体" w:cs="Times New Roman"/>
          <w:b/>
          <w:color w:val="auto"/>
          <w:sz w:val="48"/>
          <w:szCs w:val="48"/>
          <w:highlight w:val="none"/>
          <w:shd w:val="clear" w:color="auto" w:fill="ffffff"/>
        </w:rPr>
      </w:r>
      <w:r/>
    </w:p>
    <w:p>
      <w:pPr>
        <w:jc w:val="both"/>
        <w:keepLines/>
        <w:keepNext/>
        <w:spacing w:before="340" w:after="330" w:line="360" w:lineRule="auto"/>
        <w:rPr>
          <w:rFonts w:hint="eastAsia" w:ascii="宋体" w:hAnsi="宋体" w:eastAsia="宋体" w:cs="Times New Roman"/>
          <w:b/>
          <w:color w:val="auto"/>
          <w:sz w:val="48"/>
          <w:szCs w:val="48"/>
          <w:highlight w:val="none"/>
          <w:shd w:val="clear" w:color="auto" w:fill="ffffff"/>
        </w:rPr>
        <w:outlineLvl w:val="0"/>
      </w:pPr>
      <w:r>
        <w:rPr>
          <w:rFonts w:hint="eastAsia" w:ascii="宋体" w:hAnsi="宋体" w:eastAsia="宋体" w:cs="Times New Roman"/>
          <w:b/>
          <w:color w:val="auto"/>
          <w:sz w:val="48"/>
          <w:szCs w:val="48"/>
          <w:highlight w:val="none"/>
          <w:shd w:val="clear" w:color="auto" w:fill="ffffff"/>
        </w:rPr>
      </w:r>
      <w:r/>
    </w:p>
    <w:p>
      <w:pPr>
        <w:jc w:val="both"/>
        <w:keepLines/>
        <w:keepNext/>
        <w:spacing w:before="340" w:after="330" w:line="360" w:lineRule="auto"/>
        <w:rPr>
          <w:rFonts w:hint="eastAsia" w:ascii="宋体" w:hAnsi="宋体" w:eastAsia="宋体" w:cs="Times New Roman"/>
          <w:b/>
          <w:color w:val="auto"/>
          <w:sz w:val="48"/>
          <w:szCs w:val="48"/>
          <w:highlight w:val="none"/>
          <w:shd w:val="clear" w:color="auto" w:fill="ffffff"/>
        </w:rPr>
        <w:outlineLvl w:val="0"/>
      </w:pPr>
      <w:r>
        <w:rPr>
          <w:rFonts w:hint="eastAsia" w:ascii="宋体" w:hAnsi="宋体" w:eastAsia="宋体" w:cs="Times New Roman"/>
          <w:b/>
          <w:color w:val="auto"/>
          <w:sz w:val="48"/>
          <w:szCs w:val="48"/>
          <w:highlight w:val="none"/>
          <w:shd w:val="clear" w:color="auto" w:fill="ffffff"/>
        </w:rPr>
      </w:r>
      <w:r/>
    </w:p>
    <w:p>
      <w:pPr>
        <w:jc w:val="center"/>
        <w:keepLines/>
        <w:keepNext/>
        <w:spacing w:before="340" w:after="330" w:line="360" w:lineRule="auto"/>
        <w:rPr>
          <w:rFonts w:hint="eastAsia" w:ascii="宋体" w:hAnsi="宋体" w:eastAsia="宋体" w:cs="Times New Roman"/>
          <w:b/>
          <w:color w:val="auto"/>
          <w:sz w:val="48"/>
          <w:szCs w:val="48"/>
          <w:highlight w:val="none"/>
          <w:shd w:val="clear" w:color="auto" w:fill="ffffff"/>
        </w:rPr>
        <w:outlineLvl w:val="0"/>
      </w:pPr>
      <w:r>
        <w:rPr>
          <w:rFonts w:hint="eastAsia" w:ascii="宋体" w:hAnsi="宋体" w:eastAsia="宋体" w:cs="Times New Roman"/>
          <w:b/>
          <w:color w:val="auto"/>
          <w:sz w:val="48"/>
          <w:szCs w:val="48"/>
          <w:highlight w:val="none"/>
          <w:shd w:val="clear" w:color="auto" w:fill="ffffff"/>
        </w:rPr>
      </w:r>
      <w:r/>
    </w:p>
    <w:p>
      <w:pPr>
        <w:jc w:val="center"/>
        <w:keepLines/>
        <w:keepNext/>
        <w:spacing w:before="340" w:after="330" w:line="360" w:lineRule="auto"/>
        <w:rPr>
          <w:rFonts w:hint="eastAsia" w:ascii="宋体" w:hAnsi="宋体" w:eastAsia="宋体" w:cs="Times New Roman"/>
          <w:b/>
          <w:color w:val="auto"/>
          <w:sz w:val="48"/>
          <w:szCs w:val="48"/>
          <w:highlight w:val="none"/>
          <w:shd w:val="clear" w:color="auto" w:fill="ffffff"/>
        </w:rPr>
        <w:outlineLvl w:val="0"/>
      </w:pPr>
      <w:r>
        <w:rPr>
          <w:rFonts w:hint="eastAsia" w:ascii="宋体" w:hAnsi="宋体" w:eastAsia="宋体" w:cs="Times New Roman"/>
          <w:b/>
          <w:color w:val="auto"/>
          <w:sz w:val="48"/>
          <w:szCs w:val="48"/>
          <w:highlight w:val="none"/>
          <w:shd w:val="clear" w:color="auto" w:fill="ffffff"/>
        </w:rPr>
      </w:r>
      <w:r/>
    </w:p>
    <w:p>
      <w:pPr>
        <w:jc w:val="center"/>
        <w:keepLines w:val="0"/>
        <w:keepNext w:val="0"/>
        <w:pageBreakBefore w:val="0"/>
        <w:spacing w:before="340" w:after="330" w:line="360" w:lineRule="auto"/>
        <w:widowControl w:val="off"/>
        <w:rPr>
          <w:rFonts w:ascii="宋体" w:hAnsi="宋体" w:eastAsia="宋体" w:cs="Times New Roman"/>
          <w:b/>
          <w:color w:val="auto"/>
          <w:sz w:val="48"/>
          <w:szCs w:val="48"/>
          <w:highlight w:val="none"/>
          <w:shd w:val="clear" w:color="auto" w:fill="ffffff"/>
        </w:rPr>
        <w:outlineLvl w:val="0"/>
      </w:pPr>
      <w:r>
        <w:rPr>
          <w:rFonts w:hint="eastAsia" w:ascii="宋体" w:hAnsi="宋体" w:eastAsia="宋体" w:cs="Times New Roman"/>
          <w:b/>
          <w:color w:val="auto"/>
          <w:sz w:val="48"/>
          <w:szCs w:val="48"/>
          <w:highlight w:val="none"/>
          <w:shd w:val="clear" w:color="auto" w:fill="ffffff"/>
        </w:rPr>
        <w:t xml:space="preserve">第五章 合同主要条款</w:t>
      </w:r>
      <w:bookmarkEnd w:id="39"/>
      <w:r/>
      <w:bookmarkEnd w:id="40"/>
      <w:r/>
      <w:bookmarkEnd w:id="41"/>
      <w:r/>
      <w:r/>
    </w:p>
    <w:p>
      <w:pPr>
        <w:spacing w:line="360" w:lineRule="auto"/>
        <w:rPr>
          <w:rFonts w:ascii="宋体" w:hAnsi="宋体" w:eastAsia="宋体" w:cs="Times New Roman"/>
          <w:color w:val="auto"/>
          <w:sz w:val="26"/>
          <w:szCs w:val="20"/>
          <w:highlight w:val="none"/>
          <w:shd w:val="clear" w:color="auto" w:fill="ffffff"/>
        </w:rPr>
      </w:pPr>
      <w:r/>
      <w:bookmarkStart w:id="42" w:name="_Toc13889378"/>
      <w:r/>
      <w:bookmarkStart w:id="43" w:name="_Toc13642118"/>
      <w:r/>
      <w:r/>
    </w:p>
    <w:p>
      <w:pPr>
        <w:spacing w:line="360" w:lineRule="auto"/>
        <w:rPr>
          <w:rFonts w:ascii="宋体" w:hAnsi="宋体" w:eastAsia="宋体" w:cs="Times New Roman"/>
          <w:color w:val="auto"/>
          <w:sz w:val="26"/>
          <w:szCs w:val="20"/>
          <w:highlight w:val="none"/>
          <w:shd w:val="clear" w:color="auto" w:fill="ffffff"/>
        </w:rPr>
      </w:pPr>
      <w:r>
        <w:rPr>
          <w:rFonts w:ascii="宋体" w:hAnsi="宋体" w:eastAsia="宋体" w:cs="Times New Roman"/>
          <w:color w:val="auto"/>
          <w:sz w:val="26"/>
          <w:szCs w:val="20"/>
          <w:highlight w:val="none"/>
          <w:shd w:val="clear" w:color="auto" w:fill="ffffff"/>
        </w:rPr>
      </w:r>
      <w:r/>
    </w:p>
    <w:p>
      <w:pPr>
        <w:spacing w:line="360" w:lineRule="auto"/>
        <w:rPr>
          <w:rFonts w:ascii="宋体" w:hAnsi="宋体" w:eastAsia="宋体" w:cs="Times New Roman"/>
          <w:color w:val="auto"/>
          <w:sz w:val="26"/>
          <w:szCs w:val="20"/>
          <w:highlight w:val="none"/>
          <w:shd w:val="clear" w:color="auto" w:fill="ffffff"/>
        </w:rPr>
      </w:pPr>
      <w:r>
        <w:rPr>
          <w:rFonts w:ascii="宋体" w:hAnsi="宋体" w:eastAsia="宋体" w:cs="Times New Roman"/>
          <w:color w:val="auto"/>
          <w:sz w:val="26"/>
          <w:szCs w:val="20"/>
          <w:highlight w:val="none"/>
          <w:shd w:val="clear" w:color="auto" w:fill="ffffff"/>
        </w:rPr>
      </w:r>
      <w:r/>
    </w:p>
    <w:p>
      <w:pPr>
        <w:spacing w:line="360" w:lineRule="auto"/>
        <w:rPr>
          <w:rFonts w:ascii="宋体" w:hAnsi="宋体" w:eastAsia="宋体" w:cs="Times New Roman"/>
          <w:color w:val="auto"/>
          <w:sz w:val="26"/>
          <w:szCs w:val="20"/>
          <w:highlight w:val="none"/>
          <w:shd w:val="clear" w:color="auto" w:fill="ffffff"/>
        </w:rPr>
      </w:pPr>
      <w:r>
        <w:rPr>
          <w:rFonts w:ascii="宋体" w:hAnsi="宋体" w:eastAsia="宋体" w:cs="Times New Roman"/>
          <w:color w:val="auto"/>
          <w:sz w:val="26"/>
          <w:szCs w:val="20"/>
          <w:highlight w:val="none"/>
          <w:shd w:val="clear" w:color="auto" w:fill="ffffff"/>
        </w:rPr>
      </w:r>
      <w:r/>
    </w:p>
    <w:p>
      <w:pPr>
        <w:spacing w:line="360" w:lineRule="auto"/>
        <w:rPr>
          <w:rFonts w:ascii="宋体" w:hAnsi="宋体" w:eastAsia="宋体" w:cs="Times New Roman"/>
          <w:color w:val="auto"/>
          <w:sz w:val="26"/>
          <w:szCs w:val="20"/>
          <w:highlight w:val="none"/>
          <w:shd w:val="clear" w:color="auto" w:fill="ffffff"/>
        </w:rPr>
      </w:pPr>
      <w:r>
        <w:rPr>
          <w:rFonts w:ascii="宋体" w:hAnsi="宋体" w:eastAsia="宋体" w:cs="Times New Roman"/>
          <w:color w:val="auto"/>
          <w:sz w:val="26"/>
          <w:szCs w:val="20"/>
          <w:highlight w:val="none"/>
          <w:shd w:val="clear" w:color="auto" w:fill="ffffff"/>
        </w:rPr>
      </w:r>
      <w:r/>
    </w:p>
    <w:p>
      <w:pPr>
        <w:spacing w:line="360" w:lineRule="auto"/>
        <w:rPr>
          <w:rFonts w:ascii="宋体" w:hAnsi="宋体" w:eastAsia="宋体" w:cs="Times New Roman"/>
          <w:color w:val="auto"/>
          <w:sz w:val="26"/>
          <w:szCs w:val="20"/>
          <w:highlight w:val="none"/>
          <w:shd w:val="clear" w:color="auto" w:fill="ffffff"/>
        </w:rPr>
      </w:pPr>
      <w:r>
        <w:rPr>
          <w:rFonts w:ascii="宋体" w:hAnsi="宋体" w:eastAsia="宋体" w:cs="Times New Roman"/>
          <w:color w:val="auto"/>
          <w:sz w:val="26"/>
          <w:szCs w:val="20"/>
          <w:highlight w:val="none"/>
          <w:shd w:val="clear" w:color="auto" w:fill="ffffff"/>
        </w:rPr>
      </w:r>
      <w:r/>
    </w:p>
    <w:p>
      <w:pPr>
        <w:spacing w:line="360" w:lineRule="auto"/>
        <w:rPr>
          <w:rFonts w:ascii="宋体" w:hAnsi="宋体" w:eastAsia="宋体" w:cs="Times New Roman"/>
          <w:color w:val="auto"/>
          <w:sz w:val="26"/>
          <w:szCs w:val="20"/>
          <w:highlight w:val="none"/>
          <w:shd w:val="clear" w:color="auto" w:fill="ffffff"/>
        </w:rPr>
      </w:pPr>
      <w:r>
        <w:rPr>
          <w:rFonts w:ascii="宋体" w:hAnsi="宋体" w:eastAsia="宋体" w:cs="Times New Roman"/>
          <w:color w:val="auto"/>
          <w:sz w:val="26"/>
          <w:szCs w:val="20"/>
          <w:highlight w:val="none"/>
          <w:shd w:val="clear" w:color="auto" w:fill="ffffff"/>
        </w:rPr>
      </w:r>
      <w:r/>
    </w:p>
    <w:p>
      <w:pPr>
        <w:spacing w:line="360" w:lineRule="auto"/>
        <w:rPr>
          <w:rFonts w:ascii="宋体" w:hAnsi="宋体" w:eastAsia="宋体" w:cs="Times New Roman"/>
          <w:color w:val="auto"/>
          <w:sz w:val="26"/>
          <w:szCs w:val="20"/>
          <w:highlight w:val="none"/>
          <w:shd w:val="clear" w:color="auto" w:fill="ffffff"/>
        </w:rPr>
      </w:pPr>
      <w:r>
        <w:rPr>
          <w:rFonts w:ascii="宋体" w:hAnsi="宋体" w:eastAsia="宋体" w:cs="Times New Roman"/>
          <w:color w:val="auto"/>
          <w:sz w:val="26"/>
          <w:szCs w:val="20"/>
          <w:highlight w:val="none"/>
          <w:shd w:val="clear" w:color="auto" w:fill="ffffff"/>
        </w:rPr>
      </w:r>
      <w:r/>
    </w:p>
    <w:p>
      <w:pPr>
        <w:spacing w:line="360" w:lineRule="auto"/>
        <w:rPr>
          <w:rFonts w:ascii="宋体" w:hAnsi="宋体" w:eastAsia="宋体" w:cs="Times New Roman"/>
          <w:color w:val="auto"/>
          <w:sz w:val="26"/>
          <w:szCs w:val="20"/>
          <w:highlight w:val="none"/>
          <w:shd w:val="clear" w:color="auto" w:fill="ffffff"/>
        </w:rPr>
      </w:pPr>
      <w:r>
        <w:rPr>
          <w:rFonts w:ascii="宋体" w:hAnsi="宋体" w:eastAsia="宋体" w:cs="Times New Roman"/>
          <w:color w:val="auto"/>
          <w:sz w:val="26"/>
          <w:szCs w:val="20"/>
          <w:highlight w:val="none"/>
          <w:shd w:val="clear" w:color="auto" w:fill="ffffff"/>
        </w:rPr>
      </w:r>
      <w:r/>
    </w:p>
    <w:p>
      <w:pPr>
        <w:spacing w:line="360" w:lineRule="auto"/>
        <w:rPr>
          <w:rFonts w:ascii="宋体" w:hAnsi="宋体" w:eastAsia="宋体" w:cs="Times New Roman"/>
          <w:color w:val="auto"/>
          <w:sz w:val="26"/>
          <w:szCs w:val="20"/>
          <w:highlight w:val="none"/>
          <w:shd w:val="clear" w:color="auto" w:fill="ffffff"/>
        </w:rPr>
      </w:pPr>
      <w:r>
        <w:rPr>
          <w:rFonts w:ascii="宋体" w:hAnsi="宋体" w:eastAsia="宋体" w:cs="Times New Roman"/>
          <w:color w:val="auto"/>
          <w:sz w:val="26"/>
          <w:szCs w:val="20"/>
          <w:highlight w:val="none"/>
          <w:shd w:val="clear" w:color="auto" w:fill="ffffff"/>
        </w:rPr>
      </w:r>
      <w:r/>
    </w:p>
    <w:p>
      <w:pPr>
        <w:spacing w:line="360" w:lineRule="auto"/>
        <w:rPr>
          <w:rFonts w:ascii="宋体" w:hAnsi="宋体" w:eastAsia="宋体" w:cs="Times New Roman"/>
          <w:color w:val="auto"/>
          <w:sz w:val="26"/>
          <w:szCs w:val="20"/>
          <w:highlight w:val="none"/>
          <w:shd w:val="clear" w:color="auto" w:fill="ffffff"/>
        </w:rPr>
      </w:pPr>
      <w:r>
        <w:rPr>
          <w:rFonts w:ascii="宋体" w:hAnsi="宋体" w:eastAsia="宋体" w:cs="Times New Roman"/>
          <w:color w:val="auto"/>
          <w:sz w:val="26"/>
          <w:szCs w:val="20"/>
          <w:highlight w:val="none"/>
          <w:shd w:val="clear" w:color="auto" w:fill="ffffff"/>
        </w:rPr>
      </w:r>
      <w:r/>
    </w:p>
    <w:p>
      <w:pPr>
        <w:ind w:firstLine="6300"/>
        <w:rPr>
          <w:rFonts w:hint="eastAsia" w:ascii="宋体" w:hAnsi="宋体" w:eastAsia="宋体" w:cs="宋体"/>
          <w:color w:val="auto"/>
          <w:sz w:val="21"/>
          <w:szCs w:val="21"/>
          <w:highlight w:val="none"/>
        </w:rPr>
      </w:pPr>
      <w:r/>
      <w:bookmarkStart w:id="44" w:name="_Toc105940242"/>
      <w:r>
        <w:rPr>
          <w:rFonts w:hint="eastAsia" w:ascii="宋体" w:hAnsi="宋体" w:eastAsia="宋体" w:cs="宋体"/>
          <w:color w:val="auto"/>
          <w:sz w:val="21"/>
          <w:szCs w:val="21"/>
          <w:highlight w:val="none"/>
        </w:rPr>
        <w:t xml:space="preserve">合同编号：</w:t>
      </w:r>
      <w:r/>
    </w:p>
    <w:p>
      <w:pPr>
        <w:ind w:firstLine="63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6300"/>
        <w:rPr>
          <w:rFonts w:hint="eastAsia" w:ascii="宋体" w:hAnsi="宋体" w:eastAsia="宋体" w:cs="宋体"/>
          <w:color w:val="auto"/>
          <w:sz w:val="21"/>
          <w:szCs w:val="21"/>
          <w:highlight w:val="none"/>
        </w:rPr>
      </w:pPr>
      <w:r/>
      <w:bookmarkStart w:id="45" w:name="_Toc13543224"/>
      <w:r/>
      <w:r/>
    </w:p>
    <w:p>
      <w:pPr>
        <w:ind w:firstLine="422"/>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第一部分  合同一般条款</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一、合同文件</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1、合同文件适用法律</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 适用于合同文件的法律是中华人民共和国现行法律、法规及甲方所在地的地方性法规。</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2、合同文件组成和解释顺序</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 合同文件的组成和解释顺序如下：</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 合同的特殊性条款</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 合同的一般性条款</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2.1.3 洽商、变更等明确双方权利义务的纪要、协议</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2.1.4 中标通知书、投标书和招标文件</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2.1.5 有关图纸</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2.1.6 标准、规范和其它有关技术资料、技术要求</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 合同的特殊性条款的效力优于合同的一般性条款的效力</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3、合同文件使用文字</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 合同文件使用中文书写、解释和说明</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 合同文件使用特殊性条款约定的国家标准和规范；国家没有相应标准、规范时，可使用特殊性条款约定的行业或甲方所在地地方的标准、规范。甲方应按特殊性条款约定的时间向乙方提供一式两份约定的标准和规范。 </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二、标的物的一般条款</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4、完整物权</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对于出卖的标的物，乙方应当拥有完整物权，并且乙方负有保证第三人不得向甲方主张任何权利（包括知识产权）的义务。</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5、质量保证</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 乙方应保证所供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等缺陷及伴随服务而造成的任何不足或故障负责。</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 根据甲方按检验标准自己检验的结果或当地技监部门的检验结果，或者在质量保证期内，如果标的物的数量、质量或规格与合同不符或证实标的物是有缺陷的，包括潜在缺陷或使用不符合要求的材料等，甲方应尽快以书面形式通知乙方并提出索赔。</w:t>
      </w:r>
      <w:r/>
    </w:p>
    <w:p>
      <w:pPr>
        <w:ind w:firstLine="420"/>
        <w:spacing w:line="44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 除合同特殊条款规定外，合同条款中标的物的质量保证期均自标的物通过最终验收</w:t>
      </w:r>
      <w:r>
        <w:rPr>
          <w:rFonts w:hint="eastAsia" w:ascii="宋体" w:hAnsi="宋体" w:eastAsia="宋体" w:cs="宋体"/>
          <w:color w:val="auto"/>
          <w:sz w:val="21"/>
          <w:szCs w:val="21"/>
          <w:highlight w:val="none"/>
          <w:lang w:val="en-US" w:eastAsia="zh-CN"/>
        </w:rPr>
        <w:t xml:space="preserve">移交</w:t>
      </w:r>
      <w:r>
        <w:rPr>
          <w:rFonts w:hint="eastAsia" w:ascii="宋体" w:hAnsi="宋体" w:eastAsia="宋体" w:cs="宋体"/>
          <w:color w:val="auto"/>
          <w:sz w:val="21"/>
          <w:szCs w:val="21"/>
          <w:highlight w:val="none"/>
        </w:rPr>
        <w:t xml:space="preserve">之日起计算，且质量保证期不低于</w:t>
      </w:r>
      <w:r>
        <w:rPr>
          <w:rFonts w:hint="eastAsia" w:ascii="宋体" w:hAnsi="宋体" w:eastAsia="宋体" w:cs="宋体"/>
          <w:color w:val="auto"/>
          <w:sz w:val="21"/>
          <w:szCs w:val="21"/>
          <w:highlight w:val="none"/>
          <w:lang w:val="en-US" w:eastAsia="zh-CN"/>
        </w:rPr>
        <w:t xml:space="preserve">两年</w:t>
      </w:r>
      <w:r>
        <w:rPr>
          <w:rFonts w:hint="eastAsia" w:ascii="宋体" w:hAnsi="宋体" w:eastAsia="宋体" w:cs="宋体"/>
          <w:color w:val="auto"/>
          <w:sz w:val="21"/>
          <w:szCs w:val="21"/>
          <w:highlight w:val="none"/>
        </w:rPr>
        <w:t xml:space="preserve">。</w:t>
      </w:r>
      <w:r>
        <w:rPr>
          <w:rFonts w:hint="default" w:ascii="宋体" w:hAnsi="宋体" w:eastAsia="宋体" w:cs="宋体"/>
          <w:color w:val="auto"/>
          <w:sz w:val="21"/>
          <w:szCs w:val="21"/>
          <w:highlight w:val="none"/>
        </w:rPr>
        <w:t xml:space="preserve">若货物生产厂家规定的免费质保期长于本合同质保期，质保期以较长者为准。</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6、包装</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7、伴随服务</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 乙方除应履行按期按量交付合格标的物的义务之外，还应提供下列服务。</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7.1.1 标的物的现场安装、启动、调试、监督；</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7.1.2 提供标的物组装和一般维修所必须的工具；</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7.1.3 在合同规定的期限内对所提供标的物实行运行监督、维修服务的前提条件是该服务并不能免除乙方在质量保证期内所承担的义务；</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7.1.4 对甲方技术人员的技术指导或培训。</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 除合同另有规定之外，伴随服务的费用均已含在合同价款中，甲方不再另行进行支付。</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三、标的物的交付、检验和验收</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8、标的物的交付</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 标的物的所有权自标的物交付时转移。</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 乙方应当按照约定的期限和约定的地点交付标的物。</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8.3 乙方应当按照约定或者交易习惯向甲方交付提取标的物单证以外的有关单证和资料。</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9、检验和验收</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9.1 在交货前，乙方应对标的物的质量、规格、性能、数量等进行详细而全面的检验，并出具一份合格检验证明，合格检验证明作为甲方验收的依据，但不能作为有关标的物质量、规格、数量或性能的最终检验结果。</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9.2 甲方根据合同规定的内容和验收标准进行验收，同时比较乙方出具的检验证明，经检验无误后出具验收合格证明，该证明作为最终付款所需文件的组成部分。</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9.3 验收期限自标的物交付之日起三十天内。特殊情况需延长的，双方应在合同的特殊条款中约定。</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9.4 如双方对验收结果有分歧，则以苏州市技术质量监督局的检验结果为准，检验费用由有过失的一方支付。</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四、对标的物提出异议的时间和办法</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10、对标的物提出异议的时间和办法 </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 甲方在验收过程中，应当于双方约定的检验期间内将标的物的数量或质量不符合约定的情形及处理方式以书面形式通知乙方。</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 如甲方在验收期满后既不出具验收合格证明又未提出书面异议的视为乙方所交标的物符合合同规定。</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  乙方应在收到甲方书面异议后七天内负责处理问题，否则将视为默认甲方提出的异议和处理意见。</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五、合同价款和支付</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11、合同价款和支付</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 本合同的结算货币为人民币，单位元。</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 乙方应按照双方签订的合同规定交货并在合同特殊条款规定的期限内持下列单据结算货款。</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11.2.1 合格的销售发票；</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11.2.2 甲方盖章签收后的送货回单和验收合格证明。</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 甲方应按合同特殊条款规定的期限和方式付款。</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11.4 根据现行税法对甲方征收的与本合同有关的一切税费均由甲方承担；根据现行税法对乙方征收的与本合同有关的一切税费均由乙方承担。</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六、违约责任</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12、违约责任</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合同一方不履行合同义务或者履行合同义务不符合约定的，应当承担继续履行、采取补救措施或者赔偿损失等违约责任。</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13、甲方违约责任</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 在合同生效后，非乙方质量原因甲方要求退货的，应向乙方偿付合同总价款的5%，作为违约金，违约金不足以补偿损失的，乙方有权要求甲方补足。</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 甲方逾期付款的应按照逾期付款金额的每天万分之四支付逾期付款违约金。</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 甲方违反合同规定，拒绝接收乙方交付的合格标的物，应当承担乙方由此造成的损失。</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14、乙方违约责任</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 乙方不能交货（逾期超过十五天视为不能交货），或交货不合格从而影响甲方按期正常使用的，甲方有权解除合同，乙方向甲方偿付合同总价款5%的违约金，违约金不足以补偿损失的甲方有权要求乙方补足。</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14.2 乙方逾期交货的，应在发货前与甲方和政府采购管理部门协商，甲方仍需求的，乙方应立即发货并应按照逾期交货部分货款的每天万分之四支付逾期交货违约金，同时承担甲方因此遭致的损失费用。</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15、不可抗力</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 因不可抗力不能履行合同的，根据不可抗力的影响，部分或者全部免除责任。但合同一方迟延履行后发生不可抗力的，不能免除责任。</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15.2 合同一方因不可抗力不能履行合同的，应当及时通知对方，以减轻可能给对方造成的损失，并应当在合理期限内提供证明。</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七、索赔</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16、索赔</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 甲方有权根据乙方的违约情况向乙方提出索赔。</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 在本合同规定的检验期和质量保证期内，如果乙方对甲方提出的索赔或差异有责任，则乙方应按甲方要求的下列一种或多种方式解决索赔事宜：</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16.2.1 退货，并按合同规定的货币将货款退还给甲方，并承担由此发生的一切损失和费用，包括利息、银行手续费、运费、保险费、检验费、仓储费、装卸费以及为保护退回标的物所需的其它必要费用。</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16.2.2 根据标的物的低劣程度、损坏程度以及甲方遭受损失的数额，经双方协商确定降低标的物的价格。</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16.2.3 用符合规格、质量和性能要求的新零件、部件或标的物来更换有缺陷的部分或修补缺陷部分，乙方应承担一切费用和风险并负担甲方所发生的一切直接费用。同时，乙方应按合同规定，相应延长修补或被更换部件或标的物的质量保证期。</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16.3 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同时乙方还应承担甲方因提出索赔而聘请律师所发生的费用。</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八、合同的解除和转让</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17、合同的解除</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 甲方和乙方协商一致，可以解除合同；</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 有下列情形之一，合同一方可以解除合同：</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17.2.1 因不可抗力致使不能实现合同目的，未受不可抗力影响的一方有权解除合同；</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17.2.2 因合同一方违约导致合同不能履行，另一方有权解除合同；</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17.3 有权解除合同的一方，应当在违约事实或不可抗力发生之后三十天内书面通知对方以主张解除合同，合同在书面通知到达对方时解除。</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18、合同的转让</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合同的部分和全部都不得转让。</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九、合同的生效</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19、合同的生效</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本合同在双方签字盖章后生效。</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十、争议解决</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20、争议解决</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甲乙双方因合同发生争议，应在招标方的主持下进行调解，协商不成，任何一方可以向甲方所在地人民法院起诉。</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十一、附则</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21、合同份数。</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本合同一式八份，甲方五份，乙方二份，采购代理机构一份。</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22、未尽事宜</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本合同未尽事宜应按《中华人民共和国民法典》、《中华人民共和国产品质量法》、《中华人民共和国政府采购法》之规定解释。</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2"/>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第二部分  合同特殊条款</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一、合同内容：</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1、乙方负责完成甲方的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，详见《标的物清单》。</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2、下列文件为本合同不可分割部分：</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①招标文件；</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②乙方中标的投标书；</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③乙方在招投标过程中所作的其他承诺、声明、书面澄清等；</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④中标通知书。</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二、价格与支付：</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1、本合同为固定单价合同</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合同价格按此次中标价格执行，合同总金额为人民币</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元，投标总价包括设备、随机备品备件、易损件（包括保障设备正常运行三年所需的备品备件、易损件）、降噪、专用工具、安装、调试价（包括损耗、额外材料等，含安装、调试、试运行等相关费用）、运输及保险（包括货物运至最终目的地点的运输费、装卸费、保险费，含伴随货物交运的有关费用）、为完成本项目的全部相关服务费用（包括但不限于现场保管仓储费、零星工程费、培训费、质保期内维护保养费，以及相关税费等保证本项目正常实施和运行所需的一切相关费用）。</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2、付款步骤：</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2.1</w:t>
      </w:r>
      <w:r>
        <w:rPr>
          <w:rFonts w:hint="eastAsia" w:ascii="宋体" w:hAnsi="宋体" w:eastAsia="宋体" w:cs="宋体"/>
          <w:color w:val="auto"/>
          <w:sz w:val="21"/>
          <w:szCs w:val="21"/>
          <w:highlight w:val="none"/>
        </w:rPr>
        <w:t xml:space="preserve">预付款：</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□乙方明确表示无需预付款；</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□有预付款：待合同签订生效后，甲方支付合同金额的30%的预付款，预付款将从第</w:t>
      </w:r>
      <w:r>
        <w:rPr>
          <w:rFonts w:hint="eastAsia" w:ascii="宋体" w:hAnsi="宋体" w:eastAsia="宋体" w:cs="宋体"/>
          <w:color w:val="auto"/>
          <w:highlight w:val="none"/>
          <w:u w:val="single"/>
        </w:rPr>
        <w:t xml:space="preserve">1</w:t>
      </w:r>
      <w:r>
        <w:rPr>
          <w:rFonts w:hint="eastAsia" w:ascii="宋体" w:hAnsi="宋体" w:eastAsia="宋体" w:cs="宋体"/>
          <w:color w:val="auto"/>
          <w:highlight w:val="none"/>
        </w:rPr>
        <w:t xml:space="preserve">笔（期）待支付的进度款款项中扣除。</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2.2</w:t>
      </w:r>
      <w:r>
        <w:rPr>
          <w:rFonts w:hint="eastAsia" w:ascii="宋体" w:hAnsi="宋体" w:eastAsia="宋体" w:cs="宋体"/>
          <w:b/>
          <w:color w:val="auto"/>
          <w:highlight w:val="none"/>
        </w:rPr>
        <w:t xml:space="preserve">进度款：</w:t>
      </w:r>
      <w:r>
        <w:rPr>
          <w:rFonts w:hint="eastAsia" w:ascii="宋体" w:hAnsi="宋体" w:eastAsia="宋体" w:cs="宋体"/>
          <w:color w:val="auto"/>
          <w:highlight w:val="none"/>
        </w:rPr>
        <w:t xml:space="preserve">乙方所提供的货物全部交付完毕，且全部货物验收合格后,甲方支付合同总金额的50％；乙方将所有货物安装调试通过且验收完成，甲方支付至合同总金额的7</w:t>
      </w:r>
      <w:r>
        <w:rPr>
          <w:rFonts w:hint="eastAsia" w:ascii="宋体" w:hAnsi="宋体" w:eastAsia="宋体" w:cs="宋体"/>
          <w:color w:val="auto"/>
          <w:highlight w:val="none"/>
          <w:lang w:val="en-US" w:eastAsia="zh-CN"/>
        </w:rPr>
        <w:t xml:space="preserve">0</w:t>
      </w:r>
      <w:r>
        <w:rPr>
          <w:rFonts w:hint="eastAsia" w:ascii="宋体" w:hAnsi="宋体" w:eastAsia="宋体" w:cs="宋体"/>
          <w:color w:val="auto"/>
          <w:highlight w:val="none"/>
        </w:rPr>
        <w:t xml:space="preserve">％。</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2.3</w:t>
      </w:r>
      <w:r>
        <w:rPr>
          <w:rFonts w:hint="eastAsia" w:ascii="宋体" w:hAnsi="宋体" w:eastAsia="宋体" w:cs="宋体"/>
          <w:b/>
          <w:color w:val="auto"/>
          <w:highlight w:val="none"/>
        </w:rPr>
        <w:t xml:space="preserve">结清款：</w:t>
      </w:r>
      <w:r>
        <w:rPr>
          <w:rFonts w:hint="eastAsia" w:ascii="宋体" w:hAnsi="宋体" w:eastAsia="宋体" w:cs="宋体"/>
          <w:color w:val="auto"/>
          <w:highlight w:val="none"/>
        </w:rPr>
        <w:t xml:space="preserve">经甲方组织的整个项目验收合格，且经园区审计部门</w:t>
      </w:r>
      <w:r>
        <w:rPr>
          <w:rFonts w:hint="eastAsia" w:ascii="宋体" w:hAnsi="宋体" w:eastAsia="宋体" w:cs="宋体"/>
          <w:color w:val="auto"/>
          <w:highlight w:val="none"/>
          <w:lang w:val="en-US" w:eastAsia="zh-CN"/>
        </w:rPr>
        <w:t xml:space="preserve">审计</w:t>
      </w:r>
      <w:r>
        <w:rPr>
          <w:rFonts w:hint="eastAsia" w:ascii="宋体" w:hAnsi="宋体" w:eastAsia="宋体" w:cs="宋体"/>
          <w:color w:val="auto"/>
          <w:highlight w:val="none"/>
        </w:rPr>
        <w:t xml:space="preserve">，甲方支付至审计结果的9</w:t>
      </w:r>
      <w:r>
        <w:rPr>
          <w:rFonts w:hint="eastAsia" w:ascii="宋体" w:hAnsi="宋体" w:eastAsia="宋体" w:cs="宋体"/>
          <w:color w:val="auto"/>
          <w:highlight w:val="none"/>
          <w:lang w:val="en-US" w:eastAsia="zh-CN"/>
        </w:rPr>
        <w:t xml:space="preserve">0</w:t>
      </w:r>
      <w:r>
        <w:rPr>
          <w:rFonts w:hint="eastAsia" w:ascii="宋体" w:hAnsi="宋体" w:eastAsia="宋体" w:cs="宋体"/>
          <w:color w:val="auto"/>
          <w:highlight w:val="none"/>
        </w:rPr>
        <w:t xml:space="preserve">%；剩余</w:t>
      </w:r>
      <w:r>
        <w:rPr>
          <w:rFonts w:hint="eastAsia" w:ascii="宋体" w:hAnsi="宋体" w:eastAsia="宋体" w:cs="宋体"/>
          <w:color w:val="auto"/>
          <w:highlight w:val="none"/>
          <w:lang w:val="en-US" w:eastAsia="zh-CN"/>
        </w:rPr>
        <w:t xml:space="preserve">10</w:t>
      </w:r>
      <w:r>
        <w:rPr>
          <w:rFonts w:hint="eastAsia" w:ascii="宋体" w:hAnsi="宋体" w:eastAsia="宋体" w:cs="宋体"/>
          <w:color w:val="auto"/>
          <w:highlight w:val="none"/>
        </w:rPr>
        <w:t xml:space="preserve">%在免费质保期满后七个工作日内付清。</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2.4在签订合同时，乙方明确表示无需预付款或者主动要求降低预付款比例的，甲方可不适用上述关于预付款的规定。</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3、项目实施完成后，将按如下方式进行最终审计：</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（1）以审计单位审定结果为本项目价款结算依据；</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审计核减率[核减额/结算送审总额]不超过7%的审计费全部由甲方承担。审计核减率[核减额/结算送审总额]超过7%的审计费，基本费及7%以内的核减费（核减额*2%）由甲方承担，7%以外的核减费（核减额*4%）由乙方承担。审计费由甲方代付，在项目结算款中扣除。</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在政府采购合同履行中，甲方需追加货物、工程或者服务的，需要具备以下要求：（1）追加金额不得超过原合同金额的10%；（2）原合同金额10%以内的追加费用，仅限于原合同内采购清单数量调整增加的项目费用，原合同外采购内容不得计入。</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5、付款方式：银行转账、银行汇票或转账支票，具体支付方式甲方有权根据财务安排自主选择。</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6、乙方开户银行名称、地址、账号为：</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户名：</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开户银行：</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账号</w:t>
      </w:r>
      <w:r>
        <w:rPr>
          <w:rFonts w:hint="eastAsia" w:ascii="宋体" w:hAnsi="宋体" w:eastAsia="宋体" w:cs="宋体"/>
          <w:color w:val="auto"/>
          <w:sz w:val="21"/>
          <w:szCs w:val="21"/>
          <w:highlight w:val="none"/>
        </w:rPr>
        <w:t xml:space="preserve">：</w:t>
      </w:r>
      <w:r/>
    </w:p>
    <w:p>
      <w:pPr>
        <w:ind w:firstLine="420"/>
        <w:spacing w:line="440" w:lineRule="exact"/>
        <w:rPr>
          <w:color w:val="auto"/>
          <w:highlight w:val="none"/>
        </w:rPr>
      </w:pPr>
      <w:r>
        <w:rPr>
          <w:rFonts w:hint="eastAsia" w:ascii="宋体" w:hAnsi="宋体" w:eastAsia="宋体" w:cs="宋体"/>
          <w:color w:val="auto"/>
          <w:sz w:val="21"/>
          <w:szCs w:val="21"/>
          <w:highlight w:val="none"/>
        </w:rPr>
        <w:t xml:space="preserve">地址：</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三、质量与验收：</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1、乙方应按照标书的有关规定提供合格设备；</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2、设备质量出现问题，乙方负责包修、包退、包换，费用由乙方承担；</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3、设备的验收包括：数量、外观、质量、性能、质保单、包装和乙方承诺的其它指标。</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4、验收标准：根据标书要求及有关规定由招标代理机构、采购方到场，并按国家标准进行验收通过。</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5、乙方交付验收时应先用书面、电传等方式通告甲方及招标方；</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6、知识产权</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（1）乙方提供的软件及相关交付物，包括且不限于软件程序</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乙方自有的产品和第三方产品除外</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、文档材料等，甲方均与乙方共同享有所有的产权、所有权及其它知识产权和权益。</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（2）乙方独立于本项目之外且未利用甲方相关资料或工作条件完成的工作成果的一切知识产权和所有权归乙方所有</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（3）乙方于本合同项下新开发的与甲方业务相关的开发成果，甲方享有知识产权和所有权。</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（4）乙方按照本合同约定在履行系统维护和技术服务的过程中，利用甲方提供的相关资料和工作条件完成的新技术成果，甲乙双方共享知识产权和所有权。</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（5）甲方依据本合同的规定，利用乙方提供的工作成果完成的新技术成果的所有权归甲方所有</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如果有人提出法律或行政</w:t>
      </w:r>
      <w:r>
        <w:rPr>
          <w:rFonts w:hint="eastAsia" w:ascii="宋体" w:hAnsi="宋体" w:eastAsia="宋体" w:cs="宋体"/>
          <w:color w:val="auto"/>
          <w:sz w:val="21"/>
          <w:szCs w:val="21"/>
          <w:highlight w:val="none"/>
          <w:lang w:val="en-US" w:eastAsia="zh-CN"/>
        </w:rPr>
        <w:t xml:space="preserve">程</w:t>
      </w:r>
      <w:r>
        <w:rPr>
          <w:rFonts w:hint="eastAsia" w:ascii="宋体" w:hAnsi="宋体" w:eastAsia="宋体" w:cs="宋体"/>
          <w:color w:val="auto"/>
          <w:sz w:val="21"/>
          <w:szCs w:val="21"/>
          <w:highlight w:val="none"/>
        </w:rPr>
        <w:t xml:space="preserve">序</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合称“权指控”</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，声称方所拥有的应用软件犯了其合法权益</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包括但不限于知识产权</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，乙方应当负责解决，并赔偿甲方就此所承担的一切损失和费用，包括但不限于上述侵权指控中所产生的诉讼费用、调查费用、合理的律师费用、和解金额或生效法律文书中规定的赔偿金额。</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四、售后服务：</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按照招标文件和乙方在投标书中承诺的服务执行。</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五、违约责任：</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按招标文件的规定执行。</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六、合同生效及其它：</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1、本合同在双方签字盖章后生效。</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2、合同在执行过程中出现的未尽事宜，双方在不违背本合同和招标文件的原则下协商解决，协商结果以书面形式盖章记录在案，作为本合同的附件，与本合同具有同等效力，但需向招标方提交一份备存。</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经双方协商一致同意，在本合同签订后，若因乙方办理“园采贷”信用融资的需要，本合同约定的收款账号可作变更，变更后的账号为甲方付款时中征应收账款融资服务平台中资金提供方指定的回款账户，甲方支付至该账号的款项，亦视为已向乙方履行完毕支付义务。甲方同时应与办理“园采贷”的乙方签订变更账号的补充协议或由乙方提供账号的变更申请。</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、应当维护国家利益和社会公共利益，合同履行过程中出现危害国家利益和社会公共利益问题的，甲方有权立即终止合同。</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、如合同继续履行将损害国家利益和社会公共利益，甲方有权变更、中止或者终止、解除合同。</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、甲方和乙方签订补充合同的采购金额不得超过原合同采购金额的百分之十。</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、小型、微型企业不得分包或转包给大型、中型企业，中型企业不得分包或转包给大型企业。</w:t>
      </w:r>
      <w:bookmarkEnd w:id="45"/>
      <w:r/>
      <w:r/>
    </w:p>
    <w:p>
      <w:pPr>
        <w:jc w:val="center"/>
        <w:keepLines/>
        <w:keepNext/>
        <w:spacing w:before="340" w:after="330" w:line="360" w:lineRule="auto"/>
        <w:rPr>
          <w:rFonts w:ascii="宋体" w:hAnsi="宋体" w:eastAsia="宋体" w:cs="Times New Roman"/>
          <w:b/>
          <w:color w:val="auto"/>
          <w:sz w:val="52"/>
          <w:szCs w:val="20"/>
          <w:highlight w:val="none"/>
          <w:shd w:val="clear" w:color="auto" w:fill="ffffff"/>
        </w:rPr>
        <w:outlineLvl w:val="0"/>
      </w:pPr>
      <w:r>
        <w:rPr>
          <w:rFonts w:hint="eastAsia" w:ascii="宋体" w:hAnsi="宋体" w:eastAsia="宋体" w:cs="宋体"/>
          <w:b/>
          <w:bCs/>
          <w:color w:val="auto"/>
          <w:sz w:val="32"/>
          <w:szCs w:val="32"/>
          <w:highlight w:val="none"/>
        </w:rPr>
        <w:br w:type="page" w:clear="all"/>
      </w:r>
      <w:r/>
    </w:p>
    <w:p>
      <w:pPr>
        <w:jc w:val="left"/>
        <w:rPr>
          <w:color w:val="auto"/>
          <w:highlight w:val="none"/>
        </w:rPr>
      </w:pPr>
      <w:r>
        <w:rPr>
          <w:color w:val="auto"/>
          <w:highlight w:val="none"/>
        </w:rPr>
      </w:r>
      <w:r/>
    </w:p>
    <w:p>
      <w:pPr>
        <w:jc w:val="center"/>
        <w:keepLines/>
        <w:keepNext/>
        <w:spacing w:before="340" w:after="330" w:line="360" w:lineRule="auto"/>
        <w:rPr>
          <w:rFonts w:ascii="宋体" w:hAnsi="宋体" w:eastAsia="宋体" w:cs="Times New Roman"/>
          <w:b/>
          <w:color w:val="auto"/>
          <w:sz w:val="52"/>
          <w:szCs w:val="20"/>
          <w:highlight w:val="none"/>
          <w:shd w:val="clear" w:color="auto" w:fill="ffffff"/>
        </w:rPr>
        <w:outlineLvl w:val="0"/>
      </w:pPr>
      <w:r>
        <w:rPr>
          <w:rFonts w:ascii="宋体" w:hAnsi="宋体" w:eastAsia="宋体" w:cs="Times New Roman"/>
          <w:b/>
          <w:color w:val="auto"/>
          <w:sz w:val="52"/>
          <w:szCs w:val="20"/>
          <w:highlight w:val="none"/>
          <w:shd w:val="clear" w:color="auto" w:fill="ffffff"/>
        </w:rPr>
      </w:r>
      <w:r/>
    </w:p>
    <w:p>
      <w:pPr>
        <w:pStyle w:val="969"/>
        <w:rPr>
          <w:rFonts w:ascii="宋体" w:hAnsi="宋体" w:eastAsia="宋体"/>
          <w:b/>
          <w:color w:val="auto"/>
          <w:sz w:val="52"/>
          <w:highlight w:val="none"/>
          <w:shd w:val="clear" w:color="auto" w:fill="ffffff"/>
        </w:rPr>
      </w:pPr>
      <w:r>
        <w:rPr>
          <w:rFonts w:ascii="宋体" w:hAnsi="宋体" w:eastAsia="宋体"/>
          <w:b/>
          <w:color w:val="auto"/>
          <w:sz w:val="52"/>
          <w:highlight w:val="none"/>
          <w:shd w:val="clear" w:color="auto" w:fill="ffffff"/>
        </w:rPr>
      </w:r>
      <w:r/>
    </w:p>
    <w:p>
      <w:pPr>
        <w:rPr>
          <w:rFonts w:ascii="宋体" w:hAnsi="宋体" w:eastAsia="宋体" w:cs="Times New Roman"/>
          <w:b/>
          <w:color w:val="auto"/>
          <w:sz w:val="52"/>
          <w:szCs w:val="20"/>
          <w:highlight w:val="none"/>
          <w:shd w:val="clear" w:color="auto" w:fill="ffffff"/>
        </w:rPr>
      </w:pPr>
      <w:r>
        <w:rPr>
          <w:rFonts w:ascii="宋体" w:hAnsi="宋体" w:eastAsia="宋体" w:cs="Times New Roman"/>
          <w:b/>
          <w:color w:val="auto"/>
          <w:sz w:val="52"/>
          <w:szCs w:val="20"/>
          <w:highlight w:val="none"/>
          <w:shd w:val="clear" w:color="auto" w:fill="ffffff"/>
        </w:rPr>
      </w:r>
      <w:r/>
    </w:p>
    <w:p>
      <w:pPr>
        <w:pStyle w:val="969"/>
        <w:rPr>
          <w:rFonts w:ascii="宋体" w:hAnsi="宋体" w:eastAsia="宋体"/>
          <w:b/>
          <w:color w:val="auto"/>
          <w:sz w:val="52"/>
          <w:highlight w:val="none"/>
          <w:shd w:val="clear" w:color="auto" w:fill="ffffff"/>
        </w:rPr>
      </w:pPr>
      <w:r>
        <w:rPr>
          <w:rFonts w:ascii="宋体" w:hAnsi="宋体" w:eastAsia="宋体"/>
          <w:b/>
          <w:color w:val="auto"/>
          <w:sz w:val="52"/>
          <w:highlight w:val="none"/>
          <w:shd w:val="clear" w:color="auto" w:fill="ffffff"/>
        </w:rPr>
      </w:r>
      <w:r/>
    </w:p>
    <w:p>
      <w:pPr>
        <w:rPr>
          <w:rFonts w:ascii="宋体" w:hAnsi="宋体" w:eastAsia="宋体" w:cs="Times New Roman"/>
          <w:b/>
          <w:color w:val="auto"/>
          <w:sz w:val="52"/>
          <w:szCs w:val="20"/>
          <w:highlight w:val="none"/>
          <w:shd w:val="clear" w:color="auto" w:fill="ffffff"/>
        </w:rPr>
      </w:pPr>
      <w:r>
        <w:rPr>
          <w:rFonts w:ascii="宋体" w:hAnsi="宋体" w:eastAsia="宋体" w:cs="Times New Roman"/>
          <w:b/>
          <w:color w:val="auto"/>
          <w:sz w:val="52"/>
          <w:szCs w:val="20"/>
          <w:highlight w:val="none"/>
          <w:shd w:val="clear" w:color="auto" w:fill="ffffff"/>
        </w:rPr>
      </w:r>
      <w:r/>
    </w:p>
    <w:p>
      <w:pPr>
        <w:pStyle w:val="969"/>
        <w:rPr>
          <w:rFonts w:ascii="宋体" w:hAnsi="宋体" w:eastAsia="宋体"/>
          <w:b/>
          <w:color w:val="auto"/>
          <w:sz w:val="52"/>
          <w:highlight w:val="none"/>
          <w:shd w:val="clear" w:color="auto" w:fill="ffffff"/>
        </w:rPr>
      </w:pPr>
      <w:r>
        <w:rPr>
          <w:rFonts w:ascii="宋体" w:hAnsi="宋体" w:eastAsia="宋体"/>
          <w:b/>
          <w:color w:val="auto"/>
          <w:sz w:val="52"/>
          <w:highlight w:val="none"/>
          <w:shd w:val="clear" w:color="auto" w:fill="ffffff"/>
        </w:rPr>
      </w:r>
      <w:r/>
    </w:p>
    <w:p>
      <w:pPr>
        <w:rPr>
          <w:rFonts w:ascii="宋体" w:hAnsi="宋体" w:eastAsia="宋体" w:cs="Times New Roman"/>
          <w:b/>
          <w:color w:val="auto"/>
          <w:sz w:val="52"/>
          <w:szCs w:val="20"/>
          <w:highlight w:val="none"/>
          <w:shd w:val="clear" w:color="auto" w:fill="ffffff"/>
        </w:rPr>
      </w:pPr>
      <w:r>
        <w:rPr>
          <w:rFonts w:ascii="宋体" w:hAnsi="宋体" w:eastAsia="宋体" w:cs="Times New Roman"/>
          <w:b/>
          <w:color w:val="auto"/>
          <w:sz w:val="52"/>
          <w:szCs w:val="20"/>
          <w:highlight w:val="none"/>
          <w:shd w:val="clear" w:color="auto" w:fill="ffffff"/>
        </w:rPr>
      </w:r>
      <w:r/>
    </w:p>
    <w:p>
      <w:pPr>
        <w:pStyle w:val="969"/>
        <w:rPr>
          <w:rFonts w:ascii="宋体" w:hAnsi="宋体" w:eastAsia="宋体"/>
          <w:b/>
          <w:color w:val="auto"/>
          <w:sz w:val="52"/>
          <w:highlight w:val="none"/>
          <w:shd w:val="clear" w:color="auto" w:fill="ffffff"/>
        </w:rPr>
      </w:pPr>
      <w:r>
        <w:rPr>
          <w:rFonts w:ascii="宋体" w:hAnsi="宋体" w:eastAsia="宋体"/>
          <w:b/>
          <w:color w:val="auto"/>
          <w:sz w:val="52"/>
          <w:highlight w:val="none"/>
          <w:shd w:val="clear" w:color="auto" w:fill="ffffff"/>
        </w:rPr>
      </w:r>
      <w:r/>
    </w:p>
    <w:p>
      <w:pPr>
        <w:rPr>
          <w:rFonts w:ascii="宋体" w:hAnsi="宋体" w:eastAsia="宋体" w:cs="Times New Roman"/>
          <w:b/>
          <w:color w:val="auto"/>
          <w:sz w:val="52"/>
          <w:szCs w:val="20"/>
          <w:highlight w:val="none"/>
          <w:shd w:val="clear" w:color="auto" w:fill="ffffff"/>
        </w:rPr>
      </w:pPr>
      <w:r>
        <w:rPr>
          <w:rFonts w:ascii="宋体" w:hAnsi="宋体" w:eastAsia="宋体" w:cs="Times New Roman"/>
          <w:b/>
          <w:color w:val="auto"/>
          <w:sz w:val="52"/>
          <w:szCs w:val="20"/>
          <w:highlight w:val="none"/>
          <w:shd w:val="clear" w:color="auto" w:fill="ffffff"/>
        </w:rPr>
      </w:r>
      <w:r/>
    </w:p>
    <w:p>
      <w:pPr>
        <w:jc w:val="center"/>
        <w:keepLines/>
        <w:keepNext/>
        <w:spacing w:before="340" w:after="330" w:line="360" w:lineRule="auto"/>
        <w:rPr>
          <w:rFonts w:ascii="宋体" w:hAnsi="宋体" w:eastAsia="宋体" w:cs="Times New Roman"/>
          <w:b/>
          <w:color w:val="auto"/>
          <w:sz w:val="52"/>
          <w:szCs w:val="20"/>
          <w:highlight w:val="none"/>
          <w:shd w:val="clear" w:color="auto" w:fill="ffffff"/>
        </w:rPr>
        <w:outlineLvl w:val="0"/>
      </w:pPr>
      <w:r>
        <w:rPr>
          <w:rFonts w:hint="eastAsia" w:ascii="宋体" w:hAnsi="宋体" w:eastAsia="宋体" w:cs="Times New Roman"/>
          <w:b/>
          <w:color w:val="auto"/>
          <w:sz w:val="52"/>
          <w:szCs w:val="20"/>
          <w:highlight w:val="none"/>
          <w:shd w:val="clear" w:color="auto" w:fill="ffffff"/>
        </w:rPr>
        <w:t xml:space="preserve">第六章 评分</w:t>
      </w:r>
      <w:bookmarkEnd w:id="42"/>
      <w:r/>
      <w:bookmarkEnd w:id="43"/>
      <w:r>
        <w:rPr>
          <w:rFonts w:hint="eastAsia" w:ascii="宋体" w:hAnsi="宋体" w:eastAsia="宋体" w:cs="Times New Roman"/>
          <w:b/>
          <w:color w:val="auto"/>
          <w:sz w:val="52"/>
          <w:szCs w:val="20"/>
          <w:highlight w:val="none"/>
          <w:shd w:val="clear" w:color="auto" w:fill="ffffff"/>
        </w:rPr>
        <w:t xml:space="preserve">标准</w:t>
      </w:r>
      <w:bookmarkEnd w:id="44"/>
      <w:r/>
      <w:r/>
    </w:p>
    <w:p>
      <w:pPr>
        <w:ind w:firstLine="520"/>
        <w:spacing w:line="360" w:lineRule="auto"/>
        <w:rPr>
          <w:rFonts w:ascii="宋体" w:hAnsi="宋体" w:eastAsia="宋体" w:cs="宋体"/>
          <w:color w:val="auto"/>
          <w:sz w:val="24"/>
          <w:szCs w:val="24"/>
          <w:highlight w:val="none"/>
        </w:rPr>
        <w:outlineLvl w:val="1"/>
      </w:pPr>
      <w:r/>
      <w:bookmarkStart w:id="46" w:name="OLE_LINK2"/>
      <w:r>
        <w:rPr>
          <w:rFonts w:ascii="宋体" w:hAnsi="宋体" w:eastAsia="宋体" w:cs="Times New Roman"/>
          <w:color w:val="auto"/>
          <w:sz w:val="26"/>
          <w:szCs w:val="20"/>
          <w:highlight w:val="none"/>
          <w:shd w:val="clear" w:color="auto" w:fill="ffffff"/>
        </w:rPr>
        <w:br w:type="page" w:clear="all"/>
      </w:r>
      <w:bookmarkEnd w:id="46"/>
      <w:r>
        <w:rPr>
          <w:rFonts w:hint="eastAsia" w:ascii="宋体" w:hAnsi="宋体" w:eastAsia="宋体" w:cs="宋体"/>
          <w:b/>
          <w:bCs/>
          <w:color w:val="auto"/>
          <w:sz w:val="24"/>
          <w:szCs w:val="24"/>
          <w:highlight w:val="none"/>
        </w:rPr>
        <w:t xml:space="preserve">一、评标办法：</w:t>
      </w:r>
      <w:r/>
    </w:p>
    <w:p>
      <w:pPr>
        <w:ind w:firstLine="420"/>
        <w:spacing w:line="360" w:lineRule="auto"/>
        <w:rPr>
          <w:color w:val="auto"/>
          <w:highlight w:val="none"/>
        </w:rPr>
      </w:pPr>
      <w:r>
        <w:rPr>
          <w:color w:val="auto"/>
          <w:highlight w:val="none"/>
        </w:rPr>
        <w:t xml:space="preserve">1.评标办法采用综合评分法。评标结果按评审后得分由高到低顺序排列，推荐3名中标候选人。得分相同的，按投标报价由低到高顺序排列。投标文件满足招标文件全部实质性要求，且按照评审因素的量化指标评审得分最高的投标人为排名第一的中标候选人。评标委员会直接确定排名第一的中标候选人为中标人。得分且投标报价相同的，提供优先采购产品证书更多的投标人优先成交（如属优先采购产品），否</w:t>
      </w:r>
      <w:r>
        <w:rPr>
          <w:color w:val="auto"/>
          <w:szCs w:val="21"/>
          <w:highlight w:val="none"/>
        </w:rPr>
        <w:t xml:space="preserve">则由采购代理机构组织抽签确定中标人。</w:t>
      </w:r>
      <w:r/>
    </w:p>
    <w:p>
      <w:pPr>
        <w:ind w:firstLine="420"/>
        <w:spacing w:line="360" w:lineRule="auto"/>
        <w:rPr>
          <w:color w:val="auto"/>
          <w:highlight w:val="none"/>
        </w:rPr>
      </w:pPr>
      <w:r>
        <w:rPr>
          <w:color w:val="auto"/>
          <w:highlight w:val="none"/>
        </w:rPr>
        <w:t xml:space="preserve">2.评标时，评标委员会成员按照招标文件规定的评分标准，独立对每个投标人的投标文件进行评价，得出每位评委对每个投标人的得分。每个投标人的最终得分按算术平均法汇总所有评委的得分得出。报价得分按文件规定的计算公式直接计算取得。所有得分保留小数点后两位，第三位四舍五入。评委评审得分和投标报价得分相加为投标人的综合评分。</w:t>
      </w:r>
      <w:r/>
    </w:p>
    <w:p>
      <w:pPr>
        <w:ind w:firstLine="420"/>
        <w:spacing w:line="360" w:lineRule="auto"/>
        <w:rPr>
          <w:color w:val="auto"/>
          <w:highlight w:val="none"/>
        </w:rPr>
      </w:pPr>
      <w:r>
        <w:rPr>
          <w:color w:val="auto"/>
          <w:highlight w:val="none"/>
        </w:rPr>
        <w:t xml:space="preserve">3.提供相同品牌产品且通过资格审查、符合性审查的不同投标人参加同一合同项下投标的，按一家投标人计算，评审后得分最高的同品牌投标人获得中标人推荐资格；评审得分相同的，由投标报价最低的同品牌投标人获得中标人推荐资格；如得分且投标报价相同，提供优先采购产品证书更多的投标人获得中标人推荐资格（如属优先采购产品），否则由采购代理机构组织采取随机抽取方式确定，其他同品牌投标人不作为中标候选人。多家投标人提供的核心产品品牌相同的，按上述规定处理。</w:t>
      </w:r>
      <w:r/>
    </w:p>
    <w:p>
      <w:pPr>
        <w:ind w:firstLine="482"/>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二、评分标准：</w:t>
      </w:r>
      <w:r/>
    </w:p>
    <w:p>
      <w:pPr>
        <w:ind w:firstLine="422"/>
        <w:keepLines w:val="0"/>
        <w:keepNext w:val="0"/>
        <w:pageBreakBefore w:val="0"/>
        <w:spacing w:line="44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（一）投标报价（45分）</w:t>
      </w:r>
      <w:r/>
    </w:p>
    <w:p>
      <w:pPr>
        <w:ind w:firstLine="420"/>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1、价格分采用低价优先法计算，即满足招标文件要求且投标价格最低的投标报价为评标基准价，其价格分为满分。其他投标人的价格分统一按照下列公式计算：（保留小数点后二位）</w:t>
      </w:r>
      <w:r/>
    </w:p>
    <w:p>
      <w:pPr>
        <w:ind w:firstLine="420"/>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报价得分=（评标基准价/投标报价）*价格权值45（本次招标价格权值为45%）</w:t>
      </w:r>
      <w:r/>
    </w:p>
    <w:p>
      <w:pPr>
        <w:ind w:right="0" w:firstLine="420"/>
        <w:spacing w:line="44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根据《关于推动解决政府采购异常低价问题的通知》（财库〔2026〕2号）文件要求，评审过程中出现下列情形之一的，评审委员会应当启动异常低价投标（响应）审查程序：</w:t>
      </w:r>
      <w:r/>
    </w:p>
    <w:p>
      <w:pPr>
        <w:ind w:firstLine="420"/>
        <w:spacing w:line="44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投标（响应）报价低于全部通过符合性审查供应商投标（响应）报价平均值50%的，即投标（响应）报价&lt;全部通过符合性审查供应商投标（响应）报价平均值×50%；</w:t>
      </w:r>
      <w:r/>
    </w:p>
    <w:p>
      <w:pPr>
        <w:ind w:firstLine="420"/>
        <w:spacing w:line="44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投标（响应）报价低于通过符合性审查的次低报价供应商投标（响应）报价50%的，即投标（响应）报价&lt;通过符合性审查的次低报价供应商投标（响应）报价×50%；</w:t>
      </w:r>
      <w:r/>
    </w:p>
    <w:p>
      <w:pPr>
        <w:ind w:firstLine="420"/>
        <w:spacing w:line="44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投标（响应）报价低于采购项目最高限价45%的，即投标（响应）报价&lt;采购项目最高限价×45%；</w:t>
      </w:r>
      <w:r/>
    </w:p>
    <w:p>
      <w:pPr>
        <w:ind w:firstLine="420"/>
        <w:spacing w:line="44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评审委员会基于专业判断，认为供应商报价过低，有可能影响产品质量或者不能诚信履约的其他情形。</w:t>
      </w:r>
      <w:r/>
    </w:p>
    <w:p>
      <w:pPr>
        <w:ind w:firstLine="420"/>
        <w:spacing w:line="44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评审委员会启动异常低价投标（响应）审查后，属于前述第</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项至第</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right="0" w:firstLine="420"/>
        <w:spacing w:line="44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numPr>
          <w:ilvl w:val="0"/>
          <w:numId w:val="10"/>
        </w:numPr>
        <w:ind w:firstLine="422"/>
        <w:spacing w:line="360" w:lineRule="auto"/>
        <w:rPr>
          <w:rFonts w:eastAsiaTheme="minorEastAsia"/>
          <w:b/>
          <w:bCs/>
          <w:color w:val="auto"/>
          <w:szCs w:val="21"/>
          <w:highlight w:val="none"/>
        </w:rPr>
      </w:pPr>
      <w:r>
        <w:rPr>
          <w:rFonts w:hint="eastAsia" w:ascii="宋体" w:hAnsi="宋体" w:eastAsia="宋体" w:cs="宋体"/>
          <w:b/>
          <w:bCs w:val="0"/>
          <w:color w:val="auto"/>
          <w:sz w:val="21"/>
          <w:szCs w:val="21"/>
          <w:highlight w:val="none"/>
          <w:lang w:eastAsia="zh-CN"/>
        </w:rPr>
        <w:t xml:space="preserve">（</w:t>
      </w:r>
      <w:r>
        <w:rPr>
          <w:rFonts w:hint="eastAsia" w:ascii="宋体" w:hAnsi="宋体" w:eastAsia="宋体" w:cs="宋体"/>
          <w:b/>
          <w:bCs w:val="0"/>
          <w:color w:val="auto"/>
          <w:sz w:val="21"/>
          <w:szCs w:val="21"/>
          <w:highlight w:val="none"/>
          <w:lang w:val="en-US" w:eastAsia="zh-CN"/>
        </w:rPr>
        <w:t xml:space="preserve">技术部分</w:t>
      </w:r>
      <w:r>
        <w:rPr>
          <w:rFonts w:hint="eastAsia" w:ascii="宋体" w:hAnsi="宋体" w:eastAsia="宋体" w:cs="宋体"/>
          <w:b/>
          <w:bCs w:val="0"/>
          <w:color w:val="auto"/>
          <w:sz w:val="21"/>
          <w:szCs w:val="21"/>
          <w:highlight w:val="none"/>
          <w:lang w:eastAsia="zh-CN"/>
        </w:rPr>
        <w:t xml:space="preserve">）</w:t>
      </w:r>
      <w:r>
        <w:rPr>
          <w:rFonts w:hint="eastAsia" w:ascii="宋体" w:hAnsi="宋体" w:eastAsia="宋体" w:cs="宋体"/>
          <w:b/>
          <w:color w:val="auto"/>
          <w:sz w:val="21"/>
          <w:szCs w:val="21"/>
          <w:highlight w:val="none"/>
        </w:rPr>
        <w:t xml:space="preserve">（</w:t>
      </w:r>
      <w:r>
        <w:rPr>
          <w:rFonts w:hint="eastAsia" w:ascii="宋体" w:hAnsi="宋体" w:eastAsia="宋体" w:cs="宋体"/>
          <w:b/>
          <w:color w:val="auto"/>
          <w:sz w:val="21"/>
          <w:szCs w:val="21"/>
          <w:highlight w:val="none"/>
          <w:lang w:val="en-US" w:eastAsia="zh-CN"/>
        </w:rPr>
        <w:t xml:space="preserve">55</w:t>
      </w:r>
      <w:r>
        <w:rPr>
          <w:rFonts w:hint="eastAsia" w:ascii="宋体" w:hAnsi="宋体" w:eastAsia="宋体" w:cs="宋体"/>
          <w:b/>
          <w:color w:val="auto"/>
          <w:sz w:val="21"/>
          <w:szCs w:val="21"/>
          <w:highlight w:val="none"/>
        </w:rPr>
        <w:t xml:space="preserve">分）</w:t>
      </w:r>
      <w:r/>
    </w:p>
    <w:tbl>
      <w:tblPr>
        <w:tblStyle w:val="959"/>
        <w:tblW w:w="103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13"/>
        <w:gridCol w:w="1407"/>
        <w:gridCol w:w="7301"/>
        <w:gridCol w:w="540"/>
      </w:tblGrid>
      <w:tr>
        <w:trPr>
          <w:jc w:val="center"/>
          <w:trHeight w:val="520"/>
        </w:trPr>
        <w:tc>
          <w:tcPr>
            <w:tcW w:w="1113" w:type="dxa"/>
            <w:vAlign w:val="center"/>
            <w:textDirection w:val="lrTb"/>
            <w:noWrap w:val="false"/>
          </w:tcPr>
          <w:p>
            <w:pPr>
              <w:jc w:val="center"/>
              <w:rPr>
                <w:b/>
                <w:bCs/>
                <w:color w:val="auto"/>
                <w:sz w:val="22"/>
                <w:highlight w:val="none"/>
              </w:rPr>
            </w:pPr>
            <w:r>
              <w:rPr>
                <w:b/>
                <w:bCs/>
                <w:color w:val="auto"/>
                <w:sz w:val="22"/>
                <w:highlight w:val="none"/>
              </w:rPr>
              <w:t xml:space="preserve">评审类别</w:t>
            </w:r>
            <w:r/>
          </w:p>
        </w:tc>
        <w:tc>
          <w:tcPr>
            <w:tcW w:w="1407" w:type="dxa"/>
            <w:vAlign w:val="center"/>
            <w:textDirection w:val="lrTb"/>
            <w:noWrap w:val="false"/>
          </w:tcPr>
          <w:p>
            <w:pPr>
              <w:jc w:val="center"/>
              <w:rPr>
                <w:b/>
                <w:bCs/>
                <w:color w:val="auto"/>
                <w:sz w:val="22"/>
                <w:highlight w:val="none"/>
              </w:rPr>
            </w:pPr>
            <w:r>
              <w:rPr>
                <w:b/>
                <w:bCs/>
                <w:color w:val="auto"/>
                <w:sz w:val="22"/>
                <w:highlight w:val="none"/>
              </w:rPr>
              <w:t xml:space="preserve">评审项</w:t>
            </w:r>
            <w:r/>
          </w:p>
        </w:tc>
        <w:tc>
          <w:tcPr>
            <w:tcW w:w="7301" w:type="dxa"/>
            <w:vAlign w:val="center"/>
            <w:textDirection w:val="lrTb"/>
            <w:noWrap w:val="false"/>
          </w:tcPr>
          <w:p>
            <w:pPr>
              <w:jc w:val="center"/>
              <w:rPr>
                <w:b/>
                <w:bCs/>
                <w:color w:val="auto"/>
                <w:sz w:val="22"/>
                <w:highlight w:val="none"/>
              </w:rPr>
            </w:pPr>
            <w:r>
              <w:rPr>
                <w:b/>
                <w:bCs/>
                <w:color w:val="auto"/>
                <w:sz w:val="22"/>
                <w:highlight w:val="none"/>
              </w:rPr>
              <w:t xml:space="preserve">评审规则</w:t>
            </w:r>
            <w:r/>
          </w:p>
        </w:tc>
        <w:tc>
          <w:tcPr>
            <w:tcW w:w="540" w:type="dxa"/>
            <w:vAlign w:val="center"/>
            <w:textDirection w:val="lrTb"/>
            <w:noWrap w:val="false"/>
          </w:tcPr>
          <w:p>
            <w:pPr>
              <w:jc w:val="center"/>
              <w:rPr>
                <w:b/>
                <w:bCs/>
                <w:color w:val="auto"/>
                <w:sz w:val="22"/>
                <w:highlight w:val="none"/>
              </w:rPr>
            </w:pPr>
            <w:r>
              <w:rPr>
                <w:b/>
                <w:bCs/>
                <w:color w:val="auto"/>
                <w:sz w:val="22"/>
                <w:highlight w:val="none"/>
              </w:rPr>
              <w:t xml:space="preserve">分值</w:t>
            </w:r>
            <w:r/>
          </w:p>
        </w:tc>
      </w:tr>
      <w:tr>
        <w:trPr>
          <w:jc w:val="center"/>
          <w:trHeight w:val="297"/>
        </w:trPr>
        <w:tc>
          <w:tcPr>
            <w:tcW w:w="1113" w:type="dxa"/>
            <w:vAlign w:val="center"/>
            <w:vMerge w:val="restart"/>
            <w:textDirection w:val="lrTb"/>
            <w:noWrap w:val="false"/>
          </w:tcPr>
          <w:p>
            <w:pPr>
              <w:jc w:val="center"/>
              <w:rPr>
                <w:b/>
                <w:bCs/>
                <w:color w:val="auto"/>
                <w:szCs w:val="21"/>
                <w:highlight w:val="none"/>
              </w:rPr>
            </w:pPr>
            <w:r>
              <w:rPr>
                <w:rFonts w:hAnsi="Calibri" w:cs="Calibri"/>
                <w:b/>
                <w:color w:val="auto"/>
                <w:highlight w:val="none"/>
              </w:rPr>
              <w:t xml:space="preserve">技术部分(</w:t>
            </w:r>
            <w:r>
              <w:rPr>
                <w:rFonts w:hint="eastAsia" w:hAnsi="Calibri" w:cs="Calibri"/>
                <w:b/>
                <w:color w:val="auto"/>
                <w:highlight w:val="none"/>
                <w:lang w:val="en-US" w:eastAsia="zh-CN"/>
              </w:rPr>
              <w:t xml:space="preserve">55</w:t>
            </w:r>
            <w:r>
              <w:rPr>
                <w:rFonts w:hAnsi="Calibri" w:cs="Calibri"/>
                <w:b/>
                <w:color w:val="auto"/>
                <w:highlight w:val="none"/>
              </w:rPr>
              <w:t xml:space="preserve">分)</w:t>
            </w:r>
            <w:r/>
          </w:p>
        </w:tc>
        <w:tc>
          <w:tcPr>
            <w:tcW w:w="1407" w:type="dxa"/>
            <w:vAlign w:val="center"/>
            <w:textDirection w:val="lrTb"/>
            <w:noWrap w:val="false"/>
          </w:tcPr>
          <w:p>
            <w:pPr>
              <w:jc w:val="center"/>
              <w:rPr>
                <w:color w:val="auto"/>
                <w:szCs w:val="21"/>
                <w:highlight w:val="none"/>
              </w:rPr>
            </w:pPr>
            <w:r>
              <w:rPr>
                <w:rFonts w:hAnsi="Calibri" w:cs="Calibri"/>
                <w:color w:val="auto"/>
                <w:highlight w:val="none"/>
              </w:rPr>
              <w:t xml:space="preserve">▲ </w:t>
            </w:r>
            <w:r>
              <w:rPr>
                <w:rFonts w:hint="eastAsia" w:hAnsi="Calibri" w:cs="Calibri"/>
                <w:color w:val="auto"/>
                <w:highlight w:val="none"/>
                <w:lang w:val="en-US" w:eastAsia="zh-CN"/>
              </w:rPr>
              <w:t xml:space="preserve">1、</w:t>
            </w:r>
            <w:r>
              <w:rPr>
                <w:rFonts w:hAnsi="Calibri" w:cs="Calibri"/>
                <w:color w:val="auto"/>
                <w:highlight w:val="none"/>
              </w:rPr>
              <w:t xml:space="preserve">检测报告</w:t>
            </w:r>
            <w:r/>
          </w:p>
        </w:tc>
        <w:tc>
          <w:tcPr>
            <w:tcW w:w="7301" w:type="dxa"/>
            <w:textDirection w:val="lrTb"/>
            <w:noWrap w:val="false"/>
          </w:tcPr>
          <w:p>
            <w:pPr>
              <w:rPr>
                <w:rFonts w:hAnsi="Calibri" w:cs="Calibri"/>
                <w:color w:val="auto"/>
                <w:highlight w:val="none"/>
              </w:rPr>
            </w:pPr>
            <w:r>
              <w:rPr>
                <w:rFonts w:hAnsi="Calibri" w:cs="Calibri"/>
                <w:color w:val="auto"/>
                <w:highlight w:val="none"/>
              </w:rPr>
              <w:t xml:space="preserve">提供下表中检测产品的检测报告扫描件（如报告内容不全导致无法确认报告的各项要求的，或字迹模糊不清无法辨认的都视为未提供）。</w:t>
            </w:r>
            <w:r>
              <w:rPr>
                <w:rFonts w:hAnsi="Calibri" w:cs="Calibri"/>
                <w:b/>
                <w:color w:val="auto"/>
                <w:highlight w:val="none"/>
              </w:rPr>
              <w:t xml:space="preserve">中标后采购人将视情况核查中标供应商检测报告的真实性，发现弄虚作假的将上报监督部门处理。</w:t>
            </w:r>
            <w:r>
              <w:rPr>
                <w:rFonts w:hAnsi="Calibri" w:cs="Calibri"/>
                <w:color w:val="auto"/>
                <w:highlight w:val="none"/>
              </w:rPr>
              <w:t xml:space="preserve">提供的检测报告必须同时符合以下所有要求，否则不得分。（每个检测产品</w:t>
            </w:r>
            <w:r>
              <w:rPr>
                <w:rFonts w:hint="eastAsia" w:hAnsi="Calibri" w:cs="Calibri"/>
                <w:color w:val="auto"/>
                <w:highlight w:val="none"/>
                <w:lang w:val="en-US" w:eastAsia="zh-CN"/>
              </w:rPr>
              <w:t xml:space="preserve">1</w:t>
            </w:r>
            <w:r>
              <w:rPr>
                <w:rFonts w:hAnsi="Calibri" w:cs="Calibri"/>
                <w:color w:val="auto"/>
                <w:highlight w:val="none"/>
              </w:rPr>
              <w:t xml:space="preserve">分，最高得</w:t>
            </w:r>
            <w:r>
              <w:rPr>
                <w:rFonts w:hint="eastAsia" w:hAnsi="Calibri" w:cs="Calibri"/>
                <w:color w:val="auto"/>
                <w:highlight w:val="none"/>
                <w:lang w:val="en-US" w:eastAsia="zh-CN"/>
              </w:rPr>
              <w:t xml:space="preserve">2</w:t>
            </w:r>
            <w:r>
              <w:rPr>
                <w:rFonts w:hAnsi="Calibri" w:cs="Calibri"/>
                <w:color w:val="auto"/>
                <w:highlight w:val="none"/>
              </w:rPr>
              <w:t xml:space="preserve">分）</w:t>
            </w:r>
            <w:r/>
          </w:p>
          <w:p>
            <w:pPr>
              <w:rPr>
                <w:rFonts w:hAnsi="Calibri" w:cs="Calibri"/>
                <w:color w:val="auto"/>
                <w:highlight w:val="none"/>
              </w:rPr>
            </w:pPr>
            <w:r>
              <w:rPr>
                <w:rFonts w:hint="eastAsia" w:hAnsi="Calibri" w:cs="Calibri"/>
                <w:color w:val="auto"/>
                <w:highlight w:val="none"/>
                <w:lang w:eastAsia="zh-CN"/>
              </w:rPr>
              <w:t xml:space="preserve">（</w:t>
            </w:r>
            <w:r>
              <w:rPr>
                <w:rFonts w:hint="eastAsia" w:hAnsi="Calibri" w:cs="Calibri"/>
                <w:color w:val="auto"/>
                <w:highlight w:val="none"/>
                <w:lang w:val="en-US" w:eastAsia="zh-CN"/>
              </w:rPr>
              <w:t xml:space="preserve">1</w:t>
            </w:r>
            <w:r>
              <w:rPr>
                <w:rFonts w:hint="eastAsia" w:hAnsi="Calibri" w:cs="Calibri"/>
                <w:color w:val="auto"/>
                <w:highlight w:val="none"/>
                <w:lang w:eastAsia="zh-CN"/>
              </w:rPr>
              <w:t xml:space="preserve">）</w:t>
            </w:r>
            <w:r>
              <w:rPr>
                <w:rFonts w:hAnsi="Calibri" w:cs="Calibri"/>
                <w:color w:val="auto"/>
                <w:highlight w:val="none"/>
              </w:rPr>
              <w:t xml:space="preserve">检测报告应为具有检验检测资质的检测机构出具，检测机构应通过相应的CMA认证，检测报告页面必须有CMA认证标志；</w:t>
            </w:r>
            <w:r/>
          </w:p>
          <w:p>
            <w:pPr>
              <w:rPr>
                <w:rFonts w:hAnsi="Calibri" w:cs="Calibri"/>
                <w:color w:val="auto"/>
                <w:highlight w:val="none"/>
              </w:rPr>
            </w:pPr>
            <w:r>
              <w:rPr>
                <w:rFonts w:hint="eastAsia" w:hAnsi="Calibri" w:cs="Calibri"/>
                <w:color w:val="auto"/>
                <w:highlight w:val="none"/>
                <w:lang w:eastAsia="zh-CN"/>
              </w:rPr>
              <w:t xml:space="preserve">（</w:t>
            </w:r>
            <w:r>
              <w:rPr>
                <w:rFonts w:hint="eastAsia" w:hAnsi="Calibri" w:cs="Calibri"/>
                <w:color w:val="auto"/>
                <w:highlight w:val="none"/>
                <w:lang w:val="en-US" w:eastAsia="zh-CN"/>
              </w:rPr>
              <w:t xml:space="preserve">2</w:t>
            </w:r>
            <w:r>
              <w:rPr>
                <w:rFonts w:hint="eastAsia" w:hAnsi="Calibri" w:cs="Calibri"/>
                <w:color w:val="auto"/>
                <w:highlight w:val="none"/>
                <w:lang w:eastAsia="zh-CN"/>
              </w:rPr>
              <w:t xml:space="preserve">）</w:t>
            </w:r>
            <w:r>
              <w:rPr>
                <w:rFonts w:hAnsi="Calibri" w:cs="Calibri"/>
                <w:color w:val="auto"/>
                <w:highlight w:val="none"/>
              </w:rPr>
              <w:t xml:space="preserve">检测报告中的检测（判定）依据必须为下表所列检测标准或其它现行国家（或行业）标准；</w:t>
            </w:r>
            <w:r/>
          </w:p>
          <w:p>
            <w:pPr>
              <w:rPr>
                <w:rFonts w:hAnsi="Calibri" w:cs="Calibri"/>
                <w:color w:val="auto"/>
                <w:szCs w:val="21"/>
                <w:highlight w:val="none"/>
              </w:rPr>
            </w:pPr>
            <w:r>
              <w:rPr>
                <w:rFonts w:hint="eastAsia" w:hAnsi="Calibri" w:cs="Calibri"/>
                <w:color w:val="auto"/>
                <w:highlight w:val="none"/>
                <w:lang w:eastAsia="zh-CN"/>
              </w:rPr>
              <w:t xml:space="preserve">（</w:t>
            </w:r>
            <w:r>
              <w:rPr>
                <w:rFonts w:hint="eastAsia" w:hAnsi="Calibri" w:cs="Calibri"/>
                <w:color w:val="auto"/>
                <w:highlight w:val="none"/>
                <w:lang w:val="en-US" w:eastAsia="zh-CN"/>
              </w:rPr>
              <w:t xml:space="preserve">3</w:t>
            </w:r>
            <w:r>
              <w:rPr>
                <w:rFonts w:hint="eastAsia" w:hAnsi="Calibri" w:cs="Calibri"/>
                <w:color w:val="auto"/>
                <w:highlight w:val="none"/>
                <w:lang w:eastAsia="zh-CN"/>
              </w:rPr>
              <w:t xml:space="preserve">）</w:t>
            </w:r>
            <w:r>
              <w:rPr>
                <w:rFonts w:hAnsi="Calibri" w:cs="Calibri"/>
                <w:color w:val="auto"/>
                <w:highlight w:val="none"/>
              </w:rPr>
              <w:t xml:space="preserve">检测报告中下表所列必须包含的检测项目检测结果应为合格。</w:t>
            </w:r>
            <w:r/>
          </w:p>
          <w:p>
            <w:pPr>
              <w:numPr>
                <w:ilvl w:val="0"/>
                <w:numId w:val="11"/>
              </w:numPr>
              <w:ind w:firstLine="420"/>
              <w:rPr>
                <w:color w:val="auto"/>
                <w:highlight w:val="none"/>
              </w:rPr>
            </w:pPr>
            <w:r>
              <w:rPr>
                <w:rFonts w:hAnsi="Calibri" w:cs="Calibri"/>
                <w:color w:val="auto"/>
                <w:szCs w:val="21"/>
                <w:highlight w:val="none"/>
              </w:rPr>
              <w:t xml:space="preserve">304不锈钢板材</w:t>
            </w:r>
            <w:r>
              <w:rPr>
                <w:rFonts w:hint="eastAsia" w:hAnsi="Calibri" w:cs="Calibri"/>
                <w:color w:val="auto"/>
                <w:szCs w:val="21"/>
                <w:highlight w:val="none"/>
              </w:rPr>
              <w:t xml:space="preserve">（</w:t>
            </w:r>
            <w:r>
              <w:rPr>
                <w:rFonts w:hint="eastAsia"/>
                <w:color w:val="auto"/>
                <w:highlight w:val="none"/>
              </w:rPr>
              <w:t xml:space="preserve">规格厚度</w:t>
            </w:r>
            <w:r>
              <w:rPr>
                <w:rFonts w:hint="eastAsia" w:hAnsi="Calibri" w:cs="Calibri"/>
                <w:color w:val="auto"/>
                <w:szCs w:val="21"/>
                <w:highlight w:val="none"/>
              </w:rPr>
              <w:t xml:space="preserve">1.0</w:t>
            </w:r>
            <w:r>
              <w:rPr>
                <w:rFonts w:hint="eastAsia"/>
                <w:color w:val="auto"/>
                <w:highlight w:val="none"/>
              </w:rPr>
              <w:t xml:space="preserve">mm</w:t>
            </w:r>
            <w:r>
              <w:rPr>
                <w:rFonts w:hint="eastAsia" w:hAnsi="Calibri" w:cs="Calibri"/>
                <w:color w:val="auto"/>
                <w:szCs w:val="21"/>
                <w:highlight w:val="none"/>
              </w:rPr>
              <w:t xml:space="preserve">）</w:t>
            </w:r>
            <w:r>
              <w:rPr>
                <w:rFonts w:hAnsi="Calibri" w:cs="Calibri"/>
                <w:color w:val="auto"/>
                <w:szCs w:val="21"/>
                <w:highlight w:val="none"/>
              </w:rPr>
              <w:t xml:space="preserve">：检测报告检测内容须包括：化学成分、拉伸、中性盐雾试验、晶间腐蚀、理化指标。</w:t>
            </w:r>
            <w:r/>
          </w:p>
          <w:p>
            <w:pPr>
              <w:numPr>
                <w:ilvl w:val="0"/>
                <w:numId w:val="11"/>
              </w:numPr>
              <w:ind w:firstLine="420"/>
              <w:rPr>
                <w:color w:val="auto"/>
                <w:szCs w:val="21"/>
                <w:highlight w:val="none"/>
              </w:rPr>
            </w:pPr>
            <w:r>
              <w:rPr>
                <w:rFonts w:hAnsi="Calibri" w:cs="Calibri"/>
                <w:color w:val="auto"/>
                <w:szCs w:val="21"/>
                <w:highlight w:val="none"/>
              </w:rPr>
              <w:t xml:space="preserve">304不锈钢板材</w:t>
            </w:r>
            <w:r>
              <w:rPr>
                <w:rFonts w:hint="eastAsia" w:hAnsi="Calibri" w:cs="Calibri"/>
                <w:color w:val="auto"/>
                <w:szCs w:val="21"/>
                <w:highlight w:val="none"/>
              </w:rPr>
              <w:t xml:space="preserve">（</w:t>
            </w:r>
            <w:r>
              <w:rPr>
                <w:rFonts w:hint="eastAsia" w:ascii="宋体" w:hAnsi="宋体" w:cs="宋体"/>
                <w:color w:val="auto"/>
                <w:highlight w:val="none"/>
              </w:rPr>
              <w:t xml:space="preserve">规格厚度</w:t>
            </w:r>
            <w:r>
              <w:rPr>
                <w:rFonts w:hint="eastAsia" w:hAnsi="Calibri" w:cs="Calibri"/>
                <w:color w:val="auto"/>
                <w:szCs w:val="21"/>
                <w:highlight w:val="none"/>
              </w:rPr>
              <w:t xml:space="preserve">1.2</w:t>
            </w:r>
            <w:r>
              <w:rPr>
                <w:rFonts w:hint="eastAsia"/>
                <w:color w:val="auto"/>
                <w:highlight w:val="none"/>
              </w:rPr>
              <w:t xml:space="preserve">mm</w:t>
            </w:r>
            <w:r>
              <w:rPr>
                <w:rFonts w:hint="eastAsia" w:hAnsi="Calibri" w:cs="Calibri"/>
                <w:color w:val="auto"/>
                <w:szCs w:val="21"/>
                <w:highlight w:val="none"/>
              </w:rPr>
              <w:t xml:space="preserve">）</w:t>
            </w:r>
            <w:r>
              <w:rPr>
                <w:rFonts w:hAnsi="Calibri" w:cs="Calibri"/>
                <w:color w:val="auto"/>
                <w:szCs w:val="21"/>
                <w:highlight w:val="none"/>
              </w:rPr>
              <w:t xml:space="preserve">：检测报告检测内容须包括：化学成分、拉伸、中性盐雾试验、晶间腐蚀、理化指标。</w:t>
            </w:r>
            <w:r/>
          </w:p>
          <w:p>
            <w:pPr>
              <w:numPr>
                <w:ilvl w:val="-1"/>
                <w:numId w:val="0"/>
              </w:numPr>
              <w:ind w:firstLine="0"/>
              <w:rPr>
                <w:color w:val="auto"/>
                <w:szCs w:val="21"/>
                <w:highlight w:val="none"/>
              </w:rPr>
            </w:pPr>
            <w:r>
              <w:rPr>
                <w:color w:val="auto"/>
                <w:szCs w:val="21"/>
                <w:highlight w:val="none"/>
              </w:rPr>
            </w:r>
            <w:r/>
          </w:p>
        </w:tc>
        <w:tc>
          <w:tcPr>
            <w:tcW w:w="540" w:type="dxa"/>
            <w:vAlign w:val="center"/>
            <w:textDirection w:val="lrTb"/>
            <w:noWrap w:val="false"/>
          </w:tcPr>
          <w:p>
            <w:pPr>
              <w:jc w:val="center"/>
              <w:rPr>
                <w:rFonts w:hint="eastAsia" w:eastAsia="宋体"/>
                <w:color w:val="auto"/>
                <w:szCs w:val="21"/>
                <w:highlight w:val="none"/>
                <w:lang w:eastAsia="zh-CN"/>
              </w:rPr>
            </w:pPr>
            <w:r>
              <w:rPr>
                <w:rFonts w:hint="eastAsia" w:hAnsi="Calibri" w:cs="Calibri"/>
                <w:color w:val="auto"/>
                <w:highlight w:val="none"/>
                <w:lang w:val="en-US" w:eastAsia="zh-CN"/>
              </w:rPr>
              <w:t xml:space="preserve">2</w:t>
            </w:r>
            <w:r/>
          </w:p>
        </w:tc>
      </w:tr>
      <w:tr>
        <w:trPr>
          <w:jc w:val="center"/>
          <w:trHeight w:val="741"/>
        </w:trPr>
        <w:tc>
          <w:tcPr>
            <w:tcW w:w="1113" w:type="dxa"/>
            <w:vAlign w:val="center"/>
            <w:vMerge w:val="continue"/>
            <w:textDirection w:val="lrTb"/>
            <w:noWrap w:val="false"/>
          </w:tcPr>
          <w:p>
            <w:pPr>
              <w:jc w:val="center"/>
              <w:rPr>
                <w:b/>
                <w:bCs/>
                <w:color w:val="auto"/>
                <w:szCs w:val="21"/>
                <w:highlight w:val="none"/>
              </w:rPr>
            </w:pPr>
            <w:r>
              <w:rPr>
                <w:b/>
                <w:bCs/>
                <w:color w:val="auto"/>
                <w:szCs w:val="21"/>
                <w:highlight w:val="none"/>
              </w:rPr>
            </w:r>
            <w:r/>
          </w:p>
        </w:tc>
        <w:tc>
          <w:tcPr>
            <w:tcW w:w="1407" w:type="dxa"/>
            <w:vAlign w:val="center"/>
            <w:textDirection w:val="lrTb"/>
            <w:noWrap w:val="false"/>
          </w:tcPr>
          <w:p>
            <w:pPr>
              <w:jc w:val="center"/>
              <w:rPr>
                <w:color w:val="auto"/>
                <w:szCs w:val="21"/>
                <w:highlight w:val="none"/>
              </w:rPr>
            </w:pPr>
            <w:r>
              <w:rPr>
                <w:rFonts w:hint="eastAsia" w:hAnsi="Calibri" w:cs="Calibri"/>
                <w:color w:val="auto"/>
                <w:highlight w:val="none"/>
                <w:lang w:val="en-US" w:eastAsia="zh-CN"/>
              </w:rPr>
              <w:t xml:space="preserve">2、</w:t>
            </w:r>
            <w:r>
              <w:rPr>
                <w:rFonts w:hAnsi="Calibri" w:cs="Calibri"/>
                <w:color w:val="auto"/>
                <w:highlight w:val="none"/>
              </w:rPr>
              <w:t xml:space="preserve">本项目施工深化设计比较</w:t>
            </w:r>
            <w:r/>
          </w:p>
        </w:tc>
        <w:tc>
          <w:tcPr>
            <w:tcW w:w="7301" w:type="dxa"/>
            <w:textDirection w:val="lrTb"/>
            <w:noWrap w:val="false"/>
          </w:tcPr>
          <w:p>
            <w:pPr>
              <w:rPr>
                <w:rFonts w:hAnsi="Calibri" w:cs="Calibri"/>
                <w:color w:val="auto"/>
                <w:szCs w:val="21"/>
                <w:highlight w:val="none"/>
              </w:rPr>
            </w:pPr>
            <w:r>
              <w:rPr>
                <w:rFonts w:hAnsi="Calibri" w:cs="Calibri"/>
                <w:color w:val="auto"/>
                <w:szCs w:val="21"/>
                <w:highlight w:val="none"/>
              </w:rPr>
              <w:t xml:space="preserve">根据</w:t>
            </w:r>
            <w:r>
              <w:rPr>
                <w:rFonts w:hint="eastAsia" w:hAnsi="Calibri" w:cs="Calibri"/>
                <w:color w:val="auto"/>
                <w:szCs w:val="21"/>
                <w:highlight w:val="none"/>
                <w:lang w:val="en-US" w:eastAsia="zh-CN"/>
              </w:rPr>
              <w:t xml:space="preserve">采购方</w:t>
            </w:r>
            <w:r>
              <w:rPr>
                <w:rFonts w:hAnsi="Calibri" w:cs="Calibri"/>
                <w:color w:val="auto"/>
                <w:szCs w:val="21"/>
                <w:highlight w:val="none"/>
              </w:rPr>
              <w:t xml:space="preserve">提供的基础图纸与投标产品清单，对厨房平面、给排水、用电、</w:t>
            </w:r>
            <w:r>
              <w:rPr>
                <w:rFonts w:hint="eastAsia" w:hAnsi="Calibri" w:cs="Calibri"/>
                <w:color w:val="auto"/>
                <w:szCs w:val="21"/>
                <w:highlight w:val="none"/>
              </w:rPr>
              <w:t xml:space="preserve">燃</w:t>
            </w:r>
            <w:r>
              <w:rPr>
                <w:rFonts w:hAnsi="Calibri" w:cs="Calibri"/>
                <w:color w:val="auto"/>
                <w:szCs w:val="21"/>
                <w:highlight w:val="none"/>
              </w:rPr>
              <w:t xml:space="preserve">气、排风、隔墙等提供施工深化图纸比较：</w:t>
            </w:r>
            <w:r/>
          </w:p>
          <w:p>
            <w:pPr>
              <w:numPr>
                <w:ilvl w:val="0"/>
                <w:numId w:val="12"/>
              </w:numPr>
              <w:ind w:firstLine="420"/>
              <w:rPr>
                <w:rFonts w:hAnsi="Calibri" w:cs="Calibri"/>
                <w:color w:val="auto"/>
                <w:szCs w:val="21"/>
                <w:highlight w:val="none"/>
              </w:rPr>
            </w:pPr>
            <w:r>
              <w:rPr>
                <w:rFonts w:hAnsi="Calibri" w:cs="Calibri"/>
                <w:color w:val="auto"/>
                <w:szCs w:val="21"/>
                <w:highlight w:val="none"/>
              </w:rPr>
              <w:t xml:space="preserve">提供内容有针对性，科学合理，设计方案图纸完整，优于项目实施需要的得</w:t>
            </w:r>
            <w:r>
              <w:rPr>
                <w:rFonts w:hint="eastAsia" w:hAnsi="Calibri" w:cs="Calibri"/>
                <w:color w:val="auto"/>
                <w:highlight w:val="none"/>
                <w:lang w:val="en-US" w:eastAsia="zh-CN"/>
              </w:rPr>
              <w:t xml:space="preserve">8</w:t>
            </w:r>
            <w:r>
              <w:rPr>
                <w:rFonts w:hAnsi="Calibri" w:cs="Calibri"/>
                <w:color w:val="auto"/>
                <w:szCs w:val="21"/>
                <w:highlight w:val="none"/>
              </w:rPr>
              <w:t xml:space="preserve">分；</w:t>
            </w:r>
            <w:r/>
          </w:p>
          <w:p>
            <w:pPr>
              <w:numPr>
                <w:ilvl w:val="0"/>
                <w:numId w:val="12"/>
              </w:numPr>
              <w:ind w:firstLine="420"/>
              <w:rPr>
                <w:rFonts w:hAnsi="Calibri" w:cs="Calibri"/>
                <w:color w:val="auto"/>
                <w:szCs w:val="21"/>
                <w:highlight w:val="none"/>
              </w:rPr>
            </w:pPr>
            <w:r>
              <w:rPr>
                <w:rFonts w:hAnsi="Calibri" w:cs="Calibri"/>
                <w:color w:val="auto"/>
                <w:szCs w:val="21"/>
                <w:highlight w:val="none"/>
              </w:rPr>
              <w:t xml:space="preserve">提供内容较有针对性，较科学合理，设计方案图纸较完整，能完全满足项目实施需要的得</w:t>
            </w:r>
            <w:r>
              <w:rPr>
                <w:rFonts w:hint="eastAsia" w:hAnsi="Calibri" w:cs="Calibri"/>
                <w:color w:val="auto"/>
                <w:highlight w:val="none"/>
                <w:lang w:val="en-US" w:eastAsia="zh-CN"/>
              </w:rPr>
              <w:t xml:space="preserve">6</w:t>
            </w:r>
            <w:r>
              <w:rPr>
                <w:rFonts w:hAnsi="Calibri" w:cs="Calibri"/>
                <w:color w:val="auto"/>
                <w:szCs w:val="21"/>
                <w:highlight w:val="none"/>
              </w:rPr>
              <w:t xml:space="preserve">分；</w:t>
            </w:r>
            <w:r/>
          </w:p>
          <w:p>
            <w:pPr>
              <w:numPr>
                <w:ilvl w:val="0"/>
                <w:numId w:val="12"/>
              </w:numPr>
              <w:ind w:firstLine="420"/>
              <w:rPr>
                <w:rFonts w:hAnsi="Calibri" w:cs="Calibri"/>
                <w:color w:val="auto"/>
                <w:szCs w:val="21"/>
                <w:highlight w:val="none"/>
              </w:rPr>
            </w:pPr>
            <w:r>
              <w:rPr>
                <w:rFonts w:hAnsi="Calibri" w:cs="Calibri"/>
                <w:color w:val="auto"/>
                <w:szCs w:val="21"/>
                <w:highlight w:val="none"/>
              </w:rPr>
              <w:t xml:space="preserve">提供内容的针对性、科学合理性不完善，设计方案图纸相对单一简单、基本满足实施需要的得</w:t>
            </w:r>
            <w:r>
              <w:rPr>
                <w:rFonts w:hint="eastAsia" w:hAnsi="Calibri" w:cs="Calibri"/>
                <w:color w:val="auto"/>
                <w:szCs w:val="21"/>
                <w:highlight w:val="none"/>
                <w:lang w:val="en-US" w:eastAsia="zh-CN"/>
              </w:rPr>
              <w:t xml:space="preserve">4</w:t>
            </w:r>
            <w:r>
              <w:rPr>
                <w:rFonts w:hAnsi="Calibri" w:cs="Calibri"/>
                <w:color w:val="auto"/>
                <w:szCs w:val="21"/>
                <w:highlight w:val="none"/>
              </w:rPr>
              <w:t xml:space="preserve">分；</w:t>
            </w:r>
            <w:r/>
          </w:p>
          <w:p>
            <w:pPr>
              <w:numPr>
                <w:ilvl w:val="0"/>
                <w:numId w:val="12"/>
              </w:numPr>
              <w:ind w:firstLine="420"/>
              <w:rPr>
                <w:color w:val="auto"/>
                <w:szCs w:val="21"/>
                <w:highlight w:val="none"/>
              </w:rPr>
            </w:pPr>
            <w:r>
              <w:rPr>
                <w:rFonts w:hAnsi="Calibri" w:cs="Calibri"/>
                <w:color w:val="auto"/>
                <w:szCs w:val="21"/>
                <w:highlight w:val="none"/>
              </w:rPr>
              <w:t xml:space="preserve">不提供的不得分。</w:t>
            </w:r>
            <w:r/>
          </w:p>
        </w:tc>
        <w:tc>
          <w:tcPr>
            <w:tcW w:w="540" w:type="dxa"/>
            <w:vAlign w:val="center"/>
            <w:textDirection w:val="lrTb"/>
            <w:noWrap w:val="false"/>
          </w:tcPr>
          <w:p>
            <w:pPr>
              <w:jc w:val="center"/>
              <w:rPr>
                <w:rFonts w:hint="eastAsia" w:hAnsi="Calibri" w:eastAsia="宋体" w:cs="Calibri"/>
                <w:color w:val="auto"/>
                <w:highlight w:val="none"/>
                <w:lang w:eastAsia="zh-CN"/>
              </w:rPr>
            </w:pPr>
            <w:r>
              <w:rPr>
                <w:rFonts w:hint="eastAsia" w:hAnsi="Calibri" w:cs="Calibri"/>
                <w:color w:val="auto"/>
                <w:highlight w:val="none"/>
                <w:lang w:val="en-US" w:eastAsia="zh-CN"/>
              </w:rPr>
              <w:t xml:space="preserve">8</w:t>
            </w:r>
            <w:r/>
          </w:p>
        </w:tc>
      </w:tr>
      <w:tr>
        <w:trPr>
          <w:jc w:val="center"/>
          <w:trHeight w:val="1567"/>
        </w:trPr>
        <w:tc>
          <w:tcPr>
            <w:tcW w:w="1113" w:type="dxa"/>
            <w:vAlign w:val="center"/>
            <w:vMerge w:val="continue"/>
            <w:textDirection w:val="lrTb"/>
            <w:noWrap w:val="false"/>
          </w:tcPr>
          <w:p>
            <w:pPr>
              <w:jc w:val="center"/>
              <w:rPr>
                <w:b/>
                <w:bCs/>
                <w:color w:val="auto"/>
                <w:szCs w:val="21"/>
                <w:highlight w:val="none"/>
              </w:rPr>
            </w:pPr>
            <w:r>
              <w:rPr>
                <w:b/>
                <w:bCs/>
                <w:color w:val="auto"/>
                <w:szCs w:val="21"/>
                <w:highlight w:val="none"/>
              </w:rPr>
            </w:r>
            <w:r/>
          </w:p>
        </w:tc>
        <w:tc>
          <w:tcPr>
            <w:tcW w:w="1407" w:type="dxa"/>
            <w:vAlign w:val="center"/>
            <w:textDirection w:val="lrTb"/>
            <w:noWrap w:val="false"/>
          </w:tcPr>
          <w:p>
            <w:pPr>
              <w:jc w:val="center"/>
              <w:rPr>
                <w:color w:val="auto"/>
                <w:szCs w:val="21"/>
                <w:highlight w:val="none"/>
              </w:rPr>
            </w:pPr>
            <w:r>
              <w:rPr>
                <w:rFonts w:hint="eastAsia" w:hAnsi="Calibri" w:cs="Calibri"/>
                <w:color w:val="auto"/>
                <w:highlight w:val="none"/>
                <w:lang w:val="en-US" w:eastAsia="zh-CN"/>
              </w:rPr>
              <w:t xml:space="preserve">3、</w:t>
            </w:r>
            <w:r>
              <w:rPr>
                <w:rFonts w:hAnsi="Calibri" w:cs="Calibri"/>
                <w:color w:val="auto"/>
                <w:highlight w:val="none"/>
              </w:rPr>
              <w:t xml:space="preserve">本项目施工方案比较</w:t>
            </w:r>
            <w:r/>
          </w:p>
        </w:tc>
        <w:tc>
          <w:tcPr>
            <w:tcW w:w="7301" w:type="dxa"/>
            <w:textDirection w:val="lrTb"/>
            <w:noWrap w:val="false"/>
          </w:tcPr>
          <w:p>
            <w:pPr>
              <w:rPr>
                <w:rFonts w:hAnsi="Calibri" w:cs="Calibri"/>
                <w:color w:val="auto"/>
                <w:szCs w:val="21"/>
                <w:highlight w:val="none"/>
              </w:rPr>
            </w:pPr>
            <w:r>
              <w:rPr>
                <w:rFonts w:hAnsi="Calibri" w:cs="Calibri"/>
                <w:color w:val="auto"/>
                <w:szCs w:val="21"/>
                <w:highlight w:val="none"/>
              </w:rPr>
              <w:t xml:space="preserve">由评标委员会根据投标单位提供的项目实施方案、现场管理制度、质量保证措施、安装进度安排及保证措施、文明安装保证措施方面的安排比较：</w:t>
            </w:r>
            <w:r/>
          </w:p>
          <w:p>
            <w:pPr>
              <w:numPr>
                <w:ilvl w:val="0"/>
                <w:numId w:val="13"/>
              </w:numPr>
              <w:ind w:firstLine="420"/>
              <w:rPr>
                <w:rFonts w:ascii="宋体" w:hAnsi="宋体" w:cs="宋体"/>
                <w:color w:val="auto"/>
                <w:szCs w:val="21"/>
                <w:highlight w:val="none"/>
              </w:rPr>
            </w:pPr>
            <w:r>
              <w:rPr>
                <w:rFonts w:ascii="宋体" w:hAnsi="宋体" w:cs="宋体"/>
                <w:color w:val="auto"/>
                <w:szCs w:val="21"/>
                <w:highlight w:val="none"/>
              </w:rPr>
              <w:t xml:space="preserve">实施方案全面、质量保证措施实用可行，</w:t>
            </w:r>
            <w:r>
              <w:rPr>
                <w:rFonts w:hint="eastAsia" w:ascii="宋体" w:hAnsi="宋体" w:cs="宋体"/>
                <w:color w:val="auto"/>
                <w:szCs w:val="21"/>
                <w:highlight w:val="none"/>
                <w:lang w:val="en-US" w:eastAsia="zh-CN"/>
              </w:rPr>
              <w:t xml:space="preserve">工程</w:t>
            </w:r>
            <w:r>
              <w:rPr>
                <w:rFonts w:ascii="宋体" w:hAnsi="宋体" w:cs="宋体"/>
                <w:color w:val="auto"/>
                <w:szCs w:val="21"/>
                <w:highlight w:val="none"/>
              </w:rPr>
              <w:t xml:space="preserve">进度安排科学、合理，现场管理制度完善，文明安装保证措施方案科学合理的得</w:t>
            </w:r>
            <w:r>
              <w:rPr>
                <w:rFonts w:hint="eastAsia" w:ascii="宋体" w:hAnsi="宋体" w:cs="宋体"/>
                <w:color w:val="auto"/>
                <w:szCs w:val="21"/>
                <w:highlight w:val="none"/>
                <w:lang w:val="en-US" w:eastAsia="zh-CN"/>
              </w:rPr>
              <w:t xml:space="preserve">5</w:t>
            </w:r>
            <w:r>
              <w:rPr>
                <w:rFonts w:ascii="宋体" w:hAnsi="宋体" w:cs="宋体"/>
                <w:color w:val="auto"/>
                <w:szCs w:val="21"/>
                <w:highlight w:val="none"/>
              </w:rPr>
              <w:t xml:space="preserve">分；</w:t>
            </w:r>
            <w:r/>
          </w:p>
          <w:p>
            <w:pPr>
              <w:numPr>
                <w:ilvl w:val="0"/>
                <w:numId w:val="13"/>
              </w:numPr>
              <w:ind w:firstLine="420"/>
              <w:rPr>
                <w:rFonts w:ascii="宋体" w:hAnsi="宋体" w:cs="宋体"/>
                <w:color w:val="auto"/>
                <w:szCs w:val="21"/>
                <w:highlight w:val="none"/>
              </w:rPr>
            </w:pPr>
            <w:r>
              <w:rPr>
                <w:rFonts w:ascii="宋体" w:hAnsi="宋体" w:cs="宋体"/>
                <w:color w:val="auto"/>
                <w:szCs w:val="21"/>
                <w:highlight w:val="none"/>
              </w:rPr>
              <w:t xml:space="preserve">实施方案、质量保证措施基本可行，</w:t>
            </w:r>
            <w:r>
              <w:rPr>
                <w:rFonts w:hint="eastAsia" w:ascii="宋体" w:hAnsi="宋体" w:cs="宋体"/>
                <w:color w:val="auto"/>
                <w:szCs w:val="21"/>
                <w:highlight w:val="none"/>
                <w:lang w:val="en-US" w:eastAsia="zh-CN"/>
              </w:rPr>
              <w:t xml:space="preserve">工程</w:t>
            </w:r>
            <w:r>
              <w:rPr>
                <w:rFonts w:ascii="宋体" w:hAnsi="宋体" w:cs="宋体"/>
                <w:color w:val="auto"/>
                <w:szCs w:val="21"/>
                <w:highlight w:val="none"/>
              </w:rPr>
              <w:t xml:space="preserve">进度安排基本可行，现场管理制度基本</w:t>
            </w:r>
            <w:r>
              <w:rPr>
                <w:rFonts w:hint="eastAsia" w:ascii="宋体" w:hAnsi="宋体" w:cs="宋体"/>
                <w:color w:val="auto"/>
                <w:szCs w:val="21"/>
                <w:highlight w:val="none"/>
                <w:lang w:val="en-US" w:eastAsia="zh-CN"/>
              </w:rPr>
              <w:t xml:space="preserve">完善</w:t>
            </w:r>
            <w:r>
              <w:rPr>
                <w:rFonts w:ascii="宋体" w:hAnsi="宋体" w:cs="宋体"/>
                <w:color w:val="auto"/>
                <w:szCs w:val="21"/>
                <w:highlight w:val="none"/>
              </w:rPr>
              <w:t xml:space="preserve">，文明安装保证措施基本</w:t>
            </w:r>
            <w:r>
              <w:rPr>
                <w:rFonts w:hint="eastAsia" w:ascii="宋体" w:hAnsi="宋体" w:cs="宋体"/>
                <w:color w:val="auto"/>
                <w:szCs w:val="21"/>
                <w:highlight w:val="none"/>
                <w:lang w:val="en-US" w:eastAsia="zh-CN"/>
              </w:rPr>
              <w:t xml:space="preserve">合理</w:t>
            </w:r>
            <w:r>
              <w:rPr>
                <w:rFonts w:ascii="宋体" w:hAnsi="宋体" w:cs="宋体"/>
                <w:color w:val="auto"/>
                <w:szCs w:val="21"/>
                <w:highlight w:val="none"/>
              </w:rPr>
              <w:t xml:space="preserve">的得</w:t>
            </w:r>
            <w:r>
              <w:rPr>
                <w:rFonts w:hint="eastAsia" w:ascii="宋体" w:hAnsi="宋体" w:cs="宋体"/>
                <w:color w:val="auto"/>
                <w:szCs w:val="21"/>
                <w:highlight w:val="none"/>
                <w:lang w:val="en-US" w:eastAsia="zh-CN"/>
              </w:rPr>
              <w:t xml:space="preserve">3</w:t>
            </w:r>
            <w:r>
              <w:rPr>
                <w:rFonts w:ascii="宋体" w:hAnsi="宋体" w:cs="宋体"/>
                <w:color w:val="auto"/>
                <w:szCs w:val="21"/>
                <w:highlight w:val="none"/>
              </w:rPr>
              <w:t xml:space="preserve">分；</w:t>
            </w:r>
            <w:r/>
          </w:p>
          <w:p>
            <w:pPr>
              <w:numPr>
                <w:ilvl w:val="0"/>
                <w:numId w:val="13"/>
              </w:numPr>
              <w:ind w:firstLine="420"/>
              <w:rPr>
                <w:rFonts w:ascii="宋体" w:hAnsi="宋体" w:cs="宋体"/>
                <w:color w:val="auto"/>
                <w:szCs w:val="21"/>
                <w:highlight w:val="none"/>
              </w:rPr>
            </w:pPr>
            <w:r>
              <w:rPr>
                <w:rFonts w:ascii="宋体" w:hAnsi="宋体" w:cs="宋体"/>
                <w:color w:val="auto"/>
                <w:szCs w:val="21"/>
                <w:highlight w:val="none"/>
              </w:rPr>
              <w:t xml:space="preserve">实施方案针对性</w:t>
            </w:r>
            <w:r>
              <w:rPr>
                <w:rFonts w:hint="eastAsia" w:ascii="宋体" w:hAnsi="宋体" w:cs="宋体"/>
                <w:color w:val="auto"/>
                <w:szCs w:val="21"/>
                <w:highlight w:val="none"/>
                <w:lang w:val="en-US" w:eastAsia="zh-CN"/>
              </w:rPr>
              <w:t xml:space="preserve">不强</w:t>
            </w:r>
            <w:r>
              <w:rPr>
                <w:rFonts w:ascii="宋体" w:hAnsi="宋体" w:cs="宋体"/>
                <w:color w:val="auto"/>
                <w:szCs w:val="21"/>
                <w:highlight w:val="none"/>
              </w:rPr>
              <w:t xml:space="preserve">、质量保证措施可行性</w:t>
            </w:r>
            <w:r>
              <w:rPr>
                <w:rFonts w:hint="eastAsia" w:ascii="宋体" w:hAnsi="宋体" w:cs="宋体"/>
                <w:color w:val="auto"/>
                <w:szCs w:val="21"/>
                <w:highlight w:val="none"/>
                <w:lang w:val="en-US" w:eastAsia="zh-CN"/>
              </w:rPr>
              <w:t xml:space="preserve">有欠缺</w:t>
            </w:r>
            <w:r>
              <w:rPr>
                <w:rFonts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工程</w:t>
            </w:r>
            <w:r>
              <w:rPr>
                <w:rFonts w:ascii="宋体" w:hAnsi="宋体" w:cs="宋体"/>
                <w:color w:val="auto"/>
                <w:szCs w:val="21"/>
                <w:highlight w:val="none"/>
              </w:rPr>
              <w:t xml:space="preserve">进度安排</w:t>
            </w:r>
            <w:r>
              <w:rPr>
                <w:rFonts w:hint="eastAsia" w:ascii="宋体" w:hAnsi="宋体" w:cs="宋体"/>
                <w:color w:val="auto"/>
                <w:szCs w:val="21"/>
                <w:highlight w:val="none"/>
                <w:lang w:val="en-US" w:eastAsia="zh-CN"/>
              </w:rPr>
              <w:t xml:space="preserve">有欠缺</w:t>
            </w:r>
            <w:r>
              <w:rPr>
                <w:rFonts w:ascii="宋体" w:hAnsi="宋体" w:cs="宋体"/>
                <w:color w:val="auto"/>
                <w:szCs w:val="21"/>
                <w:highlight w:val="none"/>
              </w:rPr>
              <w:t xml:space="preserve">，现场管理制度不完善，文明安装保证措施合理</w:t>
            </w:r>
            <w:r>
              <w:rPr>
                <w:rFonts w:hint="eastAsia" w:ascii="宋体" w:hAnsi="宋体" w:cs="宋体"/>
                <w:color w:val="auto"/>
                <w:szCs w:val="21"/>
                <w:highlight w:val="none"/>
                <w:lang w:val="en-US" w:eastAsia="zh-CN"/>
              </w:rPr>
              <w:t xml:space="preserve">性有欠缺</w:t>
            </w:r>
            <w:r>
              <w:rPr>
                <w:rFonts w:ascii="宋体" w:hAnsi="宋体" w:cs="宋体"/>
                <w:color w:val="auto"/>
                <w:szCs w:val="21"/>
                <w:highlight w:val="none"/>
              </w:rPr>
              <w:t xml:space="preserve">的得</w:t>
            </w:r>
            <w:r>
              <w:rPr>
                <w:rFonts w:hint="eastAsia" w:ascii="宋体" w:hAnsi="宋体" w:cs="宋体"/>
                <w:color w:val="auto"/>
                <w:szCs w:val="21"/>
                <w:highlight w:val="none"/>
                <w:lang w:val="en-US" w:eastAsia="zh-CN"/>
              </w:rPr>
              <w:t xml:space="preserve">1</w:t>
            </w:r>
            <w:r>
              <w:rPr>
                <w:rFonts w:ascii="宋体" w:hAnsi="宋体" w:cs="宋体"/>
                <w:color w:val="auto"/>
                <w:szCs w:val="21"/>
                <w:highlight w:val="none"/>
              </w:rPr>
              <w:t xml:space="preserve">分；</w:t>
            </w:r>
            <w:r/>
          </w:p>
          <w:p>
            <w:pPr>
              <w:numPr>
                <w:ilvl w:val="0"/>
                <w:numId w:val="13"/>
              </w:numPr>
              <w:ind w:firstLine="420"/>
              <w:rPr>
                <w:color w:val="auto"/>
                <w:szCs w:val="21"/>
                <w:highlight w:val="none"/>
              </w:rPr>
            </w:pPr>
            <w:r>
              <w:rPr>
                <w:rFonts w:ascii="宋体" w:hAnsi="宋体" w:cs="宋体"/>
                <w:color w:val="auto"/>
                <w:szCs w:val="21"/>
                <w:highlight w:val="none"/>
              </w:rPr>
              <w:t xml:space="preserve">不提供不得分。</w:t>
            </w:r>
            <w:r/>
          </w:p>
        </w:tc>
        <w:tc>
          <w:tcPr>
            <w:tcW w:w="540" w:type="dxa"/>
            <w:vAlign w:val="center"/>
            <w:textDirection w:val="lrTb"/>
            <w:noWrap w:val="false"/>
          </w:tcPr>
          <w:p>
            <w:pPr>
              <w:jc w:val="center"/>
              <w:rPr>
                <w:color w:val="auto"/>
                <w:szCs w:val="21"/>
                <w:highlight w:val="none"/>
              </w:rPr>
            </w:pPr>
            <w:r>
              <w:rPr>
                <w:rFonts w:hint="eastAsia" w:hAnsi="Calibri" w:cs="Calibri"/>
                <w:color w:val="auto"/>
                <w:highlight w:val="none"/>
              </w:rPr>
              <w:t xml:space="preserve">5</w:t>
            </w:r>
            <w:r/>
          </w:p>
        </w:tc>
      </w:tr>
      <w:tr>
        <w:trPr>
          <w:jc w:val="center"/>
          <w:trHeight w:val="1567"/>
        </w:trPr>
        <w:tc>
          <w:tcPr>
            <w:tcW w:w="1113" w:type="dxa"/>
            <w:vAlign w:val="center"/>
            <w:vMerge w:val="continue"/>
            <w:textDirection w:val="lrTb"/>
            <w:noWrap w:val="false"/>
          </w:tcPr>
          <w:p>
            <w:pPr>
              <w:jc w:val="center"/>
              <w:rPr>
                <w:b/>
                <w:bCs/>
                <w:color w:val="auto"/>
                <w:szCs w:val="21"/>
                <w:highlight w:val="none"/>
              </w:rPr>
            </w:pPr>
            <w:r>
              <w:rPr>
                <w:b/>
                <w:bCs/>
                <w:color w:val="auto"/>
                <w:szCs w:val="21"/>
                <w:highlight w:val="none"/>
              </w:rPr>
            </w:r>
            <w:r/>
          </w:p>
        </w:tc>
        <w:tc>
          <w:tcPr>
            <w:tcW w:w="1407" w:type="dxa"/>
            <w:vAlign w:val="center"/>
            <w:textDirection w:val="lrTb"/>
            <w:noWrap w:val="false"/>
          </w:tcPr>
          <w:p>
            <w:pPr>
              <w:jc w:val="center"/>
              <w:rPr>
                <w:color w:val="auto"/>
                <w:szCs w:val="21"/>
                <w:highlight w:val="none"/>
              </w:rPr>
            </w:pPr>
            <w:r>
              <w:rPr>
                <w:rFonts w:hint="eastAsia" w:hAnsi="Calibri" w:cs="Calibri"/>
                <w:color w:val="auto"/>
                <w:highlight w:val="none"/>
                <w:lang w:val="en-US" w:eastAsia="zh-CN"/>
              </w:rPr>
              <w:t xml:space="preserve">4、</w:t>
            </w:r>
            <w:r>
              <w:rPr>
                <w:rFonts w:hAnsi="Calibri" w:cs="Calibri"/>
                <w:color w:val="auto"/>
                <w:highlight w:val="none"/>
              </w:rPr>
              <w:t xml:space="preserve">本项目的交货工期保障计划方案比较</w:t>
            </w:r>
            <w:r/>
          </w:p>
        </w:tc>
        <w:tc>
          <w:tcPr>
            <w:tcW w:w="7301" w:type="dxa"/>
            <w:textDirection w:val="lrTb"/>
            <w:noWrap w:val="false"/>
          </w:tcPr>
          <w:p>
            <w:pPr>
              <w:rPr>
                <w:rFonts w:hAnsi="Calibri" w:cs="Calibri"/>
                <w:color w:val="auto"/>
                <w:szCs w:val="21"/>
                <w:highlight w:val="none"/>
              </w:rPr>
            </w:pPr>
            <w:r>
              <w:rPr>
                <w:rFonts w:hAnsi="Calibri" w:cs="Calibri"/>
                <w:color w:val="auto"/>
                <w:szCs w:val="21"/>
                <w:highlight w:val="none"/>
              </w:rPr>
              <w:t xml:space="preserve">为保障本项目顺利交货，投标单位提供交货计划须满足要求，具有风险评估且有应急预案紧急供货的方案、包括进度安排及保证措施比较：</w:t>
            </w:r>
            <w:r/>
          </w:p>
          <w:p>
            <w:pPr>
              <w:numPr>
                <w:ilvl w:val="0"/>
                <w:numId w:val="14"/>
              </w:numPr>
              <w:ind w:firstLine="420"/>
              <w:rPr>
                <w:rFonts w:hAnsi="Calibri" w:cs="Calibri"/>
                <w:color w:val="auto"/>
                <w:szCs w:val="21"/>
                <w:highlight w:val="none"/>
              </w:rPr>
            </w:pPr>
            <w:r>
              <w:rPr>
                <w:rFonts w:hAnsi="Calibri" w:cs="Calibri"/>
                <w:color w:val="auto"/>
                <w:szCs w:val="21"/>
                <w:highlight w:val="none"/>
              </w:rPr>
              <w:t xml:space="preserve">方案全面完善、科学合理、针对性强、内容详细、能更好的满足项目实施的得5分；</w:t>
            </w:r>
            <w:r/>
          </w:p>
          <w:p>
            <w:pPr>
              <w:numPr>
                <w:ilvl w:val="0"/>
                <w:numId w:val="14"/>
              </w:numPr>
              <w:ind w:firstLine="420"/>
              <w:rPr>
                <w:rFonts w:hAnsi="Calibri" w:cs="Calibri"/>
                <w:color w:val="auto"/>
                <w:szCs w:val="21"/>
                <w:highlight w:val="none"/>
              </w:rPr>
            </w:pPr>
            <w:r>
              <w:rPr>
                <w:rFonts w:hAnsi="Calibri" w:cs="Calibri"/>
                <w:color w:val="auto"/>
                <w:szCs w:val="21"/>
                <w:highlight w:val="none"/>
              </w:rPr>
              <w:t xml:space="preserve">方案全面完善、科学合理、针对性不强、内容详细、基本能满足项目实施的得3分；</w:t>
            </w:r>
            <w:r/>
          </w:p>
          <w:p>
            <w:pPr>
              <w:numPr>
                <w:ilvl w:val="0"/>
                <w:numId w:val="14"/>
              </w:numPr>
              <w:ind w:firstLine="420"/>
              <w:rPr>
                <w:rFonts w:hAnsi="Calibri" w:cs="Calibri"/>
                <w:color w:val="auto"/>
                <w:szCs w:val="21"/>
                <w:highlight w:val="none"/>
              </w:rPr>
            </w:pPr>
            <w:r>
              <w:rPr>
                <w:rFonts w:hAnsi="Calibri" w:cs="Calibri"/>
                <w:color w:val="auto"/>
                <w:szCs w:val="21"/>
                <w:highlight w:val="none"/>
              </w:rPr>
              <w:t xml:space="preserve">方案全面完善、针对性</w:t>
            </w:r>
            <w:r>
              <w:rPr>
                <w:rFonts w:hint="eastAsia" w:hAnsi="Calibri" w:cs="Calibri"/>
                <w:color w:val="auto"/>
                <w:szCs w:val="21"/>
                <w:highlight w:val="none"/>
                <w:lang w:val="en-US" w:eastAsia="zh-CN"/>
              </w:rPr>
              <w:t xml:space="preserve">有</w:t>
            </w:r>
            <w:r>
              <w:rPr>
                <w:rFonts w:hAnsi="Calibri" w:cs="Calibri"/>
                <w:color w:val="auto"/>
                <w:szCs w:val="21"/>
                <w:highlight w:val="none"/>
              </w:rPr>
              <w:t xml:space="preserve">欠缺、内容</w:t>
            </w:r>
            <w:r>
              <w:rPr>
                <w:rFonts w:hint="eastAsia" w:hAnsi="Calibri" w:cs="Calibri"/>
                <w:color w:val="auto"/>
                <w:szCs w:val="21"/>
                <w:highlight w:val="none"/>
                <w:lang w:val="en-US" w:eastAsia="zh-CN"/>
              </w:rPr>
              <w:t xml:space="preserve">有</w:t>
            </w:r>
            <w:r>
              <w:rPr>
                <w:rFonts w:hAnsi="Calibri" w:cs="Calibri"/>
                <w:color w:val="auto"/>
                <w:szCs w:val="21"/>
                <w:highlight w:val="none"/>
              </w:rPr>
              <w:t xml:space="preserve">欠缺、基本能满足项目实施的得1分；</w:t>
            </w:r>
            <w:r/>
          </w:p>
          <w:p>
            <w:pPr>
              <w:numPr>
                <w:ilvl w:val="0"/>
                <w:numId w:val="14"/>
              </w:numPr>
              <w:ind w:firstLine="420"/>
              <w:rPr>
                <w:color w:val="auto"/>
                <w:szCs w:val="21"/>
                <w:highlight w:val="none"/>
              </w:rPr>
            </w:pPr>
            <w:r>
              <w:rPr>
                <w:rFonts w:hAnsi="Calibri" w:cs="Calibri"/>
                <w:color w:val="auto"/>
                <w:szCs w:val="21"/>
                <w:highlight w:val="none"/>
              </w:rPr>
              <w:t xml:space="preserve">不提供不得分。</w:t>
            </w:r>
            <w:r/>
          </w:p>
        </w:tc>
        <w:tc>
          <w:tcPr>
            <w:tcW w:w="540" w:type="dxa"/>
            <w:vAlign w:val="center"/>
            <w:textDirection w:val="lrTb"/>
            <w:noWrap w:val="false"/>
          </w:tcPr>
          <w:p>
            <w:pPr>
              <w:jc w:val="center"/>
              <w:rPr>
                <w:color w:val="auto"/>
                <w:szCs w:val="21"/>
                <w:highlight w:val="none"/>
              </w:rPr>
            </w:pPr>
            <w:r>
              <w:rPr>
                <w:rFonts w:hAnsi="Calibri" w:cs="Calibri"/>
                <w:color w:val="auto"/>
                <w:highlight w:val="none"/>
              </w:rPr>
              <w:t xml:space="preserve">5</w:t>
            </w:r>
            <w:r/>
          </w:p>
        </w:tc>
      </w:tr>
      <w:tr>
        <w:trPr>
          <w:jc w:val="center"/>
          <w:trHeight w:val="909"/>
        </w:trPr>
        <w:tc>
          <w:tcPr>
            <w:tcW w:w="1113" w:type="dxa"/>
            <w:vAlign w:val="center"/>
            <w:vMerge w:val="continue"/>
            <w:textDirection w:val="lrTb"/>
            <w:noWrap w:val="false"/>
          </w:tcPr>
          <w:p>
            <w:pPr>
              <w:jc w:val="center"/>
              <w:rPr>
                <w:b/>
                <w:bCs/>
                <w:color w:val="auto"/>
                <w:szCs w:val="21"/>
                <w:highlight w:val="none"/>
              </w:rPr>
            </w:pPr>
            <w:r>
              <w:rPr>
                <w:b/>
                <w:bCs/>
                <w:color w:val="auto"/>
                <w:szCs w:val="21"/>
                <w:highlight w:val="none"/>
              </w:rPr>
            </w:r>
            <w:r/>
          </w:p>
        </w:tc>
        <w:tc>
          <w:tcPr>
            <w:tcW w:w="1407" w:type="dxa"/>
            <w:vAlign w:val="center"/>
            <w:textDirection w:val="lrTb"/>
            <w:noWrap w:val="false"/>
          </w:tcPr>
          <w:p>
            <w:pPr>
              <w:jc w:val="center"/>
              <w:rPr>
                <w:color w:val="auto"/>
                <w:szCs w:val="21"/>
                <w:highlight w:val="none"/>
              </w:rPr>
            </w:pPr>
            <w:r>
              <w:rPr>
                <w:rFonts w:hint="eastAsia" w:hAnsi="Calibri" w:cs="Calibri"/>
                <w:color w:val="auto"/>
                <w:highlight w:val="none"/>
                <w:lang w:val="en-US" w:eastAsia="zh-CN"/>
              </w:rPr>
              <w:t xml:space="preserve">5、</w:t>
            </w:r>
            <w:r>
              <w:rPr>
                <w:rFonts w:hAnsi="Calibri" w:cs="Calibri"/>
                <w:color w:val="auto"/>
                <w:highlight w:val="none"/>
              </w:rPr>
              <w:t xml:space="preserve">本项目产品安装、调试验收方案比较</w:t>
            </w:r>
            <w:r/>
          </w:p>
        </w:tc>
        <w:tc>
          <w:tcPr>
            <w:tcW w:w="7301" w:type="dxa"/>
            <w:textDirection w:val="lrTb"/>
            <w:noWrap w:val="false"/>
          </w:tcPr>
          <w:p>
            <w:pPr>
              <w:rPr>
                <w:rFonts w:hAnsi="Calibri" w:cs="Calibri"/>
                <w:color w:val="auto"/>
                <w:szCs w:val="21"/>
                <w:highlight w:val="none"/>
              </w:rPr>
            </w:pPr>
            <w:r>
              <w:rPr>
                <w:rFonts w:hAnsi="Calibri" w:cs="Calibri"/>
                <w:color w:val="auto"/>
                <w:szCs w:val="21"/>
                <w:highlight w:val="none"/>
              </w:rPr>
              <w:t xml:space="preserve">为保证产品安装质量，投标人对本项目主要产品的安装方案说明、项目实施中的难点及解决方案、调试验收方案包括设备调试与其他施工单位间的验收、保证工程顺利移交的具体措施和解决方案：</w:t>
            </w:r>
            <w:r/>
          </w:p>
          <w:p>
            <w:pPr>
              <w:numPr>
                <w:ilvl w:val="0"/>
                <w:numId w:val="15"/>
              </w:numPr>
              <w:ind w:firstLine="420"/>
              <w:rPr>
                <w:rFonts w:hAnsi="Calibri" w:cs="Calibri"/>
                <w:color w:val="auto"/>
                <w:szCs w:val="21"/>
                <w:highlight w:val="none"/>
              </w:rPr>
            </w:pPr>
            <w:r>
              <w:rPr>
                <w:rFonts w:hAnsi="Calibri" w:cs="Calibri"/>
                <w:color w:val="auto"/>
                <w:szCs w:val="21"/>
                <w:highlight w:val="none"/>
              </w:rPr>
              <w:t xml:space="preserve">方案全面完善、科学合理、针对性强、内容详细、能更好的满足项目实施的得</w:t>
            </w:r>
            <w:r>
              <w:rPr>
                <w:rFonts w:hint="eastAsia" w:hAnsi="Calibri" w:cs="Calibri"/>
                <w:color w:val="auto"/>
                <w:highlight w:val="none"/>
                <w:lang w:val="en-US" w:eastAsia="zh-CN"/>
              </w:rPr>
              <w:t xml:space="preserve">4</w:t>
            </w:r>
            <w:r>
              <w:rPr>
                <w:rFonts w:hAnsi="Calibri" w:cs="Calibri"/>
                <w:color w:val="auto"/>
                <w:szCs w:val="21"/>
                <w:highlight w:val="none"/>
              </w:rPr>
              <w:t xml:space="preserve">分；</w:t>
            </w:r>
            <w:r/>
          </w:p>
          <w:p>
            <w:pPr>
              <w:numPr>
                <w:ilvl w:val="0"/>
                <w:numId w:val="15"/>
              </w:numPr>
              <w:ind w:firstLine="420"/>
              <w:rPr>
                <w:rFonts w:hAnsi="Calibri" w:cs="Calibri"/>
                <w:color w:val="auto"/>
                <w:szCs w:val="21"/>
                <w:highlight w:val="none"/>
              </w:rPr>
            </w:pPr>
            <w:r>
              <w:rPr>
                <w:rFonts w:hAnsi="Calibri" w:cs="Calibri"/>
                <w:color w:val="auto"/>
                <w:szCs w:val="21"/>
                <w:highlight w:val="none"/>
              </w:rPr>
              <w:t xml:space="preserve">方案全面完善、科学合理、针对性不强、内容详细、基本能满足项目实施的得</w:t>
            </w:r>
            <w:r>
              <w:rPr>
                <w:rFonts w:hint="eastAsia" w:hAnsi="Calibri" w:cs="Calibri"/>
                <w:color w:val="auto"/>
                <w:highlight w:val="none"/>
                <w:lang w:val="en-US" w:eastAsia="zh-CN"/>
              </w:rPr>
              <w:t xml:space="preserve">3</w:t>
            </w:r>
            <w:r>
              <w:rPr>
                <w:rFonts w:hAnsi="Calibri" w:cs="Calibri"/>
                <w:color w:val="auto"/>
                <w:szCs w:val="21"/>
                <w:highlight w:val="none"/>
              </w:rPr>
              <w:t xml:space="preserve">分；</w:t>
            </w:r>
            <w:r/>
          </w:p>
          <w:p>
            <w:pPr>
              <w:numPr>
                <w:ilvl w:val="0"/>
                <w:numId w:val="15"/>
              </w:numPr>
              <w:ind w:firstLine="420"/>
              <w:rPr>
                <w:rFonts w:hAnsi="Calibri" w:cs="Calibri"/>
                <w:color w:val="auto"/>
                <w:szCs w:val="21"/>
                <w:highlight w:val="none"/>
              </w:rPr>
            </w:pPr>
            <w:r>
              <w:rPr>
                <w:rFonts w:hAnsi="Calibri" w:cs="Calibri"/>
                <w:color w:val="auto"/>
                <w:szCs w:val="21"/>
                <w:highlight w:val="none"/>
              </w:rPr>
              <w:t xml:space="preserve">方案全面完善、针对性</w:t>
            </w:r>
            <w:r>
              <w:rPr>
                <w:rFonts w:hint="eastAsia" w:hAnsi="Calibri" w:cs="Calibri"/>
                <w:color w:val="auto"/>
                <w:szCs w:val="21"/>
                <w:highlight w:val="none"/>
                <w:lang w:val="en-US" w:eastAsia="zh-CN"/>
              </w:rPr>
              <w:t xml:space="preserve">有</w:t>
            </w:r>
            <w:r>
              <w:rPr>
                <w:rFonts w:hAnsi="Calibri" w:cs="Calibri"/>
                <w:color w:val="auto"/>
                <w:szCs w:val="21"/>
                <w:highlight w:val="none"/>
              </w:rPr>
              <w:t xml:space="preserve">欠缺、内容</w:t>
            </w:r>
            <w:r>
              <w:rPr>
                <w:rFonts w:hint="eastAsia" w:hAnsi="Calibri" w:cs="Calibri"/>
                <w:color w:val="auto"/>
                <w:szCs w:val="21"/>
                <w:highlight w:val="none"/>
                <w:lang w:val="en-US" w:eastAsia="zh-CN"/>
              </w:rPr>
              <w:t xml:space="preserve">有</w:t>
            </w:r>
            <w:r>
              <w:rPr>
                <w:rFonts w:hAnsi="Calibri" w:cs="Calibri"/>
                <w:color w:val="auto"/>
                <w:szCs w:val="21"/>
                <w:highlight w:val="none"/>
              </w:rPr>
              <w:t xml:space="preserve">欠缺、基本能满足项目实施的得</w:t>
            </w:r>
            <w:r>
              <w:rPr>
                <w:rFonts w:hint="eastAsia" w:hAnsi="Calibri" w:cs="Calibri"/>
                <w:color w:val="auto"/>
                <w:szCs w:val="21"/>
                <w:highlight w:val="none"/>
                <w:lang w:val="en-US" w:eastAsia="zh-CN"/>
              </w:rPr>
              <w:t xml:space="preserve">2</w:t>
            </w:r>
            <w:r>
              <w:rPr>
                <w:rFonts w:hAnsi="Calibri" w:cs="Calibri"/>
                <w:color w:val="auto"/>
                <w:szCs w:val="21"/>
                <w:highlight w:val="none"/>
              </w:rPr>
              <w:t xml:space="preserve">分；</w:t>
            </w:r>
            <w:r/>
          </w:p>
          <w:p>
            <w:pPr>
              <w:numPr>
                <w:ilvl w:val="0"/>
                <w:numId w:val="15"/>
              </w:numPr>
              <w:ind w:firstLine="420"/>
              <w:rPr>
                <w:color w:val="auto"/>
                <w:szCs w:val="21"/>
                <w:highlight w:val="none"/>
              </w:rPr>
            </w:pPr>
            <w:r>
              <w:rPr>
                <w:rFonts w:hAnsi="Calibri" w:cs="Calibri"/>
                <w:color w:val="auto"/>
                <w:szCs w:val="21"/>
                <w:highlight w:val="none"/>
              </w:rPr>
              <w:t xml:space="preserve">不提供不得分。</w:t>
            </w:r>
            <w:r/>
          </w:p>
        </w:tc>
        <w:tc>
          <w:tcPr>
            <w:tcW w:w="540" w:type="dxa"/>
            <w:vAlign w:val="center"/>
            <w:textDirection w:val="lrTb"/>
            <w:noWrap w:val="false"/>
          </w:tcPr>
          <w:p>
            <w:pPr>
              <w:jc w:val="center"/>
              <w:rPr>
                <w:rFonts w:hint="eastAsia" w:eastAsia="宋体"/>
                <w:color w:val="auto"/>
                <w:szCs w:val="21"/>
                <w:highlight w:val="none"/>
                <w:lang w:eastAsia="zh-CN"/>
              </w:rPr>
            </w:pPr>
            <w:r>
              <w:rPr>
                <w:rFonts w:hint="eastAsia" w:hAnsi="Calibri" w:cs="Calibri"/>
                <w:color w:val="auto"/>
                <w:highlight w:val="none"/>
                <w:lang w:val="en-US" w:eastAsia="zh-CN"/>
              </w:rPr>
              <w:t xml:space="preserve">4</w:t>
            </w:r>
            <w:r/>
          </w:p>
        </w:tc>
      </w:tr>
      <w:tr>
        <w:trPr>
          <w:jc w:val="center"/>
          <w:trHeight w:val="1567"/>
        </w:trPr>
        <w:tc>
          <w:tcPr>
            <w:tcW w:w="1113" w:type="dxa"/>
            <w:vAlign w:val="center"/>
            <w:vMerge w:val="continue"/>
            <w:textDirection w:val="lrTb"/>
            <w:noWrap w:val="false"/>
          </w:tcPr>
          <w:p>
            <w:pPr>
              <w:jc w:val="center"/>
              <w:rPr>
                <w:b/>
                <w:bCs/>
                <w:color w:val="auto"/>
                <w:szCs w:val="21"/>
                <w:highlight w:val="none"/>
              </w:rPr>
            </w:pPr>
            <w:r>
              <w:rPr>
                <w:b/>
                <w:bCs/>
                <w:color w:val="auto"/>
                <w:szCs w:val="21"/>
                <w:highlight w:val="none"/>
              </w:rPr>
            </w:r>
            <w:r/>
          </w:p>
        </w:tc>
        <w:tc>
          <w:tcPr>
            <w:tcW w:w="1407" w:type="dxa"/>
            <w:vAlign w:val="center"/>
            <w:textDirection w:val="lrTb"/>
            <w:noWrap w:val="false"/>
          </w:tcPr>
          <w:p>
            <w:pPr>
              <w:jc w:val="center"/>
              <w:rPr>
                <w:color w:val="auto"/>
                <w:szCs w:val="21"/>
                <w:highlight w:val="none"/>
              </w:rPr>
            </w:pPr>
            <w:r>
              <w:rPr>
                <w:rFonts w:hint="eastAsia" w:hAnsi="Calibri" w:cs="Calibri"/>
                <w:color w:val="auto"/>
                <w:highlight w:val="none"/>
                <w:lang w:val="en-US" w:eastAsia="zh-CN"/>
              </w:rPr>
              <w:t xml:space="preserve">6、</w:t>
            </w:r>
            <w:r>
              <w:rPr>
                <w:rFonts w:hAnsi="Calibri" w:cs="Calibri"/>
                <w:color w:val="auto"/>
                <w:highlight w:val="none"/>
              </w:rPr>
              <w:t xml:space="preserve">本项目的安全生产措施比较</w:t>
            </w:r>
            <w:r/>
          </w:p>
        </w:tc>
        <w:tc>
          <w:tcPr>
            <w:tcW w:w="7301" w:type="dxa"/>
            <w:textDirection w:val="lrTb"/>
            <w:noWrap w:val="false"/>
          </w:tcPr>
          <w:p>
            <w:pPr>
              <w:rPr>
                <w:rFonts w:hAnsi="Calibri" w:cs="Calibri"/>
                <w:color w:val="auto"/>
                <w:szCs w:val="21"/>
                <w:highlight w:val="none"/>
              </w:rPr>
            </w:pPr>
            <w:r>
              <w:rPr>
                <w:rFonts w:hAnsi="Calibri" w:cs="Calibri"/>
                <w:color w:val="auto"/>
                <w:szCs w:val="21"/>
                <w:highlight w:val="none"/>
              </w:rPr>
              <w:t xml:space="preserve">根据安全生产标准化程度，安全生产的方案严谨程度以及施工现场的安全措施的制定，施工现场治安保卫措施，拟投入本项目的安全管理人员、重大危险源警示措施等打分：</w:t>
            </w:r>
            <w:r/>
          </w:p>
          <w:p>
            <w:pPr>
              <w:numPr>
                <w:ilvl w:val="0"/>
                <w:numId w:val="16"/>
              </w:numPr>
              <w:ind w:firstLine="420"/>
              <w:rPr>
                <w:rFonts w:hAnsi="Calibri" w:cs="Calibri"/>
                <w:color w:val="auto"/>
                <w:szCs w:val="21"/>
                <w:highlight w:val="none"/>
              </w:rPr>
            </w:pPr>
            <w:r>
              <w:rPr>
                <w:rFonts w:hAnsi="Calibri" w:cs="Calibri"/>
                <w:color w:val="auto"/>
                <w:szCs w:val="21"/>
                <w:highlight w:val="none"/>
              </w:rPr>
              <w:t xml:space="preserve">方案全面完善、科学合理、针对性强的得5分；</w:t>
            </w:r>
            <w:r/>
          </w:p>
          <w:p>
            <w:pPr>
              <w:numPr>
                <w:ilvl w:val="0"/>
                <w:numId w:val="16"/>
              </w:numPr>
              <w:ind w:firstLine="420"/>
              <w:rPr>
                <w:rFonts w:hAnsi="Calibri" w:cs="Calibri"/>
                <w:color w:val="auto"/>
                <w:szCs w:val="21"/>
                <w:highlight w:val="none"/>
              </w:rPr>
            </w:pPr>
            <w:r>
              <w:rPr>
                <w:rFonts w:hAnsi="Calibri" w:cs="Calibri"/>
                <w:color w:val="auto"/>
                <w:szCs w:val="21"/>
                <w:highlight w:val="none"/>
              </w:rPr>
              <w:t xml:space="preserve">有涉及但不全面的得3分；</w:t>
            </w:r>
            <w:r/>
          </w:p>
          <w:p>
            <w:pPr>
              <w:numPr>
                <w:ilvl w:val="0"/>
                <w:numId w:val="16"/>
              </w:numPr>
              <w:ind w:firstLine="420"/>
              <w:rPr>
                <w:rFonts w:hAnsi="Calibri" w:cs="Calibri"/>
                <w:color w:val="auto"/>
                <w:szCs w:val="21"/>
                <w:highlight w:val="none"/>
              </w:rPr>
            </w:pPr>
            <w:r>
              <w:rPr>
                <w:rFonts w:hAnsi="Calibri" w:cs="Calibri"/>
                <w:color w:val="auto"/>
                <w:szCs w:val="21"/>
                <w:highlight w:val="none"/>
              </w:rPr>
              <w:t xml:space="preserve">形式简单、表述不清的得1分；</w:t>
            </w:r>
            <w:r/>
          </w:p>
          <w:p>
            <w:pPr>
              <w:numPr>
                <w:ilvl w:val="0"/>
                <w:numId w:val="16"/>
              </w:numPr>
              <w:ind w:firstLine="420"/>
              <w:rPr>
                <w:color w:val="auto"/>
                <w:szCs w:val="21"/>
                <w:highlight w:val="none"/>
              </w:rPr>
            </w:pPr>
            <w:r>
              <w:rPr>
                <w:rFonts w:hAnsi="Calibri" w:cs="Calibri"/>
                <w:color w:val="auto"/>
                <w:szCs w:val="21"/>
                <w:highlight w:val="none"/>
              </w:rPr>
              <w:t xml:space="preserve">不提供不得分。</w:t>
            </w:r>
            <w:r/>
          </w:p>
        </w:tc>
        <w:tc>
          <w:tcPr>
            <w:tcW w:w="540" w:type="dxa"/>
            <w:vAlign w:val="center"/>
            <w:textDirection w:val="lrTb"/>
            <w:noWrap w:val="false"/>
          </w:tcPr>
          <w:p>
            <w:pPr>
              <w:jc w:val="center"/>
              <w:rPr>
                <w:color w:val="auto"/>
                <w:szCs w:val="21"/>
                <w:highlight w:val="none"/>
              </w:rPr>
            </w:pPr>
            <w:r>
              <w:rPr>
                <w:rFonts w:hAnsi="Calibri" w:cs="Calibri"/>
                <w:color w:val="auto"/>
                <w:highlight w:val="none"/>
              </w:rPr>
              <w:t xml:space="preserve">5</w:t>
            </w:r>
            <w:r/>
          </w:p>
        </w:tc>
      </w:tr>
      <w:tr>
        <w:trPr>
          <w:jc w:val="center"/>
          <w:trHeight w:val="90"/>
        </w:trPr>
        <w:tc>
          <w:tcPr>
            <w:tcW w:w="1113" w:type="dxa"/>
            <w:vAlign w:val="center"/>
            <w:vMerge w:val="continue"/>
            <w:textDirection w:val="lrTb"/>
            <w:noWrap w:val="false"/>
          </w:tcPr>
          <w:p>
            <w:pPr>
              <w:jc w:val="center"/>
              <w:rPr>
                <w:b/>
                <w:bCs/>
                <w:color w:val="auto"/>
                <w:szCs w:val="21"/>
                <w:highlight w:val="none"/>
              </w:rPr>
            </w:pPr>
            <w:r>
              <w:rPr>
                <w:b/>
                <w:bCs/>
                <w:color w:val="auto"/>
                <w:szCs w:val="21"/>
                <w:highlight w:val="none"/>
              </w:rPr>
            </w:r>
            <w:r/>
          </w:p>
        </w:tc>
        <w:tc>
          <w:tcPr>
            <w:tcW w:w="1407" w:type="dxa"/>
            <w:vAlign w:val="center"/>
            <w:textDirection w:val="lrTb"/>
            <w:noWrap w:val="false"/>
          </w:tcPr>
          <w:p>
            <w:pPr>
              <w:jc w:val="center"/>
              <w:rPr>
                <w:color w:val="auto"/>
                <w:szCs w:val="21"/>
                <w:highlight w:val="none"/>
              </w:rPr>
            </w:pPr>
            <w:r>
              <w:rPr>
                <w:rFonts w:hint="eastAsia" w:hAnsi="Calibri" w:cs="Calibri"/>
                <w:color w:val="auto"/>
                <w:highlight w:val="none"/>
                <w:lang w:val="en-US" w:eastAsia="zh-CN"/>
              </w:rPr>
              <w:t xml:space="preserve">7、</w:t>
            </w:r>
            <w:r>
              <w:rPr>
                <w:rFonts w:hAnsi="Calibri" w:cs="Calibri"/>
                <w:color w:val="auto"/>
                <w:highlight w:val="none"/>
              </w:rPr>
              <w:t xml:space="preserve">本项目分级管控预防和危险隐患排查治理措方案比较</w:t>
            </w:r>
            <w:r/>
          </w:p>
        </w:tc>
        <w:tc>
          <w:tcPr>
            <w:tcW w:w="7301" w:type="dxa"/>
            <w:textDirection w:val="lrTb"/>
            <w:noWrap w:val="false"/>
          </w:tcPr>
          <w:p>
            <w:pPr>
              <w:rPr>
                <w:rFonts w:hAnsi="Calibri" w:cs="Calibri"/>
                <w:color w:val="auto"/>
                <w:szCs w:val="21"/>
                <w:highlight w:val="none"/>
              </w:rPr>
            </w:pPr>
            <w:r>
              <w:rPr>
                <w:rFonts w:hAnsi="Calibri" w:cs="Calibri"/>
                <w:color w:val="auto"/>
                <w:szCs w:val="21"/>
                <w:highlight w:val="none"/>
              </w:rPr>
              <w:t xml:space="preserve">投标单位针对安全生产分级管控预防和危险隐患排查治理措施等各方面比较综合评分：</w:t>
            </w:r>
            <w:r/>
          </w:p>
          <w:p>
            <w:pPr>
              <w:numPr>
                <w:ilvl w:val="0"/>
                <w:numId w:val="17"/>
              </w:numPr>
              <w:ind w:firstLine="420"/>
              <w:rPr>
                <w:rFonts w:hAnsi="Calibri" w:cs="Calibri"/>
                <w:color w:val="auto"/>
                <w:szCs w:val="21"/>
                <w:highlight w:val="none"/>
              </w:rPr>
            </w:pPr>
            <w:r>
              <w:rPr>
                <w:rFonts w:hAnsi="Calibri" w:cs="Calibri"/>
                <w:color w:val="auto"/>
                <w:szCs w:val="21"/>
                <w:highlight w:val="none"/>
              </w:rPr>
              <w:t xml:space="preserve">针对本方案措施可行性强，科学合理性强的得5分；</w:t>
            </w:r>
            <w:r/>
          </w:p>
          <w:p>
            <w:pPr>
              <w:numPr>
                <w:ilvl w:val="0"/>
                <w:numId w:val="17"/>
              </w:numPr>
              <w:ind w:firstLine="420"/>
              <w:rPr>
                <w:rFonts w:hAnsi="Calibri" w:cs="Calibri"/>
                <w:color w:val="auto"/>
                <w:szCs w:val="21"/>
                <w:highlight w:val="none"/>
              </w:rPr>
            </w:pPr>
            <w:r>
              <w:rPr>
                <w:rFonts w:hAnsi="Calibri" w:cs="Calibri"/>
                <w:color w:val="auto"/>
                <w:szCs w:val="21"/>
                <w:highlight w:val="none"/>
              </w:rPr>
              <w:t xml:space="preserve">措施内容详细程度和可行性较强，科学合理性较强的得3分；</w:t>
            </w:r>
            <w:r/>
          </w:p>
          <w:p>
            <w:pPr>
              <w:numPr>
                <w:ilvl w:val="0"/>
                <w:numId w:val="17"/>
              </w:numPr>
              <w:ind w:firstLine="420"/>
              <w:rPr>
                <w:rFonts w:hAnsi="Calibri" w:cs="Calibri"/>
                <w:color w:val="auto"/>
                <w:szCs w:val="21"/>
                <w:highlight w:val="none"/>
              </w:rPr>
            </w:pPr>
            <w:r>
              <w:rPr>
                <w:rFonts w:hAnsi="Calibri" w:cs="Calibri"/>
                <w:color w:val="auto"/>
                <w:szCs w:val="21"/>
                <w:highlight w:val="none"/>
              </w:rPr>
              <w:t xml:space="preserve">措施内容详细程度和可行性欠缺，科学合理性</w:t>
            </w:r>
            <w:r>
              <w:rPr>
                <w:rFonts w:hint="eastAsia" w:hAnsi="Calibri" w:cs="Calibri"/>
                <w:color w:val="auto"/>
                <w:szCs w:val="21"/>
                <w:highlight w:val="none"/>
                <w:lang w:val="en-US" w:eastAsia="zh-CN"/>
              </w:rPr>
              <w:t xml:space="preserve">有欠缺</w:t>
            </w:r>
            <w:r>
              <w:rPr>
                <w:rFonts w:hAnsi="Calibri" w:cs="Calibri"/>
                <w:color w:val="auto"/>
                <w:szCs w:val="21"/>
                <w:highlight w:val="none"/>
              </w:rPr>
              <w:t xml:space="preserve">的得1分；</w:t>
            </w:r>
            <w:r/>
          </w:p>
          <w:p>
            <w:pPr>
              <w:numPr>
                <w:ilvl w:val="0"/>
                <w:numId w:val="17"/>
              </w:numPr>
              <w:ind w:firstLine="420"/>
              <w:rPr>
                <w:color w:val="auto"/>
                <w:szCs w:val="21"/>
                <w:highlight w:val="none"/>
              </w:rPr>
            </w:pPr>
            <w:r>
              <w:rPr>
                <w:rFonts w:hAnsi="Calibri" w:cs="Calibri"/>
                <w:color w:val="auto"/>
                <w:szCs w:val="21"/>
                <w:highlight w:val="none"/>
              </w:rPr>
              <w:t xml:space="preserve">不提供不得分。</w:t>
            </w:r>
            <w:r/>
          </w:p>
        </w:tc>
        <w:tc>
          <w:tcPr>
            <w:tcW w:w="540" w:type="dxa"/>
            <w:vAlign w:val="center"/>
            <w:textDirection w:val="lrTb"/>
            <w:noWrap w:val="false"/>
          </w:tcPr>
          <w:p>
            <w:pPr>
              <w:jc w:val="center"/>
              <w:rPr>
                <w:color w:val="auto"/>
                <w:szCs w:val="21"/>
                <w:highlight w:val="none"/>
              </w:rPr>
            </w:pPr>
            <w:r>
              <w:rPr>
                <w:rFonts w:hAnsi="Calibri" w:cs="Calibri"/>
                <w:color w:val="auto"/>
                <w:highlight w:val="none"/>
              </w:rPr>
              <w:t xml:space="preserve">5</w:t>
            </w:r>
            <w:r/>
          </w:p>
        </w:tc>
      </w:tr>
      <w:tr>
        <w:trPr>
          <w:jc w:val="center"/>
          <w:trHeight w:val="1567"/>
        </w:trPr>
        <w:tc>
          <w:tcPr>
            <w:tcW w:w="1113" w:type="dxa"/>
            <w:vAlign w:val="center"/>
            <w:vMerge w:val="continue"/>
            <w:textDirection w:val="lrTb"/>
            <w:noWrap w:val="false"/>
          </w:tcPr>
          <w:p>
            <w:pPr>
              <w:jc w:val="center"/>
              <w:rPr>
                <w:b/>
                <w:bCs/>
                <w:color w:val="auto"/>
                <w:szCs w:val="21"/>
                <w:highlight w:val="none"/>
              </w:rPr>
            </w:pPr>
            <w:r>
              <w:rPr>
                <w:b/>
                <w:bCs/>
                <w:color w:val="auto"/>
                <w:szCs w:val="21"/>
                <w:highlight w:val="none"/>
              </w:rPr>
            </w:r>
            <w:r/>
          </w:p>
        </w:tc>
        <w:tc>
          <w:tcPr>
            <w:tcW w:w="1407" w:type="dxa"/>
            <w:vAlign w:val="center"/>
            <w:textDirection w:val="lrTb"/>
            <w:noWrap w:val="false"/>
          </w:tcPr>
          <w:p>
            <w:pPr>
              <w:jc w:val="center"/>
              <w:rPr>
                <w:color w:val="auto"/>
                <w:szCs w:val="21"/>
                <w:highlight w:val="none"/>
              </w:rPr>
            </w:pPr>
            <w:r>
              <w:rPr>
                <w:rFonts w:hint="eastAsia" w:hAnsi="Calibri" w:cs="Calibri"/>
                <w:color w:val="auto"/>
                <w:highlight w:val="none"/>
                <w:lang w:val="en-US" w:eastAsia="zh-CN"/>
              </w:rPr>
              <w:t xml:space="preserve">8、</w:t>
            </w:r>
            <w:r>
              <w:rPr>
                <w:rFonts w:hAnsi="Calibri" w:cs="Calibri"/>
                <w:color w:val="auto"/>
                <w:highlight w:val="none"/>
              </w:rPr>
              <w:t xml:space="preserve">安全文明措施、出现常规质量问题、突发事件的应急措施方案比较</w:t>
            </w:r>
            <w:r/>
          </w:p>
        </w:tc>
        <w:tc>
          <w:tcPr>
            <w:tcW w:w="7301" w:type="dxa"/>
            <w:textDirection w:val="lrTb"/>
            <w:noWrap w:val="false"/>
          </w:tcPr>
          <w:p>
            <w:pPr>
              <w:rPr>
                <w:rFonts w:hAnsi="Calibri" w:cs="Calibri"/>
                <w:color w:val="auto"/>
                <w:szCs w:val="21"/>
                <w:highlight w:val="none"/>
              </w:rPr>
            </w:pPr>
            <w:r>
              <w:rPr>
                <w:rFonts w:hAnsi="Calibri" w:cs="Calibri"/>
                <w:color w:val="auto"/>
                <w:szCs w:val="21"/>
                <w:highlight w:val="none"/>
              </w:rPr>
              <w:t xml:space="preserve">投标单位针对本项目安全文明措施、出现常规质量问题、突发事件的应急措施方案等各方面比较综合评分：</w:t>
            </w:r>
            <w:r/>
          </w:p>
          <w:p>
            <w:pPr>
              <w:numPr>
                <w:ilvl w:val="0"/>
                <w:numId w:val="18"/>
              </w:numPr>
              <w:ind w:firstLine="420"/>
              <w:rPr>
                <w:rFonts w:hAnsi="Calibri" w:cs="Calibri"/>
                <w:color w:val="auto"/>
                <w:szCs w:val="21"/>
                <w:highlight w:val="none"/>
              </w:rPr>
            </w:pPr>
            <w:r>
              <w:rPr>
                <w:rFonts w:hAnsi="Calibri" w:cs="Calibri"/>
                <w:color w:val="auto"/>
                <w:szCs w:val="21"/>
                <w:highlight w:val="none"/>
              </w:rPr>
              <w:t xml:space="preserve">针对本方案措施可行性强，科学合理性强的得</w:t>
            </w:r>
            <w:r>
              <w:rPr>
                <w:rFonts w:hint="eastAsia" w:hAnsi="Calibri" w:cs="Calibri"/>
                <w:color w:val="auto"/>
                <w:szCs w:val="21"/>
                <w:highlight w:val="none"/>
                <w:lang w:val="en-US" w:eastAsia="zh-CN"/>
              </w:rPr>
              <w:t xml:space="preserve">5</w:t>
            </w:r>
            <w:r>
              <w:rPr>
                <w:rFonts w:hAnsi="Calibri" w:cs="Calibri"/>
                <w:color w:val="auto"/>
                <w:szCs w:val="21"/>
                <w:highlight w:val="none"/>
              </w:rPr>
              <w:t xml:space="preserve">分；</w:t>
            </w:r>
            <w:r/>
          </w:p>
          <w:p>
            <w:pPr>
              <w:numPr>
                <w:ilvl w:val="0"/>
                <w:numId w:val="18"/>
              </w:numPr>
              <w:ind w:firstLine="420"/>
              <w:rPr>
                <w:rFonts w:hAnsi="Calibri" w:cs="Calibri"/>
                <w:color w:val="auto"/>
                <w:szCs w:val="21"/>
                <w:highlight w:val="none"/>
              </w:rPr>
            </w:pPr>
            <w:r>
              <w:rPr>
                <w:rFonts w:hAnsi="Calibri" w:cs="Calibri"/>
                <w:color w:val="auto"/>
                <w:szCs w:val="21"/>
                <w:highlight w:val="none"/>
              </w:rPr>
              <w:t xml:space="preserve">措施内容详细程度和可行性较强，科学合理性较强的得</w:t>
            </w:r>
            <w:r>
              <w:rPr>
                <w:rFonts w:hint="eastAsia" w:hAnsi="Calibri" w:cs="Calibri"/>
                <w:color w:val="auto"/>
                <w:szCs w:val="21"/>
                <w:highlight w:val="none"/>
                <w:lang w:val="en-US" w:eastAsia="zh-CN"/>
              </w:rPr>
              <w:t xml:space="preserve">3</w:t>
            </w:r>
            <w:r>
              <w:rPr>
                <w:rFonts w:hAnsi="Calibri" w:cs="Calibri"/>
                <w:color w:val="auto"/>
                <w:szCs w:val="21"/>
                <w:highlight w:val="none"/>
              </w:rPr>
              <w:t xml:space="preserve">分；</w:t>
            </w:r>
            <w:r/>
          </w:p>
          <w:p>
            <w:pPr>
              <w:numPr>
                <w:ilvl w:val="0"/>
                <w:numId w:val="18"/>
              </w:numPr>
              <w:ind w:firstLine="420"/>
              <w:rPr>
                <w:rFonts w:hAnsi="Calibri" w:cs="Calibri"/>
                <w:color w:val="auto"/>
                <w:szCs w:val="21"/>
                <w:highlight w:val="none"/>
              </w:rPr>
            </w:pPr>
            <w:r>
              <w:rPr>
                <w:rFonts w:hAnsi="Calibri" w:cs="Calibri"/>
                <w:color w:val="auto"/>
                <w:szCs w:val="21"/>
                <w:highlight w:val="none"/>
              </w:rPr>
              <w:t xml:space="preserve">措施内容详细程度和可行性欠缺，科学合理性</w:t>
            </w:r>
            <w:r>
              <w:rPr>
                <w:rFonts w:hint="eastAsia" w:hAnsi="Calibri" w:cs="Calibri"/>
                <w:color w:val="auto"/>
                <w:szCs w:val="21"/>
                <w:highlight w:val="none"/>
                <w:lang w:val="en-US" w:eastAsia="zh-CN"/>
              </w:rPr>
              <w:t xml:space="preserve">有欠缺</w:t>
            </w:r>
            <w:r>
              <w:rPr>
                <w:rFonts w:hAnsi="Calibri" w:cs="Calibri"/>
                <w:color w:val="auto"/>
                <w:szCs w:val="21"/>
                <w:highlight w:val="none"/>
              </w:rPr>
              <w:t xml:space="preserve">的得1分；</w:t>
            </w:r>
            <w:r/>
          </w:p>
          <w:p>
            <w:pPr>
              <w:numPr>
                <w:ilvl w:val="0"/>
                <w:numId w:val="18"/>
              </w:numPr>
              <w:ind w:firstLine="420"/>
              <w:rPr>
                <w:color w:val="auto"/>
                <w:szCs w:val="21"/>
                <w:highlight w:val="none"/>
              </w:rPr>
            </w:pPr>
            <w:r>
              <w:rPr>
                <w:rFonts w:hAnsi="Calibri" w:cs="Calibri"/>
                <w:color w:val="auto"/>
                <w:szCs w:val="21"/>
                <w:highlight w:val="none"/>
              </w:rPr>
              <w:t xml:space="preserve">不提供不得分。</w:t>
            </w:r>
            <w:r/>
          </w:p>
        </w:tc>
        <w:tc>
          <w:tcPr>
            <w:tcW w:w="540" w:type="dxa"/>
            <w:vAlign w:val="center"/>
            <w:textDirection w:val="lrTb"/>
            <w:noWrap w:val="false"/>
          </w:tcPr>
          <w:p>
            <w:pPr>
              <w:jc w:val="center"/>
              <w:rPr>
                <w:rFonts w:hint="eastAsia" w:eastAsia="宋体"/>
                <w:color w:val="auto"/>
                <w:szCs w:val="21"/>
                <w:highlight w:val="none"/>
                <w:lang w:eastAsia="zh-CN"/>
              </w:rPr>
            </w:pPr>
            <w:r>
              <w:rPr>
                <w:rFonts w:hint="eastAsia" w:hAnsi="Calibri" w:cs="Calibri"/>
                <w:color w:val="auto"/>
                <w:highlight w:val="none"/>
                <w:lang w:val="en-US" w:eastAsia="zh-CN"/>
              </w:rPr>
              <w:t xml:space="preserve">5</w:t>
            </w:r>
            <w:r/>
          </w:p>
        </w:tc>
      </w:tr>
      <w:tr>
        <w:trPr>
          <w:jc w:val="center"/>
          <w:trHeight w:val="1567"/>
        </w:trPr>
        <w:tc>
          <w:tcPr>
            <w:tcW w:w="1113" w:type="dxa"/>
            <w:vAlign w:val="center"/>
            <w:vMerge w:val="continue"/>
            <w:textDirection w:val="lrTb"/>
            <w:noWrap w:val="false"/>
          </w:tcPr>
          <w:p>
            <w:pPr>
              <w:jc w:val="center"/>
              <w:rPr>
                <w:b/>
                <w:bCs/>
                <w:color w:val="auto"/>
                <w:szCs w:val="21"/>
                <w:highlight w:val="none"/>
              </w:rPr>
            </w:pPr>
            <w:r>
              <w:rPr>
                <w:b/>
                <w:bCs/>
                <w:color w:val="auto"/>
                <w:szCs w:val="21"/>
                <w:highlight w:val="none"/>
              </w:rPr>
            </w:r>
            <w:r/>
          </w:p>
        </w:tc>
        <w:tc>
          <w:tcPr>
            <w:tcW w:w="1407" w:type="dxa"/>
            <w:vAlign w:val="center"/>
            <w:textDirection w:val="lrTb"/>
            <w:noWrap w:val="false"/>
          </w:tcPr>
          <w:p>
            <w:pPr>
              <w:jc w:val="center"/>
              <w:rPr>
                <w:color w:val="auto"/>
                <w:szCs w:val="21"/>
                <w:highlight w:val="none"/>
              </w:rPr>
            </w:pPr>
            <w:r>
              <w:rPr>
                <w:rFonts w:hint="eastAsia" w:hAnsi="Calibri" w:cs="Calibri"/>
                <w:color w:val="auto"/>
                <w:highlight w:val="none"/>
                <w:lang w:val="en-US" w:eastAsia="zh-CN"/>
              </w:rPr>
              <w:t xml:space="preserve">9、</w:t>
            </w:r>
            <w:r>
              <w:rPr>
                <w:rFonts w:hAnsi="Calibri" w:cs="Calibri"/>
                <w:color w:val="auto"/>
                <w:highlight w:val="none"/>
              </w:rPr>
              <w:t xml:space="preserve">设备工艺技术比较</w:t>
            </w:r>
            <w:r/>
          </w:p>
        </w:tc>
        <w:tc>
          <w:tcPr>
            <w:tcW w:w="7301" w:type="dxa"/>
            <w:textDirection w:val="lrTb"/>
            <w:noWrap w:val="false"/>
          </w:tcPr>
          <w:p>
            <w:pPr>
              <w:rPr>
                <w:rFonts w:hAnsi="Calibri" w:cs="Calibri"/>
                <w:b/>
                <w:bCs/>
                <w:color w:val="auto"/>
                <w:szCs w:val="21"/>
                <w:highlight w:val="none"/>
              </w:rPr>
            </w:pPr>
            <w:r>
              <w:rPr>
                <w:rFonts w:hAnsi="Calibri" w:cs="Calibri"/>
                <w:b/>
                <w:bCs/>
                <w:color w:val="auto"/>
                <w:szCs w:val="21"/>
                <w:highlight w:val="none"/>
              </w:rPr>
              <w:t xml:space="preserve">(1)</w:t>
            </w:r>
            <w:r>
              <w:rPr>
                <w:rFonts w:hint="eastAsia" w:hAnsi="Calibri" w:cs="Calibri"/>
                <w:b/>
                <w:bCs/>
                <w:color w:val="auto"/>
                <w:szCs w:val="21"/>
                <w:highlight w:val="none"/>
              </w:rPr>
              <w:t xml:space="preserve">燃气双眼大锅灶</w:t>
            </w:r>
            <w:r>
              <w:rPr>
                <w:rFonts w:hAnsi="Calibri" w:cs="Calibri"/>
                <w:b/>
                <w:bCs/>
                <w:color w:val="auto"/>
                <w:szCs w:val="21"/>
                <w:highlight w:val="none"/>
              </w:rPr>
              <w:t xml:space="preserve">工艺技术方案综合比较：</w:t>
            </w:r>
            <w:r/>
          </w:p>
          <w:p>
            <w:pPr>
              <w:rPr>
                <w:rFonts w:hAnsi="Calibri" w:cs="Calibri"/>
                <w:color w:val="auto"/>
                <w:szCs w:val="21"/>
                <w:highlight w:val="none"/>
              </w:rPr>
            </w:pPr>
            <w:r>
              <w:rPr>
                <w:rFonts w:hAnsi="Calibri" w:cs="Calibri"/>
                <w:color w:val="auto"/>
                <w:szCs w:val="21"/>
                <w:highlight w:val="none"/>
              </w:rPr>
              <w:t xml:space="preserve">工艺技术方案包括：①产品图纸</w:t>
            </w:r>
            <w:r>
              <w:rPr>
                <w:rFonts w:hint="eastAsia" w:hAnsi="Calibri" w:cs="Calibri"/>
                <w:color w:val="auto"/>
                <w:szCs w:val="21"/>
                <w:highlight w:val="none"/>
              </w:rPr>
              <w:t xml:space="preserve">或产品说明书</w:t>
            </w:r>
            <w:r>
              <w:rPr>
                <w:rFonts w:hAnsi="Calibri" w:cs="Calibri"/>
                <w:color w:val="auto"/>
                <w:szCs w:val="21"/>
                <w:highlight w:val="none"/>
              </w:rPr>
              <w:t xml:space="preserve">；②产品的工艺及零部件选型(工艺技术、生产方法、工艺流程等方案及主要零部件选型分析说明)；</w:t>
            </w:r>
            <w:r/>
          </w:p>
          <w:p>
            <w:pPr>
              <w:numPr>
                <w:ilvl w:val="0"/>
                <w:numId w:val="19"/>
              </w:numPr>
              <w:rPr>
                <w:rFonts w:hAnsi="Calibri" w:cs="Calibri"/>
                <w:color w:val="auto"/>
                <w:szCs w:val="21"/>
                <w:highlight w:val="none"/>
              </w:rPr>
            </w:pPr>
            <w:r>
              <w:rPr>
                <w:rFonts w:hAnsi="Calibri" w:cs="Calibri"/>
                <w:color w:val="auto"/>
                <w:szCs w:val="21"/>
                <w:highlight w:val="none"/>
              </w:rPr>
              <w:t xml:space="preserve">产品图纸</w:t>
            </w:r>
            <w:r>
              <w:rPr>
                <w:rFonts w:hint="eastAsia" w:hAnsi="Calibri" w:cs="Calibri"/>
                <w:color w:val="auto"/>
                <w:szCs w:val="21"/>
                <w:highlight w:val="none"/>
              </w:rPr>
              <w:t xml:space="preserve">或产品说明书</w:t>
            </w:r>
            <w:r>
              <w:rPr>
                <w:rFonts w:hAnsi="Calibri" w:cs="Calibri"/>
                <w:color w:val="auto"/>
                <w:szCs w:val="21"/>
                <w:highlight w:val="none"/>
              </w:rPr>
              <w:t xml:space="preserve">内容完整、工艺技术方案全面完善、科学合理、针对性强的得2分；</w:t>
            </w:r>
            <w:r/>
          </w:p>
          <w:p>
            <w:pPr>
              <w:numPr>
                <w:ilvl w:val="0"/>
                <w:numId w:val="19"/>
              </w:numPr>
              <w:rPr>
                <w:rFonts w:hAnsi="Calibri" w:cs="Calibri"/>
                <w:color w:val="auto"/>
                <w:szCs w:val="21"/>
                <w:highlight w:val="none"/>
              </w:rPr>
            </w:pPr>
            <w:r>
              <w:rPr>
                <w:rFonts w:hAnsi="Calibri" w:cs="Calibri"/>
                <w:color w:val="auto"/>
                <w:szCs w:val="21"/>
                <w:highlight w:val="none"/>
              </w:rPr>
              <w:t xml:space="preserve">产品图纸</w:t>
            </w:r>
            <w:r>
              <w:rPr>
                <w:rFonts w:hint="eastAsia" w:hAnsi="Calibri" w:cs="Calibri"/>
                <w:color w:val="auto"/>
                <w:szCs w:val="21"/>
                <w:highlight w:val="none"/>
              </w:rPr>
              <w:t xml:space="preserve">或产品说明书</w:t>
            </w:r>
            <w:r>
              <w:rPr>
                <w:rFonts w:hAnsi="Calibri" w:cs="Calibri"/>
                <w:color w:val="auto"/>
                <w:szCs w:val="21"/>
                <w:highlight w:val="none"/>
              </w:rPr>
              <w:t xml:space="preserve">内容较完整、工艺技术方案较为完善、有合理性的得1分；</w:t>
            </w:r>
            <w:r/>
          </w:p>
          <w:p>
            <w:pPr>
              <w:numPr>
                <w:ilvl w:val="0"/>
                <w:numId w:val="19"/>
              </w:numPr>
              <w:rPr>
                <w:rFonts w:hAnsi="Calibri" w:cs="Calibri"/>
                <w:color w:val="auto"/>
                <w:szCs w:val="21"/>
                <w:highlight w:val="none"/>
              </w:rPr>
            </w:pPr>
            <w:r>
              <w:rPr>
                <w:rFonts w:hAnsi="Calibri" w:cs="Calibri"/>
                <w:color w:val="auto"/>
                <w:szCs w:val="21"/>
                <w:highlight w:val="none"/>
              </w:rPr>
              <w:t xml:space="preserve">产品图纸</w:t>
            </w:r>
            <w:r>
              <w:rPr>
                <w:rFonts w:hint="eastAsia" w:hAnsi="Calibri" w:cs="Calibri"/>
                <w:color w:val="auto"/>
                <w:szCs w:val="21"/>
                <w:highlight w:val="none"/>
              </w:rPr>
              <w:t xml:space="preserve">或产品说明书</w:t>
            </w:r>
            <w:r>
              <w:rPr>
                <w:rFonts w:hAnsi="Calibri" w:cs="Calibri"/>
                <w:color w:val="auto"/>
                <w:szCs w:val="21"/>
                <w:highlight w:val="none"/>
              </w:rPr>
              <w:t xml:space="preserve">内容不够完整、工艺技术方案简单、不够详细、合理性不高的得0.5分；</w:t>
            </w:r>
            <w:r/>
          </w:p>
          <w:p>
            <w:pPr>
              <w:numPr>
                <w:ilvl w:val="0"/>
                <w:numId w:val="19"/>
              </w:numPr>
              <w:rPr>
                <w:rFonts w:hAnsi="Calibri" w:cs="Calibri"/>
                <w:color w:val="auto"/>
                <w:szCs w:val="21"/>
                <w:highlight w:val="none"/>
              </w:rPr>
            </w:pPr>
            <w:r>
              <w:rPr>
                <w:rFonts w:hAnsi="Calibri" w:cs="Calibri"/>
                <w:color w:val="auto"/>
                <w:szCs w:val="21"/>
                <w:highlight w:val="none"/>
              </w:rPr>
              <w:t xml:space="preserve">不提供的不得分。</w:t>
            </w:r>
            <w:r/>
          </w:p>
          <w:p>
            <w:pPr>
              <w:rPr>
                <w:rFonts w:hAnsi="Calibri" w:cs="Calibri"/>
                <w:b/>
                <w:bCs/>
                <w:color w:val="auto"/>
                <w:szCs w:val="21"/>
                <w:highlight w:val="none"/>
              </w:rPr>
            </w:pPr>
            <w:r>
              <w:rPr>
                <w:rFonts w:hAnsi="Calibri" w:cs="Calibri"/>
                <w:b/>
                <w:bCs/>
                <w:color w:val="auto"/>
                <w:szCs w:val="21"/>
                <w:highlight w:val="none"/>
              </w:rPr>
              <w:t xml:space="preserve">(2)</w:t>
            </w:r>
            <w:r>
              <w:rPr>
                <w:rFonts w:hint="eastAsia" w:hAnsi="Calibri" w:cs="Calibri"/>
                <w:b/>
                <w:bCs/>
                <w:color w:val="auto"/>
                <w:szCs w:val="21"/>
                <w:highlight w:val="none"/>
              </w:rPr>
              <w:t xml:space="preserve">定制双门电加热饭车</w:t>
            </w:r>
            <w:r>
              <w:rPr>
                <w:rFonts w:hAnsi="Calibri" w:cs="Calibri"/>
                <w:b/>
                <w:bCs/>
                <w:color w:val="auto"/>
                <w:szCs w:val="21"/>
                <w:highlight w:val="none"/>
              </w:rPr>
              <w:t xml:space="preserve">工艺技术方案综合比较：</w:t>
            </w:r>
            <w:r/>
          </w:p>
          <w:p>
            <w:pPr>
              <w:rPr>
                <w:rFonts w:hAnsi="Calibri" w:cs="Calibri"/>
                <w:color w:val="auto"/>
                <w:szCs w:val="21"/>
                <w:highlight w:val="none"/>
              </w:rPr>
            </w:pPr>
            <w:r>
              <w:rPr>
                <w:rFonts w:hAnsi="Calibri" w:cs="Calibri"/>
                <w:color w:val="auto"/>
                <w:szCs w:val="21"/>
                <w:highlight w:val="none"/>
              </w:rPr>
              <w:t xml:space="preserve">工艺技术方案包括：①产品图纸</w:t>
            </w:r>
            <w:r>
              <w:rPr>
                <w:rFonts w:hint="eastAsia" w:hAnsi="Calibri" w:cs="Calibri"/>
                <w:color w:val="auto"/>
                <w:szCs w:val="21"/>
                <w:highlight w:val="none"/>
              </w:rPr>
              <w:t xml:space="preserve">或产品说明书</w:t>
            </w:r>
            <w:r>
              <w:rPr>
                <w:rFonts w:hAnsi="Calibri" w:cs="Calibri"/>
                <w:color w:val="auto"/>
                <w:szCs w:val="21"/>
                <w:highlight w:val="none"/>
              </w:rPr>
              <w:t xml:space="preserve">；②产品的工艺及零部件选型(工艺技术、生产方法、工艺流程等方案及主要零部件选型分析说明)；</w:t>
            </w:r>
            <w:r/>
          </w:p>
          <w:p>
            <w:pPr>
              <w:numPr>
                <w:ilvl w:val="0"/>
                <w:numId w:val="20"/>
              </w:numPr>
              <w:rPr>
                <w:rFonts w:hAnsi="Calibri" w:cs="Calibri"/>
                <w:color w:val="auto"/>
                <w:szCs w:val="21"/>
                <w:highlight w:val="none"/>
              </w:rPr>
            </w:pPr>
            <w:r>
              <w:rPr>
                <w:rFonts w:hAnsi="Calibri" w:cs="Calibri"/>
                <w:color w:val="auto"/>
                <w:szCs w:val="21"/>
                <w:highlight w:val="none"/>
              </w:rPr>
              <w:t xml:space="preserve">产品图纸</w:t>
            </w:r>
            <w:r>
              <w:rPr>
                <w:rFonts w:hint="eastAsia" w:hAnsi="Calibri" w:cs="Calibri"/>
                <w:color w:val="auto"/>
                <w:szCs w:val="21"/>
                <w:highlight w:val="none"/>
              </w:rPr>
              <w:t xml:space="preserve">或产品说明书</w:t>
            </w:r>
            <w:r>
              <w:rPr>
                <w:rFonts w:hAnsi="Calibri" w:cs="Calibri"/>
                <w:color w:val="auto"/>
                <w:szCs w:val="21"/>
                <w:highlight w:val="none"/>
              </w:rPr>
              <w:t xml:space="preserve">内容完整、工艺技术方案全面完善、科学合理、针对性强的得2分；</w:t>
            </w:r>
            <w:r/>
          </w:p>
          <w:p>
            <w:pPr>
              <w:numPr>
                <w:ilvl w:val="0"/>
                <w:numId w:val="20"/>
              </w:numPr>
              <w:rPr>
                <w:rFonts w:hAnsi="Calibri" w:cs="Calibri"/>
                <w:color w:val="auto"/>
                <w:szCs w:val="21"/>
                <w:highlight w:val="none"/>
              </w:rPr>
            </w:pPr>
            <w:r>
              <w:rPr>
                <w:rFonts w:hAnsi="Calibri" w:cs="Calibri"/>
                <w:color w:val="auto"/>
                <w:szCs w:val="21"/>
                <w:highlight w:val="none"/>
              </w:rPr>
              <w:t xml:space="preserve">产品图纸</w:t>
            </w:r>
            <w:r>
              <w:rPr>
                <w:rFonts w:hint="eastAsia" w:hAnsi="Calibri" w:cs="Calibri"/>
                <w:color w:val="auto"/>
                <w:szCs w:val="21"/>
                <w:highlight w:val="none"/>
              </w:rPr>
              <w:t xml:space="preserve">或产品说明书</w:t>
            </w:r>
            <w:r>
              <w:rPr>
                <w:rFonts w:hAnsi="Calibri" w:cs="Calibri"/>
                <w:color w:val="auto"/>
                <w:szCs w:val="21"/>
                <w:highlight w:val="none"/>
              </w:rPr>
              <w:t xml:space="preserve">内容较完整、工艺技术方案较为完善、有合理性的得1分；</w:t>
            </w:r>
            <w:r/>
          </w:p>
          <w:p>
            <w:pPr>
              <w:numPr>
                <w:ilvl w:val="0"/>
                <w:numId w:val="20"/>
              </w:numPr>
              <w:rPr>
                <w:rFonts w:hAnsi="Calibri" w:cs="Calibri"/>
                <w:color w:val="auto"/>
                <w:szCs w:val="21"/>
                <w:highlight w:val="none"/>
              </w:rPr>
            </w:pPr>
            <w:r>
              <w:rPr>
                <w:rFonts w:hAnsi="Calibri" w:cs="Calibri"/>
                <w:color w:val="auto"/>
                <w:szCs w:val="21"/>
                <w:highlight w:val="none"/>
              </w:rPr>
              <w:t xml:space="preserve">产品图纸</w:t>
            </w:r>
            <w:r>
              <w:rPr>
                <w:rFonts w:hint="eastAsia" w:hAnsi="Calibri" w:cs="Calibri"/>
                <w:color w:val="auto"/>
                <w:szCs w:val="21"/>
                <w:highlight w:val="none"/>
              </w:rPr>
              <w:t xml:space="preserve">或产品说明书</w:t>
            </w:r>
            <w:r>
              <w:rPr>
                <w:rFonts w:hAnsi="Calibri" w:cs="Calibri"/>
                <w:color w:val="auto"/>
                <w:szCs w:val="21"/>
                <w:highlight w:val="none"/>
              </w:rPr>
              <w:t xml:space="preserve">内容不够完整、工艺技术方案简单、不够详细、合理性不高的得0.5分；</w:t>
            </w:r>
            <w:r/>
          </w:p>
          <w:p>
            <w:pPr>
              <w:numPr>
                <w:ilvl w:val="0"/>
                <w:numId w:val="20"/>
              </w:numPr>
              <w:rPr>
                <w:rFonts w:hAnsi="Calibri" w:cs="Calibri"/>
                <w:color w:val="auto"/>
                <w:szCs w:val="21"/>
                <w:highlight w:val="none"/>
              </w:rPr>
            </w:pPr>
            <w:r>
              <w:rPr>
                <w:rFonts w:hAnsi="Calibri" w:cs="Calibri"/>
                <w:color w:val="auto"/>
                <w:szCs w:val="21"/>
                <w:highlight w:val="none"/>
              </w:rPr>
              <w:t xml:space="preserve">不提供的不得分。</w:t>
            </w:r>
            <w:r/>
          </w:p>
          <w:p>
            <w:pPr>
              <w:rPr>
                <w:rFonts w:hAnsi="Calibri" w:cs="Calibri"/>
                <w:b/>
                <w:bCs/>
                <w:color w:val="auto"/>
                <w:szCs w:val="21"/>
                <w:highlight w:val="none"/>
              </w:rPr>
            </w:pPr>
            <w:r>
              <w:rPr>
                <w:rFonts w:hAnsi="Calibri" w:cs="Calibri"/>
                <w:b/>
                <w:bCs/>
                <w:color w:val="auto"/>
                <w:szCs w:val="21"/>
                <w:highlight w:val="none"/>
              </w:rPr>
              <w:t xml:space="preserve">(3)</w:t>
            </w:r>
            <w:r>
              <w:rPr>
                <w:rFonts w:hint="eastAsia" w:hAnsi="Calibri" w:cs="Calibri"/>
                <w:b/>
                <w:bCs/>
                <w:color w:val="auto"/>
                <w:szCs w:val="21"/>
                <w:highlight w:val="none"/>
              </w:rPr>
              <w:t xml:space="preserve">四格保温台</w:t>
            </w:r>
            <w:r>
              <w:rPr>
                <w:rFonts w:hAnsi="Calibri" w:cs="Calibri"/>
                <w:b/>
                <w:bCs/>
                <w:color w:val="auto"/>
                <w:szCs w:val="21"/>
                <w:highlight w:val="none"/>
              </w:rPr>
              <w:t xml:space="preserve">技术方案综合比较：</w:t>
            </w:r>
            <w:r/>
          </w:p>
          <w:p>
            <w:pPr>
              <w:rPr>
                <w:rFonts w:hAnsi="Calibri" w:cs="Calibri"/>
                <w:color w:val="auto"/>
                <w:szCs w:val="21"/>
                <w:highlight w:val="none"/>
              </w:rPr>
            </w:pPr>
            <w:r>
              <w:rPr>
                <w:rFonts w:hAnsi="Calibri" w:cs="Calibri"/>
                <w:color w:val="auto"/>
                <w:szCs w:val="21"/>
                <w:highlight w:val="none"/>
              </w:rPr>
              <w:t xml:space="preserve">工艺技术方案包括：①产品图纸</w:t>
            </w:r>
            <w:r>
              <w:rPr>
                <w:rFonts w:hint="eastAsia" w:hAnsi="Calibri" w:cs="Calibri"/>
                <w:color w:val="auto"/>
                <w:szCs w:val="21"/>
                <w:highlight w:val="none"/>
              </w:rPr>
              <w:t xml:space="preserve">或产品说明书</w:t>
            </w:r>
            <w:r>
              <w:rPr>
                <w:rFonts w:hAnsi="Calibri" w:cs="Calibri"/>
                <w:color w:val="auto"/>
                <w:szCs w:val="21"/>
                <w:highlight w:val="none"/>
              </w:rPr>
              <w:t xml:space="preserve">；②产品的工艺及零部件选型(工艺技术、生产方法、工艺流程等方案及主要零部件选型分析说明)；</w:t>
            </w:r>
            <w:r/>
          </w:p>
          <w:p>
            <w:pPr>
              <w:numPr>
                <w:ilvl w:val="0"/>
                <w:numId w:val="21"/>
              </w:numPr>
              <w:rPr>
                <w:rFonts w:hAnsi="Calibri" w:cs="Calibri"/>
                <w:color w:val="auto"/>
                <w:szCs w:val="21"/>
                <w:highlight w:val="none"/>
              </w:rPr>
            </w:pPr>
            <w:r>
              <w:rPr>
                <w:rFonts w:hAnsi="Calibri" w:cs="Calibri"/>
                <w:color w:val="auto"/>
                <w:szCs w:val="21"/>
                <w:highlight w:val="none"/>
              </w:rPr>
              <w:t xml:space="preserve">产品图纸</w:t>
            </w:r>
            <w:r>
              <w:rPr>
                <w:rFonts w:hint="eastAsia" w:hAnsi="Calibri" w:cs="Calibri"/>
                <w:color w:val="auto"/>
                <w:szCs w:val="21"/>
                <w:highlight w:val="none"/>
              </w:rPr>
              <w:t xml:space="preserve">或产品说明书</w:t>
            </w:r>
            <w:r>
              <w:rPr>
                <w:rFonts w:hAnsi="Calibri" w:cs="Calibri"/>
                <w:color w:val="auto"/>
                <w:szCs w:val="21"/>
                <w:highlight w:val="none"/>
              </w:rPr>
              <w:t xml:space="preserve">内容完整、工艺技术方案全面完善、科学合理、针对性强的得2分；</w:t>
            </w:r>
            <w:r/>
          </w:p>
          <w:p>
            <w:pPr>
              <w:numPr>
                <w:ilvl w:val="0"/>
                <w:numId w:val="21"/>
              </w:numPr>
              <w:rPr>
                <w:rFonts w:hAnsi="Calibri" w:cs="Calibri"/>
                <w:color w:val="auto"/>
                <w:szCs w:val="21"/>
                <w:highlight w:val="none"/>
              </w:rPr>
            </w:pPr>
            <w:r>
              <w:rPr>
                <w:rFonts w:hAnsi="Calibri" w:cs="Calibri"/>
                <w:color w:val="auto"/>
                <w:szCs w:val="21"/>
                <w:highlight w:val="none"/>
              </w:rPr>
              <w:t xml:space="preserve">产品图纸</w:t>
            </w:r>
            <w:r>
              <w:rPr>
                <w:rFonts w:hint="eastAsia" w:hAnsi="Calibri" w:cs="Calibri"/>
                <w:color w:val="auto"/>
                <w:szCs w:val="21"/>
                <w:highlight w:val="none"/>
              </w:rPr>
              <w:t xml:space="preserve">或产品说明书</w:t>
            </w:r>
            <w:r>
              <w:rPr>
                <w:rFonts w:hAnsi="Calibri" w:cs="Calibri"/>
                <w:color w:val="auto"/>
                <w:szCs w:val="21"/>
                <w:highlight w:val="none"/>
              </w:rPr>
              <w:t xml:space="preserve">内容较完整、工艺技术方案较为完善、有合理性的得1分；</w:t>
            </w:r>
            <w:r/>
          </w:p>
          <w:p>
            <w:pPr>
              <w:numPr>
                <w:ilvl w:val="0"/>
                <w:numId w:val="21"/>
              </w:numPr>
              <w:rPr>
                <w:rFonts w:hAnsi="Calibri" w:cs="Calibri"/>
                <w:color w:val="auto"/>
                <w:szCs w:val="21"/>
                <w:highlight w:val="none"/>
              </w:rPr>
            </w:pPr>
            <w:r>
              <w:rPr>
                <w:rFonts w:hAnsi="Calibri" w:cs="Calibri"/>
                <w:color w:val="auto"/>
                <w:szCs w:val="21"/>
                <w:highlight w:val="none"/>
              </w:rPr>
              <w:t xml:space="preserve">产品图纸</w:t>
            </w:r>
            <w:r>
              <w:rPr>
                <w:rFonts w:hint="eastAsia" w:hAnsi="Calibri" w:cs="Calibri"/>
                <w:color w:val="auto"/>
                <w:szCs w:val="21"/>
                <w:highlight w:val="none"/>
              </w:rPr>
              <w:t xml:space="preserve">或产品说明书</w:t>
            </w:r>
            <w:r>
              <w:rPr>
                <w:rFonts w:hAnsi="Calibri" w:cs="Calibri"/>
                <w:color w:val="auto"/>
                <w:szCs w:val="21"/>
                <w:highlight w:val="none"/>
              </w:rPr>
              <w:t xml:space="preserve">内容不够完整、工艺技术方案简单、不够详细、合理性不高的得0.5分；</w:t>
            </w:r>
            <w:r/>
          </w:p>
          <w:p>
            <w:pPr>
              <w:numPr>
                <w:ilvl w:val="0"/>
                <w:numId w:val="21"/>
              </w:numPr>
              <w:rPr>
                <w:rFonts w:hAnsi="Calibri" w:cs="Calibri"/>
                <w:color w:val="auto"/>
                <w:szCs w:val="21"/>
                <w:highlight w:val="none"/>
              </w:rPr>
            </w:pPr>
            <w:r>
              <w:rPr>
                <w:rFonts w:hAnsi="Calibri" w:cs="Calibri"/>
                <w:color w:val="auto"/>
                <w:szCs w:val="21"/>
                <w:highlight w:val="none"/>
              </w:rPr>
              <w:t xml:space="preserve">不提供的不得分。</w:t>
            </w:r>
            <w:r/>
          </w:p>
          <w:p>
            <w:pPr>
              <w:rPr>
                <w:rFonts w:hAnsi="Calibri" w:cs="Calibri"/>
                <w:b/>
                <w:bCs/>
                <w:color w:val="auto"/>
                <w:szCs w:val="21"/>
                <w:highlight w:val="none"/>
              </w:rPr>
            </w:pPr>
            <w:r>
              <w:rPr>
                <w:rFonts w:hAnsi="Calibri" w:cs="Calibri"/>
                <w:b/>
                <w:bCs/>
                <w:color w:val="auto"/>
                <w:szCs w:val="21"/>
                <w:highlight w:val="none"/>
              </w:rPr>
              <w:t xml:space="preserve">(4)</w:t>
            </w:r>
            <w:r>
              <w:rPr>
                <w:rFonts w:hint="eastAsia" w:hAnsi="Calibri" w:cs="Calibri"/>
                <w:b/>
                <w:bCs/>
                <w:color w:val="auto"/>
                <w:szCs w:val="21"/>
                <w:highlight w:val="none"/>
              </w:rPr>
              <w:t xml:space="preserve">双门热风循环消毒柜</w:t>
            </w:r>
            <w:r>
              <w:rPr>
                <w:rFonts w:hAnsi="Calibri" w:cs="Calibri"/>
                <w:b/>
                <w:bCs/>
                <w:color w:val="auto"/>
                <w:szCs w:val="21"/>
                <w:highlight w:val="none"/>
              </w:rPr>
              <w:t xml:space="preserve">工艺技术方案综合比较：</w:t>
            </w:r>
            <w:r/>
          </w:p>
          <w:p>
            <w:pPr>
              <w:rPr>
                <w:rFonts w:hAnsi="Calibri" w:cs="Calibri"/>
                <w:color w:val="auto"/>
                <w:szCs w:val="21"/>
                <w:highlight w:val="none"/>
              </w:rPr>
            </w:pPr>
            <w:r>
              <w:rPr>
                <w:rFonts w:hAnsi="Calibri" w:cs="Calibri"/>
                <w:color w:val="auto"/>
                <w:szCs w:val="21"/>
                <w:highlight w:val="none"/>
              </w:rPr>
              <w:t xml:space="preserve">工艺技术方案包括：①产品图纸</w:t>
            </w:r>
            <w:r>
              <w:rPr>
                <w:rFonts w:hint="eastAsia" w:hAnsi="Calibri" w:cs="Calibri"/>
                <w:color w:val="auto"/>
                <w:szCs w:val="21"/>
                <w:highlight w:val="none"/>
              </w:rPr>
              <w:t xml:space="preserve">或产品说明书</w:t>
            </w:r>
            <w:r>
              <w:rPr>
                <w:rFonts w:hAnsi="Calibri" w:cs="Calibri"/>
                <w:color w:val="auto"/>
                <w:szCs w:val="21"/>
                <w:highlight w:val="none"/>
              </w:rPr>
              <w:t xml:space="preserve">；②产品的工艺及零部件选型(工艺技术、生产方法、工艺流程等方案及主要零部件选型分析说明)；</w:t>
            </w:r>
            <w:r/>
          </w:p>
          <w:p>
            <w:pPr>
              <w:numPr>
                <w:ilvl w:val="0"/>
                <w:numId w:val="22"/>
              </w:numPr>
              <w:rPr>
                <w:rFonts w:hAnsi="Calibri" w:cs="Calibri"/>
                <w:color w:val="auto"/>
                <w:szCs w:val="21"/>
                <w:highlight w:val="none"/>
              </w:rPr>
            </w:pPr>
            <w:r>
              <w:rPr>
                <w:rFonts w:hAnsi="Calibri" w:cs="Calibri"/>
                <w:color w:val="auto"/>
                <w:szCs w:val="21"/>
                <w:highlight w:val="none"/>
              </w:rPr>
              <w:t xml:space="preserve">产品图纸</w:t>
            </w:r>
            <w:r>
              <w:rPr>
                <w:rFonts w:hint="eastAsia" w:hAnsi="Calibri" w:cs="Calibri"/>
                <w:color w:val="auto"/>
                <w:szCs w:val="21"/>
                <w:highlight w:val="none"/>
              </w:rPr>
              <w:t xml:space="preserve">或产品说明书</w:t>
            </w:r>
            <w:r>
              <w:rPr>
                <w:rFonts w:hAnsi="Calibri" w:cs="Calibri"/>
                <w:color w:val="auto"/>
                <w:szCs w:val="21"/>
                <w:highlight w:val="none"/>
              </w:rPr>
              <w:t xml:space="preserve">内容完整、工艺技术方案全面完善、科学合理、针对性强的得2分；</w:t>
            </w:r>
            <w:r/>
          </w:p>
          <w:p>
            <w:pPr>
              <w:numPr>
                <w:ilvl w:val="0"/>
                <w:numId w:val="22"/>
              </w:numPr>
              <w:rPr>
                <w:rFonts w:hAnsi="Calibri" w:cs="Calibri"/>
                <w:color w:val="auto"/>
                <w:szCs w:val="21"/>
                <w:highlight w:val="none"/>
              </w:rPr>
            </w:pPr>
            <w:r>
              <w:rPr>
                <w:rFonts w:hAnsi="Calibri" w:cs="Calibri"/>
                <w:color w:val="auto"/>
                <w:szCs w:val="21"/>
                <w:highlight w:val="none"/>
              </w:rPr>
              <w:t xml:space="preserve">产品图纸</w:t>
            </w:r>
            <w:r>
              <w:rPr>
                <w:rFonts w:hint="eastAsia" w:hAnsi="Calibri" w:cs="Calibri"/>
                <w:color w:val="auto"/>
                <w:szCs w:val="21"/>
                <w:highlight w:val="none"/>
              </w:rPr>
              <w:t xml:space="preserve">或产品说明书</w:t>
            </w:r>
            <w:r>
              <w:rPr>
                <w:rFonts w:hAnsi="Calibri" w:cs="Calibri"/>
                <w:color w:val="auto"/>
                <w:szCs w:val="21"/>
                <w:highlight w:val="none"/>
              </w:rPr>
              <w:t xml:space="preserve">内容较完整、工艺技术方案较为完善、有合理性的得1分；</w:t>
            </w:r>
            <w:r/>
          </w:p>
          <w:p>
            <w:pPr>
              <w:numPr>
                <w:ilvl w:val="0"/>
                <w:numId w:val="22"/>
              </w:numPr>
              <w:rPr>
                <w:rFonts w:hAnsi="Calibri" w:cs="Calibri"/>
                <w:color w:val="auto"/>
                <w:szCs w:val="21"/>
                <w:highlight w:val="none"/>
              </w:rPr>
            </w:pPr>
            <w:r>
              <w:rPr>
                <w:rFonts w:hAnsi="Calibri" w:cs="Calibri"/>
                <w:color w:val="auto"/>
                <w:szCs w:val="21"/>
                <w:highlight w:val="none"/>
              </w:rPr>
              <w:t xml:space="preserve">产品图纸</w:t>
            </w:r>
            <w:r>
              <w:rPr>
                <w:rFonts w:hint="eastAsia" w:hAnsi="Calibri" w:cs="Calibri"/>
                <w:color w:val="auto"/>
                <w:szCs w:val="21"/>
                <w:highlight w:val="none"/>
              </w:rPr>
              <w:t xml:space="preserve">或产品说明书</w:t>
            </w:r>
            <w:r>
              <w:rPr>
                <w:rFonts w:hAnsi="Calibri" w:cs="Calibri"/>
                <w:color w:val="auto"/>
                <w:szCs w:val="21"/>
                <w:highlight w:val="none"/>
              </w:rPr>
              <w:t xml:space="preserve">内容不够完整、工艺技术方案简单、不够详细、合理性不高的得0.5分；</w:t>
            </w:r>
            <w:r/>
          </w:p>
          <w:p>
            <w:pPr>
              <w:numPr>
                <w:ilvl w:val="0"/>
                <w:numId w:val="22"/>
              </w:numPr>
              <w:rPr>
                <w:rFonts w:hAnsi="Calibri" w:cs="Calibri"/>
                <w:color w:val="auto"/>
                <w:szCs w:val="21"/>
                <w:highlight w:val="none"/>
              </w:rPr>
            </w:pPr>
            <w:r>
              <w:rPr>
                <w:rFonts w:hAnsi="Calibri" w:cs="Calibri"/>
                <w:color w:val="auto"/>
                <w:szCs w:val="21"/>
                <w:highlight w:val="none"/>
              </w:rPr>
              <w:t xml:space="preserve">不提供的不得分。</w:t>
            </w:r>
            <w:r/>
          </w:p>
          <w:p>
            <w:pPr>
              <w:rPr>
                <w:rFonts w:hAnsi="Calibri" w:cs="Calibri"/>
                <w:b/>
                <w:bCs/>
                <w:color w:val="auto"/>
                <w:szCs w:val="21"/>
                <w:highlight w:val="none"/>
              </w:rPr>
            </w:pPr>
            <w:r>
              <w:rPr>
                <w:rFonts w:hAnsi="Calibri" w:cs="Calibri"/>
                <w:b/>
                <w:bCs/>
                <w:color w:val="auto"/>
                <w:szCs w:val="21"/>
                <w:highlight w:val="none"/>
              </w:rPr>
              <w:t xml:space="preserve">((</w:t>
            </w:r>
            <w:r>
              <w:rPr>
                <w:rFonts w:hint="eastAsia" w:hAnsi="Calibri" w:cs="Calibri"/>
                <w:b/>
                <w:bCs/>
                <w:color w:val="auto"/>
                <w:szCs w:val="21"/>
                <w:highlight w:val="none"/>
                <w:lang w:val="en-US" w:eastAsia="zh-CN"/>
              </w:rPr>
              <w:t xml:space="preserve">5</w:t>
            </w:r>
            <w:r>
              <w:rPr>
                <w:rFonts w:hAnsi="Calibri" w:cs="Calibri"/>
                <w:b/>
                <w:bCs/>
                <w:color w:val="auto"/>
                <w:szCs w:val="21"/>
                <w:highlight w:val="none"/>
              </w:rPr>
              <w:t xml:space="preserve">)</w:t>
            </w:r>
            <w:r>
              <w:rPr>
                <w:rFonts w:hint="eastAsia" w:hAnsi="Calibri" w:cs="Calibri"/>
                <w:b/>
                <w:bCs/>
                <w:color w:val="auto"/>
                <w:szCs w:val="21"/>
                <w:highlight w:val="none"/>
              </w:rPr>
              <w:t xml:space="preserve">集气罩工艺</w:t>
            </w:r>
            <w:r>
              <w:rPr>
                <w:rFonts w:hAnsi="Calibri" w:cs="Calibri"/>
                <w:b/>
                <w:bCs/>
                <w:color w:val="auto"/>
                <w:szCs w:val="21"/>
                <w:highlight w:val="none"/>
              </w:rPr>
              <w:t xml:space="preserve">技术方案综合比较：</w:t>
            </w:r>
            <w:r/>
          </w:p>
          <w:p>
            <w:pPr>
              <w:rPr>
                <w:rFonts w:hAnsi="Calibri" w:cs="Calibri"/>
                <w:color w:val="auto"/>
                <w:szCs w:val="21"/>
                <w:highlight w:val="none"/>
              </w:rPr>
            </w:pPr>
            <w:r>
              <w:rPr>
                <w:rFonts w:hAnsi="Calibri" w:cs="Calibri"/>
                <w:color w:val="auto"/>
                <w:szCs w:val="21"/>
                <w:highlight w:val="none"/>
              </w:rPr>
              <w:t xml:space="preserve">工艺技术方案包括：①产品图纸</w:t>
            </w:r>
            <w:r>
              <w:rPr>
                <w:rFonts w:hint="eastAsia" w:hAnsi="Calibri" w:cs="Calibri"/>
                <w:color w:val="auto"/>
                <w:szCs w:val="21"/>
                <w:highlight w:val="none"/>
              </w:rPr>
              <w:t xml:space="preserve">或产品说明书</w:t>
            </w:r>
            <w:r>
              <w:rPr>
                <w:rFonts w:hAnsi="Calibri" w:cs="Calibri"/>
                <w:color w:val="auto"/>
                <w:szCs w:val="21"/>
                <w:highlight w:val="none"/>
              </w:rPr>
              <w:t xml:space="preserve">；②产品的工艺及零部件选型(工艺技术、生产方法、工艺流程等方案及主要零部件选型分析说明)；</w:t>
            </w:r>
            <w:r/>
          </w:p>
          <w:p>
            <w:pPr>
              <w:numPr>
                <w:ilvl w:val="0"/>
                <w:numId w:val="23"/>
              </w:numPr>
              <w:ind w:right="117"/>
              <w:spacing w:before="79"/>
              <w:rPr>
                <w:rFonts w:hAnsi="Calibri" w:cs="Calibri"/>
                <w:color w:val="auto"/>
                <w:szCs w:val="21"/>
                <w:highlight w:val="none"/>
              </w:rPr>
            </w:pPr>
            <w:r>
              <w:rPr>
                <w:rFonts w:hAnsi="Calibri" w:cs="Calibri"/>
                <w:color w:val="auto"/>
                <w:spacing w:val="-8"/>
                <w:szCs w:val="21"/>
                <w:highlight w:val="none"/>
              </w:rPr>
              <w:t xml:space="preserve">产品图纸</w:t>
            </w:r>
            <w:r>
              <w:rPr>
                <w:rFonts w:hint="eastAsia" w:hAnsi="Calibri" w:cs="Calibri"/>
                <w:color w:val="auto"/>
                <w:szCs w:val="21"/>
                <w:highlight w:val="none"/>
              </w:rPr>
              <w:t xml:space="preserve">或产品说明书</w:t>
            </w:r>
            <w:r>
              <w:rPr>
                <w:rFonts w:hAnsi="Calibri" w:cs="Calibri"/>
                <w:color w:val="auto"/>
                <w:spacing w:val="-8"/>
                <w:szCs w:val="21"/>
                <w:highlight w:val="none"/>
              </w:rPr>
              <w:t xml:space="preserve">内</w:t>
            </w:r>
            <w:r>
              <w:rPr>
                <w:rFonts w:hAnsi="Calibri" w:cs="Calibri"/>
                <w:color w:val="auto"/>
                <w:spacing w:val="-4"/>
                <w:szCs w:val="21"/>
                <w:highlight w:val="none"/>
              </w:rPr>
              <w:t xml:space="preserve">容完整、工艺技术方案全面完善、</w:t>
            </w:r>
            <w:r>
              <w:rPr>
                <w:rFonts w:hAnsi="Calibri" w:cs="Calibri"/>
                <w:color w:val="auto"/>
                <w:spacing w:val="-5"/>
                <w:szCs w:val="21"/>
                <w:highlight w:val="none"/>
              </w:rPr>
              <w:t xml:space="preserve">科学合理、针对性强的得2分</w:t>
            </w:r>
            <w:r>
              <w:rPr>
                <w:rFonts w:hAnsi="Calibri" w:cs="Calibri"/>
                <w:color w:val="auto"/>
                <w:spacing w:val="-4"/>
                <w:szCs w:val="21"/>
                <w:highlight w:val="none"/>
              </w:rPr>
              <w:t xml:space="preserve">；</w:t>
            </w:r>
            <w:r/>
          </w:p>
          <w:p>
            <w:pPr>
              <w:numPr>
                <w:ilvl w:val="0"/>
                <w:numId w:val="23"/>
              </w:numPr>
              <w:ind w:right="98"/>
              <w:rPr>
                <w:rFonts w:hAnsi="Calibri" w:cs="Calibri"/>
                <w:color w:val="auto"/>
                <w:szCs w:val="21"/>
                <w:highlight w:val="none"/>
              </w:rPr>
            </w:pPr>
            <w:r>
              <w:rPr>
                <w:rFonts w:hAnsi="Calibri" w:cs="Calibri"/>
                <w:color w:val="auto"/>
                <w:spacing w:val="-1"/>
                <w:szCs w:val="21"/>
                <w:highlight w:val="none"/>
              </w:rPr>
              <w:t xml:space="preserve">产品图纸</w:t>
            </w:r>
            <w:r>
              <w:rPr>
                <w:rFonts w:hint="eastAsia" w:hAnsi="Calibri" w:cs="Calibri"/>
                <w:color w:val="auto"/>
                <w:szCs w:val="21"/>
                <w:highlight w:val="none"/>
              </w:rPr>
              <w:t xml:space="preserve">或产品说明书</w:t>
            </w:r>
            <w:r>
              <w:rPr>
                <w:rFonts w:hAnsi="Calibri" w:cs="Calibri"/>
                <w:color w:val="auto"/>
                <w:spacing w:val="-1"/>
                <w:szCs w:val="21"/>
                <w:highlight w:val="none"/>
              </w:rPr>
              <w:t xml:space="preserve">内容较完整、</w:t>
            </w:r>
            <w:r>
              <w:rPr>
                <w:rFonts w:hAnsi="Calibri" w:cs="Calibri"/>
                <w:color w:val="auto"/>
                <w:szCs w:val="21"/>
                <w:highlight w:val="none"/>
              </w:rPr>
              <w:t xml:space="preserve">工艺技术方案较为</w:t>
            </w:r>
            <w:r>
              <w:rPr>
                <w:rFonts w:hAnsi="Calibri" w:cs="Calibri"/>
                <w:color w:val="auto"/>
                <w:spacing w:val="-10"/>
                <w:szCs w:val="21"/>
                <w:highlight w:val="none"/>
              </w:rPr>
              <w:t xml:space="preserve">完善</w:t>
            </w:r>
            <w:r>
              <w:rPr>
                <w:rFonts w:hAnsi="Calibri" w:cs="Calibri"/>
                <w:color w:val="auto"/>
                <w:spacing w:val="-5"/>
                <w:szCs w:val="21"/>
                <w:highlight w:val="none"/>
              </w:rPr>
              <w:t xml:space="preserve">、有合理性的得1分；</w:t>
            </w:r>
            <w:r/>
          </w:p>
          <w:p>
            <w:pPr>
              <w:numPr>
                <w:ilvl w:val="0"/>
                <w:numId w:val="23"/>
              </w:numPr>
              <w:ind w:right="98"/>
              <w:rPr>
                <w:rFonts w:hAnsi="Calibri" w:cs="Calibri"/>
                <w:color w:val="auto"/>
                <w:szCs w:val="21"/>
                <w:highlight w:val="none"/>
              </w:rPr>
            </w:pPr>
            <w:r>
              <w:rPr>
                <w:rFonts w:hAnsi="Calibri" w:cs="Calibri"/>
                <w:color w:val="auto"/>
                <w:spacing w:val="-5"/>
                <w:szCs w:val="21"/>
                <w:highlight w:val="none"/>
              </w:rPr>
              <w:t xml:space="preserve">产</w:t>
            </w:r>
            <w:r>
              <w:rPr>
                <w:rFonts w:hAnsi="Calibri" w:cs="Calibri"/>
                <w:color w:val="auto"/>
                <w:spacing w:val="-4"/>
                <w:szCs w:val="21"/>
                <w:highlight w:val="none"/>
              </w:rPr>
              <w:t xml:space="preserve">品图纸</w:t>
            </w:r>
            <w:r>
              <w:rPr>
                <w:rFonts w:hint="eastAsia" w:hAnsi="Calibri" w:cs="Calibri"/>
                <w:color w:val="auto"/>
                <w:szCs w:val="21"/>
                <w:highlight w:val="none"/>
              </w:rPr>
              <w:t xml:space="preserve">或产品说明书</w:t>
            </w:r>
            <w:r>
              <w:rPr>
                <w:rFonts w:hAnsi="Calibri" w:cs="Calibri"/>
                <w:color w:val="auto"/>
                <w:spacing w:val="-4"/>
                <w:szCs w:val="21"/>
                <w:highlight w:val="none"/>
              </w:rPr>
              <w:t xml:space="preserve">内容不够完整、工艺技术方案简</w:t>
            </w:r>
            <w:r>
              <w:rPr>
                <w:rFonts w:hAnsi="Calibri" w:cs="Calibri"/>
                <w:color w:val="auto"/>
                <w:spacing w:val="-6"/>
                <w:szCs w:val="21"/>
                <w:highlight w:val="none"/>
              </w:rPr>
              <w:t xml:space="preserve">单、不够详</w:t>
            </w:r>
            <w:r>
              <w:rPr>
                <w:rFonts w:hAnsi="Calibri" w:cs="Calibri"/>
                <w:color w:val="auto"/>
                <w:spacing w:val="-3"/>
                <w:szCs w:val="21"/>
                <w:highlight w:val="none"/>
              </w:rPr>
              <w:t xml:space="preserve">细、合理性不高的得0.5分；</w:t>
            </w:r>
            <w:r/>
          </w:p>
          <w:p>
            <w:pPr>
              <w:numPr>
                <w:ilvl w:val="0"/>
                <w:numId w:val="23"/>
              </w:numPr>
              <w:ind w:right="98"/>
              <w:rPr>
                <w:color w:val="auto"/>
                <w:szCs w:val="21"/>
                <w:highlight w:val="none"/>
              </w:rPr>
            </w:pPr>
            <w:r>
              <w:rPr>
                <w:rFonts w:hAnsi="Calibri" w:cs="Calibri"/>
                <w:color w:val="auto"/>
                <w:spacing w:val="-1"/>
                <w:szCs w:val="21"/>
                <w:highlight w:val="none"/>
              </w:rPr>
              <w:t xml:space="preserve">不提供的不得分。</w:t>
            </w:r>
            <w:r/>
          </w:p>
        </w:tc>
        <w:tc>
          <w:tcPr>
            <w:tcW w:w="540" w:type="dxa"/>
            <w:vAlign w:val="center"/>
            <w:textDirection w:val="lrTb"/>
            <w:noWrap w:val="false"/>
          </w:tcPr>
          <w:p>
            <w:pPr>
              <w:jc w:val="center"/>
              <w:rPr>
                <w:color w:val="auto"/>
                <w:szCs w:val="21"/>
                <w:highlight w:val="none"/>
              </w:rPr>
            </w:pPr>
            <w:r>
              <w:rPr>
                <w:rFonts w:hAnsi="Calibri" w:cs="Calibri"/>
                <w:color w:val="auto"/>
                <w:highlight w:val="none"/>
              </w:rPr>
              <w:t xml:space="preserve">10</w:t>
            </w:r>
            <w:r/>
          </w:p>
        </w:tc>
      </w:tr>
      <w:tr>
        <w:trPr>
          <w:jc w:val="center"/>
          <w:trHeight w:val="1567"/>
        </w:trPr>
        <w:tc>
          <w:tcPr>
            <w:tcW w:w="1113" w:type="dxa"/>
            <w:vAlign w:val="center"/>
            <w:vMerge w:val="continue"/>
            <w:textDirection w:val="lrTb"/>
            <w:noWrap w:val="false"/>
          </w:tcPr>
          <w:p>
            <w:pPr>
              <w:jc w:val="center"/>
              <w:rPr>
                <w:b/>
                <w:bCs/>
                <w:color w:val="auto"/>
                <w:szCs w:val="21"/>
                <w:highlight w:val="none"/>
              </w:rPr>
            </w:pPr>
            <w:r>
              <w:rPr>
                <w:b/>
                <w:bCs/>
                <w:color w:val="auto"/>
                <w:szCs w:val="21"/>
                <w:highlight w:val="none"/>
              </w:rPr>
            </w:r>
            <w:r/>
          </w:p>
        </w:tc>
        <w:tc>
          <w:tcPr>
            <w:tcW w:w="1407" w:type="dxa"/>
            <w:vAlign w:val="center"/>
            <w:textDirection w:val="lrTb"/>
            <w:noWrap w:val="false"/>
          </w:tcPr>
          <w:p>
            <w:pPr>
              <w:jc w:val="center"/>
              <w:rPr>
                <w:color w:val="auto"/>
                <w:szCs w:val="21"/>
                <w:highlight w:val="none"/>
              </w:rPr>
            </w:pPr>
            <w:r>
              <w:rPr>
                <w:rFonts w:hint="eastAsia" w:hAnsi="Calibri" w:cs="Calibri"/>
                <w:color w:val="auto"/>
                <w:highlight w:val="none"/>
                <w:lang w:val="en-US" w:eastAsia="zh-CN"/>
              </w:rPr>
              <w:t xml:space="preserve">10、</w:t>
            </w:r>
            <w:r>
              <w:rPr>
                <w:rFonts w:hAnsi="Calibri" w:cs="Calibri"/>
                <w:color w:val="auto"/>
                <w:highlight w:val="none"/>
              </w:rPr>
              <w:t xml:space="preserve">售后服务比较</w:t>
            </w:r>
            <w:r/>
          </w:p>
        </w:tc>
        <w:tc>
          <w:tcPr>
            <w:tcW w:w="7301" w:type="dxa"/>
            <w:textDirection w:val="lrTb"/>
            <w:noWrap w:val="false"/>
          </w:tcPr>
          <w:p>
            <w:pPr>
              <w:numPr>
                <w:ilvl w:val="0"/>
                <w:numId w:val="24"/>
              </w:numPr>
              <w:ind w:firstLine="416"/>
              <w:spacing w:before="1"/>
              <w:rPr>
                <w:rFonts w:hAnsi="Calibri" w:cs="Calibri"/>
                <w:color w:val="auto"/>
                <w:spacing w:val="-1"/>
                <w:szCs w:val="21"/>
                <w:highlight w:val="none"/>
              </w:rPr>
            </w:pPr>
            <w:r>
              <w:rPr>
                <w:rFonts w:hAnsi="Calibri" w:cs="Calibri"/>
                <w:color w:val="auto"/>
                <w:spacing w:val="-1"/>
                <w:szCs w:val="21"/>
                <w:highlight w:val="none"/>
              </w:rPr>
              <w:t xml:space="preserve">投标单位售后服务方案、售后服务人员投入保障、服务标准规范化程度高、服务响应效率高、保修措施完善的得</w:t>
            </w:r>
            <w:r>
              <w:rPr>
                <w:rFonts w:hint="eastAsia" w:hAnsi="Calibri" w:cs="Calibri"/>
                <w:color w:val="auto"/>
                <w:spacing w:val="-1"/>
                <w:szCs w:val="21"/>
                <w:highlight w:val="none"/>
                <w:lang w:val="en-US" w:eastAsia="zh-CN"/>
              </w:rPr>
              <w:t xml:space="preserve">3</w:t>
            </w:r>
            <w:r>
              <w:rPr>
                <w:rFonts w:hAnsi="Calibri" w:cs="Calibri"/>
                <w:color w:val="auto"/>
                <w:spacing w:val="-1"/>
                <w:szCs w:val="21"/>
                <w:highlight w:val="none"/>
              </w:rPr>
              <w:t xml:space="preserve">分；</w:t>
            </w:r>
            <w:r/>
          </w:p>
          <w:p>
            <w:pPr>
              <w:numPr>
                <w:ilvl w:val="0"/>
                <w:numId w:val="24"/>
              </w:numPr>
              <w:ind w:right="106" w:firstLine="416"/>
              <w:spacing w:before="1"/>
              <w:rPr>
                <w:rFonts w:hAnsi="Calibri" w:cs="Calibri"/>
                <w:color w:val="auto"/>
                <w:szCs w:val="21"/>
                <w:highlight w:val="none"/>
              </w:rPr>
            </w:pPr>
            <w:r>
              <w:rPr>
                <w:rFonts w:hAnsi="Calibri" w:cs="Calibri"/>
                <w:color w:val="auto"/>
                <w:spacing w:val="-1"/>
                <w:szCs w:val="21"/>
                <w:highlight w:val="none"/>
              </w:rPr>
              <w:t xml:space="preserve">投标单位售后服务体系完善性不高、服务标准规范化程度不高</w:t>
            </w:r>
            <w:r>
              <w:rPr>
                <w:rFonts w:hAnsi="Calibri" w:cs="Calibri"/>
                <w:color w:val="auto"/>
                <w:szCs w:val="21"/>
                <w:highlight w:val="none"/>
              </w:rPr>
              <w:t xml:space="preserve">、服</w:t>
            </w:r>
            <w:r>
              <w:rPr>
                <w:rFonts w:hAnsi="Calibri" w:cs="Calibri"/>
                <w:color w:val="auto"/>
                <w:spacing w:val="-10"/>
                <w:szCs w:val="21"/>
                <w:highlight w:val="none"/>
              </w:rPr>
              <w:t xml:space="preserve">务响</w:t>
            </w:r>
            <w:r>
              <w:rPr>
                <w:rFonts w:hAnsi="Calibri" w:cs="Calibri"/>
                <w:color w:val="auto"/>
                <w:spacing w:val="-5"/>
                <w:szCs w:val="21"/>
                <w:highlight w:val="none"/>
              </w:rPr>
              <w:t xml:space="preserve">应效率不高的得</w:t>
            </w:r>
            <w:r>
              <w:rPr>
                <w:rFonts w:hint="eastAsia" w:hAnsi="Calibri" w:cs="Calibri"/>
                <w:color w:val="auto"/>
                <w:spacing w:val="-5"/>
                <w:szCs w:val="21"/>
                <w:highlight w:val="none"/>
                <w:lang w:val="en-US" w:eastAsia="zh-CN"/>
              </w:rPr>
              <w:t xml:space="preserve">2</w:t>
            </w:r>
            <w:r>
              <w:rPr>
                <w:rFonts w:hAnsi="Calibri" w:cs="Calibri"/>
                <w:color w:val="auto"/>
                <w:spacing w:val="-5"/>
                <w:szCs w:val="21"/>
                <w:highlight w:val="none"/>
              </w:rPr>
              <w:t xml:space="preserve">分；</w:t>
            </w:r>
            <w:r/>
          </w:p>
          <w:p>
            <w:pPr>
              <w:numPr>
                <w:ilvl w:val="0"/>
                <w:numId w:val="24"/>
              </w:numPr>
              <w:ind w:right="98" w:firstLine="416"/>
              <w:rPr>
                <w:rFonts w:hAnsi="Calibri" w:cs="Calibri"/>
                <w:color w:val="auto"/>
                <w:szCs w:val="21"/>
                <w:highlight w:val="none"/>
              </w:rPr>
            </w:pPr>
            <w:r>
              <w:rPr>
                <w:rFonts w:hAnsi="Calibri" w:cs="Calibri"/>
                <w:color w:val="auto"/>
                <w:spacing w:val="-1"/>
                <w:szCs w:val="21"/>
                <w:highlight w:val="none"/>
              </w:rPr>
              <w:t xml:space="preserve">投标单位售后服务体系不完善、服务标准规</w:t>
            </w:r>
            <w:r>
              <w:rPr>
                <w:rFonts w:hAnsi="Calibri" w:cs="Calibri"/>
                <w:color w:val="auto"/>
                <w:szCs w:val="21"/>
                <w:highlight w:val="none"/>
              </w:rPr>
              <w:t xml:space="preserve">范化程度</w:t>
            </w:r>
            <w:r>
              <w:rPr>
                <w:rFonts w:hint="eastAsia" w:hAnsi="Calibri" w:cs="Calibri"/>
                <w:color w:val="auto"/>
                <w:szCs w:val="21"/>
                <w:highlight w:val="none"/>
                <w:lang w:val="en-US" w:eastAsia="zh-CN"/>
              </w:rPr>
              <w:t xml:space="preserve">有</w:t>
            </w:r>
            <w:r>
              <w:rPr>
                <w:rFonts w:hAnsi="Calibri" w:cs="Calibri"/>
                <w:color w:val="auto"/>
                <w:szCs w:val="21"/>
                <w:highlight w:val="none"/>
              </w:rPr>
              <w:t xml:space="preserve">欠缺、服务响</w:t>
            </w:r>
            <w:r>
              <w:rPr>
                <w:rFonts w:hAnsi="Calibri" w:cs="Calibri"/>
                <w:color w:val="auto"/>
                <w:spacing w:val="-4"/>
                <w:szCs w:val="21"/>
                <w:highlight w:val="none"/>
              </w:rPr>
              <w:t xml:space="preserve">应效率低、保修措施不完善的得</w:t>
            </w:r>
            <w:r>
              <w:rPr>
                <w:rFonts w:hint="eastAsia" w:hAnsi="Calibri" w:cs="Calibri"/>
                <w:color w:val="auto"/>
                <w:spacing w:val="-4"/>
                <w:szCs w:val="21"/>
                <w:highlight w:val="none"/>
              </w:rPr>
              <w:t xml:space="preserve">1</w:t>
            </w:r>
            <w:r>
              <w:rPr>
                <w:rFonts w:hAnsi="Calibri" w:cs="Calibri"/>
                <w:color w:val="auto"/>
                <w:spacing w:val="-4"/>
                <w:szCs w:val="21"/>
                <w:highlight w:val="none"/>
              </w:rPr>
              <w:t xml:space="preserve">分；</w:t>
            </w:r>
            <w:r/>
          </w:p>
          <w:p>
            <w:pPr>
              <w:numPr>
                <w:ilvl w:val="0"/>
                <w:numId w:val="24"/>
              </w:numPr>
              <w:ind w:right="98" w:firstLine="416"/>
              <w:rPr>
                <w:color w:val="auto"/>
                <w:szCs w:val="21"/>
                <w:highlight w:val="none"/>
              </w:rPr>
            </w:pPr>
            <w:r>
              <w:rPr>
                <w:rFonts w:hAnsi="Calibri" w:cs="Calibri"/>
                <w:color w:val="auto"/>
                <w:spacing w:val="-1"/>
                <w:szCs w:val="21"/>
                <w:highlight w:val="none"/>
              </w:rPr>
              <w:t xml:space="preserve">不提供的不得分。</w:t>
            </w:r>
            <w:r/>
          </w:p>
        </w:tc>
        <w:tc>
          <w:tcPr>
            <w:tcW w:w="540" w:type="dxa"/>
            <w:vAlign w:val="center"/>
            <w:textDirection w:val="lrTb"/>
            <w:noWrap w:val="false"/>
          </w:tcPr>
          <w:p>
            <w:pPr>
              <w:jc w:val="center"/>
              <w:rPr>
                <w:rFonts w:hint="eastAsia" w:eastAsia="宋体"/>
                <w:color w:val="auto"/>
                <w:szCs w:val="21"/>
                <w:highlight w:val="none"/>
                <w:lang w:eastAsia="zh-CN"/>
              </w:rPr>
            </w:pPr>
            <w:r>
              <w:rPr>
                <w:rFonts w:hint="eastAsia" w:hAnsi="Calibri" w:cs="Calibri"/>
                <w:color w:val="auto"/>
                <w:highlight w:val="none"/>
                <w:lang w:val="en-US" w:eastAsia="zh-CN"/>
              </w:rPr>
              <w:t xml:space="preserve">3</w:t>
            </w:r>
            <w:r/>
          </w:p>
        </w:tc>
      </w:tr>
      <w:tr>
        <w:trPr>
          <w:jc w:val="center"/>
          <w:trHeight w:val="1567"/>
        </w:trPr>
        <w:tc>
          <w:tcPr>
            <w:tcW w:w="1113" w:type="dxa"/>
            <w:vAlign w:val="center"/>
            <w:vMerge w:val="continue"/>
            <w:textDirection w:val="lrTb"/>
            <w:noWrap w:val="false"/>
          </w:tcPr>
          <w:p>
            <w:pPr>
              <w:jc w:val="center"/>
              <w:rPr>
                <w:b/>
                <w:bCs/>
                <w:color w:val="auto"/>
                <w:szCs w:val="21"/>
                <w:highlight w:val="none"/>
              </w:rPr>
            </w:pPr>
            <w:r>
              <w:rPr>
                <w:b/>
                <w:bCs/>
                <w:color w:val="auto"/>
                <w:szCs w:val="21"/>
                <w:highlight w:val="none"/>
              </w:rPr>
            </w:r>
            <w:r/>
          </w:p>
        </w:tc>
        <w:tc>
          <w:tcPr>
            <w:tcW w:w="1407" w:type="dxa"/>
            <w:vAlign w:val="center"/>
            <w:textDirection w:val="lrTb"/>
            <w:noWrap w:val="false"/>
          </w:tcPr>
          <w:p>
            <w:pPr>
              <w:jc w:val="center"/>
              <w:rPr>
                <w:color w:val="auto"/>
                <w:szCs w:val="21"/>
                <w:highlight w:val="none"/>
              </w:rPr>
            </w:pPr>
            <w:r>
              <w:rPr>
                <w:rFonts w:hAnsi="Calibri" w:cs="Calibri"/>
                <w:b/>
                <w:bCs/>
                <w:color w:val="auto"/>
                <w:spacing w:val="-4"/>
                <w:highlight w:val="none"/>
              </w:rPr>
              <w:t xml:space="preserve">▲</w:t>
            </w:r>
            <w:r>
              <w:rPr>
                <w:rFonts w:hint="eastAsia" w:hAnsi="Calibri" w:cs="Calibri"/>
                <w:b/>
                <w:bCs/>
                <w:color w:val="auto"/>
                <w:spacing w:val="-4"/>
                <w:highlight w:val="none"/>
                <w:lang w:val="en-US" w:eastAsia="zh-CN"/>
              </w:rPr>
              <w:t xml:space="preserve">11、</w:t>
            </w:r>
            <w:r>
              <w:rPr>
                <w:rFonts w:hAnsi="Calibri" w:cs="Calibri"/>
                <w:color w:val="auto"/>
                <w:spacing w:val="-4"/>
                <w:highlight w:val="none"/>
              </w:rPr>
              <w:t xml:space="preserve">履</w:t>
            </w:r>
            <w:r>
              <w:rPr>
                <w:rFonts w:hAnsi="Calibri" w:cs="Calibri"/>
                <w:color w:val="auto"/>
                <w:highlight w:val="none"/>
              </w:rPr>
              <w:t xml:space="preserve">约能力比较</w:t>
            </w:r>
            <w:r/>
          </w:p>
        </w:tc>
        <w:tc>
          <w:tcPr>
            <w:tcW w:w="7301" w:type="dxa"/>
            <w:textDirection w:val="lrTb"/>
            <w:noWrap w:val="false"/>
          </w:tcPr>
          <w:p>
            <w:pPr>
              <w:ind w:left="113" w:right="98" w:firstLine="2"/>
              <w:spacing w:before="79"/>
              <w:rPr>
                <w:rFonts w:hAnsi="Calibri" w:cs="Calibri"/>
                <w:color w:val="auto"/>
                <w:szCs w:val="21"/>
                <w:highlight w:val="none"/>
              </w:rPr>
            </w:pPr>
            <w:r>
              <w:rPr>
                <w:rFonts w:hAnsi="Calibri" w:cs="Calibri"/>
                <w:color w:val="auto"/>
                <w:szCs w:val="21"/>
                <w:highlight w:val="none"/>
              </w:rPr>
              <w:t xml:space="preserve">投标单位具有有效期内的质量管理体系认证证书、环境管理体系认证证书、职业健康安全管理体系认证证书，每提供一个得1分，最高得3分。</w:t>
            </w:r>
            <w:r/>
          </w:p>
          <w:p>
            <w:pPr>
              <w:rPr>
                <w:color w:val="auto"/>
                <w:szCs w:val="21"/>
                <w:highlight w:val="none"/>
              </w:rPr>
            </w:pPr>
            <w:r>
              <w:rPr>
                <w:rFonts w:hAnsi="Calibri" w:cs="Calibri"/>
                <w:color w:val="auto"/>
                <w:spacing w:val="-1"/>
                <w:szCs w:val="21"/>
                <w:highlight w:val="none"/>
              </w:rPr>
              <w:t xml:space="preserve">(注：</w:t>
            </w:r>
            <w:r>
              <w:rPr>
                <w:rFonts w:hAnsi="Calibri" w:cs="Calibri"/>
                <w:b/>
                <w:color w:val="auto"/>
                <w:spacing w:val="-1"/>
                <w:szCs w:val="21"/>
                <w:highlight w:val="none"/>
              </w:rPr>
              <w:t xml:space="preserve">投标文件中须提供上述认证证书的扫描件，提供</w:t>
            </w:r>
            <w:r>
              <w:rPr>
                <w:rFonts w:hAnsi="Calibri" w:cs="Calibri"/>
                <w:b/>
                <w:color w:val="auto"/>
                <w:szCs w:val="21"/>
                <w:highlight w:val="none"/>
              </w:rPr>
              <w:t xml:space="preserve">在中国国家</w:t>
            </w:r>
            <w:r>
              <w:rPr>
                <w:rFonts w:hAnsi="Calibri" w:cs="Calibri"/>
                <w:b/>
                <w:color w:val="auto"/>
                <w:spacing w:val="-8"/>
                <w:szCs w:val="21"/>
                <w:highlight w:val="none"/>
              </w:rPr>
              <w:t xml:space="preserve">认</w:t>
            </w:r>
            <w:r>
              <w:rPr>
                <w:rFonts w:hAnsi="Calibri" w:cs="Calibri"/>
                <w:b/>
                <w:color w:val="auto"/>
                <w:spacing w:val="-4"/>
                <w:szCs w:val="21"/>
                <w:highlight w:val="none"/>
              </w:rPr>
              <w:t xml:space="preserve">证认可监督管理委员会网站查询链接及完整的截图，链接及截图</w:t>
            </w:r>
            <w:r>
              <w:rPr>
                <w:rFonts w:hAnsi="Calibri" w:cs="Calibri"/>
                <w:b/>
                <w:color w:val="auto"/>
                <w:szCs w:val="21"/>
                <w:highlight w:val="none"/>
              </w:rPr>
              <w:t xml:space="preserve">须清晰可辨，如模糊不清或不完整则不得分。</w:t>
            </w:r>
            <w:r>
              <w:rPr>
                <w:rFonts w:hAnsi="Calibri" w:cs="Calibri"/>
                <w:color w:val="auto"/>
                <w:szCs w:val="21"/>
                <w:highlight w:val="none"/>
              </w:rPr>
              <w:t xml:space="preserve">)</w:t>
            </w:r>
            <w:r/>
          </w:p>
        </w:tc>
        <w:tc>
          <w:tcPr>
            <w:tcW w:w="540" w:type="dxa"/>
            <w:vAlign w:val="center"/>
            <w:textDirection w:val="lrTb"/>
            <w:noWrap w:val="false"/>
          </w:tcPr>
          <w:p>
            <w:pPr>
              <w:jc w:val="center"/>
              <w:rPr>
                <w:color w:val="auto"/>
                <w:szCs w:val="21"/>
                <w:highlight w:val="none"/>
              </w:rPr>
            </w:pPr>
            <w:r>
              <w:rPr>
                <w:rFonts w:hAnsi="Calibri" w:cs="Calibri"/>
                <w:color w:val="auto"/>
                <w:highlight w:val="none"/>
              </w:rPr>
              <w:t xml:space="preserve">3</w:t>
            </w:r>
            <w:r/>
          </w:p>
        </w:tc>
      </w:tr>
    </w:tbl>
    <w:p>
      <w:pPr>
        <w:ind w:firstLine="420"/>
        <w:spacing w:line="360" w:lineRule="auto"/>
        <w:rPr>
          <w:bCs/>
          <w:color w:val="auto"/>
          <w:szCs w:val="21"/>
          <w:highlight w:val="none"/>
        </w:rPr>
      </w:pPr>
      <w:r>
        <w:rPr>
          <w:bCs/>
          <w:color w:val="auto"/>
          <w:szCs w:val="21"/>
          <w:highlight w:val="none"/>
        </w:rPr>
        <w:t xml:space="preserve">备注：1、打“</w:t>
      </w:r>
      <w:r>
        <w:rPr>
          <w:color w:val="auto"/>
          <w:szCs w:val="21"/>
          <w:highlight w:val="none"/>
        </w:rPr>
        <w:t xml:space="preserve">▲</w:t>
      </w:r>
      <w:r>
        <w:rPr>
          <w:bCs/>
          <w:color w:val="auto"/>
          <w:szCs w:val="21"/>
          <w:highlight w:val="none"/>
        </w:rPr>
        <w:t xml:space="preserve">”项目为客观分。</w:t>
      </w:r>
      <w:r/>
    </w:p>
    <w:p>
      <w:pPr>
        <w:numPr>
          <w:ilvl w:val="0"/>
          <w:numId w:val="7"/>
        </w:numPr>
        <w:ind w:firstLine="0"/>
        <w:spacing w:line="360" w:lineRule="auto"/>
        <w:rPr>
          <w:rFonts w:eastAsiaTheme="minorEastAsia"/>
          <w:b/>
          <w:color w:val="auto"/>
          <w:szCs w:val="21"/>
          <w:highlight w:val="none"/>
        </w:rPr>
      </w:pPr>
      <w:r>
        <w:rPr>
          <w:rFonts w:eastAsiaTheme="minorEastAsia"/>
          <w:b/>
          <w:color w:val="auto"/>
          <w:szCs w:val="21"/>
          <w:highlight w:val="none"/>
        </w:rPr>
        <w:t xml:space="preserve">针对评分标准中评分的每一条，投标单位在投标文件中均应提供相关资料并作出相应说明供评委评判，不提供相关资料，</w:t>
      </w:r>
      <w:r>
        <w:rPr>
          <w:rFonts w:eastAsiaTheme="minorEastAsia"/>
          <w:b/>
          <w:bCs/>
          <w:color w:val="auto"/>
          <w:szCs w:val="21"/>
          <w:highlight w:val="none"/>
        </w:rPr>
        <w:t xml:space="preserve">提供的材料不全、不符、说明不清晰或不提供的,</w:t>
      </w:r>
      <w:r>
        <w:rPr>
          <w:rFonts w:eastAsiaTheme="minorEastAsia"/>
          <w:b/>
          <w:color w:val="auto"/>
          <w:szCs w:val="21"/>
          <w:highlight w:val="none"/>
        </w:rPr>
        <w:t xml:space="preserve">视为不具备该项得分的条件。</w:t>
      </w:r>
      <w:r/>
    </w:p>
    <w:p>
      <w:pPr>
        <w:numPr>
          <w:ilvl w:val="-1"/>
          <w:numId w:val="0"/>
        </w:numPr>
        <w:ind w:firstLine="0"/>
        <w:spacing w:line="360" w:lineRule="auto"/>
        <w:rPr>
          <w:rFonts w:eastAsiaTheme="minorEastAsia"/>
          <w:color w:val="auto"/>
          <w:szCs w:val="21"/>
          <w:highlight w:val="none"/>
        </w:rPr>
      </w:pPr>
      <w:r>
        <w:rPr>
          <w:bCs/>
          <w:color w:val="auto"/>
          <w:szCs w:val="21"/>
          <w:highlight w:val="none"/>
        </w:rPr>
        <w:t xml:space="preserve">3、</w:t>
      </w:r>
      <w:r>
        <w:rPr>
          <w:rFonts w:eastAsiaTheme="minorEastAsia"/>
          <w:color w:val="auto"/>
          <w:szCs w:val="21"/>
          <w:highlight w:val="none"/>
        </w:rPr>
        <w:t xml:space="preserve">提供的各种证书、资质必须在有效期内，否则不得分。</w:t>
      </w:r>
      <w:r/>
    </w:p>
    <w:p>
      <w:pPr>
        <w:rPr>
          <w:color w:val="auto"/>
          <w:highlight w:val="none"/>
        </w:rPr>
      </w:pPr>
      <w:r>
        <w:rPr>
          <w:color w:val="auto"/>
          <w:highlight w:val="none"/>
        </w:rPr>
      </w:r>
      <w:r/>
    </w:p>
    <w:p>
      <w:pPr>
        <w:ind w:firstLine="482"/>
        <w:keepLines w:val="0"/>
        <w:keepNext w:val="0"/>
        <w:pageBreakBefore w:val="0"/>
        <w:spacing w:line="360" w:lineRule="auto"/>
        <w:widowControl/>
        <w:rPr>
          <w:rFonts w:hint="eastAsia" w:ascii="宋体" w:hAnsi="宋体" w:eastAsia="宋体" w:cs="宋体"/>
          <w:color w:val="auto"/>
          <w:sz w:val="21"/>
          <w:szCs w:val="21"/>
          <w:highlight w:val="none"/>
        </w:rPr>
        <w:outlineLvl w:val="1"/>
      </w:pPr>
      <w:r>
        <w:rPr>
          <w:rFonts w:hint="eastAsia" w:ascii="宋体" w:hAnsi="宋体" w:eastAsia="宋体" w:cs="宋体"/>
          <w:b/>
          <w:bCs/>
          <w:color w:val="auto"/>
          <w:sz w:val="24"/>
          <w:szCs w:val="24"/>
          <w:highlight w:val="none"/>
        </w:rPr>
        <w:t xml:space="preserve">三、政府采购政策：</w:t>
      </w:r>
      <w:r/>
    </w:p>
    <w:p>
      <w:pPr>
        <w:ind w:firstLine="420"/>
        <w:keepLines w:val="0"/>
        <w:keepNext w:val="0"/>
        <w:pageBreakBefore w:val="0"/>
        <w:spacing w:line="44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rPr>
        <w:t xml:space="preserve">、针对小微企业、监狱企业及残疾人企业的评审：</w:t>
      </w:r>
      <w:r/>
    </w:p>
    <w:p>
      <w:pPr>
        <w:ind w:firstLine="420"/>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w:t>
      </w:r>
      <w:r/>
    </w:p>
    <w:p>
      <w:pPr>
        <w:ind w:firstLine="420"/>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1.1</w:t>
      </w:r>
      <w:r>
        <w:rPr>
          <w:rFonts w:hint="eastAsia" w:ascii="宋体" w:hAnsi="宋体" w:eastAsia="宋体" w:cs="宋体"/>
          <w:color w:val="auto"/>
          <w:sz w:val="21"/>
          <w:szCs w:val="21"/>
          <w:highlight w:val="none"/>
        </w:rPr>
        <w:t xml:space="preserve">本项目属于非预留份额专门面向中小企业采购。如供应商所提供的全部货物的制造商属于小微企业，对其报价给予20％的扣除，用扣除后的价格参与评审。如扣除后的价格为最低价的，则作为评标基准价，中标金额则以实际投标报价为准。</w:t>
      </w:r>
      <w:r/>
    </w:p>
    <w:p>
      <w:pPr>
        <w:ind w:firstLine="420"/>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本项目采购标的对应的中小企业划分标准所属行业为</w:t>
      </w:r>
      <w:r>
        <w:rPr>
          <w:rFonts w:hint="eastAsia" w:ascii="宋体" w:hAnsi="宋体" w:eastAsia="宋体" w:cs="宋体"/>
          <w:b/>
          <w:bCs/>
          <w:color w:val="auto"/>
          <w:sz w:val="21"/>
          <w:szCs w:val="21"/>
          <w:highlight w:val="none"/>
          <w:u w:val="single"/>
        </w:rPr>
        <w:t xml:space="preserve"> 工业</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 。中小微企业划型标准根据《中小企业划型标准规定》（工信部联企业【2011】300号）规定。</w:t>
      </w:r>
      <w:r/>
    </w:p>
    <w:p>
      <w:pPr>
        <w:ind w:firstLine="420"/>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1.3</w:t>
      </w:r>
      <w:r>
        <w:rPr>
          <w:rFonts w:hint="eastAsia" w:ascii="宋体" w:hAnsi="宋体" w:eastAsia="宋体" w:cs="宋体"/>
          <w:color w:val="auto"/>
          <w:sz w:val="21"/>
          <w:szCs w:val="21"/>
          <w:highlight w:val="none"/>
        </w:rPr>
        <w:t xml:space="preserve">依据《政府采购促进中小企业发展管理办法》规定享受扶持政策获得政府采购合同的，小微企业不得将合同分包给大中型企业，中型企业不得将合同分包给大型企业。</w:t>
      </w:r>
      <w:r/>
    </w:p>
    <w:p>
      <w:pPr>
        <w:ind w:firstLine="420"/>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1.4</w:t>
      </w:r>
      <w:r>
        <w:rPr>
          <w:rFonts w:hint="eastAsia" w:ascii="宋体" w:hAnsi="宋体" w:eastAsia="宋体" w:cs="宋体"/>
          <w:color w:val="auto"/>
          <w:sz w:val="21"/>
          <w:szCs w:val="21"/>
          <w:highlight w:val="none"/>
        </w:rPr>
        <w:t xml:space="preserve">中小企业参加政府采购活动，应当出具《政府采购促进中小企业发展管理办法》附件规定《中小企业声明函》，否则不得享受相关中小企业扶持政策。</w:t>
      </w:r>
      <w:r/>
    </w:p>
    <w:p>
      <w:pPr>
        <w:ind w:firstLine="420"/>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本项目中，供应商提供的货物由中小企业制造，即货物由中小企业生产且使用该中小企业商号或者注册商标，才可享受规定的中小企业扶持政策。</w:t>
      </w:r>
      <w:r/>
    </w:p>
    <w:p>
      <w:pPr>
        <w:ind w:firstLine="420"/>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1.6</w:t>
      </w:r>
      <w:r>
        <w:rPr>
          <w:rFonts w:hint="eastAsia" w:ascii="宋体" w:hAnsi="宋体" w:eastAsia="宋体" w:cs="宋体"/>
          <w:color w:val="auto"/>
          <w:sz w:val="21"/>
          <w:szCs w:val="21"/>
          <w:highlight w:val="none"/>
        </w:rPr>
        <w:t xml:space="preserve">若供应商提供的《中小企业声明函》为虚假声明则视同提供虚假材料，按政府采购相关规定处理并报请政府监管部门给予行政处罚。</w:t>
      </w:r>
      <w:r/>
    </w:p>
    <w:p>
      <w:pPr>
        <w:ind w:firstLine="420"/>
        <w:keepLines w:val="0"/>
        <w:keepNext w:val="0"/>
        <w:pageBreakBefore w:val="0"/>
        <w:spacing w:line="44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rPr>
        <w:t xml:space="preserve">残疾人福利性单位</w:t>
      </w:r>
      <w:r/>
    </w:p>
    <w:p>
      <w:pPr>
        <w:ind w:firstLine="420"/>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关于贯彻执行绿色采购、促进残疾人就业和支持监狱企业发展有关政策的通知（苏财购〔2019〕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供视为非残疾人福利性单位，不视同小微企业，不享受残疾人福利性单位政策。</w:t>
      </w:r>
      <w:r/>
    </w:p>
    <w:p>
      <w:pPr>
        <w:ind w:firstLine="420"/>
        <w:keepLines w:val="0"/>
        <w:keepNext w:val="0"/>
        <w:pageBreakBefore w:val="0"/>
        <w:spacing w:line="44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rPr>
        <w:t xml:space="preserve">监狱企业</w:t>
      </w:r>
      <w:r/>
    </w:p>
    <w:p>
      <w:pPr>
        <w:ind w:firstLine="420"/>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供视为非监狱企业，不视同小微企业，不享受监狱企业政策。</w:t>
      </w:r>
      <w:r/>
    </w:p>
    <w:p>
      <w:pPr>
        <w:ind w:firstLine="420"/>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rPr>
        <w:t xml:space="preserve">绿色采购</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1、本次采购产品中</w:t>
      </w:r>
      <w:r>
        <w:rPr>
          <w:rFonts w:hint="eastAsia" w:ascii="宋体" w:hAnsi="宋体" w:eastAsia="宋体" w:cs="宋体"/>
          <w:b/>
          <w:bCs/>
          <w:color w:val="auto"/>
          <w:sz w:val="21"/>
          <w:szCs w:val="21"/>
          <w:highlight w:val="none"/>
          <w:lang w:val="en-US" w:eastAsia="zh-CN"/>
        </w:rPr>
        <w:t xml:space="preserve">龙头（水嘴）</w:t>
      </w:r>
      <w:r>
        <w:rPr>
          <w:rFonts w:hint="eastAsia" w:ascii="宋体" w:hAnsi="宋体" w:eastAsia="宋体" w:cs="宋体"/>
          <w:color w:val="auto"/>
          <w:sz w:val="21"/>
          <w:szCs w:val="21"/>
          <w:highlight w:val="none"/>
          <w:lang w:val="en-US" w:eastAsia="zh-CN"/>
        </w:rPr>
        <w:t xml:space="preserve">属于《节能产品政府采购品目清单》范围内的强制采购产品，响应文件中须提供认证机构出具的、处于有效期之内的节能（节水）产品认证证书，</w:t>
      </w:r>
      <w:r>
        <w:rPr>
          <w:rFonts w:hint="eastAsia" w:ascii="宋体" w:hAnsi="宋体" w:eastAsia="宋体" w:cs="宋体"/>
          <w:b/>
          <w:bCs/>
          <w:color w:val="auto"/>
          <w:sz w:val="21"/>
          <w:szCs w:val="21"/>
          <w:highlight w:val="none"/>
          <w:lang w:val="en-US" w:eastAsia="zh-CN"/>
        </w:rPr>
        <w:t xml:space="preserve">否则视为不实质响应。</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2、本次采购产品中</w:t>
      </w:r>
      <w:r>
        <w:rPr>
          <w:rFonts w:hint="eastAsia" w:ascii="宋体" w:hAnsi="宋体" w:eastAsia="宋体" w:cs="宋体"/>
          <w:b/>
          <w:bCs/>
          <w:color w:val="auto"/>
          <w:sz w:val="21"/>
          <w:szCs w:val="21"/>
          <w:highlight w:val="none"/>
          <w:lang w:val="en-US" w:eastAsia="zh-CN"/>
        </w:rPr>
        <w:t xml:space="preserve"> 商用燃气灶具</w:t>
      </w:r>
      <w:r>
        <w:rPr>
          <w:rFonts w:hint="eastAsia" w:ascii="宋体" w:hAnsi="宋体" w:eastAsia="宋体" w:cs="宋体"/>
          <w:color w:val="auto"/>
          <w:sz w:val="21"/>
          <w:szCs w:val="21"/>
          <w:highlight w:val="none"/>
          <w:lang w:val="en-US" w:eastAsia="zh-CN"/>
        </w:rPr>
        <w:t xml:space="preserve"> 属于《节能产品政府采购品目清单》范围内优先采购的产品，本次采购产品中 </w:t>
      </w:r>
      <w:r>
        <w:rPr>
          <w:rFonts w:hint="eastAsia" w:ascii="宋体" w:hAnsi="宋体" w:eastAsia="宋体" w:cs="宋体"/>
          <w:b/>
          <w:bCs/>
          <w:color w:val="auto"/>
          <w:sz w:val="21"/>
          <w:szCs w:val="21"/>
          <w:highlight w:val="none"/>
          <w:lang w:val="en-US" w:eastAsia="zh-CN"/>
        </w:rPr>
        <w:t xml:space="preserve">龙头（水嘴）、水池、塑料制品</w:t>
      </w:r>
      <w:r>
        <w:rPr>
          <w:rFonts w:hint="eastAsia" w:ascii="宋体" w:hAnsi="宋体" w:eastAsia="宋体" w:cs="宋体"/>
          <w:color w:val="auto"/>
          <w:sz w:val="21"/>
          <w:szCs w:val="21"/>
          <w:highlight w:val="none"/>
          <w:lang w:val="en-US" w:eastAsia="zh-CN"/>
        </w:rPr>
        <w:t xml:space="preserve"> 属于《环境标志产品政府采购品目清单》范围内优先采购的产品，各响应单位可提供由国家确定的认证机构出具的、处于有效期之内的节能（节水）产品、环境标志产品认证证书。在评审价格相同情况下，提供证书更多的响应单位优先成交。</w:t>
      </w:r>
      <w:r/>
    </w:p>
    <w:p>
      <w:pPr>
        <w:ind w:firstLine="42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5、实施本国产品标准及相关政策</w:t>
      </w:r>
      <w:r/>
    </w:p>
    <w:p>
      <w:pPr>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5.1</w:t>
      </w:r>
      <w:r>
        <w:rPr>
          <w:rFonts w:hint="eastAsia" w:ascii="宋体" w:hAnsi="宋体" w:eastAsia="宋体" w:cs="宋体"/>
          <w:b/>
          <w:bCs/>
          <w:color w:val="auto"/>
          <w:sz w:val="21"/>
          <w:szCs w:val="21"/>
          <w:highlight w:val="none"/>
        </w:rPr>
        <w:t xml:space="preserve">根据《国务院办公厅关于在政府采购中实施本国产品标准及相关政策的通知》（国办发（2025）34号）的规定，本项目对采购本国产品给予政策支持。</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5.2</w:t>
      </w:r>
      <w:r>
        <w:rPr>
          <w:rFonts w:hint="eastAsia" w:ascii="宋体" w:hAnsi="宋体" w:eastAsia="宋体" w:cs="宋体"/>
          <w:color w:val="auto"/>
          <w:sz w:val="21"/>
          <w:szCs w:val="21"/>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5.3</w:t>
      </w:r>
      <w:r>
        <w:rPr>
          <w:rFonts w:hint="eastAsia" w:ascii="宋体" w:hAnsi="宋体" w:eastAsia="宋体" w:cs="宋体"/>
          <w:color w:val="auto"/>
          <w:sz w:val="21"/>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5.4</w:t>
      </w:r>
      <w:r>
        <w:rPr>
          <w:rFonts w:hint="eastAsia" w:ascii="宋体" w:hAnsi="宋体" w:eastAsia="宋体" w:cs="宋体"/>
          <w:color w:val="auto"/>
          <w:sz w:val="21"/>
          <w:szCs w:val="21"/>
          <w:highlight w:val="none"/>
        </w:rPr>
        <w:t xml:space="preserve">本项目政府采购活动中既有本国产品又有非本国产品参与竞争的，依法对本国产品给予价格评审优惠，对本国产品的报价给予</w:t>
      </w:r>
      <w:r>
        <w:rPr>
          <w:rFonts w:hint="eastAsia" w:ascii="宋体" w:hAnsi="宋体" w:eastAsia="宋体" w:cs="宋体"/>
          <w:color w:val="auto"/>
          <w:sz w:val="21"/>
          <w:szCs w:val="21"/>
          <w:highlight w:val="none"/>
          <w:u w:val="single"/>
        </w:rPr>
        <w:t xml:space="preserve">20%</w:t>
      </w:r>
      <w:r>
        <w:rPr>
          <w:rFonts w:hint="eastAsia" w:ascii="宋体" w:hAnsi="宋体" w:eastAsia="宋体" w:cs="宋体"/>
          <w:color w:val="auto"/>
          <w:sz w:val="21"/>
          <w:szCs w:val="21"/>
          <w:highlight w:val="none"/>
        </w:rPr>
        <w:t xml:space="preserve">的价格扣除，用扣除后的价格参与评审。</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当采购项目或者采购包中含有多种产品，供应商为该采购项目或者采购包提供的符合本国产品标准的产品成本之和占该供应商提供的全部产品成本之和的比例达到80%以上时（供应商需在“第三章 投标文件格式”的“投标报价明细表”中填写比例数值），依法对该供应商提供的全部产品给予价格评审优惠，即对该供应商提供的全部产品的总报价给予</w:t>
      </w:r>
      <w:r>
        <w:rPr>
          <w:rFonts w:hint="eastAsia" w:ascii="宋体" w:hAnsi="宋体" w:eastAsia="宋体" w:cs="宋体"/>
          <w:color w:val="auto"/>
          <w:sz w:val="21"/>
          <w:szCs w:val="21"/>
          <w:highlight w:val="none"/>
          <w:u w:val="single"/>
        </w:rPr>
        <w:t xml:space="preserve">20%</w:t>
      </w:r>
      <w:r>
        <w:rPr>
          <w:rFonts w:hint="eastAsia" w:ascii="宋体" w:hAnsi="宋体" w:eastAsia="宋体" w:cs="宋体"/>
          <w:color w:val="auto"/>
          <w:sz w:val="21"/>
          <w:szCs w:val="21"/>
          <w:highlight w:val="none"/>
        </w:rPr>
        <w:t xml:space="preserve">的价格扣除，用扣除后的价格参与评审。</w:t>
      </w:r>
      <w:r>
        <w:rPr>
          <w:rFonts w:hint="eastAsia" w:ascii="宋体" w:hAnsi="宋体" w:eastAsia="宋体" w:cs="宋体"/>
          <w:b/>
          <w:bCs/>
          <w:color w:val="auto"/>
          <w:sz w:val="21"/>
          <w:szCs w:val="21"/>
          <w:highlight w:val="none"/>
        </w:rPr>
        <w:t xml:space="preserve">供应商未填写比例数值，或比例数值未达到</w:t>
      </w:r>
      <w:r>
        <w:rPr>
          <w:rFonts w:hint="eastAsia" w:ascii="宋体" w:hAnsi="宋体" w:eastAsia="宋体" w:cs="宋体"/>
          <w:b/>
          <w:bCs/>
          <w:color w:val="auto"/>
          <w:sz w:val="21"/>
          <w:szCs w:val="21"/>
          <w:highlight w:val="none"/>
          <w:u w:val="single"/>
        </w:rPr>
        <w:t xml:space="preserve">80%</w:t>
      </w:r>
      <w:r>
        <w:rPr>
          <w:rFonts w:hint="eastAsia" w:ascii="宋体" w:hAnsi="宋体" w:eastAsia="宋体" w:cs="宋体"/>
          <w:b/>
          <w:bCs/>
          <w:color w:val="auto"/>
          <w:sz w:val="21"/>
          <w:szCs w:val="21"/>
          <w:highlight w:val="none"/>
        </w:rPr>
        <w:t xml:space="preserve">的，</w:t>
      </w:r>
      <w:r>
        <w:rPr>
          <w:rFonts w:hint="eastAsia" w:ascii="宋体" w:hAnsi="宋体" w:eastAsia="宋体" w:cs="宋体"/>
          <w:b/>
          <w:color w:val="auto"/>
          <w:sz w:val="21"/>
          <w:szCs w:val="21"/>
          <w:highlight w:val="none"/>
        </w:rPr>
        <w:t xml:space="preserve">将不享受本国产品价格评审优惠。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5.5</w:t>
      </w:r>
      <w:r>
        <w:rPr>
          <w:rFonts w:hint="eastAsia" w:ascii="宋体" w:hAnsi="宋体" w:eastAsia="宋体" w:cs="宋体"/>
          <w:color w:val="auto"/>
          <w:sz w:val="21"/>
          <w:szCs w:val="21"/>
          <w:highlight w:val="none"/>
        </w:rPr>
        <w:t xml:space="preserve">供应商需按照招标文件的要求提供《关于符合本国产品标准的声明函》（以下简称《声明函》）或财政部会同有关部门规定的有关证明文件的，</w:t>
      </w:r>
      <w:r>
        <w:rPr>
          <w:rFonts w:hint="eastAsia" w:ascii="宋体" w:hAnsi="宋体" w:eastAsia="宋体" w:cs="宋体"/>
          <w:b/>
          <w:color w:val="auto"/>
          <w:sz w:val="21"/>
          <w:szCs w:val="21"/>
          <w:highlight w:val="none"/>
        </w:rPr>
        <w:t xml:space="preserve">如不提供或提供不符要求的将不享受本国产品价格评审优惠。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5.6</w:t>
      </w:r>
      <w:r>
        <w:rPr>
          <w:rFonts w:hint="eastAsia" w:ascii="宋体" w:hAnsi="宋体" w:eastAsia="宋体" w:cs="宋体"/>
          <w:color w:val="auto"/>
          <w:sz w:val="21"/>
          <w:szCs w:val="21"/>
          <w:highlight w:val="none"/>
        </w:rPr>
        <w:t xml:space="preserve">供应商需在《声明函》中逐一、准确填写产品名称、厂名、生产厂址三项信息（《声明函》中用斜线划除的地方无需填写），</w:t>
      </w:r>
      <w:r>
        <w:rPr>
          <w:rFonts w:hint="eastAsia" w:ascii="宋体" w:hAnsi="宋体" w:eastAsia="宋体" w:cs="宋体"/>
          <w:b/>
          <w:color w:val="auto"/>
          <w:sz w:val="21"/>
          <w:szCs w:val="21"/>
          <w:highlight w:val="none"/>
        </w:rPr>
        <w:t xml:space="preserve">三项信息中任意一项未填写的视为该项产品不符合本国产品标准，不享受本国产品价格评审优惠。</w:t>
      </w:r>
      <w:r/>
    </w:p>
    <w:p>
      <w:pPr>
        <w:ind w:firstLine="42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lang w:val="en-US" w:eastAsia="zh-CN"/>
        </w:rPr>
        <w:t xml:space="preserve">5.7</w:t>
      </w:r>
      <w:r>
        <w:rPr>
          <w:rFonts w:hint="eastAsia" w:ascii="宋体" w:hAnsi="宋体" w:eastAsia="宋体" w:cs="宋体"/>
          <w:color w:val="auto"/>
          <w:sz w:val="21"/>
          <w:szCs w:val="21"/>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w:t>
      </w:r>
      <w:r>
        <w:rPr>
          <w:rFonts w:hint="eastAsia" w:ascii="宋体" w:hAnsi="宋体" w:eastAsia="宋体" w:cs="宋体"/>
          <w:b/>
          <w:color w:val="auto"/>
          <w:sz w:val="21"/>
          <w:szCs w:val="21"/>
          <w:highlight w:val="none"/>
        </w:rPr>
        <w:t xml:space="preserve">供应商提供的相关产品视为不符合本国产品标准。</w:t>
      </w:r>
      <w:r/>
    </w:p>
    <w:p>
      <w:pPr>
        <w:ind w:right="480"/>
        <w:jc w:val="right"/>
        <w:spacing w:line="360" w:lineRule="auto"/>
        <w:rPr>
          <w:rFonts w:ascii="宋体" w:hAnsi="宋体" w:eastAsia="宋体" w:cs="Times New Roman"/>
          <w:b/>
          <w:bCs/>
          <w:color w:val="auto"/>
          <w:sz w:val="24"/>
          <w:szCs w:val="20"/>
          <w:highlight w:val="none"/>
          <w:shd w:val="clear" w:color="auto" w:fill="ffffff"/>
        </w:rPr>
      </w:pPr>
      <w:r>
        <w:rPr>
          <w:rFonts w:ascii="宋体" w:hAnsi="宋体" w:eastAsia="宋体" w:cs="Times New Roman"/>
          <w:b/>
          <w:bCs/>
          <w:color w:val="auto"/>
          <w:sz w:val="24"/>
          <w:szCs w:val="20"/>
          <w:highlight w:val="none"/>
          <w:shd w:val="clear" w:color="auto" w:fill="ffffff"/>
        </w:rPr>
      </w:r>
      <w:r/>
    </w:p>
    <w:p>
      <w:pPr>
        <w:ind w:right="480"/>
        <w:jc w:val="right"/>
        <w:spacing w:line="360" w:lineRule="auto"/>
        <w:rPr>
          <w:b/>
          <w:bCs/>
          <w:color w:val="auto"/>
          <w:highlight w:val="none"/>
        </w:rPr>
      </w:pPr>
      <w:r>
        <w:rPr>
          <w:rFonts w:hint="eastAsia" w:ascii="宋体" w:hAnsi="宋体" w:eastAsia="宋体" w:cs="Times New Roman"/>
          <w:b/>
          <w:bCs/>
          <w:color w:val="auto"/>
          <w:sz w:val="24"/>
          <w:szCs w:val="20"/>
          <w:highlight w:val="none"/>
          <w:shd w:val="clear" w:color="auto" w:fill="ffffff"/>
        </w:rPr>
        <w:t xml:space="preserve">（全文完）</w:t>
      </w:r>
      <w:r/>
    </w:p>
    <w:sectPr>
      <w:headerReference w:type="default" r:id="rId9"/>
      <w:headerReference w:type="first" r:id="rId10"/>
      <w:footerReference w:type="default" r:id="rId11"/>
      <w:footerReference w:type="first" r:id="rId12"/>
      <w:footnotePr/>
      <w:endnotePr/>
      <w:type w:val="nextPage"/>
      <w:pgSz w:w="11906" w:h="16838" w:orient="portrait"/>
      <w:pgMar w:top="1134" w:right="1134" w:bottom="1134" w:left="1134" w:header="851"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r/>
    </w:p>
  </w:endnote>
  <w:endnote w:type="continuationSeparator" w:id="0">
    <w:p>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仿宋">
    <w:panose1 w:val="02010609060101010101"/>
  </w:font>
  <w:font w:name="Cambria">
    <w:panose1 w:val="02040503050406030204"/>
  </w:font>
  <w:font w:name="Courier New">
    <w:panose1 w:val="02070309020205020404"/>
  </w:font>
  <w:font w:name="方正仿宋简体">
    <w:panose1 w:val="020B0503020202020204"/>
  </w:font>
  <w:font w:name="Tahoma">
    <w:panose1 w:val="020B0604030504040204"/>
  </w:font>
  <w:font w:name="仿宋_GB2312">
    <w:panose1 w:val="02010609060101010101"/>
  </w:font>
  <w:font w:name="Verdana">
    <w:panose1 w:val="020B0604030504040204"/>
  </w:font>
  <w:font w:name="黑体">
    <w:panose1 w:val="02010609060101010101"/>
  </w:font>
  <w:font w:name="楷体_GB2312">
    <w:panose1 w:val="02010609060101010101"/>
  </w:font>
  <w:font w:name="Calibri">
    <w:panose1 w:val="020F050202020403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rPr>
        <w:rFonts w:ascii="宋体" w:hAnsi="宋体" w:eastAsia="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1"/>
                          </w:pPr>
                          <w:r>
                            <w:t xml:space="preserve">第 </w:t>
                          </w:r>
                          <w:r>
                            <w:fldChar w:fldCharType="begin"/>
                          </w:r>
                          <w:r>
                            <w:instrText xml:space="preserve"> PAGE  \* MERGEFORMAT </w:instrText>
                          </w:r>
                          <w:r>
                            <w:fldChar w:fldCharType="separate"/>
                          </w:r>
                          <w:r>
                            <w:t xml:space="preserve">83</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1"/>
                    </w:pPr>
                    <w:r>
                      <w:t xml:space="preserve">第 </w:t>
                    </w:r>
                    <w:r>
                      <w:fldChar w:fldCharType="begin"/>
                    </w:r>
                    <w:r>
                      <w:instrText xml:space="preserve"> PAGE  \* MERGEFORMAT </w:instrText>
                    </w:r>
                    <w:r>
                      <w:fldChar w:fldCharType="separate"/>
                    </w:r>
                    <w:r>
                      <w:t xml:space="preserve">83</w:t>
                    </w:r>
                    <w:r>
                      <w:fldChar w:fldCharType="end"/>
                    </w:r>
                    <w:r>
                      <w:t xml:space="preserve"> 页</w:t>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wps:spPr>
                    <wps:txbx>
                      <w:txbxContent>
                        <w:p>
                          <w:pPr>
                            <w:jc w:val="left"/>
                          </w:pPr>
                          <w:r/>
                          <w:r/>
                        </w:p>
                        <w:p>
                          <w:r/>
                          <w:r/>
                        </w:p>
                      </w:txbxContent>
                    </wps:txbx>
                    <wps:bodyPr vert="horz" wrap="none" lIns="0" tIns="0" rIns="0" bIns="0" anchor="t" anchorCtr="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75pt">
              <v:textbox inset="0,0,0,0">
                <w:txbxContent>
                  <w:p>
                    <w:pPr>
                      <w:jc w:val="left"/>
                    </w:pPr>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wps:spPr>
                    <wps:txbx>
                      <w:txbxContent>
                        <w:p>
                          <w:pPr>
                            <w:pStyle w:val="981"/>
                          </w:pPr>
                          <w:r>
                            <w:t xml:space="preserve">第 </w:t>
                          </w:r>
                          <w:r>
                            <w:fldChar w:fldCharType="begin"/>
                          </w:r>
                          <w:r>
                            <w:instrText xml:space="preserve"> PAGE  \* MERGEFORMAT </w:instrText>
                          </w:r>
                          <w:r>
                            <w:fldChar w:fldCharType="separate"/>
                          </w:r>
                          <w:r>
                            <w:t xml:space="preserve">72</w:t>
                          </w:r>
                          <w:r>
                            <w:fldChar w:fldCharType="end"/>
                          </w:r>
                          <w:r>
                            <w:t xml:space="preserve"> 页</w:t>
                          </w:r>
                          <w:r/>
                        </w:p>
                      </w:txbxContent>
                    </wps:txbx>
                    <wps:bodyPr vert="horz" wrap="none" lIns="0" tIns="0" rIns="0" bIns="0" anchor="t" anchorCtr="0">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75pt">
              <v:textbox inset="0,0,0,0">
                <w:txbxContent>
                  <w:p>
                    <w:pPr>
                      <w:pStyle w:val="981"/>
                    </w:pPr>
                    <w:r>
                      <w:t xml:space="preserve">第 </w:t>
                    </w:r>
                    <w:r>
                      <w:fldChar w:fldCharType="begin"/>
                    </w:r>
                    <w:r>
                      <w:instrText xml:space="preserve"> PAGE  \* MERGEFORMAT </w:instrText>
                    </w:r>
                    <w:r>
                      <w:fldChar w:fldCharType="separate"/>
                    </w:r>
                    <w:r>
                      <w:t xml:space="preserve">72</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r/>
    </w:p>
  </w:footnote>
  <w:footnote w:type="continuationSeparator" w:id="0">
    <w:p>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jc w:val="both"/>
      <w:rPr>
        <w:rFonts w:ascii="宋体" w:hAnsi="宋体" w:eastAsia="宋体"/>
      </w:rPr>
    </w:pPr>
    <w:r>
      <w:rPr>
        <w:rFonts w:hint="eastAsia" w:ascii="宋体" w:hAnsi="宋体" w:eastAsia="宋体"/>
      </w:rPr>
      <w:t xml:space="preserve">政府采购招标文件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jc w:val="both"/>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1"/>
      <w:lvlJc w:val="left"/>
      <w:pPr>
        <w:ind w:left="0" w:firstLine="0"/>
      </w:pPr>
      <w:rPr>
        <w:rFonts w:hint="eastAsia" w:ascii="宋体" w:hAnsi="宋体" w:eastAsia="宋体"/>
        <w:b/>
      </w:rPr>
    </w:lvl>
    <w:lvl w:ilvl="1">
      <w:start w:val="1"/>
      <w:numFmt w:val="decimal"/>
      <w:pStyle w:val="1050"/>
      <w:isLgl w:val="false"/>
      <w:suff w:val="space"/>
      <w:lvlText w:val="%1.%2"/>
      <w:lvlJc w:val="left"/>
      <w:pPr>
        <w:ind w:left="0" w:firstLine="510"/>
      </w:pPr>
      <w:rPr>
        <w:rFonts w:hint="eastAsia" w:ascii="宋体" w:hAnsi="宋体" w:eastAsia="宋体"/>
      </w:rPr>
    </w:lvl>
    <w:lvl w:ilvl="2">
      <w:start w:val="1"/>
      <w:numFmt w:val="decimal"/>
      <w:isLgl w:val="false"/>
      <w:suff w:val="tab"/>
      <w:lvlText w:val="%1.%2.%3"/>
      <w:lvlJc w:val="left"/>
      <w:pPr>
        <w:ind w:left="0" w:firstLine="510"/>
      </w:pPr>
      <w:rPr>
        <w:rFonts w:hint="eastAsia"/>
      </w:rPr>
    </w:lvl>
    <w:lvl w:ilvl="3">
      <w:start w:val="1"/>
      <w:numFmt w:val="decimal"/>
      <w:isLgl w:val="false"/>
      <w:suff w:val="tab"/>
      <w:lvlText w:val="%1.%2.%3.%4"/>
      <w:lvlJc w:val="left"/>
      <w:pPr>
        <w:ind w:left="0" w:firstLine="425"/>
      </w:pPr>
      <w:rPr>
        <w:rFonts w:hint="eastAsia" w:ascii="宋体" w:hAnsi="宋体" w:eastAsia="宋体"/>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2"/>
      <w:numFmt w:val="decimal"/>
      <w:pStyle w:val="1075"/>
      <w:isLgl w:val="false"/>
      <w:suff w:val="tab"/>
      <w:lvlText w:val=""/>
      <w:lvlJc w:val="left"/>
      <w:pPr>
        <w:ind w:left="360" w:hanging="360"/>
        <w:tabs>
          <w:tab w:val="left" w:pos="360" w:leader="none"/>
        </w:tabs>
      </w:pPr>
      <w:rPr>
        <w:rFonts w:hint="default"/>
      </w:rPr>
    </w:lvl>
    <w:lvl w:ilvl="1">
      <w:start w:val="1"/>
      <w:numFmt w:val="decimal"/>
      <w:isLgl w:val="false"/>
      <w:suff w:val="tab"/>
      <w:lvlText w:val="%1.%2"/>
      <w:lvlJc w:val="left"/>
      <w:pPr>
        <w:ind w:left="1012" w:hanging="750"/>
        <w:tabs>
          <w:tab w:val="left" w:pos="1012" w:leader="none"/>
        </w:tabs>
      </w:pPr>
      <w:rPr>
        <w:rFonts w:hint="default"/>
      </w:rPr>
    </w:lvl>
    <w:lvl w:ilvl="2">
      <w:start w:val="1"/>
      <w:numFmt w:val="decimal"/>
      <w:isLgl w:val="false"/>
      <w:suff w:val="tab"/>
      <w:lvlText w:val="%1.%2.%3"/>
      <w:lvlJc w:val="left"/>
      <w:pPr>
        <w:ind w:left="1274" w:hanging="750"/>
        <w:tabs>
          <w:tab w:val="left" w:pos="1274" w:leader="none"/>
        </w:tabs>
      </w:pPr>
      <w:rPr>
        <w:rFonts w:hint="default"/>
      </w:rPr>
    </w:lvl>
    <w:lvl w:ilvl="3">
      <w:start w:val="1"/>
      <w:numFmt w:val="decimal"/>
      <w:isLgl w:val="false"/>
      <w:suff w:val="tab"/>
      <w:lvlText w:val="%1.%2.%3.%4"/>
      <w:lvlJc w:val="left"/>
      <w:pPr>
        <w:ind w:left="1536" w:hanging="750"/>
        <w:tabs>
          <w:tab w:val="left" w:pos="1536" w:leader="none"/>
        </w:tabs>
      </w:pPr>
      <w:rPr>
        <w:rFonts w:hint="default"/>
      </w:rPr>
    </w:lvl>
    <w:lvl w:ilvl="4">
      <w:start w:val="1"/>
      <w:numFmt w:val="decimal"/>
      <w:isLgl w:val="false"/>
      <w:suff w:val="tab"/>
      <w:lvlText w:val="%1.%2.%3.%4.%5"/>
      <w:lvlJc w:val="left"/>
      <w:pPr>
        <w:ind w:left="1798" w:hanging="750"/>
        <w:tabs>
          <w:tab w:val="left" w:pos="1798" w:leader="none"/>
        </w:tabs>
      </w:pPr>
      <w:rPr>
        <w:rFonts w:hint="default"/>
      </w:rPr>
    </w:lvl>
    <w:lvl w:ilvl="5">
      <w:start w:val="1"/>
      <w:numFmt w:val="decimal"/>
      <w:isLgl w:val="false"/>
      <w:suff w:val="tab"/>
      <w:lvlText w:val="%1.%2.%3.%4.%5.%6"/>
      <w:lvlJc w:val="left"/>
      <w:pPr>
        <w:ind w:left="2060" w:hanging="750"/>
        <w:tabs>
          <w:tab w:val="left" w:pos="2060" w:leader="none"/>
        </w:tabs>
      </w:pPr>
      <w:rPr>
        <w:rFonts w:hint="default"/>
      </w:rPr>
    </w:lvl>
    <w:lvl w:ilvl="6">
      <w:start w:val="1"/>
      <w:numFmt w:val="decimal"/>
      <w:isLgl w:val="false"/>
      <w:suff w:val="tab"/>
      <w:lvlText w:val="%1.%2.%3.%4.%5.%6.%7"/>
      <w:lvlJc w:val="left"/>
      <w:pPr>
        <w:ind w:left="2322" w:hanging="750"/>
        <w:tabs>
          <w:tab w:val="left" w:pos="2322" w:leader="none"/>
        </w:tabs>
      </w:pPr>
      <w:rPr>
        <w:rFonts w:hint="default"/>
      </w:rPr>
    </w:lvl>
    <w:lvl w:ilvl="7">
      <w:start w:val="1"/>
      <w:numFmt w:val="decimal"/>
      <w:isLgl w:val="false"/>
      <w:suff w:val="tab"/>
      <w:lvlText w:val="%1.%2.%3.%4.%5.%6.%7.%8"/>
      <w:lvlJc w:val="left"/>
      <w:pPr>
        <w:ind w:left="2584" w:hanging="750"/>
        <w:tabs>
          <w:tab w:val="left" w:pos="2584" w:leader="none"/>
        </w:tabs>
      </w:pPr>
      <w:rPr>
        <w:rFonts w:hint="default"/>
      </w:rPr>
    </w:lvl>
    <w:lvl w:ilvl="8">
      <w:start w:val="1"/>
      <w:numFmt w:val="decimal"/>
      <w:isLgl w:val="false"/>
      <w:suff w:val="tab"/>
      <w:lvlText w:val="%1.%2.%3.%4.%5.%6.%7.%8.%9"/>
      <w:lvlJc w:val="left"/>
      <w:pPr>
        <w:ind w:left="2846" w:hanging="750"/>
        <w:tabs>
          <w:tab w:val="left" w:pos="2846" w:leader="none"/>
        </w:tabs>
      </w:pPr>
      <w:rPr>
        <w:rFonts w:hint="default"/>
      </w:rPr>
    </w:lvl>
  </w:abstractNum>
  <w:abstractNum w:abstractNumId="1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chineseCounting"/>
      <w:isLgl w:val="false"/>
      <w:suff w:val="tab"/>
      <w:lvlText w:val="%1."/>
      <w:lvlJc w:val="left"/>
      <w:pPr>
        <w:tabs>
          <w:tab w:val="left"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14"/>
  </w:num>
  <w:num w:numId="3">
    <w:abstractNumId w:val="21"/>
  </w:num>
  <w:num w:numId="4">
    <w:abstractNumId w:val="13"/>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num>
  <w:num w:numId="7">
    <w:abstractNumId w:val="19"/>
  </w:num>
  <w:num w:numId="8">
    <w:abstractNumId w:val="18"/>
  </w:num>
  <w:num w:numId="9">
    <w:abstractNumId w:val="9"/>
  </w:num>
  <w:num w:numId="10">
    <w:abstractNumId w:val="23"/>
  </w:num>
  <w:num w:numId="11">
    <w:abstractNumId w:val="5"/>
  </w:num>
  <w:num w:numId="12">
    <w:abstractNumId w:val="22"/>
  </w:num>
  <w:num w:numId="13">
    <w:abstractNumId w:val="7"/>
  </w:num>
  <w:num w:numId="14">
    <w:abstractNumId w:val="0"/>
  </w:num>
  <w:num w:numId="15">
    <w:abstractNumId w:val="12"/>
  </w:num>
  <w:num w:numId="16">
    <w:abstractNumId w:val="20"/>
  </w:num>
  <w:num w:numId="17">
    <w:abstractNumId w:val="2"/>
  </w:num>
  <w:num w:numId="18">
    <w:abstractNumId w:val="17"/>
  </w:num>
  <w:num w:numId="19">
    <w:abstractNumId w:val="6"/>
  </w:num>
  <w:num w:numId="20">
    <w:abstractNumId w:val="10"/>
  </w:num>
  <w:num w:numId="21">
    <w:abstractNumId w:val="4"/>
  </w:num>
  <w:num w:numId="22">
    <w:abstractNumId w:val="3"/>
  </w:num>
  <w:num w:numId="23">
    <w:abstractNumId w:val="1"/>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00">
    <w:name w:val="Heading 1 Char"/>
    <w:basedOn w:val="958"/>
    <w:link w:val="952"/>
    <w:uiPriority w:val="9"/>
    <w:rPr>
      <w:rFonts w:ascii="Arial" w:hAnsi="Arial" w:eastAsia="Arial" w:cs="Arial"/>
      <w:sz w:val="40"/>
      <w:szCs w:val="40"/>
    </w:rPr>
  </w:style>
  <w:style w:type="character" w:styleId="801">
    <w:name w:val="Heading 2 Char"/>
    <w:basedOn w:val="958"/>
    <w:link w:val="953"/>
    <w:uiPriority w:val="9"/>
    <w:rPr>
      <w:rFonts w:ascii="Arial" w:hAnsi="Arial" w:eastAsia="Arial" w:cs="Arial"/>
      <w:sz w:val="34"/>
    </w:rPr>
  </w:style>
  <w:style w:type="character" w:styleId="802">
    <w:name w:val="Heading 3 Char"/>
    <w:basedOn w:val="958"/>
    <w:link w:val="954"/>
    <w:uiPriority w:val="9"/>
    <w:rPr>
      <w:rFonts w:ascii="Arial" w:hAnsi="Arial" w:eastAsia="Arial" w:cs="Arial"/>
      <w:sz w:val="30"/>
      <w:szCs w:val="30"/>
    </w:rPr>
  </w:style>
  <w:style w:type="character" w:styleId="803">
    <w:name w:val="Heading 4 Char"/>
    <w:basedOn w:val="958"/>
    <w:link w:val="955"/>
    <w:uiPriority w:val="9"/>
    <w:rPr>
      <w:rFonts w:ascii="Arial" w:hAnsi="Arial" w:eastAsia="Arial" w:cs="Arial"/>
      <w:b/>
      <w:bCs/>
      <w:sz w:val="26"/>
      <w:szCs w:val="26"/>
    </w:rPr>
  </w:style>
  <w:style w:type="character" w:styleId="804">
    <w:name w:val="Heading 5 Char"/>
    <w:basedOn w:val="958"/>
    <w:link w:val="956"/>
    <w:uiPriority w:val="9"/>
    <w:rPr>
      <w:rFonts w:ascii="Arial" w:hAnsi="Arial" w:eastAsia="Arial" w:cs="Arial"/>
      <w:b/>
      <w:bCs/>
      <w:sz w:val="24"/>
      <w:szCs w:val="24"/>
    </w:rPr>
  </w:style>
  <w:style w:type="character" w:styleId="805">
    <w:name w:val="Heading 6 Char"/>
    <w:basedOn w:val="958"/>
    <w:link w:val="957"/>
    <w:uiPriority w:val="9"/>
    <w:rPr>
      <w:rFonts w:ascii="Arial" w:hAnsi="Arial" w:eastAsia="Arial" w:cs="Arial"/>
      <w:b/>
      <w:bCs/>
      <w:sz w:val="22"/>
      <w:szCs w:val="22"/>
    </w:rPr>
  </w:style>
  <w:style w:type="paragraph" w:styleId="806">
    <w:name w:val="Heading 7"/>
    <w:basedOn w:val="951"/>
    <w:next w:val="951"/>
    <w:link w:val="807"/>
    <w:uiPriority w:val="9"/>
    <w:unhideWhenUsed/>
    <w:qFormat/>
    <w:pPr>
      <w:keepLines/>
      <w:keepNext/>
      <w:spacing w:before="320" w:after="200"/>
      <w:outlineLvl w:val="6"/>
    </w:pPr>
    <w:rPr>
      <w:rFonts w:ascii="Arial" w:hAnsi="Arial" w:eastAsia="Arial" w:cs="Arial"/>
      <w:b/>
      <w:bCs/>
      <w:i/>
      <w:iCs/>
      <w:sz w:val="22"/>
      <w:szCs w:val="22"/>
    </w:rPr>
  </w:style>
  <w:style w:type="character" w:styleId="807">
    <w:name w:val="Heading 7 Char"/>
    <w:basedOn w:val="958"/>
    <w:link w:val="806"/>
    <w:uiPriority w:val="9"/>
    <w:rPr>
      <w:rFonts w:ascii="Arial" w:hAnsi="Arial" w:eastAsia="Arial" w:cs="Arial"/>
      <w:b/>
      <w:bCs/>
      <w:i/>
      <w:iCs/>
      <w:sz w:val="22"/>
      <w:szCs w:val="22"/>
    </w:rPr>
  </w:style>
  <w:style w:type="paragraph" w:styleId="808">
    <w:name w:val="Heading 8"/>
    <w:basedOn w:val="951"/>
    <w:next w:val="951"/>
    <w:link w:val="809"/>
    <w:uiPriority w:val="9"/>
    <w:unhideWhenUsed/>
    <w:qFormat/>
    <w:pPr>
      <w:keepLines/>
      <w:keepNext/>
      <w:spacing w:before="320" w:after="200"/>
      <w:outlineLvl w:val="7"/>
    </w:pPr>
    <w:rPr>
      <w:rFonts w:ascii="Arial" w:hAnsi="Arial" w:eastAsia="Arial" w:cs="Arial"/>
      <w:i/>
      <w:iCs/>
      <w:sz w:val="22"/>
      <w:szCs w:val="22"/>
    </w:rPr>
  </w:style>
  <w:style w:type="character" w:styleId="809">
    <w:name w:val="Heading 8 Char"/>
    <w:basedOn w:val="958"/>
    <w:link w:val="808"/>
    <w:uiPriority w:val="9"/>
    <w:rPr>
      <w:rFonts w:ascii="Arial" w:hAnsi="Arial" w:eastAsia="Arial" w:cs="Arial"/>
      <w:i/>
      <w:iCs/>
      <w:sz w:val="22"/>
      <w:szCs w:val="22"/>
    </w:rPr>
  </w:style>
  <w:style w:type="paragraph" w:styleId="810">
    <w:name w:val="Heading 9"/>
    <w:basedOn w:val="951"/>
    <w:next w:val="951"/>
    <w:link w:val="811"/>
    <w:uiPriority w:val="9"/>
    <w:unhideWhenUsed/>
    <w:qFormat/>
    <w:pPr>
      <w:keepLines/>
      <w:keepNext/>
      <w:spacing w:before="320" w:after="200"/>
      <w:outlineLvl w:val="8"/>
    </w:pPr>
    <w:rPr>
      <w:rFonts w:ascii="Arial" w:hAnsi="Arial" w:eastAsia="Arial" w:cs="Arial"/>
      <w:i/>
      <w:iCs/>
      <w:sz w:val="21"/>
      <w:szCs w:val="21"/>
    </w:rPr>
  </w:style>
  <w:style w:type="character" w:styleId="811">
    <w:name w:val="Heading 9 Char"/>
    <w:basedOn w:val="958"/>
    <w:link w:val="810"/>
    <w:uiPriority w:val="9"/>
    <w:rPr>
      <w:rFonts w:ascii="Arial" w:hAnsi="Arial" w:eastAsia="Arial" w:cs="Arial"/>
      <w:i/>
      <w:iCs/>
      <w:sz w:val="21"/>
      <w:szCs w:val="21"/>
    </w:rPr>
  </w:style>
  <w:style w:type="paragraph" w:styleId="812">
    <w:name w:val="No Spacing"/>
    <w:uiPriority w:val="1"/>
    <w:qFormat/>
    <w:pPr>
      <w:spacing w:before="0" w:after="0" w:line="240" w:lineRule="auto"/>
    </w:pPr>
  </w:style>
  <w:style w:type="character" w:styleId="813">
    <w:name w:val="Title Char"/>
    <w:basedOn w:val="958"/>
    <w:link w:val="998"/>
    <w:uiPriority w:val="10"/>
    <w:rPr>
      <w:sz w:val="48"/>
      <w:szCs w:val="48"/>
    </w:rPr>
  </w:style>
  <w:style w:type="character" w:styleId="814">
    <w:name w:val="Subtitle Char"/>
    <w:basedOn w:val="958"/>
    <w:link w:val="987"/>
    <w:uiPriority w:val="11"/>
    <w:rPr>
      <w:sz w:val="24"/>
      <w:szCs w:val="24"/>
    </w:rPr>
  </w:style>
  <w:style w:type="paragraph" w:styleId="815">
    <w:name w:val="Quote"/>
    <w:basedOn w:val="951"/>
    <w:next w:val="951"/>
    <w:link w:val="816"/>
    <w:uiPriority w:val="29"/>
    <w:qFormat/>
    <w:pPr>
      <w:ind w:left="720" w:right="720"/>
    </w:pPr>
    <w:rPr>
      <w:i/>
    </w:rPr>
  </w:style>
  <w:style w:type="character" w:styleId="816">
    <w:name w:val="Quote Char"/>
    <w:link w:val="815"/>
    <w:uiPriority w:val="29"/>
    <w:rPr>
      <w:i/>
    </w:rPr>
  </w:style>
  <w:style w:type="paragraph" w:styleId="817">
    <w:name w:val="Intense Quote"/>
    <w:basedOn w:val="951"/>
    <w:next w:val="951"/>
    <w:link w:val="8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8">
    <w:name w:val="Intense Quote Char"/>
    <w:link w:val="817"/>
    <w:uiPriority w:val="30"/>
    <w:rPr>
      <w:i/>
    </w:rPr>
  </w:style>
  <w:style w:type="character" w:styleId="819">
    <w:name w:val="Header Char"/>
    <w:basedOn w:val="958"/>
    <w:link w:val="982"/>
    <w:uiPriority w:val="99"/>
  </w:style>
  <w:style w:type="character" w:styleId="820">
    <w:name w:val="Footer Char"/>
    <w:basedOn w:val="958"/>
    <w:link w:val="981"/>
    <w:uiPriority w:val="99"/>
  </w:style>
  <w:style w:type="paragraph" w:styleId="821">
    <w:name w:val="Caption"/>
    <w:basedOn w:val="951"/>
    <w:next w:val="951"/>
    <w:uiPriority w:val="35"/>
    <w:semiHidden/>
    <w:unhideWhenUsed/>
    <w:qFormat/>
    <w:pPr>
      <w:spacing w:line="276" w:lineRule="auto"/>
    </w:pPr>
    <w:rPr>
      <w:b/>
      <w:bCs/>
      <w:color w:val="4f81bd" w:themeColor="accent1"/>
      <w:sz w:val="18"/>
      <w:szCs w:val="18"/>
    </w:rPr>
  </w:style>
  <w:style w:type="character" w:styleId="822">
    <w:name w:val="Caption Char"/>
    <w:basedOn w:val="821"/>
    <w:link w:val="981"/>
    <w:uiPriority w:val="99"/>
  </w:style>
  <w:style w:type="table" w:styleId="823">
    <w:name w:val="Table Grid Light"/>
    <w:basedOn w:val="9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4">
    <w:name w:val="Plain Table 1"/>
    <w:basedOn w:val="9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5">
    <w:name w:val="Plain Table 2"/>
    <w:basedOn w:val="95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6">
    <w:name w:val="Plain Table 3"/>
    <w:basedOn w:val="9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7">
    <w:name w:val="Plain Table 4"/>
    <w:basedOn w:val="9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8">
    <w:name w:val="Plain Table 5"/>
    <w:basedOn w:val="9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9">
    <w:name w:val="Grid Table 1 Light"/>
    <w:basedOn w:val="95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0">
    <w:name w:val="Grid Table 1 Light - Accent 1"/>
    <w:basedOn w:val="9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1">
    <w:name w:val="Grid Table 1 Light - Accent 2"/>
    <w:basedOn w:val="9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2">
    <w:name w:val="Grid Table 1 Light - Accent 3"/>
    <w:basedOn w:val="9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3">
    <w:name w:val="Grid Table 1 Light - Accent 4"/>
    <w:basedOn w:val="9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4">
    <w:name w:val="Grid Table 1 Light - Accent 5"/>
    <w:basedOn w:val="9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5">
    <w:name w:val="Grid Table 1 Light - Accent 6"/>
    <w:basedOn w:val="9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6">
    <w:name w:val="Grid Table 2"/>
    <w:basedOn w:val="9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7">
    <w:name w:val="Grid Table 2 - Accent 1"/>
    <w:basedOn w:val="9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8">
    <w:name w:val="Grid Table 2 - Accent 2"/>
    <w:basedOn w:val="9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9">
    <w:name w:val="Grid Table 2 - Accent 3"/>
    <w:basedOn w:val="9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0">
    <w:name w:val="Grid Table 2 - Accent 4"/>
    <w:basedOn w:val="9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1">
    <w:name w:val="Grid Table 2 - Accent 5"/>
    <w:basedOn w:val="9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2">
    <w:name w:val="Grid Table 2 - Accent 6"/>
    <w:basedOn w:val="9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3">
    <w:name w:val="Grid Table 3"/>
    <w:basedOn w:val="9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1"/>
    <w:basedOn w:val="9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3 - Accent 2"/>
    <w:basedOn w:val="9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3 - Accent 3"/>
    <w:basedOn w:val="9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3 - Accent 4"/>
    <w:basedOn w:val="9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8">
    <w:name w:val="Grid Table 3 - Accent 5"/>
    <w:basedOn w:val="9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9">
    <w:name w:val="Grid Table 3 - Accent 6"/>
    <w:basedOn w:val="9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0">
    <w:name w:val="Grid Table 4"/>
    <w:basedOn w:val="95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1">
    <w:name w:val="Grid Table 4 - Accent 1"/>
    <w:basedOn w:val="95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2">
    <w:name w:val="Grid Table 4 - Accent 2"/>
    <w:basedOn w:val="95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3">
    <w:name w:val="Grid Table 4 - Accent 3"/>
    <w:basedOn w:val="95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4">
    <w:name w:val="Grid Table 4 - Accent 4"/>
    <w:basedOn w:val="95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5">
    <w:name w:val="Grid Table 4 - Accent 5"/>
    <w:basedOn w:val="95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6">
    <w:name w:val="Grid Table 4 - Accent 6"/>
    <w:basedOn w:val="95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7">
    <w:name w:val="Grid Table 5 Dark"/>
    <w:basedOn w:val="9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8">
    <w:name w:val="Grid Table 5 Dark- Accent 1"/>
    <w:basedOn w:val="9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9">
    <w:name w:val="Grid Table 5 Dark - Accent 2"/>
    <w:basedOn w:val="9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0">
    <w:name w:val="Grid Table 5 Dark - Accent 3"/>
    <w:basedOn w:val="9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1">
    <w:name w:val="Grid Table 5 Dark- Accent 4"/>
    <w:basedOn w:val="9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62">
    <w:name w:val="Grid Table 5 Dark - Accent 5"/>
    <w:basedOn w:val="9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3">
    <w:name w:val="Grid Table 5 Dark - Accent 6"/>
    <w:basedOn w:val="9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4">
    <w:name w:val="Grid Table 6 Colorful"/>
    <w:basedOn w:val="95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5">
    <w:name w:val="Grid Table 6 Colorful - Accent 1"/>
    <w:basedOn w:val="95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6">
    <w:name w:val="Grid Table 6 Colorful - Accent 2"/>
    <w:basedOn w:val="9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7">
    <w:name w:val="Grid Table 6 Colorful - Accent 3"/>
    <w:basedOn w:val="95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8">
    <w:name w:val="Grid Table 6 Colorful - Accent 4"/>
    <w:basedOn w:val="9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9">
    <w:name w:val="Grid Table 6 Colorful - Accent 5"/>
    <w:basedOn w:val="95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0">
    <w:name w:val="Grid Table 6 Colorful - Accent 6"/>
    <w:basedOn w:val="95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1">
    <w:name w:val="Grid Table 7 Colorful"/>
    <w:basedOn w:val="95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2">
    <w:name w:val="Grid Table 7 Colorful - Accent 1"/>
    <w:basedOn w:val="95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3">
    <w:name w:val="Grid Table 7 Colorful - Accent 2"/>
    <w:basedOn w:val="95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4">
    <w:name w:val="Grid Table 7 Colorful - Accent 3"/>
    <w:basedOn w:val="95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5">
    <w:name w:val="Grid Table 7 Colorful - Accent 4"/>
    <w:basedOn w:val="95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6">
    <w:name w:val="Grid Table 7 Colorful - Accent 5"/>
    <w:basedOn w:val="95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7">
    <w:name w:val="Grid Table 7 Colorful - Accent 6"/>
    <w:basedOn w:val="95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8">
    <w:name w:val="List Table 1 Light"/>
    <w:basedOn w:val="95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9">
    <w:name w:val="List Table 1 Light - Accent 1"/>
    <w:basedOn w:val="95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0">
    <w:name w:val="List Table 1 Light - Accent 2"/>
    <w:basedOn w:val="95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1">
    <w:name w:val="List Table 1 Light - Accent 3"/>
    <w:basedOn w:val="95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2">
    <w:name w:val="List Table 1 Light - Accent 4"/>
    <w:basedOn w:val="95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3">
    <w:name w:val="List Table 1 Light - Accent 5"/>
    <w:basedOn w:val="95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4">
    <w:name w:val="List Table 1 Light - Accent 6"/>
    <w:basedOn w:val="95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5">
    <w:name w:val="List Table 2"/>
    <w:basedOn w:val="95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6">
    <w:name w:val="List Table 2 - Accent 1"/>
    <w:basedOn w:val="95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7">
    <w:name w:val="List Table 2 - Accent 2"/>
    <w:basedOn w:val="95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8">
    <w:name w:val="List Table 2 - Accent 3"/>
    <w:basedOn w:val="95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9">
    <w:name w:val="List Table 2 - Accent 4"/>
    <w:basedOn w:val="95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0">
    <w:name w:val="List Table 2 - Accent 5"/>
    <w:basedOn w:val="95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1">
    <w:name w:val="List Table 2 - Accent 6"/>
    <w:basedOn w:val="95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2">
    <w:name w:val="List Table 3"/>
    <w:basedOn w:val="9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3">
    <w:name w:val="List Table 3 - Accent 1"/>
    <w:basedOn w:val="95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4">
    <w:name w:val="List Table 3 - Accent 2"/>
    <w:basedOn w:val="9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5">
    <w:name w:val="List Table 3 - Accent 3"/>
    <w:basedOn w:val="95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6">
    <w:name w:val="List Table 3 - Accent 4"/>
    <w:basedOn w:val="9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7">
    <w:name w:val="List Table 3 - Accent 5"/>
    <w:basedOn w:val="95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8">
    <w:name w:val="List Table 3 - Accent 6"/>
    <w:basedOn w:val="95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9">
    <w:name w:val="List Table 4"/>
    <w:basedOn w:val="9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0">
    <w:name w:val="List Table 4 - Accent 1"/>
    <w:basedOn w:val="95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1">
    <w:name w:val="List Table 4 - Accent 2"/>
    <w:basedOn w:val="95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02">
    <w:name w:val="List Table 4 - Accent 3"/>
    <w:basedOn w:val="95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3">
    <w:name w:val="List Table 4 - Accent 4"/>
    <w:basedOn w:val="95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4">
    <w:name w:val="List Table 4 - Accent 5"/>
    <w:basedOn w:val="95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5">
    <w:name w:val="List Table 4 - Accent 6"/>
    <w:basedOn w:val="95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6">
    <w:name w:val="List Table 5 Dark"/>
    <w:basedOn w:val="95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1"/>
    <w:basedOn w:val="95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5 Dark - Accent 2"/>
    <w:basedOn w:val="95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5 Dark - Accent 3"/>
    <w:basedOn w:val="95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0">
    <w:name w:val="List Table 5 Dark - Accent 4"/>
    <w:basedOn w:val="95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1">
    <w:name w:val="List Table 5 Dark - Accent 5"/>
    <w:basedOn w:val="95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2">
    <w:name w:val="List Table 5 Dark - Accent 6"/>
    <w:basedOn w:val="95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3">
    <w:name w:val="List Table 6 Colorful"/>
    <w:basedOn w:val="95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4">
    <w:name w:val="List Table 6 Colorful - Accent 1"/>
    <w:basedOn w:val="95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5">
    <w:name w:val="List Table 6 Colorful - Accent 2"/>
    <w:basedOn w:val="95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6">
    <w:name w:val="List Table 6 Colorful - Accent 3"/>
    <w:basedOn w:val="95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7">
    <w:name w:val="List Table 6 Colorful - Accent 4"/>
    <w:basedOn w:val="95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8">
    <w:name w:val="List Table 6 Colorful - Accent 5"/>
    <w:basedOn w:val="95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9">
    <w:name w:val="List Table 6 Colorful - Accent 6"/>
    <w:basedOn w:val="95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20">
    <w:name w:val="List Table 7 Colorful"/>
    <w:basedOn w:val="95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1">
    <w:name w:val="List Table 7 Colorful - Accent 1"/>
    <w:basedOn w:val="95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22">
    <w:name w:val="List Table 7 Colorful - Accent 2"/>
    <w:basedOn w:val="95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3">
    <w:name w:val="List Table 7 Colorful - Accent 3"/>
    <w:basedOn w:val="95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4">
    <w:name w:val="List Table 7 Colorful - Accent 4"/>
    <w:basedOn w:val="95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5">
    <w:name w:val="List Table 7 Colorful - Accent 5"/>
    <w:basedOn w:val="95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6">
    <w:name w:val="List Table 7 Colorful - Accent 6"/>
    <w:basedOn w:val="95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7">
    <w:name w:val="Lined - Accent"/>
    <w:basedOn w:val="9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8">
    <w:name w:val="Lined - Accent 1"/>
    <w:basedOn w:val="9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9">
    <w:name w:val="Lined - Accent 2"/>
    <w:basedOn w:val="9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0">
    <w:name w:val="Lined - Accent 3"/>
    <w:basedOn w:val="9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1">
    <w:name w:val="Lined - Accent 4"/>
    <w:basedOn w:val="9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2">
    <w:name w:val="Lined - Accent 5"/>
    <w:basedOn w:val="9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3">
    <w:name w:val="Lined - Accent 6"/>
    <w:basedOn w:val="9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4">
    <w:name w:val="Bordered &amp; Lined - Accent"/>
    <w:basedOn w:val="95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5">
    <w:name w:val="Bordered &amp; Lined - Accent 1"/>
    <w:basedOn w:val="95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6">
    <w:name w:val="Bordered &amp; Lined - Accent 2"/>
    <w:basedOn w:val="95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7">
    <w:name w:val="Bordered &amp; Lined - Accent 3"/>
    <w:basedOn w:val="95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8">
    <w:name w:val="Bordered &amp; Lined - Accent 4"/>
    <w:basedOn w:val="95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9">
    <w:name w:val="Bordered &amp; Lined - Accent 5"/>
    <w:basedOn w:val="95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0">
    <w:name w:val="Bordered &amp; Lined - Accent 6"/>
    <w:basedOn w:val="95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1">
    <w:name w:val="Bordered"/>
    <w:basedOn w:val="95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2">
    <w:name w:val="Bordered - Accent 1"/>
    <w:basedOn w:val="9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3">
    <w:name w:val="Bordered - Accent 2"/>
    <w:basedOn w:val="9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4">
    <w:name w:val="Bordered - Accent 3"/>
    <w:basedOn w:val="9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5">
    <w:name w:val="Bordered - Accent 4"/>
    <w:basedOn w:val="9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6">
    <w:name w:val="Bordered - Accent 5"/>
    <w:basedOn w:val="9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7">
    <w:name w:val="Bordered - Accent 6"/>
    <w:basedOn w:val="9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8">
    <w:name w:val="Footnote Text Char"/>
    <w:link w:val="988"/>
    <w:uiPriority w:val="99"/>
    <w:rPr>
      <w:sz w:val="18"/>
    </w:rPr>
  </w:style>
  <w:style w:type="character" w:styleId="949">
    <w:name w:val="Endnote Text Char"/>
    <w:link w:val="979"/>
    <w:uiPriority w:val="99"/>
    <w:rPr>
      <w:sz w:val="20"/>
    </w:rPr>
  </w:style>
  <w:style w:type="paragraph" w:styleId="950">
    <w:name w:val="TOC Heading"/>
    <w:uiPriority w:val="39"/>
    <w:unhideWhenUsed/>
  </w:style>
  <w:style w:type="paragraph" w:styleId="951"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952">
    <w:name w:val="Heading 1"/>
    <w:basedOn w:val="951"/>
    <w:next w:val="951"/>
    <w:link w:val="1012"/>
    <w:uiPriority w:val="0"/>
    <w:qFormat/>
    <w:pPr>
      <w:keepLines/>
      <w:keepNext/>
      <w:spacing w:before="340" w:after="330" w:line="578" w:lineRule="auto"/>
      <w:outlineLvl w:val="0"/>
    </w:pPr>
    <w:rPr>
      <w:rFonts w:ascii="Calibri" w:hAnsi="Calibri" w:eastAsia="楷体_GB2312" w:cs="Times New Roman"/>
      <w:b/>
      <w:sz w:val="44"/>
      <w:szCs w:val="20"/>
    </w:rPr>
  </w:style>
  <w:style w:type="paragraph" w:styleId="953">
    <w:name w:val="Heading 2"/>
    <w:basedOn w:val="951"/>
    <w:next w:val="951"/>
    <w:link w:val="1013"/>
    <w:uiPriority w:val="0"/>
    <w:qFormat/>
    <w:pPr>
      <w:jc w:val="left"/>
      <w:keepLines/>
      <w:keepNext/>
      <w:outlineLvl w:val="1"/>
    </w:pPr>
    <w:rPr>
      <w:rFonts w:ascii="宋体" w:hAnsi="宋体" w:eastAsia="楷体_GB2312" w:cs="Times New Roman"/>
      <w:b/>
      <w:sz w:val="26"/>
      <w:szCs w:val="20"/>
    </w:rPr>
  </w:style>
  <w:style w:type="paragraph" w:styleId="954">
    <w:name w:val="Heading 3"/>
    <w:basedOn w:val="951"/>
    <w:next w:val="951"/>
    <w:link w:val="1014"/>
    <w:uiPriority w:val="0"/>
    <w:qFormat/>
    <w:pPr>
      <w:jc w:val="left"/>
      <w:keepLines/>
      <w:keepNext/>
      <w:outlineLvl w:val="2"/>
    </w:pPr>
    <w:rPr>
      <w:rFonts w:ascii="Calibri" w:hAnsi="Calibri" w:eastAsia="楷体_GB2312" w:cs="Times New Roman"/>
      <w:b/>
      <w:sz w:val="26"/>
      <w:szCs w:val="20"/>
    </w:rPr>
  </w:style>
  <w:style w:type="paragraph" w:styleId="955">
    <w:name w:val="Heading 4"/>
    <w:basedOn w:val="951"/>
    <w:next w:val="951"/>
    <w:link w:val="1015"/>
    <w:uiPriority w:val="0"/>
    <w:qFormat/>
    <w:pPr>
      <w:keepLines/>
      <w:keepNext/>
      <w:spacing w:before="280" w:after="290" w:line="376" w:lineRule="auto"/>
      <w:outlineLvl w:val="3"/>
    </w:pPr>
    <w:rPr>
      <w:rFonts w:ascii="Arial" w:hAnsi="Arial" w:eastAsia="黑体" w:cs="Times New Roman"/>
      <w:b/>
      <w:bCs/>
      <w:sz w:val="28"/>
      <w:szCs w:val="28"/>
    </w:rPr>
  </w:style>
  <w:style w:type="paragraph" w:styleId="956">
    <w:name w:val="Heading 5"/>
    <w:basedOn w:val="951"/>
    <w:next w:val="951"/>
    <w:link w:val="1016"/>
    <w:uiPriority w:val="0"/>
    <w:qFormat/>
    <w:pPr>
      <w:keepNext/>
      <w:outlineLvl w:val="4"/>
    </w:pPr>
    <w:rPr>
      <w:rFonts w:ascii="宋体" w:hAnsi="宋体" w:eastAsia="宋体" w:cs="Times New Roman"/>
      <w:color w:val="000000"/>
      <w:sz w:val="28"/>
      <w:szCs w:val="20"/>
    </w:rPr>
  </w:style>
  <w:style w:type="paragraph" w:styleId="957">
    <w:name w:val="Heading 6"/>
    <w:basedOn w:val="951"/>
    <w:next w:val="951"/>
    <w:link w:val="1017"/>
    <w:uiPriority w:val="0"/>
    <w:qFormat/>
    <w:pPr>
      <w:keepNext/>
      <w:outlineLvl w:val="5"/>
    </w:pPr>
    <w:rPr>
      <w:rFonts w:ascii="宋体" w:hAnsi="宋体" w:eastAsia="宋体" w:cs="Times New Roman"/>
      <w:sz w:val="28"/>
      <w:szCs w:val="20"/>
    </w:rPr>
  </w:style>
  <w:style w:type="character" w:styleId="958" w:default="1">
    <w:name w:val="Default Paragraph Font"/>
    <w:uiPriority w:val="1"/>
    <w:semiHidden/>
    <w:unhideWhenUsed/>
    <w:qFormat/>
  </w:style>
  <w:style w:type="table" w:styleId="959" w:default="1">
    <w:name w:val="Normal Table"/>
    <w:uiPriority w:val="99"/>
    <w:semiHidden/>
    <w:unhideWhenUsed/>
    <w:qFormat/>
    <w:tblPr>
      <w:tblCellMar>
        <w:left w:w="108" w:type="dxa"/>
        <w:top w:w="0" w:type="dxa"/>
        <w:right w:w="108" w:type="dxa"/>
        <w:bottom w:w="0" w:type="dxa"/>
      </w:tblCellMar>
    </w:tblPr>
  </w:style>
  <w:style w:type="paragraph" w:styleId="960">
    <w:name w:val="toc 7"/>
    <w:basedOn w:val="951"/>
    <w:next w:val="951"/>
    <w:uiPriority w:val="0"/>
    <w:qFormat/>
    <w:pPr>
      <w:ind w:left="2520"/>
    </w:pPr>
    <w:rPr>
      <w:rFonts w:ascii="Calibri" w:hAnsi="Calibri" w:eastAsia="楷体_GB2312" w:cs="Times New Roman"/>
      <w:sz w:val="26"/>
      <w:szCs w:val="20"/>
    </w:rPr>
  </w:style>
  <w:style w:type="paragraph" w:styleId="961">
    <w:name w:val="index 8"/>
    <w:basedOn w:val="951"/>
    <w:next w:val="951"/>
    <w:uiPriority w:val="0"/>
    <w:qFormat/>
    <w:pPr>
      <w:ind w:left="2940"/>
    </w:pPr>
    <w:rPr>
      <w:rFonts w:ascii="Calibri" w:hAnsi="Calibri" w:eastAsia="楷体_GB2312" w:cs="Times New Roman"/>
      <w:sz w:val="26"/>
      <w:szCs w:val="20"/>
    </w:rPr>
  </w:style>
  <w:style w:type="paragraph" w:styleId="962">
    <w:name w:val="Normal Indent"/>
    <w:basedOn w:val="951"/>
    <w:next w:val="951"/>
    <w:link w:val="1018"/>
    <w:uiPriority w:val="0"/>
    <w:qFormat/>
    <w:pPr>
      <w:ind w:firstLine="420"/>
      <w:jc w:val="left"/>
    </w:pPr>
    <w:rPr>
      <w:rFonts w:ascii="Calibri" w:hAnsi="Calibri" w:eastAsia="楷体_GB2312" w:cs="Times New Roman"/>
      <w:sz w:val="24"/>
      <w:szCs w:val="20"/>
    </w:rPr>
  </w:style>
  <w:style w:type="paragraph" w:styleId="963">
    <w:name w:val="index 5"/>
    <w:basedOn w:val="951"/>
    <w:next w:val="951"/>
    <w:uiPriority w:val="0"/>
    <w:qFormat/>
    <w:pPr>
      <w:ind w:left="1680"/>
    </w:pPr>
    <w:rPr>
      <w:rFonts w:ascii="Calibri" w:hAnsi="Calibri" w:eastAsia="楷体_GB2312" w:cs="Times New Roman"/>
      <w:sz w:val="26"/>
      <w:szCs w:val="20"/>
    </w:rPr>
  </w:style>
  <w:style w:type="paragraph" w:styleId="964">
    <w:name w:val="Document Map"/>
    <w:basedOn w:val="951"/>
    <w:link w:val="1019"/>
    <w:uiPriority w:val="0"/>
    <w:qFormat/>
    <w:pPr>
      <w:shd w:val="clear" w:color="auto" w:fill="000080"/>
    </w:pPr>
    <w:rPr>
      <w:rFonts w:ascii="Calibri" w:hAnsi="Calibri" w:eastAsia="楷体_GB2312" w:cs="Times New Roman"/>
      <w:sz w:val="26"/>
      <w:szCs w:val="20"/>
    </w:rPr>
  </w:style>
  <w:style w:type="paragraph" w:styleId="965">
    <w:name w:val="annotation text"/>
    <w:basedOn w:val="951"/>
    <w:link w:val="1020"/>
    <w:uiPriority w:val="0"/>
    <w:qFormat/>
    <w:pPr>
      <w:jc w:val="left"/>
    </w:pPr>
    <w:rPr>
      <w:rFonts w:ascii="Calibri" w:hAnsi="Calibri" w:eastAsia="楷体_GB2312" w:cs="Times New Roman"/>
      <w:sz w:val="26"/>
      <w:szCs w:val="20"/>
    </w:rPr>
  </w:style>
  <w:style w:type="paragraph" w:styleId="966">
    <w:name w:val="index 6"/>
    <w:basedOn w:val="951"/>
    <w:next w:val="951"/>
    <w:uiPriority w:val="0"/>
    <w:qFormat/>
    <w:pPr>
      <w:ind w:left="2100"/>
    </w:pPr>
    <w:rPr>
      <w:rFonts w:ascii="Calibri" w:hAnsi="Calibri" w:eastAsia="楷体_GB2312" w:cs="Times New Roman"/>
      <w:sz w:val="26"/>
      <w:szCs w:val="20"/>
    </w:rPr>
  </w:style>
  <w:style w:type="paragraph" w:styleId="967">
    <w:name w:val="Body Text"/>
    <w:basedOn w:val="951"/>
    <w:next w:val="968"/>
    <w:link w:val="1021"/>
    <w:uiPriority w:val="0"/>
    <w:qFormat/>
    <w:pPr>
      <w:spacing w:line="400" w:lineRule="exact"/>
    </w:pPr>
    <w:rPr>
      <w:rFonts w:ascii="楷体_GB2312" w:hAnsi="Calibri" w:eastAsia="楷体_GB2312" w:cs="Times New Roman"/>
      <w:sz w:val="28"/>
      <w:szCs w:val="20"/>
    </w:rPr>
  </w:style>
  <w:style w:type="paragraph" w:styleId="968">
    <w:name w:val="toc 2"/>
    <w:basedOn w:val="951"/>
    <w:next w:val="951"/>
    <w:uiPriority w:val="0"/>
    <w:qFormat/>
    <w:pPr>
      <w:ind w:left="420"/>
    </w:pPr>
    <w:rPr>
      <w:rFonts w:ascii="Calibri" w:hAnsi="Calibri" w:eastAsia="楷体_GB2312" w:cs="Times New Roman"/>
      <w:sz w:val="26"/>
      <w:szCs w:val="20"/>
    </w:rPr>
  </w:style>
  <w:style w:type="paragraph" w:styleId="969">
    <w:name w:val="Body Text Indent"/>
    <w:basedOn w:val="951"/>
    <w:next w:val="951"/>
    <w:link w:val="1022"/>
    <w:uiPriority w:val="99"/>
    <w:qFormat/>
    <w:pPr>
      <w:ind w:left="570"/>
      <w:spacing w:line="520" w:lineRule="exact"/>
    </w:pPr>
    <w:rPr>
      <w:rFonts w:ascii="方正仿宋简体" w:hAnsi="创艺简仿宋" w:eastAsia="方正仿宋简体" w:cs="Times New Roman"/>
      <w:sz w:val="24"/>
      <w:szCs w:val="20"/>
    </w:rPr>
  </w:style>
  <w:style w:type="paragraph" w:styleId="970">
    <w:name w:val="Block Text"/>
    <w:basedOn w:val="951"/>
    <w:next w:val="951"/>
    <w:uiPriority w:val="0"/>
    <w:qFormat/>
    <w:pPr>
      <w:ind w:left="630" w:right="-609" w:firstLine="420"/>
      <w:spacing w:line="360" w:lineRule="auto"/>
    </w:pPr>
    <w:rPr>
      <w:rFonts w:hint="eastAsia" w:ascii="仿宋_GB2312" w:hAnsi="Times New Roman" w:eastAsia="仿宋_GB2312" w:cs="Times New Roman"/>
      <w:sz w:val="26"/>
      <w:szCs w:val="20"/>
    </w:rPr>
  </w:style>
  <w:style w:type="paragraph" w:styleId="971">
    <w:name w:val="index 4"/>
    <w:basedOn w:val="951"/>
    <w:next w:val="951"/>
    <w:uiPriority w:val="0"/>
    <w:qFormat/>
    <w:pPr>
      <w:ind w:left="1260"/>
    </w:pPr>
    <w:rPr>
      <w:rFonts w:ascii="Calibri" w:hAnsi="Calibri" w:eastAsia="楷体_GB2312" w:cs="Times New Roman"/>
      <w:sz w:val="26"/>
      <w:szCs w:val="20"/>
    </w:rPr>
  </w:style>
  <w:style w:type="paragraph" w:styleId="972">
    <w:name w:val="toc 5"/>
    <w:basedOn w:val="951"/>
    <w:next w:val="951"/>
    <w:uiPriority w:val="0"/>
    <w:qFormat/>
    <w:pPr>
      <w:ind w:left="1680"/>
    </w:pPr>
    <w:rPr>
      <w:rFonts w:ascii="Calibri" w:hAnsi="Calibri" w:eastAsia="楷体_GB2312" w:cs="Times New Roman"/>
      <w:sz w:val="26"/>
      <w:szCs w:val="20"/>
    </w:rPr>
  </w:style>
  <w:style w:type="paragraph" w:styleId="973">
    <w:name w:val="toc 3"/>
    <w:basedOn w:val="951"/>
    <w:next w:val="951"/>
    <w:uiPriority w:val="0"/>
    <w:qFormat/>
    <w:pPr>
      <w:ind w:left="840"/>
    </w:pPr>
    <w:rPr>
      <w:rFonts w:ascii="Calibri" w:hAnsi="Calibri" w:eastAsia="楷体_GB2312" w:cs="Times New Roman"/>
      <w:sz w:val="26"/>
      <w:szCs w:val="20"/>
    </w:rPr>
  </w:style>
  <w:style w:type="paragraph" w:styleId="974">
    <w:name w:val="Plain Text"/>
    <w:basedOn w:val="951"/>
    <w:link w:val="1023"/>
    <w:uiPriority w:val="0"/>
    <w:qFormat/>
    <w:rPr>
      <w:rFonts w:ascii="宋体" w:hAnsi="Courier New" w:eastAsia="楷体_GB2312" w:cs="Times New Roman"/>
      <w:sz w:val="26"/>
      <w:szCs w:val="20"/>
    </w:rPr>
  </w:style>
  <w:style w:type="paragraph" w:styleId="975">
    <w:name w:val="toc 8"/>
    <w:basedOn w:val="951"/>
    <w:next w:val="951"/>
    <w:uiPriority w:val="0"/>
    <w:qFormat/>
    <w:pPr>
      <w:ind w:left="2940"/>
    </w:pPr>
    <w:rPr>
      <w:rFonts w:ascii="Calibri" w:hAnsi="Calibri" w:eastAsia="楷体_GB2312" w:cs="Times New Roman"/>
      <w:sz w:val="26"/>
      <w:szCs w:val="20"/>
    </w:rPr>
  </w:style>
  <w:style w:type="paragraph" w:styleId="976">
    <w:name w:val="index 3"/>
    <w:basedOn w:val="951"/>
    <w:next w:val="951"/>
    <w:uiPriority w:val="0"/>
    <w:qFormat/>
    <w:pPr>
      <w:ind w:left="840"/>
    </w:pPr>
    <w:rPr>
      <w:rFonts w:ascii="Calibri" w:hAnsi="Calibri" w:eastAsia="楷体_GB2312" w:cs="Times New Roman"/>
      <w:sz w:val="26"/>
      <w:szCs w:val="20"/>
    </w:rPr>
  </w:style>
  <w:style w:type="paragraph" w:styleId="977">
    <w:name w:val="Date"/>
    <w:basedOn w:val="951"/>
    <w:next w:val="951"/>
    <w:link w:val="1024"/>
    <w:uiPriority w:val="0"/>
    <w:qFormat/>
    <w:rPr>
      <w:rFonts w:ascii="宋体" w:hAnsi="宋体" w:eastAsia="楷体_GB2312" w:cs="Times New Roman"/>
      <w:sz w:val="24"/>
      <w:szCs w:val="20"/>
    </w:rPr>
  </w:style>
  <w:style w:type="paragraph" w:styleId="978">
    <w:name w:val="Body Text Indent 2"/>
    <w:basedOn w:val="951"/>
    <w:link w:val="1025"/>
    <w:uiPriority w:val="0"/>
    <w:qFormat/>
    <w:pPr>
      <w:ind w:firstLine="502"/>
      <w:spacing w:line="360" w:lineRule="auto"/>
      <w:tabs>
        <w:tab w:val="left" w:pos="0" w:leader="none"/>
      </w:tabs>
    </w:pPr>
    <w:rPr>
      <w:rFonts w:ascii="宋体" w:hAnsi="Calibri" w:eastAsia="宋体" w:cs="Times New Roman"/>
      <w:b/>
      <w:bCs/>
      <w:sz w:val="24"/>
      <w:szCs w:val="20"/>
    </w:rPr>
  </w:style>
  <w:style w:type="paragraph" w:styleId="979">
    <w:name w:val="endnote text"/>
    <w:basedOn w:val="951"/>
    <w:link w:val="1026"/>
    <w:uiPriority w:val="0"/>
    <w:qFormat/>
    <w:pPr>
      <w:jc w:val="left"/>
    </w:pPr>
    <w:rPr>
      <w:rFonts w:ascii="Calibri" w:hAnsi="Calibri" w:eastAsia="楷体_GB2312" w:cs="Times New Roman"/>
      <w:sz w:val="26"/>
      <w:szCs w:val="20"/>
    </w:rPr>
  </w:style>
  <w:style w:type="paragraph" w:styleId="980">
    <w:name w:val="Balloon Text"/>
    <w:basedOn w:val="951"/>
    <w:link w:val="1027"/>
    <w:uiPriority w:val="99"/>
    <w:qFormat/>
    <w:rPr>
      <w:rFonts w:ascii="Calibri" w:hAnsi="Calibri" w:eastAsia="楷体_GB2312" w:cs="Times New Roman"/>
      <w:sz w:val="18"/>
      <w:szCs w:val="18"/>
    </w:rPr>
  </w:style>
  <w:style w:type="paragraph" w:styleId="981">
    <w:name w:val="Footer"/>
    <w:basedOn w:val="951"/>
    <w:link w:val="1028"/>
    <w:uiPriority w:val="99"/>
    <w:qFormat/>
    <w:pPr>
      <w:jc w:val="left"/>
      <w:tabs>
        <w:tab w:val="center" w:pos="4153" w:leader="none"/>
        <w:tab w:val="right" w:pos="8306" w:leader="none"/>
      </w:tabs>
    </w:pPr>
    <w:rPr>
      <w:rFonts w:ascii="Calibri" w:hAnsi="Calibri" w:eastAsia="楷体_GB2312" w:cs="Times New Roman"/>
      <w:sz w:val="18"/>
      <w:szCs w:val="20"/>
    </w:rPr>
  </w:style>
  <w:style w:type="paragraph" w:styleId="982">
    <w:name w:val="Header"/>
    <w:basedOn w:val="951"/>
    <w:link w:val="1029"/>
    <w:uiPriority w:val="99"/>
    <w:qFormat/>
    <w:pPr>
      <w:jc w:val="center"/>
      <w:tabs>
        <w:tab w:val="center" w:pos="4153" w:leader="none"/>
        <w:tab w:val="right" w:pos="8306" w:leader="none"/>
      </w:tabs>
      <w:pBdr>
        <w:bottom w:val="single" w:color="auto" w:sz="6" w:space="1"/>
      </w:pBdr>
    </w:pPr>
    <w:rPr>
      <w:rFonts w:ascii="Calibri" w:hAnsi="Calibri" w:eastAsia="楷体_GB2312" w:cs="Times New Roman"/>
      <w:sz w:val="18"/>
      <w:szCs w:val="20"/>
    </w:rPr>
  </w:style>
  <w:style w:type="paragraph" w:styleId="983">
    <w:name w:val="toc 1"/>
    <w:basedOn w:val="951"/>
    <w:next w:val="951"/>
    <w:uiPriority w:val="39"/>
    <w:qFormat/>
    <w:pPr>
      <w:jc w:val="left"/>
    </w:pPr>
    <w:rPr>
      <w:rFonts w:ascii="Calibri" w:hAnsi="Calibri" w:eastAsia="楷体_GB2312" w:cs="Times New Roman"/>
      <w:sz w:val="24"/>
      <w:szCs w:val="20"/>
    </w:rPr>
  </w:style>
  <w:style w:type="paragraph" w:styleId="984">
    <w:name w:val="toc 4"/>
    <w:basedOn w:val="951"/>
    <w:next w:val="951"/>
    <w:uiPriority w:val="0"/>
    <w:qFormat/>
    <w:pPr>
      <w:ind w:left="1260"/>
    </w:pPr>
    <w:rPr>
      <w:rFonts w:ascii="Calibri" w:hAnsi="Calibri" w:eastAsia="楷体_GB2312" w:cs="Times New Roman"/>
      <w:sz w:val="26"/>
      <w:szCs w:val="20"/>
    </w:rPr>
  </w:style>
  <w:style w:type="paragraph" w:styleId="985">
    <w:name w:val="index heading"/>
    <w:basedOn w:val="951"/>
    <w:next w:val="986"/>
    <w:uiPriority w:val="0"/>
    <w:qFormat/>
    <w:rPr>
      <w:rFonts w:ascii="Calibri" w:hAnsi="Calibri" w:eastAsia="楷体_GB2312" w:cs="Times New Roman"/>
      <w:sz w:val="26"/>
      <w:szCs w:val="20"/>
    </w:rPr>
  </w:style>
  <w:style w:type="paragraph" w:styleId="986">
    <w:name w:val="index 1"/>
    <w:basedOn w:val="951"/>
    <w:next w:val="951"/>
    <w:uiPriority w:val="0"/>
    <w:unhideWhenUsed/>
    <w:qFormat/>
  </w:style>
  <w:style w:type="paragraph" w:styleId="987">
    <w:name w:val="Subtitle"/>
    <w:basedOn w:val="951"/>
    <w:next w:val="951"/>
    <w:link w:val="1030"/>
    <w:uiPriority w:val="0"/>
    <w:qFormat/>
    <w:pPr>
      <w:jc w:val="left"/>
      <w:spacing w:before="120"/>
      <w:outlineLvl w:val="1"/>
    </w:pPr>
    <w:rPr>
      <w:rFonts w:ascii="Cambria" w:hAnsi="Cambria" w:eastAsia="宋体" w:cs="Times New Roman"/>
      <w:b/>
      <w:bCs/>
      <w:sz w:val="24"/>
      <w:szCs w:val="32"/>
    </w:rPr>
  </w:style>
  <w:style w:type="paragraph" w:styleId="988">
    <w:name w:val="footnote text"/>
    <w:basedOn w:val="951"/>
    <w:link w:val="1031"/>
    <w:uiPriority w:val="0"/>
    <w:qFormat/>
    <w:pPr>
      <w:jc w:val="left"/>
    </w:pPr>
    <w:rPr>
      <w:rFonts w:ascii="Calibri" w:hAnsi="Calibri" w:eastAsia="楷体_GB2312" w:cs="Times New Roman"/>
      <w:sz w:val="18"/>
      <w:szCs w:val="20"/>
    </w:rPr>
  </w:style>
  <w:style w:type="paragraph" w:styleId="989">
    <w:name w:val="toc 6"/>
    <w:basedOn w:val="951"/>
    <w:next w:val="951"/>
    <w:uiPriority w:val="0"/>
    <w:qFormat/>
    <w:pPr>
      <w:ind w:left="2100"/>
    </w:pPr>
    <w:rPr>
      <w:rFonts w:ascii="Calibri" w:hAnsi="Calibri" w:eastAsia="楷体_GB2312" w:cs="Times New Roman"/>
      <w:sz w:val="26"/>
      <w:szCs w:val="20"/>
    </w:rPr>
  </w:style>
  <w:style w:type="paragraph" w:styleId="990">
    <w:name w:val="Body Text Indent 3"/>
    <w:basedOn w:val="951"/>
    <w:link w:val="1032"/>
    <w:uiPriority w:val="0"/>
    <w:qFormat/>
    <w:pPr>
      <w:ind w:firstLine="617"/>
      <w:spacing w:line="360" w:lineRule="auto"/>
    </w:pPr>
    <w:rPr>
      <w:rFonts w:ascii="Calibri" w:hAnsi="Calibri" w:eastAsia="宋体" w:cs="Times New Roman"/>
      <w:sz w:val="24"/>
      <w:szCs w:val="24"/>
    </w:rPr>
  </w:style>
  <w:style w:type="paragraph" w:styleId="991">
    <w:name w:val="index 7"/>
    <w:basedOn w:val="951"/>
    <w:next w:val="951"/>
    <w:uiPriority w:val="0"/>
    <w:qFormat/>
    <w:pPr>
      <w:ind w:left="2520"/>
    </w:pPr>
    <w:rPr>
      <w:rFonts w:ascii="Calibri" w:hAnsi="Calibri" w:eastAsia="楷体_GB2312" w:cs="Times New Roman"/>
      <w:sz w:val="26"/>
      <w:szCs w:val="20"/>
    </w:rPr>
  </w:style>
  <w:style w:type="paragraph" w:styleId="992">
    <w:name w:val="index 9"/>
    <w:basedOn w:val="951"/>
    <w:next w:val="951"/>
    <w:uiPriority w:val="0"/>
    <w:qFormat/>
    <w:pPr>
      <w:ind w:left="3360"/>
    </w:pPr>
    <w:rPr>
      <w:rFonts w:ascii="Calibri" w:hAnsi="Calibri" w:eastAsia="楷体_GB2312" w:cs="Times New Roman"/>
      <w:sz w:val="26"/>
      <w:szCs w:val="20"/>
    </w:rPr>
  </w:style>
  <w:style w:type="paragraph" w:styleId="993">
    <w:name w:val="table of figures"/>
    <w:basedOn w:val="951"/>
    <w:next w:val="951"/>
    <w:uiPriority w:val="0"/>
    <w:qFormat/>
    <w:pPr>
      <w:ind w:left="420" w:hanging="420"/>
      <w:jc w:val="left"/>
    </w:pPr>
    <w:rPr>
      <w:rFonts w:ascii="Calibri" w:hAnsi="Calibri" w:eastAsia="楷体_GB2312" w:cs="Times New Roman"/>
      <w:smallCaps/>
      <w:sz w:val="24"/>
      <w:szCs w:val="20"/>
    </w:rPr>
  </w:style>
  <w:style w:type="paragraph" w:styleId="994">
    <w:name w:val="toc 9"/>
    <w:basedOn w:val="951"/>
    <w:next w:val="951"/>
    <w:uiPriority w:val="0"/>
    <w:qFormat/>
    <w:pPr>
      <w:ind w:left="3360"/>
    </w:pPr>
    <w:rPr>
      <w:rFonts w:ascii="Calibri" w:hAnsi="Calibri" w:eastAsia="楷体_GB2312" w:cs="Times New Roman"/>
      <w:sz w:val="26"/>
      <w:szCs w:val="20"/>
    </w:rPr>
  </w:style>
  <w:style w:type="paragraph" w:styleId="995">
    <w:name w:val="HTML Preformatted"/>
    <w:basedOn w:val="951"/>
    <w:link w:val="103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Times New Roman"/>
      <w:sz w:val="20"/>
      <w:szCs w:val="20"/>
    </w:rPr>
  </w:style>
  <w:style w:type="paragraph" w:styleId="996">
    <w:name w:val="Normal (Web)"/>
    <w:basedOn w:val="951"/>
    <w:uiPriority w:val="99"/>
    <w:qFormat/>
    <w:pPr>
      <w:jc w:val="left"/>
      <w:spacing w:before="100" w:beforeAutospacing="1" w:after="100" w:afterAutospacing="1"/>
    </w:pPr>
    <w:rPr>
      <w:rFonts w:ascii="Calibri" w:hAnsi="Calibri" w:eastAsia="楷体_GB2312" w:cs="Times New Roman"/>
      <w:sz w:val="24"/>
    </w:rPr>
  </w:style>
  <w:style w:type="paragraph" w:styleId="997">
    <w:name w:val="index 2"/>
    <w:basedOn w:val="951"/>
    <w:next w:val="951"/>
    <w:uiPriority w:val="0"/>
    <w:qFormat/>
    <w:pPr>
      <w:ind w:left="420"/>
    </w:pPr>
    <w:rPr>
      <w:rFonts w:ascii="Calibri" w:hAnsi="Calibri" w:eastAsia="楷体_GB2312" w:cs="Times New Roman"/>
      <w:sz w:val="26"/>
      <w:szCs w:val="20"/>
    </w:rPr>
  </w:style>
  <w:style w:type="paragraph" w:styleId="998">
    <w:name w:val="Title"/>
    <w:basedOn w:val="951"/>
    <w:next w:val="951"/>
    <w:link w:val="1034"/>
    <w:uiPriority w:val="0"/>
    <w:qFormat/>
    <w:pPr>
      <w:jc w:val="center"/>
      <w:spacing w:before="240" w:after="60"/>
      <w:outlineLvl w:val="0"/>
    </w:pPr>
    <w:rPr>
      <w:rFonts w:ascii="Cambria" w:hAnsi="Cambria" w:eastAsia="宋体" w:cs="Times New Roman"/>
      <w:b/>
      <w:bCs/>
      <w:sz w:val="32"/>
      <w:szCs w:val="32"/>
    </w:rPr>
  </w:style>
  <w:style w:type="paragraph" w:styleId="999">
    <w:name w:val="annotation subject"/>
    <w:basedOn w:val="965"/>
    <w:next w:val="965"/>
    <w:link w:val="1035"/>
    <w:uiPriority w:val="99"/>
    <w:qFormat/>
    <w:rPr>
      <w:b/>
      <w:bCs/>
    </w:rPr>
  </w:style>
  <w:style w:type="paragraph" w:styleId="1000">
    <w:name w:val="Body Text First Indent 2"/>
    <w:basedOn w:val="969"/>
    <w:link w:val="1036"/>
    <w:uiPriority w:val="0"/>
    <w:qFormat/>
    <w:pPr>
      <w:ind w:left="420" w:firstLine="420"/>
      <w:spacing w:after="120" w:line="240" w:lineRule="auto"/>
    </w:pPr>
    <w:rPr>
      <w:rFonts w:ascii="Calibri" w:hAnsi="Calibri" w:eastAsia="楷体_GB2312"/>
      <w:sz w:val="26"/>
    </w:rPr>
  </w:style>
  <w:style w:type="table" w:styleId="1001">
    <w:name w:val="Table Grid"/>
    <w:basedOn w:val="959"/>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02">
    <w:name w:val="Strong"/>
    <w:basedOn w:val="958"/>
    <w:uiPriority w:val="0"/>
    <w:qFormat/>
    <w:rPr>
      <w:b/>
    </w:rPr>
  </w:style>
  <w:style w:type="character" w:styleId="1003">
    <w:name w:val="endnote reference"/>
    <w:uiPriority w:val="0"/>
    <w:qFormat/>
    <w:rPr>
      <w:vertAlign w:val="superscript"/>
    </w:rPr>
  </w:style>
  <w:style w:type="character" w:styleId="1004">
    <w:name w:val="page number"/>
    <w:basedOn w:val="958"/>
    <w:uiPriority w:val="0"/>
    <w:qFormat/>
  </w:style>
  <w:style w:type="character" w:styleId="1005">
    <w:name w:val="FollowedHyperlink"/>
    <w:uiPriority w:val="99"/>
    <w:unhideWhenUsed/>
    <w:qFormat/>
    <w:rPr>
      <w:color w:val="800080"/>
      <w:u w:val="single"/>
    </w:rPr>
  </w:style>
  <w:style w:type="character" w:styleId="1006">
    <w:name w:val="Hyperlink"/>
    <w:basedOn w:val="958"/>
    <w:uiPriority w:val="0"/>
    <w:unhideWhenUsed/>
    <w:qFormat/>
    <w:rPr>
      <w:color w:val="0000ff"/>
      <w:u w:val="single"/>
    </w:rPr>
  </w:style>
  <w:style w:type="character" w:styleId="1007">
    <w:name w:val="annotation reference"/>
    <w:uiPriority w:val="99"/>
    <w:qFormat/>
    <w:rPr>
      <w:sz w:val="21"/>
      <w:szCs w:val="21"/>
    </w:rPr>
  </w:style>
  <w:style w:type="character" w:styleId="1008">
    <w:name w:val="footnote reference"/>
    <w:uiPriority w:val="0"/>
    <w:qFormat/>
    <w:rPr>
      <w:vertAlign w:val="superscript"/>
    </w:rPr>
  </w:style>
  <w:style w:type="paragraph" w:styleId="1009" w:customStyle="1">
    <w:name w:val="文档结构图1"/>
    <w:basedOn w:val="951"/>
    <w:uiPriority w:val="99"/>
    <w:qFormat/>
    <w:pPr>
      <w:shd w:val="clear" w:color="auto" w:fill="000080"/>
    </w:pPr>
  </w:style>
  <w:style w:type="paragraph" w:styleId="1010" w:customStyle="1">
    <w:name w:val="段"/>
    <w:uiPriority w:val="0"/>
    <w:qFormat/>
    <w:pPr>
      <w:ind w:firstLine="200"/>
      <w:jc w:val="both"/>
    </w:pPr>
    <w:rPr>
      <w:rFonts w:ascii="宋体" w:hAnsi="Times New Roman" w:eastAsia="宋体" w:cs="宋体"/>
      <w:sz w:val="21"/>
      <w:szCs w:val="21"/>
      <w:lang w:val="en-US" w:eastAsia="zh-CN" w:bidi="ar-SA"/>
    </w:rPr>
  </w:style>
  <w:style w:type="paragraph" w:styleId="1011" w:customStyle="1">
    <w:name w:val="首行缩进"/>
    <w:basedOn w:val="951"/>
    <w:uiPriority w:val="0"/>
    <w:qFormat/>
    <w:pPr>
      <w:ind w:firstLine="480"/>
    </w:pPr>
    <w:rPr>
      <w:rFonts w:ascii="Calibri" w:hAnsi="Calibri" w:eastAsia="宋体" w:cs="Times New Roman"/>
      <w:szCs w:val="20"/>
      <w:lang w:val="zh-CN"/>
    </w:rPr>
  </w:style>
  <w:style w:type="character" w:styleId="1012" w:customStyle="1">
    <w:name w:val="标题 1 字符"/>
    <w:basedOn w:val="958"/>
    <w:link w:val="952"/>
    <w:uiPriority w:val="0"/>
    <w:qFormat/>
    <w:rPr>
      <w:rFonts w:ascii="Calibri" w:hAnsi="Calibri" w:eastAsia="楷体_GB2312" w:cs="Times New Roman"/>
      <w:b/>
      <w:sz w:val="44"/>
      <w:szCs w:val="20"/>
    </w:rPr>
  </w:style>
  <w:style w:type="character" w:styleId="1013" w:customStyle="1">
    <w:name w:val="标题 2 字符"/>
    <w:basedOn w:val="958"/>
    <w:link w:val="953"/>
    <w:uiPriority w:val="0"/>
    <w:qFormat/>
    <w:rPr>
      <w:rFonts w:ascii="宋体" w:hAnsi="宋体" w:eastAsia="楷体_GB2312" w:cs="Times New Roman"/>
      <w:b/>
      <w:sz w:val="26"/>
      <w:szCs w:val="20"/>
    </w:rPr>
  </w:style>
  <w:style w:type="character" w:styleId="1014" w:customStyle="1">
    <w:name w:val="标题 3 字符"/>
    <w:basedOn w:val="958"/>
    <w:link w:val="954"/>
    <w:uiPriority w:val="0"/>
    <w:qFormat/>
    <w:rPr>
      <w:rFonts w:ascii="Calibri" w:hAnsi="Calibri" w:eastAsia="楷体_GB2312" w:cs="Times New Roman"/>
      <w:b/>
      <w:sz w:val="26"/>
      <w:szCs w:val="20"/>
    </w:rPr>
  </w:style>
  <w:style w:type="character" w:styleId="1015" w:customStyle="1">
    <w:name w:val="标题 4 字符"/>
    <w:basedOn w:val="958"/>
    <w:link w:val="955"/>
    <w:uiPriority w:val="0"/>
    <w:qFormat/>
    <w:rPr>
      <w:rFonts w:ascii="Arial" w:hAnsi="Arial" w:eastAsia="黑体" w:cs="Times New Roman"/>
      <w:b/>
      <w:bCs/>
      <w:sz w:val="28"/>
      <w:szCs w:val="28"/>
    </w:rPr>
  </w:style>
  <w:style w:type="character" w:styleId="1016" w:customStyle="1">
    <w:name w:val="标题 5 字符"/>
    <w:basedOn w:val="958"/>
    <w:link w:val="956"/>
    <w:uiPriority w:val="0"/>
    <w:qFormat/>
    <w:rPr>
      <w:rFonts w:ascii="宋体" w:hAnsi="宋体" w:eastAsia="宋体" w:cs="Times New Roman"/>
      <w:color w:val="000000"/>
      <w:sz w:val="28"/>
      <w:szCs w:val="20"/>
    </w:rPr>
  </w:style>
  <w:style w:type="character" w:styleId="1017" w:customStyle="1">
    <w:name w:val="标题 6 字符"/>
    <w:basedOn w:val="958"/>
    <w:link w:val="957"/>
    <w:uiPriority w:val="0"/>
    <w:qFormat/>
    <w:rPr>
      <w:rFonts w:ascii="宋体" w:hAnsi="宋体" w:eastAsia="宋体" w:cs="Times New Roman"/>
      <w:sz w:val="28"/>
      <w:szCs w:val="20"/>
    </w:rPr>
  </w:style>
  <w:style w:type="character" w:styleId="1018" w:customStyle="1">
    <w:name w:val="正文缩进 字符"/>
    <w:link w:val="962"/>
    <w:uiPriority w:val="0"/>
    <w:qFormat/>
    <w:rPr>
      <w:rFonts w:ascii="Calibri" w:hAnsi="Calibri" w:eastAsia="楷体_GB2312" w:cs="Times New Roman"/>
      <w:sz w:val="24"/>
      <w:szCs w:val="20"/>
    </w:rPr>
  </w:style>
  <w:style w:type="character" w:styleId="1019" w:customStyle="1">
    <w:name w:val="文档结构图 字符"/>
    <w:basedOn w:val="958"/>
    <w:link w:val="964"/>
    <w:uiPriority w:val="0"/>
    <w:qFormat/>
    <w:rPr>
      <w:rFonts w:ascii="Calibri" w:hAnsi="Calibri" w:eastAsia="楷体_GB2312" w:cs="Times New Roman"/>
      <w:sz w:val="26"/>
      <w:szCs w:val="20"/>
      <w:shd w:val="clear" w:color="auto" w:fill="000080"/>
    </w:rPr>
  </w:style>
  <w:style w:type="character" w:styleId="1020" w:customStyle="1">
    <w:name w:val="批注文字 字符"/>
    <w:basedOn w:val="958"/>
    <w:link w:val="965"/>
    <w:uiPriority w:val="0"/>
    <w:qFormat/>
    <w:rPr>
      <w:rFonts w:ascii="Calibri" w:hAnsi="Calibri" w:eastAsia="楷体_GB2312" w:cs="Times New Roman"/>
      <w:sz w:val="26"/>
      <w:szCs w:val="20"/>
    </w:rPr>
  </w:style>
  <w:style w:type="character" w:styleId="1021" w:customStyle="1">
    <w:name w:val="正文文本 字符"/>
    <w:basedOn w:val="958"/>
    <w:link w:val="967"/>
    <w:uiPriority w:val="0"/>
    <w:qFormat/>
    <w:rPr>
      <w:rFonts w:ascii="楷体_GB2312" w:hAnsi="Calibri" w:eastAsia="楷体_GB2312" w:cs="Times New Roman"/>
      <w:sz w:val="28"/>
      <w:szCs w:val="20"/>
    </w:rPr>
  </w:style>
  <w:style w:type="character" w:styleId="1022" w:customStyle="1">
    <w:name w:val="正文文本缩进 字符"/>
    <w:basedOn w:val="958"/>
    <w:link w:val="969"/>
    <w:uiPriority w:val="99"/>
    <w:qFormat/>
    <w:rPr>
      <w:rFonts w:ascii="方正仿宋简体" w:hAnsi="创艺简仿宋" w:eastAsia="方正仿宋简体" w:cs="Times New Roman"/>
      <w:sz w:val="24"/>
      <w:szCs w:val="20"/>
    </w:rPr>
  </w:style>
  <w:style w:type="character" w:styleId="1023" w:customStyle="1">
    <w:name w:val="纯文本 字符"/>
    <w:basedOn w:val="958"/>
    <w:link w:val="974"/>
    <w:uiPriority w:val="0"/>
    <w:qFormat/>
    <w:rPr>
      <w:rFonts w:ascii="宋体" w:hAnsi="Courier New" w:eastAsia="楷体_GB2312" w:cs="Times New Roman"/>
      <w:sz w:val="26"/>
      <w:szCs w:val="20"/>
    </w:rPr>
  </w:style>
  <w:style w:type="character" w:styleId="1024" w:customStyle="1">
    <w:name w:val="日期 字符"/>
    <w:basedOn w:val="958"/>
    <w:link w:val="977"/>
    <w:uiPriority w:val="0"/>
    <w:qFormat/>
    <w:rPr>
      <w:rFonts w:ascii="宋体" w:hAnsi="宋体" w:eastAsia="楷体_GB2312" w:cs="Times New Roman"/>
      <w:sz w:val="24"/>
      <w:szCs w:val="20"/>
    </w:rPr>
  </w:style>
  <w:style w:type="character" w:styleId="1025" w:customStyle="1">
    <w:name w:val="正文文本缩进 2 字符"/>
    <w:basedOn w:val="958"/>
    <w:link w:val="978"/>
    <w:uiPriority w:val="0"/>
    <w:qFormat/>
    <w:rPr>
      <w:rFonts w:ascii="宋体" w:hAnsi="Calibri" w:eastAsia="宋体" w:cs="Times New Roman"/>
      <w:b/>
      <w:bCs/>
      <w:sz w:val="24"/>
      <w:szCs w:val="20"/>
    </w:rPr>
  </w:style>
  <w:style w:type="character" w:styleId="1026" w:customStyle="1">
    <w:name w:val="尾注文本 字符"/>
    <w:basedOn w:val="958"/>
    <w:link w:val="979"/>
    <w:uiPriority w:val="0"/>
    <w:qFormat/>
    <w:rPr>
      <w:rFonts w:ascii="Calibri" w:hAnsi="Calibri" w:eastAsia="楷体_GB2312" w:cs="Times New Roman"/>
      <w:sz w:val="26"/>
      <w:szCs w:val="20"/>
    </w:rPr>
  </w:style>
  <w:style w:type="character" w:styleId="1027" w:customStyle="1">
    <w:name w:val="批注框文本 字符"/>
    <w:basedOn w:val="958"/>
    <w:link w:val="980"/>
    <w:uiPriority w:val="99"/>
    <w:qFormat/>
    <w:rPr>
      <w:rFonts w:ascii="Calibri" w:hAnsi="Calibri" w:eastAsia="楷体_GB2312" w:cs="Times New Roman"/>
      <w:sz w:val="18"/>
      <w:szCs w:val="18"/>
    </w:rPr>
  </w:style>
  <w:style w:type="character" w:styleId="1028" w:customStyle="1">
    <w:name w:val="页脚 字符"/>
    <w:basedOn w:val="958"/>
    <w:link w:val="981"/>
    <w:uiPriority w:val="99"/>
    <w:qFormat/>
    <w:rPr>
      <w:rFonts w:ascii="Calibri" w:hAnsi="Calibri" w:eastAsia="楷体_GB2312" w:cs="Times New Roman"/>
      <w:sz w:val="18"/>
      <w:szCs w:val="20"/>
    </w:rPr>
  </w:style>
  <w:style w:type="character" w:styleId="1029" w:customStyle="1">
    <w:name w:val="页眉 字符"/>
    <w:basedOn w:val="958"/>
    <w:link w:val="982"/>
    <w:uiPriority w:val="99"/>
    <w:qFormat/>
    <w:rPr>
      <w:rFonts w:ascii="Calibri" w:hAnsi="Calibri" w:eastAsia="楷体_GB2312" w:cs="Times New Roman"/>
      <w:sz w:val="18"/>
      <w:szCs w:val="20"/>
    </w:rPr>
  </w:style>
  <w:style w:type="character" w:styleId="1030" w:customStyle="1">
    <w:name w:val="副标题 字符"/>
    <w:basedOn w:val="958"/>
    <w:link w:val="987"/>
    <w:uiPriority w:val="0"/>
    <w:qFormat/>
    <w:rPr>
      <w:rFonts w:ascii="Cambria" w:hAnsi="Cambria" w:eastAsia="宋体" w:cs="Times New Roman"/>
      <w:b/>
      <w:bCs/>
      <w:sz w:val="24"/>
      <w:szCs w:val="32"/>
    </w:rPr>
  </w:style>
  <w:style w:type="character" w:styleId="1031" w:customStyle="1">
    <w:name w:val="脚注文本 字符"/>
    <w:basedOn w:val="958"/>
    <w:link w:val="988"/>
    <w:uiPriority w:val="0"/>
    <w:qFormat/>
    <w:rPr>
      <w:rFonts w:ascii="Calibri" w:hAnsi="Calibri" w:eastAsia="楷体_GB2312" w:cs="Times New Roman"/>
      <w:sz w:val="18"/>
      <w:szCs w:val="20"/>
    </w:rPr>
  </w:style>
  <w:style w:type="character" w:styleId="1032" w:customStyle="1">
    <w:name w:val="正文文本缩进 3 字符"/>
    <w:basedOn w:val="958"/>
    <w:link w:val="990"/>
    <w:uiPriority w:val="0"/>
    <w:qFormat/>
    <w:rPr>
      <w:rFonts w:ascii="Calibri" w:hAnsi="Calibri" w:eastAsia="宋体" w:cs="Times New Roman"/>
      <w:sz w:val="24"/>
      <w:szCs w:val="24"/>
    </w:rPr>
  </w:style>
  <w:style w:type="character" w:styleId="1033" w:customStyle="1">
    <w:name w:val="HTML 预设格式 字符"/>
    <w:basedOn w:val="958"/>
    <w:link w:val="995"/>
    <w:uiPriority w:val="0"/>
    <w:qFormat/>
    <w:rPr>
      <w:rFonts w:ascii="黑体" w:hAnsi="Courier New" w:eastAsia="黑体" w:cs="Times New Roman"/>
      <w:sz w:val="20"/>
      <w:szCs w:val="20"/>
    </w:rPr>
  </w:style>
  <w:style w:type="character" w:styleId="1034" w:customStyle="1">
    <w:name w:val="标题 字符"/>
    <w:basedOn w:val="958"/>
    <w:link w:val="998"/>
    <w:uiPriority w:val="0"/>
    <w:qFormat/>
    <w:rPr>
      <w:rFonts w:ascii="Cambria" w:hAnsi="Cambria" w:eastAsia="宋体" w:cs="Times New Roman"/>
      <w:b/>
      <w:bCs/>
      <w:sz w:val="32"/>
      <w:szCs w:val="32"/>
    </w:rPr>
  </w:style>
  <w:style w:type="character" w:styleId="1035" w:customStyle="1">
    <w:name w:val="批注主题 字符"/>
    <w:basedOn w:val="1020"/>
    <w:link w:val="999"/>
    <w:uiPriority w:val="99"/>
    <w:qFormat/>
    <w:rPr>
      <w:rFonts w:ascii="Calibri" w:hAnsi="Calibri" w:eastAsia="楷体_GB2312" w:cs="Times New Roman"/>
      <w:b/>
      <w:bCs/>
      <w:sz w:val="26"/>
      <w:szCs w:val="20"/>
    </w:rPr>
  </w:style>
  <w:style w:type="character" w:styleId="1036" w:customStyle="1">
    <w:name w:val="正文首行缩进 2 字符"/>
    <w:basedOn w:val="1022"/>
    <w:link w:val="1000"/>
    <w:uiPriority w:val="0"/>
    <w:qFormat/>
    <w:rPr>
      <w:rFonts w:ascii="Calibri" w:hAnsi="Calibri" w:eastAsia="楷体_GB2312" w:cs="Times New Roman"/>
      <w:sz w:val="26"/>
      <w:szCs w:val="20"/>
    </w:rPr>
  </w:style>
  <w:style w:type="character" w:styleId="1037" w:customStyle="1">
    <w:name w:val="Plain Text Char Char"/>
    <w:link w:val="1038"/>
    <w:uiPriority w:val="0"/>
    <w:qFormat/>
    <w:rPr>
      <w:rFonts w:ascii="宋体" w:hAnsi="Courier New" w:eastAsia="楷体_GB2312"/>
      <w:sz w:val="26"/>
    </w:rPr>
  </w:style>
  <w:style w:type="paragraph" w:styleId="1038" w:customStyle="1">
    <w:name w:val="纯文本3"/>
    <w:basedOn w:val="951"/>
    <w:link w:val="1037"/>
    <w:uiPriority w:val="0"/>
    <w:qFormat/>
    <w:rPr>
      <w:rFonts w:ascii="宋体" w:hAnsi="Courier New" w:eastAsia="楷体_GB2312"/>
      <w:sz w:val="26"/>
    </w:rPr>
  </w:style>
  <w:style w:type="character" w:styleId="1039" w:customStyle="1">
    <w:name w:val="styl81"/>
    <w:uiPriority w:val="0"/>
    <w:qFormat/>
    <w:rPr>
      <w:sz w:val="21"/>
    </w:rPr>
  </w:style>
  <w:style w:type="character" w:styleId="1040" w:customStyle="1">
    <w:name w:val="Plain Text Char"/>
    <w:link w:val="1041"/>
    <w:uiPriority w:val="0"/>
    <w:qFormat/>
    <w:rPr>
      <w:rFonts w:ascii="宋体" w:hAnsi="Courier New" w:eastAsia="楷体_GB2312"/>
      <w:sz w:val="26"/>
    </w:rPr>
  </w:style>
  <w:style w:type="paragraph" w:styleId="1041" w:customStyle="1">
    <w:name w:val="纯文本1"/>
    <w:basedOn w:val="951"/>
    <w:link w:val="1040"/>
    <w:uiPriority w:val="0"/>
    <w:qFormat/>
    <w:rPr>
      <w:rFonts w:ascii="宋体" w:hAnsi="Courier New" w:eastAsia="楷体_GB2312"/>
      <w:sz w:val="26"/>
    </w:rPr>
  </w:style>
  <w:style w:type="character" w:styleId="1042" w:customStyle="1">
    <w:name w:val="表正文 Char1"/>
    <w:uiPriority w:val="0"/>
    <w:qFormat/>
    <w:rPr>
      <w:rFonts w:eastAsia="楷体_GB2312"/>
      <w:sz w:val="24"/>
      <w:lang w:val="en-US" w:eastAsia="zh-CN" w:bidi="ar-SA"/>
    </w:rPr>
  </w:style>
  <w:style w:type="character" w:styleId="1043" w:customStyle="1">
    <w:name w:val="_正文段落 Char"/>
    <w:link w:val="1044"/>
    <w:uiPriority w:val="0"/>
    <w:qFormat/>
    <w:rPr>
      <w:rFonts w:ascii="宋体" w:hAnsi="宋体"/>
      <w:sz w:val="24"/>
      <w:szCs w:val="24"/>
    </w:rPr>
  </w:style>
  <w:style w:type="paragraph" w:styleId="1044" w:customStyle="1">
    <w:name w:val="_正文段落"/>
    <w:basedOn w:val="951"/>
    <w:link w:val="1043"/>
    <w:uiPriority w:val="0"/>
    <w:qFormat/>
    <w:pPr>
      <w:ind w:firstLine="480"/>
      <w:spacing w:line="360" w:lineRule="auto"/>
    </w:pPr>
    <w:rPr>
      <w:rFonts w:ascii="宋体" w:hAnsi="宋体"/>
      <w:sz w:val="24"/>
      <w:szCs w:val="24"/>
    </w:rPr>
  </w:style>
  <w:style w:type="character" w:styleId="1045" w:customStyle="1">
    <w:name w:val="Andy_正文 Char"/>
    <w:link w:val="1046"/>
    <w:uiPriority w:val="0"/>
    <w:qFormat/>
    <w:rPr>
      <w:sz w:val="24"/>
      <w:szCs w:val="24"/>
    </w:rPr>
  </w:style>
  <w:style w:type="paragraph" w:styleId="1046" w:customStyle="1">
    <w:name w:val="Andy_正文"/>
    <w:basedOn w:val="951"/>
    <w:link w:val="1045"/>
    <w:uiPriority w:val="0"/>
    <w:qFormat/>
    <w:pPr>
      <w:ind w:firstLine="480"/>
      <w:spacing w:line="360" w:lineRule="auto"/>
    </w:pPr>
    <w:rPr>
      <w:sz w:val="24"/>
      <w:szCs w:val="24"/>
    </w:rPr>
  </w:style>
  <w:style w:type="character" w:styleId="1047" w:customStyle="1">
    <w:name w:val="正文缩进 Char1"/>
    <w:uiPriority w:val="0"/>
    <w:qFormat/>
    <w:rPr>
      <w:rFonts w:eastAsia="楷体_GB2312"/>
      <w:sz w:val="24"/>
    </w:rPr>
  </w:style>
  <w:style w:type="character" w:styleId="1048" w:customStyle="1">
    <w:name w:val="副标题 Char1"/>
    <w:uiPriority w:val="11"/>
    <w:qFormat/>
    <w:rPr>
      <w:rFonts w:ascii="Cambria" w:hAnsi="Cambria" w:cs="Times New Roman"/>
      <w:b/>
      <w:bCs/>
      <w:sz w:val="32"/>
      <w:szCs w:val="32"/>
    </w:rPr>
  </w:style>
  <w:style w:type="character" w:styleId="1049" w:customStyle="1">
    <w:name w:val="Andy_2级 Char"/>
    <w:link w:val="1050"/>
    <w:uiPriority w:val="0"/>
    <w:qFormat/>
    <w:rPr>
      <w:sz w:val="24"/>
    </w:rPr>
  </w:style>
  <w:style w:type="paragraph" w:styleId="1050" w:customStyle="1">
    <w:name w:val="Andy_2级"/>
    <w:basedOn w:val="951"/>
    <w:link w:val="1049"/>
    <w:uiPriority w:val="0"/>
    <w:qFormat/>
    <w:pPr>
      <w:numPr>
        <w:ilvl w:val="1"/>
        <w:numId w:val="1"/>
      </w:numPr>
      <w:spacing w:line="360" w:lineRule="auto"/>
    </w:pPr>
    <w:rPr>
      <w:sz w:val="24"/>
    </w:rPr>
  </w:style>
  <w:style w:type="character" w:styleId="1051" w:customStyle="1">
    <w:name w:val="副标题 Char2"/>
    <w:uiPriority w:val="0"/>
    <w:qFormat/>
    <w:rPr>
      <w:rFonts w:ascii="Cambria" w:hAnsi="Cambria" w:cs="Times New Roman"/>
      <w:b/>
      <w:bCs/>
      <w:sz w:val="32"/>
      <w:szCs w:val="32"/>
    </w:rPr>
  </w:style>
  <w:style w:type="character" w:styleId="1052" w:customStyle="1">
    <w:name w:val="正文首行缩进 2 Char1"/>
    <w:uiPriority w:val="0"/>
    <w:qFormat/>
    <w:rPr>
      <w:rFonts w:ascii="方正仿宋简体" w:hAnsi="创艺简仿宋" w:eastAsia="楷体_GB2312"/>
      <w:sz w:val="26"/>
    </w:rPr>
  </w:style>
  <w:style w:type="character" w:styleId="1053" w:customStyle="1">
    <w:name w:val="ca-221"/>
    <w:uiPriority w:val="0"/>
    <w:qFormat/>
    <w:rPr>
      <w:rFonts w:hint="eastAsia" w:ascii="宋体" w:hAnsi="宋体" w:eastAsia="宋体"/>
      <w:color w:val="ff0000"/>
      <w:sz w:val="24"/>
      <w:szCs w:val="24"/>
    </w:rPr>
  </w:style>
  <w:style w:type="paragraph" w:styleId="1054" w:customStyle="1">
    <w:name w:val="纯文本11"/>
    <w:basedOn w:val="951"/>
    <w:uiPriority w:val="0"/>
    <w:qFormat/>
    <w:rPr>
      <w:rFonts w:ascii="宋体" w:hAnsi="Courier New" w:eastAsia="楷体_GB2312" w:cs="Times New Roman"/>
      <w:sz w:val="26"/>
      <w:szCs w:val="20"/>
    </w:rPr>
  </w:style>
  <w:style w:type="paragraph" w:styleId="1055" w:customStyle="1">
    <w:name w:val="xl70"/>
    <w:basedOn w:val="9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32"/>
      <w:szCs w:val="32"/>
    </w:rPr>
  </w:style>
  <w:style w:type="paragraph" w:styleId="1056" w:customStyle="1">
    <w:name w:val="xl69"/>
    <w:basedOn w:val="9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24"/>
      <w:szCs w:val="24"/>
    </w:rPr>
  </w:style>
  <w:style w:type="paragraph" w:styleId="1057" w:customStyle="1">
    <w:name w:val="xl79"/>
    <w:basedOn w:val="9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1058" w:customStyle="1">
    <w:name w:val="xl86"/>
    <w:basedOn w:val="9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000000"/>
      <w:sz w:val="32"/>
      <w:szCs w:val="32"/>
    </w:rPr>
  </w:style>
  <w:style w:type="paragraph" w:styleId="1059" w:customStyle="1">
    <w:name w:val="纯文本2"/>
    <w:basedOn w:val="951"/>
    <w:uiPriority w:val="0"/>
    <w:qFormat/>
    <w:rPr>
      <w:rFonts w:ascii="宋体" w:hAnsi="Courier New" w:eastAsia="楷体_GB2312" w:cs="Times New Roman"/>
      <w:sz w:val="26"/>
      <w:szCs w:val="20"/>
    </w:rPr>
  </w:style>
  <w:style w:type="paragraph" w:styleId="1060" w:customStyle="1">
    <w:name w:val="列出段落2"/>
    <w:basedOn w:val="951"/>
    <w:uiPriority w:val="0"/>
    <w:qFormat/>
    <w:pPr>
      <w:ind w:firstLine="420"/>
    </w:pPr>
    <w:rPr>
      <w:rFonts w:ascii="Calibri" w:hAnsi="Calibri" w:eastAsia="宋体" w:cs="Times New Roman"/>
    </w:rPr>
  </w:style>
  <w:style w:type="paragraph" w:styleId="1061" w:customStyle="1">
    <w:name w:val="xl78"/>
    <w:basedOn w:val="9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1062" w:customStyle="1">
    <w:name w:val="xl96"/>
    <w:basedOn w:val="9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063" w:customStyle="1">
    <w:name w:val="Char Char Char Char"/>
    <w:basedOn w:val="964"/>
    <w:uiPriority w:val="0"/>
    <w:qFormat/>
    <w:pPr>
      <w:ind w:left="357"/>
      <w:jc w:val="left"/>
      <w:spacing w:line="436" w:lineRule="exact"/>
      <w:outlineLvl w:val="3"/>
    </w:pPr>
    <w:rPr>
      <w:rFonts w:ascii="Tahoma" w:hAnsi="Tahoma" w:eastAsia="宋体"/>
      <w:b/>
      <w:sz w:val="24"/>
      <w:szCs w:val="24"/>
    </w:rPr>
  </w:style>
  <w:style w:type="paragraph" w:styleId="1064" w:customStyle="1">
    <w:name w:val="列出段落1"/>
    <w:basedOn w:val="951"/>
    <w:uiPriority w:val="0"/>
    <w:qFormat/>
    <w:pPr>
      <w:ind w:firstLine="420"/>
    </w:pPr>
    <w:rPr>
      <w:rFonts w:ascii="Calibri" w:hAnsi="Calibri" w:eastAsia="楷体_GB2312" w:cs="Times New Roman"/>
      <w:sz w:val="26"/>
      <w:szCs w:val="20"/>
    </w:rPr>
  </w:style>
  <w:style w:type="paragraph" w:styleId="1065" w:customStyle="1">
    <w:name w:val="xl74"/>
    <w:basedOn w:val="9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066" w:customStyle="1">
    <w:name w:val="纯文本4"/>
    <w:basedOn w:val="951"/>
    <w:uiPriority w:val="0"/>
    <w:qFormat/>
    <w:rPr>
      <w:rFonts w:ascii="宋体" w:hAnsi="Courier New" w:eastAsia="楷体_GB2312" w:cs="Times New Roman"/>
      <w:sz w:val="26"/>
      <w:szCs w:val="20"/>
    </w:rPr>
  </w:style>
  <w:style w:type="paragraph" w:styleId="1067" w:customStyle="1">
    <w:name w:val="xl92"/>
    <w:basedOn w:val="9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068" w:customStyle="1">
    <w:name w:val="xl66"/>
    <w:basedOn w:val="951"/>
    <w:uiPriority w:val="0"/>
    <w:qFormat/>
    <w:pPr>
      <w:jc w:val="center"/>
      <w:spacing w:before="100" w:beforeAutospacing="1" w:after="100" w:afterAutospacing="1"/>
      <w:widowControl/>
    </w:pPr>
    <w:rPr>
      <w:rFonts w:ascii="仿宋_GB2312" w:hAnsi="宋体" w:eastAsia="仿宋_GB2312" w:cs="宋体"/>
      <w:sz w:val="32"/>
      <w:szCs w:val="32"/>
    </w:rPr>
  </w:style>
  <w:style w:type="paragraph" w:styleId="1069" w:customStyle="1">
    <w:name w:val="xl94"/>
    <w:basedOn w:val="951"/>
    <w:uiPriority w:val="0"/>
    <w:qFormat/>
    <w:pPr>
      <w:jc w:val="left"/>
      <w:spacing w:before="100" w:beforeAutospacing="1" w:after="100" w:afterAutospacing="1"/>
      <w:widowControl/>
      <w:pBdr>
        <w:top w:val="single" w:color="auto" w:sz="4" w:space="0"/>
        <w:bottom w:val="single" w:color="auto" w:sz="4" w:space="0"/>
      </w:pBdr>
    </w:pPr>
    <w:rPr>
      <w:rFonts w:ascii="仿宋_GB2312" w:hAnsi="宋体" w:eastAsia="仿宋_GB2312" w:cs="宋体"/>
      <w:sz w:val="32"/>
      <w:szCs w:val="32"/>
    </w:rPr>
  </w:style>
  <w:style w:type="paragraph" w:styleId="1070" w:customStyle="1">
    <w:name w:val="Char Char3"/>
    <w:basedOn w:val="951"/>
    <w:uiPriority w:val="0"/>
    <w:qFormat/>
    <w:pPr>
      <w:jc w:val="left"/>
      <w:spacing w:after="160" w:line="240" w:lineRule="exact"/>
      <w:widowControl/>
    </w:pPr>
    <w:rPr>
      <w:rFonts w:ascii="Calibri" w:hAnsi="Calibri" w:eastAsia="宋体" w:cs="Times New Roman"/>
      <w:sz w:val="24"/>
      <w:szCs w:val="24"/>
    </w:rPr>
  </w:style>
  <w:style w:type="paragraph" w:styleId="1071" w:customStyle="1">
    <w:name w:val="xl95"/>
    <w:basedOn w:val="9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8"/>
      <w:szCs w:val="28"/>
    </w:rPr>
  </w:style>
  <w:style w:type="paragraph" w:styleId="1072" w:customStyle="1">
    <w:name w:val="xl85"/>
    <w:basedOn w:val="9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32"/>
      <w:szCs w:val="32"/>
    </w:rPr>
  </w:style>
  <w:style w:type="paragraph" w:styleId="1073" w:customStyle="1">
    <w:name w:val="q3"/>
    <w:basedOn w:val="951"/>
    <w:uiPriority w:val="0"/>
    <w:qFormat/>
    <w:pPr>
      <w:jc w:val="left"/>
      <w:spacing w:before="156" w:after="156" w:line="300" w:lineRule="auto"/>
      <w:tabs>
        <w:tab w:val="left" w:pos="0" w:leader="none"/>
        <w:tab w:val="left" w:pos="709" w:leader="none"/>
      </w:tabs>
    </w:pPr>
    <w:rPr>
      <w:rFonts w:ascii="Calibri" w:hAnsi="Calibri" w:eastAsia="宋体" w:cs="Times New Roman"/>
      <w:color w:val="ff0000"/>
      <w:sz w:val="28"/>
      <w:szCs w:val="28"/>
    </w:rPr>
  </w:style>
  <w:style w:type="paragraph" w:styleId="1074" w:customStyle="1">
    <w:name w:val="xl91"/>
    <w:basedOn w:val="9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075" w:customStyle="1">
    <w:name w:val="Char Char Char"/>
    <w:basedOn w:val="951"/>
    <w:uiPriority w:val="0"/>
    <w:qFormat/>
    <w:pPr>
      <w:numPr>
        <w:ilvl w:val="0"/>
        <w:numId w:val="2"/>
      </w:numPr>
    </w:pPr>
    <w:rPr>
      <w:rFonts w:ascii="Calibri" w:hAnsi="Calibri" w:eastAsia="宋体" w:cs="Times New Roman"/>
      <w:sz w:val="24"/>
      <w:szCs w:val="24"/>
    </w:rPr>
  </w:style>
  <w:style w:type="paragraph" w:styleId="1076" w:customStyle="1">
    <w:name w:val="xl80"/>
    <w:basedOn w:val="9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077" w:customStyle="1">
    <w:name w:val="修订1"/>
    <w:uiPriority w:val="99"/>
    <w:unhideWhenUsed/>
    <w:qFormat/>
    <w:rPr>
      <w:rFonts w:ascii="Calibri" w:hAnsi="Calibri" w:eastAsia="楷体_GB2312" w:cs="Times New Roman"/>
      <w:sz w:val="26"/>
      <w:lang w:val="en-US" w:eastAsia="zh-CN" w:bidi="ar-SA"/>
    </w:rPr>
  </w:style>
  <w:style w:type="paragraph" w:styleId="1078" w:customStyle="1">
    <w:name w:val="xl72"/>
    <w:basedOn w:val="9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1079" w:customStyle="1">
    <w:name w:val="正文 New New New New"/>
    <w:uiPriority w:val="0"/>
    <w:qFormat/>
    <w:pPr>
      <w:jc w:val="both"/>
      <w:widowControl w:val="off"/>
    </w:pPr>
    <w:rPr>
      <w:rFonts w:ascii="Calibri" w:hAnsi="Calibri" w:eastAsia="宋体" w:cs="Times New Roman"/>
      <w:szCs w:val="24"/>
      <w:lang w:val="en-US" w:eastAsia="zh-CN" w:bidi="ar-SA"/>
    </w:rPr>
  </w:style>
  <w:style w:type="paragraph" w:styleId="1080" w:customStyle="1">
    <w:name w:val="纯文本111"/>
    <w:basedOn w:val="951"/>
    <w:uiPriority w:val="0"/>
    <w:qFormat/>
    <w:rPr>
      <w:rFonts w:ascii="宋体" w:hAnsi="Courier New" w:eastAsia="楷体_GB2312" w:cs="Times New Roman"/>
      <w:sz w:val="26"/>
      <w:szCs w:val="20"/>
    </w:rPr>
  </w:style>
  <w:style w:type="paragraph" w:styleId="1081" w:customStyle="1">
    <w:name w:val="xl93"/>
    <w:basedOn w:val="951"/>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仿宋_GB2312" w:hAnsi="宋体" w:eastAsia="仿宋_GB2312" w:cs="宋体"/>
      <w:sz w:val="32"/>
      <w:szCs w:val="32"/>
    </w:rPr>
  </w:style>
  <w:style w:type="paragraph" w:styleId="1082" w:customStyle="1">
    <w:name w:val="_Style 84"/>
    <w:uiPriority w:val="99"/>
    <w:unhideWhenUsed/>
    <w:qFormat/>
    <w:pPr>
      <w:jc w:val="both"/>
      <w:widowControl w:val="off"/>
    </w:pPr>
    <w:rPr>
      <w:rFonts w:ascii="Calibri" w:hAnsi="Calibri" w:eastAsia="楷体_GB2312" w:cs="Times New Roman"/>
      <w:sz w:val="26"/>
      <w:lang w:val="en-US" w:eastAsia="zh-CN" w:bidi="ar-SA"/>
    </w:rPr>
  </w:style>
  <w:style w:type="paragraph" w:styleId="1083" w:customStyle="1">
    <w:name w:val="xl71"/>
    <w:basedOn w:val="9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32"/>
      <w:szCs w:val="32"/>
    </w:rPr>
  </w:style>
  <w:style w:type="paragraph" w:styleId="1084" w:customStyle="1">
    <w:name w:val="xl87"/>
    <w:basedOn w:val="9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32"/>
      <w:szCs w:val="32"/>
    </w:rPr>
  </w:style>
  <w:style w:type="paragraph" w:styleId="1085" w:customStyle="1">
    <w:name w:val="Char"/>
    <w:basedOn w:val="951"/>
    <w:uiPriority w:val="0"/>
    <w:qFormat/>
    <w:pPr>
      <w:jc w:val="left"/>
      <w:spacing w:after="160" w:line="240" w:lineRule="exact"/>
      <w:widowControl/>
    </w:pPr>
    <w:rPr>
      <w:rFonts w:ascii="Verdana" w:hAnsi="Verdana" w:eastAsia="仿宋_GB2312" w:cs="Times New Roman"/>
      <w:sz w:val="24"/>
      <w:szCs w:val="20"/>
      <w:lang w:eastAsia="en-US"/>
    </w:rPr>
  </w:style>
  <w:style w:type="paragraph" w:styleId="1086" w:customStyle="1">
    <w:name w:val="xl67"/>
    <w:basedOn w:val="951"/>
    <w:uiPriority w:val="0"/>
    <w:qFormat/>
    <w:pPr>
      <w:jc w:val="left"/>
      <w:spacing w:before="100" w:beforeAutospacing="1" w:after="100" w:afterAutospacing="1"/>
      <w:widowControl/>
    </w:pPr>
    <w:rPr>
      <w:rFonts w:ascii="仿宋_GB2312" w:hAnsi="宋体" w:eastAsia="仿宋_GB2312" w:cs="宋体"/>
      <w:sz w:val="20"/>
      <w:szCs w:val="20"/>
    </w:rPr>
  </w:style>
  <w:style w:type="paragraph" w:styleId="1087" w:customStyle="1">
    <w:name w:val="xl81"/>
    <w:basedOn w:val="9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32"/>
      <w:szCs w:val="32"/>
    </w:rPr>
  </w:style>
  <w:style w:type="paragraph" w:styleId="1088" w:customStyle="1">
    <w:name w:val="xl73"/>
    <w:basedOn w:val="9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089" w:customStyle="1">
    <w:name w:val="xl68"/>
    <w:basedOn w:val="951"/>
    <w:uiPriority w:val="0"/>
    <w:qFormat/>
    <w:pPr>
      <w:jc w:val="center"/>
      <w:spacing w:before="100" w:beforeAutospacing="1" w:after="100" w:afterAutospacing="1"/>
      <w:widowControl/>
    </w:pPr>
    <w:rPr>
      <w:rFonts w:ascii="仿宋_GB2312" w:hAnsi="宋体" w:eastAsia="仿宋_GB2312" w:cs="宋体"/>
      <w:sz w:val="32"/>
      <w:szCs w:val="32"/>
    </w:rPr>
  </w:style>
  <w:style w:type="paragraph" w:styleId="1090" w:customStyle="1">
    <w:name w:val="正文1"/>
    <w:basedOn w:val="951"/>
    <w:next w:val="951"/>
    <w:uiPriority w:val="0"/>
    <w:qFormat/>
    <w:pPr>
      <w:ind w:left="420" w:firstLine="527"/>
      <w:spacing w:before="120" w:line="360" w:lineRule="auto"/>
    </w:pPr>
    <w:rPr>
      <w:rFonts w:ascii="宋体" w:hAnsi="宋体" w:eastAsia="宋体" w:cs="Times New Roman"/>
      <w:sz w:val="24"/>
      <w:szCs w:val="24"/>
    </w:rPr>
  </w:style>
  <w:style w:type="paragraph" w:styleId="1091" w:customStyle="1">
    <w:name w:val="xl90"/>
    <w:basedOn w:val="9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092" w:customStyle="1">
    <w:name w:val="xl83"/>
    <w:basedOn w:val="9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32"/>
      <w:szCs w:val="32"/>
    </w:rPr>
  </w:style>
  <w:style w:type="paragraph" w:styleId="1093" w:customStyle="1">
    <w:name w:val="xl76"/>
    <w:basedOn w:val="9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094" w:customStyle="1">
    <w:name w:val="xl82"/>
    <w:basedOn w:val="9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color w:val="ff0000"/>
      <w:sz w:val="32"/>
      <w:szCs w:val="32"/>
    </w:rPr>
  </w:style>
  <w:style w:type="paragraph" w:styleId="1095">
    <w:name w:val="List Paragraph"/>
    <w:basedOn w:val="951"/>
    <w:uiPriority w:val="34"/>
    <w:qFormat/>
    <w:pPr>
      <w:ind w:firstLine="420"/>
    </w:pPr>
    <w:rPr>
      <w:rFonts w:ascii="Calibri" w:hAnsi="Calibri" w:eastAsia="楷体_GB2312" w:cs="Times New Roman"/>
      <w:sz w:val="26"/>
      <w:szCs w:val="20"/>
    </w:rPr>
  </w:style>
  <w:style w:type="paragraph" w:styleId="1096" w:customStyle="1">
    <w:name w:val="纯文本5"/>
    <w:basedOn w:val="951"/>
    <w:uiPriority w:val="0"/>
    <w:qFormat/>
    <w:rPr>
      <w:rFonts w:ascii="宋体" w:hAnsi="Courier New" w:eastAsia="楷体_GB2312" w:cs="Times New Roman"/>
      <w:sz w:val="26"/>
      <w:szCs w:val="20"/>
    </w:rPr>
  </w:style>
  <w:style w:type="paragraph" w:styleId="1097" w:customStyle="1">
    <w:name w:val="xl84"/>
    <w:basedOn w:val="9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32"/>
      <w:szCs w:val="32"/>
    </w:rPr>
  </w:style>
  <w:style w:type="paragraph" w:styleId="1098" w:customStyle="1">
    <w:name w:val="xl88"/>
    <w:basedOn w:val="9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20"/>
      <w:szCs w:val="20"/>
    </w:rPr>
  </w:style>
  <w:style w:type="paragraph" w:styleId="1099" w:customStyle="1">
    <w:name w:val="xl75"/>
    <w:basedOn w:val="9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32"/>
      <w:szCs w:val="32"/>
    </w:rPr>
  </w:style>
  <w:style w:type="paragraph" w:styleId="1100" w:customStyle="1">
    <w:name w:val="xl97"/>
    <w:basedOn w:val="9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8"/>
      <w:szCs w:val="28"/>
    </w:rPr>
  </w:style>
  <w:style w:type="paragraph" w:styleId="1101" w:customStyle="1">
    <w:name w:val="xl77"/>
    <w:basedOn w:val="9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102" w:customStyle="1">
    <w:name w:val="xl89"/>
    <w:basedOn w:val="9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table" w:styleId="1103" w:customStyle="1">
    <w:name w:val="Table Grid"/>
    <w:uiPriority w:val="0"/>
    <w:qFormat/>
    <w:rPr>
      <w:rFonts w:ascii="Calibri" w:hAnsi="Calibri"/>
    </w:rPr>
    <w:tblPr>
      <w:tblCellMar>
        <w:left w:w="0" w:type="dxa"/>
        <w:top w:w="0" w:type="dxa"/>
        <w:right w:w="0" w:type="dxa"/>
        <w:bottom w:w="0" w:type="dxa"/>
      </w:tblCellMar>
    </w:tblPr>
  </w:style>
  <w:style w:type="paragraph" w:styleId="1104" w:customStyle="1">
    <w:name w:val="Plain Text1"/>
    <w:basedOn w:val="951"/>
    <w:uiPriority w:val="0"/>
    <w:qFormat/>
    <w:rPr>
      <w:rFonts w:ascii="宋体" w:hAnsi="Courier New" w:eastAsia="楷体_GB2312" w:cs="Times New Roman"/>
      <w:sz w:val="26"/>
      <w:szCs w:val="20"/>
    </w:rPr>
  </w:style>
  <w:style w:type="table" w:styleId="1105" w:customStyle="1">
    <w:name w:val="网格型1"/>
    <w:basedOn w:val="959"/>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06" w:customStyle="1">
    <w:name w:val="正文3"/>
    <w:uiPriority w:val="0"/>
    <w:qFormat/>
    <w:pPr>
      <w:jc w:val="both"/>
      <w:spacing w:line="315" w:lineRule="atLeast"/>
      <w:widowControl w:val="off"/>
    </w:pPr>
    <w:rPr>
      <w:rFonts w:ascii="宋体" w:hAnsi="Calibri" w:eastAsia="宋体" w:cs="Times New Roman"/>
      <w:sz w:val="24"/>
      <w:lang w:val="en-US" w:eastAsia="zh-CN" w:bidi="ar-SA"/>
    </w:rPr>
  </w:style>
  <w:style w:type="paragraph" w:styleId="1107" w:customStyle="1">
    <w:name w:val="修订2"/>
    <w:hidden/>
    <w:uiPriority w:val="99"/>
    <w:semiHidden/>
    <w:qFormat/>
    <w:rPr>
      <w:rFonts w:asciiTheme="minorHAnsi" w:hAnsiTheme="minorHAnsi" w:eastAsiaTheme="minorEastAsia" w:cstheme="minorBidi"/>
      <w:sz w:val="21"/>
      <w:szCs w:val="22"/>
      <w:lang w:val="en-US" w:eastAsia="zh-CN" w:bidi="ar-SA"/>
    </w:rPr>
  </w:style>
  <w:style w:type="paragraph" w:styleId="1108" w:customStyle="1">
    <w:name w:val="修订3"/>
    <w:hidden/>
    <w:uiPriority w:val="99"/>
    <w:semiHidden/>
    <w:qFormat/>
    <w:rPr>
      <w:rFonts w:asciiTheme="minorHAnsi" w:hAnsiTheme="minorHAnsi" w:eastAsiaTheme="minorEastAsia" w:cstheme="minorBidi"/>
      <w:sz w:val="21"/>
      <w:szCs w:val="22"/>
      <w:lang w:val="en-US" w:eastAsia="zh-CN" w:bidi="ar-SA"/>
    </w:rPr>
  </w:style>
  <w:style w:type="paragraph" w:styleId="1109" w:customStyle="1">
    <w:name w:val="纯文本21"/>
    <w:uiPriority w:val="0"/>
    <w:qFormat/>
    <w:pPr>
      <w:jc w:val="both"/>
      <w:widowControl w:val="off"/>
    </w:pPr>
    <w:rPr>
      <w:rFonts w:hint="eastAsia" w:ascii="宋体" w:hAnsi="Courier New" w:eastAsia="楷体_GB2312" w:cs="Times New Roman"/>
      <w:sz w:val="26"/>
      <w:lang w:val="en-US" w:eastAsia="zh-CN" w:bidi="ar-SA"/>
    </w:rPr>
  </w:style>
  <w:style w:type="paragraph" w:styleId="1110" w:customStyle="1">
    <w:name w:val="修订4"/>
    <w:hidden/>
    <w:uiPriority w:val="99"/>
    <w:semiHidden/>
    <w:qFormat/>
    <w:rPr>
      <w:rFonts w:asciiTheme="minorHAnsi" w:hAnsiTheme="minorHAnsi" w:eastAsiaTheme="minorEastAsia" w:cstheme="minorBidi"/>
      <w:sz w:val="21"/>
      <w:szCs w:val="22"/>
      <w:lang w:val="en-US" w:eastAsia="zh-CN" w:bidi="ar-SA"/>
    </w:rPr>
  </w:style>
  <w:style w:type="paragraph" w:styleId="1111" w:customStyle="1">
    <w:name w:val="修订5"/>
    <w:hidden/>
    <w:uiPriority w:val="99"/>
    <w:semiHidden/>
    <w:qFormat/>
    <w:rPr>
      <w:rFonts w:asciiTheme="minorHAnsi" w:hAnsiTheme="minorHAnsi" w:eastAsiaTheme="minorEastAsia" w:cstheme="minorBidi"/>
      <w:sz w:val="21"/>
      <w:szCs w:val="22"/>
      <w:lang w:val="en-US" w:eastAsia="zh-CN" w:bidi="ar-SA"/>
    </w:rPr>
  </w:style>
  <w:style w:type="character" w:styleId="1112" w:customStyle="1">
    <w:name w:val="font81"/>
    <w:basedOn w:val="958"/>
    <w:uiPriority w:val="0"/>
    <w:qFormat/>
    <w:rPr>
      <w:rFonts w:hint="eastAsia" w:ascii="宋体" w:hAnsi="宋体" w:eastAsia="宋体" w:cs="宋体"/>
      <w:color w:val="000000"/>
      <w:sz w:val="18"/>
      <w:szCs w:val="18"/>
      <w:u w:val="none"/>
    </w:rPr>
  </w:style>
  <w:style w:type="character" w:styleId="1113" w:customStyle="1">
    <w:name w:val="font91"/>
    <w:basedOn w:val="958"/>
    <w:uiPriority w:val="0"/>
    <w:qFormat/>
    <w:rPr>
      <w:rFonts w:hint="eastAsia" w:ascii="宋体" w:hAnsi="宋体" w:eastAsia="宋体" w:cs="宋体"/>
      <w:b/>
      <w:bCs/>
      <w:color w:val="ff0000"/>
      <w:sz w:val="18"/>
      <w:szCs w:val="18"/>
      <w:u w:val="none"/>
    </w:rPr>
  </w:style>
  <w:style w:type="character" w:styleId="1114" w:customStyle="1">
    <w:name w:val="font21"/>
    <w:basedOn w:val="958"/>
    <w:uiPriority w:val="0"/>
    <w:qFormat/>
    <w:rPr>
      <w:rFonts w:hint="eastAsia" w:ascii="宋体" w:hAnsi="宋体" w:eastAsia="宋体" w:cs="宋体"/>
      <w:b/>
      <w:bCs/>
      <w:color w:val="000000"/>
      <w:sz w:val="22"/>
      <w:szCs w:val="22"/>
      <w:u w:val="none"/>
    </w:rPr>
  </w:style>
  <w:style w:type="character" w:styleId="1115" w:customStyle="1">
    <w:name w:val="font51"/>
    <w:basedOn w:val="958"/>
    <w:uiPriority w:val="0"/>
    <w:qFormat/>
    <w:rPr>
      <w:rFonts w:hint="eastAsia" w:ascii="宋体" w:hAnsi="宋体" w:eastAsia="宋体" w:cs="宋体"/>
      <w:b/>
      <w:bCs/>
      <w:color w:val="ff0000"/>
      <w:sz w:val="22"/>
      <w:szCs w:val="22"/>
      <w:u w:val="none"/>
    </w:rPr>
  </w:style>
  <w:style w:type="character" w:styleId="1116" w:customStyle="1">
    <w:name w:val="font31"/>
    <w:basedOn w:val="958"/>
    <w:uiPriority w:val="0"/>
    <w:qFormat/>
    <w:rPr>
      <w:rFonts w:hint="eastAsia" w:ascii="宋体" w:hAnsi="宋体" w:eastAsia="宋体" w:cs="宋体"/>
      <w:color w:val="000000"/>
      <w:sz w:val="22"/>
      <w:szCs w:val="22"/>
      <w:u w:val="none"/>
    </w:rPr>
  </w:style>
  <w:style w:type="character" w:styleId="1117" w:customStyle="1">
    <w:name w:val="font61"/>
    <w:basedOn w:val="958"/>
    <w:uiPriority w:val="0"/>
    <w:qFormat/>
    <w:rPr>
      <w:rFonts w:hint="eastAsia" w:ascii="宋体" w:hAnsi="宋体" w:eastAsia="宋体" w:cs="宋体"/>
      <w:color w:val="ff0000"/>
      <w:sz w:val="22"/>
      <w:szCs w:val="22"/>
      <w:u w:val="none"/>
    </w:rPr>
  </w:style>
  <w:style w:type="table" w:styleId="1118" w:customStyle="1">
    <w:name w:val="Table Normal"/>
    <w:uiPriority w:val="0"/>
    <w:unhideWhenUsed/>
    <w:qFormat/>
    <w:tblPr>
      <w:tblCellMar>
        <w:left w:w="0" w:type="dxa"/>
        <w:top w:w="0" w:type="dxa"/>
        <w:right w:w="0" w:type="dxa"/>
        <w:bottom w:w="0" w:type="dxa"/>
      </w:tblCellMar>
    </w:tblPr>
  </w:style>
  <w:style w:type="paragraph" w:styleId="1119" w:customStyle="1">
    <w:name w:val="_Style 91"/>
    <w:uiPriority w:val="99"/>
    <w:qFormat/>
    <w:pPr>
      <w:ind w:firstLine="420"/>
      <w:jc w:val="both"/>
      <w:widowControl w:val="off"/>
    </w:pPr>
    <w:rPr>
      <w:rFonts w:ascii="Calibri" w:hAnsi="Calibri" w:eastAsia="宋体" w:cs="Times New Roman"/>
      <w:sz w:val="21"/>
      <w:szCs w:val="22"/>
      <w:lang w:val="en-US" w:eastAsia="zh-CN" w:bidi="ar-SA"/>
    </w:rPr>
  </w:style>
  <w:style w:type="character" w:styleId="1120" w:customStyle="1">
    <w:name w:val="font11"/>
    <w:basedOn w:val="958"/>
    <w:uiPriority w:val="0"/>
    <w:qFormat/>
    <w:rPr>
      <w:rFonts w:hint="eastAsia" w:ascii="宋体" w:hAnsi="宋体" w:eastAsia="宋体" w:cs="宋体"/>
      <w:color w:val="000000"/>
      <w:sz w:val="22"/>
      <w:szCs w:val="22"/>
      <w:u w:val="none"/>
    </w:rPr>
  </w:style>
  <w:style w:type="character" w:styleId="1121" w:customStyle="1">
    <w:name w:val="font41"/>
    <w:basedOn w:val="958"/>
    <w:uiPriority w:val="0"/>
    <w:qFormat/>
    <w:rPr>
      <w:rFonts w:hint="eastAsia" w:ascii="宋体" w:hAnsi="宋体" w:eastAsia="宋体" w:cs="宋体"/>
      <w:color w:val="000000"/>
      <w:sz w:val="22"/>
      <w:szCs w:val="22"/>
      <w:u w:val="none"/>
    </w:rPr>
  </w:style>
  <w:style w:type="character" w:styleId="1122" w:customStyle="1">
    <w:name w:val="font71"/>
    <w:basedOn w:val="958"/>
    <w:uiPriority w:val="0"/>
    <w:qFormat/>
    <w:rPr>
      <w:rFonts w:hint="eastAsia" w:ascii="宋体" w:hAnsi="宋体" w:eastAsia="宋体" w:cs="宋体"/>
      <w:color w:val="000000"/>
      <w:sz w:val="22"/>
      <w:szCs w:val="22"/>
      <w:u w:val="none"/>
      <w:vertAlign w:val="superscript"/>
    </w:rPr>
  </w:style>
  <w:style w:type="character" w:styleId="1123" w:customStyle="1">
    <w:name w:val="16"/>
    <w:basedOn w:val="958"/>
    <w:uiPriority w:val="0"/>
    <w:qFormat/>
    <w:rPr>
      <w:rFonts w:hint="default" w:ascii="Times New Roman" w:hAnsi="Times New Roman" w:cs="Times New Roman"/>
      <w:i/>
    </w:rPr>
  </w:style>
  <w:style w:type="numbering" w:styleId="112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0132B603-D4DA-4432-BC9F-60FE69F1598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苏州诚和招投标咨询有限公司</dc:creator>
  <cp:lastModifiedBy>苏州华星田娟</cp:lastModifiedBy>
  <cp:revision>113</cp:revision>
  <dcterms:created xsi:type="dcterms:W3CDTF">2022-06-13T08:19:00Z</dcterms:created>
  <dcterms:modified xsi:type="dcterms:W3CDTF">2026-04-17T04:23:58Z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54E512AC5CB7406A8738FF3E04046266_13</vt:lpwstr>
  </property>
  <property fmtid="{D5CDD505-2E9C-101B-9397-08002B2CF9AE}" pid="4" name="KSOTemplateDocerSaveRecord">
    <vt:lpwstr>eyJoZGlkIjoiYjgwNGNmMjA2NDEzNDllOGU5MDY1N2Q0NWFkZTU2MTQiLCJ1c2VySWQiOiIxMzYxNzMzOTA3In0=</vt:lpwstr>
  </property>
</Properties>
</file>