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54E075">
      <w:pPr>
        <w:adjustRightInd w:val="0"/>
        <w:spacing w:before="120" w:after="120" w:line="360" w:lineRule="auto"/>
        <w:jc w:val="left"/>
        <w:textAlignment w:val="baseline"/>
        <w:rPr>
          <w:rFonts w:ascii="Arial" w:hAnsi="Arial" w:eastAsia="黑体"/>
          <w:b/>
          <w:bCs/>
          <w:color w:val="auto"/>
          <w:kern w:val="0"/>
          <w:sz w:val="84"/>
          <w:szCs w:val="24"/>
          <w:highlight w:val="none"/>
        </w:rPr>
      </w:pPr>
    </w:p>
    <w:p w14:paraId="322C684C">
      <w:pPr>
        <w:adjustRightInd w:val="0"/>
        <w:spacing w:before="120" w:after="120" w:line="360" w:lineRule="auto"/>
        <w:jc w:val="center"/>
        <w:textAlignment w:val="baseline"/>
        <w:rPr>
          <w:rFonts w:ascii="Arial" w:hAnsi="Arial" w:eastAsia="黑体"/>
          <w:b/>
          <w:bCs/>
          <w:color w:val="auto"/>
          <w:kern w:val="0"/>
          <w:sz w:val="84"/>
          <w:szCs w:val="24"/>
          <w:highlight w:val="none"/>
        </w:rPr>
      </w:pPr>
      <w:r>
        <w:rPr>
          <w:rFonts w:hint="eastAsia" w:ascii="Arial" w:hAnsi="Arial" w:eastAsia="黑体"/>
          <w:b/>
          <w:bCs/>
          <w:color w:val="auto"/>
          <w:kern w:val="0"/>
          <w:sz w:val="84"/>
          <w:szCs w:val="24"/>
          <w:highlight w:val="none"/>
        </w:rPr>
        <w:t>竞争性磋商文件</w:t>
      </w:r>
    </w:p>
    <w:p w14:paraId="47810165">
      <w:pPr>
        <w:adjustRightInd w:val="0"/>
        <w:spacing w:before="120" w:after="120" w:line="360" w:lineRule="auto"/>
        <w:ind w:firstLine="964" w:firstLineChars="300"/>
        <w:jc w:val="left"/>
        <w:textAlignment w:val="baseline"/>
        <w:rPr>
          <w:rFonts w:ascii="Arial" w:hAnsi="Arial"/>
          <w:b/>
          <w:bCs/>
          <w:color w:val="auto"/>
          <w:kern w:val="0"/>
          <w:sz w:val="32"/>
          <w:szCs w:val="24"/>
          <w:highlight w:val="none"/>
        </w:rPr>
      </w:pPr>
    </w:p>
    <w:p w14:paraId="4CD7F9D1">
      <w:pPr>
        <w:adjustRightInd w:val="0"/>
        <w:spacing w:before="120" w:after="120" w:line="360" w:lineRule="auto"/>
        <w:jc w:val="left"/>
        <w:textAlignment w:val="baseline"/>
        <w:rPr>
          <w:rFonts w:hint="eastAsia" w:ascii="Arial" w:hAnsi="Arial" w:eastAsia="宋体"/>
          <w:b/>
          <w:bCs/>
          <w:color w:val="auto"/>
          <w:kern w:val="0"/>
          <w:sz w:val="32"/>
          <w:szCs w:val="24"/>
          <w:highlight w:val="none"/>
          <w:lang w:eastAsia="zh-CN"/>
        </w:rPr>
      </w:pPr>
      <w:r>
        <w:rPr>
          <w:rFonts w:hint="eastAsia" w:ascii="Arial" w:hAnsi="Arial"/>
          <w:b/>
          <w:bCs/>
          <w:color w:val="auto"/>
          <w:kern w:val="0"/>
          <w:sz w:val="32"/>
          <w:szCs w:val="24"/>
          <w:highlight w:val="none"/>
        </w:rPr>
        <w:t>项目名称：</w:t>
      </w:r>
      <w:r>
        <w:rPr>
          <w:rFonts w:hint="eastAsia" w:ascii="Arial" w:hAnsi="Arial"/>
          <w:b/>
          <w:bCs/>
          <w:color w:val="auto"/>
          <w:kern w:val="0"/>
          <w:sz w:val="32"/>
          <w:szCs w:val="24"/>
          <w:highlight w:val="none"/>
          <w:lang w:eastAsia="zh-CN"/>
        </w:rPr>
        <w:t>海安市市场监督管理局2026年食品抽检服务项目</w:t>
      </w:r>
    </w:p>
    <w:p w14:paraId="121BC979">
      <w:pPr>
        <w:adjustRightInd w:val="0"/>
        <w:spacing w:before="120" w:after="120" w:line="360" w:lineRule="auto"/>
        <w:jc w:val="left"/>
        <w:textAlignment w:val="baseline"/>
        <w:rPr>
          <w:rFonts w:ascii="Arial" w:hAnsi="Arial"/>
          <w:b/>
          <w:bCs/>
          <w:color w:val="auto"/>
          <w:kern w:val="0"/>
          <w:sz w:val="32"/>
          <w:szCs w:val="24"/>
          <w:highlight w:val="none"/>
        </w:rPr>
      </w:pPr>
      <w:r>
        <w:rPr>
          <w:rFonts w:hint="eastAsia" w:ascii="Arial" w:hAnsi="Arial"/>
          <w:b/>
          <w:bCs/>
          <w:color w:val="auto"/>
          <w:kern w:val="0"/>
          <w:sz w:val="32"/>
          <w:szCs w:val="24"/>
          <w:highlight w:val="none"/>
        </w:rPr>
        <w:t>项目编号：JSZC-320685-HAZX-C2026-0009</w:t>
      </w:r>
      <w:r>
        <w:rPr>
          <w:rFonts w:hint="eastAsia" w:ascii="Arial" w:hAnsi="Arial"/>
          <w:b/>
          <w:bCs/>
          <w:color w:val="auto"/>
          <w:kern w:val="0"/>
          <w:sz w:val="32"/>
          <w:szCs w:val="24"/>
          <w:highlight w:val="none"/>
          <w:lang w:val="en-US" w:eastAsia="zh-CN"/>
        </w:rPr>
        <w:t xml:space="preserve"> </w:t>
      </w:r>
      <w:r>
        <w:rPr>
          <w:rFonts w:hint="eastAsia" w:ascii="Arial" w:hAnsi="Arial"/>
          <w:b/>
          <w:bCs/>
          <w:color w:val="auto"/>
          <w:kern w:val="0"/>
          <w:sz w:val="32"/>
          <w:szCs w:val="24"/>
          <w:highlight w:val="none"/>
        </w:rPr>
        <w:tab/>
      </w:r>
      <w:r>
        <w:rPr>
          <w:rFonts w:hint="eastAsia" w:ascii="Arial" w:hAnsi="Arial"/>
          <w:b/>
          <w:bCs/>
          <w:color w:val="auto"/>
          <w:kern w:val="0"/>
          <w:sz w:val="32"/>
          <w:szCs w:val="24"/>
          <w:highlight w:val="none"/>
        </w:rPr>
        <w:t xml:space="preserve"> </w:t>
      </w:r>
      <w:r>
        <w:rPr>
          <w:rFonts w:ascii="Arial" w:hAnsi="Arial"/>
          <w:b/>
          <w:bCs/>
          <w:color w:val="auto"/>
          <w:kern w:val="0"/>
          <w:sz w:val="32"/>
          <w:szCs w:val="24"/>
          <w:highlight w:val="none"/>
        </w:rPr>
        <w:t xml:space="preserve">            </w:t>
      </w:r>
    </w:p>
    <w:p w14:paraId="68AF210F">
      <w:pPr>
        <w:adjustRightInd w:val="0"/>
        <w:spacing w:before="120" w:after="120" w:line="360" w:lineRule="auto"/>
        <w:ind w:firstLine="1470" w:firstLineChars="700"/>
        <w:jc w:val="left"/>
        <w:textAlignment w:val="baseline"/>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p>
    <w:p w14:paraId="7E3EECE9">
      <w:pPr>
        <w:adjustRightInd w:val="0"/>
        <w:spacing w:line="360" w:lineRule="auto"/>
        <w:jc w:val="left"/>
        <w:textAlignment w:val="baseline"/>
        <w:rPr>
          <w:rFonts w:ascii="宋体" w:hAnsi="宋体"/>
          <w:color w:val="auto"/>
          <w:kern w:val="0"/>
          <w:sz w:val="24"/>
          <w:szCs w:val="24"/>
          <w:highlight w:val="none"/>
        </w:rPr>
      </w:pPr>
    </w:p>
    <w:p w14:paraId="5128188E">
      <w:pPr>
        <w:adjustRightInd w:val="0"/>
        <w:spacing w:line="360" w:lineRule="auto"/>
        <w:jc w:val="left"/>
        <w:textAlignment w:val="baseline"/>
        <w:rPr>
          <w:rFonts w:ascii="宋体" w:hAnsi="宋体"/>
          <w:color w:val="auto"/>
          <w:kern w:val="0"/>
          <w:sz w:val="24"/>
          <w:szCs w:val="24"/>
          <w:highlight w:val="none"/>
        </w:rPr>
      </w:pPr>
    </w:p>
    <w:p w14:paraId="35A18C25">
      <w:pPr>
        <w:adjustRightInd w:val="0"/>
        <w:spacing w:line="360" w:lineRule="auto"/>
        <w:jc w:val="left"/>
        <w:textAlignment w:val="baseline"/>
        <w:rPr>
          <w:rFonts w:ascii="宋体" w:hAnsi="宋体"/>
          <w:color w:val="auto"/>
          <w:kern w:val="0"/>
          <w:sz w:val="24"/>
          <w:szCs w:val="24"/>
          <w:highlight w:val="none"/>
        </w:rPr>
      </w:pPr>
    </w:p>
    <w:p w14:paraId="6118BD59">
      <w:pPr>
        <w:adjustRightInd w:val="0"/>
        <w:spacing w:line="360" w:lineRule="auto"/>
        <w:jc w:val="left"/>
        <w:textAlignment w:val="baseline"/>
        <w:rPr>
          <w:rFonts w:ascii="宋体" w:hAnsi="宋体"/>
          <w:color w:val="auto"/>
          <w:kern w:val="0"/>
          <w:sz w:val="24"/>
          <w:szCs w:val="24"/>
          <w:highlight w:val="none"/>
        </w:rPr>
      </w:pPr>
    </w:p>
    <w:p w14:paraId="2FCBD4B7">
      <w:pPr>
        <w:adjustRightInd w:val="0"/>
        <w:spacing w:line="360" w:lineRule="auto"/>
        <w:jc w:val="left"/>
        <w:textAlignment w:val="baseline"/>
        <w:rPr>
          <w:rFonts w:ascii="宋体" w:hAnsi="宋体"/>
          <w:color w:val="auto"/>
          <w:kern w:val="0"/>
          <w:sz w:val="24"/>
          <w:szCs w:val="24"/>
          <w:highlight w:val="none"/>
        </w:rPr>
      </w:pPr>
    </w:p>
    <w:p w14:paraId="3343BF7F">
      <w:pPr>
        <w:adjustRightInd w:val="0"/>
        <w:spacing w:line="360" w:lineRule="auto"/>
        <w:jc w:val="left"/>
        <w:textAlignment w:val="baseline"/>
        <w:rPr>
          <w:rFonts w:ascii="宋体" w:hAnsi="宋体"/>
          <w:color w:val="auto"/>
          <w:kern w:val="0"/>
          <w:sz w:val="24"/>
          <w:szCs w:val="24"/>
          <w:highlight w:val="none"/>
        </w:rPr>
      </w:pPr>
    </w:p>
    <w:p w14:paraId="53238C96">
      <w:pPr>
        <w:adjustRightInd w:val="0"/>
        <w:spacing w:before="120" w:after="120" w:line="360" w:lineRule="auto"/>
        <w:textAlignment w:val="baseline"/>
        <w:rPr>
          <w:rFonts w:ascii="Arial" w:hAnsi="Arial"/>
          <w:b/>
          <w:bCs/>
          <w:color w:val="auto"/>
          <w:kern w:val="0"/>
          <w:sz w:val="32"/>
          <w:szCs w:val="24"/>
          <w:highlight w:val="none"/>
        </w:rPr>
      </w:pPr>
    </w:p>
    <w:p w14:paraId="2D1A501F">
      <w:pPr>
        <w:adjustRightInd w:val="0"/>
        <w:spacing w:before="120" w:after="120" w:line="360" w:lineRule="auto"/>
        <w:jc w:val="center"/>
        <w:textAlignment w:val="baseline"/>
        <w:rPr>
          <w:rFonts w:ascii="Arial" w:hAnsi="Arial"/>
          <w:b/>
          <w:bCs/>
          <w:color w:val="auto"/>
          <w:kern w:val="0"/>
          <w:sz w:val="32"/>
          <w:szCs w:val="24"/>
          <w:highlight w:val="none"/>
        </w:rPr>
      </w:pPr>
    </w:p>
    <w:p w14:paraId="6A278AEA">
      <w:pPr>
        <w:adjustRightInd w:val="0"/>
        <w:spacing w:before="120" w:after="120" w:line="360" w:lineRule="auto"/>
        <w:jc w:val="center"/>
        <w:textAlignment w:val="baseline"/>
        <w:rPr>
          <w:rFonts w:ascii="Arial" w:hAnsi="Arial"/>
          <w:b/>
          <w:bCs/>
          <w:color w:val="auto"/>
          <w:kern w:val="0"/>
          <w:sz w:val="32"/>
          <w:szCs w:val="24"/>
          <w:highlight w:val="none"/>
        </w:rPr>
      </w:pPr>
    </w:p>
    <w:p w14:paraId="192D213C">
      <w:pPr>
        <w:adjustRightInd w:val="0"/>
        <w:spacing w:before="120" w:after="120" w:line="360" w:lineRule="auto"/>
        <w:jc w:val="center"/>
        <w:textAlignment w:val="baseline"/>
        <w:rPr>
          <w:rFonts w:ascii="Arial" w:hAnsi="Arial"/>
          <w:b/>
          <w:bCs/>
          <w:color w:val="auto"/>
          <w:kern w:val="0"/>
          <w:sz w:val="32"/>
          <w:szCs w:val="24"/>
          <w:highlight w:val="none"/>
        </w:rPr>
      </w:pPr>
      <w:r>
        <w:rPr>
          <w:rFonts w:hint="eastAsia" w:ascii="Arial" w:hAnsi="Arial"/>
          <w:b/>
          <w:bCs/>
          <w:color w:val="auto"/>
          <w:kern w:val="0"/>
          <w:sz w:val="32"/>
          <w:szCs w:val="24"/>
          <w:highlight w:val="none"/>
        </w:rPr>
        <w:t>采购人：</w:t>
      </w:r>
      <w:bookmarkStart w:id="0" w:name="OLE_LINK6"/>
      <w:bookmarkStart w:id="1" w:name="OLE_LINK3"/>
      <w:r>
        <w:rPr>
          <w:rFonts w:hint="eastAsia" w:ascii="Arial" w:hAnsi="Arial"/>
          <w:b/>
          <w:bCs/>
          <w:color w:val="auto"/>
          <w:kern w:val="0"/>
          <w:sz w:val="32"/>
          <w:szCs w:val="24"/>
          <w:highlight w:val="none"/>
        </w:rPr>
        <w:t>海安市市场监督管理局</w:t>
      </w:r>
      <w:bookmarkEnd w:id="0"/>
      <w:bookmarkEnd w:id="1"/>
    </w:p>
    <w:p w14:paraId="565F71B7">
      <w:pPr>
        <w:adjustRightInd w:val="0"/>
        <w:spacing w:before="120" w:after="120" w:line="360" w:lineRule="auto"/>
        <w:jc w:val="center"/>
        <w:textAlignment w:val="baseline"/>
        <w:rPr>
          <w:rFonts w:ascii="Arial" w:hAnsi="Arial"/>
          <w:b/>
          <w:bCs/>
          <w:color w:val="auto"/>
          <w:kern w:val="0"/>
          <w:sz w:val="32"/>
          <w:szCs w:val="24"/>
          <w:highlight w:val="none"/>
        </w:rPr>
      </w:pPr>
      <w:r>
        <w:rPr>
          <w:rFonts w:hint="eastAsia" w:ascii="Arial" w:hAnsi="Arial"/>
          <w:b/>
          <w:bCs/>
          <w:color w:val="auto"/>
          <w:kern w:val="0"/>
          <w:sz w:val="32"/>
          <w:szCs w:val="24"/>
          <w:highlight w:val="none"/>
        </w:rPr>
        <w:t>202</w:t>
      </w:r>
      <w:r>
        <w:rPr>
          <w:rFonts w:hint="eastAsia" w:ascii="Arial" w:hAnsi="Arial"/>
          <w:b/>
          <w:bCs/>
          <w:color w:val="auto"/>
          <w:kern w:val="0"/>
          <w:sz w:val="32"/>
          <w:szCs w:val="24"/>
          <w:highlight w:val="none"/>
          <w:lang w:val="en-US" w:eastAsia="zh-CN"/>
        </w:rPr>
        <w:t>6</w:t>
      </w:r>
      <w:r>
        <w:rPr>
          <w:rFonts w:hint="eastAsia" w:ascii="Arial" w:hAnsi="Arial"/>
          <w:b/>
          <w:bCs/>
          <w:color w:val="auto"/>
          <w:kern w:val="0"/>
          <w:sz w:val="32"/>
          <w:szCs w:val="24"/>
          <w:highlight w:val="none"/>
        </w:rPr>
        <w:t>年</w:t>
      </w:r>
      <w:r>
        <w:rPr>
          <w:rFonts w:hint="eastAsia" w:ascii="Arial" w:hAnsi="Arial"/>
          <w:b/>
          <w:bCs/>
          <w:color w:val="auto"/>
          <w:kern w:val="0"/>
          <w:sz w:val="32"/>
          <w:szCs w:val="24"/>
          <w:highlight w:val="none"/>
          <w:lang w:val="en-US" w:eastAsia="zh-CN"/>
        </w:rPr>
        <w:t>05</w:t>
      </w:r>
      <w:r>
        <w:rPr>
          <w:rFonts w:hint="eastAsia" w:ascii="Arial" w:hAnsi="Arial"/>
          <w:b/>
          <w:bCs/>
          <w:color w:val="auto"/>
          <w:kern w:val="0"/>
          <w:sz w:val="32"/>
          <w:szCs w:val="24"/>
          <w:highlight w:val="none"/>
        </w:rPr>
        <w:t>月</w:t>
      </w:r>
      <w:r>
        <w:rPr>
          <w:rFonts w:hint="eastAsia" w:ascii="Arial" w:hAnsi="Arial"/>
          <w:b/>
          <w:bCs/>
          <w:color w:val="auto"/>
          <w:kern w:val="0"/>
          <w:sz w:val="32"/>
          <w:szCs w:val="24"/>
          <w:highlight w:val="none"/>
          <w:lang w:val="en-US" w:eastAsia="zh-CN"/>
        </w:rPr>
        <w:t>14</w:t>
      </w:r>
      <w:r>
        <w:rPr>
          <w:rFonts w:hint="eastAsia" w:ascii="Arial" w:hAnsi="Arial"/>
          <w:b/>
          <w:bCs/>
          <w:color w:val="auto"/>
          <w:kern w:val="0"/>
          <w:sz w:val="32"/>
          <w:szCs w:val="24"/>
          <w:highlight w:val="none"/>
        </w:rPr>
        <w:t>日</w:t>
      </w:r>
    </w:p>
    <w:p w14:paraId="39C6F30A">
      <w:pPr>
        <w:adjustRightInd w:val="0"/>
        <w:spacing w:before="120" w:after="120" w:line="360" w:lineRule="auto"/>
        <w:jc w:val="left"/>
        <w:textAlignment w:val="baseline"/>
        <w:rPr>
          <w:rFonts w:ascii="Arial" w:hAnsi="Arial"/>
          <w:color w:val="auto"/>
          <w:kern w:val="0"/>
          <w:sz w:val="24"/>
          <w:szCs w:val="24"/>
          <w:highlight w:val="none"/>
        </w:rPr>
      </w:pPr>
      <w:r>
        <w:rPr>
          <w:rFonts w:hint="eastAsia" w:ascii="Arial" w:hAnsi="Arial"/>
          <w:color w:val="auto"/>
          <w:kern w:val="0"/>
          <w:sz w:val="24"/>
          <w:szCs w:val="24"/>
          <w:highlight w:val="none"/>
        </w:rPr>
        <w:t xml:space="preserve">                        </w:t>
      </w:r>
      <w:bookmarkStart w:id="2" w:name="_Toc120614210"/>
      <w:bookmarkStart w:id="3" w:name="_Toc20823272"/>
      <w:bookmarkStart w:id="4" w:name="_Toc479757206"/>
      <w:bookmarkStart w:id="5" w:name="_Toc523127445"/>
      <w:bookmarkStart w:id="6" w:name="_Toc16938516"/>
      <w:bookmarkStart w:id="7" w:name="_Toc513029200"/>
    </w:p>
    <w:p w14:paraId="236D2564">
      <w:pPr>
        <w:adjustRightInd w:val="0"/>
        <w:spacing w:before="120" w:after="120" w:line="360" w:lineRule="auto"/>
        <w:jc w:val="left"/>
        <w:textAlignment w:val="baseline"/>
        <w:rPr>
          <w:rFonts w:ascii="Arial" w:hAnsi="Arial"/>
          <w:color w:val="auto"/>
          <w:kern w:val="0"/>
          <w:sz w:val="24"/>
          <w:szCs w:val="24"/>
          <w:highlight w:val="none"/>
        </w:rPr>
      </w:pPr>
    </w:p>
    <w:p w14:paraId="3A4B680C">
      <w:pPr>
        <w:adjustRightInd w:val="0"/>
        <w:spacing w:before="120" w:after="120" w:line="360" w:lineRule="auto"/>
        <w:ind w:firstLine="3534" w:firstLineChars="800"/>
        <w:jc w:val="left"/>
        <w:textAlignment w:val="baseline"/>
        <w:rPr>
          <w:rFonts w:ascii="黑体" w:hAnsi="Arial" w:eastAsia="黑体"/>
          <w:b/>
          <w:color w:val="auto"/>
          <w:sz w:val="44"/>
          <w:szCs w:val="21"/>
          <w:highlight w:val="none"/>
        </w:rPr>
      </w:pPr>
      <w:r>
        <w:rPr>
          <w:rFonts w:hint="eastAsia" w:ascii="黑体" w:hAnsi="Arial" w:eastAsia="黑体"/>
          <w:b/>
          <w:color w:val="auto"/>
          <w:sz w:val="44"/>
          <w:szCs w:val="21"/>
          <w:highlight w:val="none"/>
        </w:rPr>
        <w:t>总  目  录</w:t>
      </w:r>
    </w:p>
    <w:p w14:paraId="7E871B06">
      <w:pPr>
        <w:spacing w:line="480" w:lineRule="auto"/>
        <w:rPr>
          <w:rFonts w:ascii="仿宋_GB2312" w:hAnsi="Arial" w:eastAsia="仿宋_GB2312"/>
          <w:b/>
          <w:color w:val="auto"/>
          <w:sz w:val="28"/>
          <w:szCs w:val="21"/>
          <w:highlight w:val="none"/>
        </w:rPr>
      </w:pPr>
    </w:p>
    <w:p w14:paraId="0E5C72FF">
      <w:pPr>
        <w:numPr>
          <w:ilvl w:val="0"/>
          <w:numId w:val="4"/>
        </w:numPr>
        <w:spacing w:line="480" w:lineRule="auto"/>
        <w:outlineLvl w:val="0"/>
        <w:rPr>
          <w:rFonts w:ascii="黑体" w:hAnsi="Showcard Gothic" w:eastAsia="黑体"/>
          <w:color w:val="auto"/>
          <w:sz w:val="32"/>
          <w:szCs w:val="21"/>
          <w:highlight w:val="none"/>
        </w:rPr>
      </w:pPr>
      <w:r>
        <w:rPr>
          <w:rFonts w:hint="eastAsia" w:ascii="黑体" w:hAnsi="宋体" w:eastAsia="黑体"/>
          <w:color w:val="auto"/>
          <w:sz w:val="36"/>
          <w:szCs w:val="21"/>
          <w:highlight w:val="none"/>
        </w:rPr>
        <w:t>磋商邀请</w:t>
      </w:r>
    </w:p>
    <w:p w14:paraId="0B1C5722">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bCs/>
          <w:color w:val="auto"/>
          <w:sz w:val="36"/>
          <w:szCs w:val="36"/>
          <w:highlight w:val="none"/>
        </w:rPr>
        <w:t>供应商须知</w:t>
      </w:r>
      <w:r>
        <w:rPr>
          <w:rFonts w:hint="eastAsia" w:ascii="黑体" w:hAnsi="Showcard Gothic" w:eastAsia="黑体"/>
          <w:color w:val="auto"/>
          <w:sz w:val="36"/>
          <w:szCs w:val="21"/>
          <w:highlight w:val="none"/>
        </w:rPr>
        <w:t xml:space="preserve"> </w:t>
      </w:r>
    </w:p>
    <w:p w14:paraId="7F1A1679">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采购需求</w:t>
      </w:r>
    </w:p>
    <w:p w14:paraId="2BBFD7F5">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bCs/>
          <w:color w:val="auto"/>
          <w:sz w:val="36"/>
          <w:szCs w:val="36"/>
          <w:highlight w:val="none"/>
        </w:rPr>
        <w:t>评审方法与评审标准</w:t>
      </w:r>
    </w:p>
    <w:p w14:paraId="0249BA6A">
      <w:pPr>
        <w:numPr>
          <w:ilvl w:val="0"/>
          <w:numId w:val="4"/>
        </w:numPr>
        <w:spacing w:line="480" w:lineRule="auto"/>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响应文件格式</w:t>
      </w:r>
    </w:p>
    <w:p w14:paraId="5A6F0C95">
      <w:pPr>
        <w:rPr>
          <w:color w:val="auto"/>
          <w:szCs w:val="21"/>
          <w:highlight w:val="none"/>
        </w:rPr>
      </w:pPr>
    </w:p>
    <w:p w14:paraId="563F7717">
      <w:pPr>
        <w:rPr>
          <w:color w:val="auto"/>
          <w:szCs w:val="21"/>
          <w:highlight w:val="none"/>
        </w:rPr>
      </w:pPr>
    </w:p>
    <w:p w14:paraId="74413FD5">
      <w:pPr>
        <w:rPr>
          <w:color w:val="auto"/>
          <w:szCs w:val="21"/>
          <w:highlight w:val="none"/>
        </w:rPr>
      </w:pPr>
    </w:p>
    <w:p w14:paraId="0A61053A">
      <w:pPr>
        <w:rPr>
          <w:color w:val="auto"/>
          <w:szCs w:val="21"/>
          <w:highlight w:val="none"/>
        </w:rPr>
      </w:pPr>
    </w:p>
    <w:p w14:paraId="216AC504">
      <w:pPr>
        <w:rPr>
          <w:color w:val="auto"/>
          <w:szCs w:val="21"/>
          <w:highlight w:val="none"/>
        </w:rPr>
      </w:pPr>
    </w:p>
    <w:p w14:paraId="5A93B423">
      <w:pPr>
        <w:rPr>
          <w:color w:val="auto"/>
          <w:szCs w:val="21"/>
          <w:highlight w:val="none"/>
        </w:rPr>
      </w:pPr>
    </w:p>
    <w:p w14:paraId="2777DA75">
      <w:pPr>
        <w:rPr>
          <w:color w:val="auto"/>
          <w:szCs w:val="21"/>
          <w:highlight w:val="none"/>
        </w:rPr>
      </w:pPr>
    </w:p>
    <w:p w14:paraId="4FBDBEC8">
      <w:pPr>
        <w:rPr>
          <w:color w:val="auto"/>
          <w:szCs w:val="21"/>
          <w:highlight w:val="none"/>
        </w:rPr>
      </w:pPr>
    </w:p>
    <w:p w14:paraId="0A91E5F5">
      <w:pPr>
        <w:rPr>
          <w:color w:val="auto"/>
          <w:szCs w:val="21"/>
          <w:highlight w:val="none"/>
        </w:rPr>
      </w:pPr>
    </w:p>
    <w:p w14:paraId="43B68315">
      <w:pPr>
        <w:rPr>
          <w:color w:val="auto"/>
          <w:szCs w:val="21"/>
          <w:highlight w:val="none"/>
        </w:rPr>
      </w:pPr>
    </w:p>
    <w:p w14:paraId="3A645AA1">
      <w:pPr>
        <w:rPr>
          <w:color w:val="auto"/>
          <w:szCs w:val="21"/>
          <w:highlight w:val="none"/>
        </w:rPr>
      </w:pPr>
    </w:p>
    <w:p w14:paraId="0017E907">
      <w:pPr>
        <w:rPr>
          <w:color w:val="auto"/>
          <w:szCs w:val="21"/>
          <w:highlight w:val="none"/>
        </w:rPr>
      </w:pPr>
    </w:p>
    <w:p w14:paraId="3AA0EAEB">
      <w:pPr>
        <w:rPr>
          <w:color w:val="auto"/>
          <w:szCs w:val="21"/>
          <w:highlight w:val="none"/>
        </w:rPr>
      </w:pPr>
    </w:p>
    <w:p w14:paraId="4A9CF01C">
      <w:pPr>
        <w:rPr>
          <w:color w:val="auto"/>
          <w:szCs w:val="21"/>
          <w:highlight w:val="none"/>
        </w:rPr>
      </w:pPr>
    </w:p>
    <w:p w14:paraId="19BE9B92">
      <w:pPr>
        <w:rPr>
          <w:color w:val="auto"/>
          <w:szCs w:val="21"/>
          <w:highlight w:val="none"/>
        </w:rPr>
      </w:pPr>
    </w:p>
    <w:p w14:paraId="129D8655">
      <w:pPr>
        <w:rPr>
          <w:color w:val="auto"/>
          <w:szCs w:val="21"/>
          <w:highlight w:val="none"/>
        </w:rPr>
      </w:pPr>
    </w:p>
    <w:p w14:paraId="0B2F2B39">
      <w:pPr>
        <w:rPr>
          <w:color w:val="auto"/>
          <w:szCs w:val="21"/>
          <w:highlight w:val="none"/>
        </w:rPr>
      </w:pPr>
    </w:p>
    <w:p w14:paraId="27046E03">
      <w:pPr>
        <w:rPr>
          <w:color w:val="auto"/>
          <w:szCs w:val="21"/>
          <w:highlight w:val="none"/>
        </w:rPr>
      </w:pPr>
    </w:p>
    <w:p w14:paraId="494BDB67">
      <w:pPr>
        <w:rPr>
          <w:color w:val="auto"/>
          <w:szCs w:val="21"/>
          <w:highlight w:val="none"/>
        </w:rPr>
      </w:pPr>
    </w:p>
    <w:p w14:paraId="06BA0ACC">
      <w:pPr>
        <w:rPr>
          <w:color w:val="auto"/>
          <w:szCs w:val="21"/>
          <w:highlight w:val="none"/>
        </w:rPr>
      </w:pPr>
    </w:p>
    <w:p w14:paraId="38B9B79D">
      <w:pPr>
        <w:rPr>
          <w:color w:val="auto"/>
          <w:szCs w:val="21"/>
          <w:highlight w:val="none"/>
        </w:rPr>
      </w:pPr>
    </w:p>
    <w:p w14:paraId="7A295AE1">
      <w:pPr>
        <w:rPr>
          <w:color w:val="auto"/>
          <w:szCs w:val="21"/>
          <w:highlight w:val="none"/>
        </w:rPr>
      </w:pPr>
    </w:p>
    <w:p w14:paraId="67BEBAC6">
      <w:pPr>
        <w:rPr>
          <w:color w:val="auto"/>
          <w:szCs w:val="21"/>
          <w:highlight w:val="none"/>
        </w:rPr>
      </w:pPr>
    </w:p>
    <w:p w14:paraId="6ABBCBD7">
      <w:pPr>
        <w:rPr>
          <w:color w:val="auto"/>
          <w:szCs w:val="21"/>
          <w:highlight w:val="none"/>
        </w:rPr>
      </w:pPr>
    </w:p>
    <w:p w14:paraId="2BDA9ED9">
      <w:pPr>
        <w:rPr>
          <w:color w:val="auto"/>
          <w:szCs w:val="21"/>
          <w:highlight w:val="none"/>
        </w:rPr>
      </w:pPr>
    </w:p>
    <w:p w14:paraId="1841A158">
      <w:pPr>
        <w:rPr>
          <w:color w:val="auto"/>
          <w:szCs w:val="21"/>
          <w:highlight w:val="none"/>
        </w:rPr>
      </w:pPr>
    </w:p>
    <w:p w14:paraId="0CB93384">
      <w:pPr>
        <w:rPr>
          <w:color w:val="auto"/>
          <w:szCs w:val="21"/>
          <w:highlight w:val="none"/>
        </w:rPr>
      </w:pPr>
    </w:p>
    <w:p w14:paraId="492E6AA3">
      <w:pPr>
        <w:rPr>
          <w:color w:val="auto"/>
          <w:szCs w:val="21"/>
          <w:highlight w:val="none"/>
        </w:rPr>
      </w:pPr>
    </w:p>
    <w:p w14:paraId="7FF7D9A0">
      <w:pPr>
        <w:rPr>
          <w:color w:val="auto"/>
          <w:szCs w:val="21"/>
          <w:highlight w:val="none"/>
        </w:rPr>
      </w:pPr>
    </w:p>
    <w:p w14:paraId="4176B5AF">
      <w:pPr>
        <w:rPr>
          <w:color w:val="auto"/>
          <w:szCs w:val="21"/>
          <w:highlight w:val="none"/>
        </w:rPr>
      </w:pPr>
    </w:p>
    <w:p w14:paraId="7B108602">
      <w:pPr>
        <w:rPr>
          <w:color w:val="auto"/>
          <w:szCs w:val="21"/>
          <w:highlight w:val="none"/>
        </w:rPr>
      </w:pPr>
    </w:p>
    <w:p w14:paraId="0DEBD48C">
      <w:pPr>
        <w:keepNext/>
        <w:spacing w:line="560" w:lineRule="exact"/>
        <w:jc w:val="center"/>
        <w:outlineLvl w:val="0"/>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2"/>
      <w:r>
        <w:rPr>
          <w:rFonts w:hint="eastAsia" w:ascii="黑体" w:eastAsia="黑体"/>
          <w:color w:val="auto"/>
          <w:sz w:val="44"/>
          <w:szCs w:val="44"/>
          <w:highlight w:val="none"/>
        </w:rPr>
        <w:t>磋商邀请</w:t>
      </w:r>
    </w:p>
    <w:p w14:paraId="5B2F41A0">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rPr>
        <w:t>海安市市场监督管理局</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海安中信会计师事务所有限公司</w:t>
      </w:r>
      <w:r>
        <w:rPr>
          <w:rFonts w:hint="eastAsia" w:ascii="宋体" w:hAnsi="宋体"/>
          <w:color w:val="auto"/>
          <w:sz w:val="24"/>
          <w:szCs w:val="24"/>
          <w:highlight w:val="none"/>
        </w:rPr>
        <w:t>就</w:t>
      </w:r>
      <w:r>
        <w:rPr>
          <w:rFonts w:hint="eastAsia" w:ascii="宋体" w:hAnsi="宋体"/>
          <w:color w:val="auto"/>
          <w:sz w:val="24"/>
          <w:szCs w:val="24"/>
          <w:highlight w:val="none"/>
          <w:u w:val="single"/>
          <w:lang w:eastAsia="zh-CN"/>
        </w:rPr>
        <w:t>海安市市场监督管理局2026年食品抽检服务项目</w:t>
      </w:r>
      <w:r>
        <w:rPr>
          <w:rFonts w:hint="eastAsia" w:ascii="宋体" w:hAnsi="宋体"/>
          <w:color w:val="auto"/>
          <w:sz w:val="24"/>
          <w:szCs w:val="24"/>
          <w:highlight w:val="none"/>
        </w:rPr>
        <w:t>(项目编号：</w:t>
      </w:r>
      <w:bookmarkStart w:id="8" w:name="OLE_LINK37"/>
      <w:bookmarkStart w:id="9" w:name="OLE_LINK38"/>
      <w:r>
        <w:rPr>
          <w:rFonts w:hint="eastAsia" w:ascii="宋体" w:hAnsi="宋体"/>
          <w:color w:val="auto"/>
          <w:sz w:val="24"/>
          <w:szCs w:val="24"/>
          <w:highlight w:val="none"/>
        </w:rPr>
        <w:t>JSZC-320685-HAZX-C2026-0009</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w:t>
      </w:r>
      <w:bookmarkEnd w:id="8"/>
      <w:bookmarkEnd w:id="9"/>
      <w:r>
        <w:rPr>
          <w:rFonts w:hint="eastAsia" w:ascii="宋体" w:hAnsi="宋体"/>
          <w:color w:val="auto"/>
          <w:sz w:val="24"/>
          <w:szCs w:val="24"/>
          <w:highlight w:val="none"/>
        </w:rPr>
        <w:t>进行竞争性磋商采购，欢迎符合条件的供应商参加磋商。</w:t>
      </w:r>
    </w:p>
    <w:p w14:paraId="6073B7EF">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项目概况</w:t>
      </w:r>
    </w:p>
    <w:p w14:paraId="0C625E9E">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u w:val="single"/>
          <w:lang w:eastAsia="zh-CN"/>
        </w:rPr>
        <w:t>海安市市场监督管理局2026年食品抽检服务项目</w:t>
      </w:r>
      <w:r>
        <w:rPr>
          <w:rFonts w:hint="eastAsia" w:ascii="宋体" w:hAnsi="宋体"/>
          <w:color w:val="auto"/>
          <w:sz w:val="24"/>
          <w:szCs w:val="24"/>
          <w:highlight w:val="none"/>
        </w:rPr>
        <w:t>竞争性磋商项目的潜在供应商可在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磋商文件，并于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color w:val="auto"/>
          <w:sz w:val="24"/>
          <w:szCs w:val="24"/>
          <w:highlight w:val="none"/>
          <w:u w:val="single"/>
        </w:rPr>
        <w:t>年</w:t>
      </w:r>
      <w:r>
        <w:rPr>
          <w:rFonts w:hint="eastAsia" w:ascii="宋体" w:hAnsi="宋体"/>
          <w:color w:val="auto"/>
          <w:sz w:val="24"/>
          <w:szCs w:val="24"/>
          <w:highlight w:val="none"/>
          <w:u w:val="single"/>
          <w:lang w:val="en-US" w:eastAsia="zh-CN"/>
        </w:rPr>
        <w:t>5</w:t>
      </w:r>
      <w:r>
        <w:rPr>
          <w:rFonts w:hint="eastAsia" w:ascii="宋体" w:hAnsi="宋体"/>
          <w:color w:val="auto"/>
          <w:sz w:val="24"/>
          <w:szCs w:val="24"/>
          <w:highlight w:val="none"/>
          <w:u w:val="single"/>
        </w:rPr>
        <w:t>月</w:t>
      </w:r>
      <w:r>
        <w:rPr>
          <w:rFonts w:hint="eastAsia" w:ascii="宋体" w:hAnsi="宋体"/>
          <w:color w:val="auto"/>
          <w:sz w:val="24"/>
          <w:szCs w:val="24"/>
          <w:highlight w:val="none"/>
          <w:u w:val="single"/>
          <w:lang w:val="en-US" w:eastAsia="zh-CN"/>
        </w:rPr>
        <w:t>27</w:t>
      </w:r>
      <w:r>
        <w:rPr>
          <w:rFonts w:hint="eastAsia" w:ascii="宋体" w:hAnsi="宋体"/>
          <w:color w:val="auto"/>
          <w:sz w:val="24"/>
          <w:szCs w:val="24"/>
          <w:highlight w:val="none"/>
          <w:u w:val="single"/>
        </w:rPr>
        <w:t>日</w:t>
      </w:r>
      <w:r>
        <w:rPr>
          <w:rFonts w:hint="eastAsia" w:ascii="宋体" w:hAnsi="宋体"/>
          <w:bCs/>
          <w:color w:val="auto"/>
          <w:sz w:val="24"/>
          <w:szCs w:val="24"/>
          <w:highlight w:val="none"/>
          <w:u w:val="single"/>
        </w:rPr>
        <w:t>09点00分（</w:t>
      </w:r>
      <w:r>
        <w:rPr>
          <w:rFonts w:hint="eastAsia" w:ascii="宋体" w:hAnsi="宋体"/>
          <w:bCs/>
          <w:color w:val="auto"/>
          <w:sz w:val="24"/>
          <w:szCs w:val="24"/>
          <w:highlight w:val="none"/>
        </w:rPr>
        <w:t>北京时间）前递交响应文件</w:t>
      </w:r>
      <w:r>
        <w:rPr>
          <w:rFonts w:hint="eastAsia" w:ascii="宋体" w:hAnsi="宋体"/>
          <w:color w:val="auto"/>
          <w:sz w:val="24"/>
          <w:szCs w:val="24"/>
          <w:highlight w:val="none"/>
        </w:rPr>
        <w:t>。</w:t>
      </w:r>
    </w:p>
    <w:p w14:paraId="2EBBDC14">
      <w:pPr>
        <w:keepNext/>
        <w:keepLines/>
        <w:spacing w:line="560" w:lineRule="exact"/>
        <w:ind w:firstLine="498" w:firstLineChars="155"/>
        <w:outlineLvl w:val="2"/>
        <w:rPr>
          <w:b/>
          <w:bCs/>
          <w:color w:val="auto"/>
          <w:sz w:val="32"/>
          <w:szCs w:val="32"/>
          <w:highlight w:val="none"/>
        </w:rPr>
      </w:pPr>
      <w:bookmarkStart w:id="10" w:name="_Toc35393790"/>
      <w:bookmarkStart w:id="11" w:name="_Toc28359002"/>
      <w:bookmarkStart w:id="12" w:name="_Toc35393621"/>
      <w:bookmarkStart w:id="13" w:name="_Toc28359079"/>
      <w:bookmarkStart w:id="14" w:name="_Toc38985263"/>
      <w:bookmarkStart w:id="15" w:name="_Hlk24379207"/>
      <w:r>
        <w:rPr>
          <w:rFonts w:hint="eastAsia"/>
          <w:b/>
          <w:bCs/>
          <w:color w:val="auto"/>
          <w:sz w:val="32"/>
          <w:szCs w:val="32"/>
          <w:highlight w:val="none"/>
        </w:rPr>
        <w:t>一、项目基本情况</w:t>
      </w:r>
      <w:bookmarkEnd w:id="10"/>
      <w:bookmarkEnd w:id="11"/>
      <w:bookmarkEnd w:id="12"/>
      <w:bookmarkEnd w:id="13"/>
      <w:bookmarkEnd w:id="14"/>
    </w:p>
    <w:bookmarkEnd w:id="15"/>
    <w:p w14:paraId="0C2539D3">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1.项目编号：JSZC-320685-HAZX-C2026-0009</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rPr>
        <w:tab/>
      </w:r>
      <w:r>
        <w:rPr>
          <w:rFonts w:hint="eastAsia" w:ascii="宋体" w:hAnsi="宋体"/>
          <w:color w:val="auto"/>
          <w:sz w:val="24"/>
          <w:szCs w:val="24"/>
          <w:highlight w:val="none"/>
        </w:rPr>
        <w:t xml:space="preserve">  </w:t>
      </w:r>
    </w:p>
    <w:p w14:paraId="25906F6C">
      <w:pPr>
        <w:spacing w:line="560" w:lineRule="exact"/>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海安市市场监督管理局2026年食品抽检服务项目</w:t>
      </w:r>
    </w:p>
    <w:p w14:paraId="6BB7F47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3.项目类型：服务</w:t>
      </w:r>
    </w:p>
    <w:p w14:paraId="04DC94AE">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4.项目行业：其他未列明行业</w:t>
      </w:r>
    </w:p>
    <w:p w14:paraId="59FAC4C9">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5.预算金额：129.29818万元，共计</w:t>
      </w:r>
      <w:r>
        <w:rPr>
          <w:rFonts w:hint="eastAsia" w:ascii="宋体" w:hAnsi="宋体"/>
          <w:color w:val="auto"/>
          <w:sz w:val="24"/>
          <w:szCs w:val="24"/>
          <w:highlight w:val="none"/>
          <w:lang w:val="en-US" w:eastAsia="zh-CN"/>
        </w:rPr>
        <w:t>2645</w:t>
      </w:r>
      <w:r>
        <w:rPr>
          <w:rFonts w:hint="eastAsia" w:ascii="宋体" w:hAnsi="宋体"/>
          <w:color w:val="auto"/>
          <w:sz w:val="24"/>
          <w:szCs w:val="24"/>
          <w:highlight w:val="none"/>
        </w:rPr>
        <w:t>批次。</w:t>
      </w:r>
    </w:p>
    <w:p w14:paraId="1F828F77">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6.共分</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个采购包，其中：</w:t>
      </w:r>
    </w:p>
    <w:p w14:paraId="4A8858C9">
      <w:pPr>
        <w:spacing w:line="560" w:lineRule="exact"/>
        <w:ind w:firstLine="480" w:firstLineChars="200"/>
        <w:rPr>
          <w:rFonts w:hint="eastAsia" w:ascii="宋体" w:hAnsi="宋体"/>
          <w:color w:val="auto"/>
          <w:sz w:val="24"/>
          <w:szCs w:val="24"/>
          <w:highlight w:val="none"/>
        </w:rPr>
      </w:pPr>
      <w:bookmarkStart w:id="16" w:name="OLE_LINK4"/>
      <w:bookmarkStart w:id="17" w:name="OLE_LINK5"/>
      <w:bookmarkStart w:id="18" w:name="OLE_LINK33"/>
      <w:r>
        <w:rPr>
          <w:rFonts w:hint="eastAsia" w:ascii="宋体" w:hAnsi="宋体"/>
          <w:color w:val="auto"/>
          <w:sz w:val="24"/>
          <w:szCs w:val="24"/>
          <w:highlight w:val="none"/>
        </w:rPr>
        <w:t>采购包1最高限价为：43.80万元；流通环节食用农产品295批次+流通环节普通食品228批次（高新区其他商超：2026年9月1日后开始抽样）+餐饮环节100批次（网络餐饮：高新区）+2026机动批次273批次（高新区、雅周、李堡、滨海新区）。共896批次。</w:t>
      </w:r>
    </w:p>
    <w:p w14:paraId="095D3EF6">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采购包2最高限价为：43.17万元；生产环节203批次+流通环节普通食品（开发区其他商超）340批次+餐饮环节50批次（网络餐饮：开发区）+2026机动90批次（开发区、大公）+2026—2027任务延续200批次。共883批次。</w:t>
      </w:r>
    </w:p>
    <w:p w14:paraId="75803B6B">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3最高限价为：42.32818万元；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p>
    <w:p w14:paraId="77ED8AA1">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注：2026—2027任务延续400批次，为确保抽检工作在2026年12月至2027年4月</w:t>
      </w:r>
      <w:r>
        <w:rPr>
          <w:rFonts w:hint="eastAsia" w:ascii="宋体" w:hAnsi="宋体"/>
          <w:color w:val="auto"/>
          <w:sz w:val="24"/>
          <w:szCs w:val="24"/>
          <w:highlight w:val="none"/>
          <w:lang w:val="en-US" w:eastAsia="zh-CN"/>
        </w:rPr>
        <w:t>30日</w:t>
      </w:r>
      <w:r>
        <w:rPr>
          <w:rFonts w:hint="eastAsia" w:ascii="宋体" w:hAnsi="宋体"/>
          <w:color w:val="auto"/>
          <w:sz w:val="24"/>
          <w:szCs w:val="24"/>
          <w:highlight w:val="none"/>
        </w:rPr>
        <w:t>期间均衡开展</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并录入检验报告</w:t>
      </w:r>
      <w:r>
        <w:rPr>
          <w:rFonts w:hint="eastAsia" w:ascii="宋体" w:hAnsi="宋体"/>
          <w:color w:val="auto"/>
          <w:sz w:val="24"/>
          <w:szCs w:val="24"/>
          <w:highlight w:val="none"/>
        </w:rPr>
        <w:t>。</w:t>
      </w:r>
    </w:p>
    <w:bookmarkEnd w:id="16"/>
    <w:bookmarkEnd w:id="17"/>
    <w:bookmarkEnd w:id="18"/>
    <w:p w14:paraId="68449D91">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各采购包报价超过</w:t>
      </w:r>
      <w:r>
        <w:rPr>
          <w:rFonts w:hint="eastAsia" w:ascii="宋体" w:hAnsi="宋体"/>
          <w:b/>
          <w:bCs/>
          <w:color w:val="auto"/>
          <w:sz w:val="24"/>
          <w:szCs w:val="24"/>
          <w:highlight w:val="none"/>
        </w:rPr>
        <w:t>最高限价</w:t>
      </w:r>
      <w:r>
        <w:rPr>
          <w:rFonts w:hint="eastAsia" w:ascii="宋体" w:hAnsi="宋体"/>
          <w:color w:val="auto"/>
          <w:sz w:val="24"/>
          <w:szCs w:val="24"/>
          <w:highlight w:val="none"/>
        </w:rPr>
        <w:t>的为无效响应文件。</w:t>
      </w:r>
    </w:p>
    <w:p w14:paraId="29BB5993">
      <w:pPr>
        <w:pStyle w:val="45"/>
        <w:ind w:firstLine="480"/>
        <w:rPr>
          <w:color w:val="auto"/>
          <w:sz w:val="24"/>
          <w:szCs w:val="24"/>
          <w:highlight w:val="none"/>
        </w:rPr>
      </w:pPr>
      <w:r>
        <w:rPr>
          <w:rFonts w:hint="eastAsia" w:cs="宋体"/>
          <w:color w:val="auto"/>
          <w:sz w:val="24"/>
          <w:szCs w:val="24"/>
          <w:highlight w:val="none"/>
        </w:rPr>
        <w:t>本项目共分为</w:t>
      </w:r>
      <w:r>
        <w:rPr>
          <w:rFonts w:hint="eastAsia" w:cs="宋体"/>
          <w:color w:val="auto"/>
          <w:sz w:val="24"/>
          <w:szCs w:val="24"/>
          <w:highlight w:val="none"/>
          <w:lang w:val="en-US" w:eastAsia="zh-CN"/>
        </w:rPr>
        <w:t>三</w:t>
      </w:r>
      <w:r>
        <w:rPr>
          <w:rFonts w:hint="eastAsia" w:cs="宋体"/>
          <w:color w:val="auto"/>
          <w:sz w:val="24"/>
          <w:szCs w:val="24"/>
          <w:highlight w:val="none"/>
        </w:rPr>
        <w:t>个采购包（采购包号为1到</w:t>
      </w:r>
      <w:r>
        <w:rPr>
          <w:rFonts w:hint="eastAsia" w:cs="宋体"/>
          <w:color w:val="auto"/>
          <w:sz w:val="24"/>
          <w:szCs w:val="24"/>
          <w:highlight w:val="none"/>
          <w:lang w:val="en-US" w:eastAsia="zh-CN"/>
        </w:rPr>
        <w:t>3</w:t>
      </w:r>
      <w:r>
        <w:rPr>
          <w:rFonts w:hint="eastAsia" w:cs="宋体"/>
          <w:color w:val="auto"/>
          <w:sz w:val="24"/>
          <w:szCs w:val="24"/>
          <w:highlight w:val="none"/>
        </w:rPr>
        <w:t>），各响应供应商可以根据情况选择其中一个或全部标段进行投标。每家响应供应商累计中标标段数不得超过一个。评标时，依开标顺序（按标段号自然顺序开标），按照先开先中的原则，确定该响应供应商的中标标段号，可以参加后续标段的评标但不得作为后续标段的中标候选人。在合同签订之前，若某标段因质疑、投诉等事项导致中标结果改变的，则不影响其它标段号的中标结果。</w:t>
      </w:r>
    </w:p>
    <w:p w14:paraId="662D2AEC">
      <w:pPr>
        <w:spacing w:line="560" w:lineRule="exact"/>
        <w:ind w:firstLine="480" w:firstLineChars="200"/>
        <w:rPr>
          <w:rFonts w:hint="default" w:ascii="宋体" w:hAnsi="宋体" w:eastAsia="宋体"/>
          <w:color w:val="auto"/>
          <w:sz w:val="24"/>
          <w:szCs w:val="24"/>
          <w:highlight w:val="none"/>
          <w:lang w:val="en-US" w:eastAsia="zh-CN"/>
        </w:rPr>
      </w:pPr>
      <w:r>
        <w:rPr>
          <w:rFonts w:ascii="宋体" w:hAnsi="宋体"/>
          <w:color w:val="auto"/>
          <w:sz w:val="24"/>
          <w:szCs w:val="24"/>
          <w:highlight w:val="none"/>
        </w:rPr>
        <w:t>各</w:t>
      </w:r>
      <w:r>
        <w:rPr>
          <w:rFonts w:hint="eastAsia" w:ascii="宋体" w:hAnsi="宋体"/>
          <w:color w:val="auto"/>
          <w:sz w:val="24"/>
          <w:szCs w:val="24"/>
          <w:highlight w:val="none"/>
        </w:rPr>
        <w:t>采购包</w:t>
      </w:r>
      <w:r>
        <w:rPr>
          <w:rFonts w:ascii="宋体" w:hAnsi="宋体"/>
          <w:color w:val="auto"/>
          <w:sz w:val="24"/>
          <w:szCs w:val="24"/>
          <w:highlight w:val="none"/>
        </w:rPr>
        <w:t>抽检食品种类、批次详见附件</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2026年生产环节食品监督抽检招标任务分配表</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附件2《2026年流通环节食品监督抽检招标任务分配表（除食用农产品）》、附件3《2026年食用农产品招标任务分配表》。</w:t>
      </w:r>
    </w:p>
    <w:p w14:paraId="20DAFE9C">
      <w:pPr>
        <w:spacing w:line="560" w:lineRule="exact"/>
        <w:ind w:firstLine="480" w:firstLineChars="200"/>
        <w:rPr>
          <w:rFonts w:ascii="宋体" w:hAnsi="宋体" w:cs="宋体"/>
          <w:color w:val="auto"/>
          <w:kern w:val="0"/>
          <w:sz w:val="24"/>
          <w:szCs w:val="24"/>
          <w:highlight w:val="none"/>
        </w:rPr>
      </w:pPr>
      <w:r>
        <w:rPr>
          <w:rFonts w:hint="eastAsia" w:ascii="宋体" w:hAnsi="宋体"/>
          <w:color w:val="auto"/>
          <w:sz w:val="24"/>
          <w:szCs w:val="24"/>
          <w:highlight w:val="none"/>
        </w:rPr>
        <w:t>7.采购需求：</w:t>
      </w:r>
      <w:r>
        <w:rPr>
          <w:rFonts w:hint="eastAsia" w:ascii="宋体" w:hAnsi="宋体" w:cs="宋体"/>
          <w:color w:val="auto"/>
          <w:kern w:val="0"/>
          <w:sz w:val="24"/>
          <w:szCs w:val="24"/>
          <w:highlight w:val="none"/>
        </w:rPr>
        <w:t>详细内容见本采购文件第三章，</w:t>
      </w:r>
      <w:r>
        <w:rPr>
          <w:rFonts w:ascii="宋体" w:hAnsi="宋体" w:cs="宋体"/>
          <w:color w:val="auto"/>
          <w:kern w:val="0"/>
          <w:sz w:val="24"/>
          <w:szCs w:val="24"/>
          <w:highlight w:val="none"/>
        </w:rPr>
        <w:t>请仔细研究。</w:t>
      </w:r>
    </w:p>
    <w:p w14:paraId="441E2654">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8.合同履行期限：</w:t>
      </w:r>
      <w:bookmarkStart w:id="19" w:name="_Toc35393622"/>
      <w:bookmarkStart w:id="20" w:name="_Toc28359080"/>
      <w:bookmarkStart w:id="21" w:name="_Toc28359003"/>
      <w:bookmarkStart w:id="22" w:name="_Toc35393791"/>
      <w:bookmarkStart w:id="23" w:name="_Toc38985264"/>
      <w:r>
        <w:rPr>
          <w:rFonts w:hint="eastAsia" w:ascii="宋体" w:hAnsi="宋体"/>
          <w:color w:val="auto"/>
          <w:sz w:val="24"/>
          <w:szCs w:val="24"/>
          <w:highlight w:val="none"/>
        </w:rPr>
        <w:t>原则上应当逐月推进抽检工作、全年均衡开展抽检任务。</w:t>
      </w:r>
      <w:r>
        <w:rPr>
          <w:rFonts w:hint="eastAsia" w:ascii="宋体" w:hAnsi="宋体"/>
          <w:color w:val="auto"/>
          <w:sz w:val="24"/>
          <w:szCs w:val="24"/>
          <w:highlight w:val="none"/>
          <w:lang w:val="en-US" w:eastAsia="zh-CN"/>
        </w:rPr>
        <w:t>除</w:t>
      </w:r>
      <w:r>
        <w:rPr>
          <w:rFonts w:hint="eastAsia" w:ascii="宋体" w:hAnsi="宋体"/>
          <w:color w:val="auto"/>
          <w:sz w:val="24"/>
          <w:szCs w:val="24"/>
          <w:highlight w:val="none"/>
        </w:rPr>
        <w:t>2026—2027任务延续</w:t>
      </w:r>
      <w:r>
        <w:rPr>
          <w:rFonts w:hint="eastAsia" w:ascii="宋体" w:hAnsi="宋体"/>
          <w:color w:val="auto"/>
          <w:sz w:val="24"/>
          <w:szCs w:val="24"/>
          <w:highlight w:val="none"/>
          <w:lang w:val="en-US" w:eastAsia="zh-CN"/>
        </w:rPr>
        <w:t>400</w:t>
      </w:r>
      <w:r>
        <w:rPr>
          <w:rFonts w:hint="eastAsia" w:ascii="宋体" w:hAnsi="宋体"/>
          <w:color w:val="auto"/>
          <w:sz w:val="24"/>
          <w:szCs w:val="24"/>
          <w:highlight w:val="none"/>
        </w:rPr>
        <w:t>批次</w:t>
      </w:r>
      <w:r>
        <w:rPr>
          <w:rFonts w:hint="eastAsia" w:ascii="宋体" w:hAnsi="宋体"/>
          <w:color w:val="auto"/>
          <w:sz w:val="24"/>
          <w:szCs w:val="24"/>
          <w:highlight w:val="none"/>
          <w:lang w:val="en-US" w:eastAsia="zh-CN"/>
        </w:rPr>
        <w:t>外，</w:t>
      </w:r>
      <w:r>
        <w:rPr>
          <w:rFonts w:hint="eastAsia" w:ascii="宋体" w:hAnsi="宋体"/>
          <w:color w:val="auto"/>
          <w:sz w:val="24"/>
          <w:szCs w:val="24"/>
          <w:highlight w:val="none"/>
        </w:rPr>
        <w:t>采购包1、采购包2、采购包3</w:t>
      </w:r>
      <w:r>
        <w:rPr>
          <w:rFonts w:hint="eastAsia" w:ascii="宋体" w:hAnsi="宋体"/>
          <w:color w:val="auto"/>
          <w:sz w:val="24"/>
          <w:szCs w:val="24"/>
          <w:highlight w:val="none"/>
          <w:lang w:val="en-US" w:eastAsia="zh-CN"/>
        </w:rPr>
        <w:t>内其他任务</w:t>
      </w:r>
      <w:r>
        <w:rPr>
          <w:rFonts w:hint="eastAsia" w:ascii="宋体" w:hAnsi="宋体"/>
          <w:color w:val="auto"/>
          <w:sz w:val="24"/>
          <w:szCs w:val="24"/>
          <w:highlight w:val="none"/>
        </w:rPr>
        <w:t>需于202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日前完成抽检任务的100%，不得突击式大批量集中抽检。抽检进度纳入考核范畴，与服务费用结算相挂钩。</w:t>
      </w:r>
    </w:p>
    <w:p w14:paraId="4B211A62">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预留专项(机动)抽检30批次*12=360批次，按月安排。当月未安排的转入次月，次月未安排的纳入一般计划。</w:t>
      </w:r>
    </w:p>
    <w:p w14:paraId="144A0528">
      <w:pPr>
        <w:spacing w:line="560" w:lineRule="exact"/>
        <w:ind w:firstLine="480" w:firstLineChars="200"/>
        <w:rPr>
          <w:rFonts w:hint="eastAsia" w:eastAsia="宋体"/>
          <w:color w:val="auto"/>
          <w:szCs w:val="24"/>
          <w:highlight w:val="none"/>
          <w:lang w:eastAsia="zh-CN"/>
        </w:rPr>
      </w:pPr>
      <w:r>
        <w:rPr>
          <w:rFonts w:hint="eastAsia" w:ascii="宋体" w:hAnsi="宋体"/>
          <w:color w:val="auto"/>
          <w:sz w:val="24"/>
          <w:szCs w:val="24"/>
          <w:highlight w:val="none"/>
        </w:rPr>
        <w:t>检测数据在202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年12月10日前全部录入国抽系统，并于202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年12月</w:t>
      </w:r>
      <w:r>
        <w:rPr>
          <w:rFonts w:hint="eastAsia" w:ascii="宋体" w:hAnsi="宋体"/>
          <w:color w:val="auto"/>
          <w:sz w:val="24"/>
          <w:szCs w:val="24"/>
          <w:highlight w:val="none"/>
          <w:lang w:val="en-US" w:eastAsia="zh-CN"/>
        </w:rPr>
        <w:t>20</w:t>
      </w:r>
      <w:r>
        <w:rPr>
          <w:rFonts w:hint="eastAsia" w:ascii="宋体" w:hAnsi="宋体"/>
          <w:color w:val="auto"/>
          <w:sz w:val="24"/>
          <w:szCs w:val="24"/>
          <w:highlight w:val="none"/>
        </w:rPr>
        <w:t>日前向采购方提交数据分析报告。其中采购包2、包3中2026—2027任务延续400批次根据采购人需求开展，在2026年10月至2027年4月期间均衡推进。 检测数据在2027年4月30日前全部录入国抽系统，并提交检测报告</w:t>
      </w:r>
      <w:r>
        <w:rPr>
          <w:rFonts w:hint="eastAsia" w:ascii="宋体" w:hAnsi="宋体"/>
          <w:color w:val="auto"/>
          <w:sz w:val="24"/>
          <w:szCs w:val="24"/>
          <w:highlight w:val="none"/>
          <w:lang w:eastAsia="zh-CN"/>
        </w:rPr>
        <w:t>。</w:t>
      </w:r>
    </w:p>
    <w:p w14:paraId="7B33368E">
      <w:pPr>
        <w:spacing w:line="560" w:lineRule="exact"/>
        <w:ind w:firstLine="480" w:firstLineChars="200"/>
        <w:rPr>
          <w:bCs/>
          <w:color w:val="auto"/>
          <w:sz w:val="24"/>
          <w:szCs w:val="24"/>
          <w:highlight w:val="none"/>
        </w:rPr>
      </w:pPr>
      <w:r>
        <w:rPr>
          <w:rFonts w:hint="eastAsia"/>
          <w:bCs/>
          <w:color w:val="auto"/>
          <w:sz w:val="24"/>
          <w:szCs w:val="24"/>
          <w:highlight w:val="none"/>
        </w:rPr>
        <w:t>实际进驻单位时间以采购人发出的书面通知为准。如果成交供应商没有达到合同所要求履行条件之一的，则采购人有权在委托期限内随时终止合同。</w:t>
      </w:r>
    </w:p>
    <w:p w14:paraId="492CFEDB">
      <w:pPr>
        <w:spacing w:line="560" w:lineRule="exact"/>
        <w:ind w:firstLine="640" w:firstLineChars="200"/>
        <w:rPr>
          <w:bCs/>
          <w:color w:val="auto"/>
          <w:sz w:val="32"/>
          <w:szCs w:val="32"/>
          <w:highlight w:val="none"/>
        </w:rPr>
      </w:pPr>
      <w:r>
        <w:rPr>
          <w:rFonts w:hint="eastAsia"/>
          <w:bCs/>
          <w:color w:val="auto"/>
          <w:sz w:val="32"/>
          <w:szCs w:val="32"/>
          <w:highlight w:val="none"/>
        </w:rPr>
        <w:t>二、申请人的资格要求：</w:t>
      </w:r>
      <w:bookmarkEnd w:id="19"/>
      <w:bookmarkEnd w:id="20"/>
      <w:bookmarkEnd w:id="21"/>
      <w:bookmarkEnd w:id="22"/>
      <w:bookmarkEnd w:id="23"/>
    </w:p>
    <w:p w14:paraId="1563D5A4">
      <w:pPr>
        <w:spacing w:line="560" w:lineRule="exact"/>
        <w:ind w:firstLine="480" w:firstLineChars="200"/>
        <w:rPr>
          <w:rFonts w:ascii="宋体" w:hAnsi="宋体"/>
          <w:color w:val="auto"/>
          <w:sz w:val="24"/>
          <w:szCs w:val="24"/>
          <w:highlight w:val="none"/>
        </w:rPr>
      </w:pPr>
      <w:bookmarkStart w:id="24" w:name="_Toc28359004"/>
      <w:bookmarkStart w:id="25" w:name="_Toc35393623"/>
      <w:bookmarkStart w:id="26" w:name="_Toc35393792"/>
      <w:bookmarkStart w:id="27" w:name="_Toc38985265"/>
      <w:bookmarkStart w:id="28" w:name="_Toc28359081"/>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满足《中华人民共和国政府采购法》第二十二条规定，并提供相关材料：</w:t>
      </w:r>
    </w:p>
    <w:p w14:paraId="04F48341">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(1)法人或者其他组织的营业执照等证明文件，自然人的身份证明（提供扫描件）； </w:t>
      </w:r>
    </w:p>
    <w:p w14:paraId="75B2026E">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(2)提供202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年度的财务状况报告或上一年度的财务状况报表；（提供参加本次开标前的会计报表，必须含资产负债表、利润表等证明材料，成立不满一年不需提供）；</w:t>
      </w:r>
    </w:p>
    <w:p w14:paraId="51DCBD41">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(3)依法缴纳税收和社会保障资金的相关材料（提供依法缴纳税收和基本养老保险等相关材料，应由税务、社保或银行部门出具供应商依法享受缓缴、免缴税收、社会保障资金的提供证明材料）；</w:t>
      </w:r>
    </w:p>
    <w:p w14:paraId="3F9457B5">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(4) 具备履行合同所必需的设备和专业技术能力的证明材料（提供承诺书，格式见附件1）；  </w:t>
      </w:r>
    </w:p>
    <w:p w14:paraId="26D92E8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 参加政府采购活动前3年内在经营活动中没有重大违法记录的书面声明（提供承诺书，格式见附件2）；</w:t>
      </w:r>
    </w:p>
    <w:p w14:paraId="09C8F15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(6)法律、行政法规规定的其他条件。</w:t>
      </w:r>
    </w:p>
    <w:p w14:paraId="2374C25E">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2.落实政府采购政策需满足的资格要求：本项目为专门面向中小微企业。（须按照财库【2020】46号文要求提供中小企业声明函。格式见附件10）。</w:t>
      </w:r>
    </w:p>
    <w:p w14:paraId="16BF4547">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077596C">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4.本项目（不接受）联合体投标。</w:t>
      </w:r>
    </w:p>
    <w:p w14:paraId="6ACF4194">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5.本项目（不接受）进口产品投标。</w:t>
      </w:r>
    </w:p>
    <w:p w14:paraId="03782F66">
      <w:pPr>
        <w:spacing w:line="560" w:lineRule="exact"/>
        <w:ind w:firstLine="480" w:firstLineChars="200"/>
        <w:rPr>
          <w:rFonts w:ascii="宋体" w:hAnsi="宋体" w:cs="宋体"/>
          <w:color w:val="auto"/>
          <w:kern w:val="0"/>
          <w:sz w:val="24"/>
          <w:szCs w:val="24"/>
          <w:highlight w:val="none"/>
        </w:rPr>
      </w:pPr>
      <w:r>
        <w:rPr>
          <w:rFonts w:hint="eastAsia" w:ascii="宋体" w:hAnsi="宋体"/>
          <w:color w:val="auto"/>
          <w:sz w:val="24"/>
          <w:szCs w:val="24"/>
          <w:highlight w:val="none"/>
        </w:rPr>
        <w:t>6.本项目（不接受）分包。</w:t>
      </w:r>
    </w:p>
    <w:p w14:paraId="17A19B75">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（二）本项目的特定资格要求：</w:t>
      </w:r>
    </w:p>
    <w:p w14:paraId="5DA92856">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响应供应商必须具有有效的省级及以上市场监督管理部门颁发的检验检测机构资质认定证书且具有满足检测要求的附表。</w:t>
      </w:r>
    </w:p>
    <w:p w14:paraId="2B3A0271">
      <w:pPr>
        <w:spacing w:line="56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响应供应商具备的与食品检测工作相适应的实验场所、有冷藏或冷冻样品保存专用冷库。响应供应商须提供食品实验室平面布局图及各组成部分面积清单、图片说明及房屋权证或房屋租赁协议等面积证明材料等并加盖响应供应商公章。</w:t>
      </w:r>
    </w:p>
    <w:p w14:paraId="29F7F339">
      <w:pPr>
        <w:keepNext/>
        <w:keepLines/>
        <w:spacing w:line="560" w:lineRule="exact"/>
        <w:ind w:firstLine="498" w:firstLineChars="155"/>
        <w:outlineLvl w:val="2"/>
        <w:rPr>
          <w:b/>
          <w:bCs/>
          <w:color w:val="auto"/>
          <w:sz w:val="32"/>
          <w:szCs w:val="32"/>
          <w:highlight w:val="none"/>
        </w:rPr>
      </w:pPr>
      <w:r>
        <w:rPr>
          <w:rFonts w:hint="eastAsia"/>
          <w:b/>
          <w:bCs/>
          <w:color w:val="auto"/>
          <w:sz w:val="32"/>
          <w:szCs w:val="32"/>
          <w:highlight w:val="none"/>
        </w:rPr>
        <w:t>三、获取</w:t>
      </w:r>
      <w:bookmarkEnd w:id="24"/>
      <w:bookmarkEnd w:id="25"/>
      <w:bookmarkEnd w:id="26"/>
      <w:bookmarkEnd w:id="27"/>
      <w:bookmarkEnd w:id="28"/>
      <w:r>
        <w:rPr>
          <w:rFonts w:hint="eastAsia"/>
          <w:b/>
          <w:bCs/>
          <w:color w:val="auto"/>
          <w:sz w:val="32"/>
          <w:szCs w:val="32"/>
          <w:highlight w:val="none"/>
        </w:rPr>
        <w:t>磋商文件</w:t>
      </w:r>
    </w:p>
    <w:p w14:paraId="43A43D20">
      <w:pPr>
        <w:spacing w:line="560" w:lineRule="exact"/>
        <w:ind w:firstLine="540"/>
        <w:rPr>
          <w:rFonts w:ascii="宋体" w:hAnsi="宋体" w:cs="宋体"/>
          <w:b/>
          <w:color w:val="auto"/>
          <w:sz w:val="24"/>
          <w:szCs w:val="24"/>
          <w:highlight w:val="none"/>
        </w:rPr>
      </w:pPr>
      <w:bookmarkStart w:id="29" w:name="_Toc28359082"/>
      <w:bookmarkStart w:id="30" w:name="_Toc28359005"/>
      <w:bookmarkStart w:id="31" w:name="_Toc35393793"/>
      <w:bookmarkStart w:id="32" w:name="_Toc35393624"/>
      <w:bookmarkStart w:id="33" w:name="_Toc38985266"/>
      <w:r>
        <w:rPr>
          <w:rFonts w:hint="eastAsia" w:ascii="宋体" w:hAnsi="宋体" w:cs="宋体"/>
          <w:color w:val="auto"/>
          <w:sz w:val="24"/>
          <w:szCs w:val="24"/>
          <w:highlight w:val="none"/>
        </w:rPr>
        <w:t>1.时间：202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rPr>
        <w:t>日至202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日（提供期限自本公告发布之日起不得少于5个工作日）。</w:t>
      </w:r>
    </w:p>
    <w:p w14:paraId="19FAE8C7">
      <w:pPr>
        <w:spacing w:line="56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2.方式：在“江苏政府采购网”自行免费下载磋商文件。</w:t>
      </w:r>
    </w:p>
    <w:p w14:paraId="2356B070">
      <w:pPr>
        <w:spacing w:line="56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3.获取方式：本项目采用网上注册登记方式。</w:t>
      </w:r>
    </w:p>
    <w:p w14:paraId="7B316AB9">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3.1潜在供应商访问电子招标响应交易平台的网络地址和方法：</w:t>
      </w:r>
    </w:p>
    <w:p w14:paraId="19F3BA33">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47C6619">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3.2潜在供应商访问“苏采云”系统的网络地址和方法：“苏采云”系统的网址：http://jszfcg.jsczt.cn/。</w:t>
      </w:r>
    </w:p>
    <w:p w14:paraId="2C2E8C49">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3.3“CA数字证书”的获取：</w:t>
      </w:r>
    </w:p>
    <w:p w14:paraId="60E3B7B8">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供应商需办理“CA 数字证书”，CA办理指南及“苏采云”操作手册可至江苏省政府采购网—办事指南-资料下载中心下载。</w:t>
      </w:r>
    </w:p>
    <w:p w14:paraId="17266DB2">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3.4采购文件（后缀名为“.kedt”）、供应商操作手册及政府采购客户端工具可通过“苏采云”系统--已报名项目--报名详情页面内相应链接进行下载。</w:t>
      </w:r>
    </w:p>
    <w:p w14:paraId="126D1465">
      <w:pPr>
        <w:spacing w:line="560" w:lineRule="exact"/>
        <w:ind w:firstLine="540"/>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3.5招标代理机构（采购代理机构）将数据电文形式的采购文件加载至“苏采云”系统，供潜在供应商下载或者查阅。  </w:t>
      </w:r>
    </w:p>
    <w:p w14:paraId="47CA4516">
      <w:pPr>
        <w:spacing w:line="560" w:lineRule="exact"/>
        <w:ind w:firstLine="540"/>
        <w:rPr>
          <w:rFonts w:ascii="宋体" w:hAnsi="宋体" w:cs="宋体"/>
          <w:color w:val="auto"/>
          <w:sz w:val="24"/>
          <w:szCs w:val="24"/>
          <w:highlight w:val="none"/>
          <w:u w:val="single"/>
        </w:rPr>
      </w:pPr>
      <w:r>
        <w:rPr>
          <w:rFonts w:hint="eastAsia" w:ascii="宋体" w:hAnsi="宋体" w:cs="宋体"/>
          <w:color w:val="auto"/>
          <w:kern w:val="0"/>
          <w:sz w:val="24"/>
          <w:szCs w:val="24"/>
          <w:highlight w:val="none"/>
        </w:rPr>
        <w:t>3.6请潜在供应商提前安装相应的控件（详见《江苏省政府采购管理交易系统（苏采云）供应商操作手册》）并使用谷歌浏览器登录“苏采云”系统参与不见面开评标。</w:t>
      </w:r>
    </w:p>
    <w:p w14:paraId="3245A51B">
      <w:pPr>
        <w:keepNext/>
        <w:keepLines/>
        <w:spacing w:line="560" w:lineRule="exact"/>
        <w:ind w:firstLine="498" w:firstLineChars="155"/>
        <w:outlineLvl w:val="2"/>
        <w:rPr>
          <w:b/>
          <w:bCs/>
          <w:color w:val="auto"/>
          <w:sz w:val="32"/>
          <w:szCs w:val="32"/>
          <w:highlight w:val="none"/>
        </w:rPr>
      </w:pPr>
      <w:r>
        <w:rPr>
          <w:rFonts w:hint="eastAsia"/>
          <w:b/>
          <w:bCs/>
          <w:color w:val="auto"/>
          <w:sz w:val="32"/>
          <w:szCs w:val="32"/>
          <w:highlight w:val="none"/>
        </w:rPr>
        <w:t>四、提交</w:t>
      </w:r>
      <w:bookmarkEnd w:id="29"/>
      <w:bookmarkEnd w:id="30"/>
      <w:r>
        <w:rPr>
          <w:rFonts w:hint="eastAsia"/>
          <w:b/>
          <w:bCs/>
          <w:color w:val="auto"/>
          <w:sz w:val="32"/>
          <w:szCs w:val="32"/>
          <w:highlight w:val="none"/>
        </w:rPr>
        <w:t>响应文件截止时间</w:t>
      </w:r>
      <w:bookmarkEnd w:id="31"/>
      <w:bookmarkEnd w:id="32"/>
      <w:bookmarkEnd w:id="33"/>
    </w:p>
    <w:p w14:paraId="4D6CF068">
      <w:pPr>
        <w:spacing w:line="560" w:lineRule="exact"/>
        <w:ind w:firstLine="480" w:firstLineChars="200"/>
        <w:rPr>
          <w:rFonts w:ascii="宋体" w:hAnsi="宋体" w:cs="宋体"/>
          <w:color w:val="auto"/>
          <w:kern w:val="0"/>
          <w:sz w:val="24"/>
          <w:szCs w:val="24"/>
          <w:highlight w:val="none"/>
        </w:rPr>
      </w:pPr>
      <w:r>
        <w:rPr>
          <w:rFonts w:hint="eastAsia" w:ascii="宋体" w:hAnsi="宋体"/>
          <w:bCs/>
          <w:color w:val="auto"/>
          <w:sz w:val="24"/>
          <w:szCs w:val="24"/>
          <w:highlight w:val="none"/>
          <w:u w:val="single"/>
        </w:rPr>
        <w:t>1.202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5</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27</w:t>
      </w:r>
      <w:r>
        <w:rPr>
          <w:rFonts w:hint="eastAsia" w:ascii="宋体" w:hAnsi="宋体"/>
          <w:bCs/>
          <w:color w:val="auto"/>
          <w:sz w:val="24"/>
          <w:szCs w:val="24"/>
          <w:highlight w:val="none"/>
          <w:u w:val="single"/>
        </w:rPr>
        <w:t>日09点00分</w:t>
      </w:r>
      <w:r>
        <w:rPr>
          <w:rFonts w:hint="eastAsia" w:ascii="宋体" w:hAnsi="宋体"/>
          <w:bCs/>
          <w:color w:val="auto"/>
          <w:sz w:val="24"/>
          <w:szCs w:val="24"/>
          <w:highlight w:val="none"/>
        </w:rPr>
        <w:t>（北京时间）。</w:t>
      </w:r>
      <w:r>
        <w:rPr>
          <w:rFonts w:hint="eastAsia" w:ascii="宋体" w:hAnsi="宋体" w:cs="宋体"/>
          <w:color w:val="auto"/>
          <w:kern w:val="0"/>
          <w:sz w:val="24"/>
          <w:szCs w:val="24"/>
          <w:highlight w:val="none"/>
        </w:rPr>
        <w:t>（自磋商文件开始发出之日起至供应商提交响应文件截止之日止，不得少于10日。）</w:t>
      </w:r>
    </w:p>
    <w:p w14:paraId="3E79DFEE">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2.地点：“苏采云”政府采购交易系统网上开标大厅。</w:t>
      </w:r>
    </w:p>
    <w:p w14:paraId="2A506AC9">
      <w:pPr>
        <w:spacing w:line="560" w:lineRule="exact"/>
        <w:ind w:firstLine="482" w:firstLineChars="200"/>
        <w:rPr>
          <w:rFonts w:ascii="宋体" w:hAnsi="宋体" w:cs="宋体"/>
          <w:b/>
          <w:color w:val="auto"/>
          <w:sz w:val="24"/>
          <w:szCs w:val="21"/>
          <w:highlight w:val="none"/>
        </w:rPr>
      </w:pPr>
      <w:r>
        <w:rPr>
          <w:rFonts w:hint="eastAsia" w:ascii="宋体" w:hAnsi="宋体" w:cs="宋体"/>
          <w:b/>
          <w:color w:val="auto"/>
          <w:sz w:val="24"/>
          <w:szCs w:val="21"/>
          <w:highlight w:val="none"/>
        </w:rPr>
        <w:t>注：各供应商请关注开标大厅交流区，在开标结束后，请勿离开开标大厅，待资格审查完毕，磋商小组发出报价指令后须在15分钟内完成系统报价。</w:t>
      </w:r>
      <w:r>
        <w:rPr>
          <w:rFonts w:hint="eastAsia" w:ascii="宋体" w:hAnsi="宋体"/>
          <w:color w:val="auto"/>
          <w:sz w:val="24"/>
          <w:szCs w:val="24"/>
          <w:highlight w:val="none"/>
        </w:rPr>
        <w:t>供应商未在磋商小组规定的时间内在苏采云系统中提交最后报价的视为放弃磋商，其响应文件按无效响应处理。</w:t>
      </w:r>
    </w:p>
    <w:p w14:paraId="50F8A0C8">
      <w:pPr>
        <w:spacing w:line="560" w:lineRule="exact"/>
        <w:ind w:firstLine="480" w:firstLineChars="200"/>
        <w:rPr>
          <w:rFonts w:ascii="宋体" w:hAnsi="宋体"/>
          <w:bCs/>
          <w:color w:val="auto"/>
          <w:sz w:val="24"/>
          <w:szCs w:val="24"/>
          <w:highlight w:val="none"/>
          <w:u w:val="single"/>
        </w:rPr>
      </w:pPr>
      <w:r>
        <w:rPr>
          <w:rFonts w:hint="eastAsia" w:ascii="宋体" w:hAnsi="宋体" w:cs="宋体"/>
          <w:color w:val="auto"/>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auto"/>
          <w:sz w:val="24"/>
          <w:szCs w:val="21"/>
          <w:highlight w:val="none"/>
        </w:rPr>
        <w:t>供应商解密限定在开标后30分钟之内完成</w:t>
      </w:r>
      <w:r>
        <w:rPr>
          <w:rFonts w:hint="eastAsia" w:ascii="宋体" w:hAnsi="宋体" w:cs="宋体"/>
          <w:color w:val="auto"/>
          <w:sz w:val="24"/>
          <w:szCs w:val="21"/>
          <w:highlight w:val="none"/>
        </w:rPr>
        <w:t>。</w:t>
      </w:r>
      <w:r>
        <w:rPr>
          <w:rFonts w:hint="eastAsia" w:ascii="宋体" w:hAnsi="宋体" w:cs="宋体"/>
          <w:color w:val="auto"/>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auto"/>
          <w:sz w:val="24"/>
          <w:szCs w:val="21"/>
          <w:highlight w:val="none"/>
        </w:rPr>
        <w:t>；因采购人原因或网上招投标平台发生故障，导致无法按时完成响应文件解密或开、评标工作无法进行的，可根据实际情况相应延迟解密时间或调整开、评标时间。</w:t>
      </w:r>
    </w:p>
    <w:p w14:paraId="2C6781D0">
      <w:pPr>
        <w:keepNext/>
        <w:keepLines/>
        <w:spacing w:line="560" w:lineRule="exact"/>
        <w:ind w:firstLine="498" w:firstLineChars="155"/>
        <w:outlineLvl w:val="2"/>
        <w:rPr>
          <w:b/>
          <w:bCs/>
          <w:color w:val="auto"/>
          <w:sz w:val="32"/>
          <w:szCs w:val="32"/>
          <w:highlight w:val="none"/>
        </w:rPr>
      </w:pPr>
      <w:bookmarkStart w:id="34" w:name="_Toc28359007"/>
      <w:bookmarkStart w:id="35" w:name="_Toc38985267"/>
      <w:bookmarkStart w:id="36" w:name="_Toc35393625"/>
      <w:bookmarkStart w:id="37" w:name="_Toc35393794"/>
      <w:bookmarkStart w:id="38" w:name="_Toc28359084"/>
      <w:r>
        <w:rPr>
          <w:rFonts w:hint="eastAsia"/>
          <w:b/>
          <w:bCs/>
          <w:color w:val="auto"/>
          <w:sz w:val="32"/>
          <w:szCs w:val="32"/>
          <w:highlight w:val="none"/>
        </w:rPr>
        <w:t>五、公告期限</w:t>
      </w:r>
      <w:bookmarkEnd w:id="34"/>
      <w:bookmarkEnd w:id="35"/>
      <w:bookmarkEnd w:id="36"/>
      <w:bookmarkEnd w:id="37"/>
      <w:bookmarkEnd w:id="38"/>
    </w:p>
    <w:p w14:paraId="020D6841">
      <w:pPr>
        <w:spacing w:line="560" w:lineRule="exact"/>
        <w:ind w:firstLine="480" w:firstLineChars="200"/>
        <w:rPr>
          <w:rFonts w:ascii="宋体" w:hAnsi="宋体" w:cs="宋体"/>
          <w:color w:val="auto"/>
          <w:kern w:val="0"/>
          <w:sz w:val="24"/>
          <w:szCs w:val="24"/>
          <w:highlight w:val="none"/>
        </w:rPr>
      </w:pPr>
      <w:bookmarkStart w:id="39" w:name="_Toc35393795"/>
      <w:bookmarkStart w:id="40" w:name="_Toc35393626"/>
      <w:bookmarkStart w:id="41" w:name="_Toc38985268"/>
      <w:r>
        <w:rPr>
          <w:rFonts w:hint="eastAsia" w:ascii="宋体" w:hAnsi="宋体" w:cs="宋体"/>
          <w:color w:val="auto"/>
          <w:kern w:val="0"/>
          <w:sz w:val="24"/>
          <w:szCs w:val="24"/>
          <w:highlight w:val="none"/>
        </w:rPr>
        <w:t>磋商公告及磋商文件公告期限为自本公告发布之日起5个工作日。</w:t>
      </w:r>
    </w:p>
    <w:p w14:paraId="65C68B1E">
      <w:pPr>
        <w:keepNext/>
        <w:keepLines/>
        <w:spacing w:line="560" w:lineRule="exact"/>
        <w:ind w:firstLine="498" w:firstLineChars="155"/>
        <w:outlineLvl w:val="2"/>
        <w:rPr>
          <w:b/>
          <w:bCs/>
          <w:color w:val="auto"/>
          <w:sz w:val="32"/>
          <w:szCs w:val="32"/>
          <w:highlight w:val="none"/>
        </w:rPr>
      </w:pPr>
      <w:r>
        <w:rPr>
          <w:rFonts w:hint="eastAsia"/>
          <w:b/>
          <w:bCs/>
          <w:color w:val="auto"/>
          <w:sz w:val="32"/>
          <w:szCs w:val="32"/>
          <w:highlight w:val="none"/>
        </w:rPr>
        <w:t>六、其他补充事宜</w:t>
      </w:r>
      <w:bookmarkEnd w:id="39"/>
      <w:bookmarkEnd w:id="40"/>
      <w:bookmarkEnd w:id="41"/>
    </w:p>
    <w:p w14:paraId="66B97286">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1.投标保证金：免收</w:t>
      </w:r>
    </w:p>
    <w:p w14:paraId="621DFA84">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2.项目开标活动模式：不见面远程开标模式，供应商在各自地点通过“苏采云”政府采购交易系统参加磋商活动。</w:t>
      </w:r>
    </w:p>
    <w:p w14:paraId="65B9F573">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3.项目演示、样品、答辩等（如有请描述）：无</w:t>
      </w:r>
    </w:p>
    <w:p w14:paraId="2354FA3F">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719319A6">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63EC46F">
      <w:pPr>
        <w:spacing w:line="56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6.有关本次磋商的事项若存在变动或修改，敬请及时关注采购人在“江苏政府采购网”发布的更正公告。</w:t>
      </w:r>
    </w:p>
    <w:p w14:paraId="6A94BDAF">
      <w:pPr>
        <w:keepNext/>
        <w:keepLines/>
        <w:spacing w:line="560" w:lineRule="exact"/>
        <w:ind w:firstLine="498" w:firstLineChars="155"/>
        <w:outlineLvl w:val="2"/>
        <w:rPr>
          <w:b/>
          <w:bCs/>
          <w:color w:val="auto"/>
          <w:sz w:val="32"/>
          <w:szCs w:val="32"/>
          <w:highlight w:val="none"/>
        </w:rPr>
      </w:pPr>
      <w:bookmarkStart w:id="42" w:name="_Toc35393796"/>
      <w:bookmarkStart w:id="43" w:name="_Toc35393627"/>
      <w:bookmarkStart w:id="44" w:name="_Toc28359008"/>
      <w:bookmarkStart w:id="45" w:name="_Toc38985269"/>
      <w:bookmarkStart w:id="46" w:name="_Toc28359085"/>
      <w:r>
        <w:rPr>
          <w:rFonts w:hint="eastAsia"/>
          <w:b/>
          <w:bCs/>
          <w:color w:val="auto"/>
          <w:sz w:val="32"/>
          <w:szCs w:val="32"/>
          <w:highlight w:val="none"/>
        </w:rPr>
        <w:t>七、本次磋商联系方式</w:t>
      </w:r>
      <w:bookmarkEnd w:id="42"/>
      <w:bookmarkEnd w:id="43"/>
      <w:bookmarkEnd w:id="44"/>
      <w:bookmarkEnd w:id="45"/>
      <w:bookmarkEnd w:id="46"/>
    </w:p>
    <w:p w14:paraId="2FDA0E47">
      <w:pPr>
        <w:widowControl/>
        <w:spacing w:line="560" w:lineRule="exact"/>
        <w:jc w:val="left"/>
        <w:rPr>
          <w:rFonts w:ascii="宋体" w:hAnsi="宋体"/>
          <w:color w:val="auto"/>
          <w:sz w:val="24"/>
          <w:szCs w:val="24"/>
          <w:highlight w:val="none"/>
        </w:rPr>
      </w:pPr>
      <w:r>
        <w:rPr>
          <w:rFonts w:hint="eastAsia" w:ascii="仿宋" w:hAnsi="仿宋" w:eastAsia="仿宋" w:cs="宋体"/>
          <w:color w:val="auto"/>
          <w:sz w:val="28"/>
          <w:szCs w:val="28"/>
          <w:highlight w:val="none"/>
        </w:rPr>
        <w:t>　　　</w:t>
      </w:r>
      <w:bookmarkStart w:id="47" w:name="_Toc28359087"/>
      <w:bookmarkStart w:id="48" w:name="_Toc28359010"/>
      <w:r>
        <w:rPr>
          <w:rFonts w:hint="eastAsia" w:ascii="宋体" w:hAnsi="宋体" w:cs="宋体"/>
          <w:color w:val="auto"/>
          <w:sz w:val="24"/>
          <w:szCs w:val="24"/>
          <w:highlight w:val="none"/>
        </w:rPr>
        <w:t>1.采购人信息</w:t>
      </w:r>
    </w:p>
    <w:p w14:paraId="3BA7F8A8">
      <w:pPr>
        <w:spacing w:line="560" w:lineRule="exact"/>
        <w:ind w:left="1079" w:leftChars="371" w:hanging="300" w:hangingChars="125"/>
        <w:jc w:val="left"/>
        <w:rPr>
          <w:rFonts w:ascii="宋体" w:hAnsi="宋体"/>
          <w:color w:val="auto"/>
          <w:sz w:val="24"/>
          <w:szCs w:val="24"/>
          <w:highlight w:val="none"/>
        </w:rPr>
      </w:pPr>
      <w:r>
        <w:rPr>
          <w:rFonts w:hint="eastAsia" w:ascii="宋体" w:hAnsi="宋体"/>
          <w:color w:val="auto"/>
          <w:sz w:val="24"/>
          <w:szCs w:val="24"/>
          <w:highlight w:val="none"/>
        </w:rPr>
        <w:t>名 称：海安市市场监督管理局</w:t>
      </w:r>
      <w:r>
        <w:rPr>
          <w:rFonts w:ascii="宋体" w:hAnsi="宋体"/>
          <w:color w:val="auto"/>
          <w:sz w:val="24"/>
          <w:szCs w:val="24"/>
          <w:highlight w:val="none"/>
        </w:rPr>
        <w:t xml:space="preserve"> </w:t>
      </w:r>
    </w:p>
    <w:p w14:paraId="41776178">
      <w:pPr>
        <w:spacing w:line="560" w:lineRule="exact"/>
        <w:ind w:left="1079" w:leftChars="371" w:hanging="300" w:hangingChars="125"/>
        <w:jc w:val="left"/>
        <w:rPr>
          <w:rFonts w:ascii="宋体" w:hAnsi="宋体"/>
          <w:color w:val="auto"/>
          <w:sz w:val="24"/>
          <w:szCs w:val="24"/>
          <w:highlight w:val="none"/>
        </w:rPr>
      </w:pPr>
      <w:r>
        <w:rPr>
          <w:rFonts w:hint="eastAsia" w:ascii="宋体" w:hAnsi="宋体"/>
          <w:color w:val="auto"/>
          <w:sz w:val="24"/>
          <w:szCs w:val="24"/>
          <w:highlight w:val="none"/>
        </w:rPr>
        <w:t>地址：</w:t>
      </w:r>
      <w:bookmarkStart w:id="49" w:name="OLE_LINK31"/>
      <w:bookmarkStart w:id="50" w:name="OLE_LINK30"/>
      <w:r>
        <w:rPr>
          <w:rFonts w:hint="eastAsia" w:ascii="宋体" w:hAnsi="宋体"/>
          <w:color w:val="auto"/>
          <w:sz w:val="24"/>
          <w:szCs w:val="24"/>
          <w:highlight w:val="none"/>
        </w:rPr>
        <w:t>海安市长江中路128号</w:t>
      </w:r>
      <w:bookmarkEnd w:id="49"/>
      <w:bookmarkEnd w:id="50"/>
      <w:r>
        <w:rPr>
          <w:rFonts w:ascii="宋体" w:hAnsi="宋体"/>
          <w:color w:val="auto"/>
          <w:sz w:val="24"/>
          <w:szCs w:val="24"/>
          <w:highlight w:val="none"/>
        </w:rPr>
        <w:t xml:space="preserve"> </w:t>
      </w:r>
    </w:p>
    <w:p w14:paraId="71A8B9B2">
      <w:pPr>
        <w:spacing w:line="560" w:lineRule="exact"/>
        <w:ind w:left="1079" w:leftChars="371" w:hanging="300" w:hangingChars="125"/>
        <w:jc w:val="left"/>
        <w:rPr>
          <w:rFonts w:ascii="宋体" w:hAnsi="宋体"/>
          <w:color w:val="auto"/>
          <w:sz w:val="24"/>
          <w:szCs w:val="24"/>
          <w:highlight w:val="none"/>
        </w:rPr>
      </w:pPr>
      <w:r>
        <w:rPr>
          <w:rFonts w:hint="eastAsia" w:ascii="宋体" w:hAnsi="宋体"/>
          <w:color w:val="auto"/>
          <w:sz w:val="24"/>
          <w:szCs w:val="24"/>
          <w:highlight w:val="none"/>
        </w:rPr>
        <w:t>联系人：</w:t>
      </w:r>
      <w:bookmarkStart w:id="51" w:name="OLE_LINK34"/>
      <w:r>
        <w:rPr>
          <w:rFonts w:hint="eastAsia" w:ascii="宋体" w:hAnsi="宋体"/>
          <w:color w:val="auto"/>
          <w:sz w:val="24"/>
          <w:szCs w:val="24"/>
          <w:highlight w:val="none"/>
        </w:rPr>
        <w:t>杨晓絮</w:t>
      </w:r>
      <w:bookmarkEnd w:id="51"/>
      <w:r>
        <w:rPr>
          <w:rFonts w:hint="eastAsia" w:ascii="宋体" w:hAnsi="宋体"/>
          <w:color w:val="auto"/>
          <w:sz w:val="24"/>
          <w:szCs w:val="24"/>
          <w:highlight w:val="none"/>
        </w:rPr>
        <w:t xml:space="preserve">  </w:t>
      </w:r>
    </w:p>
    <w:p w14:paraId="06069B74">
      <w:pPr>
        <w:spacing w:line="560" w:lineRule="exact"/>
        <w:ind w:left="1079" w:leftChars="371" w:hanging="300" w:hangingChars="125"/>
        <w:jc w:val="left"/>
        <w:rPr>
          <w:rFonts w:ascii="宋体" w:hAnsi="宋体"/>
          <w:color w:val="auto"/>
          <w:sz w:val="24"/>
          <w:szCs w:val="24"/>
          <w:highlight w:val="none"/>
        </w:rPr>
      </w:pPr>
      <w:r>
        <w:rPr>
          <w:rFonts w:hint="eastAsia" w:ascii="宋体" w:hAnsi="宋体"/>
          <w:color w:val="auto"/>
          <w:sz w:val="24"/>
          <w:szCs w:val="24"/>
          <w:highlight w:val="none"/>
        </w:rPr>
        <w:t>联系方式：</w:t>
      </w:r>
      <w:bookmarkStart w:id="52" w:name="OLE_LINK36"/>
      <w:bookmarkStart w:id="53" w:name="OLE_LINK35"/>
      <w:r>
        <w:rPr>
          <w:rFonts w:hint="eastAsia" w:ascii="宋体" w:hAnsi="宋体"/>
          <w:color w:val="auto"/>
          <w:sz w:val="24"/>
          <w:szCs w:val="24"/>
          <w:highlight w:val="none"/>
        </w:rPr>
        <w:t>18994189955</w:t>
      </w:r>
      <w:bookmarkEnd w:id="52"/>
      <w:bookmarkEnd w:id="53"/>
      <w:r>
        <w:rPr>
          <w:rFonts w:hint="eastAsia" w:ascii="宋体" w:hAnsi="宋体"/>
          <w:color w:val="auto"/>
          <w:sz w:val="24"/>
          <w:szCs w:val="24"/>
          <w:highlight w:val="none"/>
        </w:rPr>
        <w:t xml:space="preserve"> </w:t>
      </w:r>
    </w:p>
    <w:p w14:paraId="7E5DFD55">
      <w:pPr>
        <w:spacing w:line="560" w:lineRule="exact"/>
        <w:ind w:left="1079" w:leftChars="371" w:hanging="300" w:hangingChars="125"/>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color w:val="auto"/>
          <w:szCs w:val="21"/>
          <w:highlight w:val="none"/>
        </w:rPr>
        <w:t xml:space="preserve"> </w:t>
      </w:r>
      <w:r>
        <w:rPr>
          <w:rFonts w:hint="eastAsia" w:ascii="宋体" w:hAnsi="宋体" w:cs="宋体"/>
          <w:color w:val="auto"/>
          <w:sz w:val="24"/>
          <w:szCs w:val="24"/>
          <w:highlight w:val="none"/>
        </w:rPr>
        <w:t>采购代理机构信息</w:t>
      </w:r>
    </w:p>
    <w:p w14:paraId="6DBA16A8">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名  称：海安中信会计师事务所有限公司</w:t>
      </w:r>
    </w:p>
    <w:p w14:paraId="4482864C">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地  址：海安市江海东路10号</w:t>
      </w:r>
    </w:p>
    <w:p w14:paraId="5B98B3FD">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联系人：倪颖</w:t>
      </w:r>
    </w:p>
    <w:p w14:paraId="1425DB00">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联系方式：13962781784</w:t>
      </w:r>
    </w:p>
    <w:p w14:paraId="0C1A5577">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3.项目联系方式</w:t>
      </w:r>
    </w:p>
    <w:p w14:paraId="03709305">
      <w:pPr>
        <w:spacing w:line="560" w:lineRule="exact"/>
        <w:ind w:firstLine="720" w:firstLineChars="300"/>
        <w:rPr>
          <w:rFonts w:ascii="宋体" w:hAnsi="宋体"/>
          <w:color w:val="auto"/>
          <w:sz w:val="24"/>
          <w:szCs w:val="24"/>
          <w:highlight w:val="none"/>
          <w:u w:val="single"/>
        </w:rPr>
      </w:pPr>
      <w:r>
        <w:rPr>
          <w:rFonts w:hint="eastAsia" w:ascii="宋体" w:hAnsi="宋体"/>
          <w:color w:val="auto"/>
          <w:sz w:val="24"/>
          <w:szCs w:val="24"/>
          <w:highlight w:val="none"/>
        </w:rPr>
        <w:t>磋商文件制作人:倪颖</w:t>
      </w:r>
    </w:p>
    <w:p w14:paraId="1644E7E3">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项目磋商经办人：杨晓絮</w:t>
      </w:r>
    </w:p>
    <w:p w14:paraId="42247D33">
      <w:pPr>
        <w:spacing w:line="56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 xml:space="preserve">交易系统软件维护人员：那工  </w:t>
      </w:r>
      <w:r>
        <w:rPr>
          <w:rFonts w:ascii="宋体" w:hAnsi="宋体"/>
          <w:color w:val="auto"/>
          <w:sz w:val="24"/>
          <w:szCs w:val="24"/>
          <w:highlight w:val="none"/>
        </w:rPr>
        <w:t>15991053297</w:t>
      </w:r>
      <w:r>
        <w:rPr>
          <w:rFonts w:hint="eastAsia" w:ascii="宋体" w:hAnsi="宋体"/>
          <w:color w:val="auto"/>
          <w:sz w:val="24"/>
          <w:szCs w:val="24"/>
          <w:highlight w:val="none"/>
        </w:rPr>
        <w:t>、</w:t>
      </w:r>
      <w:r>
        <w:rPr>
          <w:rFonts w:ascii="宋体" w:hAnsi="宋体"/>
          <w:color w:val="auto"/>
          <w:sz w:val="24"/>
          <w:szCs w:val="24"/>
          <w:highlight w:val="none"/>
        </w:rPr>
        <w:t>0519-86722801、0519-86722806</w:t>
      </w:r>
      <w:bookmarkEnd w:id="47"/>
      <w:bookmarkEnd w:id="48"/>
    </w:p>
    <w:p w14:paraId="006C852F">
      <w:pPr>
        <w:widowControl/>
        <w:spacing w:line="560" w:lineRule="exact"/>
        <w:jc w:val="left"/>
        <w:rPr>
          <w:rFonts w:ascii="宋体" w:hAnsi="宋体"/>
          <w:color w:val="auto"/>
          <w:sz w:val="24"/>
          <w:szCs w:val="24"/>
          <w:highlight w:val="none"/>
        </w:rPr>
      </w:pPr>
    </w:p>
    <w:p w14:paraId="375C3A3C">
      <w:pPr>
        <w:widowControl/>
        <w:spacing w:line="560" w:lineRule="exact"/>
        <w:jc w:val="left"/>
        <w:rPr>
          <w:rFonts w:ascii="宋体" w:hAnsi="宋体"/>
          <w:color w:val="auto"/>
          <w:sz w:val="24"/>
          <w:szCs w:val="24"/>
          <w:highlight w:val="none"/>
        </w:rPr>
      </w:pPr>
    </w:p>
    <w:p w14:paraId="233B38DC">
      <w:pPr>
        <w:widowControl/>
        <w:spacing w:line="560" w:lineRule="exact"/>
        <w:jc w:val="left"/>
        <w:rPr>
          <w:rFonts w:ascii="宋体" w:hAnsi="宋体"/>
          <w:color w:val="auto"/>
          <w:sz w:val="24"/>
          <w:szCs w:val="24"/>
          <w:highlight w:val="none"/>
        </w:rPr>
      </w:pPr>
    </w:p>
    <w:p w14:paraId="58D6017A">
      <w:pPr>
        <w:pStyle w:val="21"/>
        <w:rPr>
          <w:rFonts w:ascii="宋体" w:hAnsi="宋体"/>
          <w:color w:val="auto"/>
          <w:sz w:val="24"/>
          <w:szCs w:val="24"/>
          <w:highlight w:val="none"/>
        </w:rPr>
      </w:pPr>
    </w:p>
    <w:p w14:paraId="7B3E66BA">
      <w:pPr>
        <w:rPr>
          <w:rFonts w:ascii="宋体" w:hAnsi="宋体"/>
          <w:color w:val="auto"/>
          <w:sz w:val="24"/>
          <w:szCs w:val="24"/>
          <w:highlight w:val="none"/>
        </w:rPr>
      </w:pPr>
    </w:p>
    <w:p w14:paraId="19EB3A23">
      <w:pPr>
        <w:pStyle w:val="21"/>
        <w:rPr>
          <w:rFonts w:ascii="宋体" w:hAnsi="宋体"/>
          <w:color w:val="auto"/>
          <w:sz w:val="24"/>
          <w:szCs w:val="24"/>
          <w:highlight w:val="none"/>
        </w:rPr>
      </w:pPr>
    </w:p>
    <w:p w14:paraId="05856D90">
      <w:pPr>
        <w:rPr>
          <w:rFonts w:ascii="宋体" w:hAnsi="宋体"/>
          <w:color w:val="auto"/>
          <w:sz w:val="24"/>
          <w:szCs w:val="24"/>
          <w:highlight w:val="none"/>
        </w:rPr>
      </w:pPr>
    </w:p>
    <w:p w14:paraId="06BC812E">
      <w:pPr>
        <w:pStyle w:val="21"/>
        <w:rPr>
          <w:rFonts w:ascii="宋体" w:hAnsi="宋体"/>
          <w:color w:val="auto"/>
          <w:sz w:val="24"/>
          <w:szCs w:val="24"/>
          <w:highlight w:val="none"/>
        </w:rPr>
      </w:pPr>
    </w:p>
    <w:p w14:paraId="3001CE5A">
      <w:pPr>
        <w:rPr>
          <w:rFonts w:ascii="宋体" w:hAnsi="宋体"/>
          <w:color w:val="auto"/>
          <w:sz w:val="24"/>
          <w:szCs w:val="24"/>
          <w:highlight w:val="none"/>
        </w:rPr>
      </w:pPr>
    </w:p>
    <w:p w14:paraId="275F71D8">
      <w:pPr>
        <w:pStyle w:val="21"/>
        <w:rPr>
          <w:rFonts w:ascii="宋体" w:hAnsi="宋体"/>
          <w:color w:val="auto"/>
          <w:sz w:val="24"/>
          <w:szCs w:val="24"/>
          <w:highlight w:val="none"/>
        </w:rPr>
      </w:pPr>
    </w:p>
    <w:p w14:paraId="1B19A540">
      <w:pPr>
        <w:rPr>
          <w:rFonts w:ascii="宋体" w:hAnsi="宋体"/>
          <w:color w:val="auto"/>
          <w:sz w:val="24"/>
          <w:szCs w:val="24"/>
          <w:highlight w:val="none"/>
        </w:rPr>
      </w:pPr>
    </w:p>
    <w:p w14:paraId="58F89F18">
      <w:pPr>
        <w:pStyle w:val="21"/>
        <w:rPr>
          <w:rFonts w:ascii="宋体" w:hAnsi="宋体"/>
          <w:color w:val="auto"/>
          <w:sz w:val="24"/>
          <w:szCs w:val="24"/>
          <w:highlight w:val="none"/>
        </w:rPr>
      </w:pPr>
    </w:p>
    <w:p w14:paraId="4FA2817F">
      <w:pPr>
        <w:rPr>
          <w:rFonts w:ascii="宋体" w:hAnsi="宋体"/>
          <w:color w:val="auto"/>
          <w:sz w:val="24"/>
          <w:szCs w:val="24"/>
          <w:highlight w:val="none"/>
        </w:rPr>
      </w:pPr>
    </w:p>
    <w:p w14:paraId="260BB48F">
      <w:pPr>
        <w:pStyle w:val="21"/>
        <w:rPr>
          <w:rFonts w:ascii="宋体" w:hAnsi="宋体"/>
          <w:color w:val="auto"/>
          <w:sz w:val="24"/>
          <w:szCs w:val="24"/>
          <w:highlight w:val="none"/>
        </w:rPr>
      </w:pPr>
    </w:p>
    <w:p w14:paraId="29A470C9">
      <w:pPr>
        <w:rPr>
          <w:rFonts w:ascii="宋体" w:hAnsi="宋体"/>
          <w:color w:val="auto"/>
          <w:sz w:val="24"/>
          <w:szCs w:val="24"/>
          <w:highlight w:val="none"/>
        </w:rPr>
      </w:pPr>
    </w:p>
    <w:p w14:paraId="499A044F">
      <w:pPr>
        <w:pStyle w:val="21"/>
        <w:rPr>
          <w:rFonts w:ascii="宋体" w:hAnsi="宋体"/>
          <w:color w:val="auto"/>
          <w:sz w:val="24"/>
          <w:szCs w:val="24"/>
          <w:highlight w:val="none"/>
        </w:rPr>
      </w:pPr>
    </w:p>
    <w:p w14:paraId="2446C1D7">
      <w:pPr>
        <w:rPr>
          <w:rFonts w:ascii="宋体" w:hAnsi="宋体"/>
          <w:color w:val="auto"/>
          <w:sz w:val="24"/>
          <w:szCs w:val="24"/>
          <w:highlight w:val="none"/>
        </w:rPr>
      </w:pPr>
    </w:p>
    <w:p w14:paraId="1B3ADDC9">
      <w:pPr>
        <w:pStyle w:val="21"/>
        <w:rPr>
          <w:rFonts w:ascii="宋体" w:hAnsi="宋体"/>
          <w:color w:val="auto"/>
          <w:sz w:val="24"/>
          <w:szCs w:val="24"/>
          <w:highlight w:val="none"/>
        </w:rPr>
      </w:pPr>
    </w:p>
    <w:p w14:paraId="07D4EED1">
      <w:pPr>
        <w:rPr>
          <w:rFonts w:ascii="宋体" w:hAnsi="宋体"/>
          <w:color w:val="auto"/>
          <w:sz w:val="24"/>
          <w:szCs w:val="24"/>
          <w:highlight w:val="none"/>
        </w:rPr>
      </w:pPr>
    </w:p>
    <w:p w14:paraId="3B6DFF9E">
      <w:pPr>
        <w:pStyle w:val="21"/>
      </w:pPr>
    </w:p>
    <w:p w14:paraId="5F14CE01">
      <w:pPr>
        <w:widowControl/>
        <w:spacing w:line="560" w:lineRule="exact"/>
        <w:jc w:val="left"/>
        <w:rPr>
          <w:rFonts w:ascii="宋体" w:hAnsi="宋体"/>
          <w:color w:val="auto"/>
          <w:sz w:val="24"/>
          <w:szCs w:val="24"/>
          <w:highlight w:val="none"/>
        </w:rPr>
      </w:pPr>
    </w:p>
    <w:p w14:paraId="112D7835">
      <w:pPr>
        <w:widowControl/>
        <w:spacing w:line="560" w:lineRule="exact"/>
        <w:jc w:val="left"/>
        <w:rPr>
          <w:rFonts w:ascii="宋体" w:hAnsi="宋体"/>
          <w:color w:val="auto"/>
          <w:sz w:val="24"/>
          <w:szCs w:val="24"/>
          <w:highlight w:val="none"/>
        </w:rPr>
      </w:pPr>
    </w:p>
    <w:p w14:paraId="72F1D6A9">
      <w:pPr>
        <w:keepNext/>
        <w:keepLines/>
        <w:spacing w:line="520" w:lineRule="exact"/>
        <w:jc w:val="center"/>
        <w:outlineLvl w:val="1"/>
        <w:rPr>
          <w:rFonts w:ascii="黑体" w:hAnsi="Arial" w:eastAsia="黑体" w:cs="Arial"/>
          <w:color w:val="auto"/>
          <w:sz w:val="44"/>
          <w:szCs w:val="44"/>
          <w:highlight w:val="none"/>
        </w:rPr>
      </w:pPr>
      <w:bookmarkStart w:id="54" w:name="_Toc120614211"/>
      <w:r>
        <w:rPr>
          <w:rFonts w:hint="eastAsia" w:ascii="黑体" w:hAnsi="Arial" w:eastAsia="黑体" w:cs="Arial"/>
          <w:b/>
          <w:bCs/>
          <w:color w:val="auto"/>
          <w:sz w:val="44"/>
          <w:szCs w:val="44"/>
          <w:highlight w:val="none"/>
        </w:rPr>
        <w:t xml:space="preserve">  第二章  </w:t>
      </w:r>
      <w:bookmarkEnd w:id="3"/>
      <w:bookmarkEnd w:id="4"/>
      <w:bookmarkEnd w:id="5"/>
      <w:bookmarkEnd w:id="6"/>
      <w:bookmarkEnd w:id="7"/>
      <w:bookmarkEnd w:id="54"/>
      <w:r>
        <w:rPr>
          <w:rFonts w:hint="eastAsia" w:ascii="黑体" w:hAnsi="Arial" w:eastAsia="黑体" w:cs="Arial"/>
          <w:b/>
          <w:bCs/>
          <w:color w:val="auto"/>
          <w:sz w:val="44"/>
          <w:szCs w:val="44"/>
          <w:highlight w:val="none"/>
        </w:rPr>
        <w:t>供应商须知</w:t>
      </w:r>
    </w:p>
    <w:p w14:paraId="6B35C02C">
      <w:pPr>
        <w:keepNext/>
        <w:keepLines/>
        <w:spacing w:line="520" w:lineRule="exact"/>
        <w:ind w:firstLine="498" w:firstLineChars="155"/>
        <w:outlineLvl w:val="2"/>
        <w:rPr>
          <w:b/>
          <w:bCs/>
          <w:color w:val="auto"/>
          <w:sz w:val="32"/>
          <w:szCs w:val="32"/>
          <w:highlight w:val="none"/>
        </w:rPr>
      </w:pPr>
      <w:bookmarkStart w:id="55" w:name="_Toc16938519"/>
      <w:bookmarkStart w:id="56" w:name="_Toc120614214"/>
      <w:bookmarkStart w:id="57" w:name="_Toc513029203"/>
      <w:bookmarkStart w:id="58" w:name="_Toc20823275"/>
      <w:r>
        <w:rPr>
          <w:rFonts w:hint="eastAsia"/>
          <w:b/>
          <w:bCs/>
          <w:color w:val="auto"/>
          <w:sz w:val="32"/>
          <w:szCs w:val="32"/>
          <w:highlight w:val="none"/>
        </w:rPr>
        <w:t>一、总则</w:t>
      </w:r>
      <w:bookmarkEnd w:id="55"/>
      <w:bookmarkEnd w:id="56"/>
      <w:bookmarkEnd w:id="57"/>
      <w:bookmarkEnd w:id="58"/>
    </w:p>
    <w:p w14:paraId="23E2DBDC">
      <w:pPr>
        <w:keepNext/>
        <w:keepLines/>
        <w:spacing w:line="520" w:lineRule="exact"/>
        <w:ind w:firstLine="420" w:firstLineChars="150"/>
        <w:outlineLvl w:val="3"/>
        <w:rPr>
          <w:rFonts w:ascii="Arial" w:hAnsi="Arial" w:eastAsia="黑体" w:cs="Arial"/>
          <w:color w:val="auto"/>
          <w:sz w:val="28"/>
          <w:szCs w:val="28"/>
          <w:highlight w:val="none"/>
        </w:rPr>
      </w:pPr>
      <w:bookmarkStart w:id="59" w:name="_Hlt16619475"/>
      <w:bookmarkEnd w:id="59"/>
      <w:bookmarkStart w:id="60" w:name="_Toc458694821"/>
      <w:bookmarkStart w:id="61" w:name="_Toc513029204"/>
      <w:bookmarkStart w:id="62" w:name="_Toc20823276"/>
      <w:bookmarkStart w:id="63" w:name="_Toc16938520"/>
      <w:r>
        <w:rPr>
          <w:rFonts w:hint="eastAsia" w:ascii="Arial" w:hAnsi="Arial" w:eastAsia="黑体" w:cs="Arial"/>
          <w:color w:val="auto"/>
          <w:sz w:val="28"/>
          <w:szCs w:val="28"/>
          <w:highlight w:val="none"/>
        </w:rPr>
        <w:t>1</w:t>
      </w:r>
      <w:bookmarkEnd w:id="60"/>
      <w:r>
        <w:rPr>
          <w:rFonts w:hint="eastAsia" w:ascii="Arial" w:hAnsi="Arial" w:eastAsia="黑体" w:cs="Arial"/>
          <w:color w:val="auto"/>
          <w:sz w:val="28"/>
          <w:szCs w:val="28"/>
          <w:highlight w:val="none"/>
        </w:rPr>
        <w:t>.采购方式</w:t>
      </w:r>
      <w:bookmarkEnd w:id="61"/>
      <w:bookmarkEnd w:id="62"/>
      <w:bookmarkEnd w:id="63"/>
    </w:p>
    <w:p w14:paraId="4A0B4AE4">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1.1 本次政府采购活动采取竞争性磋商(以下简称磋商)方式，本磋商文件仅适用于磋商公告中所述项目。</w:t>
      </w:r>
    </w:p>
    <w:p w14:paraId="4B99C4F0">
      <w:pPr>
        <w:keepNext/>
        <w:keepLines/>
        <w:spacing w:line="520" w:lineRule="exact"/>
        <w:ind w:firstLine="420" w:firstLineChars="150"/>
        <w:outlineLvl w:val="3"/>
        <w:rPr>
          <w:rFonts w:ascii="Arial" w:hAnsi="Arial" w:eastAsia="黑体" w:cs="Arial"/>
          <w:color w:val="auto"/>
          <w:sz w:val="28"/>
          <w:szCs w:val="28"/>
          <w:highlight w:val="none"/>
        </w:rPr>
      </w:pPr>
      <w:bookmarkStart w:id="64" w:name="_Toc513029205"/>
      <w:bookmarkStart w:id="65" w:name="_Toc20823277"/>
      <w:bookmarkStart w:id="66" w:name="_Toc16938521"/>
      <w:r>
        <w:rPr>
          <w:rFonts w:hint="eastAsia" w:ascii="Arial" w:hAnsi="Arial" w:eastAsia="黑体" w:cs="Arial"/>
          <w:color w:val="auto"/>
          <w:sz w:val="28"/>
          <w:szCs w:val="28"/>
          <w:highlight w:val="none"/>
        </w:rPr>
        <w:t>2.合格的</w:t>
      </w:r>
      <w:bookmarkEnd w:id="64"/>
      <w:bookmarkEnd w:id="65"/>
      <w:bookmarkEnd w:id="66"/>
      <w:r>
        <w:rPr>
          <w:rFonts w:hint="eastAsia" w:ascii="Arial" w:hAnsi="Arial" w:eastAsia="黑体" w:cs="Arial"/>
          <w:color w:val="auto"/>
          <w:sz w:val="28"/>
          <w:szCs w:val="28"/>
          <w:highlight w:val="none"/>
        </w:rPr>
        <w:t>供应商</w:t>
      </w:r>
    </w:p>
    <w:p w14:paraId="35A05F57">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1F6FC6C9">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 满足本磋商文件实质性要求和条件的规定。</w:t>
      </w:r>
    </w:p>
    <w:p w14:paraId="6EA12626">
      <w:pPr>
        <w:keepNext/>
        <w:keepLines/>
        <w:spacing w:line="520" w:lineRule="exact"/>
        <w:ind w:firstLine="420" w:firstLineChars="150"/>
        <w:outlineLvl w:val="3"/>
        <w:rPr>
          <w:rFonts w:ascii="Arial" w:hAnsi="Arial" w:eastAsia="黑体" w:cs="Arial"/>
          <w:color w:val="auto"/>
          <w:sz w:val="28"/>
          <w:szCs w:val="28"/>
          <w:highlight w:val="none"/>
        </w:rPr>
      </w:pPr>
      <w:bookmarkStart w:id="67" w:name="_Toc513029206"/>
      <w:bookmarkStart w:id="68" w:name="_Toc20823278"/>
      <w:bookmarkStart w:id="69" w:name="_Toc16938522"/>
      <w:r>
        <w:rPr>
          <w:rFonts w:hint="eastAsia" w:ascii="Arial" w:hAnsi="Arial" w:eastAsia="黑体" w:cs="Arial"/>
          <w:color w:val="auto"/>
          <w:sz w:val="28"/>
          <w:szCs w:val="28"/>
          <w:highlight w:val="none"/>
        </w:rPr>
        <w:t>3.适用法律</w:t>
      </w:r>
      <w:bookmarkEnd w:id="67"/>
      <w:bookmarkEnd w:id="68"/>
      <w:bookmarkEnd w:id="69"/>
    </w:p>
    <w:p w14:paraId="31894B8E">
      <w:pPr>
        <w:spacing w:line="520" w:lineRule="exact"/>
        <w:ind w:firstLine="420" w:firstLineChars="175"/>
        <w:rPr>
          <w:rFonts w:ascii="宋体" w:hAnsi="宋体"/>
          <w:color w:val="auto"/>
          <w:sz w:val="24"/>
          <w:szCs w:val="21"/>
          <w:highlight w:val="none"/>
        </w:rPr>
      </w:pPr>
      <w:r>
        <w:rPr>
          <w:rFonts w:hint="eastAsia" w:ascii="宋体" w:hAnsi="宋体"/>
          <w:color w:val="auto"/>
          <w:sz w:val="24"/>
          <w:szCs w:val="21"/>
          <w:highlight w:val="none"/>
        </w:rPr>
        <w:t>3.1 本次磋商及由此产生的合同受中华人民共和国有关的法律法规制约和保护</w:t>
      </w:r>
      <w:r>
        <w:rPr>
          <w:rFonts w:ascii="宋体" w:hAnsi="宋体"/>
          <w:color w:val="auto"/>
          <w:sz w:val="24"/>
          <w:szCs w:val="21"/>
          <w:highlight w:val="none"/>
        </w:rPr>
        <w:t>。</w:t>
      </w:r>
    </w:p>
    <w:p w14:paraId="2784A650">
      <w:pPr>
        <w:keepNext/>
        <w:keepLines/>
        <w:spacing w:line="520" w:lineRule="exact"/>
        <w:ind w:firstLine="420" w:firstLineChars="150"/>
        <w:outlineLvl w:val="3"/>
        <w:rPr>
          <w:rFonts w:ascii="Arial" w:hAnsi="Arial" w:eastAsia="黑体" w:cs="Arial"/>
          <w:color w:val="auto"/>
          <w:sz w:val="28"/>
          <w:szCs w:val="28"/>
          <w:highlight w:val="none"/>
        </w:rPr>
      </w:pPr>
      <w:bookmarkStart w:id="70" w:name="_Toc462564067"/>
      <w:bookmarkStart w:id="71" w:name="_Toc513029207"/>
      <w:bookmarkStart w:id="72" w:name="_Toc16938523"/>
      <w:bookmarkStart w:id="73" w:name="_Toc20823279"/>
      <w:r>
        <w:rPr>
          <w:rFonts w:hint="eastAsia" w:ascii="Arial" w:hAnsi="Arial" w:eastAsia="黑体" w:cs="Arial"/>
          <w:color w:val="auto"/>
          <w:sz w:val="28"/>
          <w:szCs w:val="28"/>
          <w:highlight w:val="none"/>
        </w:rPr>
        <w:t>4.磋商费用</w:t>
      </w:r>
      <w:bookmarkEnd w:id="70"/>
      <w:bookmarkEnd w:id="71"/>
      <w:bookmarkEnd w:id="72"/>
      <w:bookmarkEnd w:id="73"/>
    </w:p>
    <w:p w14:paraId="27216463">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4.1</w:t>
      </w:r>
      <w:r>
        <w:rPr>
          <w:rFonts w:hint="eastAsia" w:ascii="宋体" w:hAnsi="宋体"/>
          <w:color w:val="auto"/>
          <w:sz w:val="24"/>
          <w:szCs w:val="21"/>
          <w:highlight w:val="none"/>
        </w:rPr>
        <w:t>供应商应自行承担所有与参加本次磋商有关的费用，无论磋商过程中的做法和结果如何，采购人和采购代理机构在任何情况下均无义务和责任承担这些费用。</w:t>
      </w:r>
    </w:p>
    <w:p w14:paraId="4336DD37">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4.2本次磋商不收取标书工本费。</w:t>
      </w:r>
    </w:p>
    <w:p w14:paraId="0E03B5B8">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4.3本项目每</w:t>
      </w:r>
      <w:r>
        <w:rPr>
          <w:rFonts w:hint="eastAsia" w:ascii="宋体" w:hAnsi="宋体"/>
          <w:color w:val="auto"/>
          <w:sz w:val="24"/>
          <w:szCs w:val="21"/>
          <w:highlight w:val="none"/>
          <w:lang w:val="en-US" w:eastAsia="zh-CN"/>
        </w:rPr>
        <w:t>个采购</w:t>
      </w:r>
      <w:r>
        <w:rPr>
          <w:rFonts w:hint="eastAsia" w:ascii="宋体" w:hAnsi="宋体"/>
          <w:color w:val="auto"/>
          <w:sz w:val="24"/>
          <w:szCs w:val="21"/>
          <w:highlight w:val="none"/>
        </w:rPr>
        <w:t>包招标代理服务费收费标准按成交价*1.5%*40%收取。由各标包的成交供应商在签订合同前支付，综合考虑在响应报价中。</w:t>
      </w:r>
    </w:p>
    <w:p w14:paraId="6E80ACE8">
      <w:pPr>
        <w:keepNext/>
        <w:keepLines/>
        <w:spacing w:line="520" w:lineRule="exact"/>
        <w:ind w:firstLine="301" w:firstLineChars="100"/>
        <w:outlineLvl w:val="3"/>
        <w:rPr>
          <w:rFonts w:ascii="黑体" w:hAnsi="宋体" w:eastAsia="黑体" w:cs="Arial"/>
          <w:color w:val="auto"/>
          <w:sz w:val="28"/>
          <w:szCs w:val="28"/>
          <w:highlight w:val="none"/>
        </w:rPr>
      </w:pPr>
      <w:r>
        <w:rPr>
          <w:rFonts w:hint="eastAsia" w:ascii="宋体" w:hAnsi="宋体" w:eastAsia="黑体" w:cs="Arial"/>
          <w:b/>
          <w:bCs/>
          <w:color w:val="auto"/>
          <w:sz w:val="30"/>
          <w:szCs w:val="28"/>
          <w:highlight w:val="none"/>
        </w:rPr>
        <w:t>5.</w:t>
      </w:r>
      <w:r>
        <w:rPr>
          <w:rFonts w:hint="eastAsia" w:ascii="黑体" w:hAnsi="宋体" w:eastAsia="黑体" w:cs="Arial"/>
          <w:color w:val="auto"/>
          <w:sz w:val="28"/>
          <w:szCs w:val="28"/>
          <w:highlight w:val="none"/>
        </w:rPr>
        <w:t>磋商文件的约束力</w:t>
      </w:r>
    </w:p>
    <w:p w14:paraId="3FCDB2D8">
      <w:pPr>
        <w:spacing w:line="520" w:lineRule="exact"/>
        <w:ind w:firstLine="480" w:firstLineChars="20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供应商一旦参加本项目采购活动，即被认为接受了本磋商文件的规定和约束。</w:t>
      </w:r>
    </w:p>
    <w:p w14:paraId="5AAEE04C">
      <w:pPr>
        <w:keepNext/>
        <w:keepLines/>
        <w:spacing w:line="520" w:lineRule="exact"/>
        <w:ind w:firstLine="321" w:firstLineChars="100"/>
        <w:outlineLvl w:val="2"/>
        <w:rPr>
          <w:b/>
          <w:bCs/>
          <w:color w:val="auto"/>
          <w:sz w:val="32"/>
          <w:szCs w:val="32"/>
          <w:highlight w:val="none"/>
        </w:rPr>
      </w:pPr>
      <w:bookmarkStart w:id="74" w:name="_Toc20823281"/>
      <w:bookmarkStart w:id="75" w:name="_Toc513029209"/>
      <w:bookmarkStart w:id="76" w:name="_Toc120614215"/>
      <w:bookmarkStart w:id="77" w:name="_Toc16938525"/>
      <w:r>
        <w:rPr>
          <w:rFonts w:hint="eastAsia"/>
          <w:b/>
          <w:bCs/>
          <w:color w:val="auto"/>
          <w:sz w:val="32"/>
          <w:szCs w:val="32"/>
          <w:highlight w:val="none"/>
        </w:rPr>
        <w:t>二、</w:t>
      </w:r>
      <w:bookmarkEnd w:id="74"/>
      <w:bookmarkEnd w:id="75"/>
      <w:bookmarkEnd w:id="76"/>
      <w:bookmarkEnd w:id="77"/>
      <w:r>
        <w:rPr>
          <w:rFonts w:hint="eastAsia"/>
          <w:b/>
          <w:bCs/>
          <w:color w:val="auto"/>
          <w:sz w:val="32"/>
          <w:szCs w:val="32"/>
          <w:highlight w:val="none"/>
        </w:rPr>
        <w:t>磋商文件</w:t>
      </w:r>
    </w:p>
    <w:p w14:paraId="328A4F8B">
      <w:pPr>
        <w:keepNext/>
        <w:keepLines/>
        <w:spacing w:line="520" w:lineRule="exact"/>
        <w:ind w:firstLine="420" w:firstLineChars="150"/>
        <w:outlineLvl w:val="3"/>
        <w:rPr>
          <w:rFonts w:ascii="Arial" w:hAnsi="Arial" w:eastAsia="黑体" w:cs="Arial"/>
          <w:color w:val="auto"/>
          <w:sz w:val="28"/>
          <w:szCs w:val="28"/>
          <w:highlight w:val="none"/>
        </w:rPr>
      </w:pPr>
      <w:bookmarkStart w:id="78" w:name="_Toc16938526"/>
      <w:bookmarkStart w:id="79" w:name="_Toc20823282"/>
      <w:bookmarkStart w:id="80" w:name="_Toc513029210"/>
      <w:r>
        <w:rPr>
          <w:rFonts w:hint="eastAsia" w:ascii="Arial" w:hAnsi="Arial" w:eastAsia="黑体" w:cs="Arial"/>
          <w:color w:val="auto"/>
          <w:sz w:val="28"/>
          <w:szCs w:val="28"/>
          <w:highlight w:val="none"/>
        </w:rPr>
        <w:t>6.磋商文件构成</w:t>
      </w:r>
      <w:bookmarkEnd w:id="78"/>
      <w:bookmarkEnd w:id="79"/>
      <w:bookmarkEnd w:id="80"/>
    </w:p>
    <w:p w14:paraId="3054E604">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6.1</w:t>
      </w:r>
      <w:r>
        <w:rPr>
          <w:rFonts w:hint="eastAsia" w:ascii="宋体" w:hAnsi="宋体"/>
          <w:color w:val="auto"/>
          <w:sz w:val="24"/>
          <w:szCs w:val="21"/>
          <w:highlight w:val="none"/>
        </w:rPr>
        <w:t>磋商文件由以下部分组成：</w:t>
      </w:r>
    </w:p>
    <w:p w14:paraId="21EB90EA">
      <w:pPr>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（1）磋商</w:t>
      </w:r>
      <w:r>
        <w:rPr>
          <w:rFonts w:ascii="宋体" w:hAnsi="宋体"/>
          <w:color w:val="auto"/>
          <w:sz w:val="24"/>
          <w:szCs w:val="24"/>
          <w:highlight w:val="none"/>
        </w:rPr>
        <w:t>邀请</w:t>
      </w:r>
    </w:p>
    <w:p w14:paraId="5D98F2D5">
      <w:pPr>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（2）供应商须知</w:t>
      </w:r>
    </w:p>
    <w:p w14:paraId="3B2EDC1C">
      <w:pPr>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（3）采购需求</w:t>
      </w:r>
    </w:p>
    <w:p w14:paraId="0A0F6941">
      <w:pPr>
        <w:spacing w:line="520" w:lineRule="exact"/>
        <w:ind w:firstLine="360" w:firstLineChars="150"/>
        <w:rPr>
          <w:color w:val="auto"/>
          <w:sz w:val="24"/>
          <w:szCs w:val="24"/>
          <w:highlight w:val="none"/>
        </w:rPr>
      </w:pPr>
      <w:r>
        <w:rPr>
          <w:rFonts w:hint="eastAsia" w:ascii="宋体" w:hAnsi="宋体"/>
          <w:color w:val="auto"/>
          <w:sz w:val="24"/>
          <w:szCs w:val="24"/>
          <w:highlight w:val="none"/>
        </w:rPr>
        <w:t>（4）</w:t>
      </w:r>
      <w:r>
        <w:rPr>
          <w:rFonts w:hint="eastAsia" w:hAnsi="宋体"/>
          <w:color w:val="auto"/>
          <w:sz w:val="24"/>
          <w:szCs w:val="24"/>
          <w:highlight w:val="none"/>
        </w:rPr>
        <w:t>评审方法与评审标准</w:t>
      </w:r>
    </w:p>
    <w:p w14:paraId="739FFAE9">
      <w:pPr>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（5）响应文件格式</w:t>
      </w:r>
    </w:p>
    <w:p w14:paraId="2372E68A">
      <w:pPr>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（6）附件（如有）</w:t>
      </w:r>
    </w:p>
    <w:p w14:paraId="1CC73282">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请仔细检查磋商文件是否齐全，如有缺漏请立即与采购人或采购代理机构联系解决。</w:t>
      </w:r>
    </w:p>
    <w:p w14:paraId="39ECB918">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C01AF80">
      <w:pPr>
        <w:keepNext/>
        <w:keepLines/>
        <w:spacing w:line="520" w:lineRule="exact"/>
        <w:ind w:firstLine="560" w:firstLineChars="200"/>
        <w:outlineLvl w:val="3"/>
        <w:rPr>
          <w:rFonts w:ascii="Arial" w:hAnsi="Arial" w:eastAsia="黑体" w:cs="Arial"/>
          <w:color w:val="auto"/>
          <w:sz w:val="28"/>
          <w:szCs w:val="28"/>
          <w:highlight w:val="none"/>
        </w:rPr>
      </w:pPr>
      <w:bookmarkStart w:id="81" w:name="_Toc462564070"/>
      <w:bookmarkStart w:id="82" w:name="_Toc20823283"/>
      <w:bookmarkStart w:id="83" w:name="_Toc16938527"/>
      <w:bookmarkStart w:id="84" w:name="_Toc513029211"/>
      <w:r>
        <w:rPr>
          <w:rFonts w:hint="eastAsia" w:ascii="Arial" w:hAnsi="Arial" w:eastAsia="黑体" w:cs="Arial"/>
          <w:color w:val="auto"/>
          <w:sz w:val="28"/>
          <w:szCs w:val="28"/>
          <w:highlight w:val="none"/>
        </w:rPr>
        <w:t>7.磋商文件的澄清</w:t>
      </w:r>
      <w:bookmarkEnd w:id="81"/>
      <w:bookmarkEnd w:id="82"/>
      <w:bookmarkEnd w:id="83"/>
      <w:bookmarkEnd w:id="84"/>
    </w:p>
    <w:p w14:paraId="2AEE634F">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7.1</w:t>
      </w:r>
      <w:r>
        <w:rPr>
          <w:rFonts w:hint="eastAsia" w:ascii="宋体" w:hAnsi="宋体"/>
          <w:color w:val="auto"/>
          <w:sz w:val="24"/>
          <w:szCs w:val="21"/>
          <w:highlight w:val="none"/>
        </w:rPr>
        <w:t xml:space="preserve"> 任何要求对磋商文件进行澄清的供应商，应在磋商截止期5日</w:t>
      </w:r>
      <w:r>
        <w:rPr>
          <w:rFonts w:hint="eastAsia" w:ascii="仿宋_GB2312" w:hAnsi="仿宋_GB2312"/>
          <w:color w:val="auto"/>
          <w:sz w:val="24"/>
          <w:szCs w:val="24"/>
          <w:highlight w:val="none"/>
        </w:rPr>
        <w:t>前</w:t>
      </w:r>
      <w:r>
        <w:rPr>
          <w:rFonts w:hint="eastAsia" w:ascii="宋体" w:hAnsi="宋体"/>
          <w:color w:val="auto"/>
          <w:sz w:val="24"/>
          <w:szCs w:val="21"/>
          <w:highlight w:val="none"/>
        </w:rPr>
        <w:t>按磋商公告中的通讯地址，以书面形式通知采购人或采购代理机构。</w:t>
      </w:r>
    </w:p>
    <w:p w14:paraId="1283E66F">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1"/>
          <w:highlight w:val="none"/>
        </w:rPr>
        <w:t>7.2采购人视情组织答疑会。</w:t>
      </w:r>
    </w:p>
    <w:p w14:paraId="48CEC15E">
      <w:pPr>
        <w:keepNext/>
        <w:keepLines/>
        <w:spacing w:line="520" w:lineRule="exact"/>
        <w:ind w:firstLine="560" w:firstLineChars="200"/>
        <w:outlineLvl w:val="3"/>
        <w:rPr>
          <w:rFonts w:ascii="Arial" w:hAnsi="Arial" w:eastAsia="黑体" w:cs="Arial"/>
          <w:color w:val="auto"/>
          <w:sz w:val="28"/>
          <w:szCs w:val="28"/>
          <w:highlight w:val="none"/>
        </w:rPr>
      </w:pPr>
      <w:bookmarkStart w:id="85" w:name="_Toc20823284"/>
      <w:bookmarkStart w:id="86" w:name="_Toc16938528"/>
      <w:bookmarkStart w:id="87" w:name="_Toc513029212"/>
      <w:bookmarkStart w:id="88" w:name="_Toc462564071"/>
      <w:r>
        <w:rPr>
          <w:rFonts w:hint="eastAsia" w:ascii="Arial" w:hAnsi="Arial" w:eastAsia="黑体" w:cs="Arial"/>
          <w:color w:val="auto"/>
          <w:sz w:val="28"/>
          <w:szCs w:val="28"/>
          <w:highlight w:val="none"/>
        </w:rPr>
        <w:t>8.磋商文件的澄清和修改</w:t>
      </w:r>
      <w:bookmarkEnd w:id="85"/>
      <w:bookmarkEnd w:id="86"/>
      <w:bookmarkEnd w:id="87"/>
      <w:bookmarkEnd w:id="88"/>
    </w:p>
    <w:p w14:paraId="42658E32">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前</w:t>
      </w:r>
      <w:r>
        <w:rPr>
          <w:rFonts w:hint="eastAsia" w:ascii="宋体" w:hAnsi="宋体"/>
          <w:color w:val="auto"/>
          <w:sz w:val="24"/>
          <w:szCs w:val="21"/>
          <w:highlight w:val="none"/>
        </w:rPr>
        <w:t>，采购人或采购代理机构可以对磋商文件进行澄清和修改,</w:t>
      </w:r>
      <w:r>
        <w:rPr>
          <w:rFonts w:hint="eastAsia"/>
          <w:color w:val="auto"/>
          <w:szCs w:val="21"/>
          <w:highlight w:val="none"/>
        </w:rPr>
        <w:t xml:space="preserve"> </w:t>
      </w:r>
      <w:r>
        <w:rPr>
          <w:rFonts w:hint="eastAsia" w:ascii="宋体" w:hAnsi="宋体"/>
          <w:color w:val="auto"/>
          <w:sz w:val="24"/>
          <w:szCs w:val="21"/>
          <w:highlight w:val="none"/>
        </w:rPr>
        <w:t>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color w:val="auto"/>
          <w:szCs w:val="21"/>
          <w:highlight w:val="none"/>
        </w:rPr>
        <w:t xml:space="preserve"> </w:t>
      </w:r>
      <w:r>
        <w:rPr>
          <w:rFonts w:hint="eastAsia" w:ascii="宋体" w:hAnsi="宋体"/>
          <w:color w:val="auto"/>
          <w:sz w:val="24"/>
          <w:szCs w:val="21"/>
          <w:highlight w:val="none"/>
        </w:rPr>
        <w:t>更正公告内容将作为磋商文件的组成部分，并对供应商具有约束力。不足5日的，采购人将顺延提交首次响应文件截止时间。</w:t>
      </w:r>
    </w:p>
    <w:p w14:paraId="7862492C">
      <w:pPr>
        <w:keepNext/>
        <w:keepLines/>
        <w:spacing w:line="520" w:lineRule="exact"/>
        <w:ind w:firstLine="482" w:firstLineChars="150"/>
        <w:outlineLvl w:val="2"/>
        <w:rPr>
          <w:b/>
          <w:bCs/>
          <w:color w:val="auto"/>
          <w:sz w:val="32"/>
          <w:szCs w:val="32"/>
          <w:highlight w:val="none"/>
        </w:rPr>
      </w:pPr>
      <w:bookmarkStart w:id="89" w:name="_Toc513029213"/>
      <w:bookmarkStart w:id="90" w:name="_Toc462564072"/>
      <w:bookmarkStart w:id="91" w:name="_Toc120614216"/>
      <w:bookmarkStart w:id="92" w:name="_Toc16938529"/>
      <w:bookmarkStart w:id="93" w:name="_Toc20823285"/>
      <w:r>
        <w:rPr>
          <w:rFonts w:hint="eastAsia"/>
          <w:b/>
          <w:bCs/>
          <w:color w:val="auto"/>
          <w:sz w:val="32"/>
          <w:szCs w:val="32"/>
          <w:highlight w:val="none"/>
        </w:rPr>
        <w:t>三、响应文件的编制</w:t>
      </w:r>
      <w:bookmarkEnd w:id="89"/>
      <w:bookmarkEnd w:id="90"/>
      <w:bookmarkEnd w:id="91"/>
      <w:bookmarkEnd w:id="92"/>
      <w:bookmarkEnd w:id="93"/>
    </w:p>
    <w:p w14:paraId="10EA6C20">
      <w:pPr>
        <w:keepNext/>
        <w:keepLines/>
        <w:spacing w:line="520" w:lineRule="exact"/>
        <w:ind w:firstLine="560" w:firstLineChars="200"/>
        <w:outlineLvl w:val="3"/>
        <w:rPr>
          <w:rFonts w:ascii="Arial" w:hAnsi="Arial" w:eastAsia="黑体" w:cs="Arial"/>
          <w:b/>
          <w:color w:val="auto"/>
          <w:sz w:val="28"/>
          <w:szCs w:val="28"/>
          <w:highlight w:val="none"/>
        </w:rPr>
      </w:pPr>
      <w:bookmarkStart w:id="94" w:name="_Toc513029214"/>
      <w:bookmarkStart w:id="95" w:name="_Toc20823286"/>
      <w:bookmarkStart w:id="96" w:name="_Toc462564073"/>
      <w:bookmarkStart w:id="97" w:name="_Toc16938530"/>
      <w:r>
        <w:rPr>
          <w:rFonts w:hint="eastAsia" w:ascii="Arial" w:hAnsi="Arial" w:eastAsia="黑体" w:cs="Arial"/>
          <w:color w:val="auto"/>
          <w:sz w:val="28"/>
          <w:szCs w:val="28"/>
          <w:highlight w:val="none"/>
        </w:rPr>
        <w:t>9.响应文件的语言及度量衡单位</w:t>
      </w:r>
      <w:bookmarkEnd w:id="94"/>
      <w:bookmarkEnd w:id="95"/>
      <w:bookmarkEnd w:id="96"/>
      <w:bookmarkEnd w:id="97"/>
    </w:p>
    <w:p w14:paraId="6BD93273">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9.1</w:t>
      </w:r>
      <w:r>
        <w:rPr>
          <w:rFonts w:hint="eastAsia" w:ascii="宋体" w:hAnsi="宋体"/>
          <w:color w:val="auto"/>
          <w:sz w:val="24"/>
          <w:szCs w:val="21"/>
          <w:highlight w:val="none"/>
        </w:rPr>
        <w:t>供应商提交的响应文件以及供应商与采购人就有关磋商的所有来往通知、函件和文件均应使用</w:t>
      </w:r>
      <w:r>
        <w:rPr>
          <w:rFonts w:hint="eastAsia" w:ascii="宋体" w:hAnsi="宋体"/>
          <w:b/>
          <w:bCs/>
          <w:color w:val="auto"/>
          <w:sz w:val="24"/>
          <w:szCs w:val="21"/>
          <w:highlight w:val="none"/>
        </w:rPr>
        <w:t>简体中文</w:t>
      </w:r>
      <w:r>
        <w:rPr>
          <w:rFonts w:hint="eastAsia" w:ascii="宋体" w:hAnsi="宋体"/>
          <w:color w:val="auto"/>
          <w:sz w:val="24"/>
          <w:szCs w:val="21"/>
          <w:highlight w:val="none"/>
        </w:rPr>
        <w:t>。</w:t>
      </w:r>
    </w:p>
    <w:p w14:paraId="0BF0E6D2">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9.2</w:t>
      </w:r>
      <w:r>
        <w:rPr>
          <w:rFonts w:hint="eastAsia" w:ascii="宋体" w:hAnsi="宋体"/>
          <w:color w:val="auto"/>
          <w:sz w:val="24"/>
          <w:szCs w:val="21"/>
          <w:highlight w:val="none"/>
        </w:rPr>
        <w:t xml:space="preserve"> 除技术性能另有规定外，响应文件所使用的度量衡单位，均须采用国家法定计量单位。</w:t>
      </w:r>
    </w:p>
    <w:p w14:paraId="6AFDCF9B">
      <w:pPr>
        <w:keepNext/>
        <w:keepLines/>
        <w:spacing w:line="520" w:lineRule="exact"/>
        <w:ind w:firstLine="420" w:firstLineChars="150"/>
        <w:outlineLvl w:val="3"/>
        <w:rPr>
          <w:rFonts w:ascii="Arial" w:hAnsi="Arial" w:eastAsia="黑体" w:cs="Arial"/>
          <w:color w:val="auto"/>
          <w:sz w:val="28"/>
          <w:szCs w:val="28"/>
          <w:highlight w:val="none"/>
        </w:rPr>
      </w:pPr>
      <w:bookmarkStart w:id="98" w:name="_Toc20823287"/>
      <w:bookmarkStart w:id="99" w:name="_Toc462564074"/>
      <w:bookmarkStart w:id="100" w:name="_Toc513029215"/>
      <w:bookmarkStart w:id="101" w:name="_Toc16938531"/>
      <w:r>
        <w:rPr>
          <w:rFonts w:hint="eastAsia" w:ascii="Arial" w:hAnsi="Arial" w:eastAsia="黑体" w:cs="Arial"/>
          <w:color w:val="auto"/>
          <w:sz w:val="28"/>
          <w:szCs w:val="28"/>
          <w:highlight w:val="none"/>
        </w:rPr>
        <w:t>10.响应文件构成</w:t>
      </w:r>
      <w:bookmarkEnd w:id="98"/>
      <w:bookmarkEnd w:id="99"/>
      <w:bookmarkEnd w:id="100"/>
      <w:bookmarkEnd w:id="101"/>
    </w:p>
    <w:p w14:paraId="50B4B683">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10.1</w:t>
      </w:r>
      <w:r>
        <w:rPr>
          <w:rFonts w:hint="eastAsia" w:ascii="宋体" w:hAnsi="宋体"/>
          <w:color w:val="auto"/>
          <w:sz w:val="24"/>
          <w:szCs w:val="21"/>
          <w:highlight w:val="none"/>
        </w:rPr>
        <w:t>供应商编写的响应文件应包括资格证明文件、符合性证明文件、分项报价表、技术要求响应及偏离表、商务要求响应及偏离表、其他证明文件、磋商响应函等部分。</w:t>
      </w:r>
    </w:p>
    <w:p w14:paraId="352154D0">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10.2 如标书制作工具中格式和内容与“江苏政府采购网”发布的磋商文件不一致，请以“江苏政府采购网”发布的磋商文件为准。</w:t>
      </w:r>
    </w:p>
    <w:p w14:paraId="3F17F589">
      <w:pPr>
        <w:keepNext/>
        <w:keepLines/>
        <w:spacing w:line="520" w:lineRule="exact"/>
        <w:ind w:firstLine="420" w:firstLineChars="150"/>
        <w:outlineLvl w:val="3"/>
        <w:rPr>
          <w:rFonts w:ascii="Arial" w:hAnsi="Arial" w:eastAsia="黑体" w:cs="Arial"/>
          <w:color w:val="auto"/>
          <w:sz w:val="28"/>
          <w:szCs w:val="28"/>
          <w:highlight w:val="none"/>
        </w:rPr>
      </w:pPr>
      <w:bookmarkStart w:id="102" w:name="_Hlt26954838"/>
      <w:bookmarkEnd w:id="102"/>
      <w:bookmarkStart w:id="103" w:name="_Hlt26670360"/>
      <w:bookmarkEnd w:id="103"/>
      <w:bookmarkStart w:id="104" w:name="_Hlt26668975"/>
      <w:bookmarkEnd w:id="104"/>
      <w:bookmarkStart w:id="105" w:name="_Toc14577357"/>
      <w:bookmarkStart w:id="106" w:name="_Toc49090509"/>
      <w:bookmarkStart w:id="107" w:name="_Toc513029219"/>
      <w:bookmarkStart w:id="108" w:name="_Toc513029216"/>
      <w:bookmarkStart w:id="109" w:name="_Toc49090507"/>
      <w:bookmarkStart w:id="110" w:name="_Toc14577354"/>
      <w:bookmarkStart w:id="111" w:name="_Toc49090508"/>
      <w:bookmarkStart w:id="112" w:name="_Toc14577355"/>
      <w:r>
        <w:rPr>
          <w:rFonts w:hint="eastAsia" w:ascii="Arial" w:hAnsi="Arial" w:eastAsia="黑体" w:cs="Arial"/>
          <w:color w:val="auto"/>
          <w:sz w:val="28"/>
          <w:szCs w:val="28"/>
          <w:highlight w:val="none"/>
        </w:rPr>
        <w:t>11.证明磋商响应标的符合磋商文件规定的文件</w:t>
      </w:r>
      <w:bookmarkEnd w:id="105"/>
      <w:bookmarkEnd w:id="106"/>
      <w:bookmarkEnd w:id="107"/>
    </w:p>
    <w:bookmarkEnd w:id="108"/>
    <w:bookmarkEnd w:id="109"/>
    <w:bookmarkEnd w:id="110"/>
    <w:p w14:paraId="7C22AB56">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p>
    <w:p w14:paraId="58936605">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p>
    <w:bookmarkEnd w:id="111"/>
    <w:bookmarkEnd w:id="112"/>
    <w:p w14:paraId="5F6F49F5">
      <w:pPr>
        <w:keepNext/>
        <w:keepLines/>
        <w:spacing w:line="520" w:lineRule="exact"/>
        <w:ind w:firstLine="420" w:firstLineChars="15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12.分项报价表</w:t>
      </w:r>
    </w:p>
    <w:p w14:paraId="5B5B64FA">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12.1</w:t>
      </w:r>
      <w:r>
        <w:rPr>
          <w:rFonts w:hint="eastAsia" w:ascii="宋体" w:hAnsi="宋体"/>
          <w:color w:val="auto"/>
          <w:sz w:val="24"/>
          <w:szCs w:val="21"/>
          <w:highlight w:val="none"/>
        </w:rPr>
        <w:t>供应商应按照磋商文件规定格式填报分项报价表。</w:t>
      </w:r>
    </w:p>
    <w:p w14:paraId="21F870F7">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12.2</w:t>
      </w:r>
      <w:r>
        <w:rPr>
          <w:rFonts w:hint="eastAsia" w:ascii="宋体" w:hAnsi="宋体"/>
          <w:bCs/>
          <w:color w:val="auto"/>
          <w:sz w:val="24"/>
          <w:szCs w:val="21"/>
          <w:highlight w:val="none"/>
        </w:rPr>
        <w:t>磋商货币。响应文件中的单价和总价无特殊规定的采用人民币报价，以元为单位标注。</w:t>
      </w:r>
      <w:r>
        <w:rPr>
          <w:rFonts w:hint="eastAsia" w:ascii="宋体" w:hAnsi="宋体"/>
          <w:color w:val="auto"/>
          <w:sz w:val="24"/>
          <w:szCs w:val="21"/>
          <w:highlight w:val="none"/>
        </w:rPr>
        <w:t>磋商文件中另有规定的按规定执行。</w:t>
      </w:r>
    </w:p>
    <w:p w14:paraId="450F547B">
      <w:pPr>
        <w:keepNext/>
        <w:keepLines/>
        <w:spacing w:line="520" w:lineRule="exact"/>
        <w:ind w:firstLine="420" w:firstLineChars="150"/>
        <w:outlineLvl w:val="3"/>
        <w:rPr>
          <w:rFonts w:ascii="Arial" w:hAnsi="Arial" w:eastAsia="黑体" w:cs="Arial"/>
          <w:color w:val="auto"/>
          <w:sz w:val="28"/>
          <w:szCs w:val="28"/>
          <w:highlight w:val="none"/>
        </w:rPr>
      </w:pPr>
      <w:bookmarkStart w:id="113" w:name="_Hlt26670482"/>
      <w:bookmarkEnd w:id="113"/>
      <w:bookmarkStart w:id="114" w:name="_Hlt26670486"/>
      <w:bookmarkEnd w:id="114"/>
      <w:bookmarkStart w:id="115" w:name="_Hlt26954846"/>
      <w:bookmarkEnd w:id="115"/>
      <w:bookmarkStart w:id="116" w:name="_Hlt26954731"/>
      <w:bookmarkEnd w:id="116"/>
      <w:bookmarkStart w:id="117" w:name="_Hlt26954848"/>
      <w:bookmarkEnd w:id="117"/>
      <w:r>
        <w:rPr>
          <w:rFonts w:hint="eastAsia" w:ascii="Arial" w:hAnsi="Arial" w:eastAsia="黑体" w:cs="Arial"/>
          <w:color w:val="auto"/>
          <w:sz w:val="28"/>
          <w:szCs w:val="28"/>
          <w:highlight w:val="none"/>
        </w:rPr>
        <w:t>13.技术要求响应及偏离表、商务要求响应及偏离表</w:t>
      </w:r>
    </w:p>
    <w:p w14:paraId="39F9C7DD">
      <w:pPr>
        <w:autoSpaceDE w:val="0"/>
        <w:autoSpaceDN w:val="0"/>
        <w:adjustRightInd w:val="0"/>
        <w:spacing w:line="520" w:lineRule="exact"/>
        <w:ind w:firstLine="480"/>
        <w:rPr>
          <w:rFonts w:ascii="宋体" w:hAnsi="Arial" w:cs="宋体"/>
          <w:color w:val="auto"/>
          <w:sz w:val="24"/>
          <w:szCs w:val="21"/>
          <w:highlight w:val="none"/>
          <w:lang w:val="zh-CN"/>
        </w:rPr>
      </w:pPr>
      <w:r>
        <w:rPr>
          <w:rFonts w:ascii="宋体" w:hAnsi="Arial" w:cs="宋体"/>
          <w:bCs/>
          <w:color w:val="auto"/>
          <w:sz w:val="24"/>
          <w:szCs w:val="21"/>
          <w:highlight w:val="none"/>
          <w:lang w:val="zh-CN"/>
        </w:rPr>
        <w:t>1</w:t>
      </w:r>
      <w:r>
        <w:rPr>
          <w:rFonts w:hint="eastAsia" w:ascii="宋体" w:hAnsi="Arial" w:cs="宋体"/>
          <w:bCs/>
          <w:color w:val="auto"/>
          <w:sz w:val="24"/>
          <w:szCs w:val="21"/>
          <w:highlight w:val="none"/>
          <w:lang w:val="zh-CN"/>
        </w:rPr>
        <w:t>3</w:t>
      </w:r>
      <w:r>
        <w:rPr>
          <w:rFonts w:ascii="宋体" w:hAnsi="Arial" w:cs="宋体"/>
          <w:bCs/>
          <w:color w:val="auto"/>
          <w:sz w:val="24"/>
          <w:szCs w:val="21"/>
          <w:highlight w:val="none"/>
          <w:lang w:val="zh-CN"/>
        </w:rPr>
        <w:t>.1</w:t>
      </w:r>
      <w:r>
        <w:rPr>
          <w:rFonts w:hint="eastAsia" w:ascii="宋体" w:hAnsi="Arial" w:cs="宋体"/>
          <w:color w:val="auto"/>
          <w:sz w:val="24"/>
          <w:szCs w:val="21"/>
          <w:highlight w:val="none"/>
          <w:lang w:val="zh-CN"/>
        </w:rPr>
        <w:t>供应商需对磋商文件中的技术要求与商务要求逐项作出响应或偏离，并说明原因。</w:t>
      </w:r>
    </w:p>
    <w:p w14:paraId="10BA4AA0">
      <w:pPr>
        <w:autoSpaceDE w:val="0"/>
        <w:autoSpaceDN w:val="0"/>
        <w:adjustRightInd w:val="0"/>
        <w:spacing w:line="520" w:lineRule="exact"/>
        <w:ind w:firstLine="480"/>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13.2供应商可在响应文件中提供认为需要的其他技术文件或说明。</w:t>
      </w:r>
    </w:p>
    <w:p w14:paraId="0DB37EF9">
      <w:pPr>
        <w:keepNext/>
        <w:keepLines/>
        <w:spacing w:line="520" w:lineRule="exact"/>
        <w:ind w:firstLine="420" w:firstLineChars="15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14.服务承诺、培训计划、人员安排及其他</w:t>
      </w:r>
    </w:p>
    <w:p w14:paraId="075BA781">
      <w:pPr>
        <w:spacing w:line="520" w:lineRule="exact"/>
        <w:ind w:firstLine="480"/>
        <w:rPr>
          <w:rFonts w:ascii="宋体" w:hAnsi="宋体"/>
          <w:color w:val="auto"/>
          <w:sz w:val="24"/>
          <w:szCs w:val="24"/>
          <w:highlight w:val="none"/>
        </w:rPr>
      </w:pPr>
      <w:r>
        <w:rPr>
          <w:rFonts w:hint="eastAsia" w:ascii="宋体" w:hAnsi="宋体"/>
          <w:bCs/>
          <w:color w:val="auto"/>
          <w:sz w:val="24"/>
          <w:szCs w:val="24"/>
          <w:highlight w:val="none"/>
        </w:rPr>
        <w:t>14.1</w:t>
      </w:r>
      <w:r>
        <w:rPr>
          <w:rFonts w:hint="eastAsia" w:ascii="宋体" w:hAnsi="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142BFABF">
      <w:pPr>
        <w:spacing w:line="520" w:lineRule="exact"/>
        <w:ind w:firstLine="480"/>
        <w:rPr>
          <w:rFonts w:ascii="宋体" w:hAnsi="宋体"/>
          <w:color w:val="auto"/>
          <w:sz w:val="24"/>
          <w:szCs w:val="24"/>
          <w:highlight w:val="none"/>
        </w:rPr>
      </w:pPr>
      <w:r>
        <w:rPr>
          <w:rFonts w:hint="eastAsia" w:ascii="宋体" w:hAnsi="宋体"/>
          <w:color w:val="auto"/>
          <w:sz w:val="24"/>
          <w:szCs w:val="24"/>
          <w:highlight w:val="none"/>
        </w:rPr>
        <w:t>14.2供应商需根据磋商文件要求提供培训计划。</w:t>
      </w:r>
    </w:p>
    <w:p w14:paraId="7BD0DA3A">
      <w:pPr>
        <w:spacing w:line="520" w:lineRule="exact"/>
        <w:ind w:firstLine="480"/>
        <w:rPr>
          <w:rFonts w:ascii="宋体" w:hAnsi="宋体"/>
          <w:color w:val="auto"/>
          <w:sz w:val="24"/>
          <w:szCs w:val="24"/>
          <w:highlight w:val="none"/>
        </w:rPr>
      </w:pPr>
      <w:r>
        <w:rPr>
          <w:rFonts w:hint="eastAsia" w:ascii="宋体" w:hAnsi="宋体"/>
          <w:color w:val="auto"/>
          <w:sz w:val="24"/>
          <w:szCs w:val="24"/>
          <w:highlight w:val="none"/>
        </w:rPr>
        <w:t>14.3供应商需根据磋商文件要求提供</w:t>
      </w:r>
      <w:r>
        <w:rPr>
          <w:rFonts w:hint="eastAsia" w:ascii="宋体" w:hAnsi="Arial" w:cs="宋体"/>
          <w:color w:val="auto"/>
          <w:sz w:val="24"/>
          <w:szCs w:val="21"/>
          <w:highlight w:val="none"/>
          <w:lang w:val="zh-CN"/>
        </w:rPr>
        <w:t>磋商响应标的的主要组成部分、功能设计、实现思路及关键技术等。</w:t>
      </w:r>
    </w:p>
    <w:p w14:paraId="7B8A35BB">
      <w:pPr>
        <w:keepNext/>
        <w:keepLines/>
        <w:spacing w:line="520" w:lineRule="exact"/>
        <w:ind w:firstLine="420" w:firstLineChars="150"/>
        <w:outlineLvl w:val="3"/>
        <w:rPr>
          <w:rFonts w:ascii="Arial" w:hAnsi="Arial" w:eastAsia="黑体" w:cs="Arial"/>
          <w:color w:val="auto"/>
          <w:sz w:val="28"/>
          <w:szCs w:val="28"/>
          <w:highlight w:val="none"/>
        </w:rPr>
      </w:pPr>
      <w:bookmarkStart w:id="118" w:name="_Toc14577359"/>
      <w:bookmarkStart w:id="119" w:name="_Toc49090510"/>
      <w:r>
        <w:rPr>
          <w:rFonts w:hint="eastAsia" w:ascii="Arial" w:hAnsi="Arial" w:eastAsia="黑体" w:cs="Arial"/>
          <w:color w:val="auto"/>
          <w:sz w:val="28"/>
          <w:szCs w:val="28"/>
          <w:highlight w:val="none"/>
        </w:rPr>
        <w:t>15.磋商响应函</w:t>
      </w:r>
    </w:p>
    <w:p w14:paraId="182C8CCB">
      <w:pPr>
        <w:spacing w:line="520" w:lineRule="exact"/>
        <w:ind w:firstLine="480" w:firstLineChars="200"/>
        <w:rPr>
          <w:rFonts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供应商应按照磋商文件中提供的格式完整、正确填写磋商响应函。</w:t>
      </w:r>
    </w:p>
    <w:bookmarkEnd w:id="118"/>
    <w:bookmarkEnd w:id="119"/>
    <w:p w14:paraId="1FCBCF3F">
      <w:pPr>
        <w:keepNext/>
        <w:keepLines/>
        <w:spacing w:line="520" w:lineRule="exact"/>
        <w:ind w:firstLine="420" w:firstLineChars="150"/>
        <w:outlineLvl w:val="3"/>
        <w:rPr>
          <w:rFonts w:ascii="Arial" w:hAnsi="Arial" w:eastAsia="黑体" w:cs="Arial"/>
          <w:color w:val="auto"/>
          <w:sz w:val="28"/>
          <w:szCs w:val="28"/>
          <w:highlight w:val="none"/>
        </w:rPr>
      </w:pPr>
      <w:bookmarkStart w:id="120" w:name="_Toc49090511"/>
      <w:bookmarkStart w:id="121" w:name="_Toc14577360"/>
      <w:r>
        <w:rPr>
          <w:rFonts w:hint="eastAsia" w:ascii="Arial" w:hAnsi="Arial" w:eastAsia="黑体" w:cs="Arial"/>
          <w:color w:val="auto"/>
          <w:sz w:val="28"/>
          <w:szCs w:val="28"/>
          <w:highlight w:val="none"/>
        </w:rPr>
        <w:t>16.磋商有效期</w:t>
      </w:r>
      <w:bookmarkEnd w:id="120"/>
      <w:bookmarkEnd w:id="121"/>
    </w:p>
    <w:p w14:paraId="12F9887F">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16.1磋商有效期为采购人规定的提交响应文件截止之日后</w:t>
      </w:r>
      <w:r>
        <w:rPr>
          <w:rFonts w:hint="eastAsia" w:ascii="仿宋_GB2312" w:hAnsi="仿宋_GB2312"/>
          <w:b/>
          <w:color w:val="auto"/>
          <w:sz w:val="24"/>
          <w:szCs w:val="21"/>
          <w:highlight w:val="none"/>
          <w:u w:val="single"/>
        </w:rPr>
        <w:t>六十（</w:t>
      </w:r>
      <w:r>
        <w:rPr>
          <w:rFonts w:hint="eastAsia" w:ascii="宋体" w:hAnsi="宋体" w:cs="宋体"/>
          <w:b/>
          <w:color w:val="auto"/>
          <w:sz w:val="24"/>
          <w:szCs w:val="21"/>
          <w:highlight w:val="none"/>
          <w:u w:val="single"/>
        </w:rPr>
        <w:t>60</w:t>
      </w:r>
      <w:r>
        <w:rPr>
          <w:rFonts w:hint="eastAsia" w:ascii="仿宋_GB2312" w:hAnsi="仿宋_GB2312"/>
          <w:b/>
          <w:color w:val="auto"/>
          <w:sz w:val="24"/>
          <w:szCs w:val="21"/>
          <w:highlight w:val="none"/>
          <w:u w:val="single"/>
        </w:rPr>
        <w:t>）天</w:t>
      </w:r>
      <w:r>
        <w:rPr>
          <w:rFonts w:hint="eastAsia" w:ascii="宋体" w:hAnsi="宋体"/>
          <w:bCs/>
          <w:color w:val="auto"/>
          <w:sz w:val="24"/>
          <w:szCs w:val="21"/>
          <w:highlight w:val="none"/>
        </w:rPr>
        <w:t>。磋商有效期比规定短的将被视为非实质性响应磋商文件而予以拒绝。</w:t>
      </w:r>
    </w:p>
    <w:p w14:paraId="0DA34B1A">
      <w:pPr>
        <w:keepNext/>
        <w:keepLines/>
        <w:spacing w:line="520" w:lineRule="exact"/>
        <w:ind w:firstLine="420" w:firstLineChars="15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7</w:t>
      </w:r>
      <w:r>
        <w:rPr>
          <w:rFonts w:hint="eastAsia" w:ascii="Arial" w:hAnsi="Arial" w:eastAsia="黑体" w:cs="Arial"/>
          <w:color w:val="auto"/>
          <w:sz w:val="28"/>
          <w:szCs w:val="28"/>
          <w:highlight w:val="none"/>
        </w:rPr>
        <w:t>.磋商有效期的延长</w:t>
      </w:r>
    </w:p>
    <w:p w14:paraId="2CA86CA1">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41760AB2">
      <w:pPr>
        <w:keepNext/>
        <w:keepLines/>
        <w:spacing w:line="520" w:lineRule="exact"/>
        <w:ind w:firstLine="482" w:firstLineChars="150"/>
        <w:outlineLvl w:val="2"/>
        <w:rPr>
          <w:b/>
          <w:bCs/>
          <w:color w:val="auto"/>
          <w:sz w:val="32"/>
          <w:szCs w:val="32"/>
          <w:highlight w:val="none"/>
        </w:rPr>
      </w:pPr>
      <w:bookmarkStart w:id="122" w:name="_Hlt26954852"/>
      <w:bookmarkEnd w:id="122"/>
      <w:bookmarkStart w:id="123" w:name="_Hlt26954739"/>
      <w:bookmarkEnd w:id="123"/>
      <w:bookmarkStart w:id="124" w:name="_Toc16938540"/>
      <w:bookmarkStart w:id="125" w:name="_Toc120614217"/>
      <w:bookmarkStart w:id="126" w:name="_Toc20823296"/>
      <w:bookmarkStart w:id="127" w:name="_Toc513029224"/>
      <w:r>
        <w:rPr>
          <w:rFonts w:hint="eastAsia"/>
          <w:b/>
          <w:bCs/>
          <w:color w:val="auto"/>
          <w:sz w:val="32"/>
          <w:szCs w:val="32"/>
          <w:highlight w:val="none"/>
        </w:rPr>
        <w:t>四、响应文件的递交</w:t>
      </w:r>
      <w:bookmarkEnd w:id="124"/>
      <w:bookmarkEnd w:id="125"/>
      <w:bookmarkEnd w:id="126"/>
      <w:bookmarkEnd w:id="127"/>
    </w:p>
    <w:p w14:paraId="15CDB29E">
      <w:pPr>
        <w:keepNext/>
        <w:keepLines/>
        <w:spacing w:line="520" w:lineRule="exact"/>
        <w:ind w:firstLine="560" w:firstLineChars="200"/>
        <w:outlineLvl w:val="3"/>
        <w:rPr>
          <w:rFonts w:ascii="黑体" w:hAnsi="Arial" w:eastAsia="黑体" w:cs="Arial"/>
          <w:color w:val="auto"/>
          <w:sz w:val="28"/>
          <w:szCs w:val="28"/>
          <w:highlight w:val="none"/>
        </w:rPr>
      </w:pPr>
      <w:bookmarkStart w:id="128" w:name="_Toc462564084"/>
      <w:bookmarkStart w:id="129" w:name="_Toc513029225"/>
      <w:bookmarkStart w:id="130" w:name="_Toc16938541"/>
      <w:bookmarkStart w:id="131" w:name="_Toc20823297"/>
      <w:r>
        <w:rPr>
          <w:rFonts w:hint="eastAsia" w:ascii="Arial" w:hAnsi="Arial" w:eastAsia="黑体" w:cs="Arial"/>
          <w:color w:val="auto"/>
          <w:sz w:val="28"/>
          <w:szCs w:val="28"/>
          <w:highlight w:val="none"/>
        </w:rPr>
        <w:t>1</w:t>
      </w:r>
      <w:r>
        <w:rPr>
          <w:rFonts w:ascii="Arial" w:hAnsi="Arial" w:eastAsia="黑体" w:cs="Arial"/>
          <w:color w:val="auto"/>
          <w:sz w:val="28"/>
          <w:szCs w:val="28"/>
          <w:highlight w:val="none"/>
        </w:rPr>
        <w:t>8</w:t>
      </w:r>
      <w:r>
        <w:rPr>
          <w:rFonts w:hint="eastAsia" w:ascii="Arial" w:hAnsi="Arial" w:eastAsia="黑体" w:cs="Arial"/>
          <w:color w:val="auto"/>
          <w:sz w:val="28"/>
          <w:szCs w:val="28"/>
          <w:highlight w:val="none"/>
        </w:rPr>
        <w:t>.电子</w:t>
      </w:r>
      <w:r>
        <w:rPr>
          <w:rFonts w:hint="eastAsia" w:ascii="黑体" w:hAnsi="Arial" w:eastAsia="黑体" w:cs="Arial"/>
          <w:color w:val="auto"/>
          <w:sz w:val="28"/>
          <w:szCs w:val="28"/>
          <w:highlight w:val="none"/>
        </w:rPr>
        <w:t>磋商</w:t>
      </w:r>
      <w:bookmarkEnd w:id="128"/>
      <w:bookmarkEnd w:id="129"/>
      <w:bookmarkEnd w:id="130"/>
      <w:bookmarkEnd w:id="131"/>
      <w:r>
        <w:rPr>
          <w:rFonts w:hint="eastAsia" w:ascii="黑体" w:hAnsi="Arial" w:eastAsia="黑体" w:cs="Arial"/>
          <w:color w:val="auto"/>
          <w:sz w:val="28"/>
          <w:szCs w:val="28"/>
          <w:highlight w:val="none"/>
        </w:rPr>
        <w:t>响应文件的递交</w:t>
      </w:r>
    </w:p>
    <w:p w14:paraId="05980628">
      <w:pPr>
        <w:spacing w:line="520" w:lineRule="exact"/>
        <w:ind w:firstLine="600" w:firstLineChars="250"/>
        <w:rPr>
          <w:rFonts w:ascii="宋体" w:hAnsi="宋体"/>
          <w:bCs/>
          <w:color w:val="auto"/>
          <w:sz w:val="24"/>
          <w:szCs w:val="21"/>
          <w:highlight w:val="none"/>
        </w:rPr>
      </w:pPr>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bookmarkStart w:id="132" w:name="_Toc513029226"/>
      <w:bookmarkStart w:id="133" w:name="_Toc20823298"/>
      <w:bookmarkStart w:id="134" w:name="_Toc16938542"/>
    </w:p>
    <w:p w14:paraId="6FC96D63">
      <w:pPr>
        <w:keepNext/>
        <w:keepLines/>
        <w:spacing w:line="520" w:lineRule="exact"/>
        <w:ind w:firstLine="560" w:firstLineChars="200"/>
        <w:outlineLvl w:val="3"/>
        <w:rPr>
          <w:rFonts w:ascii="宋体" w:hAnsi="宋体" w:eastAsia="黑体" w:cs="Arial"/>
          <w:bCs/>
          <w:color w:val="auto"/>
          <w:sz w:val="24"/>
          <w:szCs w:val="28"/>
          <w:highlight w:val="none"/>
        </w:rPr>
      </w:pPr>
      <w:r>
        <w:rPr>
          <w:rFonts w:ascii="Arial" w:hAnsi="Arial" w:eastAsia="黑体" w:cs="Arial"/>
          <w:bCs/>
          <w:color w:val="auto"/>
          <w:sz w:val="28"/>
          <w:szCs w:val="28"/>
          <w:highlight w:val="none"/>
        </w:rPr>
        <w:t>19</w:t>
      </w:r>
      <w:r>
        <w:rPr>
          <w:rFonts w:hint="eastAsia" w:ascii="Arial" w:hAnsi="Arial" w:eastAsia="黑体" w:cs="Arial"/>
          <w:bCs/>
          <w:color w:val="auto"/>
          <w:sz w:val="28"/>
          <w:szCs w:val="28"/>
          <w:highlight w:val="none"/>
        </w:rPr>
        <w:t>.提交响应文件截止时间</w:t>
      </w:r>
      <w:bookmarkEnd w:id="132"/>
      <w:bookmarkEnd w:id="133"/>
      <w:bookmarkEnd w:id="134"/>
    </w:p>
    <w:p w14:paraId="4BD1E10D">
      <w:pPr>
        <w:spacing w:line="520" w:lineRule="exact"/>
        <w:ind w:firstLine="480" w:firstLineChars="200"/>
        <w:rPr>
          <w:rFonts w:ascii="宋体" w:hAnsi="宋体"/>
          <w:b/>
          <w:bCs/>
          <w:color w:val="auto"/>
          <w:sz w:val="24"/>
          <w:szCs w:val="21"/>
          <w:highlight w:val="none"/>
          <w:u w:val="single"/>
        </w:rPr>
      </w:pPr>
      <w:r>
        <w:rPr>
          <w:rFonts w:ascii="宋体" w:hAnsi="宋体"/>
          <w:color w:val="auto"/>
          <w:sz w:val="24"/>
          <w:szCs w:val="21"/>
          <w:highlight w:val="none"/>
        </w:rPr>
        <w:t>19</w:t>
      </w:r>
      <w:r>
        <w:rPr>
          <w:rFonts w:hint="eastAsia" w:ascii="宋体" w:hAnsi="宋体"/>
          <w:color w:val="auto"/>
          <w:sz w:val="24"/>
          <w:szCs w:val="21"/>
          <w:highlight w:val="none"/>
        </w:rPr>
        <w:t>.1</w:t>
      </w:r>
      <w:r>
        <w:rPr>
          <w:rFonts w:hint="eastAsia" w:ascii="宋体" w:hAnsi="宋体"/>
          <w:b/>
          <w:bCs/>
          <w:color w:val="auto"/>
          <w:sz w:val="24"/>
          <w:szCs w:val="21"/>
          <w:highlight w:val="none"/>
          <w:u w:val="single"/>
        </w:rPr>
        <w:t>供应商上传电子响应文件的时间不得迟于磋商公告中规定的提交响应文件截止时间。</w:t>
      </w:r>
    </w:p>
    <w:p w14:paraId="0A6FA3B9">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供应商应充分考虑到网络环境、网络带宽等风险因素，如因供应商自身原因造成的电子响应文件上传不成功的按照本磋商文件第二章第26.3.2条规定做无效响应处理。</w:t>
      </w:r>
    </w:p>
    <w:p w14:paraId="651DC1E4">
      <w:pPr>
        <w:spacing w:line="520" w:lineRule="exact"/>
        <w:ind w:firstLine="480" w:firstLineChars="200"/>
        <w:rPr>
          <w:rFonts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p>
    <w:p w14:paraId="65C4DA65">
      <w:pPr>
        <w:keepNext/>
        <w:keepLines/>
        <w:spacing w:line="520" w:lineRule="exact"/>
        <w:ind w:firstLine="420" w:firstLineChars="150"/>
        <w:outlineLvl w:val="3"/>
        <w:rPr>
          <w:rFonts w:ascii="Arial" w:hAnsi="Arial" w:eastAsia="黑体" w:cs="Arial"/>
          <w:color w:val="auto"/>
          <w:sz w:val="28"/>
          <w:szCs w:val="28"/>
          <w:highlight w:val="none"/>
        </w:rPr>
      </w:pPr>
      <w:bookmarkStart w:id="135" w:name="_Toc513029227"/>
      <w:bookmarkStart w:id="136" w:name="_Toc16938543"/>
      <w:bookmarkStart w:id="137" w:name="_Toc20823299"/>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0</w:t>
      </w:r>
      <w:r>
        <w:rPr>
          <w:rFonts w:hint="eastAsia" w:ascii="Arial" w:hAnsi="Arial" w:eastAsia="黑体" w:cs="Arial"/>
          <w:color w:val="auto"/>
          <w:sz w:val="28"/>
          <w:szCs w:val="28"/>
          <w:highlight w:val="none"/>
        </w:rPr>
        <w:t>.响应文件</w:t>
      </w:r>
      <w:bookmarkEnd w:id="135"/>
      <w:bookmarkEnd w:id="136"/>
      <w:bookmarkEnd w:id="137"/>
      <w:r>
        <w:rPr>
          <w:rFonts w:hint="eastAsia" w:ascii="Arial" w:hAnsi="Arial" w:eastAsia="黑体" w:cs="Arial"/>
          <w:color w:val="auto"/>
          <w:sz w:val="28"/>
          <w:szCs w:val="28"/>
          <w:highlight w:val="none"/>
        </w:rPr>
        <w:t>的拒收</w:t>
      </w:r>
    </w:p>
    <w:p w14:paraId="10D0FB64">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20.1 采购人拒绝接收在其规定的提交响应文件截止时间后上传的任何电子响应文件。</w:t>
      </w:r>
    </w:p>
    <w:p w14:paraId="6887AC90">
      <w:pPr>
        <w:keepNext/>
        <w:keepLines/>
        <w:spacing w:line="520" w:lineRule="exact"/>
        <w:ind w:firstLine="420" w:firstLineChars="150"/>
        <w:outlineLvl w:val="3"/>
        <w:rPr>
          <w:rFonts w:ascii="Arial" w:hAnsi="Arial" w:eastAsia="黑体" w:cs="Arial"/>
          <w:color w:val="auto"/>
          <w:sz w:val="28"/>
          <w:szCs w:val="28"/>
          <w:highlight w:val="none"/>
        </w:rPr>
      </w:pPr>
      <w:bookmarkStart w:id="138" w:name="_Toc20823300"/>
      <w:bookmarkStart w:id="139" w:name="_Toc513029228"/>
      <w:bookmarkStart w:id="140" w:name="_Toc16938544"/>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1</w:t>
      </w:r>
      <w:r>
        <w:rPr>
          <w:rFonts w:hint="eastAsia" w:ascii="Arial" w:hAnsi="Arial" w:eastAsia="黑体" w:cs="Arial"/>
          <w:color w:val="auto"/>
          <w:sz w:val="28"/>
          <w:szCs w:val="28"/>
          <w:highlight w:val="none"/>
        </w:rPr>
        <w:t>.响应文件的撤回和修改</w:t>
      </w:r>
      <w:bookmarkEnd w:id="138"/>
      <w:bookmarkEnd w:id="139"/>
      <w:bookmarkEnd w:id="140"/>
    </w:p>
    <w:p w14:paraId="57750605">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.1响应文件的撤回</w:t>
      </w:r>
    </w:p>
    <w:p w14:paraId="42224067">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 电子响应文件的撤回</w:t>
      </w:r>
    </w:p>
    <w:p w14:paraId="29426657">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截止时间前，撤回其电子响应文件，具体操作方法见《操作手册》。</w:t>
      </w:r>
    </w:p>
    <w:p w14:paraId="3895B7CB">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供应商撤回电子响应文件，则认为其不再参与本项目磋商活动。</w:t>
      </w:r>
    </w:p>
    <w:p w14:paraId="6810F6A5">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.2响应文件的修改</w:t>
      </w:r>
    </w:p>
    <w:p w14:paraId="6B1B4879">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截止时间前，对其电子响应文件进行修改，具体操作方法见《操作手册》。</w:t>
      </w:r>
    </w:p>
    <w:p w14:paraId="109A31DC">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 xml:space="preserve"> 在提交响应文件截止时间之后，供应商不得对其电子响应文件作任何修改。</w:t>
      </w:r>
    </w:p>
    <w:p w14:paraId="675E79F2">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p>
    <w:p w14:paraId="4D482C0F">
      <w:pPr>
        <w:keepNext/>
        <w:keepLines/>
        <w:spacing w:line="520" w:lineRule="exact"/>
        <w:ind w:firstLine="482" w:firstLineChars="150"/>
        <w:outlineLvl w:val="2"/>
        <w:rPr>
          <w:b/>
          <w:bCs/>
          <w:color w:val="auto"/>
          <w:sz w:val="32"/>
          <w:szCs w:val="32"/>
          <w:highlight w:val="none"/>
        </w:rPr>
      </w:pPr>
      <w:bookmarkStart w:id="141" w:name="_Toc120614218"/>
      <w:bookmarkStart w:id="142" w:name="_Toc20823301"/>
      <w:bookmarkStart w:id="143" w:name="_Toc513029229"/>
      <w:bookmarkStart w:id="144" w:name="_Toc16938545"/>
      <w:r>
        <w:rPr>
          <w:rFonts w:hint="eastAsia"/>
          <w:b/>
          <w:bCs/>
          <w:color w:val="auto"/>
          <w:sz w:val="32"/>
          <w:szCs w:val="32"/>
          <w:highlight w:val="none"/>
        </w:rPr>
        <w:t>五、响应文件的解密与评审</w:t>
      </w:r>
      <w:bookmarkEnd w:id="141"/>
      <w:bookmarkEnd w:id="142"/>
      <w:bookmarkEnd w:id="143"/>
      <w:bookmarkEnd w:id="144"/>
    </w:p>
    <w:p w14:paraId="01DBBCE8">
      <w:pPr>
        <w:keepNext/>
        <w:keepLines/>
        <w:spacing w:line="520" w:lineRule="exact"/>
        <w:ind w:firstLine="420" w:firstLineChars="150"/>
        <w:outlineLvl w:val="3"/>
        <w:rPr>
          <w:rFonts w:ascii="Arial" w:hAnsi="Arial" w:eastAsia="黑体" w:cs="Arial"/>
          <w:color w:val="auto"/>
          <w:sz w:val="28"/>
          <w:szCs w:val="28"/>
          <w:highlight w:val="none"/>
        </w:rPr>
      </w:pPr>
      <w:bookmarkStart w:id="145" w:name="_Toc513029230"/>
      <w:bookmarkStart w:id="146" w:name="_Toc20823302"/>
      <w:bookmarkStart w:id="147" w:name="_Toc16938546"/>
      <w:r>
        <w:rPr>
          <w:rFonts w:hint="eastAsia" w:ascii="Arial" w:hAnsi="Arial" w:eastAsia="黑体" w:cs="Arial"/>
          <w:color w:val="auto"/>
          <w:sz w:val="28"/>
          <w:szCs w:val="28"/>
          <w:highlight w:val="none"/>
        </w:rPr>
        <w:t>22</w:t>
      </w:r>
      <w:bookmarkEnd w:id="145"/>
      <w:bookmarkEnd w:id="146"/>
      <w:bookmarkEnd w:id="147"/>
      <w:r>
        <w:rPr>
          <w:rFonts w:hint="eastAsia" w:ascii="Arial" w:hAnsi="Arial" w:eastAsia="黑体" w:cs="Arial"/>
          <w:color w:val="auto"/>
          <w:sz w:val="28"/>
          <w:szCs w:val="28"/>
          <w:highlight w:val="none"/>
        </w:rPr>
        <w:t>.响应文件解密</w:t>
      </w:r>
    </w:p>
    <w:p w14:paraId="5AB19550">
      <w:pPr>
        <w:spacing w:line="520" w:lineRule="exact"/>
        <w:ind w:firstLine="360" w:firstLineChars="150"/>
        <w:rPr>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color w:val="auto"/>
          <w:sz w:val="24"/>
          <w:szCs w:val="24"/>
          <w:highlight w:val="none"/>
        </w:rPr>
        <w:t>供应商应当按照《操作手册》规定，在苏采云系统规定的时间内对磋商响应文件进行解密。</w:t>
      </w:r>
    </w:p>
    <w:p w14:paraId="5DF176CA">
      <w:pPr>
        <w:keepNext/>
        <w:keepLines/>
        <w:spacing w:line="520" w:lineRule="exact"/>
        <w:ind w:firstLine="420" w:firstLineChars="150"/>
        <w:outlineLvl w:val="3"/>
        <w:rPr>
          <w:rFonts w:ascii="Arial" w:hAnsi="Arial" w:eastAsia="黑体" w:cs="Arial"/>
          <w:color w:val="auto"/>
          <w:sz w:val="28"/>
          <w:szCs w:val="28"/>
          <w:highlight w:val="none"/>
        </w:rPr>
      </w:pPr>
      <w:bookmarkStart w:id="148" w:name="_Toc513029231"/>
      <w:bookmarkStart w:id="149" w:name="_Toc20823303"/>
      <w:bookmarkStart w:id="150" w:name="_Toc16938547"/>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3</w:t>
      </w:r>
      <w:r>
        <w:rPr>
          <w:rFonts w:hint="eastAsia" w:ascii="Arial" w:hAnsi="Arial" w:eastAsia="黑体" w:cs="Arial"/>
          <w:color w:val="auto"/>
          <w:sz w:val="28"/>
          <w:szCs w:val="28"/>
          <w:highlight w:val="none"/>
        </w:rPr>
        <w:t>.磋商小组</w:t>
      </w:r>
    </w:p>
    <w:p w14:paraId="0A459703">
      <w:pPr>
        <w:spacing w:line="520" w:lineRule="exact"/>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.1</w:t>
      </w:r>
      <w:r>
        <w:rPr>
          <w:rFonts w:hint="eastAsia" w:ascii="宋体" w:hAnsi="宋体"/>
          <w:bCs/>
          <w:color w:val="auto"/>
          <w:sz w:val="24"/>
          <w:szCs w:val="21"/>
          <w:highlight w:val="none"/>
        </w:rPr>
        <w:t>采购代理机构</w:t>
      </w:r>
      <w:r>
        <w:rPr>
          <w:rFonts w:hint="eastAsia" w:ascii="宋体" w:hAnsi="宋体"/>
          <w:color w:val="auto"/>
          <w:sz w:val="24"/>
          <w:szCs w:val="24"/>
          <w:highlight w:val="none"/>
        </w:rPr>
        <w:t>将组织磋商小组对响应文件进行评审。磋商小组由采购人代表和有关技术、经济等方面的专家组成，且人员构成符合政府采购有关规定。</w:t>
      </w:r>
    </w:p>
    <w:p w14:paraId="53DB2C63">
      <w:pPr>
        <w:spacing w:line="520" w:lineRule="exact"/>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3</w:t>
      </w:r>
      <w:r>
        <w:rPr>
          <w:rFonts w:hint="eastAsia" w:ascii="宋体" w:hAnsi="宋体"/>
          <w:color w:val="auto"/>
          <w:sz w:val="24"/>
          <w:szCs w:val="24"/>
          <w:highlight w:val="none"/>
        </w:rPr>
        <w:t>.2磋商小组独立工作，负责评审所有响应文件并确定成交侯选人。</w:t>
      </w:r>
    </w:p>
    <w:p w14:paraId="6EF00471">
      <w:pPr>
        <w:keepNext/>
        <w:keepLines/>
        <w:spacing w:line="520" w:lineRule="exact"/>
        <w:ind w:firstLine="420" w:firstLineChars="150"/>
        <w:outlineLvl w:val="3"/>
        <w:rPr>
          <w:rFonts w:ascii="黑体" w:hAnsi="Arial" w:eastAsia="黑体" w:cs="Arial"/>
          <w:color w:val="auto"/>
          <w:sz w:val="28"/>
          <w:szCs w:val="28"/>
          <w:highlight w:val="none"/>
        </w:rPr>
      </w:pPr>
      <w:r>
        <w:rPr>
          <w:rFonts w:hint="eastAsia" w:ascii="黑体" w:hAnsi="Arial" w:eastAsia="黑体" w:cs="Arial"/>
          <w:color w:val="auto"/>
          <w:sz w:val="28"/>
          <w:szCs w:val="28"/>
          <w:highlight w:val="none"/>
        </w:rPr>
        <w:t>2</w:t>
      </w:r>
      <w:r>
        <w:rPr>
          <w:rFonts w:ascii="黑体" w:hAnsi="Arial" w:eastAsia="黑体" w:cs="Arial"/>
          <w:color w:val="auto"/>
          <w:sz w:val="28"/>
          <w:szCs w:val="28"/>
          <w:highlight w:val="none"/>
        </w:rPr>
        <w:t>4</w:t>
      </w:r>
      <w:r>
        <w:rPr>
          <w:rFonts w:hint="eastAsia" w:ascii="黑体" w:hAnsi="Arial" w:eastAsia="黑体" w:cs="Arial"/>
          <w:color w:val="auto"/>
          <w:sz w:val="28"/>
          <w:szCs w:val="28"/>
          <w:highlight w:val="none"/>
        </w:rPr>
        <w:t>.评审过程的保密与公正</w:t>
      </w:r>
    </w:p>
    <w:bookmarkEnd w:id="148"/>
    <w:bookmarkEnd w:id="149"/>
    <w:bookmarkEnd w:id="150"/>
    <w:p w14:paraId="61CFF715">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bCs/>
          <w:color w:val="auto"/>
          <w:sz w:val="24"/>
          <w:szCs w:val="21"/>
          <w:highlight w:val="none"/>
        </w:rPr>
        <w:t>磋商小组、采购人和采购代理机构工作人员、相关监督人员等与评审工作有关的人员，对评审情况以及在评审过程中获悉的国家秘密、商业秘密负有保密责任。</w:t>
      </w:r>
    </w:p>
    <w:p w14:paraId="49A78A07">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4"/>
          <w:highlight w:val="none"/>
        </w:rPr>
        <w:t>在评审过程中，供应商不得以任何行为影响磋商评审过程，否则其响应文件将被作为无效响应文件。</w:t>
      </w:r>
    </w:p>
    <w:p w14:paraId="197393BC">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.3</w:t>
      </w:r>
      <w:r>
        <w:rPr>
          <w:rFonts w:hint="eastAsia" w:ascii="宋体" w:hAnsi="宋体"/>
          <w:color w:val="auto"/>
          <w:sz w:val="24"/>
          <w:szCs w:val="24"/>
          <w:highlight w:val="none"/>
        </w:rPr>
        <w:t>在项目评审期间，采购代理机构将设专门人员与供应商联系。</w:t>
      </w:r>
    </w:p>
    <w:p w14:paraId="22DE1DC8">
      <w:pPr>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.4 采购人和磋商小组不向未成交的供应商解释未成交原因，也不公布评审过程中的相关细节。</w:t>
      </w:r>
    </w:p>
    <w:p w14:paraId="3AC4BDE6">
      <w:pPr>
        <w:keepNext/>
        <w:keepLines/>
        <w:spacing w:line="520" w:lineRule="exact"/>
        <w:ind w:firstLine="420" w:firstLineChars="150"/>
        <w:outlineLvl w:val="3"/>
        <w:rPr>
          <w:rFonts w:ascii="Arial" w:hAnsi="Arial" w:eastAsia="黑体" w:cs="Arial"/>
          <w:color w:val="auto"/>
          <w:sz w:val="28"/>
          <w:szCs w:val="28"/>
          <w:highlight w:val="none"/>
        </w:rPr>
      </w:pPr>
      <w:bookmarkStart w:id="151" w:name="_Toc16938548"/>
      <w:bookmarkStart w:id="152" w:name="_Toc20823304"/>
      <w:bookmarkStart w:id="153" w:name="_Toc513029232"/>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5</w:t>
      </w:r>
      <w:r>
        <w:rPr>
          <w:rFonts w:hint="eastAsia" w:ascii="Arial" w:hAnsi="Arial" w:eastAsia="黑体" w:cs="Arial"/>
          <w:color w:val="auto"/>
          <w:sz w:val="28"/>
          <w:szCs w:val="28"/>
          <w:highlight w:val="none"/>
        </w:rPr>
        <w:t>.评审过程中的的澄清</w:t>
      </w:r>
      <w:bookmarkEnd w:id="151"/>
      <w:bookmarkEnd w:id="152"/>
      <w:bookmarkEnd w:id="153"/>
    </w:p>
    <w:p w14:paraId="6A63FA89">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81EDD7">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磋商小组并非对每个供应商都作澄清要求。</w:t>
      </w:r>
    </w:p>
    <w:p w14:paraId="7261A627">
      <w:pPr>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5</w:t>
      </w:r>
      <w:r>
        <w:rPr>
          <w:rFonts w:hint="eastAsia" w:ascii="宋体" w:hAnsi="宋体" w:cs="宋体"/>
          <w:color w:val="auto"/>
          <w:sz w:val="24"/>
          <w:szCs w:val="24"/>
          <w:highlight w:val="none"/>
        </w:rPr>
        <w:t>.2需要供应商进行澄清、说明和更正的，磋商小组将通过</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向供应商发布“澄清要求函”，接到“澄清要求函”的供应商应当按照要求在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中提交“澄清响应函”并加盖CA电子公章。澄清、说明和更正的内容作为响应文件的补充部分，具体</w:t>
      </w:r>
      <w:r>
        <w:rPr>
          <w:rFonts w:ascii="宋体" w:hAnsi="宋体" w:cs="宋体"/>
          <w:color w:val="auto"/>
          <w:sz w:val="24"/>
          <w:szCs w:val="24"/>
          <w:highlight w:val="none"/>
        </w:rPr>
        <w:t>操作</w:t>
      </w:r>
      <w:r>
        <w:rPr>
          <w:rFonts w:hint="eastAsia" w:ascii="宋体" w:hAnsi="宋体" w:cs="宋体"/>
          <w:color w:val="auto"/>
          <w:sz w:val="24"/>
          <w:szCs w:val="24"/>
          <w:highlight w:val="none"/>
        </w:rPr>
        <w:t>方式</w:t>
      </w:r>
      <w:r>
        <w:rPr>
          <w:rFonts w:ascii="宋体" w:hAnsi="宋体" w:cs="宋体"/>
          <w:color w:val="auto"/>
          <w:sz w:val="24"/>
          <w:szCs w:val="24"/>
          <w:highlight w:val="none"/>
        </w:rPr>
        <w:t>见</w:t>
      </w:r>
      <w:r>
        <w:rPr>
          <w:rFonts w:hint="eastAsia" w:ascii="宋体" w:hAnsi="宋体" w:cs="宋体"/>
          <w:color w:val="auto"/>
          <w:sz w:val="24"/>
          <w:szCs w:val="24"/>
          <w:highlight w:val="none"/>
        </w:rPr>
        <w:t>《操作手册》。</w:t>
      </w:r>
    </w:p>
    <w:p w14:paraId="424B2840">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5</w:t>
      </w:r>
      <w:r>
        <w:rPr>
          <w:rFonts w:hint="eastAsia" w:ascii="宋体" w:hAnsi="宋体"/>
          <w:color w:val="auto"/>
          <w:sz w:val="24"/>
          <w:szCs w:val="24"/>
          <w:highlight w:val="none"/>
        </w:rPr>
        <w:t>.3 接到磋商小组澄清、说明和更正要求的供应商如未按规定做出澄清、说明和 更正，其风险由供应商自行承担。</w:t>
      </w:r>
    </w:p>
    <w:p w14:paraId="0B866050">
      <w:pPr>
        <w:keepNext/>
        <w:keepLines/>
        <w:spacing w:line="520" w:lineRule="exact"/>
        <w:ind w:firstLine="420" w:firstLineChars="150"/>
        <w:outlineLvl w:val="3"/>
        <w:rPr>
          <w:rFonts w:ascii="Arial" w:hAnsi="Arial" w:eastAsia="黑体" w:cs="Arial"/>
          <w:color w:val="auto"/>
          <w:sz w:val="28"/>
          <w:szCs w:val="28"/>
          <w:highlight w:val="none"/>
        </w:rPr>
      </w:pPr>
      <w:bookmarkStart w:id="154" w:name="_Toc513029233"/>
      <w:bookmarkStart w:id="155" w:name="_Toc20823305"/>
      <w:bookmarkStart w:id="156" w:name="_Toc16938549"/>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6</w:t>
      </w:r>
      <w:r>
        <w:rPr>
          <w:rFonts w:hint="eastAsia" w:ascii="Arial" w:hAnsi="Arial" w:eastAsia="黑体" w:cs="Arial"/>
          <w:color w:val="auto"/>
          <w:sz w:val="28"/>
          <w:szCs w:val="28"/>
          <w:highlight w:val="none"/>
        </w:rPr>
        <w:t>.对响应文件的审</w:t>
      </w:r>
      <w:bookmarkEnd w:id="154"/>
      <w:bookmarkEnd w:id="155"/>
      <w:bookmarkEnd w:id="156"/>
      <w:r>
        <w:rPr>
          <w:rFonts w:hint="eastAsia" w:ascii="Arial" w:hAnsi="Arial" w:eastAsia="黑体" w:cs="Arial"/>
          <w:color w:val="auto"/>
          <w:sz w:val="28"/>
          <w:szCs w:val="28"/>
          <w:highlight w:val="none"/>
        </w:rPr>
        <w:t>查</w:t>
      </w:r>
    </w:p>
    <w:p w14:paraId="021361C9">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3575ED77">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资格审查：由采购人依据法律法规和磋商文件的规定，对响应文件中的资格证明文件进行审查，以确定供应商是否具备参加磋商的资格。</w:t>
      </w:r>
    </w:p>
    <w:p w14:paraId="77B23855">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采购人在进行资格审查的同时，将在“信用中国”网站（www.creditchina.gov.cn）查询供应商的信用记录，以确定供应商是否具备磋商资格,查询结果留存并归档。</w:t>
      </w:r>
    </w:p>
    <w:p w14:paraId="43B1AAF2">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D7E3CC7">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 符合性审查：依据磋商文件的规定，由磋商小组从响应文件的有效性、完整性和对磋商文件的响应程度进行审查，以确定是否对磋商文件的实质性要求作出响应。</w:t>
      </w:r>
    </w:p>
    <w:p w14:paraId="4AA7B946">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 未通过资格审查或符合性审查的供应商，采购代理机构将在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中告知未通过资格审查或符合性审查的原因，评审结束后，采购代理机构将不再告知未通过资格审查或符合性审查的原因。</w:t>
      </w:r>
    </w:p>
    <w:p w14:paraId="63C4AEE7">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.2</w:t>
      </w:r>
      <w:r>
        <w:rPr>
          <w:rFonts w:hint="eastAsia" w:ascii="宋体" w:hAnsi="宋体"/>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5B2D5A7C">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5F69815">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26.3未实质性响应磋商文件的情形</w:t>
      </w:r>
    </w:p>
    <w:p w14:paraId="6D9D0CD6">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26.3.1供应商在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规定的时间内未成功解密电子响应文件的。</w:t>
      </w:r>
    </w:p>
    <w:p w14:paraId="0E98797F">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26.3.2供应商未按照磋商文件要求上传电子响应文件的。</w:t>
      </w:r>
    </w:p>
    <w:p w14:paraId="39132D8A">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26.3.3同一供应商提交两个（含两个）以上不同的响应文件或者最后报价的。</w:t>
      </w:r>
    </w:p>
    <w:p w14:paraId="490BA3B3">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26.3.4供应商不具备磋商文件中规定资格要求的。</w:t>
      </w:r>
    </w:p>
    <w:p w14:paraId="4A03CC56">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26.3.5供应商的最后报价超过了采购预算。</w:t>
      </w:r>
    </w:p>
    <w:p w14:paraId="08D1B691">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26.3.6不符合磋商文件中规定的实质性要求和条件的。</w:t>
      </w:r>
    </w:p>
    <w:p w14:paraId="2D220EC9">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5625AF">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26.3.8  响应文件含有采购人不能接受的附加条件的。</w:t>
      </w:r>
    </w:p>
    <w:p w14:paraId="3D9A65F3">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94243D8">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26.3.10响应文件未按照磋商文件要求加盖CA电子公章的。</w:t>
      </w:r>
    </w:p>
    <w:p w14:paraId="06028A21">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26.4未实质性响应磋商文件的响应文件按无效响应处理。</w:t>
      </w:r>
    </w:p>
    <w:p w14:paraId="4E8A3E09">
      <w:pPr>
        <w:spacing w:line="520" w:lineRule="exact"/>
        <w:ind w:firstLine="480" w:firstLineChars="200"/>
        <w:rPr>
          <w:rFonts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.5</w:t>
      </w:r>
      <w:r>
        <w:rPr>
          <w:rFonts w:hint="eastAsia" w:ascii="宋体" w:hAnsi="宋体"/>
          <w:bCs/>
          <w:color w:val="auto"/>
          <w:sz w:val="24"/>
          <w:szCs w:val="21"/>
          <w:highlight w:val="none"/>
        </w:rPr>
        <w:t>如果响应文件实质上没有响应磋商文件的要求，磋商小组将予以拒绝，供应商不得通过修改或撤销不合要求的偏离或保留而使其成为实质性响应的文件。</w:t>
      </w:r>
    </w:p>
    <w:p w14:paraId="63888C9A">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26.6磋商小组将对确定为实质性响应的文件进行进一步审核，看其是否有计算上或累加上的算术错误，修正错误的原则如下：</w:t>
      </w:r>
    </w:p>
    <w:p w14:paraId="2AD717A4">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（1）响应文件中报价总表内容与响应文件中相应内容不一致的，以报价总表为准。</w:t>
      </w:r>
    </w:p>
    <w:p w14:paraId="72700653">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（2）大写金额和小写金额不一致的，以大写金额为准。</w:t>
      </w:r>
    </w:p>
    <w:p w14:paraId="5A242A9B">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（3）单价金额小数点或者百分比有明显错位的，以报价总表的总价为准，并修改单价。</w:t>
      </w:r>
    </w:p>
    <w:p w14:paraId="65D2A851">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（4）总价金额与按单价汇总金额不一致的，以单价金额计算结果为准。</w:t>
      </w:r>
    </w:p>
    <w:p w14:paraId="4EC1CCD8">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同时出现两种以上错误的，按照前款规定的顺序修正。</w:t>
      </w:r>
    </w:p>
    <w:p w14:paraId="32A275B5">
      <w:pPr>
        <w:spacing w:line="520" w:lineRule="exact"/>
        <w:ind w:firstLine="480" w:firstLineChars="200"/>
        <w:rPr>
          <w:rFonts w:ascii="宋体" w:hAnsi="宋体"/>
          <w:color w:val="auto"/>
          <w:sz w:val="24"/>
          <w:szCs w:val="21"/>
          <w:highlight w:val="none"/>
        </w:rPr>
      </w:pPr>
      <w:bookmarkStart w:id="157" w:name="_Toc16938550"/>
      <w:bookmarkStart w:id="158" w:name="_Toc513029234"/>
      <w:bookmarkStart w:id="159" w:name="_Toc20823306"/>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.7供应商在项目评审全过程中应保持通讯畅通，并安排专人与采购人或采购代理机构及磋商小组联系。</w:t>
      </w:r>
    </w:p>
    <w:p w14:paraId="43FE44B0">
      <w:pPr>
        <w:keepNext/>
        <w:keepLines/>
        <w:spacing w:line="520" w:lineRule="exact"/>
        <w:ind w:firstLine="420" w:firstLineChars="15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2</w:t>
      </w:r>
      <w:r>
        <w:rPr>
          <w:rFonts w:ascii="Arial" w:hAnsi="Arial" w:eastAsia="黑体" w:cs="Arial"/>
          <w:color w:val="auto"/>
          <w:sz w:val="28"/>
          <w:szCs w:val="28"/>
          <w:highlight w:val="none"/>
        </w:rPr>
        <w:t>7</w:t>
      </w:r>
      <w:bookmarkEnd w:id="157"/>
      <w:bookmarkEnd w:id="158"/>
      <w:bookmarkEnd w:id="159"/>
      <w:r>
        <w:rPr>
          <w:rFonts w:hint="eastAsia" w:ascii="Arial" w:hAnsi="Arial" w:eastAsia="黑体" w:cs="Arial"/>
          <w:color w:val="auto"/>
          <w:sz w:val="28"/>
          <w:szCs w:val="28"/>
          <w:highlight w:val="none"/>
        </w:rPr>
        <w:t>.磋商程序及评审方法和评审标准</w:t>
      </w:r>
    </w:p>
    <w:p w14:paraId="7FE7DEC7">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27.1磋商程序</w:t>
      </w:r>
    </w:p>
    <w:p w14:paraId="164B706D">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7C03BA1">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D74F2BD">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磋商文件能够详细列明采购标的的技术、服务要求的，磋商结束后，磋商小组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要求所有实质性响应的供应商在规定时间内提交最后报价。</w:t>
      </w:r>
    </w:p>
    <w:p w14:paraId="082C77B8">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1A34078">
      <w:pPr>
        <w:tabs>
          <w:tab w:val="left" w:pos="900"/>
        </w:tabs>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7B5264C">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27.1.3供应商未在磋商小组规定的时间内在苏采云系统中提交最后报价视为放弃磋商，其响应文件按无效响应处理，最后报价格式表须加盖CA电子公章,否则视为未提交最后报价。</w:t>
      </w:r>
      <w:r>
        <w:rPr>
          <w:rFonts w:ascii="宋体" w:hAnsi="宋体"/>
          <w:color w:val="auto"/>
          <w:sz w:val="24"/>
          <w:szCs w:val="24"/>
          <w:highlight w:val="none"/>
        </w:rPr>
        <w:t>已提交响应文件的供应商，在提交最后报价之前，可以根据磋商情况退出磋商</w:t>
      </w:r>
      <w:r>
        <w:rPr>
          <w:rFonts w:hint="eastAsia" w:ascii="宋体" w:hAnsi="宋体"/>
          <w:color w:val="auto"/>
          <w:sz w:val="24"/>
          <w:szCs w:val="24"/>
          <w:highlight w:val="none"/>
        </w:rPr>
        <w:t>，并在苏采云系统中提交“退出磋商函”并加盖CA电子公章</w:t>
      </w:r>
      <w:r>
        <w:rPr>
          <w:rFonts w:ascii="宋体" w:hAnsi="宋体"/>
          <w:color w:val="auto"/>
          <w:sz w:val="24"/>
          <w:szCs w:val="24"/>
          <w:highlight w:val="none"/>
        </w:rPr>
        <w:t>。</w:t>
      </w:r>
    </w:p>
    <w:p w14:paraId="55D7F786">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27.2 评审方法和评审标准</w:t>
      </w:r>
    </w:p>
    <w:p w14:paraId="06CE3BED">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4DBCE8B2">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59E13D6">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27.2.2评审标准</w:t>
      </w:r>
    </w:p>
    <w:p w14:paraId="5C1848C3">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见本磋商文件第四章规定。</w:t>
      </w:r>
    </w:p>
    <w:p w14:paraId="6969B2B2">
      <w:pPr>
        <w:tabs>
          <w:tab w:val="left" w:pos="900"/>
        </w:tabs>
        <w:spacing w:line="520" w:lineRule="exact"/>
        <w:ind w:firstLine="477" w:firstLineChars="199"/>
        <w:rPr>
          <w:rFonts w:ascii="宋体" w:hAnsi="宋体"/>
          <w:color w:val="auto"/>
          <w:sz w:val="24"/>
          <w:szCs w:val="24"/>
          <w:highlight w:val="none"/>
        </w:rPr>
      </w:pPr>
      <w:r>
        <w:rPr>
          <w:rFonts w:hint="eastAsia" w:ascii="宋体" w:hAnsi="宋体"/>
          <w:color w:val="auto"/>
          <w:sz w:val="24"/>
          <w:szCs w:val="24"/>
          <w:highlight w:val="none"/>
        </w:rPr>
        <w:t>27.3采购活动终止的情况</w:t>
      </w:r>
    </w:p>
    <w:p w14:paraId="501CC547">
      <w:pPr>
        <w:tabs>
          <w:tab w:val="left" w:pos="900"/>
        </w:tabs>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出现下列情形之一的，本次竞争性磋商采购活动将被终止：</w:t>
      </w:r>
    </w:p>
    <w:p w14:paraId="28DAC1A5">
      <w:pPr>
        <w:tabs>
          <w:tab w:val="left" w:pos="900"/>
        </w:tabs>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27.3.1因情况变化，不再符合规定的竞争性磋商采购方式适用情形的。</w:t>
      </w:r>
    </w:p>
    <w:p w14:paraId="16DA6E9C">
      <w:pPr>
        <w:tabs>
          <w:tab w:val="left" w:pos="900"/>
        </w:tabs>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27.3.2出现影响采购公正的违法、违规行为的。</w:t>
      </w:r>
    </w:p>
    <w:p w14:paraId="1E8E3D70">
      <w:pPr>
        <w:tabs>
          <w:tab w:val="left" w:pos="900"/>
        </w:tabs>
        <w:spacing w:line="52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27.3.3除本磋商文件第二章第27.1.2条第三款规定的情形外，在采购过程中符合要求的供应商或者最后报价未超过采购预算的供应商不足3家的。</w:t>
      </w:r>
    </w:p>
    <w:p w14:paraId="2BC11426">
      <w:pPr>
        <w:tabs>
          <w:tab w:val="left" w:pos="900"/>
        </w:tabs>
        <w:spacing w:line="52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27.3.4在</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规定时间内成功解密电子响应文件的供应商不足3家的。</w:t>
      </w:r>
    </w:p>
    <w:p w14:paraId="72BAF4B7">
      <w:pPr>
        <w:keepNext/>
        <w:keepLines/>
        <w:spacing w:line="520" w:lineRule="exact"/>
        <w:ind w:firstLine="482" w:firstLineChars="150"/>
        <w:outlineLvl w:val="2"/>
        <w:rPr>
          <w:b/>
          <w:bCs/>
          <w:color w:val="auto"/>
          <w:sz w:val="32"/>
          <w:szCs w:val="32"/>
          <w:highlight w:val="none"/>
        </w:rPr>
      </w:pPr>
      <w:bookmarkStart w:id="160" w:name="_Toc16938551"/>
      <w:bookmarkStart w:id="161" w:name="_Toc120614219"/>
      <w:bookmarkStart w:id="162" w:name="_Toc20823307"/>
      <w:bookmarkStart w:id="163" w:name="_Toc513029235"/>
      <w:r>
        <w:rPr>
          <w:rFonts w:hint="eastAsia"/>
          <w:b/>
          <w:bCs/>
          <w:color w:val="auto"/>
          <w:sz w:val="32"/>
          <w:szCs w:val="32"/>
          <w:highlight w:val="none"/>
        </w:rPr>
        <w:t>六、</w:t>
      </w:r>
      <w:bookmarkEnd w:id="160"/>
      <w:bookmarkEnd w:id="161"/>
      <w:bookmarkEnd w:id="162"/>
      <w:bookmarkEnd w:id="163"/>
      <w:r>
        <w:rPr>
          <w:rFonts w:hint="eastAsia"/>
          <w:b/>
          <w:bCs/>
          <w:color w:val="auto"/>
          <w:sz w:val="32"/>
          <w:szCs w:val="32"/>
          <w:highlight w:val="none"/>
        </w:rPr>
        <w:t>成交</w:t>
      </w:r>
    </w:p>
    <w:p w14:paraId="235A5BCC">
      <w:pPr>
        <w:keepNext/>
        <w:keepLines/>
        <w:spacing w:line="520" w:lineRule="exact"/>
        <w:ind w:firstLine="600" w:firstLineChars="200"/>
        <w:outlineLvl w:val="3"/>
        <w:rPr>
          <w:rFonts w:ascii="黑体" w:hAnsi="宋体" w:eastAsia="黑体"/>
          <w:bCs/>
          <w:color w:val="auto"/>
          <w:sz w:val="30"/>
          <w:szCs w:val="30"/>
          <w:highlight w:val="none"/>
        </w:rPr>
      </w:pPr>
      <w:bookmarkStart w:id="164" w:name="_Toc513029238"/>
      <w:bookmarkStart w:id="165" w:name="_Toc16938554"/>
      <w:bookmarkStart w:id="166" w:name="_Toc20823310"/>
      <w:r>
        <w:rPr>
          <w:rFonts w:hint="eastAsia" w:ascii="黑体" w:hAnsi="宋体" w:eastAsia="黑体"/>
          <w:bCs/>
          <w:color w:val="auto"/>
          <w:sz w:val="30"/>
          <w:szCs w:val="30"/>
          <w:highlight w:val="none"/>
        </w:rPr>
        <w:t>2</w:t>
      </w:r>
      <w:r>
        <w:rPr>
          <w:rFonts w:ascii="黑体" w:hAnsi="宋体" w:eastAsia="黑体"/>
          <w:bCs/>
          <w:color w:val="auto"/>
          <w:sz w:val="30"/>
          <w:szCs w:val="30"/>
          <w:highlight w:val="none"/>
        </w:rPr>
        <w:t>8</w:t>
      </w:r>
      <w:bookmarkEnd w:id="164"/>
      <w:r>
        <w:rPr>
          <w:rFonts w:hint="eastAsia" w:ascii="黑体" w:hAnsi="宋体" w:eastAsia="黑体"/>
          <w:bCs/>
          <w:color w:val="auto"/>
          <w:sz w:val="30"/>
          <w:szCs w:val="30"/>
          <w:highlight w:val="none"/>
        </w:rPr>
        <w:t>.确定</w:t>
      </w:r>
      <w:bookmarkEnd w:id="165"/>
      <w:bookmarkEnd w:id="166"/>
      <w:r>
        <w:rPr>
          <w:rFonts w:hint="eastAsia" w:ascii="黑体" w:hAnsi="宋体" w:eastAsia="黑体"/>
          <w:bCs/>
          <w:color w:val="auto"/>
          <w:sz w:val="30"/>
          <w:szCs w:val="30"/>
          <w:highlight w:val="none"/>
        </w:rPr>
        <w:t>成交单位</w:t>
      </w:r>
    </w:p>
    <w:p w14:paraId="5EA557F1">
      <w:pPr>
        <w:tabs>
          <w:tab w:val="left" w:pos="900"/>
        </w:tabs>
        <w:spacing w:line="520" w:lineRule="exact"/>
        <w:ind w:firstLine="477" w:firstLineChars="199"/>
        <w:rPr>
          <w:rFonts w:ascii="宋体" w:hAnsi="宋体"/>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.1</w:t>
      </w:r>
      <w:r>
        <w:rPr>
          <w:rFonts w:hint="eastAsia" w:ascii="宋体" w:hAnsi="宋体"/>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A1833CD">
      <w:pPr>
        <w:spacing w:line="520" w:lineRule="exact"/>
        <w:ind w:firstLine="480" w:firstLineChars="200"/>
        <w:rPr>
          <w:rFonts w:ascii="宋体" w:hAnsi="宋体"/>
          <w:color w:val="auto"/>
          <w:sz w:val="24"/>
          <w:szCs w:val="21"/>
          <w:highlight w:val="none"/>
        </w:rPr>
      </w:pPr>
      <w:r>
        <w:rPr>
          <w:rFonts w:hint="eastAsia" w:ascii="宋体" w:hAnsi="宋体"/>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2C0A02C7">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8</w:t>
      </w:r>
      <w:r>
        <w:rPr>
          <w:rFonts w:hint="eastAsia" w:ascii="宋体" w:hAnsi="宋体"/>
          <w:bCs/>
          <w:color w:val="auto"/>
          <w:sz w:val="24"/>
          <w:szCs w:val="21"/>
          <w:highlight w:val="none"/>
        </w:rPr>
        <w:t>.2采购人应根据磋商小组推荐的成交候选供应商确定成交供应商。采购人确定成交供应商后，采购代理机构将在“江苏政府采购网”发布成交结果公告，公告期限为1个工作日。</w:t>
      </w:r>
    </w:p>
    <w:p w14:paraId="3EF3ADD0">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28.3若有充分证据证明，成交供应商出现下列情况之一的，一经查实，将被取消成交资格：</w:t>
      </w:r>
    </w:p>
    <w:p w14:paraId="1605822F">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28.3.1提供虚假材料谋取成交的。</w:t>
      </w:r>
    </w:p>
    <w:p w14:paraId="18D4DAFB">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28.3.2与评审专家、采购人、其他供应商或者采购代理机构工作人员恶意串通的。</w:t>
      </w:r>
    </w:p>
    <w:p w14:paraId="681575D4">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28.3.3向评审专家、采购人或采购代理机构工作人员行贿或者提供其他不正当利益的。</w:t>
      </w:r>
    </w:p>
    <w:p w14:paraId="20E7FD2D">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28.3.4恶意竞争，最后报价明显低于其自身合理成本且又无法提供证明的。</w:t>
      </w:r>
    </w:p>
    <w:p w14:paraId="2D54707C">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28.3.5不满足本磋商文件规定的实质性要求，但在评审过程中又未被磋商小组发现的。</w:t>
      </w:r>
    </w:p>
    <w:p w14:paraId="4594EF64">
      <w:pPr>
        <w:spacing w:line="520" w:lineRule="exact"/>
        <w:ind w:firstLine="480" w:firstLineChars="200"/>
        <w:rPr>
          <w:rFonts w:ascii="宋体" w:hAnsi="宋体"/>
          <w:bCs/>
          <w:color w:val="auto"/>
          <w:sz w:val="24"/>
          <w:szCs w:val="21"/>
          <w:highlight w:val="none"/>
        </w:rPr>
      </w:pPr>
      <w:r>
        <w:rPr>
          <w:rFonts w:hint="eastAsia" w:ascii="宋体" w:hAnsi="宋体"/>
          <w:bCs/>
          <w:color w:val="auto"/>
          <w:sz w:val="24"/>
          <w:szCs w:val="21"/>
          <w:highlight w:val="none"/>
        </w:rPr>
        <w:t>28.3.6成交后无正当理由拒不与采购人签订政府采购合同或者未按照磋商文件确定的事项签订政府采购合同的。</w:t>
      </w:r>
    </w:p>
    <w:p w14:paraId="73F5C3E8">
      <w:pPr>
        <w:snapToGrid w:val="0"/>
        <w:spacing w:line="520" w:lineRule="exact"/>
        <w:ind w:firstLine="480" w:firstLineChars="200"/>
        <w:rPr>
          <w:rFonts w:ascii="宋体" w:hAnsi="宋体"/>
          <w:color w:val="auto"/>
          <w:sz w:val="24"/>
          <w:szCs w:val="24"/>
          <w:highlight w:val="none"/>
        </w:rPr>
      </w:pPr>
      <w:r>
        <w:rPr>
          <w:rFonts w:hint="eastAsia" w:ascii="宋体" w:hAnsi="宋体"/>
          <w:bCs/>
          <w:color w:val="auto"/>
          <w:sz w:val="24"/>
          <w:szCs w:val="21"/>
          <w:highlight w:val="none"/>
        </w:rPr>
        <w:t>28.3.7将政府采购合同转包的。</w:t>
      </w:r>
    </w:p>
    <w:p w14:paraId="427EE62E">
      <w:pPr>
        <w:keepNext/>
        <w:keepLines/>
        <w:spacing w:line="520" w:lineRule="exact"/>
        <w:ind w:firstLine="600" w:firstLineChars="200"/>
        <w:outlineLvl w:val="3"/>
        <w:rPr>
          <w:rFonts w:ascii="黑体" w:hAnsi="宋体" w:eastAsia="黑体"/>
          <w:bCs/>
          <w:color w:val="auto"/>
          <w:sz w:val="30"/>
          <w:szCs w:val="30"/>
          <w:highlight w:val="none"/>
        </w:rPr>
      </w:pPr>
      <w:bookmarkStart w:id="167" w:name="_Toc200451960"/>
      <w:r>
        <w:rPr>
          <w:rFonts w:ascii="黑体" w:hAnsi="宋体" w:eastAsia="黑体"/>
          <w:bCs/>
          <w:color w:val="auto"/>
          <w:sz w:val="30"/>
          <w:szCs w:val="30"/>
          <w:highlight w:val="none"/>
        </w:rPr>
        <w:t>29</w:t>
      </w:r>
      <w:r>
        <w:rPr>
          <w:rFonts w:hint="eastAsia" w:ascii="黑体" w:hAnsi="宋体" w:eastAsia="黑体"/>
          <w:bCs/>
          <w:color w:val="auto"/>
          <w:sz w:val="30"/>
          <w:szCs w:val="30"/>
          <w:highlight w:val="none"/>
        </w:rPr>
        <w:t>.质疑处理</w:t>
      </w:r>
      <w:bookmarkEnd w:id="167"/>
    </w:p>
    <w:p w14:paraId="26ACD9DE">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.1 提出质疑的供应商应当是参与所质疑项目采购活动的供应商。潜在供应商依法获取其可质疑的采购文件的，可以对采购文件提出质疑。</w:t>
      </w:r>
    </w:p>
    <w:p w14:paraId="27E833D9">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auto"/>
          <w:kern w:val="0"/>
          <w:sz w:val="24"/>
          <w:szCs w:val="24"/>
          <w:highlight w:val="none"/>
        </w:rPr>
        <w:t>采购人或采购代理机构</w:t>
      </w:r>
      <w:r>
        <w:rPr>
          <w:rFonts w:hint="eastAsia" w:ascii="宋体" w:hAnsi="宋体"/>
          <w:color w:val="auto"/>
          <w:sz w:val="24"/>
          <w:szCs w:val="24"/>
          <w:highlight w:val="none"/>
        </w:rPr>
        <w:t>提出质疑。上述应知其权益受到损害之日，是指：</w:t>
      </w:r>
    </w:p>
    <w:p w14:paraId="797F03AD">
      <w:pPr>
        <w:snapToGrid w:val="0"/>
        <w:spacing w:line="520" w:lineRule="exact"/>
        <w:ind w:firstLine="480" w:firstLineChars="200"/>
        <w:rPr>
          <w:rFonts w:hAnsi="宋体" w:cs="宋体"/>
          <w:color w:val="auto"/>
          <w:kern w:val="0"/>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.2.1</w:t>
      </w:r>
      <w:r>
        <w:rPr>
          <w:rFonts w:hAnsi="宋体" w:cs="宋体"/>
          <w:color w:val="auto"/>
          <w:kern w:val="0"/>
          <w:sz w:val="24"/>
          <w:szCs w:val="24"/>
          <w:highlight w:val="none"/>
        </w:rPr>
        <w:t>对可以质疑的采购文件提出质疑的，为收到采购文件之日或者采购文件公告期限届满之日</w:t>
      </w:r>
      <w:r>
        <w:rPr>
          <w:rFonts w:hint="eastAsia" w:hAnsi="宋体" w:cs="宋体"/>
          <w:color w:val="auto"/>
          <w:kern w:val="0"/>
          <w:sz w:val="24"/>
          <w:szCs w:val="24"/>
          <w:highlight w:val="none"/>
        </w:rPr>
        <w:t>。</w:t>
      </w:r>
    </w:p>
    <w:p w14:paraId="43B9643D">
      <w:pPr>
        <w:snapToGrid w:val="0"/>
        <w:spacing w:line="520" w:lineRule="exact"/>
        <w:ind w:firstLine="480" w:firstLineChars="200"/>
        <w:rPr>
          <w:rFonts w:hAnsi="宋体" w:cs="宋体"/>
          <w:color w:val="auto"/>
          <w:kern w:val="0"/>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.2.2</w:t>
      </w:r>
      <w:r>
        <w:rPr>
          <w:rFonts w:hAnsi="宋体" w:cs="宋体"/>
          <w:color w:val="auto"/>
          <w:kern w:val="0"/>
          <w:sz w:val="24"/>
          <w:szCs w:val="24"/>
          <w:highlight w:val="none"/>
        </w:rPr>
        <w:t>对采购过程提出质疑的，为各采购程序环节结束之日</w:t>
      </w:r>
      <w:r>
        <w:rPr>
          <w:rFonts w:hint="eastAsia" w:hAnsi="宋体" w:cs="宋体"/>
          <w:color w:val="auto"/>
          <w:kern w:val="0"/>
          <w:sz w:val="24"/>
          <w:szCs w:val="24"/>
          <w:highlight w:val="none"/>
        </w:rPr>
        <w:t>。</w:t>
      </w:r>
    </w:p>
    <w:p w14:paraId="6F2F4CC8">
      <w:pPr>
        <w:snapToGrid w:val="0"/>
        <w:spacing w:line="520" w:lineRule="exact"/>
        <w:ind w:firstLine="480" w:firstLineChars="200"/>
        <w:rPr>
          <w:rFonts w:hAnsi="宋体" w:cs="宋体"/>
          <w:color w:val="auto"/>
          <w:kern w:val="0"/>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.2.3</w:t>
      </w:r>
      <w:r>
        <w:rPr>
          <w:rFonts w:hAnsi="宋体" w:cs="宋体"/>
          <w:color w:val="auto"/>
          <w:kern w:val="0"/>
          <w:sz w:val="24"/>
          <w:szCs w:val="24"/>
          <w:highlight w:val="none"/>
        </w:rPr>
        <w:t>对成交结果提出质疑的，为成交结果公告期限届满之日。</w:t>
      </w:r>
    </w:p>
    <w:p w14:paraId="18F26D1B">
      <w:pPr>
        <w:snapToGrid w:val="0"/>
        <w:spacing w:line="520" w:lineRule="exact"/>
        <w:ind w:firstLine="480" w:firstLineChars="200"/>
        <w:rPr>
          <w:rFonts w:hAnsi="宋体" w:cs="宋体"/>
          <w:color w:val="auto"/>
          <w:kern w:val="0"/>
          <w:sz w:val="24"/>
          <w:szCs w:val="24"/>
          <w:highlight w:val="none"/>
        </w:rPr>
      </w:pPr>
      <w:r>
        <w:rPr>
          <w:rFonts w:hint="eastAsia" w:hAnsi="宋体" w:cs="宋体"/>
          <w:color w:val="auto"/>
          <w:kern w:val="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cs="宋体"/>
          <w:color w:val="auto"/>
          <w:kern w:val="0"/>
          <w:sz w:val="24"/>
          <w:szCs w:val="24"/>
          <w:highlight w:val="none"/>
        </w:rPr>
        <w:t>采购人或采购代理机构</w:t>
      </w:r>
      <w:r>
        <w:rPr>
          <w:rFonts w:hint="eastAsia" w:hAnsi="宋体" w:cs="宋体"/>
          <w:color w:val="auto"/>
          <w:kern w:val="0"/>
          <w:sz w:val="24"/>
          <w:szCs w:val="24"/>
          <w:highlight w:val="none"/>
        </w:rPr>
        <w:t>将只对供应商第一次质疑作出答复。</w:t>
      </w:r>
    </w:p>
    <w:p w14:paraId="6C86B191">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6A19961A">
      <w:pPr>
        <w:snapToGrid w:val="0"/>
        <w:spacing w:line="520" w:lineRule="exact"/>
        <w:ind w:firstLine="480" w:firstLineChars="200"/>
        <w:rPr>
          <w:rFonts w:ascii="宋体" w:hAnsi="宋体"/>
          <w:b/>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.4 供应商（含潜在</w:t>
      </w:r>
      <w:r>
        <w:rPr>
          <w:rFonts w:ascii="宋体" w:hAnsi="宋体"/>
          <w:color w:val="auto"/>
          <w:sz w:val="24"/>
          <w:szCs w:val="24"/>
          <w:highlight w:val="none"/>
        </w:rPr>
        <w:t>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采购文件中采购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评审方法</w:t>
      </w:r>
      <w:r>
        <w:rPr>
          <w:rFonts w:ascii="宋体" w:hAnsi="宋体"/>
          <w:color w:val="auto"/>
          <w:sz w:val="24"/>
          <w:szCs w:val="24"/>
          <w:highlight w:val="none"/>
        </w:rPr>
        <w:t>和评</w:t>
      </w:r>
      <w:r>
        <w:rPr>
          <w:rFonts w:hint="eastAsia" w:ascii="宋体" w:hAnsi="宋体"/>
          <w:color w:val="auto"/>
          <w:sz w:val="24"/>
          <w:szCs w:val="24"/>
          <w:highlight w:val="none"/>
        </w:rPr>
        <w:t>审</w:t>
      </w:r>
      <w:r>
        <w:rPr>
          <w:rFonts w:ascii="宋体" w:hAnsi="宋体"/>
          <w:color w:val="auto"/>
          <w:sz w:val="24"/>
          <w:szCs w:val="24"/>
          <w:highlight w:val="none"/>
        </w:rPr>
        <w:t>标准、合同文本</w:t>
      </w:r>
      <w:r>
        <w:rPr>
          <w:rFonts w:hint="eastAsia" w:ascii="宋体" w:hAnsi="宋体"/>
          <w:color w:val="auto"/>
          <w:sz w:val="24"/>
          <w:szCs w:val="24"/>
          <w:highlight w:val="none"/>
        </w:rPr>
        <w:t>及</w:t>
      </w:r>
      <w:r>
        <w:rPr>
          <w:rFonts w:ascii="宋体" w:hAnsi="宋体"/>
          <w:color w:val="auto"/>
          <w:sz w:val="24"/>
          <w:szCs w:val="24"/>
          <w:highlight w:val="none"/>
        </w:rPr>
        <w:t>资格</w:t>
      </w:r>
      <w:r>
        <w:rPr>
          <w:rFonts w:hint="eastAsia" w:ascii="宋体" w:hAnsi="宋体"/>
          <w:color w:val="auto"/>
          <w:sz w:val="24"/>
          <w:szCs w:val="24"/>
          <w:highlight w:val="none"/>
        </w:rPr>
        <w:t>审查结果的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关于评审方面的质疑，采购人可以组织原评审委员会协助答复质疑。</w:t>
      </w:r>
    </w:p>
    <w:p w14:paraId="0AAEDA31">
      <w:pPr>
        <w:snapToGrid w:val="0"/>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采购人或采购代理机构只接收以纸质原件形式送达的质疑,建议供应商尽量通过邮寄方式提交质疑（采购人或采购代理机构不接受未填写快递运单的快件）。</w:t>
      </w:r>
    </w:p>
    <w:p w14:paraId="113A4B31">
      <w:pPr>
        <w:snapToGrid w:val="0"/>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采购人及采购代理机构质疑接收人及联系方式见本采购文件第一章。</w:t>
      </w:r>
    </w:p>
    <w:p w14:paraId="6B3C0DFE">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 以下情形的质疑不予受理</w:t>
      </w:r>
    </w:p>
    <w:p w14:paraId="2D39EF0B">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.5.1 内容不符合《政府采购质疑和投诉办法》第十二条规定的质疑。</w:t>
      </w:r>
    </w:p>
    <w:p w14:paraId="4770414C">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.5.2 超出政府采购法定期限的质疑。</w:t>
      </w:r>
    </w:p>
    <w:p w14:paraId="2757CBEE">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.5.3 以传真、电子邮件等方式递交的非原件形式的质疑。</w:t>
      </w:r>
    </w:p>
    <w:p w14:paraId="436BAE95">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.5.4 未参加磋商活动的供应商或在磋商活动中自身权益未受到损害的供应商所提出的质疑。</w:t>
      </w:r>
    </w:p>
    <w:p w14:paraId="3CDF73A3">
      <w:pPr>
        <w:snapToGrid w:val="0"/>
        <w:spacing w:line="520" w:lineRule="exact"/>
        <w:ind w:firstLine="480" w:firstLineChars="200"/>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.5.5供应商组成联合体参加磋商，联合体中任何一方或多方未按要求签字、盖章、加盖公章的质疑。</w:t>
      </w:r>
    </w:p>
    <w:p w14:paraId="5633F6A1">
      <w:pPr>
        <w:snapToGrid w:val="0"/>
        <w:spacing w:line="520" w:lineRule="exact"/>
        <w:ind w:firstLine="468" w:firstLineChars="195"/>
        <w:rPr>
          <w:rFonts w:ascii="宋体" w:hAnsi="宋体"/>
          <w:color w:val="auto"/>
          <w:sz w:val="24"/>
          <w:szCs w:val="24"/>
          <w:highlight w:val="none"/>
        </w:rPr>
      </w:pPr>
      <w:r>
        <w:rPr>
          <w:rFonts w:ascii="宋体" w:hAnsi="宋体"/>
          <w:color w:val="auto"/>
          <w:sz w:val="24"/>
          <w:szCs w:val="24"/>
          <w:highlight w:val="none"/>
        </w:rPr>
        <w:t>29</w:t>
      </w:r>
      <w:r>
        <w:rPr>
          <w:rFonts w:hint="eastAsia" w:ascii="宋体" w:hAnsi="宋体"/>
          <w:color w:val="auto"/>
          <w:sz w:val="24"/>
          <w:szCs w:val="24"/>
          <w:highlight w:val="none"/>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2AC3539">
      <w:pPr>
        <w:keepNext/>
        <w:keepLines/>
        <w:spacing w:line="520" w:lineRule="exact"/>
        <w:ind w:firstLine="600" w:firstLineChars="200"/>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0</w:t>
      </w:r>
      <w:r>
        <w:rPr>
          <w:rFonts w:hint="eastAsia" w:ascii="黑体" w:hAnsi="宋体" w:eastAsia="黑体"/>
          <w:bCs/>
          <w:color w:val="auto"/>
          <w:sz w:val="30"/>
          <w:szCs w:val="30"/>
          <w:highlight w:val="none"/>
        </w:rPr>
        <w:t>.成交通知书</w:t>
      </w:r>
    </w:p>
    <w:p w14:paraId="40050179">
      <w:pPr>
        <w:snapToGrid w:val="0"/>
        <w:spacing w:line="520" w:lineRule="exact"/>
        <w:ind w:firstLine="600" w:firstLineChars="250"/>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0</w:t>
      </w:r>
      <w:r>
        <w:rPr>
          <w:rFonts w:ascii="宋体" w:hAnsi="宋体"/>
          <w:color w:val="auto"/>
          <w:sz w:val="24"/>
          <w:szCs w:val="24"/>
          <w:highlight w:val="none"/>
        </w:rPr>
        <w:t>.1</w:t>
      </w:r>
      <w:r>
        <w:rPr>
          <w:rFonts w:hint="eastAsia" w:ascii="宋体" w:hAnsi="宋体"/>
          <w:color w:val="auto"/>
          <w:sz w:val="24"/>
          <w:szCs w:val="24"/>
          <w:highlight w:val="none"/>
        </w:rPr>
        <w:t>成交结果确定后，采购人将向成交供应商发出成交通知书。</w:t>
      </w:r>
      <w:r>
        <w:rPr>
          <w:rFonts w:hint="eastAsia" w:ascii="宋体" w:hAnsi="宋体" w:cs="宋体"/>
          <w:color w:val="auto"/>
          <w:sz w:val="24"/>
          <w:szCs w:val="24"/>
          <w:highlight w:val="none"/>
        </w:rPr>
        <w:t>请成交供应商在成交结果公告届满之日起30日内,使用CA数字证书登录</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及时下载成交通知书。因系统存储空间有限，自成交结果公告届满之日起30日后，</w:t>
      </w:r>
      <w:r>
        <w:rPr>
          <w:rFonts w:hint="eastAsia" w:ascii="宋体" w:hAnsi="宋体"/>
          <w:color w:val="auto"/>
          <w:sz w:val="24"/>
          <w:szCs w:val="24"/>
          <w:highlight w:val="none"/>
        </w:rPr>
        <w:t>苏采云系统</w:t>
      </w:r>
      <w:r>
        <w:rPr>
          <w:rFonts w:hint="eastAsia" w:ascii="宋体" w:hAnsi="宋体" w:cs="宋体"/>
          <w:color w:val="auto"/>
          <w:sz w:val="24"/>
          <w:szCs w:val="24"/>
          <w:highlight w:val="none"/>
        </w:rPr>
        <w:t>不再保证提供下载成交通知书服务,因未及时下载而造成的不利后果由成交供应商自行承担。</w:t>
      </w:r>
    </w:p>
    <w:p w14:paraId="36ED262A">
      <w:pPr>
        <w:snapToGrid w:val="0"/>
        <w:spacing w:line="520" w:lineRule="exact"/>
        <w:ind w:firstLine="600" w:firstLineChars="25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2FC53427">
      <w:pPr>
        <w:keepNext/>
        <w:keepLines/>
        <w:spacing w:line="520" w:lineRule="exact"/>
        <w:outlineLvl w:val="2"/>
        <w:rPr>
          <w:b/>
          <w:bCs/>
          <w:color w:val="auto"/>
          <w:sz w:val="32"/>
          <w:szCs w:val="32"/>
          <w:highlight w:val="none"/>
        </w:rPr>
      </w:pPr>
      <w:bookmarkStart w:id="168" w:name="_Toc120614220"/>
      <w:bookmarkStart w:id="169" w:name="_Toc513029236"/>
      <w:bookmarkStart w:id="170" w:name="_Toc16938552"/>
      <w:bookmarkStart w:id="171" w:name="_Toc20823308"/>
      <w:r>
        <w:rPr>
          <w:rFonts w:hint="eastAsia"/>
          <w:b/>
          <w:bCs/>
          <w:color w:val="auto"/>
          <w:sz w:val="32"/>
          <w:szCs w:val="32"/>
          <w:highlight w:val="none"/>
        </w:rPr>
        <w:t>七、授予合同</w:t>
      </w:r>
      <w:bookmarkEnd w:id="168"/>
    </w:p>
    <w:bookmarkEnd w:id="169"/>
    <w:bookmarkEnd w:id="170"/>
    <w:bookmarkEnd w:id="171"/>
    <w:p w14:paraId="59663B9A">
      <w:pPr>
        <w:keepNext/>
        <w:keepLines/>
        <w:spacing w:line="520" w:lineRule="exact"/>
        <w:ind w:firstLine="600" w:firstLineChars="200"/>
        <w:outlineLvl w:val="3"/>
        <w:rPr>
          <w:rFonts w:ascii="黑体" w:hAnsi="宋体" w:eastAsia="黑体"/>
          <w:bCs/>
          <w:color w:val="auto"/>
          <w:sz w:val="30"/>
          <w:szCs w:val="30"/>
          <w:highlight w:val="none"/>
        </w:rPr>
      </w:pPr>
      <w:bookmarkStart w:id="172" w:name="_Toc20823309"/>
      <w:bookmarkStart w:id="173" w:name="_Toc513029237"/>
      <w:bookmarkStart w:id="174" w:name="_Toc16938553"/>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1</w:t>
      </w:r>
      <w:r>
        <w:rPr>
          <w:rFonts w:hint="eastAsia" w:ascii="黑体" w:hAnsi="宋体" w:eastAsia="黑体"/>
          <w:bCs/>
          <w:color w:val="auto"/>
          <w:sz w:val="30"/>
          <w:szCs w:val="30"/>
          <w:highlight w:val="none"/>
        </w:rPr>
        <w:t>.签订合同</w:t>
      </w:r>
    </w:p>
    <w:p w14:paraId="2A25D31C">
      <w:pPr>
        <w:snapToGrid w:val="0"/>
        <w:spacing w:line="520" w:lineRule="exact"/>
        <w:ind w:firstLine="600" w:firstLineChars="250"/>
        <w:rPr>
          <w:rFonts w:ascii="宋体" w:hAnsi="宋体"/>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w:t>
      </w:r>
      <w:r>
        <w:rPr>
          <w:rFonts w:hint="eastAsia" w:ascii="宋体" w:hAnsi="宋体"/>
          <w:color w:val="auto"/>
          <w:sz w:val="24"/>
          <w:szCs w:val="24"/>
          <w:highlight w:val="none"/>
        </w:rPr>
        <w:t>.l成交供应商应当在成交通知书发出之日起三十日内，按照磋商文件确定的事项与采购人签订政府采购合同。</w:t>
      </w:r>
    </w:p>
    <w:p w14:paraId="2A597D3D">
      <w:pPr>
        <w:snapToGrid w:val="0"/>
        <w:spacing w:line="520" w:lineRule="exact"/>
        <w:ind w:firstLine="600" w:firstLineChars="25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.2磋商文件、成交供应商的响应文件及磋商过程中有关澄清、承诺文件均应作为合同附件。</w:t>
      </w:r>
    </w:p>
    <w:p w14:paraId="1CDE7B3E">
      <w:pPr>
        <w:snapToGrid w:val="0"/>
        <w:spacing w:line="520" w:lineRule="exact"/>
        <w:ind w:firstLine="600" w:firstLineChars="25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.3 签订合同后，</w:t>
      </w:r>
      <w:r>
        <w:rPr>
          <w:rFonts w:hint="eastAsia" w:ascii="宋体" w:hAnsi="宋体"/>
          <w:b/>
          <w:color w:val="auto"/>
          <w:sz w:val="24"/>
          <w:szCs w:val="24"/>
          <w:highlight w:val="none"/>
          <w:u w:val="single"/>
        </w:rPr>
        <w:t>成交供应商不得将合同标的进行转包</w:t>
      </w:r>
      <w:r>
        <w:rPr>
          <w:rFonts w:hint="eastAsia" w:ascii="宋体" w:hAnsi="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56CC8172">
      <w:pPr>
        <w:keepNext/>
        <w:keepLines/>
        <w:spacing w:line="520" w:lineRule="exact"/>
        <w:ind w:firstLine="600" w:firstLineChars="200"/>
        <w:outlineLvl w:val="3"/>
        <w:rPr>
          <w:rFonts w:ascii="黑体" w:hAnsi="宋体" w:eastAsia="黑体"/>
          <w:bCs/>
          <w:color w:val="auto"/>
          <w:sz w:val="30"/>
          <w:szCs w:val="30"/>
          <w:highlight w:val="none"/>
        </w:rPr>
      </w:pPr>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2</w:t>
      </w:r>
      <w:r>
        <w:rPr>
          <w:rFonts w:hint="eastAsia" w:ascii="黑体" w:hAnsi="宋体" w:eastAsia="黑体"/>
          <w:bCs/>
          <w:color w:val="auto"/>
          <w:sz w:val="30"/>
          <w:szCs w:val="30"/>
          <w:highlight w:val="none"/>
        </w:rPr>
        <w:t>.标的物的追加</w:t>
      </w:r>
    </w:p>
    <w:p w14:paraId="737BA1FB">
      <w:pPr>
        <w:spacing w:line="52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72"/>
    <w:bookmarkEnd w:id="173"/>
    <w:bookmarkEnd w:id="174"/>
    <w:p w14:paraId="651EA9D0">
      <w:pPr>
        <w:keepNext/>
        <w:keepLines/>
        <w:spacing w:line="520" w:lineRule="exact"/>
        <w:ind w:firstLine="600" w:firstLineChars="200"/>
        <w:outlineLvl w:val="3"/>
        <w:rPr>
          <w:rFonts w:ascii="黑体" w:hAnsi="宋体" w:eastAsia="黑体"/>
          <w:bCs/>
          <w:color w:val="auto"/>
          <w:sz w:val="30"/>
          <w:szCs w:val="30"/>
          <w:highlight w:val="none"/>
        </w:rPr>
      </w:pPr>
      <w:bookmarkStart w:id="175" w:name="_Toc120614221"/>
      <w:bookmarkStart w:id="176" w:name="_Toc16938558"/>
      <w:bookmarkStart w:id="177" w:name="_Toc513029242"/>
      <w:bookmarkStart w:id="178" w:name="_Toc20823314"/>
      <w:bookmarkStart w:id="179" w:name="_Toc479757207"/>
      <w:r>
        <w:rPr>
          <w:rFonts w:hint="eastAsia" w:ascii="黑体" w:hAnsi="宋体" w:eastAsia="黑体"/>
          <w:bCs/>
          <w:color w:val="auto"/>
          <w:sz w:val="30"/>
          <w:szCs w:val="30"/>
          <w:highlight w:val="none"/>
        </w:rPr>
        <w:t>3</w:t>
      </w:r>
      <w:r>
        <w:rPr>
          <w:rFonts w:ascii="黑体" w:hAnsi="宋体" w:eastAsia="黑体"/>
          <w:bCs/>
          <w:color w:val="auto"/>
          <w:sz w:val="30"/>
          <w:szCs w:val="30"/>
          <w:highlight w:val="none"/>
        </w:rPr>
        <w:t>3</w:t>
      </w:r>
      <w:r>
        <w:rPr>
          <w:rFonts w:hint="eastAsia" w:ascii="黑体" w:hAnsi="宋体" w:eastAsia="黑体"/>
          <w:bCs/>
          <w:color w:val="auto"/>
          <w:sz w:val="30"/>
          <w:szCs w:val="30"/>
          <w:highlight w:val="none"/>
        </w:rPr>
        <w:t>.政府采购履约资金扶持政策</w:t>
      </w:r>
    </w:p>
    <w:p w14:paraId="38A9D528">
      <w:pPr>
        <w:spacing w:line="520" w:lineRule="exact"/>
        <w:ind w:firstLine="555"/>
        <w:rPr>
          <w:rFonts w:ascii="宋体" w:hAnsi="宋体"/>
          <w:bCs/>
          <w:color w:val="auto"/>
          <w:sz w:val="24"/>
          <w:szCs w:val="24"/>
          <w:highlight w:val="none"/>
        </w:rPr>
      </w:pPr>
      <w:r>
        <w:rPr>
          <w:rFonts w:hint="eastAsia" w:ascii="宋体" w:hAnsi="宋体"/>
          <w:bCs/>
          <w:color w:val="auto"/>
          <w:sz w:val="24"/>
          <w:szCs w:val="24"/>
          <w:highlight w:val="none"/>
        </w:rPr>
        <w:t>成交供应商可凭政府采购合同办理融资贷款，详情请见江苏政府采购网“政采贷”专栏。</w:t>
      </w:r>
      <w:bookmarkEnd w:id="175"/>
      <w:bookmarkEnd w:id="176"/>
      <w:bookmarkEnd w:id="177"/>
      <w:bookmarkEnd w:id="178"/>
      <w:bookmarkEnd w:id="179"/>
      <w:bookmarkStart w:id="180" w:name="_Hlt16619350"/>
      <w:bookmarkStart w:id="181" w:name="_Toc20823346"/>
      <w:bookmarkStart w:id="182" w:name="_Toc120614244"/>
      <w:bookmarkStart w:id="183" w:name="_Toc16938590"/>
      <w:bookmarkStart w:id="184" w:name="_Toc479757211"/>
      <w:bookmarkStart w:id="185" w:name="_Toc462564139"/>
    </w:p>
    <w:p w14:paraId="3E5C933F">
      <w:pPr>
        <w:spacing w:line="520" w:lineRule="exact"/>
        <w:ind w:firstLine="555"/>
        <w:rPr>
          <w:rFonts w:ascii="宋体" w:hAnsi="宋体"/>
          <w:bCs/>
          <w:color w:val="auto"/>
          <w:sz w:val="24"/>
          <w:szCs w:val="24"/>
          <w:highlight w:val="none"/>
        </w:rPr>
      </w:pPr>
    </w:p>
    <w:p w14:paraId="70AC9407">
      <w:pPr>
        <w:spacing w:line="520" w:lineRule="exact"/>
        <w:ind w:firstLine="555"/>
        <w:rPr>
          <w:rFonts w:ascii="宋体" w:hAnsi="宋体"/>
          <w:bCs/>
          <w:color w:val="auto"/>
          <w:sz w:val="24"/>
          <w:szCs w:val="24"/>
          <w:highlight w:val="none"/>
        </w:rPr>
      </w:pPr>
    </w:p>
    <w:p w14:paraId="36B41769">
      <w:pPr>
        <w:spacing w:line="520" w:lineRule="exact"/>
        <w:ind w:firstLine="555"/>
        <w:rPr>
          <w:rFonts w:ascii="宋体" w:hAnsi="宋体"/>
          <w:bCs/>
          <w:color w:val="auto"/>
          <w:sz w:val="24"/>
          <w:szCs w:val="24"/>
          <w:highlight w:val="none"/>
        </w:rPr>
      </w:pPr>
    </w:p>
    <w:p w14:paraId="65DCC00C">
      <w:pPr>
        <w:spacing w:line="520" w:lineRule="exact"/>
        <w:ind w:firstLine="555"/>
        <w:rPr>
          <w:rFonts w:ascii="宋体" w:hAnsi="宋体"/>
          <w:bCs/>
          <w:color w:val="auto"/>
          <w:sz w:val="24"/>
          <w:szCs w:val="24"/>
          <w:highlight w:val="none"/>
        </w:rPr>
      </w:pPr>
    </w:p>
    <w:p w14:paraId="48D903FE">
      <w:pPr>
        <w:spacing w:line="520" w:lineRule="exact"/>
        <w:ind w:firstLine="555"/>
        <w:rPr>
          <w:rFonts w:ascii="宋体" w:hAnsi="宋体"/>
          <w:bCs/>
          <w:color w:val="auto"/>
          <w:sz w:val="24"/>
          <w:szCs w:val="24"/>
          <w:highlight w:val="none"/>
        </w:rPr>
      </w:pPr>
    </w:p>
    <w:p w14:paraId="34F1416B">
      <w:pPr>
        <w:spacing w:line="520" w:lineRule="exact"/>
        <w:ind w:firstLine="555"/>
        <w:rPr>
          <w:rFonts w:ascii="宋体" w:hAnsi="宋体"/>
          <w:bCs/>
          <w:color w:val="auto"/>
          <w:sz w:val="24"/>
          <w:szCs w:val="24"/>
          <w:highlight w:val="none"/>
        </w:rPr>
      </w:pPr>
    </w:p>
    <w:p w14:paraId="338E383C">
      <w:pPr>
        <w:spacing w:line="520" w:lineRule="exact"/>
        <w:ind w:firstLine="555"/>
        <w:rPr>
          <w:rFonts w:ascii="宋体" w:hAnsi="宋体"/>
          <w:bCs/>
          <w:color w:val="auto"/>
          <w:sz w:val="24"/>
          <w:szCs w:val="24"/>
          <w:highlight w:val="none"/>
        </w:rPr>
      </w:pPr>
    </w:p>
    <w:p w14:paraId="07427D6E">
      <w:pPr>
        <w:spacing w:line="520" w:lineRule="exact"/>
        <w:ind w:firstLine="555"/>
        <w:rPr>
          <w:rFonts w:ascii="宋体" w:hAnsi="宋体"/>
          <w:bCs/>
          <w:color w:val="auto"/>
          <w:sz w:val="24"/>
          <w:szCs w:val="24"/>
          <w:highlight w:val="none"/>
        </w:rPr>
      </w:pPr>
    </w:p>
    <w:p w14:paraId="2BA02A8B">
      <w:pPr>
        <w:spacing w:line="520" w:lineRule="exact"/>
        <w:ind w:firstLine="555"/>
        <w:rPr>
          <w:rFonts w:ascii="宋体" w:hAnsi="宋体"/>
          <w:bCs/>
          <w:color w:val="auto"/>
          <w:sz w:val="24"/>
          <w:szCs w:val="24"/>
          <w:highlight w:val="none"/>
        </w:rPr>
      </w:pPr>
    </w:p>
    <w:p w14:paraId="65E1A6D3">
      <w:pPr>
        <w:spacing w:line="520" w:lineRule="exact"/>
        <w:ind w:firstLine="555"/>
        <w:rPr>
          <w:rFonts w:ascii="宋体" w:hAnsi="宋体"/>
          <w:bCs/>
          <w:color w:val="auto"/>
          <w:sz w:val="24"/>
          <w:szCs w:val="24"/>
          <w:highlight w:val="none"/>
        </w:rPr>
      </w:pPr>
    </w:p>
    <w:p w14:paraId="12FB2524">
      <w:pPr>
        <w:spacing w:line="520" w:lineRule="exact"/>
        <w:ind w:firstLine="555"/>
        <w:rPr>
          <w:rFonts w:ascii="宋体" w:hAnsi="宋体"/>
          <w:bCs/>
          <w:color w:val="auto"/>
          <w:sz w:val="24"/>
          <w:szCs w:val="24"/>
          <w:highlight w:val="none"/>
        </w:rPr>
      </w:pPr>
    </w:p>
    <w:p w14:paraId="07A431B2">
      <w:pPr>
        <w:spacing w:line="520" w:lineRule="exact"/>
        <w:ind w:firstLine="555"/>
        <w:rPr>
          <w:rFonts w:ascii="黑体" w:hAnsi="Courier New" w:eastAsia="黑体" w:cs="Courier New"/>
          <w:bCs/>
          <w:color w:val="auto"/>
          <w:sz w:val="44"/>
          <w:szCs w:val="21"/>
          <w:highlight w:val="none"/>
        </w:rPr>
      </w:pPr>
    </w:p>
    <w:p w14:paraId="739CCFB4">
      <w:pPr>
        <w:snapToGrid w:val="0"/>
        <w:spacing w:before="120" w:after="120" w:line="0" w:lineRule="atLeast"/>
        <w:jc w:val="center"/>
        <w:rPr>
          <w:rFonts w:ascii="黑体" w:hAnsi="Courier New" w:eastAsia="黑体" w:cs="Courier New"/>
          <w:bCs/>
          <w:color w:val="auto"/>
          <w:sz w:val="44"/>
          <w:szCs w:val="21"/>
          <w:highlight w:val="none"/>
        </w:rPr>
      </w:pPr>
    </w:p>
    <w:p w14:paraId="3680B720">
      <w:pPr>
        <w:snapToGrid w:val="0"/>
        <w:spacing w:before="120" w:after="120" w:line="0" w:lineRule="atLeast"/>
        <w:jc w:val="center"/>
        <w:rPr>
          <w:rFonts w:ascii="黑体" w:hAnsi="Courier New" w:eastAsia="黑体" w:cs="Courier New"/>
          <w:bCs/>
          <w:color w:val="auto"/>
          <w:sz w:val="44"/>
          <w:szCs w:val="21"/>
          <w:highlight w:val="none"/>
        </w:rPr>
      </w:pPr>
    </w:p>
    <w:p w14:paraId="212DC671">
      <w:pPr>
        <w:snapToGrid w:val="0"/>
        <w:spacing w:before="120" w:after="120" w:line="0" w:lineRule="atLeast"/>
        <w:jc w:val="center"/>
        <w:rPr>
          <w:rFonts w:ascii="黑体" w:hAnsi="Courier New" w:eastAsia="黑体" w:cs="Courier New"/>
          <w:bCs/>
          <w:color w:val="auto"/>
          <w:sz w:val="44"/>
          <w:szCs w:val="21"/>
          <w:highlight w:val="none"/>
        </w:rPr>
      </w:pPr>
    </w:p>
    <w:p w14:paraId="48B3A0F0">
      <w:pPr>
        <w:snapToGrid w:val="0"/>
        <w:spacing w:before="120" w:after="120" w:line="0" w:lineRule="atLeast"/>
        <w:jc w:val="center"/>
        <w:rPr>
          <w:rFonts w:ascii="黑体" w:hAnsi="Courier New" w:eastAsia="黑体" w:cs="Courier New"/>
          <w:bCs/>
          <w:color w:val="auto"/>
          <w:sz w:val="44"/>
          <w:szCs w:val="21"/>
          <w:highlight w:val="none"/>
        </w:rPr>
      </w:pPr>
    </w:p>
    <w:p w14:paraId="7E1E53A0">
      <w:pPr>
        <w:snapToGrid w:val="0"/>
        <w:spacing w:line="560" w:lineRule="exact"/>
        <w:ind w:firstLine="880" w:firstLineChars="200"/>
        <w:jc w:val="center"/>
        <w:rPr>
          <w:rFonts w:ascii="黑体" w:hAnsi="Courier New" w:eastAsia="黑体" w:cs="Courier New"/>
          <w:bCs/>
          <w:color w:val="auto"/>
          <w:sz w:val="44"/>
          <w:szCs w:val="21"/>
          <w:highlight w:val="none"/>
        </w:rPr>
        <w:sectPr>
          <w:footerReference r:id="rId6" w:type="first"/>
          <w:headerReference r:id="rId3" w:type="default"/>
          <w:footerReference r:id="rId4" w:type="default"/>
          <w:footerReference r:id="rId5" w:type="even"/>
          <w:pgSz w:w="11906" w:h="16838"/>
          <w:pgMar w:top="1418" w:right="1588" w:bottom="1418" w:left="1365" w:header="851" w:footer="907" w:gutter="0"/>
          <w:pgNumType w:start="1" w:chapStyle="1"/>
          <w:cols w:space="720" w:num="1"/>
          <w:docGrid w:type="lines" w:linePitch="290" w:charSpace="0"/>
        </w:sectPr>
      </w:pPr>
    </w:p>
    <w:p w14:paraId="194A5509">
      <w:pPr>
        <w:keepNext/>
        <w:spacing w:line="560" w:lineRule="exact"/>
        <w:jc w:val="center"/>
        <w:outlineLvl w:val="0"/>
        <w:rPr>
          <w:rFonts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t>第</w:t>
      </w:r>
      <w:bookmarkEnd w:id="180"/>
      <w:r>
        <w:rPr>
          <w:rFonts w:hint="eastAsia" w:ascii="黑体" w:hAnsi="Courier New" w:eastAsia="黑体" w:cs="Courier New"/>
          <w:bCs/>
          <w:color w:val="auto"/>
          <w:sz w:val="44"/>
          <w:szCs w:val="21"/>
          <w:highlight w:val="none"/>
        </w:rPr>
        <w:t>三章 采购需求</w:t>
      </w:r>
      <w:bookmarkEnd w:id="181"/>
      <w:bookmarkEnd w:id="182"/>
      <w:bookmarkEnd w:id="183"/>
      <w:bookmarkStart w:id="186" w:name="_Toc49090575"/>
      <w:bookmarkStart w:id="187" w:name="_Toc26554093"/>
    </w:p>
    <w:p w14:paraId="6127E670">
      <w:pPr>
        <w:spacing w:line="560" w:lineRule="exact"/>
        <w:ind w:firstLine="480" w:firstLineChars="200"/>
        <w:rPr>
          <w:rFonts w:ascii="宋体" w:hAnsi="Courier New" w:cs="Courier New"/>
          <w:color w:val="auto"/>
          <w:sz w:val="24"/>
          <w:szCs w:val="24"/>
          <w:highlight w:val="none"/>
        </w:rPr>
      </w:pPr>
      <w:r>
        <w:rPr>
          <w:rFonts w:hint="eastAsia" w:ascii="宋体" w:hAnsi="Courier New" w:cs="Courier New"/>
          <w:color w:val="auto"/>
          <w:sz w:val="24"/>
          <w:szCs w:val="24"/>
          <w:highlight w:val="none"/>
        </w:rPr>
        <w:t>项目属性：服务类项目</w:t>
      </w:r>
    </w:p>
    <w:p w14:paraId="5E8059A9">
      <w:pPr>
        <w:spacing w:line="5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采购需求包括拟采购的标的及其需要满足的技术、商务要求。</w:t>
      </w:r>
    </w:p>
    <w:p w14:paraId="41A050C4">
      <w:pPr>
        <w:spacing w:line="5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（一）技术要求是指对采购标的功能和质量要求，包括性能、材料、结构、外观、安全，或者服务内容和标准等。</w:t>
      </w:r>
    </w:p>
    <w:p w14:paraId="2D9D8696">
      <w:pPr>
        <w:spacing w:line="56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（二）商务要求是指取得采购标的的时间、地点、财务和服务要求，包括交付（实施）的时间（期限）和地点（范围），付款条件（进度和方法），包装和运输，售后服务，保险等。</w:t>
      </w:r>
    </w:p>
    <w:p w14:paraId="553A362F">
      <w:pPr>
        <w:spacing w:line="560" w:lineRule="exact"/>
        <w:ind w:firstLine="480" w:firstLineChars="200"/>
        <w:rPr>
          <w:rFonts w:ascii="宋体" w:hAnsi="宋体"/>
          <w:color w:val="auto"/>
          <w:sz w:val="24"/>
          <w:szCs w:val="24"/>
          <w:highlight w:val="none"/>
        </w:rPr>
      </w:pPr>
      <w:r>
        <w:rPr>
          <w:rFonts w:hint="eastAsia" w:ascii="宋体" w:hAnsi="宋体"/>
          <w:bCs/>
          <w:color w:val="auto"/>
          <w:sz w:val="24"/>
          <w:szCs w:val="24"/>
          <w:highlight w:val="none"/>
        </w:rPr>
        <w:t>其内容包含</w:t>
      </w:r>
      <w:r>
        <w:rPr>
          <w:rFonts w:ascii="宋体" w:hAnsi="宋体"/>
          <w:bCs/>
          <w:color w:val="auto"/>
          <w:sz w:val="24"/>
          <w:szCs w:val="24"/>
          <w:highlight w:val="none"/>
        </w:rPr>
        <w:t>但不限于</w:t>
      </w:r>
      <w:r>
        <w:rPr>
          <w:rFonts w:hint="eastAsia" w:ascii="宋体" w:hAnsi="宋体"/>
          <w:bCs/>
          <w:color w:val="auto"/>
          <w:sz w:val="24"/>
          <w:szCs w:val="24"/>
          <w:highlight w:val="none"/>
        </w:rPr>
        <w:t>以下</w:t>
      </w:r>
      <w:r>
        <w:rPr>
          <w:rFonts w:ascii="宋体" w:hAnsi="宋体"/>
          <w:bCs/>
          <w:color w:val="auto"/>
          <w:sz w:val="24"/>
          <w:szCs w:val="24"/>
          <w:highlight w:val="none"/>
        </w:rPr>
        <w:t>内容：</w:t>
      </w:r>
    </w:p>
    <w:p w14:paraId="45FBA4CD">
      <w:pPr>
        <w:spacing w:line="560" w:lineRule="exact"/>
        <w:ind w:firstLine="482" w:firstLineChars="200"/>
        <w:rPr>
          <w:b/>
          <w:bCs/>
          <w:color w:val="auto"/>
          <w:sz w:val="24"/>
          <w:szCs w:val="24"/>
          <w:highlight w:val="none"/>
        </w:rPr>
      </w:pPr>
      <w:r>
        <w:rPr>
          <w:rFonts w:hint="eastAsia"/>
          <w:b/>
          <w:bCs/>
          <w:color w:val="auto"/>
          <w:sz w:val="24"/>
          <w:szCs w:val="24"/>
          <w:highlight w:val="none"/>
        </w:rPr>
        <w:t>1.采购标的需实现的功能或者目标，以及为落实政府采购政策需满足的要求：</w:t>
      </w:r>
    </w:p>
    <w:p w14:paraId="50CA0507">
      <w:pPr>
        <w:spacing w:line="560" w:lineRule="exact"/>
        <w:ind w:firstLine="480" w:firstLineChars="200"/>
        <w:rPr>
          <w:color w:val="auto"/>
          <w:sz w:val="24"/>
          <w:szCs w:val="24"/>
          <w:highlight w:val="none"/>
        </w:rPr>
      </w:pPr>
      <w:r>
        <w:rPr>
          <w:rFonts w:hint="eastAsia"/>
          <w:color w:val="auto"/>
          <w:sz w:val="24"/>
          <w:szCs w:val="24"/>
          <w:highlight w:val="none"/>
          <w:lang w:eastAsia="zh-CN"/>
        </w:rPr>
        <w:t>海安市市场监督管理局2026年食品抽检服务项目</w:t>
      </w:r>
      <w:r>
        <w:rPr>
          <w:rFonts w:hint="eastAsia"/>
          <w:color w:val="auto"/>
          <w:sz w:val="24"/>
          <w:szCs w:val="24"/>
          <w:highlight w:val="none"/>
        </w:rPr>
        <w:t>，通过定期抽检，可以及时发现食品中的安全隐患，防止问题食品流入市场，确保消费者能够享用到安全、放心的食品。增强消费者对食品安全的信心，促进食品产业的健康发展。</w:t>
      </w:r>
    </w:p>
    <w:p w14:paraId="6989414A">
      <w:pPr>
        <w:spacing w:line="560" w:lineRule="exact"/>
        <w:ind w:firstLine="482" w:firstLineChars="200"/>
        <w:rPr>
          <w:b/>
          <w:bCs/>
          <w:color w:val="auto"/>
          <w:sz w:val="24"/>
          <w:szCs w:val="24"/>
          <w:highlight w:val="none"/>
        </w:rPr>
      </w:pPr>
      <w:r>
        <w:rPr>
          <w:rFonts w:hint="eastAsia"/>
          <w:b/>
          <w:bCs/>
          <w:color w:val="auto"/>
          <w:sz w:val="24"/>
          <w:szCs w:val="24"/>
          <w:highlight w:val="none"/>
        </w:rPr>
        <w:t>2.采购标的需执行的国家相关标准、行业标准、地方标准或者其他标准、规范：</w:t>
      </w:r>
    </w:p>
    <w:p w14:paraId="591F32A6">
      <w:pPr>
        <w:spacing w:line="560" w:lineRule="exact"/>
        <w:ind w:firstLine="480" w:firstLineChars="200"/>
        <w:rPr>
          <w:rFonts w:hint="default" w:eastAsia="宋体"/>
          <w:color w:val="auto"/>
          <w:sz w:val="24"/>
          <w:szCs w:val="24"/>
          <w:highlight w:val="none"/>
          <w:lang w:val="en-US" w:eastAsia="zh-CN"/>
        </w:rPr>
      </w:pPr>
      <w:r>
        <w:rPr>
          <w:rFonts w:hint="eastAsia"/>
          <w:color w:val="auto"/>
          <w:sz w:val="24"/>
          <w:szCs w:val="24"/>
          <w:highlight w:val="none"/>
        </w:rPr>
        <w:t>本项目的食品安全抽检工作严格遵照《食品安全抽样检验管理办法》、市场监管总监制定的《食品安全抽样检验工作规范》（市监食检发[2023]76号）、《食品安全监督抽检实施细则》</w:t>
      </w:r>
      <w:r>
        <w:rPr>
          <w:rFonts w:hint="eastAsia"/>
          <w:color w:val="auto"/>
          <w:sz w:val="24"/>
          <w:szCs w:val="24"/>
          <w:highlight w:val="none"/>
          <w:lang w:val="en-US" w:eastAsia="zh-CN"/>
        </w:rPr>
        <w:t>最新</w:t>
      </w:r>
      <w:r>
        <w:rPr>
          <w:rFonts w:hint="eastAsia"/>
          <w:color w:val="auto"/>
          <w:sz w:val="24"/>
          <w:szCs w:val="24"/>
          <w:highlight w:val="none"/>
        </w:rPr>
        <w:t>版、市场监管总局《食用农产品抽样检验和核查处置规定》和江苏省、南通市、海安市市场监督管理局相关要求执行，并符合其他食品安全抽检工作的规定要求</w:t>
      </w:r>
      <w:r>
        <w:rPr>
          <w:rFonts w:hint="eastAsia"/>
          <w:color w:val="auto"/>
          <w:sz w:val="24"/>
          <w:szCs w:val="24"/>
          <w:highlight w:val="none"/>
          <w:lang w:eastAsia="zh-CN"/>
        </w:rPr>
        <w:t>。</w:t>
      </w:r>
      <w:r>
        <w:rPr>
          <w:rFonts w:hint="eastAsia"/>
          <w:color w:val="auto"/>
          <w:sz w:val="24"/>
          <w:szCs w:val="24"/>
          <w:highlight w:val="none"/>
          <w:lang w:val="en-US" w:eastAsia="zh-CN"/>
        </w:rPr>
        <w:t>如果在项目实施过程中有相关</w:t>
      </w:r>
      <w:r>
        <w:rPr>
          <w:rFonts w:hint="eastAsia" w:ascii="Times New Roman" w:eastAsia="宋体"/>
          <w:color w:val="auto"/>
          <w:sz w:val="24"/>
          <w:szCs w:val="24"/>
          <w:highlight w:val="none"/>
          <w:lang w:val="en-US" w:eastAsia="zh-CN"/>
        </w:rPr>
        <w:t>政策调整</w:t>
      </w:r>
      <w:r>
        <w:rPr>
          <w:rFonts w:hint="eastAsia"/>
          <w:color w:val="auto"/>
          <w:sz w:val="24"/>
          <w:szCs w:val="24"/>
          <w:highlight w:val="none"/>
          <w:lang w:val="en-US" w:eastAsia="zh-CN"/>
        </w:rPr>
        <w:t>或法律法规变更的，则以最新要求为准。</w:t>
      </w:r>
    </w:p>
    <w:p w14:paraId="5F99E769">
      <w:pPr>
        <w:numPr>
          <w:ilvl w:val="0"/>
          <w:numId w:val="5"/>
        </w:numPr>
        <w:tabs>
          <w:tab w:val="clear" w:pos="312"/>
        </w:tabs>
        <w:spacing w:line="560" w:lineRule="exact"/>
        <w:ind w:firstLine="482" w:firstLineChars="200"/>
        <w:rPr>
          <w:b/>
          <w:bCs/>
          <w:color w:val="auto"/>
          <w:sz w:val="24"/>
          <w:szCs w:val="24"/>
          <w:highlight w:val="none"/>
        </w:rPr>
      </w:pPr>
      <w:r>
        <w:rPr>
          <w:rFonts w:hint="eastAsia"/>
          <w:b/>
          <w:bCs/>
          <w:color w:val="auto"/>
          <w:sz w:val="24"/>
          <w:szCs w:val="24"/>
          <w:highlight w:val="none"/>
        </w:rPr>
        <w:t>采购标的需满足的质量、安全、技术规格、物理特性等要求：</w:t>
      </w:r>
    </w:p>
    <w:p w14:paraId="4AA001FA">
      <w:pPr>
        <w:tabs>
          <w:tab w:val="left" w:pos="312"/>
        </w:tabs>
        <w:spacing w:line="560" w:lineRule="exact"/>
        <w:ind w:left="483" w:leftChars="230" w:firstLine="480" w:firstLineChars="200"/>
        <w:rPr>
          <w:bCs/>
          <w:color w:val="auto"/>
          <w:sz w:val="24"/>
          <w:szCs w:val="24"/>
          <w:highlight w:val="none"/>
        </w:rPr>
      </w:pPr>
      <w:r>
        <w:rPr>
          <w:rFonts w:hint="eastAsia"/>
          <w:bCs/>
          <w:color w:val="auto"/>
          <w:sz w:val="24"/>
          <w:szCs w:val="24"/>
          <w:highlight w:val="none"/>
          <w:lang w:eastAsia="zh-CN"/>
        </w:rPr>
        <w:t>海安市市场监督管理局2026年食品抽检服务项目</w:t>
      </w:r>
      <w:r>
        <w:rPr>
          <w:rFonts w:hint="eastAsia"/>
          <w:bCs/>
          <w:color w:val="auto"/>
          <w:sz w:val="24"/>
          <w:szCs w:val="24"/>
          <w:highlight w:val="none"/>
        </w:rPr>
        <w:t>，共2645批次，分</w:t>
      </w:r>
      <w:r>
        <w:rPr>
          <w:rFonts w:hint="eastAsia"/>
          <w:bCs/>
          <w:color w:val="auto"/>
          <w:sz w:val="24"/>
          <w:szCs w:val="24"/>
          <w:highlight w:val="none"/>
          <w:lang w:val="en-US" w:eastAsia="zh-CN"/>
        </w:rPr>
        <w:t>3</w:t>
      </w:r>
      <w:r>
        <w:rPr>
          <w:rFonts w:hint="eastAsia"/>
          <w:bCs/>
          <w:color w:val="auto"/>
          <w:sz w:val="24"/>
          <w:szCs w:val="24"/>
          <w:highlight w:val="none"/>
        </w:rPr>
        <w:t>个采购包。</w:t>
      </w:r>
    </w:p>
    <w:p w14:paraId="37058839">
      <w:pPr>
        <w:tabs>
          <w:tab w:val="left" w:pos="312"/>
        </w:tabs>
        <w:spacing w:line="560" w:lineRule="exact"/>
        <w:ind w:left="483" w:leftChars="230" w:firstLine="480" w:firstLineChars="200"/>
        <w:rPr>
          <w:rFonts w:hint="eastAsia"/>
          <w:bCs/>
          <w:color w:val="auto"/>
          <w:sz w:val="24"/>
          <w:szCs w:val="24"/>
          <w:highlight w:val="none"/>
        </w:rPr>
      </w:pPr>
      <w:r>
        <w:rPr>
          <w:rFonts w:hint="eastAsia"/>
          <w:bCs/>
          <w:color w:val="auto"/>
          <w:sz w:val="24"/>
          <w:szCs w:val="24"/>
          <w:highlight w:val="none"/>
        </w:rPr>
        <w:t>采购包1最高限价为：43.80万元；流通环节食用农产品295批次+流通环节普通食品228批次（高新区其他商超：2026年9月1日后开始抽样）+餐饮环节100批次（网络餐饮：高新区）+2026机动批次273批次（高新区、雅周、李堡、滨海新区）。共896批次。</w:t>
      </w:r>
    </w:p>
    <w:p w14:paraId="533F0469">
      <w:pPr>
        <w:tabs>
          <w:tab w:val="left" w:pos="312"/>
        </w:tabs>
        <w:spacing w:line="560" w:lineRule="exact"/>
        <w:ind w:left="483" w:leftChars="230" w:firstLine="480" w:firstLineChars="200"/>
        <w:rPr>
          <w:rFonts w:hint="eastAsia"/>
          <w:bCs/>
          <w:color w:val="auto"/>
          <w:sz w:val="24"/>
          <w:szCs w:val="24"/>
          <w:highlight w:val="none"/>
        </w:rPr>
      </w:pPr>
      <w:r>
        <w:rPr>
          <w:rFonts w:hint="eastAsia"/>
          <w:bCs/>
          <w:color w:val="auto"/>
          <w:sz w:val="24"/>
          <w:szCs w:val="24"/>
          <w:highlight w:val="none"/>
        </w:rPr>
        <w:t>采购包2最高限价为：43.17万元；生产环节203批次+流通环节普通食品（开发区其他商超）340批次+餐饮环节50批次（网络餐饮：开发区）+2026机动90批次（开发区、大公）+2026—2027任务延续200批次。共883批次。</w:t>
      </w:r>
    </w:p>
    <w:p w14:paraId="0D693CD0">
      <w:pPr>
        <w:tabs>
          <w:tab w:val="left" w:pos="312"/>
        </w:tabs>
        <w:spacing w:line="560" w:lineRule="exact"/>
        <w:ind w:left="483" w:leftChars="230" w:firstLine="480" w:firstLineChars="200"/>
        <w:rPr>
          <w:rFonts w:hint="eastAsia"/>
          <w:bCs/>
          <w:color w:val="auto"/>
          <w:sz w:val="24"/>
          <w:szCs w:val="24"/>
          <w:highlight w:val="none"/>
        </w:rPr>
      </w:pPr>
      <w:r>
        <w:rPr>
          <w:rFonts w:hint="eastAsia"/>
          <w:bCs/>
          <w:color w:val="auto"/>
          <w:sz w:val="24"/>
          <w:szCs w:val="24"/>
          <w:highlight w:val="none"/>
        </w:rPr>
        <w:t>采购包3最高限价为：42.32818万元；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p>
    <w:p w14:paraId="78B65E2D">
      <w:pPr>
        <w:tabs>
          <w:tab w:val="left" w:pos="312"/>
        </w:tabs>
        <w:spacing w:line="560" w:lineRule="exact"/>
        <w:ind w:left="483" w:leftChars="230" w:firstLine="480" w:firstLineChars="200"/>
        <w:rPr>
          <w:rFonts w:hint="eastAsia"/>
          <w:bCs/>
          <w:color w:val="auto"/>
          <w:sz w:val="24"/>
          <w:szCs w:val="24"/>
          <w:highlight w:val="none"/>
        </w:rPr>
      </w:pPr>
      <w:r>
        <w:rPr>
          <w:rFonts w:hint="eastAsia"/>
          <w:bCs/>
          <w:color w:val="auto"/>
          <w:sz w:val="24"/>
          <w:szCs w:val="24"/>
          <w:highlight w:val="none"/>
        </w:rPr>
        <w:t>注：2026—2027任务延续400批次，为确保抽检工作在2026年12月至2027年4月30日期间均衡开展，并录入检验报告。</w:t>
      </w:r>
    </w:p>
    <w:p w14:paraId="7CDCAC4E">
      <w:pPr>
        <w:spacing w:line="560" w:lineRule="exact"/>
        <w:ind w:firstLine="480" w:firstLineChars="200"/>
        <w:rPr>
          <w:color w:val="auto"/>
          <w:sz w:val="24"/>
          <w:szCs w:val="24"/>
          <w:highlight w:val="none"/>
        </w:rPr>
      </w:pPr>
      <w:r>
        <w:rPr>
          <w:rFonts w:hint="eastAsia"/>
          <w:color w:val="auto"/>
          <w:sz w:val="24"/>
          <w:szCs w:val="24"/>
          <w:highlight w:val="none"/>
        </w:rPr>
        <w:t>（一）项目的技术要求：</w:t>
      </w:r>
    </w:p>
    <w:p w14:paraId="4F2B47EF">
      <w:pPr>
        <w:spacing w:line="560" w:lineRule="exact"/>
        <w:ind w:firstLine="480" w:firstLineChars="200"/>
        <w:rPr>
          <w:color w:val="auto"/>
          <w:sz w:val="24"/>
          <w:szCs w:val="24"/>
          <w:highlight w:val="none"/>
        </w:rPr>
      </w:pPr>
      <w:r>
        <w:rPr>
          <w:rFonts w:hint="eastAsia"/>
          <w:color w:val="auto"/>
          <w:sz w:val="24"/>
          <w:szCs w:val="24"/>
          <w:highlight w:val="none"/>
        </w:rPr>
        <w:t>（1）抽检品种和项目。</w:t>
      </w:r>
      <w:bookmarkStart w:id="188" w:name="OLE_LINK2"/>
      <w:r>
        <w:rPr>
          <w:rFonts w:hint="eastAsia"/>
          <w:color w:val="auto"/>
          <w:sz w:val="24"/>
          <w:szCs w:val="24"/>
          <w:highlight w:val="none"/>
        </w:rPr>
        <w:t>抽检项目必须满足以下条件：</w:t>
      </w:r>
    </w:p>
    <w:p w14:paraId="7F1F534F">
      <w:pPr>
        <w:spacing w:line="560" w:lineRule="exact"/>
        <w:ind w:firstLine="480" w:firstLineChars="200"/>
        <w:rPr>
          <w:rFonts w:hint="default" w:eastAsia="宋体"/>
          <w:color w:val="auto"/>
          <w:sz w:val="24"/>
          <w:szCs w:val="24"/>
          <w:highlight w:val="none"/>
          <w:lang w:val="en-US" w:eastAsia="zh-CN"/>
        </w:rPr>
      </w:pPr>
      <w:r>
        <w:rPr>
          <w:rFonts w:hint="eastAsia"/>
          <w:color w:val="auto"/>
          <w:sz w:val="24"/>
          <w:szCs w:val="24"/>
          <w:highlight w:val="none"/>
        </w:rPr>
        <w:t>1、生产环节抽检，除覆盖细则项目外，还需</w:t>
      </w:r>
      <w:r>
        <w:rPr>
          <w:rFonts w:hint="eastAsia"/>
          <w:color w:val="auto"/>
          <w:sz w:val="24"/>
          <w:szCs w:val="24"/>
          <w:highlight w:val="none"/>
          <w:lang w:val="en-US" w:eastAsia="zh-CN"/>
        </w:rPr>
        <w:t>对产品标签所列的执行标准涉及的项目全部检测。</w:t>
      </w:r>
    </w:p>
    <w:p w14:paraId="6F24DBD7">
      <w:pPr>
        <w:spacing w:line="560" w:lineRule="exact"/>
        <w:ind w:firstLine="480" w:firstLineChars="200"/>
        <w:rPr>
          <w:color w:val="auto"/>
          <w:sz w:val="24"/>
          <w:szCs w:val="24"/>
          <w:highlight w:val="none"/>
        </w:rPr>
      </w:pPr>
      <w:r>
        <w:rPr>
          <w:rFonts w:hint="eastAsia"/>
          <w:color w:val="auto"/>
          <w:sz w:val="24"/>
          <w:szCs w:val="24"/>
          <w:highlight w:val="none"/>
        </w:rPr>
        <w:t>2、</w:t>
      </w:r>
      <w:bookmarkEnd w:id="188"/>
      <w:r>
        <w:rPr>
          <w:rFonts w:hint="eastAsia"/>
          <w:color w:val="auto"/>
          <w:sz w:val="24"/>
          <w:szCs w:val="24"/>
          <w:highlight w:val="none"/>
        </w:rPr>
        <w:t>普通食品（指“细则”中第一类至第二十七类、第三十一类、第三十二类食品）抽检，检验结论为合格的，所检项目应覆盖细则中所列全部检验项目。抽检食品种类涵盖《国家食品安全监督抽检实施细则》最新版本中食品大类（婴幼儿配方食品、特殊医学用途配方食品除外），并参照细则规定的检验项目进行检验。</w:t>
      </w:r>
    </w:p>
    <w:p w14:paraId="373EDBEB">
      <w:pPr>
        <w:spacing w:line="560" w:lineRule="exact"/>
        <w:ind w:firstLine="480" w:firstLineChars="200"/>
        <w:rPr>
          <w:color w:val="auto"/>
          <w:sz w:val="24"/>
          <w:szCs w:val="24"/>
          <w:highlight w:val="none"/>
        </w:rPr>
      </w:pPr>
      <w:r>
        <w:rPr>
          <w:rFonts w:hint="eastAsia"/>
          <w:color w:val="auto"/>
          <w:sz w:val="24"/>
          <w:szCs w:val="24"/>
          <w:highlight w:val="none"/>
        </w:rPr>
        <w:t>3、细则中检验项目不超过8项的应当检验全部项目，细则中检验项目超过8项的，检验项目应当至少8项且不小于总项目的60%。</w:t>
      </w:r>
    </w:p>
    <w:p w14:paraId="3EE95977">
      <w:pPr>
        <w:spacing w:line="560" w:lineRule="exact"/>
        <w:ind w:firstLine="480" w:firstLineChars="200"/>
        <w:rPr>
          <w:color w:val="auto"/>
          <w:sz w:val="24"/>
          <w:szCs w:val="24"/>
          <w:highlight w:val="none"/>
        </w:rPr>
      </w:pPr>
      <w:r>
        <w:rPr>
          <w:rFonts w:hint="eastAsia"/>
          <w:color w:val="auto"/>
          <w:sz w:val="24"/>
          <w:szCs w:val="24"/>
          <w:highlight w:val="none"/>
        </w:rPr>
        <w:t>4、食用农产品抽检项目还须遵循市场监管总局制定的《省及省级以下食用农产品抽检必检品种、项目表》，自选项目符合省、市、县三级监管部门要求。</w:t>
      </w:r>
    </w:p>
    <w:p w14:paraId="67C1639C">
      <w:pPr>
        <w:spacing w:line="560" w:lineRule="exact"/>
        <w:ind w:firstLine="480" w:firstLineChars="200"/>
        <w:rPr>
          <w:color w:val="auto"/>
          <w:sz w:val="24"/>
          <w:szCs w:val="24"/>
          <w:highlight w:val="none"/>
        </w:rPr>
      </w:pPr>
      <w:r>
        <w:rPr>
          <w:rFonts w:hint="eastAsia"/>
          <w:color w:val="auto"/>
          <w:sz w:val="24"/>
          <w:szCs w:val="24"/>
          <w:highlight w:val="none"/>
        </w:rPr>
        <w:t>（2）抽检对象。生产环节应当对在产食品小作坊和食品生产企业开展全覆盖抽检。流通环节采样应涵盖农副产品批发市场、农贸市场、商场、超市、小食杂店、食品摊贩等不同业态。餐饮环节采样应当对在营学校和托幼机构食堂、养老机构食堂、集体用餐配送单位全覆盖抽检，重点抽检企事业单位食堂、建筑工地食堂、中央厨房、网红餐饮店、旅游景区餐饮服务单位等，注重对餐饮企业食品原材料、自制食品和餐饮具的抽检。</w:t>
      </w:r>
    </w:p>
    <w:p w14:paraId="0357C644">
      <w:pPr>
        <w:spacing w:line="560" w:lineRule="exact"/>
        <w:ind w:firstLine="480" w:firstLineChars="200"/>
        <w:rPr>
          <w:color w:val="auto"/>
          <w:sz w:val="24"/>
          <w:szCs w:val="24"/>
          <w:highlight w:val="none"/>
        </w:rPr>
      </w:pPr>
      <w:r>
        <w:rPr>
          <w:rFonts w:hint="eastAsia"/>
          <w:color w:val="auto"/>
          <w:sz w:val="24"/>
          <w:szCs w:val="24"/>
          <w:highlight w:val="none"/>
        </w:rPr>
        <w:t>全市生产环节主要针对海安市食品生产企业和食品小作坊。因为生产单位长期停产、成品库内成品达不到抽样基数的等原因，确实无法实施抽样，承检机构需将未抽样确认单经辖区监管部门签字盖章确认后交采购方。</w:t>
      </w:r>
      <w:r>
        <w:rPr>
          <w:rFonts w:hint="eastAsia" w:ascii="Times New Roman" w:eastAsia="宋体"/>
          <w:color w:val="auto"/>
          <w:sz w:val="24"/>
          <w:szCs w:val="24"/>
          <w:highlight w:val="none"/>
          <w:lang w:val="en-US" w:eastAsia="zh-CN"/>
        </w:rPr>
        <w:t>对产品标签是否符合GB7718、GB28050等规定进行判定</w:t>
      </w:r>
      <w:r>
        <w:rPr>
          <w:rFonts w:hint="eastAsia"/>
          <w:color w:val="auto"/>
          <w:sz w:val="24"/>
          <w:szCs w:val="24"/>
          <w:highlight w:val="none"/>
          <w:lang w:val="en-US" w:eastAsia="zh-CN"/>
        </w:rPr>
        <w:t>，</w:t>
      </w:r>
      <w:r>
        <w:rPr>
          <w:rFonts w:hint="eastAsia"/>
          <w:color w:val="auto"/>
          <w:sz w:val="24"/>
          <w:szCs w:val="24"/>
          <w:highlight w:val="none"/>
        </w:rPr>
        <w:t>并对该样品根据GB 7718-2025，GB 28050 -2025，市场监督管理总局100号令，出具标签调整建议。</w:t>
      </w:r>
    </w:p>
    <w:p w14:paraId="3935461C">
      <w:pPr>
        <w:numPr>
          <w:ilvl w:val="0"/>
          <w:numId w:val="0"/>
        </w:numPr>
        <w:spacing w:line="560" w:lineRule="exact"/>
        <w:ind w:firstLine="480" w:firstLineChars="200"/>
        <w:rPr>
          <w:rFonts w:hint="eastAsia" w:ascii="宋体" w:hAnsi="宋体"/>
          <w:color w:val="auto"/>
          <w:sz w:val="24"/>
          <w:szCs w:val="24"/>
          <w:highlight w:val="none"/>
        </w:rPr>
      </w:pPr>
      <w:r>
        <w:rPr>
          <w:rFonts w:hint="eastAsia" w:ascii="宋体" w:hAnsi="宋体" w:eastAsia="宋体" w:cs="Times New Roman"/>
          <w:color w:val="auto"/>
          <w:kern w:val="2"/>
          <w:sz w:val="24"/>
          <w:szCs w:val="24"/>
          <w:highlight w:val="none"/>
          <w:lang w:val="en-US" w:eastAsia="zh-CN" w:bidi="ar-SA"/>
        </w:rPr>
        <w:t>（3）</w:t>
      </w:r>
      <w:r>
        <w:rPr>
          <w:rFonts w:hint="eastAsia" w:ascii="宋体" w:hAnsi="宋体"/>
          <w:color w:val="auto"/>
          <w:sz w:val="24"/>
          <w:szCs w:val="24"/>
          <w:highlight w:val="none"/>
        </w:rPr>
        <w:t>原则上应当逐月推进抽检工作、全年均衡开展抽检任务。</w:t>
      </w:r>
      <w:r>
        <w:rPr>
          <w:rFonts w:hint="eastAsia" w:ascii="宋体" w:hAnsi="宋体"/>
          <w:color w:val="auto"/>
          <w:sz w:val="24"/>
          <w:szCs w:val="24"/>
          <w:highlight w:val="none"/>
          <w:lang w:val="en-US" w:eastAsia="zh-CN"/>
        </w:rPr>
        <w:t>除</w:t>
      </w:r>
      <w:r>
        <w:rPr>
          <w:rFonts w:hint="eastAsia" w:ascii="宋体" w:hAnsi="宋体"/>
          <w:color w:val="auto"/>
          <w:sz w:val="24"/>
          <w:szCs w:val="24"/>
          <w:highlight w:val="none"/>
        </w:rPr>
        <w:t>2026—2027任务延续</w:t>
      </w:r>
      <w:r>
        <w:rPr>
          <w:rFonts w:hint="eastAsia" w:ascii="宋体" w:hAnsi="宋体"/>
          <w:color w:val="auto"/>
          <w:sz w:val="24"/>
          <w:szCs w:val="24"/>
          <w:highlight w:val="none"/>
          <w:lang w:val="en-US" w:eastAsia="zh-CN"/>
        </w:rPr>
        <w:t>400</w:t>
      </w:r>
      <w:r>
        <w:rPr>
          <w:rFonts w:hint="eastAsia" w:ascii="宋体" w:hAnsi="宋体"/>
          <w:color w:val="auto"/>
          <w:sz w:val="24"/>
          <w:szCs w:val="24"/>
          <w:highlight w:val="none"/>
        </w:rPr>
        <w:t>批次</w:t>
      </w:r>
      <w:r>
        <w:rPr>
          <w:rFonts w:hint="eastAsia" w:ascii="宋体" w:hAnsi="宋体"/>
          <w:color w:val="auto"/>
          <w:sz w:val="24"/>
          <w:szCs w:val="24"/>
          <w:highlight w:val="none"/>
          <w:lang w:val="en-US" w:eastAsia="zh-CN"/>
        </w:rPr>
        <w:t>外，</w:t>
      </w:r>
      <w:r>
        <w:rPr>
          <w:rFonts w:hint="eastAsia" w:ascii="宋体" w:hAnsi="宋体"/>
          <w:color w:val="auto"/>
          <w:sz w:val="24"/>
          <w:szCs w:val="24"/>
          <w:highlight w:val="none"/>
        </w:rPr>
        <w:t>采购包1、采购包2、采购包3</w:t>
      </w:r>
      <w:r>
        <w:rPr>
          <w:rFonts w:hint="eastAsia" w:ascii="宋体" w:hAnsi="宋体"/>
          <w:color w:val="auto"/>
          <w:sz w:val="24"/>
          <w:szCs w:val="24"/>
          <w:highlight w:val="none"/>
          <w:lang w:val="en-US" w:eastAsia="zh-CN"/>
        </w:rPr>
        <w:t>内其他任务</w:t>
      </w:r>
      <w:r>
        <w:rPr>
          <w:rFonts w:hint="eastAsia" w:ascii="宋体" w:hAnsi="宋体"/>
          <w:color w:val="auto"/>
          <w:sz w:val="24"/>
          <w:szCs w:val="24"/>
          <w:highlight w:val="none"/>
        </w:rPr>
        <w:t>需于202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日前完成抽检任务的100%，不得突击式大批量集中抽检。抽检进度纳入考核范畴，与服务费用结算相挂钩。</w:t>
      </w:r>
    </w:p>
    <w:p w14:paraId="2FE99815">
      <w:pPr>
        <w:numPr>
          <w:ilvl w:val="0"/>
          <w:numId w:val="0"/>
        </w:num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预留专项(机动)抽检30批次*12=360批次，按月安排。当月未安排的转入次月，次月未安排的纳入一般计划。</w:t>
      </w:r>
    </w:p>
    <w:p w14:paraId="38B3FBDA">
      <w:pPr>
        <w:numPr>
          <w:ilvl w:val="0"/>
          <w:numId w:val="0"/>
        </w:numPr>
        <w:spacing w:line="560" w:lineRule="exact"/>
        <w:ind w:firstLine="480" w:firstLineChars="200"/>
        <w:rPr>
          <w:rFonts w:hint="eastAsia" w:eastAsia="宋体"/>
          <w:color w:val="auto"/>
          <w:szCs w:val="24"/>
          <w:highlight w:val="none"/>
          <w:lang w:eastAsia="zh-CN"/>
        </w:rPr>
      </w:pPr>
      <w:r>
        <w:rPr>
          <w:rFonts w:hint="eastAsia" w:ascii="宋体" w:hAnsi="宋体"/>
          <w:color w:val="auto"/>
          <w:sz w:val="24"/>
          <w:szCs w:val="24"/>
          <w:highlight w:val="none"/>
        </w:rPr>
        <w:t>检测数据在202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年12月10日前全部录入国抽系统，并于202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年12月</w:t>
      </w:r>
      <w:r>
        <w:rPr>
          <w:rFonts w:hint="eastAsia" w:ascii="宋体" w:hAnsi="宋体"/>
          <w:color w:val="auto"/>
          <w:sz w:val="24"/>
          <w:szCs w:val="24"/>
          <w:highlight w:val="none"/>
          <w:lang w:val="en-US" w:eastAsia="zh-CN"/>
        </w:rPr>
        <w:t>20</w:t>
      </w:r>
      <w:r>
        <w:rPr>
          <w:rFonts w:hint="eastAsia" w:ascii="宋体" w:hAnsi="宋体"/>
          <w:color w:val="auto"/>
          <w:sz w:val="24"/>
          <w:szCs w:val="24"/>
          <w:highlight w:val="none"/>
        </w:rPr>
        <w:t>日前向采购方提交数据分析报告。其中采购包2、包3中2026—2027任务延续400批次根据采购人需求开展，在2026年10月至2027年4月期间均衡推进。 检测数据在2027年4月30日前全部录入国抽系统，并提交检测报告</w:t>
      </w:r>
      <w:r>
        <w:rPr>
          <w:rFonts w:hint="eastAsia" w:ascii="宋体" w:hAnsi="宋体"/>
          <w:color w:val="auto"/>
          <w:sz w:val="24"/>
          <w:szCs w:val="24"/>
          <w:highlight w:val="none"/>
          <w:lang w:eastAsia="zh-CN"/>
        </w:rPr>
        <w:t>。</w:t>
      </w:r>
    </w:p>
    <w:p w14:paraId="455905B7">
      <w:pPr>
        <w:spacing w:line="560" w:lineRule="exact"/>
        <w:ind w:firstLine="480" w:firstLineChars="200"/>
        <w:rPr>
          <w:bCs/>
          <w:color w:val="auto"/>
          <w:sz w:val="24"/>
          <w:szCs w:val="24"/>
          <w:highlight w:val="none"/>
        </w:rPr>
      </w:pPr>
      <w:r>
        <w:rPr>
          <w:rFonts w:hint="eastAsia"/>
          <w:bCs/>
          <w:color w:val="auto"/>
          <w:sz w:val="24"/>
          <w:szCs w:val="24"/>
          <w:highlight w:val="none"/>
        </w:rPr>
        <w:t>实际进驻单位时间以采购人发出的书面通知为准。如果成交供应商没有达到合同所要求履行条件之一的，则采购人有权在委托期限内随时终止合同。</w:t>
      </w:r>
    </w:p>
    <w:p w14:paraId="38BC1229">
      <w:pPr>
        <w:spacing w:line="560" w:lineRule="exact"/>
        <w:ind w:firstLine="480" w:firstLineChars="200"/>
        <w:rPr>
          <w:color w:val="auto"/>
          <w:sz w:val="24"/>
          <w:szCs w:val="24"/>
          <w:highlight w:val="none"/>
        </w:rPr>
      </w:pPr>
      <w:r>
        <w:rPr>
          <w:rFonts w:hint="eastAsia"/>
          <w:color w:val="auto"/>
          <w:sz w:val="24"/>
          <w:szCs w:val="24"/>
          <w:highlight w:val="none"/>
        </w:rPr>
        <w:t>（4）中标供应商要高度重视抽检工作质量，明确责任分工，落实专人负责抽样检测工作。提高抽检数据质量，数据质量考核结果与服务费用结算挂钩。</w:t>
      </w:r>
    </w:p>
    <w:p w14:paraId="2DAA1768">
      <w:pPr>
        <w:spacing w:line="560" w:lineRule="exact"/>
        <w:ind w:firstLine="480" w:firstLineChars="200"/>
        <w:rPr>
          <w:bCs/>
          <w:color w:val="auto"/>
          <w:sz w:val="24"/>
          <w:szCs w:val="24"/>
          <w:highlight w:val="none"/>
        </w:rPr>
      </w:pPr>
      <w:r>
        <w:rPr>
          <w:rFonts w:hint="eastAsia"/>
          <w:color w:val="auto"/>
          <w:sz w:val="24"/>
          <w:szCs w:val="24"/>
          <w:highlight w:val="none"/>
        </w:rPr>
        <w:t>（5）中标供应商抽检工作要坚持问题导向，聚焦高风险食品抽检。结合日常监督检查、举报投诉热点、相关部门通报的抽检不合格品种等因素明确高风险食品种类，并加大对其抽检力度，及时反应本地区高风险食品质量安全水平，</w:t>
      </w:r>
      <w:r>
        <w:rPr>
          <w:rFonts w:hint="eastAsia"/>
          <w:bCs/>
          <w:color w:val="auto"/>
          <w:sz w:val="24"/>
          <w:szCs w:val="24"/>
          <w:highlight w:val="none"/>
        </w:rPr>
        <w:t>食品（含食用农产品）不合格率纳入考核范畴，与服务费用结算挂钩。</w:t>
      </w:r>
    </w:p>
    <w:p w14:paraId="6A7C5AE5">
      <w:pPr>
        <w:spacing w:line="560" w:lineRule="exact"/>
        <w:ind w:firstLine="480" w:firstLineChars="200"/>
        <w:rPr>
          <w:color w:val="auto"/>
          <w:sz w:val="24"/>
          <w:szCs w:val="24"/>
          <w:highlight w:val="none"/>
        </w:rPr>
      </w:pPr>
      <w:r>
        <w:rPr>
          <w:rFonts w:hint="eastAsia"/>
          <w:color w:val="auto"/>
          <w:sz w:val="24"/>
          <w:szCs w:val="24"/>
          <w:highlight w:val="none"/>
        </w:rPr>
        <w:t>（6）中标供应商严格按照《食品安全监督抽检实施细则》</w:t>
      </w:r>
      <w:r>
        <w:rPr>
          <w:rFonts w:hint="eastAsia"/>
          <w:color w:val="auto"/>
          <w:sz w:val="24"/>
          <w:szCs w:val="24"/>
          <w:highlight w:val="none"/>
          <w:lang w:val="en-US" w:eastAsia="zh-CN"/>
        </w:rPr>
        <w:t>最新</w:t>
      </w:r>
      <w:r>
        <w:rPr>
          <w:rFonts w:hint="eastAsia"/>
          <w:color w:val="auto"/>
          <w:sz w:val="24"/>
          <w:szCs w:val="24"/>
          <w:highlight w:val="none"/>
        </w:rPr>
        <w:t>版规定的检验方法进行检验，不得擅自变更检验方法，不得擅自修改判定原则，承检机构对其出具的检验报告的真实性和准确性负责。发现存在上述问题或者弄虚作假、擅自修改检验数据等情形的，终止合同，取消承检机构的食品抽检任务资格，并对所造成的损失和不良影响承担法律责任。</w:t>
      </w:r>
    </w:p>
    <w:p w14:paraId="43FE3AB0">
      <w:pPr>
        <w:spacing w:line="560" w:lineRule="exact"/>
        <w:ind w:firstLine="480" w:firstLineChars="200"/>
        <w:rPr>
          <w:color w:val="auto"/>
          <w:sz w:val="24"/>
          <w:szCs w:val="24"/>
          <w:highlight w:val="none"/>
        </w:rPr>
      </w:pPr>
      <w:r>
        <w:rPr>
          <w:rFonts w:hint="eastAsia"/>
          <w:color w:val="auto"/>
          <w:sz w:val="24"/>
          <w:szCs w:val="24"/>
          <w:highlight w:val="none"/>
        </w:rPr>
        <w:t>在项目采购或实施过程中，一律采用产品标签明示的有效国家标准、地方标准、行业标准、团体标准、企业标准作为对该企业食品抽检的判定依据，涉及安全性指标项目不得低于国家强制性指标的要求。</w:t>
      </w:r>
    </w:p>
    <w:p w14:paraId="4F1823C0">
      <w:pPr>
        <w:spacing w:line="560" w:lineRule="exact"/>
        <w:ind w:firstLine="480" w:firstLineChars="200"/>
        <w:rPr>
          <w:color w:val="auto"/>
          <w:sz w:val="24"/>
          <w:szCs w:val="24"/>
          <w:highlight w:val="none"/>
        </w:rPr>
      </w:pPr>
      <w:r>
        <w:rPr>
          <w:rFonts w:hint="eastAsia"/>
          <w:color w:val="auto"/>
          <w:sz w:val="24"/>
          <w:szCs w:val="24"/>
          <w:highlight w:val="none"/>
        </w:rPr>
        <w:t>（7）样品抽样和运输：中标供应商应严格按照《食品安全抽样检验工作规范》规定进行抽样、运输和保存样品，保存从抽样</w:t>
      </w:r>
      <w:r>
        <w:rPr>
          <w:rFonts w:hint="eastAsia"/>
          <w:color w:val="auto"/>
          <w:sz w:val="24"/>
          <w:szCs w:val="24"/>
          <w:highlight w:val="none"/>
          <w:lang w:val="en-US" w:eastAsia="zh-CN"/>
        </w:rPr>
        <w:t>到出具检验报告的过程音像视频记录。</w:t>
      </w:r>
      <w:r>
        <w:rPr>
          <w:rFonts w:hint="eastAsia"/>
          <w:color w:val="auto"/>
          <w:sz w:val="24"/>
          <w:szCs w:val="24"/>
          <w:highlight w:val="none"/>
        </w:rPr>
        <w:t>中标人应当确保样品贮存、运输过程符合国家相关规定和包装标示的要求，不发生影响检验结论的变化。对于冷藏、冷冻或有其他特殊贮运条件等要求的样品，应当自行运输，全程跟踪记录温度变化情况，不得寄送或委托第三方运输。保存运输过程音像视频记录，确保运输条件可全程追溯。其中，从抽样到接样时间段音像视频记录保存期限自抽样之日起不得少于6个月。</w:t>
      </w:r>
      <w:bookmarkStart w:id="189" w:name="OLE_LINK1"/>
      <w:r>
        <w:rPr>
          <w:rFonts w:hint="eastAsia"/>
          <w:color w:val="auto"/>
          <w:sz w:val="24"/>
          <w:szCs w:val="24"/>
          <w:highlight w:val="none"/>
        </w:rPr>
        <w:t>食品安全监督抽检的检验结论合格的，成交供应商应当自检验结论作出之日起3个月内妥善保存复检备份样品。复检备份样品剩余保质期不足3个月的，应当保存至保质期结束。检验结论不合格的，成交供应商应当自检验结论作出之日起6个月内妥善保存复检备份样品。复检备份样品剩余质保期不足6个月的，应当保存至质保期结束。以上音像视频记录执行情况纳入考核范畴，与服务费用结算相挂钩。</w:t>
      </w:r>
      <w:bookmarkEnd w:id="189"/>
    </w:p>
    <w:p w14:paraId="156E32BE">
      <w:pPr>
        <w:spacing w:line="560" w:lineRule="exact"/>
        <w:ind w:firstLine="480" w:firstLineChars="200"/>
        <w:rPr>
          <w:rFonts w:hint="eastAsia"/>
          <w:color w:val="auto"/>
          <w:sz w:val="24"/>
          <w:szCs w:val="24"/>
          <w:highlight w:val="none"/>
        </w:rPr>
      </w:pPr>
      <w:r>
        <w:rPr>
          <w:rFonts w:hint="eastAsia"/>
          <w:color w:val="auto"/>
          <w:sz w:val="24"/>
          <w:szCs w:val="24"/>
          <w:highlight w:val="none"/>
        </w:rPr>
        <w:t>针对食品抽样过程中对有特殊保存要求的样品管理，成交供应商应具备相应的</w:t>
      </w:r>
      <w:r>
        <w:rPr>
          <w:rFonts w:hint="eastAsia"/>
          <w:color w:val="auto"/>
          <w:sz w:val="24"/>
          <w:szCs w:val="24"/>
          <w:highlight w:val="none"/>
          <w:lang w:val="en-US" w:eastAsia="zh-CN"/>
        </w:rPr>
        <w:t>冷冻</w:t>
      </w:r>
      <w:r>
        <w:rPr>
          <w:rFonts w:hint="eastAsia"/>
          <w:color w:val="auto"/>
          <w:sz w:val="24"/>
          <w:szCs w:val="24"/>
          <w:highlight w:val="none"/>
        </w:rPr>
        <w:t>及冷藏运输条件。</w:t>
      </w:r>
    </w:p>
    <w:p w14:paraId="1281617C">
      <w:pPr>
        <w:pStyle w:val="21"/>
        <w:ind w:left="0" w:leftChars="0" w:firstLine="480" w:firstLineChars="200"/>
        <w:rPr>
          <w:rFonts w:hint="default" w:eastAsia="宋体"/>
          <w:color w:val="auto"/>
          <w:highlight w:val="none"/>
          <w:lang w:val="en-US" w:eastAsia="zh-CN"/>
        </w:rPr>
      </w:pPr>
      <w:r>
        <w:rPr>
          <w:rFonts w:hint="eastAsia"/>
          <w:color w:val="auto"/>
          <w:sz w:val="24"/>
          <w:szCs w:val="24"/>
          <w:highlight w:val="none"/>
          <w:lang w:eastAsia="zh-CN"/>
        </w:rPr>
        <w:t>（</w:t>
      </w:r>
      <w:r>
        <w:rPr>
          <w:rFonts w:hint="eastAsia"/>
          <w:color w:val="auto"/>
          <w:sz w:val="24"/>
          <w:szCs w:val="24"/>
          <w:highlight w:val="none"/>
          <w:lang w:val="en-US" w:eastAsia="zh-CN"/>
        </w:rPr>
        <w:t>8</w:t>
      </w:r>
      <w:r>
        <w:rPr>
          <w:rFonts w:hint="eastAsia"/>
          <w:color w:val="auto"/>
          <w:sz w:val="24"/>
          <w:szCs w:val="24"/>
          <w:highlight w:val="none"/>
          <w:lang w:eastAsia="zh-CN"/>
        </w:rPr>
        <w:t>）</w:t>
      </w:r>
      <w:r>
        <w:rPr>
          <w:rFonts w:hint="eastAsia"/>
          <w:color w:val="auto"/>
          <w:sz w:val="24"/>
          <w:szCs w:val="24"/>
          <w:highlight w:val="none"/>
          <w:lang w:val="en-US" w:eastAsia="zh-CN"/>
        </w:rPr>
        <w:t>实施网络抽样的，需对抽样到封样过程进行全程视频记录，对样品的真实性提供佐证材料。</w:t>
      </w:r>
    </w:p>
    <w:p w14:paraId="03715C89">
      <w:pPr>
        <w:spacing w:line="560" w:lineRule="exact"/>
        <w:ind w:firstLine="480" w:firstLineChars="200"/>
        <w:rPr>
          <w:color w:val="auto"/>
          <w:sz w:val="24"/>
          <w:szCs w:val="24"/>
          <w:highlight w:val="none"/>
        </w:rPr>
      </w:pPr>
      <w:r>
        <w:rPr>
          <w:rFonts w:hint="eastAsia"/>
          <w:color w:val="auto"/>
          <w:sz w:val="24"/>
          <w:szCs w:val="24"/>
          <w:highlight w:val="none"/>
        </w:rPr>
        <w:t>（9）中标供应商保证原始记录规范完整，并接受采购人组织的专家考核及评估。</w:t>
      </w:r>
    </w:p>
    <w:p w14:paraId="2C3EF367">
      <w:pPr>
        <w:spacing w:line="560" w:lineRule="exact"/>
        <w:ind w:firstLine="480" w:firstLineChars="200"/>
        <w:rPr>
          <w:color w:val="auto"/>
          <w:sz w:val="24"/>
          <w:szCs w:val="24"/>
          <w:highlight w:val="none"/>
        </w:rPr>
      </w:pPr>
      <w:r>
        <w:rPr>
          <w:rFonts w:hint="eastAsia"/>
          <w:color w:val="auto"/>
          <w:sz w:val="24"/>
          <w:szCs w:val="24"/>
          <w:highlight w:val="none"/>
        </w:rPr>
        <w:t>（10）在本项目服务期内，采购人可根据市场实际需求，调整抽检计划，开展机动抽检、专项抽检（含你点我抽他检）、应急抽检等。</w:t>
      </w:r>
      <w:r>
        <w:rPr>
          <w:rFonts w:hint="eastAsia" w:ascii="Times New Roman" w:eastAsia="宋体"/>
          <w:color w:val="auto"/>
          <w:sz w:val="24"/>
          <w:szCs w:val="24"/>
          <w:highlight w:val="none"/>
          <w:lang w:val="en-US" w:eastAsia="zh-CN"/>
        </w:rPr>
        <w:t>成交单位根据采购人需求在抽样前制定抽检计划，经采购人确认后方可开展工作。</w:t>
      </w:r>
    </w:p>
    <w:p w14:paraId="34C83A5D">
      <w:pPr>
        <w:spacing w:line="560" w:lineRule="exact"/>
        <w:ind w:firstLine="480" w:firstLineChars="200"/>
        <w:rPr>
          <w:rFonts w:hint="eastAsia"/>
          <w:color w:val="auto"/>
          <w:sz w:val="24"/>
          <w:szCs w:val="24"/>
          <w:highlight w:val="none"/>
        </w:rPr>
      </w:pPr>
      <w:r>
        <w:rPr>
          <w:rFonts w:hint="eastAsia"/>
          <w:color w:val="auto"/>
          <w:sz w:val="24"/>
          <w:szCs w:val="24"/>
          <w:highlight w:val="none"/>
        </w:rPr>
        <w:t>（11）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14:paraId="4DF084E2">
      <w:pPr>
        <w:spacing w:line="560" w:lineRule="exact"/>
        <w:ind w:firstLine="480" w:firstLineChars="200"/>
        <w:rPr>
          <w:color w:val="auto"/>
          <w:sz w:val="24"/>
          <w:szCs w:val="24"/>
          <w:highlight w:val="none"/>
        </w:rPr>
      </w:pPr>
      <w:r>
        <w:rPr>
          <w:rFonts w:hint="eastAsia"/>
          <w:color w:val="auto"/>
          <w:sz w:val="24"/>
          <w:szCs w:val="24"/>
          <w:highlight w:val="none"/>
        </w:rPr>
        <w:t>（二）工作要求：</w:t>
      </w:r>
    </w:p>
    <w:p w14:paraId="0967F2FA">
      <w:pPr>
        <w:spacing w:line="560" w:lineRule="exact"/>
        <w:ind w:firstLine="480" w:firstLineChars="200"/>
        <w:rPr>
          <w:color w:val="auto"/>
          <w:sz w:val="24"/>
          <w:szCs w:val="24"/>
          <w:highlight w:val="none"/>
        </w:rPr>
      </w:pPr>
      <w:r>
        <w:rPr>
          <w:rFonts w:hint="eastAsia"/>
          <w:color w:val="auto"/>
          <w:sz w:val="24"/>
          <w:szCs w:val="24"/>
          <w:highlight w:val="none"/>
        </w:rPr>
        <w:t>（1）中标供应商应当具有与抽样工作相匹配的专职抽样人员、抽样工具、抽样设备等，积极配合抽检工作。应按照品种特点制定抽样计划，每次抽检安排2名以上工作人员现场抽样，承诺配备能同时出动2组（每组不少于2人）或以上专业抽样人员，单日能安排配套的抽样车辆不少于2辆，每人出动采样时需配备采样记录仪2部，并配有满足抽样需求的车载冷冻冷藏设施设备，确保监督抽检工作的序时进度。</w:t>
      </w:r>
    </w:p>
    <w:p w14:paraId="4EFAB71A">
      <w:pPr>
        <w:spacing w:line="560" w:lineRule="exact"/>
        <w:ind w:firstLine="480" w:firstLineChars="200"/>
        <w:rPr>
          <w:color w:val="auto"/>
          <w:sz w:val="24"/>
          <w:szCs w:val="24"/>
          <w:highlight w:val="none"/>
        </w:rPr>
      </w:pPr>
      <w:r>
        <w:rPr>
          <w:rFonts w:hint="eastAsia"/>
          <w:color w:val="auto"/>
          <w:sz w:val="24"/>
          <w:szCs w:val="24"/>
          <w:highlight w:val="none"/>
        </w:rPr>
        <w:t>（2）中标供应商应根据检验项目及监督抽检细则中规定的采样方法及采样数量抽取样品，严格执行采样操作规范，规范实验室质量控制，备存原始记录待查。对样品抽样送检时间有规定的从其规定。农产品抽样时要严格遵循市场监管总局《食用农产品抽样检验和核查处置规定》，易腐烂变质的蔬菜、水果等食用农产品样品,需进行均质备份样品的,应当在现场抽样时主动向食用农产品销售者告知确认,并采取拍照或摄像等方式对样品均质备份进行记录。</w:t>
      </w:r>
    </w:p>
    <w:p w14:paraId="37B53465">
      <w:pPr>
        <w:spacing w:line="560" w:lineRule="exact"/>
        <w:ind w:firstLine="480" w:firstLineChars="200"/>
        <w:rPr>
          <w:color w:val="auto"/>
          <w:sz w:val="24"/>
          <w:szCs w:val="24"/>
          <w:highlight w:val="none"/>
        </w:rPr>
      </w:pPr>
      <w:r>
        <w:rPr>
          <w:rFonts w:hint="eastAsia"/>
          <w:color w:val="auto"/>
          <w:sz w:val="24"/>
          <w:szCs w:val="24"/>
          <w:highlight w:val="none"/>
        </w:rPr>
        <w:t>（3）中标供应商对抽检程序及检验结果的规范性、真实性负责，由于抽检程序操作违法违规或虚假、错误检验数据和结论而给被检人造成损失的，或者给社会带来不良影响的，取消其承检资格，并承担赔偿责任及相应法律责任。</w:t>
      </w:r>
    </w:p>
    <w:p w14:paraId="5BF93237">
      <w:pPr>
        <w:spacing w:line="560" w:lineRule="exact"/>
        <w:ind w:firstLine="480" w:firstLineChars="200"/>
        <w:rPr>
          <w:color w:val="auto"/>
          <w:sz w:val="24"/>
          <w:szCs w:val="24"/>
          <w:highlight w:val="none"/>
        </w:rPr>
      </w:pPr>
      <w:r>
        <w:rPr>
          <w:rFonts w:hint="eastAsia"/>
          <w:color w:val="auto"/>
          <w:sz w:val="24"/>
          <w:szCs w:val="24"/>
          <w:highlight w:val="none"/>
        </w:rPr>
        <w:t>（4）中标供应商必须自觉接受采购方的考核、检查、验收、比对。</w:t>
      </w:r>
    </w:p>
    <w:p w14:paraId="1BA4E2C6">
      <w:pPr>
        <w:spacing w:line="560" w:lineRule="exact"/>
        <w:ind w:firstLine="480" w:firstLineChars="200"/>
        <w:rPr>
          <w:color w:val="auto"/>
          <w:sz w:val="24"/>
          <w:szCs w:val="24"/>
          <w:highlight w:val="none"/>
        </w:rPr>
      </w:pPr>
      <w:r>
        <w:rPr>
          <w:rFonts w:hint="eastAsia"/>
          <w:color w:val="auto"/>
          <w:sz w:val="24"/>
          <w:szCs w:val="24"/>
          <w:highlight w:val="none"/>
        </w:rPr>
        <w:t>（5）中标供应商在开展监督抽检过程中弄虚作假或不配合采购方开展工作的，取消其承检本采购包资格。</w:t>
      </w:r>
    </w:p>
    <w:p w14:paraId="001CAB32">
      <w:pPr>
        <w:spacing w:line="560" w:lineRule="exact"/>
        <w:ind w:firstLine="480" w:firstLineChars="200"/>
        <w:rPr>
          <w:color w:val="auto"/>
          <w:sz w:val="24"/>
          <w:szCs w:val="24"/>
          <w:highlight w:val="none"/>
        </w:rPr>
      </w:pPr>
      <w:r>
        <w:rPr>
          <w:rFonts w:hint="eastAsia"/>
          <w:color w:val="auto"/>
          <w:sz w:val="24"/>
          <w:szCs w:val="24"/>
          <w:highlight w:val="none"/>
        </w:rPr>
        <w:t>（6）中标供应商有保密义务，不得向除采购方外的任何单位与个人透露与抽检相关的信息，否则取消其承检资格，如造成经济损失及不良影响的，依法追究其经济赔偿责任和法律责任。</w:t>
      </w:r>
    </w:p>
    <w:p w14:paraId="456F409C">
      <w:pPr>
        <w:spacing w:line="560" w:lineRule="exact"/>
        <w:ind w:firstLine="480" w:firstLineChars="200"/>
        <w:rPr>
          <w:color w:val="auto"/>
          <w:sz w:val="24"/>
          <w:szCs w:val="24"/>
          <w:highlight w:val="none"/>
        </w:rPr>
      </w:pPr>
      <w:r>
        <w:rPr>
          <w:rFonts w:hint="eastAsia"/>
          <w:color w:val="auto"/>
          <w:sz w:val="24"/>
          <w:szCs w:val="24"/>
          <w:highlight w:val="none"/>
        </w:rPr>
        <w:t>（7）检测结果（报告的提交）。一般样品进实验室后20个工作日内出具检验结果报告（特殊检验项目按检验时限要求出具报告），并将抽检情况应及时录入国家食品安全抽样检验信息系统；如有紧急需要，在确保检验结果合法有效前提下，应当在2-3天出具检验结果报告。标签审核报告和产品的检测报告结果要同步出具并送达采购人</w:t>
      </w:r>
      <w:r>
        <w:rPr>
          <w:rFonts w:hint="eastAsia"/>
          <w:color w:val="auto"/>
          <w:sz w:val="24"/>
          <w:szCs w:val="24"/>
          <w:highlight w:val="none"/>
          <w:lang w:eastAsia="zh-CN"/>
        </w:rPr>
        <w:t>。</w:t>
      </w:r>
      <w:r>
        <w:rPr>
          <w:rFonts w:hint="eastAsia"/>
          <w:color w:val="auto"/>
          <w:sz w:val="24"/>
          <w:szCs w:val="24"/>
          <w:highlight w:val="none"/>
        </w:rPr>
        <w:t>不合格样品应将报告提交国家食品安全抽样检验信息系统的同时向采购方寄出抽样单、检验报告原件四份、不合格结果通知书。在经营环节抽取的不合格样品，须在系统中同时通报样品标注的生产者所在地监管部门。检测机构应保存邮件详情单，以备查询。</w:t>
      </w:r>
    </w:p>
    <w:p w14:paraId="11EF9838">
      <w:pPr>
        <w:spacing w:line="560" w:lineRule="exact"/>
        <w:ind w:firstLine="480" w:firstLineChars="200"/>
        <w:rPr>
          <w:color w:val="auto"/>
          <w:sz w:val="24"/>
          <w:szCs w:val="24"/>
          <w:highlight w:val="none"/>
        </w:rPr>
      </w:pPr>
      <w:r>
        <w:rPr>
          <w:rFonts w:hint="eastAsia"/>
          <w:color w:val="auto"/>
          <w:sz w:val="24"/>
          <w:szCs w:val="24"/>
          <w:highlight w:val="none"/>
        </w:rPr>
        <w:t>（8）按时报送数据。每月15日前将前期的抽检信息汇总表和不合格项目说明报海安市市场监督管理局。承检机构发现不合格样品中可能存在重大风险隐患或急性健康风险的，应当在确认检验结果后12小时之内报告采购人，并抄送国家市场监督管理总局。若拖延抄送数据，影响采购人考核，采购人有权终止合同，如造成经济损失及不良影响的，追究其经济赔偿责任和法律责任。</w:t>
      </w:r>
    </w:p>
    <w:p w14:paraId="69B4E831">
      <w:pPr>
        <w:spacing w:line="560" w:lineRule="exact"/>
        <w:ind w:firstLine="480" w:firstLineChars="200"/>
        <w:rPr>
          <w:color w:val="auto"/>
          <w:sz w:val="24"/>
          <w:szCs w:val="24"/>
          <w:highlight w:val="none"/>
        </w:rPr>
      </w:pPr>
      <w:r>
        <w:rPr>
          <w:rFonts w:hint="eastAsia"/>
          <w:color w:val="auto"/>
          <w:sz w:val="24"/>
          <w:szCs w:val="24"/>
          <w:highlight w:val="none"/>
        </w:rPr>
        <w:t>（三）检验任务工作情况报送：</w:t>
      </w:r>
    </w:p>
    <w:p w14:paraId="44013B60">
      <w:pPr>
        <w:spacing w:line="560" w:lineRule="exact"/>
        <w:ind w:firstLine="480" w:firstLineChars="200"/>
        <w:rPr>
          <w:color w:val="auto"/>
          <w:sz w:val="24"/>
          <w:szCs w:val="24"/>
          <w:highlight w:val="none"/>
        </w:rPr>
      </w:pPr>
      <w:r>
        <w:rPr>
          <w:rFonts w:hint="eastAsia"/>
          <w:color w:val="auto"/>
          <w:sz w:val="24"/>
          <w:szCs w:val="24"/>
          <w:highlight w:val="none"/>
        </w:rPr>
        <w:t>检测任务全部完成后，中标供应商要对检验结果进行分析评估。对检验结果判定为不合格的，要对不合格项目进行原因及危害性分析评估，提出下一年度检测意见和建议。</w:t>
      </w:r>
    </w:p>
    <w:p w14:paraId="07F5799D">
      <w:pPr>
        <w:spacing w:line="560" w:lineRule="exact"/>
        <w:ind w:firstLine="480" w:firstLineChars="200"/>
        <w:rPr>
          <w:color w:val="auto"/>
          <w:sz w:val="24"/>
          <w:szCs w:val="24"/>
          <w:highlight w:val="none"/>
        </w:rPr>
      </w:pPr>
      <w:r>
        <w:rPr>
          <w:rFonts w:hint="eastAsia"/>
          <w:color w:val="auto"/>
          <w:sz w:val="24"/>
          <w:szCs w:val="24"/>
          <w:highlight w:val="none"/>
        </w:rPr>
        <w:t>（四）对样本异议的处理：</w:t>
      </w:r>
    </w:p>
    <w:p w14:paraId="5B4C7A71">
      <w:pPr>
        <w:spacing w:line="560" w:lineRule="exact"/>
        <w:ind w:firstLine="480" w:firstLineChars="200"/>
        <w:rPr>
          <w:color w:val="auto"/>
          <w:sz w:val="24"/>
          <w:szCs w:val="24"/>
          <w:highlight w:val="none"/>
        </w:rPr>
      </w:pPr>
      <w:r>
        <w:rPr>
          <w:rFonts w:hint="eastAsia"/>
          <w:color w:val="auto"/>
          <w:sz w:val="24"/>
          <w:szCs w:val="24"/>
          <w:highlight w:val="none"/>
        </w:rPr>
        <w:t>（1）采购方接受被抽检人关于对抽样程序、检验判定依据等有异议的《异议申请书》后依法组织调查，检测机构应按采购方要求在5日内提交书面答复。</w:t>
      </w:r>
    </w:p>
    <w:p w14:paraId="194446D9">
      <w:pPr>
        <w:spacing w:line="560" w:lineRule="exact"/>
        <w:ind w:firstLine="480" w:firstLineChars="200"/>
        <w:rPr>
          <w:rFonts w:hint="eastAsia"/>
          <w:color w:val="auto"/>
          <w:sz w:val="24"/>
          <w:szCs w:val="24"/>
          <w:highlight w:val="none"/>
        </w:rPr>
      </w:pPr>
      <w:r>
        <w:rPr>
          <w:rFonts w:hint="eastAsia"/>
          <w:color w:val="auto"/>
          <w:sz w:val="24"/>
          <w:szCs w:val="24"/>
          <w:highlight w:val="none"/>
        </w:rPr>
        <w:t>（2）被抽检人提出复检申请后，检测机构应配合采购方依法对复检申请及复检样品进行审查，并配合样品的调取送达工作。复检结果与初检结果不一致的，复检费用由初检机构承担。</w:t>
      </w:r>
    </w:p>
    <w:p w14:paraId="762BD293">
      <w:pPr>
        <w:spacing w:line="560" w:lineRule="exact"/>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（五）其他</w:t>
      </w:r>
    </w:p>
    <w:p w14:paraId="1E084663">
      <w:pPr>
        <w:spacing w:line="560" w:lineRule="exact"/>
        <w:ind w:firstLine="480" w:firstLineChars="20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rFonts w:hint="eastAsia"/>
          <w:color w:val="auto"/>
          <w:sz w:val="24"/>
          <w:szCs w:val="24"/>
          <w:highlight w:val="none"/>
          <w:lang w:eastAsia="zh-CN"/>
        </w:rPr>
        <w:t>）</w:t>
      </w:r>
      <w:r>
        <w:rPr>
          <w:rFonts w:hint="eastAsia"/>
          <w:color w:val="auto"/>
          <w:sz w:val="24"/>
          <w:szCs w:val="24"/>
          <w:highlight w:val="none"/>
        </w:rPr>
        <w:t>检测任务全部完成后，中标供应商要对检验结果进行分析评估。对检验结果判定为不合格的，要对不合格项目进行原因及危害性分析评估，提出下一年度检测意见和建议。</w:t>
      </w:r>
    </w:p>
    <w:p w14:paraId="3A06DBAC">
      <w:pPr>
        <w:spacing w:line="560" w:lineRule="exact"/>
        <w:ind w:firstLine="480" w:firstLineChars="20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2</w:t>
      </w:r>
      <w:r>
        <w:rPr>
          <w:rFonts w:hint="eastAsia"/>
          <w:color w:val="auto"/>
          <w:sz w:val="24"/>
          <w:szCs w:val="24"/>
          <w:highlight w:val="none"/>
          <w:lang w:eastAsia="zh-CN"/>
        </w:rPr>
        <w:t>）</w:t>
      </w:r>
      <w:r>
        <w:rPr>
          <w:rFonts w:hint="eastAsia"/>
          <w:color w:val="auto"/>
          <w:sz w:val="24"/>
          <w:szCs w:val="24"/>
          <w:highlight w:val="none"/>
        </w:rPr>
        <w:t>提供不少于1场次的生产经营食品安全指导培训。</w:t>
      </w:r>
    </w:p>
    <w:p w14:paraId="32428511">
      <w:pPr>
        <w:spacing w:line="560" w:lineRule="exact"/>
        <w:ind w:firstLine="480" w:firstLineChars="200"/>
        <w:rPr>
          <w:rFonts w:hint="default"/>
          <w:color w:val="auto"/>
          <w:sz w:val="24"/>
          <w:szCs w:val="24"/>
          <w:highlight w:val="none"/>
          <w:lang w:val="en-US" w:eastAsia="zh-CN"/>
        </w:rPr>
      </w:pPr>
      <w:r>
        <w:rPr>
          <w:rFonts w:hint="eastAsia"/>
          <w:color w:val="auto"/>
          <w:sz w:val="24"/>
          <w:szCs w:val="24"/>
          <w:highlight w:val="none"/>
          <w:lang w:val="en-US" w:eastAsia="zh-CN"/>
        </w:rPr>
        <w:t>（3）按采购人需求为大型活动保障、专项检查提供不少于60批次的快检服务。</w:t>
      </w:r>
    </w:p>
    <w:p w14:paraId="297CFCB0">
      <w:pPr>
        <w:spacing w:line="560" w:lineRule="exact"/>
        <w:ind w:firstLine="480" w:firstLineChars="200"/>
        <w:rPr>
          <w:rFonts w:hint="eastAsia"/>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按采购人需求对抽检不合格生产经营主体进行原因分析，提供现场技术帮扶并提供不合格原因分析报告。</w:t>
      </w:r>
    </w:p>
    <w:p w14:paraId="1D8B00E2">
      <w:pPr>
        <w:spacing w:line="560" w:lineRule="exact"/>
        <w:ind w:firstLine="480" w:firstLineChars="200"/>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5</w:t>
      </w:r>
      <w:r>
        <w:rPr>
          <w:rFonts w:hint="eastAsia"/>
          <w:color w:val="auto"/>
          <w:sz w:val="24"/>
          <w:szCs w:val="24"/>
          <w:highlight w:val="none"/>
          <w:lang w:eastAsia="zh-CN"/>
        </w:rPr>
        <w:t>）</w:t>
      </w:r>
      <w:r>
        <w:rPr>
          <w:rFonts w:hint="eastAsia"/>
          <w:color w:val="auto"/>
          <w:sz w:val="24"/>
          <w:szCs w:val="24"/>
          <w:highlight w:val="none"/>
        </w:rPr>
        <w:t>包二的成交供应商需对生产环节不少于20家的（甲方提供的）出厂检验能力是否符合规定进行验证并提供分析报告、标签指导，给予合规标签模板。</w:t>
      </w:r>
    </w:p>
    <w:p w14:paraId="26962387">
      <w:pPr>
        <w:spacing w:line="560" w:lineRule="exact"/>
        <w:ind w:firstLine="480" w:firstLineChars="200"/>
        <w:rPr>
          <w:rFonts w:hint="eastAsia"/>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抽样过程中结合采购人工作需求发放宣传告知材料。</w:t>
      </w:r>
    </w:p>
    <w:p w14:paraId="5777EF66">
      <w:pPr>
        <w:spacing w:line="560" w:lineRule="exact"/>
        <w:ind w:firstLine="480" w:firstLineChars="200"/>
        <w:rPr>
          <w:rFonts w:hint="eastAsia"/>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按采购人需求做好承检任务的相关备份样品的捐赠活动。</w:t>
      </w:r>
    </w:p>
    <w:p w14:paraId="4F0E2A53">
      <w:pPr>
        <w:spacing w:line="560" w:lineRule="exact"/>
        <w:ind w:firstLine="480" w:firstLineChars="200"/>
        <w:rPr>
          <w:bCs/>
          <w:color w:val="auto"/>
          <w:sz w:val="24"/>
          <w:szCs w:val="24"/>
          <w:highlight w:val="none"/>
        </w:rPr>
      </w:pPr>
      <w:r>
        <w:rPr>
          <w:rFonts w:hint="eastAsia"/>
          <w:bCs/>
          <w:color w:val="auto"/>
          <w:sz w:val="24"/>
          <w:szCs w:val="24"/>
          <w:highlight w:val="none"/>
        </w:rPr>
        <w:t xml:space="preserve">4.采购标的的数量、采购项目交付或者实施的时间和地点： </w:t>
      </w:r>
    </w:p>
    <w:p w14:paraId="6C70B3B9">
      <w:pPr>
        <w:spacing w:line="560" w:lineRule="exact"/>
        <w:ind w:firstLine="480" w:firstLineChars="200"/>
        <w:rPr>
          <w:bCs/>
          <w:color w:val="auto"/>
          <w:sz w:val="24"/>
          <w:szCs w:val="24"/>
          <w:highlight w:val="none"/>
        </w:rPr>
      </w:pPr>
      <w:r>
        <w:rPr>
          <w:rFonts w:hint="eastAsia"/>
          <w:bCs/>
          <w:color w:val="auto"/>
          <w:sz w:val="24"/>
          <w:szCs w:val="24"/>
          <w:highlight w:val="none"/>
        </w:rPr>
        <w:t>4.1标的数量：</w:t>
      </w:r>
    </w:p>
    <w:p w14:paraId="6BE5855D">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采购包1</w:t>
      </w:r>
      <w:r>
        <w:rPr>
          <w:rFonts w:hint="eastAsia" w:ascii="宋体" w:hAnsi="宋体"/>
          <w:color w:val="auto"/>
          <w:sz w:val="24"/>
          <w:szCs w:val="24"/>
          <w:highlight w:val="none"/>
          <w:lang w:eastAsia="zh-CN"/>
        </w:rPr>
        <w:t>：</w:t>
      </w:r>
      <w:r>
        <w:rPr>
          <w:rFonts w:hint="eastAsia" w:ascii="宋体" w:hAnsi="宋体"/>
          <w:color w:val="auto"/>
          <w:sz w:val="24"/>
          <w:szCs w:val="24"/>
          <w:highlight w:val="none"/>
        </w:rPr>
        <w:t>流通环节食用农产品295批次+流通环节普通食品228批次（高新区其他商超：2026年9月1日后开始抽样）+餐饮环节100批次（网络餐饮：高新区）+2026机动批次273批次（高新区、雅周、李堡、滨海新区）。共896批次。</w:t>
      </w:r>
    </w:p>
    <w:p w14:paraId="22C7E4E8">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采购包2</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生产环节203批次+流通环节普通食品（开发区其他商超）340批次+餐饮环节50批次（网络餐饮：开发区）+2026机动90批次（开发区、大公）+2026—2027任务延续200批次。共883批次。</w:t>
      </w:r>
    </w:p>
    <w:p w14:paraId="77D82E00">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采购包3</w:t>
      </w:r>
      <w:r>
        <w:rPr>
          <w:rFonts w:hint="eastAsia" w:ascii="宋体" w:hAnsi="宋体"/>
          <w:color w:val="auto"/>
          <w:sz w:val="24"/>
          <w:szCs w:val="24"/>
          <w:highlight w:val="none"/>
          <w:lang w:eastAsia="zh-CN"/>
        </w:rPr>
        <w:t>：</w:t>
      </w:r>
      <w:r>
        <w:rPr>
          <w:rFonts w:hint="eastAsia" w:ascii="宋体" w:hAnsi="宋体"/>
          <w:color w:val="auto"/>
          <w:sz w:val="24"/>
          <w:szCs w:val="24"/>
          <w:highlight w:val="none"/>
        </w:rPr>
        <w:t>学校及养老机构专项100批次+流通环节普通食品455批次（高新区其他商超：2026年8月31日前完成抽样）+餐饮环节普通食品40批次（其他餐饮店：不含高新区、开发区、曲塘）+2026机动71批次（曲塘、墩头、南莫、白甸）+2026—2027任务延续200批次。共计866批次。</w:t>
      </w:r>
    </w:p>
    <w:p w14:paraId="100D22E9">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注：2026—2027任务延续400批次，为确保抽检工作在2026年12月至2027年4月30日期间均衡开展，并录入检验报告。</w:t>
      </w:r>
    </w:p>
    <w:p w14:paraId="6AC6C714">
      <w:pPr>
        <w:spacing w:line="560" w:lineRule="exact"/>
        <w:ind w:firstLine="480" w:firstLineChars="200"/>
        <w:rPr>
          <w:rFonts w:hint="eastAsia"/>
          <w:bCs/>
          <w:color w:val="auto"/>
          <w:sz w:val="24"/>
          <w:szCs w:val="24"/>
          <w:highlight w:val="none"/>
        </w:rPr>
      </w:pPr>
      <w:r>
        <w:rPr>
          <w:rFonts w:hint="eastAsia"/>
          <w:bCs/>
          <w:color w:val="auto"/>
          <w:sz w:val="24"/>
          <w:szCs w:val="24"/>
          <w:highlight w:val="none"/>
        </w:rPr>
        <w:t>4.2合同履行期限：</w:t>
      </w:r>
      <w:r>
        <w:rPr>
          <w:rFonts w:hint="eastAsia" w:ascii="宋体" w:hAnsi="宋体"/>
          <w:color w:val="auto"/>
          <w:sz w:val="24"/>
          <w:szCs w:val="24"/>
          <w:highlight w:val="none"/>
        </w:rPr>
        <w:t>原则上应当逐月推进抽检工作、全年均衡开展抽检任务。</w:t>
      </w:r>
      <w:r>
        <w:rPr>
          <w:rFonts w:hint="eastAsia" w:ascii="宋体" w:hAnsi="宋体"/>
          <w:color w:val="auto"/>
          <w:sz w:val="24"/>
          <w:szCs w:val="24"/>
          <w:highlight w:val="none"/>
          <w:lang w:val="en-US" w:eastAsia="zh-CN"/>
        </w:rPr>
        <w:t>除</w:t>
      </w:r>
      <w:r>
        <w:rPr>
          <w:rFonts w:hint="eastAsia" w:ascii="宋体" w:hAnsi="宋体"/>
          <w:color w:val="auto"/>
          <w:sz w:val="24"/>
          <w:szCs w:val="24"/>
          <w:highlight w:val="none"/>
        </w:rPr>
        <w:t>2026—2027任务延续</w:t>
      </w:r>
      <w:r>
        <w:rPr>
          <w:rFonts w:hint="eastAsia" w:ascii="宋体" w:hAnsi="宋体"/>
          <w:color w:val="auto"/>
          <w:sz w:val="24"/>
          <w:szCs w:val="24"/>
          <w:highlight w:val="none"/>
          <w:lang w:val="en-US" w:eastAsia="zh-CN"/>
        </w:rPr>
        <w:t>400</w:t>
      </w:r>
      <w:r>
        <w:rPr>
          <w:rFonts w:hint="eastAsia" w:ascii="宋体" w:hAnsi="宋体"/>
          <w:color w:val="auto"/>
          <w:sz w:val="24"/>
          <w:szCs w:val="24"/>
          <w:highlight w:val="none"/>
        </w:rPr>
        <w:t>批次</w:t>
      </w:r>
      <w:r>
        <w:rPr>
          <w:rFonts w:hint="eastAsia" w:ascii="宋体" w:hAnsi="宋体"/>
          <w:color w:val="auto"/>
          <w:sz w:val="24"/>
          <w:szCs w:val="24"/>
          <w:highlight w:val="none"/>
          <w:lang w:val="en-US" w:eastAsia="zh-CN"/>
        </w:rPr>
        <w:t>外，</w:t>
      </w:r>
      <w:r>
        <w:rPr>
          <w:rFonts w:hint="eastAsia" w:ascii="宋体" w:hAnsi="宋体"/>
          <w:color w:val="auto"/>
          <w:sz w:val="24"/>
          <w:szCs w:val="24"/>
          <w:highlight w:val="none"/>
        </w:rPr>
        <w:t>采购包1、采购包2、采购包3</w:t>
      </w:r>
      <w:r>
        <w:rPr>
          <w:rFonts w:hint="eastAsia" w:ascii="宋体" w:hAnsi="宋体"/>
          <w:color w:val="auto"/>
          <w:sz w:val="24"/>
          <w:szCs w:val="24"/>
          <w:highlight w:val="none"/>
          <w:lang w:val="en-US" w:eastAsia="zh-CN"/>
        </w:rPr>
        <w:t>内其他任务</w:t>
      </w:r>
      <w:r>
        <w:rPr>
          <w:rFonts w:hint="eastAsia" w:ascii="宋体" w:hAnsi="宋体"/>
          <w:color w:val="auto"/>
          <w:sz w:val="24"/>
          <w:szCs w:val="24"/>
          <w:highlight w:val="none"/>
        </w:rPr>
        <w:t>需于202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年1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月</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日前完成抽检任务的100%，不得突击式大批量集中抽检。抽检进度纳入考核范畴，与服</w:t>
      </w:r>
      <w:r>
        <w:rPr>
          <w:rFonts w:hint="eastAsia"/>
          <w:bCs/>
          <w:color w:val="auto"/>
          <w:sz w:val="24"/>
          <w:szCs w:val="24"/>
          <w:highlight w:val="none"/>
        </w:rPr>
        <w:t>务费用结算相挂钩。</w:t>
      </w:r>
    </w:p>
    <w:p w14:paraId="1A1507CE">
      <w:pPr>
        <w:spacing w:line="560" w:lineRule="exact"/>
        <w:ind w:firstLine="480" w:firstLineChars="200"/>
        <w:rPr>
          <w:rFonts w:hint="eastAsia"/>
          <w:bCs/>
          <w:color w:val="auto"/>
          <w:sz w:val="24"/>
          <w:szCs w:val="24"/>
          <w:highlight w:val="none"/>
        </w:rPr>
      </w:pPr>
      <w:r>
        <w:rPr>
          <w:rFonts w:hint="eastAsia"/>
          <w:bCs/>
          <w:color w:val="auto"/>
          <w:sz w:val="24"/>
          <w:szCs w:val="24"/>
          <w:highlight w:val="none"/>
        </w:rPr>
        <w:t>预留专项(机动)抽检30批次*12=360批次，按月安排。当月未安排的转入次月，次月未安排的纳入一般计划。</w:t>
      </w:r>
    </w:p>
    <w:p w14:paraId="7462AF02">
      <w:pPr>
        <w:spacing w:line="560" w:lineRule="exact"/>
        <w:ind w:firstLine="480" w:firstLineChars="200"/>
        <w:rPr>
          <w:color w:val="auto"/>
          <w:szCs w:val="24"/>
          <w:highlight w:val="none"/>
        </w:rPr>
      </w:pPr>
      <w:r>
        <w:rPr>
          <w:rFonts w:hint="eastAsia"/>
          <w:bCs/>
          <w:color w:val="auto"/>
          <w:sz w:val="24"/>
          <w:szCs w:val="24"/>
          <w:highlight w:val="none"/>
        </w:rPr>
        <w:t>检测数据在202</w:t>
      </w:r>
      <w:r>
        <w:rPr>
          <w:rFonts w:hint="eastAsia"/>
          <w:bCs/>
          <w:color w:val="auto"/>
          <w:sz w:val="24"/>
          <w:szCs w:val="24"/>
          <w:highlight w:val="none"/>
          <w:lang w:val="en-US" w:eastAsia="zh-CN"/>
        </w:rPr>
        <w:t>6</w:t>
      </w:r>
      <w:r>
        <w:rPr>
          <w:rFonts w:hint="eastAsia"/>
          <w:bCs/>
          <w:color w:val="auto"/>
          <w:sz w:val="24"/>
          <w:szCs w:val="24"/>
          <w:highlight w:val="none"/>
        </w:rPr>
        <w:t>年12月10日前全部录入国抽系统，并于202</w:t>
      </w:r>
      <w:r>
        <w:rPr>
          <w:rFonts w:hint="eastAsia"/>
          <w:bCs/>
          <w:color w:val="auto"/>
          <w:sz w:val="24"/>
          <w:szCs w:val="24"/>
          <w:highlight w:val="none"/>
          <w:lang w:val="en-US" w:eastAsia="zh-CN"/>
        </w:rPr>
        <w:t>6</w:t>
      </w:r>
      <w:r>
        <w:rPr>
          <w:rFonts w:hint="eastAsia"/>
          <w:bCs/>
          <w:color w:val="auto"/>
          <w:sz w:val="24"/>
          <w:szCs w:val="24"/>
          <w:highlight w:val="none"/>
        </w:rPr>
        <w:t>年12月</w:t>
      </w:r>
      <w:r>
        <w:rPr>
          <w:rFonts w:hint="eastAsia"/>
          <w:bCs/>
          <w:color w:val="auto"/>
          <w:sz w:val="24"/>
          <w:szCs w:val="24"/>
          <w:highlight w:val="none"/>
          <w:lang w:val="en-US" w:eastAsia="zh-CN"/>
        </w:rPr>
        <w:t>20</w:t>
      </w:r>
      <w:r>
        <w:rPr>
          <w:rFonts w:hint="eastAsia"/>
          <w:bCs/>
          <w:color w:val="auto"/>
          <w:sz w:val="24"/>
          <w:szCs w:val="24"/>
          <w:highlight w:val="none"/>
        </w:rPr>
        <w:t>日前向采购方提交数据分析报告。其中采购包2、包3中2026—2027任务延续400批次根据采购人需求开展，在2026年10月至2027年4月期间均衡推进。 检测数据在2027年4月30日前全部录入国抽系统，并提交</w:t>
      </w:r>
      <w:r>
        <w:rPr>
          <w:rFonts w:hint="eastAsia" w:ascii="宋体" w:hAnsi="宋体"/>
          <w:color w:val="auto"/>
          <w:sz w:val="24"/>
          <w:szCs w:val="24"/>
          <w:highlight w:val="none"/>
        </w:rPr>
        <w:t>检测报告。</w:t>
      </w:r>
    </w:p>
    <w:p w14:paraId="59596117">
      <w:pPr>
        <w:spacing w:line="560" w:lineRule="exact"/>
        <w:ind w:firstLine="480" w:firstLineChars="200"/>
        <w:rPr>
          <w:bCs/>
          <w:color w:val="auto"/>
          <w:sz w:val="24"/>
          <w:szCs w:val="24"/>
          <w:highlight w:val="none"/>
        </w:rPr>
      </w:pPr>
      <w:r>
        <w:rPr>
          <w:rFonts w:hint="eastAsia"/>
          <w:bCs/>
          <w:color w:val="auto"/>
          <w:sz w:val="24"/>
          <w:szCs w:val="24"/>
          <w:highlight w:val="none"/>
        </w:rPr>
        <w:t>4.3服务地点：采购人指定地点。</w:t>
      </w:r>
    </w:p>
    <w:p w14:paraId="4DD50006">
      <w:pPr>
        <w:spacing w:line="560" w:lineRule="exact"/>
        <w:ind w:firstLine="480" w:firstLineChars="200"/>
        <w:rPr>
          <w:bCs/>
          <w:color w:val="auto"/>
          <w:sz w:val="24"/>
          <w:szCs w:val="24"/>
          <w:highlight w:val="none"/>
        </w:rPr>
      </w:pPr>
      <w:r>
        <w:rPr>
          <w:bCs/>
          <w:color w:val="auto"/>
          <w:sz w:val="24"/>
          <w:szCs w:val="24"/>
          <w:highlight w:val="none"/>
        </w:rPr>
        <w:t>5.</w:t>
      </w:r>
      <w:r>
        <w:rPr>
          <w:rFonts w:hint="eastAsia"/>
          <w:bCs/>
          <w:color w:val="auto"/>
          <w:sz w:val="24"/>
          <w:szCs w:val="24"/>
          <w:highlight w:val="none"/>
        </w:rPr>
        <w:t>采购标的需满足的服务标准、期限、效率等要求：</w:t>
      </w:r>
    </w:p>
    <w:p w14:paraId="3639FB1C">
      <w:pPr>
        <w:spacing w:line="560" w:lineRule="exact"/>
        <w:ind w:firstLine="480" w:firstLineChars="200"/>
        <w:rPr>
          <w:bCs/>
          <w:color w:val="auto"/>
          <w:sz w:val="24"/>
          <w:szCs w:val="24"/>
          <w:highlight w:val="none"/>
        </w:rPr>
      </w:pPr>
      <w:r>
        <w:rPr>
          <w:rFonts w:hint="eastAsia"/>
          <w:bCs/>
          <w:color w:val="auto"/>
          <w:sz w:val="24"/>
          <w:szCs w:val="24"/>
          <w:highlight w:val="none"/>
        </w:rPr>
        <w:t>（1）中标供应商承检的检验任务必须由中标供应商负责检验，不得将检验任务外包或分包给其他检测机构检验。一经发现，取消承检本项目资格，相关款项不予支付。</w:t>
      </w:r>
    </w:p>
    <w:p w14:paraId="681B9AE0">
      <w:pPr>
        <w:spacing w:line="560" w:lineRule="exact"/>
        <w:ind w:firstLine="480" w:firstLineChars="200"/>
        <w:rPr>
          <w:rFonts w:hint="default" w:eastAsia="宋体"/>
          <w:color w:val="auto"/>
          <w:sz w:val="24"/>
          <w:szCs w:val="24"/>
          <w:highlight w:val="none"/>
          <w:lang w:val="en-US" w:eastAsia="zh-CN"/>
        </w:rPr>
      </w:pPr>
      <w:r>
        <w:rPr>
          <w:rFonts w:hint="eastAsia"/>
          <w:bCs/>
          <w:color w:val="auto"/>
          <w:sz w:val="24"/>
          <w:szCs w:val="24"/>
          <w:highlight w:val="none"/>
        </w:rPr>
        <w:t>（2）</w:t>
      </w:r>
      <w:bookmarkStart w:id="190" w:name="OLE_LINK44"/>
      <w:r>
        <w:rPr>
          <w:rFonts w:hint="eastAsia"/>
          <w:bCs/>
          <w:color w:val="auto"/>
          <w:sz w:val="24"/>
          <w:szCs w:val="24"/>
          <w:highlight w:val="none"/>
        </w:rPr>
        <w:t>本项目的食品安全抽检工作严格遵照《食品安全抽样检验管理办法》（国家市场监督管理总局令第</w:t>
      </w:r>
      <w:r>
        <w:rPr>
          <w:rFonts w:hint="eastAsia"/>
          <w:bCs/>
          <w:color w:val="auto"/>
          <w:sz w:val="24"/>
          <w:szCs w:val="24"/>
          <w:highlight w:val="none"/>
          <w:lang w:val="en-US" w:eastAsia="zh-CN"/>
        </w:rPr>
        <w:t>101</w:t>
      </w:r>
      <w:r>
        <w:rPr>
          <w:rFonts w:hint="eastAsia"/>
          <w:bCs/>
          <w:color w:val="auto"/>
          <w:sz w:val="24"/>
          <w:szCs w:val="24"/>
          <w:highlight w:val="none"/>
        </w:rPr>
        <w:t>号）、市场监管总监制定的《食品安全抽样检验工作规范》（市监食检发[2023]76号）、《食品安全监督抽检实施细则》</w:t>
      </w:r>
      <w:r>
        <w:rPr>
          <w:rFonts w:hint="eastAsia"/>
          <w:bCs/>
          <w:color w:val="auto"/>
          <w:sz w:val="24"/>
          <w:szCs w:val="24"/>
          <w:highlight w:val="none"/>
          <w:lang w:val="en-US" w:eastAsia="zh-CN"/>
        </w:rPr>
        <w:t>最新</w:t>
      </w:r>
      <w:r>
        <w:rPr>
          <w:rFonts w:hint="eastAsia"/>
          <w:bCs/>
          <w:color w:val="auto"/>
          <w:sz w:val="24"/>
          <w:szCs w:val="24"/>
          <w:highlight w:val="none"/>
        </w:rPr>
        <w:t>版、市场监管总局《食用农产品抽样检验和核查处置规定》和江苏省、南通市、海安市市场监督管理局相关要求执行，并符合其他食品安全抽检工作的规定要求。</w:t>
      </w:r>
      <w:bookmarkEnd w:id="190"/>
      <w:r>
        <w:rPr>
          <w:rFonts w:hint="eastAsia" w:ascii="Times New Roman" w:eastAsia="宋体"/>
          <w:color w:val="auto"/>
          <w:sz w:val="24"/>
          <w:szCs w:val="24"/>
          <w:highlight w:val="none"/>
          <w:lang w:val="en-US" w:eastAsia="zh-CN"/>
        </w:rPr>
        <w:t>如果在项目实施过程中有相关政策调整或法律法规变更的，则以最新要求为准。</w:t>
      </w:r>
    </w:p>
    <w:p w14:paraId="76514ED4">
      <w:pPr>
        <w:spacing w:line="560" w:lineRule="exact"/>
        <w:ind w:firstLine="480" w:firstLineChars="200"/>
        <w:rPr>
          <w:bCs/>
          <w:color w:val="auto"/>
          <w:sz w:val="24"/>
          <w:szCs w:val="24"/>
          <w:highlight w:val="none"/>
        </w:rPr>
      </w:pPr>
      <w:r>
        <w:rPr>
          <w:rFonts w:hint="eastAsia"/>
          <w:bCs/>
          <w:color w:val="auto"/>
          <w:sz w:val="24"/>
          <w:szCs w:val="24"/>
          <w:highlight w:val="none"/>
        </w:rPr>
        <w:t>（3）本项目投标报价应包括履约委托抽检任务完成所需的全部工作量和服务，即包括响应及完成委托抽检任务工作所需的一切费用。其中包含但不限于样品采集购买、人工、专用设备及其备品、备件、易耗品耗材、通讯和专用工具费用、税费、运输、保险、技术支持与培训、售后服务及相关劳务支出等工作所发生的全部费用以及采购响应供应商企业利润、税金和政策性文件规定及合同包含的所有风险、责任，即响应委托抽检项目任务的各项应有费用。供应商报价时应充分考虑现场环境以及国家政策性调整等风险因素，在合同实施期间，合同价不随国家政策或法规、标准及市场因素的变化而进行调整。</w:t>
      </w:r>
    </w:p>
    <w:p w14:paraId="0F1EF608">
      <w:pPr>
        <w:numPr>
          <w:ilvl w:val="0"/>
          <w:numId w:val="0"/>
        </w:numPr>
        <w:spacing w:line="560" w:lineRule="exact"/>
        <w:ind w:firstLine="480" w:firstLineChars="200"/>
        <w:rPr>
          <w:bCs/>
          <w:color w:val="auto"/>
          <w:sz w:val="24"/>
          <w:szCs w:val="24"/>
          <w:highlight w:val="none"/>
        </w:rPr>
      </w:pPr>
      <w:r>
        <w:rPr>
          <w:rFonts w:ascii="Times New Roman" w:hAnsi="Times New Roman" w:eastAsia="宋体" w:cs="Times New Roman"/>
          <w:bCs/>
          <w:color w:val="auto"/>
          <w:kern w:val="2"/>
          <w:sz w:val="24"/>
          <w:szCs w:val="24"/>
          <w:highlight w:val="none"/>
          <w:lang w:val="en-US" w:eastAsia="zh-CN" w:bidi="ar-SA"/>
        </w:rPr>
        <w:t>6.</w:t>
      </w:r>
      <w:r>
        <w:rPr>
          <w:rFonts w:hint="eastAsia"/>
          <w:bCs/>
          <w:color w:val="auto"/>
          <w:sz w:val="24"/>
          <w:szCs w:val="24"/>
          <w:highlight w:val="none"/>
        </w:rPr>
        <w:t>采购标的的验收标准：</w:t>
      </w:r>
    </w:p>
    <w:p w14:paraId="1B7D3542">
      <w:pPr>
        <w:spacing w:line="560" w:lineRule="exact"/>
        <w:ind w:firstLine="480" w:firstLineChars="200"/>
        <w:rPr>
          <w:rFonts w:hint="eastAsia"/>
          <w:bCs/>
          <w:color w:val="auto"/>
          <w:sz w:val="24"/>
          <w:szCs w:val="24"/>
          <w:highlight w:val="none"/>
        </w:rPr>
      </w:pPr>
      <w:r>
        <w:rPr>
          <w:rFonts w:hint="eastAsia"/>
          <w:bCs/>
          <w:color w:val="auto"/>
          <w:sz w:val="24"/>
          <w:szCs w:val="24"/>
          <w:highlight w:val="none"/>
        </w:rPr>
        <w:t>（</w:t>
      </w:r>
      <w:r>
        <w:rPr>
          <w:rFonts w:hint="eastAsia"/>
          <w:bCs/>
          <w:color w:val="auto"/>
          <w:sz w:val="24"/>
          <w:szCs w:val="24"/>
          <w:highlight w:val="none"/>
          <w:lang w:val="en-US" w:eastAsia="zh-CN"/>
        </w:rPr>
        <w:t>1</w:t>
      </w:r>
      <w:r>
        <w:rPr>
          <w:rFonts w:hint="eastAsia"/>
          <w:bCs/>
          <w:color w:val="auto"/>
          <w:sz w:val="24"/>
          <w:szCs w:val="24"/>
          <w:highlight w:val="none"/>
        </w:rPr>
        <w:t>）合同签订后，结合项目的履约情况以及海安市市场监督管理局机构考核文件开展验收，验收一共两次，分别为2026年度任务完成后（三个包）及2027年本项目完成后（包2、包3）。</w:t>
      </w:r>
    </w:p>
    <w:p w14:paraId="6536CED6">
      <w:pPr>
        <w:spacing w:line="560" w:lineRule="exact"/>
        <w:ind w:firstLine="480" w:firstLineChars="200"/>
        <w:rPr>
          <w:rFonts w:hint="eastAsia"/>
          <w:bCs/>
          <w:color w:val="auto"/>
          <w:sz w:val="24"/>
          <w:szCs w:val="24"/>
          <w:highlight w:val="none"/>
        </w:rPr>
      </w:pPr>
      <w:r>
        <w:rPr>
          <w:rFonts w:hint="eastAsia"/>
          <w:bCs/>
          <w:color w:val="auto"/>
          <w:sz w:val="24"/>
          <w:szCs w:val="24"/>
          <w:highlight w:val="none"/>
        </w:rPr>
        <w:t>国抽数据填报质量、抽检异议处理、音像及贮运记录留存、留样再测、检测项目情况等相关工作，严格遵守服务规范，杜绝弄虚作假等违规行为，供应商若出现各类违规、不达标情形，将按相关规定承担相应责任及扣款。</w:t>
      </w:r>
    </w:p>
    <w:p w14:paraId="0AB64302">
      <w:pPr>
        <w:spacing w:line="560" w:lineRule="exact"/>
        <w:ind w:firstLine="480" w:firstLineChars="200"/>
        <w:rPr>
          <w:rFonts w:hint="eastAsia"/>
          <w:bCs/>
          <w:color w:val="auto"/>
          <w:sz w:val="24"/>
          <w:szCs w:val="24"/>
          <w:highlight w:val="none"/>
          <w:lang w:eastAsia="zh-CN"/>
        </w:rPr>
      </w:pPr>
      <w:r>
        <w:rPr>
          <w:rFonts w:hint="eastAsia"/>
          <w:bCs/>
          <w:color w:val="auto"/>
          <w:sz w:val="24"/>
          <w:szCs w:val="24"/>
          <w:highlight w:val="none"/>
        </w:rPr>
        <w:t>经营环节(包括销售和餐饮)【注：餐饮环节不包含复用餐饮具，销售环节不包含食用农产品】按食品、食用农产品分别统计，低于</w:t>
      </w:r>
      <w:r>
        <w:rPr>
          <w:rFonts w:hint="eastAsia"/>
          <w:bCs/>
          <w:color w:val="auto"/>
          <w:sz w:val="24"/>
          <w:szCs w:val="24"/>
          <w:highlight w:val="none"/>
          <w:lang w:val="en-US" w:eastAsia="zh-CN"/>
        </w:rPr>
        <w:t>三个采购包成交单位</w:t>
      </w:r>
      <w:r>
        <w:rPr>
          <w:rFonts w:hint="eastAsia"/>
          <w:bCs/>
          <w:color w:val="auto"/>
          <w:sz w:val="24"/>
          <w:szCs w:val="24"/>
          <w:highlight w:val="none"/>
        </w:rPr>
        <w:t>问题检出平均值的90%，每低0.1%扣款</w:t>
      </w:r>
      <w:r>
        <w:rPr>
          <w:rFonts w:hint="eastAsia"/>
          <w:bCs/>
          <w:color w:val="auto"/>
          <w:sz w:val="24"/>
          <w:szCs w:val="24"/>
          <w:highlight w:val="none"/>
          <w:lang w:val="en-US" w:eastAsia="zh-CN"/>
        </w:rPr>
        <w:t>2000元</w:t>
      </w:r>
      <w:r>
        <w:rPr>
          <w:rFonts w:hint="eastAsia"/>
          <w:bCs/>
          <w:color w:val="auto"/>
          <w:sz w:val="24"/>
          <w:szCs w:val="24"/>
          <w:highlight w:val="none"/>
          <w:lang w:eastAsia="zh-CN"/>
        </w:rPr>
        <w:t>。</w:t>
      </w:r>
    </w:p>
    <w:p w14:paraId="143BE9BA">
      <w:pPr>
        <w:numPr>
          <w:ilvl w:val="0"/>
          <w:numId w:val="0"/>
        </w:numPr>
        <w:spacing w:line="560" w:lineRule="exact"/>
        <w:ind w:firstLine="480" w:firstLineChars="200"/>
        <w:rPr>
          <w:rFonts w:hint="eastAsia"/>
          <w:bCs/>
          <w:color w:val="auto"/>
          <w:sz w:val="24"/>
          <w:szCs w:val="24"/>
          <w:highlight w:val="none"/>
          <w:lang w:eastAsia="zh-CN"/>
        </w:rPr>
      </w:pPr>
      <w:r>
        <w:rPr>
          <w:rFonts w:hint="eastAsia"/>
          <w:bCs/>
          <w:color w:val="auto"/>
          <w:sz w:val="24"/>
          <w:szCs w:val="24"/>
          <w:highlight w:val="none"/>
          <w:lang w:eastAsia="zh-CN"/>
        </w:rPr>
        <w:t>生产环节未检出问题，同类产品上级或其他地区市场监管部门检出不合格的，免费开展不合格原因分析、现场技术指导帮扶，并提供一次对应产品相应项目的免费跟踪抽检服务。</w:t>
      </w:r>
    </w:p>
    <w:p w14:paraId="13828197">
      <w:pPr>
        <w:spacing w:line="560" w:lineRule="exact"/>
        <w:ind w:firstLine="480" w:firstLineChars="200"/>
        <w:rPr>
          <w:rFonts w:hint="eastAsia"/>
          <w:color w:val="auto"/>
          <w:sz w:val="24"/>
          <w:szCs w:val="24"/>
          <w:highlight w:val="none"/>
        </w:rPr>
      </w:pPr>
      <w:r>
        <w:rPr>
          <w:rFonts w:hint="eastAsia" w:eastAsia="宋体"/>
          <w:color w:val="auto"/>
          <w:sz w:val="24"/>
          <w:szCs w:val="24"/>
          <w:highlight w:val="none"/>
          <w:lang w:eastAsia="zh-CN"/>
        </w:rPr>
        <w:t>（</w:t>
      </w:r>
      <w:r>
        <w:rPr>
          <w:rFonts w:hint="eastAsia"/>
          <w:color w:val="auto"/>
          <w:sz w:val="24"/>
          <w:szCs w:val="24"/>
          <w:highlight w:val="none"/>
          <w:lang w:val="en-US" w:eastAsia="zh-CN"/>
        </w:rPr>
        <w:t>3</w:t>
      </w:r>
      <w:r>
        <w:rPr>
          <w:rFonts w:hint="eastAsia" w:eastAsia="宋体"/>
          <w:color w:val="auto"/>
          <w:sz w:val="24"/>
          <w:szCs w:val="24"/>
          <w:highlight w:val="none"/>
          <w:lang w:eastAsia="zh-CN"/>
        </w:rPr>
        <w:t>）</w:t>
      </w:r>
      <w:r>
        <w:rPr>
          <w:rFonts w:hint="default"/>
          <w:color w:val="auto"/>
          <w:sz w:val="24"/>
          <w:szCs w:val="24"/>
          <w:highlight w:val="none"/>
        </w:rPr>
        <w:t>为确保抽检工作的广泛性与代表性，流通环节普通食品抽检应实现较高的主体覆盖率。具体考核标准如下：</w:t>
      </w:r>
      <w:r>
        <w:rPr>
          <w:rFonts w:hint="default"/>
          <w:color w:val="auto"/>
          <w:sz w:val="24"/>
          <w:szCs w:val="24"/>
          <w:highlight w:val="none"/>
        </w:rPr>
        <w:br w:type="textWrapping"/>
      </w:r>
      <w:r>
        <w:rPr>
          <w:rFonts w:hint="eastAsia" w:ascii="Times New Roman" w:eastAsia="宋体"/>
          <w:color w:val="auto"/>
          <w:sz w:val="24"/>
          <w:szCs w:val="24"/>
          <w:highlight w:val="none"/>
          <w:lang w:val="en-US" w:eastAsia="zh-CN"/>
        </w:rPr>
        <w:t xml:space="preserve">    </w:t>
      </w:r>
      <w:r>
        <w:rPr>
          <w:rFonts w:hint="default"/>
          <w:color w:val="auto"/>
          <w:sz w:val="24"/>
          <w:szCs w:val="24"/>
          <w:highlight w:val="none"/>
        </w:rPr>
        <w:t>抽检主体覆盖度以“流通环节普通食品抽检批次数/被抽检主体数”比值进行衡量，该比值小于5为达标。若该比值达到或超过以下阈值，则按相应标准扣款：</w:t>
      </w:r>
    </w:p>
    <w:p w14:paraId="26C77878">
      <w:pPr>
        <w:spacing w:line="560" w:lineRule="exact"/>
        <w:ind w:firstLine="480" w:firstLineChars="200"/>
        <w:rPr>
          <w:rFonts w:hint="eastAsia"/>
          <w:color w:val="auto"/>
          <w:sz w:val="24"/>
          <w:szCs w:val="24"/>
          <w:highlight w:val="none"/>
        </w:rPr>
      </w:pPr>
      <w:r>
        <w:rPr>
          <w:rFonts w:hint="default"/>
          <w:color w:val="auto"/>
          <w:sz w:val="24"/>
          <w:szCs w:val="24"/>
          <w:highlight w:val="none"/>
        </w:rPr>
        <w:t>比值 ≥ 5：扣款 2500 元</w:t>
      </w:r>
    </w:p>
    <w:p w14:paraId="2E173C71">
      <w:pPr>
        <w:spacing w:line="560" w:lineRule="exact"/>
        <w:ind w:firstLine="480" w:firstLineChars="200"/>
        <w:rPr>
          <w:rFonts w:hint="eastAsia"/>
          <w:color w:val="auto"/>
          <w:sz w:val="24"/>
          <w:szCs w:val="24"/>
          <w:highlight w:val="none"/>
        </w:rPr>
      </w:pPr>
      <w:r>
        <w:rPr>
          <w:rFonts w:hint="default"/>
          <w:color w:val="auto"/>
          <w:sz w:val="24"/>
          <w:szCs w:val="24"/>
          <w:highlight w:val="none"/>
        </w:rPr>
        <w:t>比值 ≥ 6：扣款 3000 元</w:t>
      </w:r>
    </w:p>
    <w:p w14:paraId="37B60C4E">
      <w:pPr>
        <w:spacing w:line="560" w:lineRule="exact"/>
        <w:ind w:firstLine="480" w:firstLineChars="200"/>
        <w:rPr>
          <w:rFonts w:hint="eastAsia"/>
          <w:color w:val="auto"/>
          <w:sz w:val="24"/>
          <w:szCs w:val="24"/>
          <w:highlight w:val="none"/>
        </w:rPr>
      </w:pPr>
      <w:r>
        <w:rPr>
          <w:rFonts w:hint="default"/>
          <w:color w:val="auto"/>
          <w:sz w:val="24"/>
          <w:szCs w:val="24"/>
          <w:highlight w:val="none"/>
        </w:rPr>
        <w:t>比值 ≥ 7：扣款 5000 元</w:t>
      </w:r>
    </w:p>
    <w:p w14:paraId="7E7BE0F3">
      <w:pPr>
        <w:spacing w:line="560" w:lineRule="exact"/>
        <w:ind w:firstLine="480" w:firstLineChars="200"/>
        <w:rPr>
          <w:rFonts w:hint="default"/>
          <w:color w:val="auto"/>
          <w:sz w:val="24"/>
          <w:szCs w:val="24"/>
          <w:highlight w:val="none"/>
        </w:rPr>
      </w:pPr>
      <w:r>
        <w:rPr>
          <w:rFonts w:hint="default"/>
          <w:color w:val="auto"/>
          <w:sz w:val="24"/>
          <w:szCs w:val="24"/>
          <w:highlight w:val="none"/>
        </w:rPr>
        <w:t>比值 ≥ 8：扣款 10000 元</w:t>
      </w:r>
    </w:p>
    <w:p w14:paraId="611BB315">
      <w:pPr>
        <w:spacing w:line="560" w:lineRule="exact"/>
        <w:ind w:firstLine="480" w:firstLineChars="200"/>
        <w:rPr>
          <w:bCs/>
          <w:color w:val="auto"/>
          <w:sz w:val="24"/>
          <w:szCs w:val="24"/>
          <w:highlight w:val="none"/>
        </w:rPr>
      </w:pPr>
      <w:r>
        <w:rPr>
          <w:rFonts w:hint="eastAsia"/>
          <w:bCs/>
          <w:color w:val="auto"/>
          <w:sz w:val="24"/>
          <w:szCs w:val="24"/>
          <w:highlight w:val="none"/>
        </w:rPr>
        <w:t>（</w:t>
      </w:r>
      <w:r>
        <w:rPr>
          <w:rFonts w:hint="eastAsia"/>
          <w:bCs/>
          <w:color w:val="auto"/>
          <w:sz w:val="24"/>
          <w:szCs w:val="24"/>
          <w:highlight w:val="none"/>
          <w:lang w:val="en-US" w:eastAsia="zh-CN"/>
        </w:rPr>
        <w:t>4</w:t>
      </w:r>
      <w:r>
        <w:rPr>
          <w:rFonts w:hint="eastAsia"/>
          <w:bCs/>
          <w:color w:val="auto"/>
          <w:sz w:val="24"/>
          <w:szCs w:val="24"/>
          <w:highlight w:val="none"/>
        </w:rPr>
        <w:t>）供应商在国抽填报系统中录入的数据，被南通市级反馈有质量问题的，每个问题扣200元；被江苏省级反馈有质量问题的，每个问题扣500元；被国家级反馈有质量问题的，每个问题扣800元。自查互查过程中发现数据质量存在问题或数据退修的，每退修一批次，扣除100元。实施抽检分离的批次，按照产生问题的环节，由抽样方和检验方承担各自责任。</w:t>
      </w:r>
    </w:p>
    <w:p w14:paraId="0E7E7442">
      <w:pPr>
        <w:spacing w:line="560" w:lineRule="exact"/>
        <w:ind w:firstLine="480" w:firstLineChars="200"/>
        <w:rPr>
          <w:rFonts w:hint="eastAsia" w:eastAsia="宋体"/>
          <w:bCs/>
          <w:color w:val="auto"/>
          <w:sz w:val="24"/>
          <w:szCs w:val="24"/>
          <w:highlight w:val="none"/>
          <w:lang w:val="en-US" w:eastAsia="zh-CN"/>
        </w:rPr>
      </w:pPr>
      <w:r>
        <w:rPr>
          <w:rFonts w:hint="eastAsia"/>
          <w:bCs/>
          <w:color w:val="auto"/>
          <w:sz w:val="24"/>
          <w:szCs w:val="24"/>
          <w:highlight w:val="none"/>
        </w:rPr>
        <w:t>（</w:t>
      </w:r>
      <w:r>
        <w:rPr>
          <w:rFonts w:hint="eastAsia"/>
          <w:bCs/>
          <w:color w:val="auto"/>
          <w:sz w:val="24"/>
          <w:szCs w:val="24"/>
          <w:highlight w:val="none"/>
          <w:lang w:val="en-US" w:eastAsia="zh-CN"/>
        </w:rPr>
        <w:t>5</w:t>
      </w:r>
      <w:r>
        <w:rPr>
          <w:rFonts w:hint="eastAsia"/>
          <w:bCs/>
          <w:color w:val="auto"/>
          <w:sz w:val="24"/>
          <w:szCs w:val="24"/>
          <w:highlight w:val="none"/>
        </w:rPr>
        <w:t>）因成交供应商原因导致抽检异议被认可的，将不予结算该批次费用。供应商的检测判定结果，如果出现复检改判检测结论，结论被推翻的，供应商应当承担每批次违约金5000元，同时由供应商承担复检费用。抽检异议（不包含复检改判结论的）被认可的，且检验报告被推翻的，供应商应当承担每批次违约金5000元。如因供应商原因造成采购人实施的行政处罚在听证复议中被撤销或在上级案件审查中被判错案的，供应商应当承担每起案件10000元的违约金：如造成采购人实施的行政处罚在诉讼中败诉的，供应商应当承担每起案件(包括一审、二审及再审)50000元的违约金。如发生上述违约行为的，双方协商，成交供应商可向采购人支付违约金或最终一次性在合同款项中扣除。上述违约金累计结算。</w:t>
      </w:r>
    </w:p>
    <w:p w14:paraId="0C1117DA">
      <w:pPr>
        <w:spacing w:line="560" w:lineRule="exact"/>
        <w:ind w:firstLine="480" w:firstLineChars="200"/>
        <w:rPr>
          <w:bCs/>
          <w:color w:val="auto"/>
          <w:sz w:val="24"/>
          <w:szCs w:val="24"/>
          <w:highlight w:val="none"/>
        </w:rPr>
      </w:pPr>
      <w:r>
        <w:rPr>
          <w:rFonts w:hint="eastAsia"/>
          <w:bCs/>
          <w:color w:val="auto"/>
          <w:sz w:val="24"/>
          <w:szCs w:val="24"/>
          <w:highlight w:val="none"/>
        </w:rPr>
        <w:t>（</w:t>
      </w:r>
      <w:r>
        <w:rPr>
          <w:rFonts w:hint="eastAsia"/>
          <w:bCs/>
          <w:color w:val="auto"/>
          <w:sz w:val="24"/>
          <w:szCs w:val="24"/>
          <w:highlight w:val="none"/>
          <w:lang w:val="en-US" w:eastAsia="zh-CN"/>
        </w:rPr>
        <w:t>6</w:t>
      </w:r>
      <w:r>
        <w:rPr>
          <w:rFonts w:hint="eastAsia"/>
          <w:bCs/>
          <w:color w:val="auto"/>
          <w:sz w:val="24"/>
          <w:szCs w:val="24"/>
          <w:highlight w:val="none"/>
        </w:rPr>
        <w:t>）采购人根据采购文件要求，每三个月随机对供应商保存从抽样到出具检验报告的全过程音像视频记录进行抽查（随机抽查3个批次）；对供应商对于冷藏、冷冻或有其他特殊贮运条件等要求的样品，自行运输及全程跟踪记录温度变化情况进行抽查。每缺少一批次扣款1000元，视频记录不符合约定要求每批次扣款500元。</w:t>
      </w:r>
    </w:p>
    <w:p w14:paraId="44458832">
      <w:pPr>
        <w:spacing w:line="560" w:lineRule="exact"/>
        <w:ind w:firstLine="480" w:firstLineChars="200"/>
        <w:rPr>
          <w:rFonts w:hint="eastAsia"/>
          <w:bCs/>
          <w:color w:val="auto"/>
          <w:sz w:val="24"/>
          <w:szCs w:val="24"/>
          <w:highlight w:val="none"/>
        </w:rPr>
      </w:pPr>
      <w:r>
        <w:rPr>
          <w:rFonts w:hint="eastAsia"/>
          <w:bCs/>
          <w:color w:val="auto"/>
          <w:sz w:val="24"/>
          <w:szCs w:val="24"/>
          <w:highlight w:val="none"/>
        </w:rPr>
        <w:t>（</w:t>
      </w:r>
      <w:r>
        <w:rPr>
          <w:rFonts w:hint="eastAsia"/>
          <w:bCs/>
          <w:color w:val="auto"/>
          <w:sz w:val="24"/>
          <w:szCs w:val="24"/>
          <w:highlight w:val="none"/>
          <w:lang w:val="en-US" w:eastAsia="zh-CN"/>
        </w:rPr>
        <w:t>7</w:t>
      </w:r>
      <w:r>
        <w:rPr>
          <w:rFonts w:hint="eastAsia"/>
          <w:bCs/>
          <w:color w:val="auto"/>
          <w:sz w:val="24"/>
          <w:szCs w:val="24"/>
          <w:highlight w:val="none"/>
        </w:rPr>
        <w:t>）采购人在合约履行期间，组织对供应商的合格备份样品进行留样再测，有一批次不符合（结论改变：留样再测机构不低于两家，再测机构与初检机构结论不一致的，判为不合格）的扣款5000元。</w:t>
      </w:r>
    </w:p>
    <w:p w14:paraId="77459A3C">
      <w:pPr>
        <w:spacing w:line="560" w:lineRule="exact"/>
        <w:ind w:firstLine="480" w:firstLineChars="200"/>
        <w:rPr>
          <w:bCs/>
          <w:color w:val="auto"/>
          <w:sz w:val="24"/>
          <w:szCs w:val="24"/>
          <w:highlight w:val="none"/>
        </w:rPr>
      </w:pPr>
      <w:r>
        <w:rPr>
          <w:rFonts w:hint="eastAsia"/>
          <w:bCs/>
          <w:color w:val="auto"/>
          <w:sz w:val="24"/>
          <w:szCs w:val="24"/>
          <w:highlight w:val="none"/>
        </w:rPr>
        <w:t>（</w:t>
      </w:r>
      <w:r>
        <w:rPr>
          <w:rFonts w:hint="eastAsia"/>
          <w:bCs/>
          <w:color w:val="auto"/>
          <w:sz w:val="24"/>
          <w:szCs w:val="24"/>
          <w:highlight w:val="none"/>
          <w:lang w:val="en-US" w:eastAsia="zh-CN"/>
        </w:rPr>
        <w:t>8</w:t>
      </w:r>
      <w:r>
        <w:rPr>
          <w:rFonts w:hint="eastAsia"/>
          <w:bCs/>
          <w:color w:val="auto"/>
          <w:sz w:val="24"/>
          <w:szCs w:val="24"/>
          <w:highlight w:val="none"/>
        </w:rPr>
        <w:t>）采购人将对每个采购包随机抽取10个批次，每有一个批次检测未达到</w:t>
      </w:r>
      <w:r>
        <w:rPr>
          <w:rFonts w:hint="eastAsia"/>
          <w:bCs/>
          <w:color w:val="auto"/>
          <w:sz w:val="24"/>
          <w:szCs w:val="24"/>
          <w:highlight w:val="none"/>
          <w:lang w:val="en-US" w:eastAsia="zh-CN"/>
        </w:rPr>
        <w:t>采购文件中约定的</w:t>
      </w:r>
      <w:r>
        <w:rPr>
          <w:rFonts w:hint="eastAsia"/>
          <w:bCs/>
          <w:color w:val="auto"/>
          <w:sz w:val="24"/>
          <w:szCs w:val="24"/>
          <w:highlight w:val="none"/>
        </w:rPr>
        <w:t>要求，扣3000.00元。若10个批次的所检项目均未达到约定要求，将扣除合同价款的10%。</w:t>
      </w:r>
    </w:p>
    <w:p w14:paraId="6FDF6901">
      <w:pPr>
        <w:pStyle w:val="21"/>
        <w:numPr>
          <w:ilvl w:val="0"/>
          <w:numId w:val="0"/>
        </w:numPr>
        <w:ind w:left="0" w:leftChars="0" w:firstLine="480" w:firstLineChars="200"/>
        <w:rPr>
          <w:rFonts w:hint="default"/>
          <w:bCs/>
          <w:color w:val="auto"/>
          <w:sz w:val="24"/>
          <w:szCs w:val="24"/>
          <w:highlight w:val="none"/>
          <w:lang w:val="en-US" w:eastAsia="zh-CN"/>
        </w:rPr>
      </w:pPr>
      <w:r>
        <w:rPr>
          <w:rFonts w:hint="default"/>
          <w:bCs/>
          <w:color w:val="auto"/>
          <w:sz w:val="24"/>
          <w:szCs w:val="24"/>
          <w:highlight w:val="none"/>
          <w:lang w:val="en-US" w:eastAsia="zh-CN"/>
        </w:rPr>
        <w:t>（</w:t>
      </w:r>
      <w:r>
        <w:rPr>
          <w:rFonts w:hint="eastAsia"/>
          <w:bCs/>
          <w:color w:val="auto"/>
          <w:sz w:val="24"/>
          <w:szCs w:val="24"/>
          <w:highlight w:val="none"/>
          <w:lang w:val="en-US" w:eastAsia="zh-CN"/>
        </w:rPr>
        <w:t>9</w:t>
      </w:r>
      <w:r>
        <w:rPr>
          <w:rFonts w:hint="default"/>
          <w:bCs/>
          <w:color w:val="auto"/>
          <w:sz w:val="24"/>
          <w:szCs w:val="24"/>
          <w:highlight w:val="none"/>
          <w:lang w:val="en-US" w:eastAsia="zh-CN"/>
        </w:rPr>
        <w:t>）对于本项目生产环节检验批的成交供应商所检测项目同一批次产品在其他区域（或上级主管）部门随机抽检发现不合格的，经采购人确认核实存在结论有误情形的，采购人将扣除成交供应商合同价款的5%，并扣减承接检测任务数量的10%。</w:t>
      </w:r>
    </w:p>
    <w:p w14:paraId="164683A6">
      <w:pPr>
        <w:pStyle w:val="21"/>
        <w:numPr>
          <w:ilvl w:val="0"/>
          <w:numId w:val="0"/>
        </w:numPr>
        <w:ind w:left="0" w:leftChars="0" w:firstLine="480" w:firstLineChars="200"/>
        <w:rPr>
          <w:rFonts w:hint="default"/>
          <w:bCs/>
          <w:color w:val="auto"/>
          <w:sz w:val="24"/>
          <w:szCs w:val="24"/>
          <w:highlight w:val="none"/>
          <w:lang w:val="en-US" w:eastAsia="zh-CN"/>
        </w:rPr>
      </w:pPr>
      <w:r>
        <w:rPr>
          <w:rFonts w:hint="default"/>
          <w:bCs/>
          <w:color w:val="auto"/>
          <w:sz w:val="24"/>
          <w:szCs w:val="24"/>
          <w:highlight w:val="none"/>
          <w:lang w:val="en-US" w:eastAsia="zh-CN"/>
        </w:rPr>
        <w:t>（</w:t>
      </w:r>
      <w:r>
        <w:rPr>
          <w:rFonts w:hint="eastAsia"/>
          <w:bCs/>
          <w:color w:val="auto"/>
          <w:sz w:val="24"/>
          <w:szCs w:val="24"/>
          <w:highlight w:val="none"/>
          <w:lang w:val="en-US" w:eastAsia="zh-CN"/>
        </w:rPr>
        <w:t>10</w:t>
      </w:r>
      <w:r>
        <w:rPr>
          <w:rFonts w:hint="default"/>
          <w:bCs/>
          <w:color w:val="auto"/>
          <w:sz w:val="24"/>
          <w:szCs w:val="24"/>
          <w:highlight w:val="none"/>
          <w:lang w:val="en-US" w:eastAsia="zh-CN"/>
        </w:rPr>
        <w:t>）若采购人发现成交供应商未按检测要求时限开展检验并出具检验报告，相关批次的检测费用不予结算。</w:t>
      </w:r>
    </w:p>
    <w:p w14:paraId="361B32E6">
      <w:pPr>
        <w:pStyle w:val="21"/>
        <w:numPr>
          <w:ilvl w:val="0"/>
          <w:numId w:val="0"/>
        </w:numPr>
        <w:ind w:left="0" w:leftChars="0" w:firstLine="480" w:firstLineChars="200"/>
        <w:rPr>
          <w:rFonts w:hint="default"/>
          <w:bCs/>
          <w:color w:val="auto"/>
          <w:sz w:val="24"/>
          <w:szCs w:val="24"/>
          <w:highlight w:val="none"/>
          <w:lang w:val="en-US" w:eastAsia="zh-CN"/>
        </w:rPr>
      </w:pPr>
      <w:r>
        <w:rPr>
          <w:rFonts w:hint="default"/>
          <w:bCs/>
          <w:color w:val="auto"/>
          <w:sz w:val="24"/>
          <w:szCs w:val="24"/>
          <w:highlight w:val="none"/>
          <w:lang w:val="en-US" w:eastAsia="zh-CN"/>
        </w:rPr>
        <w:t>（</w:t>
      </w:r>
      <w:r>
        <w:rPr>
          <w:rFonts w:hint="eastAsia"/>
          <w:bCs/>
          <w:color w:val="auto"/>
          <w:sz w:val="24"/>
          <w:szCs w:val="24"/>
          <w:highlight w:val="none"/>
          <w:lang w:val="en-US" w:eastAsia="zh-CN"/>
        </w:rPr>
        <w:t>11</w:t>
      </w:r>
      <w:r>
        <w:rPr>
          <w:rFonts w:hint="default"/>
          <w:bCs/>
          <w:color w:val="auto"/>
          <w:sz w:val="24"/>
          <w:szCs w:val="24"/>
          <w:highlight w:val="none"/>
          <w:lang w:val="en-US" w:eastAsia="zh-CN"/>
        </w:rPr>
        <w:t>）供应商在抽检过程中被发现违法违规，采购人有权取消承检机构的抽检任务资格。发现成交供应商在本项目检测中存在弄虚作假的，经采购人发现或上级主管部门通报的，收回按照合同支付的抽样检测费用，不再委托其承担食品安全抽样检验任务，解除采购合同，并追究因此产生的相关损失。</w:t>
      </w:r>
    </w:p>
    <w:p w14:paraId="75CD6FB2">
      <w:pPr>
        <w:pStyle w:val="21"/>
        <w:numPr>
          <w:ilvl w:val="0"/>
          <w:numId w:val="0"/>
        </w:numPr>
        <w:ind w:left="0" w:leftChars="0" w:firstLine="480" w:firstLineChars="200"/>
        <w:rPr>
          <w:rFonts w:hint="default"/>
          <w:bCs/>
          <w:color w:val="auto"/>
          <w:sz w:val="24"/>
          <w:szCs w:val="24"/>
          <w:highlight w:val="none"/>
          <w:lang w:val="en-US" w:eastAsia="zh-CN"/>
        </w:rPr>
      </w:pPr>
      <w:r>
        <w:rPr>
          <w:rFonts w:hint="default"/>
          <w:bCs/>
          <w:color w:val="auto"/>
          <w:sz w:val="24"/>
          <w:szCs w:val="24"/>
          <w:highlight w:val="none"/>
          <w:lang w:val="en-US" w:eastAsia="zh-CN"/>
        </w:rPr>
        <w:t>（</w:t>
      </w:r>
      <w:r>
        <w:rPr>
          <w:rFonts w:hint="eastAsia"/>
          <w:bCs/>
          <w:color w:val="auto"/>
          <w:sz w:val="24"/>
          <w:szCs w:val="24"/>
          <w:highlight w:val="none"/>
          <w:lang w:val="en-US" w:eastAsia="zh-CN"/>
        </w:rPr>
        <w:t>12</w:t>
      </w:r>
      <w:r>
        <w:rPr>
          <w:rFonts w:hint="default"/>
          <w:bCs/>
          <w:color w:val="auto"/>
          <w:sz w:val="24"/>
          <w:szCs w:val="24"/>
          <w:highlight w:val="none"/>
          <w:lang w:val="en-US" w:eastAsia="zh-CN"/>
        </w:rPr>
        <w:t>）成交供应商应对所提供的服务项目与合同要求不符、或服务过程出现的失误按下述情形及规定承担相应责任：除法律规定的不可抗力原因外，抽样检测服务正常工作不得中断；若需中断，成交供应商必须向采购人提出书面申请，待采购人书面批准后方可延期，否则不予认可。</w:t>
      </w:r>
    </w:p>
    <w:p w14:paraId="5B4C14BB">
      <w:pPr>
        <w:numPr>
          <w:ilvl w:val="0"/>
          <w:numId w:val="0"/>
        </w:numPr>
        <w:ind w:firstLine="480" w:firstLineChars="200"/>
        <w:rPr>
          <w:color w:val="auto"/>
          <w:sz w:val="24"/>
          <w:szCs w:val="24"/>
          <w:highlight w:val="none"/>
        </w:rPr>
      </w:pPr>
      <w:r>
        <w:rPr>
          <w:rFonts w:hint="eastAsia"/>
          <w:color w:val="auto"/>
          <w:sz w:val="24"/>
          <w:szCs w:val="24"/>
          <w:highlight w:val="none"/>
        </w:rPr>
        <w:t>7.采购标的的其他技术、服务等要求：</w:t>
      </w:r>
    </w:p>
    <w:p w14:paraId="3746D8EF">
      <w:pPr>
        <w:spacing w:line="560" w:lineRule="exact"/>
        <w:ind w:firstLine="480" w:firstLineChars="200"/>
        <w:rPr>
          <w:color w:val="auto"/>
          <w:sz w:val="24"/>
          <w:szCs w:val="24"/>
          <w:highlight w:val="none"/>
        </w:rPr>
      </w:pPr>
      <w:r>
        <w:rPr>
          <w:rFonts w:hint="eastAsia"/>
          <w:color w:val="auto"/>
          <w:sz w:val="24"/>
          <w:szCs w:val="24"/>
          <w:highlight w:val="none"/>
        </w:rPr>
        <w:t>7.1采购人提供给供应商基础技术材料与政策文件以及反映采购人要求的或其他类似性质的文件的著作权属于采购人，供应商可以为实现合同目的而复制、使用此类文件，但不能用于与合同无关的其他事项；供应商为实施合同所编制的文件的著作权属于采购人，供应商可因实施合同目的需要而复制、使用此类文件，但不能用于与合同无关的其他事项；供应商保证在履行合同过程中不侵犯对方及第三方的知识产权，如在实施合同时侵犯他人的专利权或其他知识产权所引起的责任，由供应商承担。</w:t>
      </w:r>
    </w:p>
    <w:p w14:paraId="4CF5A1C3">
      <w:pPr>
        <w:spacing w:line="560" w:lineRule="exact"/>
        <w:ind w:firstLine="480" w:firstLineChars="200"/>
        <w:rPr>
          <w:color w:val="auto"/>
          <w:sz w:val="24"/>
          <w:szCs w:val="24"/>
          <w:highlight w:val="none"/>
        </w:rPr>
      </w:pPr>
      <w:r>
        <w:rPr>
          <w:rFonts w:hint="eastAsia"/>
          <w:color w:val="auto"/>
          <w:sz w:val="24"/>
          <w:szCs w:val="24"/>
          <w:highlight w:val="none"/>
        </w:rPr>
        <w:t>8.（1）非单一产品采购项目，采购标的中的核心产品：无</w:t>
      </w:r>
    </w:p>
    <w:p w14:paraId="18EC82AC">
      <w:pPr>
        <w:spacing w:line="560" w:lineRule="exact"/>
        <w:ind w:firstLine="480" w:firstLineChars="200"/>
        <w:rPr>
          <w:rFonts w:hint="eastAsia" w:eastAsia="宋体"/>
          <w:color w:val="auto"/>
          <w:sz w:val="24"/>
          <w:szCs w:val="24"/>
          <w:highlight w:val="none"/>
          <w:lang w:eastAsia="zh-CN"/>
        </w:rPr>
      </w:pPr>
      <w:r>
        <w:rPr>
          <w:rFonts w:hint="eastAsia"/>
          <w:color w:val="auto"/>
          <w:sz w:val="24"/>
          <w:szCs w:val="24"/>
          <w:highlight w:val="none"/>
        </w:rPr>
        <w:t>（2）本项目的主要标的：</w:t>
      </w:r>
      <w:r>
        <w:rPr>
          <w:rFonts w:hint="eastAsia"/>
          <w:color w:val="auto"/>
          <w:sz w:val="24"/>
          <w:szCs w:val="24"/>
          <w:highlight w:val="none"/>
          <w:lang w:eastAsia="zh-CN"/>
        </w:rPr>
        <w:t>海安市市场监督管理局2026年食品抽检服务项目</w:t>
      </w:r>
    </w:p>
    <w:p w14:paraId="5F1DE441">
      <w:pPr>
        <w:spacing w:line="560" w:lineRule="exact"/>
        <w:ind w:firstLine="480" w:firstLineChars="200"/>
        <w:rPr>
          <w:rFonts w:hint="default" w:eastAsia="宋体"/>
          <w:color w:val="auto"/>
          <w:sz w:val="24"/>
          <w:szCs w:val="24"/>
          <w:highlight w:val="none"/>
          <w:lang w:val="en-US" w:eastAsia="zh-CN"/>
        </w:rPr>
      </w:pPr>
      <w:r>
        <w:rPr>
          <w:rFonts w:hint="eastAsia"/>
          <w:color w:val="auto"/>
          <w:sz w:val="24"/>
          <w:szCs w:val="24"/>
          <w:highlight w:val="none"/>
        </w:rPr>
        <w:t>9.采购需求中必须满足的实质性要求：本项目的食品安全抽检工作严格遵照《食品安全抽样检验管理办法》、市场监管总监制定的《食品安全抽样检验工作规范》（市监食检发[2023]76号）、《食品安全监督抽检实施细则》</w:t>
      </w:r>
      <w:r>
        <w:rPr>
          <w:rFonts w:hint="eastAsia"/>
          <w:color w:val="auto"/>
          <w:sz w:val="24"/>
          <w:szCs w:val="24"/>
          <w:highlight w:val="none"/>
          <w:lang w:val="en-US" w:eastAsia="zh-CN"/>
        </w:rPr>
        <w:t>最新</w:t>
      </w:r>
      <w:r>
        <w:rPr>
          <w:rFonts w:hint="eastAsia"/>
          <w:color w:val="auto"/>
          <w:sz w:val="24"/>
          <w:szCs w:val="24"/>
          <w:highlight w:val="none"/>
        </w:rPr>
        <w:t>版、市场监管总局《食用农产品抽样检验和核查处置规定》和江苏省、南通市、海安市市场监督管理局相关要求执行，并符合其他食品安全抽检工作的规定要求。</w:t>
      </w:r>
      <w:r>
        <w:rPr>
          <w:rFonts w:hint="eastAsia" w:ascii="Times New Roman" w:eastAsia="宋体"/>
          <w:color w:val="auto"/>
          <w:sz w:val="24"/>
          <w:szCs w:val="24"/>
          <w:highlight w:val="none"/>
          <w:lang w:val="en-US" w:eastAsia="zh-CN"/>
        </w:rPr>
        <w:t>如果在项目实施过程中有相关政策调整或法律法规变更的，则以最新要求为准。</w:t>
      </w:r>
    </w:p>
    <w:p w14:paraId="6D26F5CD">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10.付款方式</w:t>
      </w:r>
    </w:p>
    <w:p w14:paraId="3D87F812">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10.1</w:t>
      </w:r>
      <w:r>
        <w:rPr>
          <w:rFonts w:hint="eastAsia" w:ascii="宋体" w:hAnsi="宋体"/>
          <w:color w:val="auto"/>
          <w:sz w:val="24"/>
          <w:szCs w:val="24"/>
          <w:highlight w:val="none"/>
        </w:rPr>
        <w:t>第一次付款：按采购方要求，签定合同后</w:t>
      </w:r>
      <w:r>
        <w:rPr>
          <w:rFonts w:hint="eastAsia" w:ascii="宋体" w:hAnsi="宋体"/>
          <w:color w:val="auto"/>
          <w:sz w:val="24"/>
          <w:szCs w:val="24"/>
          <w:highlight w:val="none"/>
          <w:lang w:val="en-US" w:eastAsia="zh-CN"/>
        </w:rPr>
        <w:t>30日内</w:t>
      </w:r>
      <w:r>
        <w:rPr>
          <w:rFonts w:hint="eastAsia" w:ascii="宋体" w:hAnsi="宋体"/>
          <w:color w:val="auto"/>
          <w:sz w:val="24"/>
          <w:szCs w:val="24"/>
          <w:highlight w:val="none"/>
        </w:rPr>
        <w:t>付合同价的40%作为预付款；</w:t>
      </w:r>
    </w:p>
    <w:p w14:paraId="50BA7FC0">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2第二次付款（2026年12月）</w:t>
      </w:r>
    </w:p>
    <w:p w14:paraId="024588B4">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（1）采购包</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：任务完成后根据验收</w:t>
      </w:r>
      <w:r>
        <w:rPr>
          <w:rFonts w:hint="eastAsia" w:ascii="宋体" w:hAnsi="宋体"/>
          <w:color w:val="auto"/>
          <w:sz w:val="24"/>
          <w:szCs w:val="24"/>
          <w:highlight w:val="none"/>
          <w:lang w:val="en-US" w:eastAsia="zh-CN"/>
        </w:rPr>
        <w:t>情况</w:t>
      </w:r>
      <w:r>
        <w:rPr>
          <w:rFonts w:hint="eastAsia" w:ascii="宋体" w:hAnsi="宋体"/>
          <w:color w:val="auto"/>
          <w:sz w:val="24"/>
          <w:szCs w:val="24"/>
          <w:highlight w:val="none"/>
        </w:rPr>
        <w:t>结算支付余款。</w:t>
      </w:r>
    </w:p>
    <w:p w14:paraId="182B24A9">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（2）采购包</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、包3：</w:t>
      </w:r>
      <w:r>
        <w:rPr>
          <w:rFonts w:hint="eastAsia" w:ascii="宋体" w:hAnsi="宋体"/>
          <w:color w:val="auto"/>
          <w:sz w:val="24"/>
          <w:szCs w:val="24"/>
          <w:highlight w:val="none"/>
          <w:lang w:val="en-US" w:eastAsia="zh-CN"/>
        </w:rPr>
        <w:t>对已完成批次</w:t>
      </w:r>
      <w:r>
        <w:rPr>
          <w:rFonts w:hint="eastAsia" w:ascii="宋体" w:hAnsi="宋体"/>
          <w:color w:val="auto"/>
          <w:sz w:val="24"/>
          <w:szCs w:val="24"/>
          <w:highlight w:val="none"/>
        </w:rPr>
        <w:t>根据验收</w:t>
      </w:r>
      <w:r>
        <w:rPr>
          <w:rFonts w:hint="eastAsia" w:ascii="宋体" w:hAnsi="宋体"/>
          <w:color w:val="auto"/>
          <w:sz w:val="24"/>
          <w:szCs w:val="24"/>
          <w:highlight w:val="none"/>
          <w:lang w:val="en-US" w:eastAsia="zh-CN"/>
        </w:rPr>
        <w:t>情况计算应付款项，付至应付款项的90%</w:t>
      </w:r>
      <w:r>
        <w:rPr>
          <w:rFonts w:hint="eastAsia" w:ascii="宋体" w:hAnsi="宋体"/>
          <w:color w:val="auto"/>
          <w:sz w:val="24"/>
          <w:szCs w:val="24"/>
          <w:highlight w:val="none"/>
        </w:rPr>
        <w:t>；</w:t>
      </w:r>
    </w:p>
    <w:p w14:paraId="382624CF">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3第</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rPr>
        <w:t>次付款（2027年5月）</w:t>
      </w:r>
    </w:p>
    <w:p w14:paraId="5706B816">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采购包</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、包3：任务完成后</w:t>
      </w:r>
      <w:r>
        <w:rPr>
          <w:rFonts w:hint="eastAsia" w:ascii="宋体" w:hAnsi="宋体"/>
          <w:color w:val="auto"/>
          <w:sz w:val="24"/>
          <w:szCs w:val="24"/>
          <w:highlight w:val="none"/>
          <w:lang w:val="en-US" w:eastAsia="zh-CN"/>
        </w:rPr>
        <w:t>对未验收的批次</w:t>
      </w:r>
      <w:r>
        <w:rPr>
          <w:rFonts w:hint="eastAsia" w:ascii="宋体" w:hAnsi="宋体"/>
          <w:color w:val="auto"/>
          <w:sz w:val="24"/>
          <w:szCs w:val="24"/>
          <w:highlight w:val="none"/>
        </w:rPr>
        <w:t>根据验收结果结算支付余款。</w:t>
      </w:r>
    </w:p>
    <w:p w14:paraId="22CCBC0A">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4其他说明：如因采购人实际需求，服务量发生变化，中标供应商须满足采购人需求，确保服务质量并及时调整；综合单价不变。综合单价按“投标报价/中标标段批次总数”执行，最终付款金额不得超过此采购包的中标价。</w:t>
      </w:r>
    </w:p>
    <w:p w14:paraId="00E67708">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备注：成交供应商在进行结算时须提供下列单据:正式税务发票(加盖公章)、</w:t>
      </w:r>
      <w:r>
        <w:rPr>
          <w:rFonts w:hint="eastAsia" w:ascii="宋体" w:hAnsi="宋体"/>
          <w:color w:val="auto"/>
          <w:sz w:val="24"/>
          <w:szCs w:val="24"/>
          <w:highlight w:val="none"/>
          <w:lang w:val="en-US" w:eastAsia="zh-CN"/>
        </w:rPr>
        <w:t>分析报告、</w:t>
      </w:r>
      <w:r>
        <w:rPr>
          <w:rFonts w:hint="eastAsia" w:ascii="宋体" w:hAnsi="宋体"/>
          <w:color w:val="auto"/>
          <w:sz w:val="24"/>
          <w:szCs w:val="24"/>
          <w:highlight w:val="none"/>
        </w:rPr>
        <w:t>抽样检验信息汇总表(加盖公章)及电子档。</w:t>
      </w:r>
    </w:p>
    <w:p w14:paraId="27145154">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11.履约保证金：</w:t>
      </w:r>
    </w:p>
    <w:p w14:paraId="67455C9A">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11.1本项目免收履约保证金。</w:t>
      </w:r>
    </w:p>
    <w:p w14:paraId="65376DB7">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11.1本项目成交后的履约保证金为项目成交价的</w:t>
      </w:r>
      <w:r>
        <w:rPr>
          <w:rFonts w:hint="eastAsia" w:ascii="宋体" w:hAnsi="宋体"/>
          <w:color w:val="auto"/>
          <w:sz w:val="24"/>
          <w:szCs w:val="24"/>
          <w:highlight w:val="none"/>
          <w:u w:val="single"/>
        </w:rPr>
        <w:t xml:space="preserve"> 0 </w:t>
      </w:r>
      <w:r>
        <w:rPr>
          <w:rFonts w:hint="eastAsia" w:ascii="宋体" w:hAnsi="宋体"/>
          <w:color w:val="auto"/>
          <w:sz w:val="24"/>
          <w:szCs w:val="24"/>
          <w:highlight w:val="none"/>
        </w:rPr>
        <w:t>%。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p>
    <w:p w14:paraId="354333FA">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p>
    <w:p w14:paraId="440E2890">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11.3发生以下情况的，履约保证金不予退还或部分退还：</w:t>
      </w:r>
    </w:p>
    <w:p w14:paraId="055C93C3">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72DFD2AC">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F577D7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12.合同条款：详见附件</w:t>
      </w:r>
    </w:p>
    <w:p w14:paraId="711E4AEE">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13.演示要求：无</w:t>
      </w:r>
    </w:p>
    <w:p w14:paraId="6AA67CD7">
      <w:pPr>
        <w:pStyle w:val="58"/>
        <w:rPr>
          <w:rFonts w:ascii="宋体" w:hAnsi="宋体"/>
          <w:color w:val="auto"/>
          <w:sz w:val="24"/>
          <w:szCs w:val="24"/>
          <w:highlight w:val="none"/>
        </w:rPr>
        <w:sectPr>
          <w:pgSz w:w="11906" w:h="16838"/>
          <w:pgMar w:top="1418" w:right="1588" w:bottom="1418" w:left="1365" w:header="851" w:footer="907" w:gutter="0"/>
          <w:pgNumType w:chapStyle="1"/>
          <w:cols w:space="720" w:num="1"/>
          <w:titlePg/>
          <w:docGrid w:type="lines" w:linePitch="290" w:charSpace="0"/>
        </w:sectPr>
      </w:pPr>
    </w:p>
    <w:p w14:paraId="5051875E">
      <w:pPr>
        <w:pStyle w:val="58"/>
        <w:ind w:firstLine="0" w:firstLineChars="0"/>
        <w:rPr>
          <w:rFonts w:ascii="宋体" w:hAnsi="宋体"/>
          <w:color w:val="auto"/>
          <w:sz w:val="24"/>
          <w:szCs w:val="24"/>
          <w:highlight w:val="none"/>
        </w:rPr>
      </w:pPr>
      <w:r>
        <w:rPr>
          <w:rFonts w:hint="eastAsia" w:ascii="宋体" w:hAnsi="宋体"/>
          <w:color w:val="auto"/>
          <w:sz w:val="24"/>
          <w:szCs w:val="24"/>
          <w:highlight w:val="none"/>
        </w:rPr>
        <w:t>附件：合同格式</w:t>
      </w:r>
    </w:p>
    <w:p w14:paraId="48797449">
      <w:pPr>
        <w:snapToGrid w:val="0"/>
        <w:spacing w:before="145" w:beforeLines="50" w:after="145" w:afterLines="50"/>
        <w:jc w:val="center"/>
        <w:outlineLvl w:val="0"/>
        <w:rPr>
          <w:rFonts w:ascii="黑体" w:hAnsi="黑体" w:eastAsia="黑体"/>
          <w:bCs/>
          <w:color w:val="auto"/>
          <w:sz w:val="30"/>
          <w:szCs w:val="20"/>
          <w:highlight w:val="none"/>
        </w:rPr>
      </w:pPr>
      <w:r>
        <w:rPr>
          <w:rFonts w:hint="eastAsia" w:ascii="黑体" w:hAnsi="黑体" w:eastAsia="黑体"/>
          <w:color w:val="auto"/>
          <w:sz w:val="30"/>
          <w:szCs w:val="21"/>
          <w:highlight w:val="none"/>
        </w:rPr>
        <w:t>海安市政府采购合同（服务类）（合同编号）</w:t>
      </w:r>
    </w:p>
    <w:p w14:paraId="7AD8B3CD">
      <w:pPr>
        <w:snapToGrid w:val="0"/>
        <w:spacing w:before="120" w:after="120"/>
        <w:rPr>
          <w:rFonts w:ascii="宋体" w:hAnsi="宋体"/>
          <w:color w:val="auto"/>
          <w:sz w:val="24"/>
          <w:szCs w:val="24"/>
          <w:highlight w:val="none"/>
        </w:rPr>
      </w:pPr>
      <w:r>
        <w:rPr>
          <w:rFonts w:ascii="宋体" w:hAnsi="宋体"/>
          <w:color w:val="auto"/>
          <w:sz w:val="24"/>
          <w:szCs w:val="24"/>
          <w:highlight w:val="none"/>
        </w:rPr>
        <w:t>项目名称：                                       项目编号：</w:t>
      </w:r>
    </w:p>
    <w:p w14:paraId="55E3CAFD">
      <w:pPr>
        <w:snapToGrid w:val="0"/>
        <w:spacing w:before="120" w:after="120"/>
        <w:rPr>
          <w:rFonts w:ascii="宋体" w:hAnsi="宋体"/>
          <w:color w:val="auto"/>
          <w:sz w:val="24"/>
          <w:szCs w:val="24"/>
          <w:highlight w:val="none"/>
        </w:rPr>
      </w:pPr>
      <w:r>
        <w:rPr>
          <w:rFonts w:ascii="宋体" w:hAnsi="宋体"/>
          <w:color w:val="auto"/>
          <w:sz w:val="24"/>
          <w:szCs w:val="24"/>
          <w:highlight w:val="none"/>
        </w:rPr>
        <w:t>甲方：（买方）</w:t>
      </w:r>
      <w:r>
        <w:rPr>
          <w:rFonts w:hint="eastAsia" w:ascii="宋体" w:hAnsi="宋体"/>
          <w:color w:val="auto"/>
          <w:sz w:val="24"/>
          <w:szCs w:val="24"/>
          <w:highlight w:val="none"/>
          <w:u w:val="single"/>
        </w:rPr>
        <w:t xml:space="preserve">                        </w:t>
      </w:r>
    </w:p>
    <w:p w14:paraId="002C231C">
      <w:pPr>
        <w:snapToGrid w:val="0"/>
        <w:spacing w:before="120" w:after="120"/>
        <w:rPr>
          <w:rFonts w:ascii="宋体" w:hAnsi="宋体"/>
          <w:color w:val="auto"/>
          <w:sz w:val="24"/>
          <w:szCs w:val="24"/>
          <w:highlight w:val="none"/>
        </w:rPr>
      </w:pPr>
      <w:r>
        <w:rPr>
          <w:rFonts w:ascii="宋体" w:hAnsi="宋体"/>
          <w:color w:val="auto"/>
          <w:sz w:val="24"/>
          <w:szCs w:val="24"/>
          <w:highlight w:val="none"/>
        </w:rPr>
        <w:t>乙方：（卖方）</w:t>
      </w:r>
      <w:r>
        <w:rPr>
          <w:rFonts w:hint="eastAsia" w:ascii="宋体" w:hAnsi="宋体"/>
          <w:color w:val="auto"/>
          <w:sz w:val="24"/>
          <w:szCs w:val="24"/>
          <w:highlight w:val="none"/>
          <w:u w:val="single"/>
        </w:rPr>
        <w:t xml:space="preserve">                        </w:t>
      </w:r>
    </w:p>
    <w:p w14:paraId="01A3B8F0">
      <w:pPr>
        <w:snapToGrid w:val="0"/>
        <w:spacing w:before="120" w:after="120"/>
        <w:ind w:firstLine="480"/>
        <w:rPr>
          <w:rFonts w:ascii="宋体" w:hAnsi="宋体"/>
          <w:color w:val="auto"/>
          <w:sz w:val="24"/>
          <w:szCs w:val="24"/>
          <w:highlight w:val="none"/>
        </w:rPr>
      </w:pPr>
      <w:r>
        <w:rPr>
          <w:rFonts w:hint="eastAsia" w:ascii="宋体" w:hAnsi="宋体"/>
          <w:color w:val="auto"/>
          <w:sz w:val="24"/>
          <w:szCs w:val="24"/>
          <w:highlight w:val="none"/>
        </w:rPr>
        <w:t>根据《中华人民共和国民法典（合同编）》、《中华人民共和国政府采购法》等法律法规的规定以及</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项目采购结果，甲乙双方遵循平等、自愿、公平、诚实信用的原则，就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项目事宜经双方协商一致，订立本合同。</w:t>
      </w:r>
    </w:p>
    <w:p w14:paraId="67CB2662">
      <w:pPr>
        <w:snapToGrid w:val="0"/>
        <w:spacing w:before="120" w:after="120"/>
        <w:rPr>
          <w:rFonts w:ascii="宋体" w:hAnsi="宋体"/>
          <w:b/>
          <w:color w:val="auto"/>
          <w:sz w:val="24"/>
          <w:szCs w:val="24"/>
          <w:highlight w:val="none"/>
        </w:rPr>
      </w:pPr>
      <w:r>
        <w:rPr>
          <w:rFonts w:ascii="宋体" w:hAnsi="宋体"/>
          <w:b/>
          <w:color w:val="auto"/>
          <w:sz w:val="24"/>
          <w:szCs w:val="24"/>
          <w:highlight w:val="none"/>
        </w:rPr>
        <w:t>一、</w:t>
      </w:r>
      <w:r>
        <w:rPr>
          <w:rFonts w:hint="eastAsia" w:ascii="宋体" w:hAnsi="宋体"/>
          <w:b/>
          <w:color w:val="auto"/>
          <w:sz w:val="24"/>
          <w:szCs w:val="24"/>
          <w:highlight w:val="none"/>
        </w:rPr>
        <w:t>合同</w:t>
      </w:r>
      <w:r>
        <w:rPr>
          <w:rFonts w:ascii="宋体" w:hAnsi="宋体"/>
          <w:b/>
          <w:color w:val="auto"/>
          <w:sz w:val="24"/>
          <w:szCs w:val="24"/>
          <w:highlight w:val="none"/>
        </w:rPr>
        <w:t>内容</w:t>
      </w:r>
    </w:p>
    <w:p w14:paraId="5972A39D">
      <w:pPr>
        <w:snapToGrid w:val="0"/>
        <w:spacing w:before="120" w:after="120"/>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标的</w:t>
      </w:r>
      <w:r>
        <w:rPr>
          <w:rFonts w:ascii="宋体" w:hAnsi="宋体"/>
          <w:color w:val="auto"/>
          <w:sz w:val="24"/>
          <w:szCs w:val="24"/>
          <w:highlight w:val="none"/>
        </w:rPr>
        <w:t>名称：</w:t>
      </w:r>
    </w:p>
    <w:p w14:paraId="05647E21">
      <w:pPr>
        <w:snapToGrid w:val="0"/>
        <w:spacing w:before="120" w:after="120"/>
        <w:rPr>
          <w:rFonts w:ascii="宋体" w:hAnsi="宋体"/>
          <w:color w:val="auto"/>
          <w:sz w:val="24"/>
          <w:szCs w:val="24"/>
          <w:highlight w:val="none"/>
        </w:rPr>
      </w:pPr>
      <w:r>
        <w:rPr>
          <w:rFonts w:ascii="宋体" w:hAnsi="宋体"/>
          <w:color w:val="auto"/>
          <w:sz w:val="24"/>
          <w:szCs w:val="24"/>
          <w:highlight w:val="none"/>
        </w:rPr>
        <w:t>1.2</w:t>
      </w:r>
      <w:r>
        <w:rPr>
          <w:rFonts w:hint="eastAsia" w:ascii="宋体" w:hAnsi="宋体"/>
          <w:color w:val="auto"/>
          <w:sz w:val="24"/>
          <w:szCs w:val="24"/>
          <w:highlight w:val="none"/>
        </w:rPr>
        <w:t>标的质量：</w:t>
      </w:r>
    </w:p>
    <w:p w14:paraId="1400FD0B">
      <w:pPr>
        <w:snapToGrid w:val="0"/>
        <w:spacing w:before="120" w:after="120"/>
        <w:rPr>
          <w:rFonts w:ascii="宋体" w:hAnsi="宋体"/>
          <w:color w:val="auto"/>
          <w:sz w:val="24"/>
          <w:szCs w:val="24"/>
          <w:highlight w:val="none"/>
        </w:rPr>
      </w:pPr>
      <w:r>
        <w:rPr>
          <w:rFonts w:hint="eastAsia" w:ascii="宋体" w:hAnsi="宋体"/>
          <w:color w:val="auto"/>
          <w:sz w:val="24"/>
          <w:szCs w:val="24"/>
          <w:highlight w:val="none"/>
        </w:rPr>
        <w:t>1.3 服务内容及范围（规模）：</w:t>
      </w:r>
    </w:p>
    <w:p w14:paraId="5C78888B">
      <w:pPr>
        <w:snapToGrid w:val="0"/>
        <w:spacing w:before="120" w:after="120"/>
        <w:rPr>
          <w:rFonts w:ascii="宋体" w:hAnsi="宋体"/>
          <w:color w:val="auto"/>
          <w:sz w:val="24"/>
          <w:szCs w:val="24"/>
          <w:highlight w:val="none"/>
        </w:rPr>
      </w:pPr>
      <w:r>
        <w:rPr>
          <w:rFonts w:hint="eastAsia" w:ascii="宋体" w:hAnsi="宋体"/>
          <w:color w:val="auto"/>
          <w:sz w:val="24"/>
          <w:szCs w:val="24"/>
          <w:highlight w:val="none"/>
        </w:rPr>
        <w:t>1.4 履行时间（期限）：</w:t>
      </w:r>
    </w:p>
    <w:p w14:paraId="1AA52D14">
      <w:pPr>
        <w:snapToGrid w:val="0"/>
        <w:spacing w:before="120" w:after="120"/>
        <w:rPr>
          <w:rFonts w:ascii="宋体" w:hAnsi="宋体"/>
          <w:color w:val="auto"/>
          <w:sz w:val="24"/>
          <w:szCs w:val="24"/>
          <w:highlight w:val="none"/>
        </w:rPr>
      </w:pPr>
      <w:r>
        <w:rPr>
          <w:rFonts w:hint="eastAsia" w:ascii="宋体" w:hAnsi="宋体"/>
          <w:color w:val="auto"/>
          <w:sz w:val="24"/>
          <w:szCs w:val="24"/>
          <w:highlight w:val="none"/>
        </w:rPr>
        <w:t>1.5 履行地点：</w:t>
      </w:r>
    </w:p>
    <w:p w14:paraId="61D9687B">
      <w:pPr>
        <w:snapToGrid w:val="0"/>
        <w:spacing w:before="120" w:after="12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6履行方式：</w:t>
      </w:r>
    </w:p>
    <w:p w14:paraId="36A52C60">
      <w:pPr>
        <w:snapToGrid w:val="0"/>
        <w:spacing w:before="120" w:after="120"/>
        <w:rPr>
          <w:rFonts w:ascii="宋体" w:hAnsi="宋体"/>
          <w:b/>
          <w:color w:val="auto"/>
          <w:sz w:val="24"/>
          <w:szCs w:val="24"/>
          <w:highlight w:val="none"/>
        </w:rPr>
      </w:pPr>
      <w:r>
        <w:rPr>
          <w:rFonts w:ascii="宋体" w:hAnsi="宋体"/>
          <w:b/>
          <w:color w:val="auto"/>
          <w:sz w:val="24"/>
          <w:szCs w:val="24"/>
          <w:highlight w:val="none"/>
        </w:rPr>
        <w:t>二、合同金额</w:t>
      </w:r>
    </w:p>
    <w:p w14:paraId="30958DA1">
      <w:pPr>
        <w:snapToGrid w:val="0"/>
        <w:spacing w:before="120" w:after="120"/>
        <w:ind w:left="410" w:hanging="410" w:hangingChars="171"/>
        <w:rPr>
          <w:rFonts w:ascii="宋体" w:hAnsi="宋体" w:cs="Courier New"/>
          <w:color w:val="auto"/>
          <w:sz w:val="24"/>
          <w:szCs w:val="24"/>
          <w:highlight w:val="none"/>
        </w:rPr>
      </w:pPr>
      <w:r>
        <w:rPr>
          <w:rFonts w:ascii="宋体" w:hAnsi="宋体" w:cs="Courier New"/>
          <w:color w:val="auto"/>
          <w:sz w:val="24"/>
          <w:szCs w:val="24"/>
          <w:highlight w:val="none"/>
        </w:rPr>
        <w:t>2.1 本合同金额为（大写）：____________________________________</w:t>
      </w:r>
      <w:r>
        <w:rPr>
          <w:rFonts w:hint="eastAsia" w:ascii="宋体" w:hAnsi="宋体" w:cs="Courier New"/>
          <w:color w:val="auto"/>
          <w:sz w:val="24"/>
          <w:szCs w:val="24"/>
          <w:highlight w:val="none"/>
        </w:rPr>
        <w:t>圆</w:t>
      </w:r>
      <w:r>
        <w:rPr>
          <w:rFonts w:ascii="宋体" w:hAnsi="宋体" w:cs="Courier New"/>
          <w:color w:val="auto"/>
          <w:sz w:val="24"/>
          <w:szCs w:val="24"/>
          <w:highlight w:val="none"/>
        </w:rPr>
        <w:t>（_______________元）</w:t>
      </w:r>
      <w:r>
        <w:rPr>
          <w:rFonts w:ascii="宋体" w:hAnsi="宋体"/>
          <w:color w:val="auto"/>
          <w:sz w:val="24"/>
          <w:szCs w:val="24"/>
          <w:highlight w:val="none"/>
        </w:rPr>
        <w:t>人民币</w:t>
      </w:r>
      <w:r>
        <w:rPr>
          <w:rFonts w:ascii="宋体" w:hAnsi="宋体" w:cs="Courier New"/>
          <w:color w:val="auto"/>
          <w:sz w:val="24"/>
          <w:szCs w:val="24"/>
          <w:highlight w:val="none"/>
        </w:rPr>
        <w:t>。</w:t>
      </w:r>
    </w:p>
    <w:p w14:paraId="357D19AA">
      <w:pPr>
        <w:snapToGrid w:val="0"/>
        <w:spacing w:before="120" w:after="120"/>
        <w:ind w:left="412" w:hanging="412" w:hangingChars="171"/>
        <w:rPr>
          <w:rFonts w:ascii="宋体" w:hAnsi="宋体"/>
          <w:b/>
          <w:color w:val="auto"/>
          <w:sz w:val="24"/>
          <w:szCs w:val="24"/>
          <w:highlight w:val="none"/>
        </w:rPr>
      </w:pPr>
      <w:r>
        <w:rPr>
          <w:rFonts w:ascii="宋体" w:hAnsi="宋体"/>
          <w:b/>
          <w:color w:val="auto"/>
          <w:sz w:val="24"/>
          <w:szCs w:val="24"/>
          <w:highlight w:val="none"/>
        </w:rPr>
        <w:t>三、技术资料</w:t>
      </w:r>
    </w:p>
    <w:p w14:paraId="0C2A4062">
      <w:pPr>
        <w:snapToGrid w:val="0"/>
        <w:spacing w:before="120" w:after="120"/>
        <w:ind w:left="492" w:hanging="491" w:hangingChars="205"/>
        <w:rPr>
          <w:rFonts w:ascii="宋体" w:hAnsi="宋体" w:cs="Courier New"/>
          <w:color w:val="auto"/>
          <w:sz w:val="24"/>
          <w:szCs w:val="24"/>
          <w:highlight w:val="none"/>
        </w:rPr>
      </w:pPr>
      <w:r>
        <w:rPr>
          <w:rFonts w:ascii="宋体" w:hAnsi="宋体" w:cs="Courier New"/>
          <w:color w:val="auto"/>
          <w:sz w:val="24"/>
          <w:szCs w:val="24"/>
          <w:highlight w:val="none"/>
        </w:rPr>
        <w:t>3.</w:t>
      </w:r>
      <w:r>
        <w:rPr>
          <w:rFonts w:hint="eastAsia" w:ascii="宋体" w:hAnsi="宋体" w:cs="Courier New"/>
          <w:color w:val="auto"/>
          <w:sz w:val="24"/>
          <w:szCs w:val="24"/>
          <w:highlight w:val="none"/>
        </w:rPr>
        <w:t xml:space="preserve">1 </w:t>
      </w:r>
      <w:r>
        <w:rPr>
          <w:rFonts w:ascii="宋体" w:hAnsi="宋体" w:cs="Courier New"/>
          <w:color w:val="auto"/>
          <w:sz w:val="24"/>
          <w:szCs w:val="24"/>
          <w:highlight w:val="none"/>
        </w:rPr>
        <w:t>乙方应按采购文件规定的时间向甲方提供服务</w:t>
      </w:r>
      <w:r>
        <w:rPr>
          <w:rFonts w:hint="eastAsia" w:ascii="宋体" w:hAnsi="宋体" w:cs="Courier New"/>
          <w:color w:val="auto"/>
          <w:sz w:val="24"/>
          <w:szCs w:val="24"/>
          <w:highlight w:val="none"/>
        </w:rPr>
        <w:t>（包含与服务相关的产品）</w:t>
      </w:r>
      <w:r>
        <w:rPr>
          <w:rFonts w:ascii="宋体" w:hAnsi="宋体" w:cs="Courier New"/>
          <w:color w:val="auto"/>
          <w:sz w:val="24"/>
          <w:szCs w:val="24"/>
          <w:highlight w:val="none"/>
        </w:rPr>
        <w:t>的有关技术资料。</w:t>
      </w:r>
    </w:p>
    <w:p w14:paraId="4C129C55">
      <w:pPr>
        <w:snapToGrid w:val="0"/>
        <w:spacing w:before="120" w:after="120"/>
        <w:ind w:left="492" w:hanging="491" w:hangingChars="205"/>
        <w:rPr>
          <w:rFonts w:ascii="宋体" w:hAnsi="宋体" w:cs="Courier New"/>
          <w:color w:val="auto"/>
          <w:sz w:val="24"/>
          <w:szCs w:val="24"/>
          <w:highlight w:val="none"/>
        </w:rPr>
      </w:pPr>
      <w:r>
        <w:rPr>
          <w:rFonts w:ascii="宋体" w:hAnsi="宋体" w:cs="Courier New"/>
          <w:color w:val="auto"/>
          <w:sz w:val="24"/>
          <w:szCs w:val="24"/>
          <w:highlight w:val="none"/>
        </w:rPr>
        <w:t>3.2</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837A87E">
      <w:pPr>
        <w:snapToGrid w:val="0"/>
        <w:spacing w:before="120" w:after="120"/>
        <w:ind w:left="494" w:hanging="494" w:hangingChars="205"/>
        <w:rPr>
          <w:rFonts w:ascii="宋体" w:hAnsi="宋体"/>
          <w:b/>
          <w:color w:val="auto"/>
          <w:sz w:val="24"/>
          <w:szCs w:val="24"/>
          <w:highlight w:val="none"/>
        </w:rPr>
      </w:pPr>
      <w:r>
        <w:rPr>
          <w:rFonts w:ascii="宋体" w:hAnsi="宋体"/>
          <w:b/>
          <w:color w:val="auto"/>
          <w:sz w:val="24"/>
          <w:szCs w:val="24"/>
          <w:highlight w:val="none"/>
        </w:rPr>
        <w:t>四、知识产权</w:t>
      </w:r>
    </w:p>
    <w:p w14:paraId="74A6DB18">
      <w:pPr>
        <w:snapToGrid w:val="0"/>
        <w:spacing w:before="120" w:after="120"/>
        <w:ind w:left="492" w:hanging="491" w:hangingChars="205"/>
        <w:rPr>
          <w:rFonts w:ascii="宋体" w:hAnsi="宋体" w:cs="Courier New"/>
          <w:color w:val="auto"/>
          <w:sz w:val="24"/>
          <w:szCs w:val="24"/>
          <w:highlight w:val="none"/>
        </w:rPr>
      </w:pPr>
      <w:r>
        <w:rPr>
          <w:rFonts w:ascii="宋体" w:hAnsi="宋体" w:cs="Courier New"/>
          <w:color w:val="auto"/>
          <w:sz w:val="24"/>
          <w:szCs w:val="24"/>
          <w:highlight w:val="none"/>
        </w:rPr>
        <w:t>4.1</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乙</w:t>
      </w:r>
      <w:r>
        <w:rPr>
          <w:rFonts w:hint="eastAsia" w:ascii="宋体" w:hAnsi="宋体" w:cs="Courier New"/>
          <w:color w:val="auto"/>
          <w:sz w:val="24"/>
          <w:szCs w:val="24"/>
          <w:highlight w:val="none"/>
        </w:rPr>
        <w:t>方应保证甲方在使用、接受本合同服务（包含与服务相关的产品）或其任何一部分时不受第三方提出侵犯其专利权、版权、商标权和工业设计权等知识产权的起诉。一旦出现侵权，由乙方负全部责任。</w:t>
      </w:r>
    </w:p>
    <w:p w14:paraId="11AC5361">
      <w:pPr>
        <w:snapToGrid w:val="0"/>
        <w:spacing w:before="120" w:after="120"/>
        <w:ind w:left="494" w:hanging="494" w:hangingChars="205"/>
        <w:rPr>
          <w:rFonts w:ascii="宋体" w:hAnsi="宋体"/>
          <w:b/>
          <w:color w:val="auto"/>
          <w:sz w:val="24"/>
          <w:szCs w:val="24"/>
          <w:highlight w:val="none"/>
        </w:rPr>
      </w:pPr>
      <w:r>
        <w:rPr>
          <w:rFonts w:ascii="宋体" w:hAnsi="宋体"/>
          <w:b/>
          <w:color w:val="auto"/>
          <w:sz w:val="24"/>
          <w:szCs w:val="24"/>
          <w:highlight w:val="none"/>
        </w:rPr>
        <w:t>五、产权担保</w:t>
      </w:r>
    </w:p>
    <w:p w14:paraId="4BE947C2">
      <w:pPr>
        <w:snapToGrid w:val="0"/>
        <w:spacing w:before="120" w:after="120"/>
        <w:ind w:left="492" w:hanging="491" w:hangingChars="205"/>
        <w:rPr>
          <w:rFonts w:ascii="宋体" w:hAnsi="宋体" w:cs="Courier New"/>
          <w:color w:val="auto"/>
          <w:sz w:val="24"/>
          <w:szCs w:val="24"/>
          <w:highlight w:val="none"/>
        </w:rPr>
      </w:pPr>
      <w:r>
        <w:rPr>
          <w:rFonts w:ascii="宋体" w:hAnsi="宋体" w:cs="Courier New"/>
          <w:color w:val="auto"/>
          <w:sz w:val="24"/>
          <w:szCs w:val="24"/>
          <w:highlight w:val="none"/>
        </w:rPr>
        <w:t>5.1 乙方保证所交付的</w:t>
      </w:r>
      <w:r>
        <w:rPr>
          <w:rFonts w:hint="eastAsia" w:ascii="宋体" w:hAnsi="宋体" w:cs="Courier New"/>
          <w:color w:val="auto"/>
          <w:sz w:val="24"/>
          <w:szCs w:val="24"/>
          <w:highlight w:val="none"/>
        </w:rPr>
        <w:t>服务（包含与服务相关的产品）</w:t>
      </w:r>
      <w:r>
        <w:rPr>
          <w:rFonts w:ascii="宋体" w:hAnsi="宋体" w:cs="Courier New"/>
          <w:color w:val="auto"/>
          <w:sz w:val="24"/>
          <w:szCs w:val="24"/>
          <w:highlight w:val="none"/>
        </w:rPr>
        <w:t>的所有权完全属于乙方且无任何抵押、查封等产权瑕疵。</w:t>
      </w:r>
    </w:p>
    <w:p w14:paraId="190E7C5A">
      <w:pPr>
        <w:snapToGrid w:val="0"/>
        <w:spacing w:before="120" w:after="120"/>
        <w:ind w:left="494" w:hanging="494" w:hangingChars="205"/>
        <w:rPr>
          <w:rFonts w:ascii="宋体" w:hAnsi="宋体"/>
          <w:b/>
          <w:color w:val="auto"/>
          <w:sz w:val="24"/>
          <w:szCs w:val="24"/>
          <w:highlight w:val="none"/>
        </w:rPr>
      </w:pPr>
      <w:r>
        <w:rPr>
          <w:rFonts w:hint="eastAsia" w:ascii="宋体" w:hAnsi="宋体"/>
          <w:b/>
          <w:color w:val="auto"/>
          <w:sz w:val="24"/>
          <w:szCs w:val="24"/>
          <w:highlight w:val="none"/>
        </w:rPr>
        <w:t>六、合同转包</w:t>
      </w:r>
    </w:p>
    <w:p w14:paraId="35F737ED">
      <w:pPr>
        <w:snapToGrid w:val="0"/>
        <w:spacing w:before="145" w:beforeLines="50" w:after="145" w:afterLines="50"/>
        <w:ind w:left="492" w:hanging="491" w:hangingChars="205"/>
        <w:rPr>
          <w:rFonts w:ascii="宋体" w:hAnsi="宋体" w:cs="Courier New"/>
          <w:color w:val="auto"/>
          <w:sz w:val="24"/>
          <w:szCs w:val="24"/>
          <w:highlight w:val="none"/>
        </w:rPr>
      </w:pPr>
      <w:r>
        <w:rPr>
          <w:rFonts w:hint="eastAsia" w:ascii="宋体" w:hAnsi="宋体" w:cs="Courier New"/>
          <w:color w:val="auto"/>
          <w:sz w:val="24"/>
          <w:szCs w:val="24"/>
          <w:highlight w:val="none"/>
        </w:rPr>
        <w:t>6.1 乙方不得将合同标的转包给他人履行。</w:t>
      </w:r>
    </w:p>
    <w:p w14:paraId="72A1A38E">
      <w:pPr>
        <w:snapToGrid w:val="0"/>
        <w:spacing w:before="145" w:beforeLines="50" w:after="145" w:afterLines="50"/>
        <w:ind w:left="494" w:hanging="494" w:hangingChars="205"/>
        <w:rPr>
          <w:rFonts w:ascii="宋体" w:hAnsi="宋体"/>
          <w:b/>
          <w:color w:val="auto"/>
          <w:sz w:val="24"/>
          <w:szCs w:val="24"/>
          <w:highlight w:val="none"/>
        </w:rPr>
      </w:pPr>
      <w:r>
        <w:rPr>
          <w:rFonts w:hint="eastAsia" w:ascii="宋体" w:hAnsi="宋体"/>
          <w:b/>
          <w:color w:val="auto"/>
          <w:sz w:val="24"/>
          <w:szCs w:val="24"/>
          <w:highlight w:val="none"/>
        </w:rPr>
        <w:t>七</w:t>
      </w:r>
      <w:r>
        <w:rPr>
          <w:rFonts w:ascii="宋体" w:hAnsi="宋体"/>
          <w:b/>
          <w:color w:val="auto"/>
          <w:sz w:val="24"/>
          <w:szCs w:val="24"/>
          <w:highlight w:val="none"/>
        </w:rPr>
        <w:t>、</w:t>
      </w:r>
      <w:r>
        <w:rPr>
          <w:rFonts w:hint="eastAsia" w:ascii="宋体" w:hAnsi="宋体"/>
          <w:b/>
          <w:color w:val="auto"/>
          <w:sz w:val="24"/>
          <w:szCs w:val="24"/>
          <w:highlight w:val="none"/>
        </w:rPr>
        <w:t>合同款项</w:t>
      </w:r>
      <w:r>
        <w:rPr>
          <w:rFonts w:ascii="宋体" w:hAnsi="宋体"/>
          <w:b/>
          <w:color w:val="auto"/>
          <w:sz w:val="24"/>
          <w:szCs w:val="24"/>
          <w:highlight w:val="none"/>
        </w:rPr>
        <w:t>支付</w:t>
      </w:r>
    </w:p>
    <w:p w14:paraId="4C47C1FE">
      <w:pPr>
        <w:snapToGrid w:val="0"/>
        <w:spacing w:before="120" w:after="120"/>
        <w:ind w:left="492" w:hanging="491" w:hangingChars="205"/>
        <w:rPr>
          <w:rFonts w:ascii="宋体" w:hAnsi="宋体"/>
          <w:color w:val="auto"/>
          <w:sz w:val="24"/>
          <w:szCs w:val="24"/>
          <w:highlight w:val="none"/>
        </w:rPr>
      </w:pPr>
      <w:r>
        <w:rPr>
          <w:rFonts w:hint="eastAsia" w:ascii="宋体" w:hAnsi="宋体" w:cs="Courier New"/>
          <w:bCs/>
          <w:color w:val="auto"/>
          <w:sz w:val="24"/>
          <w:szCs w:val="24"/>
          <w:highlight w:val="none"/>
        </w:rPr>
        <w:t>7</w:t>
      </w:r>
      <w:r>
        <w:rPr>
          <w:rFonts w:ascii="宋体" w:hAnsi="宋体" w:cs="Courier New"/>
          <w:bCs/>
          <w:color w:val="auto"/>
          <w:sz w:val="24"/>
          <w:szCs w:val="24"/>
          <w:highlight w:val="none"/>
        </w:rPr>
        <w:t>.1</w:t>
      </w:r>
      <w:r>
        <w:rPr>
          <w:rFonts w:hint="eastAsia" w:ascii="宋体" w:hAnsi="宋体"/>
          <w:color w:val="auto"/>
          <w:sz w:val="24"/>
          <w:szCs w:val="24"/>
          <w:highlight w:val="none"/>
        </w:rPr>
        <w:t>由甲方按下列程序在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内付款:</w:t>
      </w:r>
    </w:p>
    <w:p w14:paraId="7194B4CB">
      <w:pPr>
        <w:snapToGrid w:val="0"/>
        <w:spacing w:before="120" w:after="120"/>
        <w:ind w:left="492" w:hanging="491" w:hangingChars="205"/>
        <w:rPr>
          <w:rFonts w:ascii="宋体" w:hAnsi="宋体"/>
          <w:color w:val="auto"/>
          <w:sz w:val="24"/>
          <w:szCs w:val="24"/>
          <w:highlight w:val="none"/>
        </w:rPr>
      </w:pPr>
      <w:r>
        <w:rPr>
          <w:rFonts w:hint="eastAsia" w:ascii="宋体" w:hAnsi="宋体"/>
          <w:color w:val="auto"/>
          <w:sz w:val="24"/>
          <w:szCs w:val="24"/>
          <w:highlight w:val="none"/>
        </w:rPr>
        <w:t>......</w:t>
      </w:r>
    </w:p>
    <w:p w14:paraId="5307F849">
      <w:pPr>
        <w:snapToGrid w:val="0"/>
        <w:spacing w:before="120" w:after="120"/>
        <w:ind w:left="492" w:hanging="491" w:hangingChars="205"/>
        <w:rPr>
          <w:rFonts w:ascii="宋体" w:hAnsi="宋体"/>
          <w:color w:val="auto"/>
          <w:sz w:val="24"/>
          <w:szCs w:val="24"/>
          <w:highlight w:val="none"/>
        </w:rPr>
      </w:pPr>
      <w:r>
        <w:rPr>
          <w:rFonts w:hint="eastAsia" w:ascii="宋体" w:hAnsi="宋体"/>
          <w:color w:val="auto"/>
          <w:sz w:val="24"/>
          <w:szCs w:val="24"/>
          <w:highlight w:val="none"/>
        </w:rPr>
        <w:t>7.2对于满足合同约定支付条件的，甲方应当自收到发票后</w:t>
      </w:r>
      <w:r>
        <w:rPr>
          <w:rFonts w:hint="eastAsia" w:ascii="宋体" w:hAnsi="宋体"/>
          <w:color w:val="auto"/>
          <w:sz w:val="24"/>
          <w:szCs w:val="24"/>
          <w:highlight w:val="none"/>
          <w:u w:val="none"/>
          <w:lang w:val="en-US" w:eastAsia="zh-CN"/>
        </w:rPr>
        <w:t>1</w:t>
      </w:r>
      <w:r>
        <w:rPr>
          <w:rFonts w:hint="eastAsia" w:ascii="宋体" w:hAnsi="宋体"/>
          <w:color w:val="auto"/>
          <w:sz w:val="24"/>
          <w:szCs w:val="24"/>
          <w:highlight w:val="none"/>
          <w:u w:val="none"/>
        </w:rPr>
        <w:t>0</w:t>
      </w:r>
      <w:r>
        <w:rPr>
          <w:rFonts w:hint="eastAsia" w:ascii="宋体" w:hAnsi="宋体"/>
          <w:color w:val="auto"/>
          <w:sz w:val="24"/>
          <w:szCs w:val="24"/>
          <w:highlight w:val="none"/>
          <w:u w:val="none"/>
          <w:lang w:val="en-US" w:eastAsia="zh-CN"/>
        </w:rPr>
        <w:t>个工作日</w:t>
      </w:r>
      <w:r>
        <w:rPr>
          <w:rFonts w:hint="eastAsia" w:ascii="宋体" w:hAnsi="宋体"/>
          <w:color w:val="auto"/>
          <w:sz w:val="24"/>
          <w:szCs w:val="24"/>
          <w:highlight w:val="none"/>
        </w:rPr>
        <w:t>内将资金支付到合同约定的乙方账户，不得以机构变动、人员更替、政策调整等为由延迟付款，不得将采购文件和合同中未规定的义务作为向乙方付款的条件。</w:t>
      </w:r>
    </w:p>
    <w:p w14:paraId="5386D123">
      <w:pPr>
        <w:snapToGrid w:val="0"/>
        <w:spacing w:before="120" w:after="120"/>
        <w:ind w:left="494" w:hanging="494" w:hangingChars="205"/>
        <w:rPr>
          <w:rFonts w:ascii="宋体" w:hAnsi="宋体"/>
          <w:b/>
          <w:color w:val="auto"/>
          <w:sz w:val="24"/>
          <w:szCs w:val="24"/>
          <w:highlight w:val="none"/>
        </w:rPr>
      </w:pPr>
      <w:r>
        <w:rPr>
          <w:rFonts w:hint="eastAsia" w:ascii="宋体" w:hAnsi="宋体"/>
          <w:b/>
          <w:color w:val="auto"/>
          <w:sz w:val="24"/>
          <w:szCs w:val="24"/>
          <w:highlight w:val="none"/>
        </w:rPr>
        <w:t>八、税费</w:t>
      </w:r>
    </w:p>
    <w:p w14:paraId="033B731C">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8</w:t>
      </w:r>
      <w:r>
        <w:rPr>
          <w:rFonts w:ascii="宋体" w:hAnsi="宋体"/>
          <w:color w:val="auto"/>
          <w:sz w:val="24"/>
          <w:szCs w:val="24"/>
          <w:highlight w:val="none"/>
        </w:rPr>
        <w:t>.1</w:t>
      </w:r>
      <w:r>
        <w:rPr>
          <w:rFonts w:hint="eastAsia" w:ascii="宋体" w:hAnsi="宋体"/>
          <w:color w:val="auto"/>
          <w:sz w:val="24"/>
          <w:szCs w:val="24"/>
          <w:highlight w:val="none"/>
        </w:rPr>
        <w:t xml:space="preserve"> 本合同执行中相关的一切税费均由乙方负担。</w:t>
      </w:r>
    </w:p>
    <w:p w14:paraId="78020D21">
      <w:pPr>
        <w:snapToGrid w:val="0"/>
        <w:spacing w:before="145" w:beforeLines="50" w:after="145" w:afterLines="50"/>
        <w:ind w:left="494" w:hanging="494" w:hangingChars="205"/>
        <w:rPr>
          <w:rFonts w:ascii="宋体" w:hAnsi="宋体"/>
          <w:b/>
          <w:color w:val="auto"/>
          <w:sz w:val="24"/>
          <w:szCs w:val="24"/>
          <w:highlight w:val="none"/>
        </w:rPr>
      </w:pPr>
      <w:r>
        <w:rPr>
          <w:rFonts w:hint="eastAsia" w:ascii="宋体" w:hAnsi="宋体"/>
          <w:b/>
          <w:color w:val="auto"/>
          <w:sz w:val="24"/>
          <w:szCs w:val="24"/>
          <w:highlight w:val="none"/>
        </w:rPr>
        <w:t>九</w:t>
      </w:r>
      <w:r>
        <w:rPr>
          <w:rFonts w:ascii="宋体" w:hAnsi="宋体"/>
          <w:b/>
          <w:color w:val="auto"/>
          <w:sz w:val="24"/>
          <w:szCs w:val="24"/>
          <w:highlight w:val="none"/>
        </w:rPr>
        <w:t>、</w:t>
      </w:r>
      <w:r>
        <w:rPr>
          <w:rFonts w:hint="eastAsia" w:ascii="宋体" w:hAnsi="宋体"/>
          <w:b/>
          <w:color w:val="auto"/>
          <w:sz w:val="24"/>
          <w:szCs w:val="24"/>
          <w:highlight w:val="none"/>
        </w:rPr>
        <w:t>项目</w:t>
      </w:r>
      <w:r>
        <w:rPr>
          <w:rFonts w:ascii="宋体" w:hAnsi="宋体"/>
          <w:b/>
          <w:color w:val="auto"/>
          <w:sz w:val="24"/>
          <w:szCs w:val="24"/>
          <w:highlight w:val="none"/>
        </w:rPr>
        <w:t>验收</w:t>
      </w:r>
    </w:p>
    <w:p w14:paraId="76EE8F45">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9.1 甲方依法组织履约验收工作。</w:t>
      </w:r>
    </w:p>
    <w:p w14:paraId="02E7605F">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5606FC3">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9.3 对于实际使用人和甲方分离的项目，甲方邀请实际使用人参与验收。</w:t>
      </w:r>
    </w:p>
    <w:p w14:paraId="4A27B051">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9.4 如有必要，甲方邀请参加本项目的其他供应商、服务对象、第三方专业机构及专家参与验收，相关意见将作为验收书的参考资料。</w:t>
      </w:r>
    </w:p>
    <w:p w14:paraId="77768D55">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0746320">
      <w:pPr>
        <w:snapToGrid w:val="0"/>
        <w:spacing w:before="145" w:beforeLines="50" w:after="145" w:afterLines="50"/>
        <w:ind w:left="492" w:hanging="491" w:hangingChars="205"/>
        <w:rPr>
          <w:rFonts w:ascii="宋体" w:hAnsi="宋体"/>
          <w:color w:val="auto"/>
          <w:sz w:val="24"/>
          <w:szCs w:val="24"/>
          <w:highlight w:val="none"/>
        </w:rPr>
      </w:pPr>
      <w:r>
        <w:rPr>
          <w:rFonts w:hint="eastAsia" w:ascii="宋体" w:hAnsi="宋体"/>
          <w:color w:val="auto"/>
          <w:sz w:val="24"/>
          <w:szCs w:val="24"/>
          <w:highlight w:val="none"/>
        </w:rPr>
        <w:t>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p>
    <w:p w14:paraId="0891E430">
      <w:pPr>
        <w:snapToGrid w:val="0"/>
        <w:spacing w:before="145" w:beforeLines="50" w:after="145" w:afterLines="50"/>
        <w:ind w:left="494" w:hanging="494" w:hangingChars="205"/>
        <w:rPr>
          <w:rFonts w:ascii="宋体" w:hAnsi="宋体"/>
          <w:b/>
          <w:color w:val="auto"/>
          <w:sz w:val="24"/>
          <w:szCs w:val="24"/>
          <w:highlight w:val="none"/>
        </w:rPr>
      </w:pPr>
      <w:r>
        <w:rPr>
          <w:rFonts w:hint="eastAsia" w:ascii="宋体" w:hAnsi="宋体"/>
          <w:b/>
          <w:color w:val="auto"/>
          <w:sz w:val="24"/>
          <w:szCs w:val="24"/>
          <w:highlight w:val="none"/>
        </w:rPr>
        <w:t>十</w:t>
      </w:r>
      <w:r>
        <w:rPr>
          <w:rFonts w:ascii="宋体" w:hAnsi="宋体"/>
          <w:b/>
          <w:color w:val="auto"/>
          <w:sz w:val="24"/>
          <w:szCs w:val="24"/>
          <w:highlight w:val="none"/>
        </w:rPr>
        <w:t>、违约责任</w:t>
      </w:r>
    </w:p>
    <w:p w14:paraId="4295E00A">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10</w:t>
      </w:r>
      <w:r>
        <w:rPr>
          <w:rFonts w:ascii="宋体" w:hAnsi="宋体" w:cs="Courier New"/>
          <w:color w:val="auto"/>
          <w:sz w:val="24"/>
          <w:szCs w:val="24"/>
          <w:highlight w:val="none"/>
        </w:rPr>
        <w:t>.1 甲方无正当理由</w:t>
      </w:r>
      <w:r>
        <w:rPr>
          <w:rFonts w:hint="eastAsia" w:ascii="宋体" w:hAnsi="宋体" w:cs="Courier New"/>
          <w:color w:val="auto"/>
          <w:sz w:val="24"/>
          <w:szCs w:val="24"/>
          <w:highlight w:val="none"/>
        </w:rPr>
        <w:t>拒绝接受乙方提供服务</w:t>
      </w:r>
      <w:r>
        <w:rPr>
          <w:rFonts w:ascii="宋体" w:hAnsi="宋体" w:cs="Courier New"/>
          <w:color w:val="auto"/>
          <w:sz w:val="24"/>
          <w:szCs w:val="24"/>
          <w:highlight w:val="none"/>
        </w:rPr>
        <w:t>的，甲方向乙方偿付</w:t>
      </w:r>
      <w:r>
        <w:rPr>
          <w:rFonts w:hint="eastAsia" w:ascii="宋体" w:hAnsi="宋体" w:cs="Courier New"/>
          <w:color w:val="auto"/>
          <w:sz w:val="24"/>
          <w:szCs w:val="24"/>
          <w:highlight w:val="none"/>
        </w:rPr>
        <w:t>拒绝接受服务合同价款</w:t>
      </w:r>
      <w:r>
        <w:rPr>
          <w:rFonts w:ascii="宋体" w:hAnsi="宋体" w:cs="Courier New"/>
          <w:color w:val="auto"/>
          <w:sz w:val="24"/>
          <w:szCs w:val="24"/>
          <w:highlight w:val="none"/>
        </w:rPr>
        <w:t>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的违约金。</w:t>
      </w:r>
    </w:p>
    <w:p w14:paraId="3AB5D1B0">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10</w:t>
      </w:r>
      <w:r>
        <w:rPr>
          <w:rFonts w:ascii="宋体" w:hAnsi="宋体" w:cs="Courier New"/>
          <w:color w:val="auto"/>
          <w:sz w:val="24"/>
          <w:szCs w:val="24"/>
          <w:highlight w:val="none"/>
        </w:rPr>
        <w:t>.2 甲方无故逾期验收和办理</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支付手续的,甲方应按逾期付款总额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向乙方支付违约金。</w:t>
      </w:r>
    </w:p>
    <w:p w14:paraId="749C9AAF">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10</w:t>
      </w:r>
      <w:r>
        <w:rPr>
          <w:rFonts w:ascii="宋体" w:hAnsi="宋体" w:cs="Courier New"/>
          <w:color w:val="auto"/>
          <w:sz w:val="24"/>
          <w:szCs w:val="24"/>
          <w:highlight w:val="none"/>
        </w:rPr>
        <w:t>.3 乙方逾期</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的，乙方应按逾期</w:t>
      </w:r>
      <w:r>
        <w:rPr>
          <w:rFonts w:hint="eastAsia" w:ascii="宋体" w:hAnsi="宋体" w:cs="Courier New"/>
          <w:color w:val="auto"/>
          <w:sz w:val="24"/>
          <w:szCs w:val="24"/>
          <w:highlight w:val="none"/>
        </w:rPr>
        <w:t>提供服务合同</w:t>
      </w:r>
      <w:r>
        <w:rPr>
          <w:rFonts w:ascii="宋体" w:hAnsi="宋体" w:cs="Courier New"/>
          <w:color w:val="auto"/>
          <w:sz w:val="24"/>
          <w:szCs w:val="24"/>
          <w:highlight w:val="none"/>
        </w:rPr>
        <w:t>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向甲方支付违约金，由甲方从待付</w:t>
      </w:r>
      <w:r>
        <w:rPr>
          <w:rFonts w:hint="eastAsia" w:ascii="宋体" w:hAnsi="宋体" w:cs="Courier New"/>
          <w:color w:val="auto"/>
          <w:sz w:val="24"/>
          <w:szCs w:val="24"/>
          <w:highlight w:val="none"/>
        </w:rPr>
        <w:t>合同款项</w:t>
      </w:r>
      <w:r>
        <w:rPr>
          <w:rFonts w:ascii="宋体" w:hAnsi="宋体" w:cs="Courier New"/>
          <w:color w:val="auto"/>
          <w:sz w:val="24"/>
          <w:szCs w:val="24"/>
          <w:highlight w:val="none"/>
        </w:rPr>
        <w:t>中扣除。逾期超过约定日期</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个工作日不能</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的，甲方可解除本合同。乙方因逾期</w:t>
      </w:r>
      <w:r>
        <w:rPr>
          <w:rFonts w:hint="eastAsia" w:ascii="宋体" w:hAnsi="宋体" w:cs="Courier New"/>
          <w:color w:val="auto"/>
          <w:sz w:val="24"/>
          <w:szCs w:val="24"/>
          <w:highlight w:val="none"/>
        </w:rPr>
        <w:t>提供服务</w:t>
      </w:r>
      <w:r>
        <w:rPr>
          <w:rFonts w:ascii="宋体" w:hAnsi="宋体" w:cs="Courier New"/>
          <w:color w:val="auto"/>
          <w:sz w:val="24"/>
          <w:szCs w:val="24"/>
          <w:highlight w:val="none"/>
        </w:rPr>
        <w:t>或因其他违约行为导致甲方解除合同的，乙方应向甲方支付合同</w:t>
      </w:r>
      <w:r>
        <w:rPr>
          <w:rFonts w:hint="eastAsia" w:ascii="宋体" w:hAnsi="宋体" w:cs="Courier New"/>
          <w:color w:val="auto"/>
          <w:sz w:val="24"/>
          <w:szCs w:val="24"/>
          <w:highlight w:val="none"/>
        </w:rPr>
        <w:t>价款总额</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p>
    <w:p w14:paraId="42432F0B">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10</w:t>
      </w:r>
      <w:r>
        <w:rPr>
          <w:rFonts w:ascii="宋体" w:hAnsi="宋体" w:cs="Courier New"/>
          <w:color w:val="auto"/>
          <w:sz w:val="24"/>
          <w:szCs w:val="24"/>
          <w:highlight w:val="none"/>
        </w:rPr>
        <w:t>.4 乙方</w:t>
      </w:r>
      <w:r>
        <w:rPr>
          <w:rFonts w:hint="eastAsia" w:ascii="宋体" w:hAnsi="宋体" w:cs="Courier New"/>
          <w:color w:val="auto"/>
          <w:sz w:val="24"/>
          <w:szCs w:val="24"/>
          <w:highlight w:val="none"/>
        </w:rPr>
        <w:t>所提供服务的标准</w:t>
      </w:r>
      <w:r>
        <w:rPr>
          <w:rFonts w:ascii="宋体" w:hAnsi="宋体" w:cs="Courier New"/>
          <w:color w:val="auto"/>
          <w:sz w:val="24"/>
          <w:szCs w:val="24"/>
          <w:highlight w:val="none"/>
        </w:rPr>
        <w:t>不符合合同规定及采购文件规定标准的，甲方有权</w:t>
      </w:r>
      <w:r>
        <w:rPr>
          <w:rFonts w:hint="eastAsia" w:ascii="宋体" w:hAnsi="宋体" w:cs="Courier New"/>
          <w:color w:val="auto"/>
          <w:sz w:val="24"/>
          <w:szCs w:val="24"/>
          <w:highlight w:val="none"/>
        </w:rPr>
        <w:t>拒绝接受服务</w:t>
      </w:r>
      <w:r>
        <w:rPr>
          <w:rFonts w:ascii="宋体" w:hAnsi="宋体" w:cs="Courier New"/>
          <w:color w:val="auto"/>
          <w:sz w:val="24"/>
          <w:szCs w:val="24"/>
          <w:highlight w:val="none"/>
        </w:rPr>
        <w:t>，</w:t>
      </w:r>
      <w:r>
        <w:rPr>
          <w:rFonts w:hint="eastAsia" w:ascii="宋体" w:hAnsi="宋体" w:cs="Courier New"/>
          <w:color w:val="auto"/>
          <w:sz w:val="24"/>
          <w:szCs w:val="24"/>
          <w:highlight w:val="none"/>
        </w:rPr>
        <w:t>并</w:t>
      </w:r>
      <w:r>
        <w:rPr>
          <w:rFonts w:ascii="宋体" w:hAnsi="宋体" w:cs="Courier New"/>
          <w:color w:val="auto"/>
          <w:sz w:val="24"/>
          <w:szCs w:val="24"/>
          <w:highlight w:val="none"/>
        </w:rPr>
        <w:t>可单方面解除合同。</w:t>
      </w:r>
    </w:p>
    <w:p w14:paraId="4A219702">
      <w:pPr>
        <w:snapToGrid w:val="0"/>
        <w:spacing w:before="120" w:after="120"/>
        <w:ind w:left="614" w:hanging="614" w:hangingChars="255"/>
        <w:rPr>
          <w:rFonts w:ascii="宋体" w:hAnsi="宋体"/>
          <w:b/>
          <w:color w:val="auto"/>
          <w:sz w:val="24"/>
          <w:szCs w:val="24"/>
          <w:highlight w:val="none"/>
        </w:rPr>
      </w:pPr>
      <w:r>
        <w:rPr>
          <w:rFonts w:hint="eastAsia" w:ascii="宋体" w:hAnsi="宋体"/>
          <w:b/>
          <w:color w:val="auto"/>
          <w:sz w:val="24"/>
          <w:szCs w:val="24"/>
          <w:highlight w:val="none"/>
        </w:rPr>
        <w:t>十一</w:t>
      </w:r>
      <w:r>
        <w:rPr>
          <w:rFonts w:ascii="宋体" w:hAnsi="宋体"/>
          <w:b/>
          <w:color w:val="auto"/>
          <w:sz w:val="24"/>
          <w:szCs w:val="24"/>
          <w:highlight w:val="none"/>
        </w:rPr>
        <w:t>、不可抗力事件处理</w:t>
      </w:r>
    </w:p>
    <w:p w14:paraId="70A2605F">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11</w:t>
      </w:r>
      <w:r>
        <w:rPr>
          <w:rFonts w:ascii="宋体" w:hAnsi="宋体" w:cs="Courier New"/>
          <w:color w:val="auto"/>
          <w:sz w:val="24"/>
          <w:szCs w:val="24"/>
          <w:highlight w:val="none"/>
        </w:rPr>
        <w:t>.1 在合同有效期内，任何一方因不可抗力事件导致不能履行合同，则合同履行期可延长，其延长期与不可抗力影响期相同。</w:t>
      </w:r>
    </w:p>
    <w:p w14:paraId="2425C060">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11</w:t>
      </w:r>
      <w:r>
        <w:rPr>
          <w:rFonts w:ascii="宋体" w:hAnsi="宋体" w:cs="Courier New"/>
          <w:color w:val="auto"/>
          <w:sz w:val="24"/>
          <w:szCs w:val="24"/>
          <w:highlight w:val="none"/>
        </w:rPr>
        <w:t>.2 不可抗力事件发生后，应立即通知对方，并寄送有关权威机构出具的证明。</w:t>
      </w:r>
    </w:p>
    <w:p w14:paraId="7C370CAA">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11</w:t>
      </w:r>
      <w:r>
        <w:rPr>
          <w:rFonts w:ascii="宋体" w:hAnsi="宋体" w:cs="Courier New"/>
          <w:color w:val="auto"/>
          <w:sz w:val="24"/>
          <w:szCs w:val="24"/>
          <w:highlight w:val="none"/>
        </w:rPr>
        <w:t>.3 不可抗力事件延续120天以上，双方应通过友好协商，确定是否继续履行合同。</w:t>
      </w:r>
    </w:p>
    <w:p w14:paraId="271A2C31">
      <w:pPr>
        <w:snapToGrid w:val="0"/>
        <w:spacing w:before="120" w:after="120"/>
        <w:ind w:left="614" w:hanging="614" w:hangingChars="255"/>
        <w:rPr>
          <w:rFonts w:ascii="宋体" w:hAnsi="宋体"/>
          <w:b/>
          <w:color w:val="auto"/>
          <w:sz w:val="24"/>
          <w:szCs w:val="24"/>
          <w:highlight w:val="none"/>
        </w:rPr>
      </w:pPr>
      <w:r>
        <w:rPr>
          <w:rFonts w:hint="eastAsia" w:ascii="宋体" w:hAnsi="宋体"/>
          <w:b/>
          <w:color w:val="auto"/>
          <w:sz w:val="24"/>
          <w:szCs w:val="24"/>
          <w:highlight w:val="none"/>
        </w:rPr>
        <w:t>十二</w:t>
      </w:r>
      <w:r>
        <w:rPr>
          <w:rFonts w:ascii="宋体" w:hAnsi="宋体"/>
          <w:b/>
          <w:color w:val="auto"/>
          <w:sz w:val="24"/>
          <w:szCs w:val="24"/>
          <w:highlight w:val="none"/>
        </w:rPr>
        <w:t>、诉讼</w:t>
      </w:r>
    </w:p>
    <w:p w14:paraId="6A467EA7">
      <w:pPr>
        <w:snapToGrid w:val="0"/>
        <w:spacing w:before="120" w:after="120"/>
        <w:ind w:left="612" w:hanging="612" w:hangingChars="255"/>
        <w:rPr>
          <w:rFonts w:ascii="宋体" w:hAnsi="宋体"/>
          <w:color w:val="auto"/>
          <w:sz w:val="24"/>
          <w:szCs w:val="24"/>
          <w:highlight w:val="none"/>
        </w:rPr>
      </w:pPr>
      <w:r>
        <w:rPr>
          <w:rFonts w:hint="eastAsia" w:ascii="宋体" w:hAnsi="宋体" w:cs="Courier New"/>
          <w:color w:val="auto"/>
          <w:sz w:val="24"/>
          <w:szCs w:val="24"/>
          <w:highlight w:val="none"/>
        </w:rPr>
        <w:t>12</w:t>
      </w:r>
      <w:r>
        <w:rPr>
          <w:rFonts w:ascii="宋体" w:hAnsi="宋体" w:cs="Courier New"/>
          <w:color w:val="auto"/>
          <w:sz w:val="24"/>
          <w:szCs w:val="24"/>
          <w:highlight w:val="none"/>
        </w:rPr>
        <w:t>.1 双方在执行合同中所发生的一切争议，应通过协商解决。</w:t>
      </w:r>
      <w:r>
        <w:rPr>
          <w:rFonts w:ascii="宋体" w:hAnsi="宋体"/>
          <w:color w:val="auto"/>
          <w:sz w:val="24"/>
          <w:szCs w:val="24"/>
          <w:highlight w:val="none"/>
        </w:rPr>
        <w:t>如协商不成，可向合同签订地法院起诉，合同签订地在此约定为</w:t>
      </w:r>
      <w:r>
        <w:rPr>
          <w:rFonts w:hint="eastAsia" w:ascii="宋体" w:hAnsi="宋体"/>
          <w:color w:val="auto"/>
          <w:sz w:val="24"/>
          <w:szCs w:val="24"/>
          <w:highlight w:val="none"/>
          <w:u w:val="single"/>
        </w:rPr>
        <w:t xml:space="preserve">       </w:t>
      </w:r>
      <w:r>
        <w:rPr>
          <w:rFonts w:ascii="宋体" w:hAnsi="宋体"/>
          <w:color w:val="auto"/>
          <w:sz w:val="24"/>
          <w:szCs w:val="24"/>
          <w:highlight w:val="none"/>
        </w:rPr>
        <w:t>。</w:t>
      </w:r>
    </w:p>
    <w:p w14:paraId="17D4013F">
      <w:pPr>
        <w:snapToGrid w:val="0"/>
        <w:spacing w:before="120" w:after="120"/>
        <w:ind w:left="614" w:hanging="614" w:hangingChars="255"/>
        <w:rPr>
          <w:rFonts w:ascii="宋体" w:hAnsi="宋体"/>
          <w:b/>
          <w:color w:val="auto"/>
          <w:sz w:val="24"/>
          <w:szCs w:val="24"/>
          <w:highlight w:val="none"/>
        </w:rPr>
      </w:pPr>
      <w:r>
        <w:rPr>
          <w:rFonts w:hint="eastAsia" w:ascii="宋体" w:hAnsi="宋体"/>
          <w:b/>
          <w:color w:val="auto"/>
          <w:sz w:val="24"/>
          <w:szCs w:val="24"/>
          <w:highlight w:val="none"/>
        </w:rPr>
        <w:t>十三、其他</w:t>
      </w:r>
    </w:p>
    <w:p w14:paraId="4208600C">
      <w:pPr>
        <w:snapToGrid w:val="0"/>
        <w:spacing w:before="120" w:after="120"/>
        <w:ind w:left="624" w:hanging="624" w:hangingChars="260"/>
        <w:rPr>
          <w:rFonts w:ascii="宋体" w:hAnsi="宋体"/>
          <w:color w:val="auto"/>
          <w:sz w:val="24"/>
          <w:szCs w:val="24"/>
          <w:highlight w:val="none"/>
        </w:rPr>
      </w:pPr>
      <w:r>
        <w:rPr>
          <w:rFonts w:hint="eastAsia" w:ascii="宋体" w:hAnsi="宋体"/>
          <w:color w:val="auto"/>
          <w:sz w:val="24"/>
          <w:szCs w:val="24"/>
          <w:highlight w:val="none"/>
        </w:rPr>
        <w:t>13.1 本合同所有附件、招标文件、投标文件、中标通知书均为合同的有效组成部分，与本合同具有同等法律效力。</w:t>
      </w:r>
    </w:p>
    <w:p w14:paraId="32481B3E">
      <w:pPr>
        <w:snapToGrid w:val="0"/>
        <w:spacing w:before="120" w:after="120"/>
        <w:ind w:left="624" w:hanging="624" w:hangingChars="260"/>
        <w:rPr>
          <w:rFonts w:ascii="宋体" w:hAnsi="宋体"/>
          <w:color w:val="auto"/>
          <w:sz w:val="24"/>
          <w:szCs w:val="24"/>
          <w:highlight w:val="none"/>
        </w:rPr>
      </w:pPr>
      <w:r>
        <w:rPr>
          <w:rFonts w:hint="eastAsia" w:ascii="宋体" w:hAnsi="宋体"/>
          <w:color w:val="auto"/>
          <w:sz w:val="24"/>
          <w:szCs w:val="24"/>
          <w:highlight w:val="none"/>
        </w:rPr>
        <w:t>13.2 如一方地址、电话、传真号码有变更，应在变更当日内书面通知对方，否则，应承担相应责任。</w:t>
      </w:r>
    </w:p>
    <w:p w14:paraId="09675658">
      <w:pPr>
        <w:snapToGrid w:val="0"/>
        <w:spacing w:before="120" w:after="120"/>
        <w:ind w:left="624" w:hanging="624" w:hangingChars="260"/>
        <w:rPr>
          <w:rFonts w:ascii="宋体" w:hAnsi="宋体"/>
          <w:color w:val="auto"/>
          <w:sz w:val="24"/>
          <w:szCs w:val="24"/>
          <w:highlight w:val="none"/>
        </w:rPr>
      </w:pPr>
      <w:r>
        <w:rPr>
          <w:rFonts w:hint="eastAsia" w:ascii="宋体" w:hAnsi="宋体"/>
          <w:color w:val="auto"/>
          <w:sz w:val="24"/>
          <w:szCs w:val="24"/>
          <w:highlight w:val="none"/>
        </w:rPr>
        <w:t>13.3 除甲方事先书面同意外，乙方不得部分或全部转让其应履行的合同项下的义务。</w:t>
      </w:r>
    </w:p>
    <w:p w14:paraId="15CB3FF9">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13</w:t>
      </w:r>
      <w:r>
        <w:rPr>
          <w:rFonts w:ascii="宋体" w:hAnsi="宋体" w:cs="Courier New"/>
          <w:color w:val="auto"/>
          <w:sz w:val="24"/>
          <w:szCs w:val="24"/>
          <w:highlight w:val="none"/>
        </w:rPr>
        <w:t>.</w:t>
      </w:r>
      <w:r>
        <w:rPr>
          <w:rFonts w:hint="eastAsia" w:ascii="宋体" w:hAnsi="宋体" w:cs="Courier New"/>
          <w:color w:val="auto"/>
          <w:sz w:val="24"/>
          <w:szCs w:val="24"/>
          <w:highlight w:val="none"/>
        </w:rPr>
        <w:t>4</w:t>
      </w:r>
      <w:r>
        <w:rPr>
          <w:rFonts w:ascii="宋体" w:hAnsi="宋体" w:cs="Courier New"/>
          <w:color w:val="auto"/>
          <w:sz w:val="24"/>
          <w:szCs w:val="24"/>
          <w:highlight w:val="none"/>
        </w:rPr>
        <w:t>本合同未尽事宜，遵照</w:t>
      </w:r>
      <w:r>
        <w:rPr>
          <w:rFonts w:hint="eastAsia" w:ascii="宋体" w:hAnsi="宋体" w:cs="Courier New"/>
          <w:color w:val="auto"/>
          <w:sz w:val="24"/>
          <w:szCs w:val="24"/>
          <w:highlight w:val="none"/>
        </w:rPr>
        <w:t>《中华人民共和国民法典（合同编）》</w:t>
      </w:r>
      <w:r>
        <w:rPr>
          <w:rFonts w:ascii="宋体" w:hAnsi="宋体" w:cs="Courier New"/>
          <w:color w:val="auto"/>
          <w:sz w:val="24"/>
          <w:szCs w:val="24"/>
          <w:highlight w:val="none"/>
        </w:rPr>
        <w:t>有关条文执行。</w:t>
      </w:r>
    </w:p>
    <w:p w14:paraId="31C6A2FF">
      <w:pPr>
        <w:snapToGrid w:val="0"/>
        <w:spacing w:before="120" w:after="120"/>
        <w:ind w:left="614" w:hanging="614" w:hangingChars="255"/>
        <w:rPr>
          <w:rFonts w:ascii="宋体" w:hAnsi="宋体"/>
          <w:b/>
          <w:color w:val="auto"/>
          <w:sz w:val="24"/>
          <w:szCs w:val="24"/>
          <w:highlight w:val="none"/>
        </w:rPr>
      </w:pPr>
      <w:r>
        <w:rPr>
          <w:rFonts w:hint="eastAsia" w:ascii="宋体" w:hAnsi="宋体"/>
          <w:b/>
          <w:color w:val="auto"/>
          <w:sz w:val="24"/>
          <w:szCs w:val="24"/>
          <w:highlight w:val="none"/>
        </w:rPr>
        <w:t>十四</w:t>
      </w:r>
      <w:r>
        <w:rPr>
          <w:rFonts w:ascii="宋体" w:hAnsi="宋体"/>
          <w:b/>
          <w:color w:val="auto"/>
          <w:sz w:val="24"/>
          <w:szCs w:val="24"/>
          <w:highlight w:val="none"/>
        </w:rPr>
        <w:t>、合同生效</w:t>
      </w:r>
    </w:p>
    <w:p w14:paraId="261444BA">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14</w:t>
      </w:r>
      <w:r>
        <w:rPr>
          <w:rFonts w:ascii="宋体" w:hAnsi="宋体" w:cs="Courier New"/>
          <w:color w:val="auto"/>
          <w:sz w:val="24"/>
          <w:szCs w:val="24"/>
          <w:highlight w:val="none"/>
        </w:rPr>
        <w:t>.1 合同经双方法定代表人或授权委托代</w:t>
      </w:r>
      <w:r>
        <w:rPr>
          <w:rFonts w:hint="eastAsia" w:ascii="宋体" w:hAnsi="宋体" w:cs="Courier New"/>
          <w:color w:val="auto"/>
          <w:sz w:val="24"/>
          <w:szCs w:val="24"/>
          <w:highlight w:val="none"/>
        </w:rPr>
        <w:t>表</w:t>
      </w:r>
      <w:r>
        <w:rPr>
          <w:rFonts w:ascii="宋体" w:hAnsi="宋体" w:cs="Courier New"/>
          <w:color w:val="auto"/>
          <w:sz w:val="24"/>
          <w:szCs w:val="24"/>
          <w:highlight w:val="none"/>
        </w:rPr>
        <w:t>人签字并加盖单位公章后生效。</w:t>
      </w:r>
    </w:p>
    <w:p w14:paraId="240E47EA">
      <w:pPr>
        <w:snapToGrid w:val="0"/>
        <w:spacing w:before="120" w:after="120"/>
        <w:ind w:left="612" w:hanging="612" w:hangingChars="255"/>
        <w:rPr>
          <w:rFonts w:ascii="宋体" w:hAnsi="宋体" w:cs="Courier New"/>
          <w:color w:val="auto"/>
          <w:sz w:val="24"/>
          <w:szCs w:val="24"/>
          <w:highlight w:val="none"/>
        </w:rPr>
      </w:pPr>
      <w:r>
        <w:rPr>
          <w:rFonts w:hint="eastAsia" w:ascii="宋体" w:hAnsi="宋体" w:cs="Courier New"/>
          <w:color w:val="auto"/>
          <w:sz w:val="24"/>
          <w:szCs w:val="24"/>
          <w:highlight w:val="none"/>
        </w:rPr>
        <w:t>14.2</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份</w:t>
      </w:r>
      <w:r>
        <w:rPr>
          <w:rFonts w:hint="eastAsia" w:ascii="宋体" w:hAnsi="宋体" w:cs="Courier New"/>
          <w:color w:val="auto"/>
          <w:sz w:val="24"/>
          <w:szCs w:val="24"/>
          <w:highlight w:val="none"/>
        </w:rPr>
        <w:t>。</w:t>
      </w:r>
    </w:p>
    <w:p w14:paraId="1AE822CD">
      <w:pPr>
        <w:snapToGrid w:val="0"/>
        <w:spacing w:before="120" w:after="120" w:line="0" w:lineRule="atLeast"/>
        <w:ind w:left="480" w:hanging="480" w:hangingChars="200"/>
        <w:rPr>
          <w:rFonts w:ascii="宋体" w:hAnsi="宋体" w:cs="Courier New"/>
          <w:color w:val="auto"/>
          <w:sz w:val="24"/>
          <w:szCs w:val="24"/>
          <w:highlight w:val="none"/>
        </w:rPr>
      </w:pPr>
      <w:r>
        <w:rPr>
          <w:rFonts w:ascii="宋体" w:hAnsi="宋体" w:cs="Courier New"/>
          <w:color w:val="auto"/>
          <w:sz w:val="24"/>
          <w:szCs w:val="24"/>
          <w:highlight w:val="none"/>
        </w:rPr>
        <w:t xml:space="preserve">  </w:t>
      </w:r>
    </w:p>
    <w:p w14:paraId="56F92E13">
      <w:pPr>
        <w:snapToGrid w:val="0"/>
        <w:spacing w:before="120" w:after="120" w:line="0" w:lineRule="atLeast"/>
        <w:ind w:left="480" w:hanging="480" w:hangingChars="20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甲方：                        乙方： </w:t>
      </w:r>
    </w:p>
    <w:p w14:paraId="66BDA91E">
      <w:pPr>
        <w:snapToGrid w:val="0"/>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p>
    <w:p w14:paraId="0FD12779">
      <w:pPr>
        <w:snapToGrid w:val="0"/>
        <w:spacing w:before="120" w:after="120" w:line="0" w:lineRule="atLeas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        法定代表人</w:t>
      </w:r>
      <w:r>
        <w:rPr>
          <w:rFonts w:hint="eastAsia" w:ascii="宋体" w:hAnsi="宋体" w:cs="Courier New"/>
          <w:color w:val="auto"/>
          <w:sz w:val="24"/>
          <w:szCs w:val="24"/>
          <w:highlight w:val="none"/>
        </w:rPr>
        <w:t>或授权代表</w:t>
      </w:r>
      <w:r>
        <w:rPr>
          <w:rFonts w:ascii="宋体" w:hAnsi="宋体" w:cs="Courier New"/>
          <w:color w:val="auto"/>
          <w:sz w:val="24"/>
          <w:szCs w:val="24"/>
          <w:highlight w:val="none"/>
        </w:rPr>
        <w:t>：</w:t>
      </w:r>
    </w:p>
    <w:p w14:paraId="0DA1F2B0">
      <w:pPr>
        <w:snapToGrid w:val="0"/>
        <w:spacing w:before="120" w:after="120" w:line="0" w:lineRule="atLeast"/>
        <w:ind w:firstLine="240" w:firstLineChars="100"/>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联系电话：                    联系电话：         </w:t>
      </w:r>
    </w:p>
    <w:p w14:paraId="2804DD40">
      <w:pPr>
        <w:snapToGrid w:val="0"/>
        <w:spacing w:before="120" w:after="120" w:line="0" w:lineRule="atLeast"/>
        <w:ind w:firstLine="240" w:firstLineChars="100"/>
        <w:rPr>
          <w:rFonts w:ascii="宋体" w:hAnsi="Courier New" w:cs="Courier New"/>
          <w:color w:val="auto"/>
          <w:szCs w:val="21"/>
          <w:highlight w:val="none"/>
        </w:rPr>
      </w:pPr>
      <w:r>
        <w:rPr>
          <w:rFonts w:hint="eastAsia" w:ascii="宋体" w:hAnsi="宋体" w:cs="Courier New"/>
          <w:color w:val="auto"/>
          <w:sz w:val="24"/>
          <w:szCs w:val="24"/>
          <w:highlight w:val="none"/>
        </w:rPr>
        <w:t xml:space="preserve"> </w:t>
      </w:r>
    </w:p>
    <w:p w14:paraId="5F5885A1">
      <w:pPr>
        <w:snapToGrid w:val="0"/>
        <w:spacing w:before="120" w:after="120" w:line="0" w:lineRule="atLeast"/>
        <w:rPr>
          <w:color w:val="auto"/>
          <w:highlight w:val="none"/>
        </w:rPr>
      </w:pPr>
      <w:r>
        <w:rPr>
          <w:rFonts w:hint="eastAsia"/>
          <w:color w:val="auto"/>
          <w:szCs w:val="21"/>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日</w:t>
      </w:r>
      <w:bookmarkStart w:id="191" w:name="_Hlt16619369"/>
      <w:bookmarkEnd w:id="191"/>
    </w:p>
    <w:p w14:paraId="7371D177">
      <w:pPr>
        <w:pStyle w:val="58"/>
        <w:ind w:firstLine="0" w:firstLineChars="0"/>
        <w:rPr>
          <w:rFonts w:ascii="宋体" w:hAnsi="宋体"/>
          <w:color w:val="auto"/>
          <w:sz w:val="24"/>
          <w:szCs w:val="24"/>
          <w:highlight w:val="none"/>
        </w:rPr>
      </w:pPr>
    </w:p>
    <w:p w14:paraId="1A721517">
      <w:pPr>
        <w:spacing w:line="560" w:lineRule="exact"/>
        <w:ind w:firstLine="480" w:firstLineChars="200"/>
        <w:rPr>
          <w:rFonts w:ascii="宋体" w:hAnsi="宋体"/>
          <w:color w:val="auto"/>
          <w:sz w:val="24"/>
          <w:szCs w:val="24"/>
          <w:highlight w:val="none"/>
        </w:rPr>
      </w:pPr>
    </w:p>
    <w:p w14:paraId="489C71B1">
      <w:pPr>
        <w:spacing w:line="0" w:lineRule="atLeast"/>
        <w:ind w:firstLine="480" w:firstLineChars="200"/>
        <w:rPr>
          <w:rFonts w:ascii="宋体" w:hAnsi="宋体"/>
          <w:color w:val="auto"/>
          <w:sz w:val="24"/>
          <w:szCs w:val="21"/>
          <w:highlight w:val="none"/>
        </w:rPr>
      </w:pPr>
    </w:p>
    <w:p w14:paraId="688B6427">
      <w:pPr>
        <w:spacing w:line="0" w:lineRule="atLeast"/>
        <w:rPr>
          <w:rFonts w:ascii="宋体" w:hAnsi="宋体"/>
          <w:color w:val="auto"/>
          <w:sz w:val="24"/>
          <w:szCs w:val="24"/>
          <w:highlight w:val="none"/>
        </w:rPr>
        <w:sectPr>
          <w:pgSz w:w="11906" w:h="16838"/>
          <w:pgMar w:top="1418" w:right="1588" w:bottom="1418" w:left="1365" w:header="851" w:footer="907" w:gutter="0"/>
          <w:pgNumType w:chapStyle="1"/>
          <w:cols w:space="720" w:num="1"/>
          <w:titlePg/>
          <w:docGrid w:type="lines" w:linePitch="290" w:charSpace="0"/>
        </w:sectPr>
      </w:pPr>
    </w:p>
    <w:p w14:paraId="4A4286E9">
      <w:pPr>
        <w:keepNext/>
        <w:spacing w:line="560" w:lineRule="exact"/>
        <w:jc w:val="center"/>
        <w:outlineLvl w:val="0"/>
        <w:rPr>
          <w:rFonts w:ascii="黑体" w:eastAsia="黑体"/>
          <w:b/>
          <w:bCs/>
          <w:color w:val="auto"/>
          <w:sz w:val="44"/>
          <w:szCs w:val="28"/>
          <w:highlight w:val="none"/>
        </w:rPr>
      </w:pPr>
      <w:bookmarkStart w:id="192" w:name="_Toc120614281"/>
      <w:r>
        <w:rPr>
          <w:rFonts w:hint="eastAsia" w:ascii="黑体" w:eastAsia="黑体"/>
          <w:bCs/>
          <w:color w:val="auto"/>
          <w:sz w:val="44"/>
          <w:szCs w:val="28"/>
          <w:highlight w:val="none"/>
        </w:rPr>
        <w:t xml:space="preserve">第四章  </w:t>
      </w:r>
      <w:r>
        <w:rPr>
          <w:rFonts w:hint="eastAsia" w:ascii="黑体" w:eastAsia="黑体"/>
          <w:b/>
          <w:bCs/>
          <w:color w:val="auto"/>
          <w:sz w:val="44"/>
          <w:szCs w:val="28"/>
          <w:highlight w:val="none"/>
        </w:rPr>
        <w:t>评审方法与评审标准</w:t>
      </w:r>
    </w:p>
    <w:p w14:paraId="21B87332">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评委在认真审阅响应文件的基础上，根据各响应文件的响应程度独立评判，不得统一打分。</w:t>
      </w:r>
    </w:p>
    <w:p w14:paraId="209AB658">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（一）采购人（代表）对供应商资格进行审查。</w:t>
      </w:r>
    </w:p>
    <w:p w14:paraId="4CBF426A">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供应商资格不合格的，其响应文件判定为无效响应文件。</w:t>
      </w:r>
    </w:p>
    <w:p w14:paraId="2B8CE694">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（二）磋商小组对符合资格供应商的响应文件进行符合性审查。</w:t>
      </w:r>
    </w:p>
    <w:p w14:paraId="1699E006">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未通过符合性审查的响应文件，将被判为不满足磋商文件实质性要求。 </w:t>
      </w:r>
    </w:p>
    <w:p w14:paraId="382955C1">
      <w:pPr>
        <w:spacing w:line="56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rPr>
        <w:t>商务技术分：</w:t>
      </w:r>
      <w:r>
        <w:rPr>
          <w:rFonts w:hint="eastAsia" w:ascii="宋体" w:hAnsi="宋体"/>
          <w:b/>
          <w:bCs/>
          <w:color w:val="auto"/>
          <w:sz w:val="24"/>
          <w:szCs w:val="24"/>
          <w:highlight w:val="none"/>
          <w:lang w:val="en-US" w:eastAsia="zh-CN"/>
        </w:rPr>
        <w:t>70</w:t>
      </w:r>
      <w:r>
        <w:rPr>
          <w:rFonts w:hint="eastAsia" w:ascii="宋体" w:hAnsi="宋体"/>
          <w:b/>
          <w:bCs/>
          <w:color w:val="auto"/>
          <w:sz w:val="24"/>
          <w:szCs w:val="24"/>
          <w:highlight w:val="none"/>
        </w:rPr>
        <w:t>分</w:t>
      </w:r>
    </w:p>
    <w:p w14:paraId="0A2CDAEB">
      <w:pPr>
        <w:spacing w:line="560" w:lineRule="exact"/>
        <w:ind w:firstLine="482" w:firstLineChars="200"/>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采购包1及采购包2评分标准如下</w:t>
      </w:r>
      <w:r>
        <w:rPr>
          <w:rFonts w:hint="eastAsia" w:ascii="宋体" w:hAnsi="宋体"/>
          <w:color w:val="auto"/>
          <w:sz w:val="24"/>
          <w:szCs w:val="24"/>
          <w:highlight w:val="none"/>
          <w:lang w:val="en-US" w:eastAsia="zh-CN"/>
        </w:rPr>
        <w:t>：</w:t>
      </w:r>
    </w:p>
    <w:p w14:paraId="0BCD9C9D">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各供应商得分为磋商小组成员评分的算术平均分，分值保留小数点后两位。</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5"/>
        <w:gridCol w:w="1393"/>
        <w:gridCol w:w="5353"/>
        <w:gridCol w:w="751"/>
      </w:tblGrid>
      <w:tr w14:paraId="0DEF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38D3E484">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393" w:type="dxa"/>
            <w:vAlign w:val="center"/>
          </w:tcPr>
          <w:p w14:paraId="2C1D7F51">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评审内容</w:t>
            </w:r>
          </w:p>
        </w:tc>
        <w:tc>
          <w:tcPr>
            <w:tcW w:w="5353" w:type="dxa"/>
            <w:vAlign w:val="center"/>
          </w:tcPr>
          <w:p w14:paraId="1443EE2C">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评分标准</w:t>
            </w:r>
          </w:p>
        </w:tc>
        <w:tc>
          <w:tcPr>
            <w:tcW w:w="751" w:type="dxa"/>
            <w:vAlign w:val="center"/>
          </w:tcPr>
          <w:p w14:paraId="559D13CB">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分值</w:t>
            </w:r>
          </w:p>
        </w:tc>
      </w:tr>
      <w:tr w14:paraId="3931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5ECD1534">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w:t>
            </w:r>
          </w:p>
        </w:tc>
        <w:tc>
          <w:tcPr>
            <w:tcW w:w="1393" w:type="dxa"/>
            <w:vAlign w:val="center"/>
          </w:tcPr>
          <w:p w14:paraId="63C563A7">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拟投入本项目人员</w:t>
            </w:r>
          </w:p>
        </w:tc>
        <w:tc>
          <w:tcPr>
            <w:tcW w:w="5353" w:type="dxa"/>
            <w:vAlign w:val="center"/>
          </w:tcPr>
          <w:p w14:paraId="715B90BD">
            <w:pPr>
              <w:pStyle w:val="56"/>
              <w:widowControl w:val="0"/>
              <w:numPr>
                <w:ilvl w:val="0"/>
                <w:numId w:val="0"/>
              </w:numPr>
              <w:ind w:firstLine="0" w:firstLineChars="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w:t>
            </w:r>
            <w:r>
              <w:rPr>
                <w:rFonts w:hint="eastAsia" w:asciiTheme="minorEastAsia" w:hAnsiTheme="minorEastAsia" w:eastAsiaTheme="minorEastAsia" w:cstheme="minorEastAsia"/>
                <w:color w:val="auto"/>
                <w:sz w:val="24"/>
                <w:szCs w:val="24"/>
                <w:highlight w:val="none"/>
                <w:lang w:val="en-US" w:eastAsia="zh-CN" w:bidi="ar-SA"/>
              </w:rPr>
              <w:t>1</w:t>
            </w:r>
            <w:r>
              <w:rPr>
                <w:rFonts w:asciiTheme="minorEastAsia" w:hAnsiTheme="minorEastAsia" w:eastAsiaTheme="minorEastAsia" w:cstheme="minorEastAsia"/>
                <w:color w:val="auto"/>
                <w:sz w:val="24"/>
                <w:szCs w:val="24"/>
                <w:highlight w:val="none"/>
                <w:lang w:val="en-US" w:eastAsia="zh-CN" w:bidi="ar-SA"/>
              </w:rPr>
              <w:t>）</w:t>
            </w:r>
            <w:r>
              <w:rPr>
                <w:rFonts w:hint="eastAsia" w:asciiTheme="minorEastAsia" w:hAnsiTheme="minorEastAsia" w:eastAsiaTheme="minorEastAsia" w:cstheme="minorEastAsia"/>
                <w:color w:val="auto"/>
                <w:sz w:val="24"/>
                <w:szCs w:val="24"/>
                <w:highlight w:val="none"/>
              </w:rPr>
              <w:t>人员实力</w:t>
            </w:r>
          </w:p>
          <w:p w14:paraId="6D6B1D3E">
            <w:pPr>
              <w:pStyle w:val="56"/>
              <w:widowControl w:val="0"/>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事食品检验人员中具有食品、卫生、生物、化学等专业类别的且具正高级技术职称的，有1名得1分；食品检验报告授权签字人员中具有食品、卫生、生物、化学等专业类别且具副高级职称的，有1名得0.5分；食品检验报告授权签字人中具有CMA评审员资质的，有1名得1分。本项最高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p>
          <w:p w14:paraId="1615D41B">
            <w:pPr>
              <w:pStyle w:val="56"/>
              <w:widowControl w:val="0"/>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须提供职称、资质证书，同一人员的职称或资质证书不重复计算得分。</w:t>
            </w:r>
          </w:p>
          <w:p w14:paraId="6011504E">
            <w:pPr>
              <w:pStyle w:val="56"/>
              <w:widowControl w:val="0"/>
              <w:ind w:firstLine="0"/>
              <w:rPr>
                <w:color w:val="auto"/>
                <w:sz w:val="20"/>
                <w:highlight w:val="none"/>
              </w:rPr>
            </w:pPr>
            <w:r>
              <w:rPr>
                <w:rFonts w:hint="eastAsia" w:asciiTheme="minorEastAsia" w:hAnsiTheme="minorEastAsia" w:eastAsiaTheme="minorEastAsia" w:cstheme="minorEastAsia"/>
                <w:color w:val="auto"/>
                <w:kern w:val="2"/>
                <w:sz w:val="24"/>
                <w:szCs w:val="24"/>
                <w:highlight w:val="none"/>
              </w:rPr>
              <w:t>注：以上每点内容须提供人员岗位证明、社保机构出具并盖章的投标供应商在投标前三个月缴纳为其缴纳的养老保险缴费清单，供应商如为成立不足三个月的新公司，可以提供最近一个月的养老保险缴费证明;成立不足一个月的新公司，可以不提交养老保险缴费证明</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lang w:val="en-US" w:eastAsia="zh-CN"/>
              </w:rPr>
              <w:t>但需提供与拟派人员签订的劳动合同</w:t>
            </w:r>
            <w:r>
              <w:rPr>
                <w:rFonts w:hint="eastAsia" w:asciiTheme="minorEastAsia" w:hAnsiTheme="minorEastAsia" w:eastAsiaTheme="minorEastAsia" w:cstheme="minorEastAsia"/>
                <w:color w:val="auto"/>
                <w:kern w:val="2"/>
                <w:sz w:val="24"/>
                <w:szCs w:val="24"/>
                <w:highlight w:val="none"/>
              </w:rPr>
              <w:t>。未按要求提供者不得分。</w:t>
            </w:r>
          </w:p>
        </w:tc>
        <w:tc>
          <w:tcPr>
            <w:tcW w:w="751" w:type="dxa"/>
            <w:vAlign w:val="center"/>
          </w:tcPr>
          <w:p w14:paraId="4534685A">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6</w:t>
            </w:r>
          </w:p>
        </w:tc>
      </w:tr>
      <w:tr w14:paraId="3C87C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4D31F4F3">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2</w:t>
            </w:r>
          </w:p>
        </w:tc>
        <w:tc>
          <w:tcPr>
            <w:tcW w:w="1393" w:type="dxa"/>
            <w:vAlign w:val="center"/>
          </w:tcPr>
          <w:p w14:paraId="77AA459C">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实验室设备</w:t>
            </w:r>
          </w:p>
        </w:tc>
        <w:tc>
          <w:tcPr>
            <w:tcW w:w="5353" w:type="dxa"/>
            <w:vAlign w:val="center"/>
          </w:tcPr>
          <w:p w14:paraId="0A34BBB5">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1、供应商应配备满足采购人检验检测项目需求的检验设备：</w:t>
            </w:r>
          </w:p>
          <w:p w14:paraId="02566B05">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（1）液相色谱串联质谱联用仪；</w:t>
            </w:r>
          </w:p>
          <w:p w14:paraId="6FDBBA97">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（2）气相色谱质谱联用仪；</w:t>
            </w:r>
          </w:p>
          <w:p w14:paraId="0FC3D5B3">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（3）电感耦合等离子体质谱仪；</w:t>
            </w:r>
          </w:p>
          <w:p w14:paraId="5FDFAA50">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（4）离子色谱仪；</w:t>
            </w:r>
          </w:p>
          <w:p w14:paraId="63AB60BA">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（5）高效液相色谱仪；</w:t>
            </w:r>
          </w:p>
          <w:p w14:paraId="3D366707">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（6）气相色谱仪；</w:t>
            </w:r>
          </w:p>
          <w:p w14:paraId="158906F9">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（7）原子吸收光谱仪；</w:t>
            </w:r>
          </w:p>
          <w:p w14:paraId="7C74550D">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（8）原子荧光光谱仪；</w:t>
            </w:r>
          </w:p>
          <w:p w14:paraId="4B2270DA">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（9）PCR检测仪；</w:t>
            </w:r>
          </w:p>
          <w:p w14:paraId="2E2817B9">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具备以上9类设备每类同时配备至少1台，得8分；具备以上8类设备每类同时配备至少1台，得5分；具备以上7类设备每类同时配备至少1台，得2分；其他不得分。</w:t>
            </w:r>
          </w:p>
          <w:p w14:paraId="0EB390A7">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2、在满足前述检验设备能力要求的基础上对多配备的设备评分：</w:t>
            </w:r>
          </w:p>
          <w:p w14:paraId="3B5C7ADE">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（1）液相色谱三重四级杆质谱联用仪；</w:t>
            </w:r>
          </w:p>
          <w:p w14:paraId="6BB596BE">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（2）气相色谱质谱联用仪；</w:t>
            </w:r>
          </w:p>
          <w:p w14:paraId="42F8E9D0">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（3）电感耦合等离子体质谱仪；</w:t>
            </w:r>
          </w:p>
          <w:p w14:paraId="200B196E">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以上3类设备每类同时配备2台及以上且满足招标文件要求的，得4分，不满足不得分；</w:t>
            </w:r>
          </w:p>
          <w:p w14:paraId="6DDB9BE1">
            <w:pPr>
              <w:pStyle w:val="56"/>
              <w:widowControl w:val="0"/>
              <w:ind w:firstLine="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注：须提供有效的检定或校准证书、购置发票或租赁合同、检验原始记录、设备照片和存放位置等复印件，表明能有效应用在食品检验检测上。</w:t>
            </w:r>
          </w:p>
        </w:tc>
        <w:tc>
          <w:tcPr>
            <w:tcW w:w="751" w:type="dxa"/>
            <w:vAlign w:val="center"/>
          </w:tcPr>
          <w:p w14:paraId="2930E2E5">
            <w:pPr>
              <w:rPr>
                <w:rFonts w:hint="default" w:asciiTheme="minorEastAsia" w:hAnsiTheme="minorEastAsia" w:eastAsiaTheme="minorEastAsia" w:cstheme="minorEastAsia"/>
                <w:color w:val="auto"/>
                <w:kern w:val="0"/>
                <w:sz w:val="24"/>
                <w:szCs w:val="24"/>
                <w:highlight w:val="none"/>
                <w:lang w:val="en-US"/>
              </w:rPr>
            </w:pPr>
            <w:r>
              <w:rPr>
                <w:rFonts w:hint="eastAsia" w:asciiTheme="minorEastAsia" w:hAnsiTheme="minorEastAsia" w:eastAsiaTheme="minorEastAsia" w:cstheme="minorEastAsia"/>
                <w:color w:val="auto"/>
                <w:kern w:val="0"/>
                <w:sz w:val="24"/>
                <w:szCs w:val="24"/>
                <w:highlight w:val="none"/>
                <w:lang w:val="en-US" w:eastAsia="zh-CN"/>
              </w:rPr>
              <w:t>12</w:t>
            </w:r>
          </w:p>
        </w:tc>
      </w:tr>
      <w:tr w14:paraId="1D93C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24136C62">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3</w:t>
            </w:r>
          </w:p>
        </w:tc>
        <w:tc>
          <w:tcPr>
            <w:tcW w:w="1393" w:type="dxa"/>
            <w:vAlign w:val="center"/>
          </w:tcPr>
          <w:p w14:paraId="5DCBFF99">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采样设备</w:t>
            </w:r>
          </w:p>
        </w:tc>
        <w:tc>
          <w:tcPr>
            <w:tcW w:w="5353" w:type="dxa"/>
            <w:vAlign w:val="center"/>
          </w:tcPr>
          <w:p w14:paraId="1011CC30">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供应商具备满足食品抽检工作要求的抽样工具、车辆及特殊贮存条件要求的运输设备情况。</w:t>
            </w:r>
          </w:p>
          <w:p w14:paraId="671A7871">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①供应商</w:t>
            </w:r>
            <w:r>
              <w:rPr>
                <w:rFonts w:hint="eastAsia" w:asciiTheme="minorEastAsia" w:hAnsiTheme="minorEastAsia" w:eastAsiaTheme="minorEastAsia" w:cstheme="minorEastAsia"/>
                <w:color w:val="auto"/>
                <w:kern w:val="0"/>
                <w:sz w:val="24"/>
                <w:szCs w:val="24"/>
                <w:highlight w:val="none"/>
                <w:lang w:val="en-US" w:eastAsia="zh-CN"/>
              </w:rPr>
              <w:t>需</w:t>
            </w:r>
            <w:r>
              <w:rPr>
                <w:rFonts w:hint="eastAsia" w:asciiTheme="minorEastAsia" w:hAnsiTheme="minorEastAsia" w:eastAsiaTheme="minorEastAsia" w:cstheme="minorEastAsia"/>
                <w:color w:val="auto"/>
                <w:kern w:val="0"/>
                <w:sz w:val="24"/>
                <w:szCs w:val="24"/>
                <w:highlight w:val="none"/>
              </w:rPr>
              <w:t>自有（或租赁）冷藏车3辆，每增一辆得</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分，满分</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分</w:t>
            </w:r>
            <w:r>
              <w:rPr>
                <w:rFonts w:hint="eastAsia" w:asciiTheme="minorEastAsia" w:hAnsiTheme="minorEastAsia" w:eastAsiaTheme="minorEastAsia" w:cstheme="minorEastAsia"/>
                <w:color w:val="auto"/>
                <w:kern w:val="0"/>
                <w:sz w:val="24"/>
                <w:szCs w:val="24"/>
                <w:highlight w:val="none"/>
                <w:lang w:eastAsia="zh-CN"/>
              </w:rPr>
              <w:t>；</w:t>
            </w:r>
          </w:p>
          <w:p w14:paraId="30F36F10">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②供应商具备用于样品保存的车载冰箱，每有5个得0.5分，满分</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分。</w:t>
            </w:r>
          </w:p>
          <w:p w14:paraId="6174ED83">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③具备用于采样过程取证的采样记录仪达5部，得1分，达10部，得</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w:t>
            </w:r>
          </w:p>
          <w:p w14:paraId="769E5533">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（1）须提供仪器设备清单、设备原值、购置时间、台套数、计量检定证明、发票复印件等其他证明材料复印件加盖供应商公章。</w:t>
            </w:r>
          </w:p>
          <w:p w14:paraId="4D006C2B">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投标自有车辆的需提供车辆清单和行驶证、车辆照片（车牌及内部各一张）；供应商租赁车辆的需提供车辆租赁合同（需体现租赁期限不低于半年）、车辆清单和行驶证、车辆照片（车牌及内部各一张）；车载冰箱及采样记录仪提供采购发票复印件加盖供应商公章。</w:t>
            </w:r>
          </w:p>
        </w:tc>
        <w:tc>
          <w:tcPr>
            <w:tcW w:w="751" w:type="dxa"/>
            <w:vAlign w:val="center"/>
          </w:tcPr>
          <w:p w14:paraId="1E3C4078">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7</w:t>
            </w:r>
          </w:p>
        </w:tc>
      </w:tr>
      <w:tr w14:paraId="7EBF2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0FAD4FBF">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4</w:t>
            </w:r>
          </w:p>
        </w:tc>
        <w:tc>
          <w:tcPr>
            <w:tcW w:w="1393" w:type="dxa"/>
            <w:vAlign w:val="center"/>
          </w:tcPr>
          <w:p w14:paraId="7E7B6DB7">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技术实施方案</w:t>
            </w:r>
          </w:p>
        </w:tc>
        <w:tc>
          <w:tcPr>
            <w:tcW w:w="5353" w:type="dxa"/>
            <w:vAlign w:val="center"/>
          </w:tcPr>
          <w:p w14:paraId="72A96F0C">
            <w:pPr>
              <w:pStyle w:val="122"/>
              <w:ind w:left="0" w:leftChars="0" w:firstLine="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实施方案应包括但不限于针对</w:t>
            </w:r>
          </w:p>
          <w:p w14:paraId="1FDB00AB">
            <w:pPr>
              <w:pStyle w:val="122"/>
              <w:numPr>
                <w:ilvl w:val="0"/>
                <w:numId w:val="0"/>
              </w:numPr>
              <w:ind w:left="0" w:leftChars="0" w:firstLine="0" w:firstLineChars="0"/>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val="en-US" w:eastAsia="zh-CN" w:bidi="ar-SA"/>
              </w:rPr>
              <w:t>1、</w:t>
            </w:r>
            <w:r>
              <w:rPr>
                <w:rFonts w:hint="eastAsia" w:asciiTheme="minorEastAsia" w:hAnsiTheme="minorEastAsia" w:eastAsiaTheme="minorEastAsia" w:cstheme="minorEastAsia"/>
                <w:color w:val="auto"/>
                <w:kern w:val="0"/>
                <w:sz w:val="24"/>
                <w:szCs w:val="24"/>
                <w:highlight w:val="none"/>
              </w:rPr>
              <w:t>抽样方案</w:t>
            </w:r>
          </w:p>
          <w:p w14:paraId="1BA22CE9">
            <w:pPr>
              <w:pStyle w:val="122"/>
              <w:numPr>
                <w:ilvl w:val="0"/>
                <w:numId w:val="0"/>
              </w:numPr>
              <w:ind w:left="0" w:leftChars="0" w:firstLine="0" w:firstLineChars="0"/>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rPr>
              <w:t>检验方案</w:t>
            </w:r>
          </w:p>
          <w:p w14:paraId="078317F9">
            <w:pPr>
              <w:pStyle w:val="122"/>
              <w:numPr>
                <w:ilvl w:val="0"/>
                <w:numId w:val="0"/>
              </w:numPr>
              <w:ind w:left="0" w:leftChars="0" w:firstLine="0" w:firstLineChars="0"/>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rPr>
              <w:t>数据上报方案</w:t>
            </w:r>
          </w:p>
          <w:p w14:paraId="2DA54197">
            <w:pPr>
              <w:pStyle w:val="122"/>
              <w:numPr>
                <w:ilvl w:val="0"/>
                <w:numId w:val="0"/>
              </w:numPr>
              <w:ind w:left="0" w:leftChars="0" w:firstLine="0" w:firstLineChars="0"/>
              <w:rPr>
                <w:rFonts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rPr>
              <w:t>分析汇总方案</w:t>
            </w:r>
          </w:p>
          <w:p w14:paraId="1B4331FA">
            <w:pPr>
              <w:pStyle w:val="122"/>
              <w:numPr>
                <w:ilvl w:val="0"/>
                <w:numId w:val="0"/>
              </w:numPr>
              <w:ind w:left="0" w:leftChars="0" w:firstLine="0" w:firstLineChars="0"/>
              <w:rPr>
                <w:rFonts w:hint="eastAsia" w:asciiTheme="minorEastAsia" w:hAnsiTheme="minorEastAsia" w:eastAsiaTheme="minorEastAsia" w:cstheme="minorEastAsia"/>
                <w:color w:val="auto"/>
                <w:kern w:val="0"/>
                <w:sz w:val="24"/>
                <w:szCs w:val="24"/>
                <w:highlight w:val="none"/>
              </w:rPr>
            </w:pPr>
            <w:r>
              <w:rPr>
                <w:rFonts w:asciiTheme="minorEastAsia" w:hAnsiTheme="minorEastAsia" w:eastAsiaTheme="minorEastAsia" w:cstheme="minorEastAsia"/>
                <w:color w:val="auto"/>
                <w:kern w:val="0"/>
                <w:sz w:val="24"/>
                <w:szCs w:val="24"/>
                <w:highlight w:val="none"/>
                <w:lang w:val="en-US" w:eastAsia="zh-CN" w:bidi="ar-SA"/>
              </w:rPr>
              <w:t>5、</w:t>
            </w:r>
            <w:r>
              <w:rPr>
                <w:rFonts w:hint="eastAsia" w:asciiTheme="minorEastAsia" w:hAnsiTheme="minorEastAsia" w:eastAsiaTheme="minorEastAsia" w:cstheme="minorEastAsia"/>
                <w:color w:val="auto"/>
                <w:kern w:val="0"/>
                <w:sz w:val="24"/>
                <w:szCs w:val="24"/>
                <w:highlight w:val="none"/>
              </w:rPr>
              <w:t>特色创新工作方案</w:t>
            </w:r>
          </w:p>
          <w:p w14:paraId="0F968F24">
            <w:pPr>
              <w:numPr>
                <w:ilvl w:val="0"/>
                <w:numId w:val="0"/>
              </w:num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每项1分，共计5分，每有一项缺项的扣1分，每有一项内容不完整或有缺陷的扣0.5分，扣完为止，未提供不得分。</w:t>
            </w:r>
          </w:p>
          <w:p w14:paraId="1C176FD3">
            <w:pPr>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bidi="ar-SA"/>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751" w:type="dxa"/>
            <w:vAlign w:val="center"/>
          </w:tcPr>
          <w:p w14:paraId="2E6EB2B7">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14:paraId="5E3A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20FEC9CA">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5</w:t>
            </w:r>
          </w:p>
        </w:tc>
        <w:tc>
          <w:tcPr>
            <w:tcW w:w="1393" w:type="dxa"/>
            <w:vAlign w:val="center"/>
          </w:tcPr>
          <w:p w14:paraId="5713CC22">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突发事件应急处置预案</w:t>
            </w:r>
          </w:p>
        </w:tc>
        <w:tc>
          <w:tcPr>
            <w:tcW w:w="5353" w:type="dxa"/>
            <w:vAlign w:val="center"/>
          </w:tcPr>
          <w:p w14:paraId="7B8141D1">
            <w:pPr>
              <w:pStyle w:val="56"/>
              <w:widowControl w:val="0"/>
              <w:ind w:firstLine="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突发事件应急处置预案包括如遇到：</w:t>
            </w:r>
          </w:p>
          <w:p w14:paraId="56666F77">
            <w:pPr>
              <w:pStyle w:val="56"/>
              <w:widowControl w:val="0"/>
              <w:numPr>
                <w:ilvl w:val="0"/>
                <w:numId w:val="0"/>
              </w:numPr>
              <w:ind w:firstLine="0" w:firstLineChars="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rPr>
              <w:t>应急处置</w:t>
            </w:r>
          </w:p>
          <w:p w14:paraId="480DAAD8">
            <w:pPr>
              <w:pStyle w:val="56"/>
              <w:widowControl w:val="0"/>
              <w:numPr>
                <w:ilvl w:val="0"/>
                <w:numId w:val="0"/>
              </w:numPr>
              <w:ind w:firstLine="0" w:firstLineChars="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2、</w:t>
            </w:r>
            <w:r>
              <w:rPr>
                <w:rFonts w:hint="eastAsia" w:asciiTheme="minorEastAsia" w:hAnsiTheme="minorEastAsia" w:eastAsiaTheme="minorEastAsia" w:cstheme="minorEastAsia"/>
                <w:color w:val="auto"/>
                <w:sz w:val="24"/>
                <w:szCs w:val="24"/>
                <w:highlight w:val="none"/>
              </w:rPr>
              <w:t>专项整治</w:t>
            </w:r>
          </w:p>
          <w:p w14:paraId="289EA6C0">
            <w:pPr>
              <w:pStyle w:val="56"/>
              <w:widowControl w:val="0"/>
              <w:numPr>
                <w:ilvl w:val="0"/>
                <w:numId w:val="0"/>
              </w:numPr>
              <w:ind w:firstLine="0" w:firstLineChars="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lang w:val="en-US" w:eastAsia="zh-CN" w:bidi="ar-SA"/>
              </w:rPr>
              <w:t>3、</w:t>
            </w:r>
            <w:r>
              <w:rPr>
                <w:rFonts w:hint="eastAsia" w:asciiTheme="minorEastAsia" w:hAnsiTheme="minorEastAsia" w:eastAsiaTheme="minorEastAsia" w:cstheme="minorEastAsia"/>
                <w:color w:val="auto"/>
                <w:sz w:val="24"/>
                <w:szCs w:val="24"/>
                <w:highlight w:val="none"/>
              </w:rPr>
              <w:t>案件稽查</w:t>
            </w:r>
          </w:p>
          <w:p w14:paraId="1DDA9645">
            <w:pPr>
              <w:pStyle w:val="56"/>
              <w:widowControl w:val="0"/>
              <w:numPr>
                <w:ilvl w:val="0"/>
                <w:numId w:val="0"/>
              </w:numPr>
              <w:ind w:firstLine="0" w:firstLineChars="0"/>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4、事故调查</w:t>
            </w:r>
          </w:p>
          <w:p w14:paraId="6E06C2AC">
            <w:pPr>
              <w:numPr>
                <w:ilvl w:val="0"/>
                <w:numId w:val="0"/>
              </w:num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每项1分，共计4分，每有一项缺项的扣1分，每有一项内容不完整或有缺陷的扣0.5分，扣完为止，未提供不得分。</w:t>
            </w:r>
          </w:p>
          <w:p w14:paraId="4AF948E8">
            <w:pPr>
              <w:rPr>
                <w:color w:val="auto"/>
                <w:sz w:val="20"/>
                <w:highlight w:val="none"/>
              </w:rPr>
            </w:pPr>
            <w:r>
              <w:rPr>
                <w:rFonts w:hint="eastAsia" w:ascii="Times New Roman" w:hAnsi="Times New Roman" w:eastAsia="宋体" w:cs="Times New Roman"/>
                <w:color w:val="auto"/>
                <w:kern w:val="0"/>
                <w:sz w:val="24"/>
                <w:szCs w:val="24"/>
                <w:highlight w:val="none"/>
                <w:lang w:val="en-US" w:eastAsia="zh-CN" w:bidi="ar-SA"/>
              </w:rPr>
              <w:t>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p>
        </w:tc>
        <w:tc>
          <w:tcPr>
            <w:tcW w:w="751" w:type="dxa"/>
            <w:vAlign w:val="center"/>
          </w:tcPr>
          <w:p w14:paraId="29D08D94">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14:paraId="05108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54154033">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6</w:t>
            </w:r>
          </w:p>
        </w:tc>
        <w:tc>
          <w:tcPr>
            <w:tcW w:w="1393" w:type="dxa"/>
            <w:vAlign w:val="center"/>
          </w:tcPr>
          <w:p w14:paraId="479F8CCD">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资质项目情况</w:t>
            </w:r>
          </w:p>
        </w:tc>
        <w:tc>
          <w:tcPr>
            <w:tcW w:w="5353" w:type="dxa"/>
            <w:vAlign w:val="center"/>
          </w:tcPr>
          <w:p w14:paraId="01FC3C4B">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1.对照最新版国抽细则中列出的各产品检验项目表的项目响应情况</w:t>
            </w:r>
          </w:p>
          <w:p w14:paraId="72E05DAC">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①CMA资质项目综合覆盖率达到100%的，得3.5分；</w:t>
            </w:r>
          </w:p>
          <w:p w14:paraId="675E502A">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②CMA资质项目综合覆盖率95%及以上的，得3分；</w:t>
            </w:r>
          </w:p>
          <w:p w14:paraId="63348F10">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③CMA资质项目综合覆盖率90%及以上的，得2.5分；</w:t>
            </w:r>
          </w:p>
          <w:p w14:paraId="2FFC5C30">
            <w:pPr>
              <w:pStyle w:val="56"/>
              <w:widowControl w:val="0"/>
              <w:ind w:firstLine="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④CMA资质项目综合覆盖率85%及以上的，得1分；</w:t>
            </w:r>
          </w:p>
          <w:p w14:paraId="417253F3">
            <w:pPr>
              <w:rPr>
                <w:rFonts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各供应商自行逐项列出检验项目，并提供《检验项目响应表》，具体详见采购附件16。如果在项目后期实施过程出现与投标时所提供的项目响应表不一致的情况，采购人有权终止合同。并将供应商的虚假应标行为上报财政部门。</w:t>
            </w:r>
          </w:p>
          <w:p w14:paraId="4B82E910">
            <w:p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2.对照GB 2760-2024响应情况</w:t>
            </w:r>
            <w:r>
              <w:rPr>
                <w:rFonts w:hint="eastAsia" w:cs="Times New Roman"/>
                <w:color w:val="auto"/>
                <w:kern w:val="0"/>
                <w:sz w:val="24"/>
                <w:szCs w:val="24"/>
                <w:highlight w:val="none"/>
                <w:lang w:val="en-US" w:eastAsia="zh-CN" w:bidi="ar-SA"/>
              </w:rPr>
              <w:t>，</w:t>
            </w:r>
            <w:r>
              <w:rPr>
                <w:rFonts w:hint="eastAsia" w:ascii="Times New Roman" w:hAnsi="Times New Roman" w:eastAsia="宋体" w:cs="Times New Roman"/>
                <w:color w:val="auto"/>
                <w:kern w:val="0"/>
                <w:sz w:val="24"/>
                <w:szCs w:val="24"/>
                <w:highlight w:val="none"/>
                <w:lang w:val="en-US" w:eastAsia="zh-CN" w:bidi="ar-SA"/>
              </w:rPr>
              <w:t>供应商具有CMA资质项目，但最新版国抽细则中的未作要求的，每有一个项目得0.1分，最高1分。</w:t>
            </w:r>
          </w:p>
          <w:p w14:paraId="08B14F79">
            <w:p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注：供应商需</w:t>
            </w:r>
            <w:r>
              <w:rPr>
                <w:rFonts w:hint="eastAsia" w:cs="Times New Roman"/>
                <w:color w:val="auto"/>
                <w:kern w:val="0"/>
                <w:sz w:val="24"/>
                <w:szCs w:val="24"/>
                <w:highlight w:val="none"/>
                <w:lang w:val="en-US" w:eastAsia="zh-CN" w:bidi="ar-SA"/>
              </w:rPr>
              <w:t>提供涉及CMA资质项目在</w:t>
            </w:r>
            <w:r>
              <w:rPr>
                <w:rFonts w:hint="eastAsia" w:ascii="Times New Roman" w:hAnsi="Times New Roman" w:eastAsia="宋体" w:cs="Times New Roman"/>
                <w:color w:val="auto"/>
                <w:kern w:val="0"/>
                <w:sz w:val="24"/>
                <w:szCs w:val="24"/>
                <w:highlight w:val="none"/>
                <w:lang w:val="en-US" w:eastAsia="zh-CN" w:bidi="ar-SA"/>
              </w:rPr>
              <w:t>GB 2760-2024标准中具体</w:t>
            </w:r>
            <w:r>
              <w:rPr>
                <w:rFonts w:hint="eastAsia" w:cs="Times New Roman"/>
                <w:color w:val="auto"/>
                <w:kern w:val="0"/>
                <w:sz w:val="24"/>
                <w:szCs w:val="24"/>
                <w:highlight w:val="none"/>
                <w:lang w:val="en-US" w:eastAsia="zh-CN" w:bidi="ar-SA"/>
              </w:rPr>
              <w:t>的</w:t>
            </w:r>
            <w:r>
              <w:rPr>
                <w:rFonts w:hint="eastAsia" w:ascii="Times New Roman" w:hAnsi="Times New Roman" w:eastAsia="宋体" w:cs="Times New Roman"/>
                <w:color w:val="auto"/>
                <w:kern w:val="0"/>
                <w:sz w:val="24"/>
                <w:szCs w:val="24"/>
                <w:highlight w:val="none"/>
                <w:lang w:val="en-US" w:eastAsia="zh-CN" w:bidi="ar-SA"/>
              </w:rPr>
              <w:t>添加剂名称、所在食品具体名称及页码截图。</w:t>
            </w:r>
          </w:p>
          <w:p w14:paraId="1EBEE899">
            <w:p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3.对照卫生部、市场监管总局公告中食品中可能添加的非食用物质项目响应情况</w:t>
            </w:r>
            <w:r>
              <w:rPr>
                <w:rFonts w:hint="eastAsia" w:cs="Times New Roman"/>
                <w:color w:val="auto"/>
                <w:kern w:val="0"/>
                <w:sz w:val="24"/>
                <w:szCs w:val="24"/>
                <w:highlight w:val="none"/>
                <w:lang w:val="en-US" w:eastAsia="zh-CN" w:bidi="ar-SA"/>
              </w:rPr>
              <w:t>，</w:t>
            </w:r>
            <w:r>
              <w:rPr>
                <w:rFonts w:hint="eastAsia" w:ascii="Times New Roman" w:hAnsi="Times New Roman" w:eastAsia="宋体" w:cs="Times New Roman"/>
                <w:color w:val="auto"/>
                <w:kern w:val="0"/>
                <w:sz w:val="24"/>
                <w:szCs w:val="24"/>
                <w:highlight w:val="none"/>
                <w:lang w:val="en-US" w:eastAsia="zh-CN" w:bidi="ar-SA"/>
              </w:rPr>
              <w:t>供应商具有CMA资质项目，列出具体公告中非法物质对应的资质附表序号，每个项目得0.1分，最高1分。</w:t>
            </w:r>
          </w:p>
          <w:p w14:paraId="08B97E52">
            <w:p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4.通过CATL考核，覆盖项目每50项得0.5分，最高得1分；（提供附表）</w:t>
            </w:r>
          </w:p>
          <w:p w14:paraId="6EA2CD23">
            <w:pPr>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5.供应商具有CNAS资质，覆盖项目每50项得0.5分，最高得1.5分；（提供附表）</w:t>
            </w:r>
          </w:p>
          <w:p w14:paraId="608A4818">
            <w:pPr>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color w:val="auto"/>
                <w:kern w:val="0"/>
                <w:sz w:val="24"/>
                <w:szCs w:val="24"/>
                <w:highlight w:val="none"/>
                <w:lang w:val="en-US" w:eastAsia="zh-CN" w:bidi="ar-SA"/>
              </w:rPr>
              <w:t>本项最高得8分，供应商须提供资质证书、实验室资质及检验项目资质情况表的对照表、项目覆盖率等相关证明材料。</w:t>
            </w:r>
          </w:p>
        </w:tc>
        <w:tc>
          <w:tcPr>
            <w:tcW w:w="751" w:type="dxa"/>
            <w:vAlign w:val="center"/>
          </w:tcPr>
          <w:p w14:paraId="10E96A0C">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8</w:t>
            </w:r>
          </w:p>
        </w:tc>
      </w:tr>
      <w:tr w14:paraId="259B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4E2E23ED">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7</w:t>
            </w:r>
          </w:p>
        </w:tc>
        <w:tc>
          <w:tcPr>
            <w:tcW w:w="1393" w:type="dxa"/>
            <w:vAlign w:val="center"/>
          </w:tcPr>
          <w:p w14:paraId="0DA2FF3A">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科研项目</w:t>
            </w:r>
          </w:p>
        </w:tc>
        <w:tc>
          <w:tcPr>
            <w:tcW w:w="5353" w:type="dxa"/>
            <w:vAlign w:val="center"/>
          </w:tcPr>
          <w:p w14:paraId="6010BE85">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供应商参与过国家、行业、地方、团体等食品相关标准或检验方法标准制定</w:t>
            </w:r>
            <w:r>
              <w:rPr>
                <w:rFonts w:hint="eastAsia" w:asciiTheme="minorEastAsia" w:hAnsiTheme="minorEastAsia" w:eastAsiaTheme="minorEastAsia" w:cstheme="minorEastAsia"/>
                <w:color w:val="auto"/>
                <w:kern w:val="0"/>
                <w:sz w:val="24"/>
                <w:szCs w:val="24"/>
                <w:highlight w:val="none"/>
                <w:lang w:val="en-US" w:eastAsia="zh-CN"/>
              </w:rPr>
              <w:t>的</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每1个得</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分，最高得</w:t>
            </w:r>
            <w:r>
              <w:rPr>
                <w:rFonts w:hint="eastAsia" w:asciiTheme="minorEastAsia" w:hAnsiTheme="minorEastAsia" w:eastAsiaTheme="minorEastAsia" w:cstheme="minorEastAsia"/>
                <w:color w:val="auto"/>
                <w:kern w:val="0"/>
                <w:sz w:val="24"/>
                <w:szCs w:val="24"/>
                <w:highlight w:val="none"/>
                <w:lang w:val="en-US" w:eastAsia="zh-CN"/>
              </w:rPr>
              <w:t>4</w:t>
            </w:r>
            <w:r>
              <w:rPr>
                <w:rFonts w:hint="eastAsia" w:asciiTheme="minorEastAsia" w:hAnsiTheme="minorEastAsia" w:eastAsiaTheme="minorEastAsia" w:cstheme="minorEastAsia"/>
                <w:color w:val="auto"/>
                <w:kern w:val="0"/>
                <w:sz w:val="24"/>
                <w:szCs w:val="24"/>
                <w:highlight w:val="none"/>
              </w:rPr>
              <w:t>分。（须提供课题合同书或其他相关证明材料。）</w:t>
            </w:r>
          </w:p>
        </w:tc>
        <w:tc>
          <w:tcPr>
            <w:tcW w:w="751" w:type="dxa"/>
            <w:vAlign w:val="center"/>
          </w:tcPr>
          <w:p w14:paraId="48E37DCD">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14:paraId="4567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368E9C14">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8</w:t>
            </w:r>
          </w:p>
        </w:tc>
        <w:tc>
          <w:tcPr>
            <w:tcW w:w="1393" w:type="dxa"/>
            <w:vAlign w:val="center"/>
          </w:tcPr>
          <w:p w14:paraId="01BC02DE">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抽检业绩</w:t>
            </w:r>
          </w:p>
        </w:tc>
        <w:tc>
          <w:tcPr>
            <w:tcW w:w="5353" w:type="dxa"/>
            <w:vAlign w:val="center"/>
          </w:tcPr>
          <w:p w14:paraId="01098B7D">
            <w:pPr>
              <w:pStyle w:val="99"/>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1、供应商自2023年1月1日以来，承担过省级及以上与本项目类似的任务，有1次得</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lang w:eastAsia="zh-CN"/>
              </w:rPr>
              <w:t>分。</w:t>
            </w:r>
          </w:p>
          <w:p w14:paraId="72410937">
            <w:pPr>
              <w:pStyle w:val="99"/>
              <w:numPr>
                <w:ilvl w:val="0"/>
                <w:numId w:val="6"/>
              </w:numPr>
              <w:ind w:left="0" w:hanging="357"/>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注：供应商提供具代表性业绩，同一委托单位单笔合同一年内任务批次不少于300；附合同及响应的检测报告各一份。</w:t>
            </w:r>
          </w:p>
          <w:p w14:paraId="040D896A">
            <w:pPr>
              <w:pStyle w:val="99"/>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、供应商提供</w:t>
            </w:r>
            <w:r>
              <w:rPr>
                <w:rFonts w:hint="eastAsia"/>
                <w:color w:val="auto"/>
                <w:highlight w:val="none"/>
                <w:lang w:eastAsia="zh-CN"/>
              </w:rPr>
              <w:t>《食品安全监督抽检实施细则》</w:t>
            </w:r>
            <w:r>
              <w:rPr>
                <w:rFonts w:hint="eastAsia"/>
                <w:color w:val="auto"/>
                <w:highlight w:val="none"/>
                <w:lang w:val="en-US" w:eastAsia="zh-CN"/>
              </w:rPr>
              <w:t>最新</w:t>
            </w:r>
            <w:r>
              <w:rPr>
                <w:rFonts w:hint="eastAsia"/>
                <w:color w:val="auto"/>
                <w:highlight w:val="none"/>
                <w:lang w:eastAsia="zh-CN"/>
              </w:rPr>
              <w:t>版范围之外，GB 2760-2024范围之内的检测业绩，提供</w:t>
            </w:r>
            <w:r>
              <w:rPr>
                <w:rFonts w:hint="eastAsia"/>
                <w:color w:val="auto"/>
                <w:highlight w:val="none"/>
                <w:lang w:val="en-US" w:eastAsia="zh-CN"/>
              </w:rPr>
              <w:t>相应的</w:t>
            </w:r>
            <w:r>
              <w:rPr>
                <w:rFonts w:hint="eastAsia" w:asciiTheme="minorEastAsia" w:hAnsiTheme="minorEastAsia" w:eastAsiaTheme="minorEastAsia" w:cstheme="minorEastAsia"/>
                <w:color w:val="auto"/>
                <w:highlight w:val="none"/>
                <w:lang w:eastAsia="zh-CN"/>
              </w:rPr>
              <w:t>有资质的</w:t>
            </w:r>
            <w:r>
              <w:rPr>
                <w:rFonts w:hint="eastAsia"/>
                <w:color w:val="auto"/>
                <w:highlight w:val="none"/>
                <w:lang w:eastAsia="zh-CN"/>
              </w:rPr>
              <w:t>检测报告，有一项得</w:t>
            </w:r>
            <w:r>
              <w:rPr>
                <w:rFonts w:hint="eastAsia"/>
                <w:color w:val="auto"/>
                <w:highlight w:val="none"/>
                <w:lang w:val="en-US" w:eastAsia="zh-CN"/>
              </w:rPr>
              <w:t>1</w:t>
            </w:r>
            <w:r>
              <w:rPr>
                <w:rFonts w:hint="eastAsia"/>
                <w:color w:val="auto"/>
                <w:highlight w:val="none"/>
                <w:lang w:eastAsia="zh-CN"/>
              </w:rPr>
              <w:t>分，最高得</w:t>
            </w:r>
            <w:r>
              <w:rPr>
                <w:rFonts w:hint="eastAsia"/>
                <w:color w:val="auto"/>
                <w:highlight w:val="none"/>
                <w:lang w:val="en-US" w:eastAsia="zh-CN"/>
              </w:rPr>
              <w:t>2</w:t>
            </w:r>
            <w:r>
              <w:rPr>
                <w:rFonts w:hint="eastAsia"/>
                <w:color w:val="auto"/>
                <w:highlight w:val="none"/>
                <w:lang w:eastAsia="zh-CN"/>
              </w:rPr>
              <w:t>分。</w:t>
            </w:r>
            <w:bookmarkStart w:id="203" w:name="_GoBack"/>
            <w:bookmarkEnd w:id="203"/>
          </w:p>
          <w:p w14:paraId="2DD21F17">
            <w:pPr>
              <w:pStyle w:val="99"/>
              <w:numPr>
                <w:ilvl w:val="0"/>
                <w:numId w:val="6"/>
              </w:numPr>
              <w:ind w:left="0" w:hanging="357"/>
              <w:rPr>
                <w:rFonts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备注：以上两项业绩重复的不同时得分。</w:t>
            </w:r>
          </w:p>
        </w:tc>
        <w:tc>
          <w:tcPr>
            <w:tcW w:w="751" w:type="dxa"/>
            <w:vAlign w:val="center"/>
          </w:tcPr>
          <w:p w14:paraId="2519CCF8">
            <w:p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5</w:t>
            </w:r>
          </w:p>
        </w:tc>
      </w:tr>
      <w:tr w14:paraId="4029C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714250A3">
            <w:p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9</w:t>
            </w:r>
          </w:p>
        </w:tc>
        <w:tc>
          <w:tcPr>
            <w:tcW w:w="1393" w:type="dxa"/>
            <w:vAlign w:val="center"/>
          </w:tcPr>
          <w:p w14:paraId="124A6BF9">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应急时间响应承诺</w:t>
            </w:r>
          </w:p>
        </w:tc>
        <w:tc>
          <w:tcPr>
            <w:tcW w:w="5353" w:type="dxa"/>
            <w:vAlign w:val="center"/>
          </w:tcPr>
          <w:p w14:paraId="36BE0E6C">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供应商需具备配合采购人在海安市辖区内应急处置的能力。根据供应商在项目需要时到达现场（以投标项目所在地为参照）进行采样的时间综合评定（满分3分）： </w:t>
            </w:r>
          </w:p>
          <w:p w14:paraId="229C5540">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1.5小时（含）以内的得</w:t>
            </w:r>
            <w:r>
              <w:rPr>
                <w:rFonts w:hint="eastAsia" w:asciiTheme="minorEastAsia" w:hAnsiTheme="minorEastAsia" w:eastAsiaTheme="minorEastAsia" w:cstheme="minorEastAsia"/>
                <w:color w:val="auto"/>
                <w:kern w:val="0"/>
                <w:sz w:val="24"/>
                <w:szCs w:val="24"/>
                <w:highlight w:val="none"/>
                <w:lang w:val="en-US" w:eastAsia="zh-CN"/>
              </w:rPr>
              <w:t>4</w:t>
            </w:r>
            <w:r>
              <w:rPr>
                <w:rFonts w:hint="eastAsia" w:asciiTheme="minorEastAsia" w:hAnsiTheme="minorEastAsia" w:eastAsiaTheme="minorEastAsia" w:cstheme="minorEastAsia"/>
                <w:color w:val="auto"/>
                <w:kern w:val="0"/>
                <w:sz w:val="24"/>
                <w:szCs w:val="24"/>
                <w:highlight w:val="none"/>
              </w:rPr>
              <w:t xml:space="preserve">分； </w:t>
            </w:r>
          </w:p>
          <w:p w14:paraId="2F9CB13A">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2.5小时（含）以内的得2分； </w:t>
            </w:r>
          </w:p>
          <w:p w14:paraId="332B24D6">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3.5小时（含）以内的得1分； </w:t>
            </w:r>
          </w:p>
          <w:p w14:paraId="255FE1C5">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4小时（含）以内的得 0.5分；</w:t>
            </w:r>
          </w:p>
          <w:p w14:paraId="7134F594">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4小时以上及未承诺的不得分。 </w:t>
            </w:r>
          </w:p>
          <w:p w14:paraId="7A9BE225">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注：供应商须提供盖章的承诺函原件</w:t>
            </w:r>
            <w:r>
              <w:rPr>
                <w:rFonts w:hint="eastAsia" w:asciiTheme="minorEastAsia" w:hAnsiTheme="minorEastAsia" w:eastAsiaTheme="minorEastAsia" w:cstheme="minorEastAsia"/>
                <w:color w:val="auto"/>
                <w:kern w:val="0"/>
                <w:sz w:val="24"/>
                <w:szCs w:val="24"/>
                <w:highlight w:val="none"/>
                <w:lang w:val="en-US" w:eastAsia="zh-CN"/>
              </w:rPr>
              <w:t>及相关路线证明材料，不提供的不得分。</w:t>
            </w:r>
            <w:r>
              <w:rPr>
                <w:rFonts w:hint="eastAsia" w:asciiTheme="minorEastAsia" w:hAnsiTheme="minorEastAsia" w:eastAsiaTheme="minorEastAsia" w:cstheme="minorEastAsia"/>
                <w:color w:val="auto"/>
                <w:kern w:val="0"/>
                <w:sz w:val="24"/>
                <w:szCs w:val="24"/>
                <w:highlight w:val="none"/>
              </w:rPr>
              <w:t>（承诺函格式自拟，采购人一旦发现存在虚假承诺，有权终止合同，并追究相关法律责任）。</w:t>
            </w:r>
          </w:p>
        </w:tc>
        <w:tc>
          <w:tcPr>
            <w:tcW w:w="751" w:type="dxa"/>
            <w:vAlign w:val="center"/>
          </w:tcPr>
          <w:p w14:paraId="076B0A67">
            <w:pPr>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14:paraId="2B900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5" w:type="dxa"/>
            <w:vAlign w:val="center"/>
          </w:tcPr>
          <w:p w14:paraId="37D523EC">
            <w:p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w:t>
            </w:r>
          </w:p>
        </w:tc>
        <w:tc>
          <w:tcPr>
            <w:tcW w:w="1393" w:type="dxa"/>
            <w:vAlign w:val="center"/>
          </w:tcPr>
          <w:p w14:paraId="2317BA83">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增值服务承诺</w:t>
            </w:r>
          </w:p>
        </w:tc>
        <w:tc>
          <w:tcPr>
            <w:tcW w:w="5353" w:type="dxa"/>
            <w:vAlign w:val="center"/>
          </w:tcPr>
          <w:p w14:paraId="2B6540F9">
            <w:pP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一</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 xml:space="preserve">供应商提供相关增值服务承诺，具体内容如下： </w:t>
            </w:r>
          </w:p>
          <w:p w14:paraId="3D46BDBC">
            <w:pPr>
              <w:pStyle w:val="99"/>
              <w:numPr>
                <w:ilvl w:val="0"/>
                <w:numId w:val="0"/>
              </w:numPr>
              <w:ind w:left="0" w:leftChars="0" w:firstLine="0" w:firstLineChars="0"/>
              <w:rPr>
                <w:rFonts w:asciiTheme="minorEastAsia" w:hAnsiTheme="minorEastAsia" w:eastAsiaTheme="minorEastAsia" w:cstheme="minorEastAsia"/>
                <w:color w:val="auto"/>
                <w:kern w:val="2"/>
                <w:highlight w:val="none"/>
                <w:lang w:eastAsia="zh-CN" w:bidi="ar-SA"/>
              </w:rPr>
            </w:pPr>
            <w:r>
              <w:rPr>
                <w:rFonts w:hint="default"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kern w:val="2"/>
                <w:highlight w:val="none"/>
                <w:lang w:eastAsia="zh-CN" w:bidi="ar-SA"/>
              </w:rPr>
              <w:t>根据采购人需求，供应商</w:t>
            </w:r>
            <w:bookmarkStart w:id="193" w:name="OLE_LINK25"/>
            <w:bookmarkStart w:id="194" w:name="OLE_LINK24"/>
            <w:r>
              <w:rPr>
                <w:rFonts w:hint="eastAsia" w:asciiTheme="minorEastAsia" w:hAnsiTheme="minorEastAsia" w:eastAsiaTheme="minorEastAsia" w:cstheme="minorEastAsia"/>
                <w:color w:val="auto"/>
                <w:kern w:val="2"/>
                <w:highlight w:val="none"/>
                <w:lang w:eastAsia="zh-CN" w:bidi="ar-SA"/>
              </w:rPr>
              <w:t>拟派专业人员</w:t>
            </w:r>
            <w:bookmarkEnd w:id="193"/>
            <w:bookmarkEnd w:id="194"/>
            <w:r>
              <w:rPr>
                <w:rFonts w:hint="eastAsia" w:asciiTheme="minorEastAsia" w:hAnsiTheme="minorEastAsia" w:eastAsiaTheme="minorEastAsia" w:cstheme="minorEastAsia"/>
                <w:color w:val="auto"/>
                <w:kern w:val="2"/>
                <w:highlight w:val="none"/>
                <w:lang w:val="en-US" w:eastAsia="zh-CN" w:bidi="ar-SA"/>
              </w:rPr>
              <w:t>进行</w:t>
            </w:r>
            <w:r>
              <w:rPr>
                <w:rFonts w:hint="eastAsia" w:asciiTheme="minorEastAsia" w:hAnsiTheme="minorEastAsia" w:eastAsiaTheme="minorEastAsia" w:cstheme="minorEastAsia"/>
                <w:color w:val="auto"/>
                <w:kern w:val="2"/>
                <w:highlight w:val="none"/>
                <w:lang w:eastAsia="zh-CN" w:bidi="ar-SA"/>
              </w:rPr>
              <w:t>食品安全培训，</w:t>
            </w:r>
            <w:bookmarkStart w:id="195" w:name="OLE_LINK26"/>
            <w:r>
              <w:rPr>
                <w:rFonts w:hint="eastAsia" w:asciiTheme="minorEastAsia" w:hAnsiTheme="minorEastAsia" w:eastAsiaTheme="minorEastAsia" w:cstheme="minorEastAsia"/>
                <w:color w:val="auto"/>
                <w:kern w:val="2"/>
                <w:highlight w:val="none"/>
                <w:lang w:eastAsia="zh-CN" w:bidi="ar-SA"/>
              </w:rPr>
              <w:t>不得少于2个学时（1学时不得少于45分钟）。</w:t>
            </w:r>
            <w:bookmarkEnd w:id="195"/>
          </w:p>
          <w:p w14:paraId="43FCD71A">
            <w:pPr>
              <w:pStyle w:val="99"/>
              <w:numPr>
                <w:ilvl w:val="0"/>
                <w:numId w:val="0"/>
              </w:numPr>
              <w:ind w:left="0" w:leftChars="0" w:firstLine="0" w:firstLineChars="0"/>
              <w:rPr>
                <w:rFonts w:asciiTheme="minorEastAsia" w:hAnsiTheme="minorEastAsia" w:eastAsiaTheme="minorEastAsia" w:cstheme="minorEastAsia"/>
                <w:color w:val="auto"/>
                <w:kern w:val="2"/>
                <w:highlight w:val="none"/>
                <w:lang w:eastAsia="zh-CN" w:bidi="ar-SA"/>
              </w:rPr>
            </w:pPr>
            <w:r>
              <w:rPr>
                <w:rFonts w:hint="default"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2"/>
                <w:highlight w:val="none"/>
                <w:lang w:eastAsia="zh-CN" w:bidi="ar-SA"/>
              </w:rPr>
              <w:t>供应商拟派专业人员给予快检培训，不得少于2个学时（1学时不得少于45分钟）。</w:t>
            </w:r>
          </w:p>
          <w:p w14:paraId="16DB1BB3">
            <w:p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以上内容每提供一项承诺得</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分，最高得</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分。以上承诺函格式自拟。</w:t>
            </w:r>
          </w:p>
          <w:p w14:paraId="0F0F0917">
            <w:pPr>
              <w:numPr>
                <w:ilvl w:val="0"/>
                <w:numId w:val="7"/>
              </w:num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在本项目实施期间，</w:t>
            </w:r>
            <w:r>
              <w:rPr>
                <w:rFonts w:hint="eastAsia" w:asciiTheme="minorEastAsia" w:hAnsiTheme="minorEastAsia" w:eastAsiaTheme="minorEastAsia" w:cstheme="minorEastAsia"/>
                <w:color w:val="auto"/>
                <w:kern w:val="0"/>
                <w:sz w:val="24"/>
                <w:szCs w:val="24"/>
                <w:highlight w:val="none"/>
              </w:rPr>
              <w:t xml:space="preserve">供应商提供相关增值服务承诺，具体内容如下： </w:t>
            </w:r>
          </w:p>
          <w:p w14:paraId="355C303F">
            <w:pPr>
              <w:numPr>
                <w:ilvl w:val="0"/>
                <w:numId w:val="8"/>
              </w:numP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为采购人提供动物源性（</w:t>
            </w:r>
            <w:r>
              <w:rPr>
                <w:rFonts w:hint="eastAsia" w:asciiTheme="minorEastAsia" w:hAnsiTheme="minorEastAsia" w:eastAsiaTheme="minorEastAsia" w:cstheme="minorEastAsia"/>
                <w:color w:val="auto"/>
                <w:sz w:val="24"/>
                <w:szCs w:val="24"/>
                <w:highlight w:val="none"/>
                <w:lang w:val="en-US" w:eastAsia="zh-CN"/>
              </w:rPr>
              <w:t>必须包含</w:t>
            </w:r>
            <w:r>
              <w:rPr>
                <w:rFonts w:hint="eastAsia" w:asciiTheme="minorEastAsia" w:hAnsiTheme="minorEastAsia" w:eastAsiaTheme="minorEastAsia" w:cstheme="minorEastAsia"/>
                <w:b/>
                <w:bCs/>
                <w:color w:val="auto"/>
                <w:kern w:val="0"/>
                <w:sz w:val="24"/>
                <w:szCs w:val="24"/>
                <w:highlight w:val="none"/>
                <w:lang w:val="en-US" w:eastAsia="zh-CN"/>
              </w:rPr>
              <w:t>牛源性、羊源性、鸡源性、鸭源性、猪源性</w:t>
            </w:r>
            <w:r>
              <w:rPr>
                <w:rFonts w:hint="eastAsia" w:asciiTheme="minorEastAsia" w:hAnsiTheme="minorEastAsia" w:eastAsiaTheme="minorEastAsia" w:cstheme="minorEastAsia"/>
                <w:color w:val="auto"/>
                <w:kern w:val="0"/>
                <w:sz w:val="24"/>
                <w:szCs w:val="24"/>
                <w:highlight w:val="none"/>
                <w:lang w:val="en-US" w:eastAsia="zh-CN"/>
              </w:rPr>
              <w:t>）检测的，得3分。</w:t>
            </w:r>
          </w:p>
          <w:p w14:paraId="1149B4A4">
            <w:pPr>
              <w:numPr>
                <w:ilvl w:val="0"/>
                <w:numId w:val="8"/>
              </w:numP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为采购人提供非法添加检测的，得2分。</w:t>
            </w:r>
          </w:p>
          <w:p w14:paraId="2B87E862">
            <w:pPr>
              <w:numPr>
                <w:ilvl w:val="0"/>
                <w:numId w:val="8"/>
              </w:num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为采购人提供</w:t>
            </w:r>
            <w:r>
              <w:rPr>
                <w:rFonts w:hint="eastAsia" w:asciiTheme="minorEastAsia" w:hAnsiTheme="minorEastAsia" w:eastAsiaTheme="minorEastAsia" w:cstheme="minorEastAsia"/>
                <w:color w:val="auto"/>
                <w:sz w:val="24"/>
                <w:szCs w:val="24"/>
                <w:highlight w:val="none"/>
              </w:rPr>
              <w:t>农药残留、兽药残留、重金属、真菌毒素、食品添加剂、微生物、营养元素、转基因</w:t>
            </w:r>
            <w:r>
              <w:rPr>
                <w:rFonts w:hint="eastAsia" w:asciiTheme="minorEastAsia" w:hAnsiTheme="minorEastAsia" w:eastAsiaTheme="minorEastAsia" w:cstheme="minorEastAsia"/>
                <w:color w:val="auto"/>
                <w:sz w:val="24"/>
                <w:szCs w:val="24"/>
                <w:highlight w:val="none"/>
                <w:lang w:val="en-US" w:eastAsia="zh-CN"/>
              </w:rPr>
              <w:t>检测</w:t>
            </w:r>
            <w:r>
              <w:rPr>
                <w:rFonts w:hint="eastAsia" w:asciiTheme="minorEastAsia" w:hAnsiTheme="minorEastAsia" w:eastAsiaTheme="minorEastAsia" w:cstheme="minorEastAsia"/>
                <w:color w:val="auto"/>
                <w:kern w:val="0"/>
                <w:sz w:val="24"/>
                <w:szCs w:val="24"/>
                <w:highlight w:val="none"/>
                <w:lang w:val="en-US" w:eastAsia="zh-CN"/>
              </w:rPr>
              <w:t>的，得2分。</w:t>
            </w:r>
          </w:p>
          <w:p w14:paraId="64EBD885">
            <w:pPr>
              <w:numPr>
                <w:ilvl w:val="0"/>
                <w:numId w:val="8"/>
              </w:num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为采购人提供食品相关产品类检测的，得2分。</w:t>
            </w:r>
          </w:p>
          <w:p w14:paraId="2BF3DCFE">
            <w:pPr>
              <w:numPr>
                <w:ilvl w:val="0"/>
                <w:numId w:val="0"/>
              </w:numP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以上内容供应商需提供相关承诺函，及以往</w:t>
            </w:r>
            <w:r>
              <w:rPr>
                <w:rFonts w:hint="eastAsia" w:asciiTheme="minorEastAsia" w:hAnsiTheme="minorEastAsia" w:eastAsiaTheme="minorEastAsia" w:cstheme="minorEastAsia"/>
                <w:color w:val="auto"/>
                <w:kern w:val="0"/>
                <w:sz w:val="24"/>
                <w:szCs w:val="24"/>
                <w:highlight w:val="none"/>
              </w:rPr>
              <w:t>两份不同项目检测报告</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lang w:val="en-US" w:eastAsia="zh-CN"/>
              </w:rPr>
              <w:t>以证明供应商具备相关检测能力</w:t>
            </w:r>
            <w:r>
              <w:rPr>
                <w:rFonts w:hint="eastAsia" w:asciiTheme="minorEastAsia" w:hAnsiTheme="minorEastAsia" w:eastAsiaTheme="minorEastAsia" w:cstheme="minorEastAsia"/>
                <w:color w:val="auto"/>
                <w:kern w:val="0"/>
                <w:sz w:val="24"/>
                <w:szCs w:val="24"/>
                <w:highlight w:val="none"/>
                <w:lang w:eastAsia="zh-CN"/>
              </w:rPr>
              <w:t>）。</w:t>
            </w:r>
          </w:p>
        </w:tc>
        <w:tc>
          <w:tcPr>
            <w:tcW w:w="751" w:type="dxa"/>
            <w:vAlign w:val="center"/>
          </w:tcPr>
          <w:p w14:paraId="65591894">
            <w:pP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15</w:t>
            </w:r>
          </w:p>
        </w:tc>
      </w:tr>
    </w:tbl>
    <w:p w14:paraId="1B230CFE">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（四）价格分：</w:t>
      </w: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0分</w:t>
      </w:r>
    </w:p>
    <w:p w14:paraId="1F706B81">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72F8C5F2">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磋商报价得分=（磋商基准价/最后磋商报价）×价格权值×100</w:t>
      </w:r>
    </w:p>
    <w:p w14:paraId="2B11EA92">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一</w:t>
      </w:r>
      <w:r>
        <w:rPr>
          <w:rFonts w:hint="eastAsia" w:ascii="宋体" w:hAnsi="宋体"/>
          <w:color w:val="auto"/>
          <w:sz w:val="24"/>
          <w:szCs w:val="24"/>
          <w:highlight w:val="none"/>
          <w:lang w:eastAsia="zh-CN"/>
        </w:rPr>
        <w:t>）</w:t>
      </w:r>
      <w:r>
        <w:rPr>
          <w:rFonts w:hint="eastAsia" w:ascii="宋体" w:hAnsi="宋体"/>
          <w:color w:val="auto"/>
          <w:sz w:val="24"/>
          <w:szCs w:val="24"/>
          <w:highlight w:val="none"/>
        </w:rPr>
        <w:t>评审过程中出现下列情形之一的，评标委员会应当启动异常低价投标审查程序：</w:t>
      </w:r>
    </w:p>
    <w:p w14:paraId="4F7FE3BB">
      <w:pPr>
        <w:spacing w:line="5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投标(响应)报价低于全部通过符合性审查供应商投标(响应)报价平均值50%的，即投标(响应)报价</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全部通过符合性审查供应商投标(响应)报价平均值</w:t>
      </w:r>
      <w:r>
        <w:rPr>
          <w:rFonts w:hint="default" w:ascii="宋体" w:hAnsi="宋体"/>
          <w:color w:val="auto"/>
          <w:sz w:val="24"/>
          <w:szCs w:val="24"/>
          <w:highlight w:val="none"/>
        </w:rPr>
        <w:t>×</w:t>
      </w:r>
      <w:r>
        <w:rPr>
          <w:rFonts w:hint="eastAsia" w:ascii="宋体" w:hAnsi="宋体"/>
          <w:color w:val="auto"/>
          <w:sz w:val="24"/>
          <w:szCs w:val="24"/>
          <w:highlight w:val="none"/>
        </w:rPr>
        <w:t>50%</w:t>
      </w:r>
      <w:r>
        <w:rPr>
          <w:rFonts w:hint="eastAsia" w:ascii="宋体" w:hAnsi="宋体"/>
          <w:color w:val="auto"/>
          <w:sz w:val="24"/>
          <w:szCs w:val="24"/>
          <w:highlight w:val="none"/>
          <w:lang w:eastAsia="zh-CN"/>
        </w:rPr>
        <w:t>；</w:t>
      </w:r>
    </w:p>
    <w:p w14:paraId="7CEB8FDB">
      <w:pPr>
        <w:spacing w:line="5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投标(响应)报价低于通过符合性审查的次低报价供应商投标(响应)报价50%的，即投标(响应)报价</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通过符合性审查的次低报价供应商投标(响应)报价</w:t>
      </w:r>
      <w:r>
        <w:rPr>
          <w:rFonts w:hint="default" w:ascii="宋体" w:hAnsi="宋体"/>
          <w:color w:val="auto"/>
          <w:sz w:val="24"/>
          <w:szCs w:val="24"/>
          <w:highlight w:val="none"/>
        </w:rPr>
        <w:t>×</w:t>
      </w:r>
      <w:r>
        <w:rPr>
          <w:rFonts w:hint="eastAsia" w:ascii="宋体" w:hAnsi="宋体"/>
          <w:color w:val="auto"/>
          <w:sz w:val="24"/>
          <w:szCs w:val="24"/>
          <w:highlight w:val="none"/>
        </w:rPr>
        <w:t>50%</w:t>
      </w:r>
      <w:r>
        <w:rPr>
          <w:rFonts w:hint="eastAsia" w:ascii="宋体" w:hAnsi="宋体"/>
          <w:color w:val="auto"/>
          <w:sz w:val="24"/>
          <w:szCs w:val="24"/>
          <w:highlight w:val="none"/>
          <w:lang w:eastAsia="zh-CN"/>
        </w:rPr>
        <w:t>；</w:t>
      </w:r>
    </w:p>
    <w:p w14:paraId="5D3A8CE5">
      <w:pPr>
        <w:spacing w:line="56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3</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投标(响应)报价低于采购项目最高限价45%的，即投标(响应)报价</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采购项目最高限价</w:t>
      </w:r>
      <w:r>
        <w:rPr>
          <w:rFonts w:hint="default" w:ascii="宋体" w:hAnsi="宋体"/>
          <w:color w:val="auto"/>
          <w:sz w:val="24"/>
          <w:szCs w:val="24"/>
          <w:highlight w:val="none"/>
        </w:rPr>
        <w:t>×</w:t>
      </w:r>
      <w:r>
        <w:rPr>
          <w:rFonts w:hint="eastAsia" w:ascii="宋体" w:hAnsi="宋体"/>
          <w:color w:val="auto"/>
          <w:sz w:val="24"/>
          <w:szCs w:val="24"/>
          <w:highlight w:val="none"/>
        </w:rPr>
        <w:t>45%</w:t>
      </w:r>
      <w:r>
        <w:rPr>
          <w:rFonts w:hint="eastAsia" w:ascii="宋体" w:hAnsi="宋体"/>
          <w:color w:val="auto"/>
          <w:sz w:val="24"/>
          <w:szCs w:val="24"/>
          <w:highlight w:val="none"/>
          <w:lang w:eastAsia="zh-CN"/>
        </w:rPr>
        <w:t>；</w:t>
      </w:r>
    </w:p>
    <w:p w14:paraId="1ACF2714">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color w:val="auto"/>
          <w:sz w:val="24"/>
          <w:szCs w:val="24"/>
          <w:highlight w:val="none"/>
          <w:lang w:eastAsia="zh-CN"/>
        </w:rPr>
        <w:t>）</w:t>
      </w:r>
      <w:r>
        <w:rPr>
          <w:rFonts w:hint="eastAsia" w:ascii="宋体" w:hAnsi="宋体"/>
          <w:color w:val="auto"/>
          <w:sz w:val="24"/>
          <w:szCs w:val="24"/>
          <w:highlight w:val="none"/>
        </w:rPr>
        <w:t>评审委员会基于专业判断，认为供应商报价过低，有可能影响产品质量或者不能诚信履约的其他情形。</w:t>
      </w:r>
    </w:p>
    <w:p w14:paraId="126A4A6B">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CFA4B2">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624895">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C0900A0">
      <w:pPr>
        <w:spacing w:line="5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CBFF8F8">
      <w:pPr>
        <w:spacing w:line="56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（五）政府采购政策功能落实</w:t>
      </w:r>
    </w:p>
    <w:p w14:paraId="2FDD652D">
      <w:pPr>
        <w:spacing w:line="560" w:lineRule="exact"/>
        <w:ind w:firstLine="480"/>
        <w:jc w:val="left"/>
        <w:rPr>
          <w:rFonts w:ascii="宋体" w:hAnsi="宋体"/>
          <w:color w:val="auto"/>
          <w:sz w:val="24"/>
          <w:szCs w:val="24"/>
          <w:highlight w:val="none"/>
        </w:rPr>
      </w:pPr>
      <w:bookmarkStart w:id="196" w:name="OLE_LINK29"/>
      <w:r>
        <w:rPr>
          <w:rFonts w:hint="eastAsia" w:ascii="宋体" w:hAnsi="宋体"/>
          <w:color w:val="auto"/>
          <w:sz w:val="24"/>
          <w:szCs w:val="24"/>
          <w:highlight w:val="none"/>
        </w:rPr>
        <w:t>1.供应商需按照《政府采购促进中小企业发展管理办法》（财库﹝2020﹞46 号）的规定提供相应的《中小企业声明函》。</w:t>
      </w:r>
    </w:p>
    <w:p w14:paraId="1C4A608A">
      <w:pPr>
        <w:spacing w:line="5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2.企业标准请参照《关于印发中小企业划型标准规定的通知》（工信部联企业[2011]300号）文件规定自行填写。</w:t>
      </w:r>
    </w:p>
    <w:p w14:paraId="12A8364C">
      <w:pPr>
        <w:spacing w:line="5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3.专门面向中小微企业采购的项目或者采购包，不再执行价格评审优惠的扶持政策。</w:t>
      </w:r>
    </w:p>
    <w:p w14:paraId="7119EE02">
      <w:pPr>
        <w:spacing w:line="5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4.在政府采购活动中残疾人福利性单位、监狱企业视同小型、微型企业。</w:t>
      </w:r>
    </w:p>
    <w:bookmarkEnd w:id="196"/>
    <w:p w14:paraId="7E6F10C5">
      <w:pPr>
        <w:adjustRightInd w:val="0"/>
        <w:spacing w:line="560" w:lineRule="exact"/>
        <w:ind w:firstLine="480" w:firstLineChars="200"/>
        <w:jc w:val="left"/>
        <w:textAlignment w:val="baseline"/>
        <w:rPr>
          <w:rFonts w:ascii="宋体" w:hAnsi="宋体"/>
          <w:color w:val="auto"/>
          <w:sz w:val="24"/>
          <w:szCs w:val="24"/>
          <w:highlight w:val="none"/>
        </w:rPr>
      </w:pPr>
    </w:p>
    <w:p w14:paraId="316214F0">
      <w:pPr>
        <w:adjustRightInd w:val="0"/>
        <w:spacing w:before="120" w:after="120" w:line="360" w:lineRule="auto"/>
        <w:ind w:firstLine="2331" w:firstLineChars="645"/>
        <w:jc w:val="left"/>
        <w:textAlignment w:val="baseline"/>
        <w:rPr>
          <w:rFonts w:ascii="宋体" w:hAnsi="宋体"/>
          <w:b/>
          <w:color w:val="auto"/>
          <w:kern w:val="0"/>
          <w:sz w:val="36"/>
          <w:szCs w:val="36"/>
          <w:highlight w:val="none"/>
        </w:rPr>
        <w:sectPr>
          <w:pgSz w:w="11906" w:h="16838"/>
          <w:pgMar w:top="1418" w:right="1588" w:bottom="1418" w:left="1365" w:header="851" w:footer="907" w:gutter="0"/>
          <w:pgNumType w:chapStyle="1"/>
          <w:cols w:space="720" w:num="1"/>
          <w:titlePg/>
          <w:docGrid w:type="lines" w:linePitch="290" w:charSpace="0"/>
        </w:sectPr>
      </w:pPr>
    </w:p>
    <w:p w14:paraId="2ED61412">
      <w:pPr>
        <w:adjustRightInd w:val="0"/>
        <w:spacing w:before="120" w:after="120" w:line="360" w:lineRule="auto"/>
        <w:ind w:firstLine="2331" w:firstLineChars="645"/>
        <w:jc w:val="left"/>
        <w:textAlignment w:val="baseline"/>
        <w:rPr>
          <w:rFonts w:ascii="宋体" w:hAnsi="宋体"/>
          <w:b/>
          <w:color w:val="auto"/>
          <w:kern w:val="0"/>
          <w:sz w:val="36"/>
          <w:szCs w:val="36"/>
          <w:highlight w:val="none"/>
        </w:rPr>
      </w:pPr>
    </w:p>
    <w:p w14:paraId="72E8444D">
      <w:pPr>
        <w:adjustRightInd w:val="0"/>
        <w:snapToGrid w:val="0"/>
        <w:spacing w:line="360" w:lineRule="auto"/>
        <w:ind w:firstLine="480" w:firstLineChars="200"/>
        <w:rPr>
          <w:rFonts w:ascii="宋体" w:hAnsi="宋体"/>
          <w:color w:val="auto"/>
          <w:sz w:val="24"/>
          <w:szCs w:val="24"/>
          <w:highlight w:val="none"/>
        </w:rPr>
      </w:pPr>
    </w:p>
    <w:p w14:paraId="7C1493B9">
      <w:pPr>
        <w:rPr>
          <w:color w:val="auto"/>
          <w:szCs w:val="21"/>
          <w:highlight w:val="none"/>
        </w:rPr>
      </w:pPr>
    </w:p>
    <w:p w14:paraId="15E3350F">
      <w:pPr>
        <w:rPr>
          <w:color w:val="auto"/>
          <w:szCs w:val="21"/>
          <w:highlight w:val="none"/>
        </w:rPr>
      </w:pPr>
    </w:p>
    <w:p w14:paraId="5E11D19F">
      <w:pPr>
        <w:rPr>
          <w:color w:val="auto"/>
          <w:szCs w:val="21"/>
          <w:highlight w:val="none"/>
        </w:rPr>
      </w:pPr>
    </w:p>
    <w:p w14:paraId="3DD84FC8">
      <w:pPr>
        <w:rPr>
          <w:color w:val="auto"/>
          <w:szCs w:val="21"/>
          <w:highlight w:val="none"/>
        </w:rPr>
      </w:pPr>
    </w:p>
    <w:p w14:paraId="38046EE7">
      <w:pPr>
        <w:rPr>
          <w:color w:val="auto"/>
          <w:szCs w:val="21"/>
          <w:highlight w:val="none"/>
        </w:rPr>
      </w:pPr>
    </w:p>
    <w:p w14:paraId="3D45BB29">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第五章  </w:t>
      </w:r>
      <w:bookmarkEnd w:id="186"/>
      <w:bookmarkEnd w:id="187"/>
      <w:bookmarkEnd w:id="192"/>
      <w:r>
        <w:rPr>
          <w:rFonts w:hint="eastAsia" w:ascii="黑体" w:eastAsia="黑体"/>
          <w:bCs/>
          <w:color w:val="auto"/>
          <w:sz w:val="44"/>
          <w:szCs w:val="28"/>
          <w:highlight w:val="none"/>
        </w:rPr>
        <w:t>响应文件格式</w:t>
      </w:r>
    </w:p>
    <w:p w14:paraId="7EA0EBD4">
      <w:pPr>
        <w:jc w:val="center"/>
        <w:rPr>
          <w:rFonts w:ascii="宋体" w:hAnsi="宋体"/>
          <w:b/>
          <w:color w:val="auto"/>
          <w:sz w:val="72"/>
          <w:szCs w:val="21"/>
          <w:highlight w:val="none"/>
        </w:rPr>
      </w:pPr>
      <w:bookmarkStart w:id="197" w:name="_Hlt26671244"/>
      <w:bookmarkEnd w:id="197"/>
      <w:bookmarkStart w:id="198" w:name="_Hlt26955039"/>
      <w:bookmarkEnd w:id="198"/>
      <w:bookmarkStart w:id="199" w:name="_Toc120614282"/>
      <w:bookmarkStart w:id="200" w:name="_Toc49090576"/>
      <w:bookmarkStart w:id="201" w:name="_Toc26554094"/>
    </w:p>
    <w:p w14:paraId="357859F7">
      <w:pPr>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68D65E5F">
      <w:pPr>
        <w:jc w:val="center"/>
        <w:rPr>
          <w:rFonts w:ascii="宋体" w:hAnsi="宋体"/>
          <w:b/>
          <w:color w:val="auto"/>
          <w:sz w:val="72"/>
          <w:szCs w:val="21"/>
          <w:highlight w:val="none"/>
        </w:rPr>
      </w:pPr>
    </w:p>
    <w:p w14:paraId="7A7F9633">
      <w:pPr>
        <w:jc w:val="center"/>
        <w:rPr>
          <w:rFonts w:ascii="宋体" w:hAnsi="宋体"/>
          <w:b/>
          <w:color w:val="auto"/>
          <w:sz w:val="72"/>
          <w:szCs w:val="21"/>
          <w:highlight w:val="none"/>
        </w:rPr>
      </w:pPr>
    </w:p>
    <w:p w14:paraId="513DA4CF">
      <w:pPr>
        <w:jc w:val="center"/>
        <w:rPr>
          <w:rFonts w:ascii="宋体" w:hAnsi="宋体"/>
          <w:b/>
          <w:color w:val="auto"/>
          <w:sz w:val="36"/>
          <w:szCs w:val="21"/>
          <w:highlight w:val="none"/>
        </w:rPr>
      </w:pPr>
    </w:p>
    <w:p w14:paraId="71BA166F">
      <w:pPr>
        <w:jc w:val="center"/>
        <w:rPr>
          <w:rFonts w:ascii="宋体" w:hAnsi="宋体"/>
          <w:b/>
          <w:color w:val="auto"/>
          <w:sz w:val="36"/>
          <w:szCs w:val="21"/>
          <w:highlight w:val="none"/>
        </w:rPr>
      </w:pPr>
    </w:p>
    <w:p w14:paraId="694AC37F">
      <w:pPr>
        <w:jc w:val="center"/>
        <w:rPr>
          <w:rFonts w:ascii="宋体" w:hAnsi="宋体"/>
          <w:b/>
          <w:color w:val="auto"/>
          <w:sz w:val="36"/>
          <w:szCs w:val="21"/>
          <w:highlight w:val="none"/>
        </w:rPr>
      </w:pPr>
    </w:p>
    <w:p w14:paraId="771228F0">
      <w:pPr>
        <w:ind w:firstLine="1084" w:firstLineChars="300"/>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05130E85">
      <w:pPr>
        <w:ind w:firstLine="1084" w:firstLineChars="300"/>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40C335AE">
      <w:pPr>
        <w:rPr>
          <w:rFonts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0A1B27D2">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4E1EA03B">
      <w:pPr>
        <w:spacing w:line="440" w:lineRule="exact"/>
        <w:jc w:val="center"/>
        <w:rPr>
          <w:rFonts w:ascii="宋体" w:hAnsi="宋体"/>
          <w:b/>
          <w:bCs/>
          <w:color w:val="auto"/>
          <w:sz w:val="32"/>
          <w:szCs w:val="32"/>
          <w:highlight w:val="none"/>
        </w:rPr>
      </w:pPr>
    </w:p>
    <w:p w14:paraId="69C705BA">
      <w:pPr>
        <w:spacing w:line="440" w:lineRule="exact"/>
        <w:rPr>
          <w:rFonts w:ascii="宋体" w:hAnsi="宋体"/>
          <w:color w:val="auto"/>
          <w:szCs w:val="21"/>
          <w:highlight w:val="none"/>
        </w:rPr>
      </w:pPr>
    </w:p>
    <w:p w14:paraId="75BEFBA6">
      <w:pPr>
        <w:rPr>
          <w:rFonts w:ascii="宋体" w:hAnsi="宋体"/>
          <w:b/>
          <w:color w:val="auto"/>
          <w:sz w:val="36"/>
          <w:szCs w:val="21"/>
          <w:highlight w:val="none"/>
          <w:u w:val="single"/>
        </w:rPr>
      </w:pPr>
    </w:p>
    <w:p w14:paraId="3A107DE9">
      <w:pPr>
        <w:rPr>
          <w:rFonts w:ascii="宋体" w:hAnsi="宋体"/>
          <w:b/>
          <w:color w:val="auto"/>
          <w:sz w:val="36"/>
          <w:szCs w:val="21"/>
          <w:highlight w:val="none"/>
          <w:u w:val="single"/>
        </w:rPr>
        <w:sectPr>
          <w:pgSz w:w="11906" w:h="16838"/>
          <w:pgMar w:top="1418" w:right="1588" w:bottom="1418" w:left="1365" w:header="851" w:footer="907" w:gutter="0"/>
          <w:pgNumType w:chapStyle="1"/>
          <w:cols w:space="720" w:num="1"/>
          <w:titlePg/>
          <w:docGrid w:type="lines" w:linePitch="290" w:charSpace="0"/>
        </w:sectPr>
      </w:pPr>
    </w:p>
    <w:p w14:paraId="2DD08439">
      <w:pPr>
        <w:rPr>
          <w:rFonts w:ascii="宋体" w:hAnsi="宋体"/>
          <w:b/>
          <w:color w:val="auto"/>
          <w:sz w:val="36"/>
          <w:szCs w:val="21"/>
          <w:highlight w:val="none"/>
          <w:u w:val="single"/>
        </w:rPr>
      </w:pPr>
    </w:p>
    <w:p w14:paraId="0FD47E95">
      <w:pPr>
        <w:spacing w:line="560" w:lineRule="exact"/>
        <w:jc w:val="center"/>
        <w:rPr>
          <w:rFonts w:ascii="宋体" w:hAnsi="宋体"/>
          <w:b/>
          <w:bCs/>
          <w:color w:val="auto"/>
          <w:sz w:val="44"/>
          <w:szCs w:val="44"/>
          <w:highlight w:val="none"/>
        </w:rPr>
      </w:pPr>
    </w:p>
    <w:p w14:paraId="27612BEB">
      <w:pPr>
        <w:spacing w:line="560" w:lineRule="exact"/>
        <w:jc w:val="center"/>
        <w:rPr>
          <w:rFonts w:ascii="宋体" w:hAnsi="宋体"/>
          <w:b/>
          <w:bCs/>
          <w:color w:val="auto"/>
          <w:sz w:val="44"/>
          <w:szCs w:val="44"/>
          <w:highlight w:val="none"/>
        </w:rPr>
      </w:pPr>
    </w:p>
    <w:p w14:paraId="3CE6EA31">
      <w:pPr>
        <w:spacing w:line="560" w:lineRule="exact"/>
        <w:jc w:val="center"/>
        <w:rPr>
          <w:rFonts w:ascii="宋体" w:hAnsi="宋体"/>
          <w:b/>
          <w:bCs/>
          <w:color w:val="auto"/>
          <w:sz w:val="44"/>
          <w:szCs w:val="44"/>
          <w:highlight w:val="none"/>
        </w:rPr>
      </w:pPr>
      <w:r>
        <w:rPr>
          <w:rFonts w:hint="eastAsia" w:ascii="宋体" w:hAnsi="宋体"/>
          <w:b/>
          <w:bCs/>
          <w:color w:val="auto"/>
          <w:sz w:val="44"/>
          <w:szCs w:val="44"/>
          <w:highlight w:val="none"/>
        </w:rPr>
        <w:t>响应文件目录</w:t>
      </w:r>
    </w:p>
    <w:p w14:paraId="01456597">
      <w:pPr>
        <w:spacing w:line="560" w:lineRule="exact"/>
        <w:jc w:val="center"/>
        <w:rPr>
          <w:rFonts w:ascii="宋体" w:hAnsi="宋体"/>
          <w:b/>
          <w:bCs/>
          <w:color w:val="auto"/>
          <w:sz w:val="32"/>
          <w:szCs w:val="32"/>
          <w:highlight w:val="none"/>
        </w:rPr>
      </w:pPr>
    </w:p>
    <w:p w14:paraId="2206643A">
      <w:pPr>
        <w:spacing w:line="720" w:lineRule="exact"/>
        <w:ind w:left="482"/>
        <w:rPr>
          <w:rFonts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14:paraId="0E54073E">
      <w:pPr>
        <w:spacing w:line="720" w:lineRule="exact"/>
        <w:ind w:left="482"/>
        <w:rPr>
          <w:rFonts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4B94C3EE">
      <w:pPr>
        <w:spacing w:line="720" w:lineRule="exact"/>
        <w:ind w:left="482"/>
        <w:rPr>
          <w:rFonts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7210CD10">
      <w:pPr>
        <w:spacing w:line="720" w:lineRule="exact"/>
        <w:ind w:left="482"/>
        <w:rPr>
          <w:rFonts w:ascii="黑体" w:hAnsi="黑体" w:eastAsia="黑体"/>
          <w:color w:val="auto"/>
          <w:sz w:val="32"/>
          <w:szCs w:val="32"/>
          <w:highlight w:val="none"/>
        </w:rPr>
      </w:pPr>
      <w:r>
        <w:rPr>
          <w:rFonts w:hint="eastAsia" w:ascii="黑体" w:hAnsi="黑体" w:eastAsia="黑体"/>
          <w:color w:val="auto"/>
          <w:sz w:val="32"/>
          <w:szCs w:val="32"/>
          <w:highlight w:val="none"/>
        </w:rPr>
        <w:t>四、其他资料（如有）</w:t>
      </w:r>
    </w:p>
    <w:p w14:paraId="3C58AB9A">
      <w:pPr>
        <w:spacing w:line="440" w:lineRule="exact"/>
        <w:ind w:firstLine="480" w:firstLineChars="200"/>
        <w:rPr>
          <w:rFonts w:ascii="宋体" w:hAnsi="宋体"/>
          <w:i/>
          <w:color w:val="auto"/>
          <w:sz w:val="24"/>
          <w:szCs w:val="21"/>
          <w:highlight w:val="none"/>
          <w:u w:val="single"/>
        </w:rPr>
      </w:pPr>
    </w:p>
    <w:p w14:paraId="5CA9DFC7">
      <w:pPr>
        <w:spacing w:line="440" w:lineRule="exact"/>
        <w:ind w:firstLine="480" w:firstLineChars="200"/>
        <w:rPr>
          <w:rFonts w:ascii="宋体" w:hAnsi="宋体"/>
          <w:color w:val="auto"/>
          <w:sz w:val="24"/>
          <w:szCs w:val="21"/>
          <w:highlight w:val="none"/>
        </w:rPr>
      </w:pPr>
    </w:p>
    <w:p w14:paraId="2D5D3D2D">
      <w:pPr>
        <w:spacing w:line="440" w:lineRule="exact"/>
        <w:ind w:firstLine="480" w:firstLineChars="200"/>
        <w:rPr>
          <w:rFonts w:ascii="宋体" w:hAnsi="宋体"/>
          <w:color w:val="auto"/>
          <w:sz w:val="24"/>
          <w:szCs w:val="21"/>
          <w:highlight w:val="none"/>
        </w:rPr>
      </w:pPr>
    </w:p>
    <w:p w14:paraId="76F433CB">
      <w:pPr>
        <w:spacing w:line="440" w:lineRule="exact"/>
        <w:ind w:firstLine="480" w:firstLineChars="200"/>
        <w:rPr>
          <w:rFonts w:ascii="宋体" w:hAnsi="宋体"/>
          <w:color w:val="auto"/>
          <w:sz w:val="24"/>
          <w:szCs w:val="21"/>
          <w:highlight w:val="none"/>
        </w:rPr>
      </w:pPr>
    </w:p>
    <w:p w14:paraId="77DF91CB">
      <w:pPr>
        <w:spacing w:line="440" w:lineRule="exact"/>
        <w:ind w:firstLine="480" w:firstLineChars="200"/>
        <w:rPr>
          <w:rFonts w:ascii="宋体" w:hAnsi="宋体"/>
          <w:color w:val="auto"/>
          <w:sz w:val="24"/>
          <w:szCs w:val="21"/>
          <w:highlight w:val="none"/>
        </w:rPr>
      </w:pPr>
    </w:p>
    <w:p w14:paraId="01BFF062">
      <w:pPr>
        <w:spacing w:line="440" w:lineRule="exact"/>
        <w:ind w:firstLine="480" w:firstLineChars="200"/>
        <w:rPr>
          <w:rFonts w:ascii="宋体" w:hAnsi="宋体"/>
          <w:color w:val="auto"/>
          <w:sz w:val="24"/>
          <w:szCs w:val="21"/>
          <w:highlight w:val="none"/>
        </w:rPr>
      </w:pPr>
    </w:p>
    <w:p w14:paraId="78587676">
      <w:pPr>
        <w:spacing w:line="440" w:lineRule="exact"/>
        <w:ind w:firstLine="480" w:firstLineChars="200"/>
        <w:rPr>
          <w:rFonts w:ascii="宋体" w:hAnsi="宋体"/>
          <w:color w:val="auto"/>
          <w:sz w:val="24"/>
          <w:szCs w:val="21"/>
          <w:highlight w:val="none"/>
        </w:rPr>
      </w:pPr>
    </w:p>
    <w:p w14:paraId="5E2212C6">
      <w:pPr>
        <w:spacing w:line="440" w:lineRule="exact"/>
        <w:ind w:firstLine="480" w:firstLineChars="200"/>
        <w:rPr>
          <w:rFonts w:ascii="宋体" w:hAnsi="宋体"/>
          <w:color w:val="auto"/>
          <w:sz w:val="24"/>
          <w:szCs w:val="21"/>
          <w:highlight w:val="none"/>
        </w:rPr>
      </w:pPr>
    </w:p>
    <w:p w14:paraId="4701A204">
      <w:pPr>
        <w:spacing w:line="440" w:lineRule="exact"/>
        <w:ind w:firstLine="480" w:firstLineChars="200"/>
        <w:rPr>
          <w:rFonts w:ascii="宋体" w:hAnsi="宋体"/>
          <w:color w:val="auto"/>
          <w:sz w:val="24"/>
          <w:szCs w:val="21"/>
          <w:highlight w:val="none"/>
        </w:rPr>
      </w:pPr>
    </w:p>
    <w:p w14:paraId="067ED8BA">
      <w:pPr>
        <w:spacing w:line="440" w:lineRule="exact"/>
        <w:ind w:firstLine="480" w:firstLineChars="200"/>
        <w:rPr>
          <w:rFonts w:ascii="宋体" w:hAnsi="宋体"/>
          <w:color w:val="auto"/>
          <w:sz w:val="24"/>
          <w:szCs w:val="21"/>
          <w:highlight w:val="none"/>
        </w:rPr>
        <w:sectPr>
          <w:pgSz w:w="11906" w:h="16838"/>
          <w:pgMar w:top="1418" w:right="1588" w:bottom="1418" w:left="1365" w:header="851" w:footer="907" w:gutter="0"/>
          <w:pgNumType w:chapStyle="1"/>
          <w:cols w:space="720" w:num="1"/>
          <w:titlePg/>
          <w:docGrid w:type="lines" w:linePitch="290" w:charSpace="0"/>
        </w:sectPr>
      </w:pPr>
    </w:p>
    <w:p w14:paraId="7F2324CB">
      <w:pPr>
        <w:spacing w:line="56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一、资格审查证明材料</w:t>
      </w:r>
    </w:p>
    <w:p w14:paraId="2A786FDF">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 法人或者其他组织的营业执照等证明文件，自然人的身份证明。</w:t>
      </w:r>
    </w:p>
    <w:p w14:paraId="5C9646BC">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2.202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年度的财务状况报告及上一年度的财务状况报表。（成立不满一年不需提供）；</w:t>
      </w:r>
    </w:p>
    <w:p w14:paraId="73D67B69">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3.依法缴纳税收和社会保障资金的相关材料；</w:t>
      </w:r>
    </w:p>
    <w:p w14:paraId="62AC2A09">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4.具备履行合同所必需的设备和专业技术能力的证明材料（格式详见附件1）；</w:t>
      </w:r>
    </w:p>
    <w:p w14:paraId="2496E675">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5.参加政府采购活动前3年内在经营活动中没有重大违法记录的书面声明（格式详见附件2）；</w:t>
      </w:r>
    </w:p>
    <w:p w14:paraId="2DC3851F">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6.法定代表人身份证明书（格式见附件3）；</w:t>
      </w:r>
    </w:p>
    <w:p w14:paraId="28277BF6">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7.法人授权书（格式见附件4）；</w:t>
      </w:r>
    </w:p>
    <w:p w14:paraId="16AB71E2">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8.磋商响应函（格式见附件5）；</w:t>
      </w:r>
    </w:p>
    <w:p w14:paraId="644E5213">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9.采购公告中“二、申请人的资格要求（二）”提供相应的佐证材料；</w:t>
      </w:r>
    </w:p>
    <w:p w14:paraId="2E6738BB">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10.其它需要提交的资格审查证明材料。</w:t>
      </w:r>
    </w:p>
    <w:p w14:paraId="5B289119">
      <w:pPr>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二、商务、技术标</w:t>
      </w:r>
    </w:p>
    <w:p w14:paraId="206D3CD2">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1.商务部分正负偏离表；（格式见附件6）</w:t>
      </w:r>
    </w:p>
    <w:p w14:paraId="2F96C880">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2.技术部分正负偏离表；（格式见附件7）</w:t>
      </w:r>
    </w:p>
    <w:p w14:paraId="7B051B66">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3.响应方案、货物（服务）清单。具有项目、数量、品牌、型号、配置性能等；</w:t>
      </w:r>
    </w:p>
    <w:p w14:paraId="5FD6AFF8">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4.商务、技术评分标准中须提供的相关得分佐证材料；</w:t>
      </w:r>
    </w:p>
    <w:p w14:paraId="633D6993">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5.供应商认为需要提交的其他商务、技术材料。</w:t>
      </w:r>
    </w:p>
    <w:p w14:paraId="1ECEBF6F">
      <w:pPr>
        <w:spacing w:line="560" w:lineRule="exact"/>
        <w:ind w:firstLine="640" w:firstLineChars="200"/>
        <w:rPr>
          <w:rFonts w:ascii="黑体" w:hAnsi="黑体" w:eastAsia="黑体"/>
          <w:color w:val="auto"/>
          <w:sz w:val="32"/>
          <w:szCs w:val="32"/>
          <w:highlight w:val="none"/>
        </w:rPr>
      </w:pPr>
      <w:r>
        <w:rPr>
          <w:rFonts w:hint="eastAsia" w:ascii="黑体" w:hAnsi="黑体" w:eastAsia="黑体"/>
          <w:color w:val="auto"/>
          <w:sz w:val="32"/>
          <w:szCs w:val="32"/>
          <w:highlight w:val="none"/>
        </w:rPr>
        <w:t>三、价格标</w:t>
      </w:r>
    </w:p>
    <w:p w14:paraId="70D4B424">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hint="eastAsia"/>
          <w:color w:val="auto"/>
          <w:highlight w:val="none"/>
        </w:rPr>
        <w:t xml:space="preserve"> </w:t>
      </w:r>
      <w:r>
        <w:rPr>
          <w:rFonts w:hint="eastAsia" w:ascii="宋体" w:hAnsi="宋体"/>
          <w:color w:val="auto"/>
          <w:sz w:val="24"/>
          <w:szCs w:val="24"/>
          <w:highlight w:val="none"/>
        </w:rPr>
        <w:t>报价总表（格式见附件8）；</w:t>
      </w:r>
    </w:p>
    <w:p w14:paraId="74C490C8">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2.分项报价明细表（格式见附件9）。</w:t>
      </w:r>
    </w:p>
    <w:p w14:paraId="7665C6FD">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3.小型、微型企业声明函（如有）（格式见附件10）</w:t>
      </w:r>
    </w:p>
    <w:p w14:paraId="0BA84658">
      <w:pPr>
        <w:spacing w:line="5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4.残疾人福利性单位声明函（如有）（格式见附件11）</w:t>
      </w:r>
    </w:p>
    <w:p w14:paraId="7D901E2A">
      <w:pPr>
        <w:spacing w:line="560" w:lineRule="exact"/>
        <w:ind w:firstLine="480" w:firstLineChars="200"/>
        <w:rPr>
          <w:rFonts w:ascii="宋体" w:hAnsi="宋体"/>
          <w:color w:val="auto"/>
          <w:sz w:val="24"/>
          <w:szCs w:val="24"/>
          <w:highlight w:val="none"/>
        </w:rPr>
        <w:sectPr>
          <w:pgSz w:w="11906" w:h="16838"/>
          <w:pgMar w:top="1418" w:right="1588" w:bottom="1418" w:left="1365" w:header="851" w:footer="907" w:gutter="0"/>
          <w:pgNumType w:chapStyle="1"/>
          <w:cols w:space="720" w:num="1"/>
          <w:titlePg/>
          <w:docGrid w:type="lines" w:linePitch="290" w:charSpace="0"/>
        </w:sectPr>
      </w:pPr>
      <w:r>
        <w:rPr>
          <w:rFonts w:hint="eastAsia" w:ascii="宋体" w:hAnsi="宋体"/>
          <w:color w:val="auto"/>
          <w:sz w:val="24"/>
          <w:szCs w:val="24"/>
          <w:highlight w:val="none"/>
        </w:rPr>
        <w:t>5.监狱和戒毒企业证明材料（如有）（格式见附件12）</w:t>
      </w:r>
    </w:p>
    <w:p w14:paraId="4C9C23AF">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附件1</w:t>
      </w:r>
    </w:p>
    <w:p w14:paraId="6E4ED1E8">
      <w:pPr>
        <w:spacing w:line="360" w:lineRule="auto"/>
        <w:jc w:val="center"/>
        <w:rPr>
          <w:rFonts w:ascii="宋体" w:cs="宋体"/>
          <w:b/>
          <w:bCs/>
          <w:color w:val="auto"/>
          <w:kern w:val="0"/>
          <w:sz w:val="24"/>
          <w:szCs w:val="24"/>
          <w:highlight w:val="none"/>
        </w:rPr>
      </w:pPr>
      <w:r>
        <w:rPr>
          <w:rFonts w:hint="eastAsia" w:ascii="宋体" w:hAnsi="宋体" w:cs="宋体"/>
          <w:b/>
          <w:bCs/>
          <w:color w:val="auto"/>
          <w:kern w:val="0"/>
          <w:sz w:val="24"/>
          <w:szCs w:val="24"/>
          <w:highlight w:val="none"/>
        </w:rPr>
        <w:t>具备履行合同所必需的设备和专业技术能力的证明材料</w:t>
      </w:r>
    </w:p>
    <w:p w14:paraId="4771322F">
      <w:pPr>
        <w:spacing w:line="360" w:lineRule="auto"/>
        <w:rPr>
          <w:rFonts w:ascii="宋体"/>
          <w:color w:val="auto"/>
          <w:kern w:val="0"/>
          <w:sz w:val="24"/>
          <w:szCs w:val="24"/>
          <w:highlight w:val="none"/>
        </w:rPr>
      </w:pPr>
    </w:p>
    <w:p w14:paraId="6E86F284">
      <w:pPr>
        <w:widowControl/>
        <w:spacing w:line="360" w:lineRule="auto"/>
        <w:jc w:val="left"/>
        <w:rPr>
          <w:rFonts w:ascii="宋体" w:cs="宋体"/>
          <w:color w:val="auto"/>
          <w:kern w:val="0"/>
          <w:sz w:val="24"/>
          <w:szCs w:val="24"/>
          <w:highlight w:val="none"/>
        </w:rPr>
      </w:pPr>
    </w:p>
    <w:p w14:paraId="15317A49">
      <w:pPr>
        <w:spacing w:line="360" w:lineRule="auto"/>
        <w:rPr>
          <w:rFonts w:ascii="宋体"/>
          <w:bCs/>
          <w:color w:val="auto"/>
          <w:kern w:val="0"/>
          <w:sz w:val="24"/>
          <w:szCs w:val="24"/>
          <w:highlight w:val="none"/>
          <w:u w:val="single"/>
          <w:lang w:val="zh-CN"/>
        </w:rPr>
      </w:pPr>
      <w:r>
        <w:rPr>
          <w:rFonts w:ascii="宋体" w:hAnsi="宋体"/>
          <w:color w:val="auto"/>
          <w:sz w:val="24"/>
          <w:szCs w:val="24"/>
          <w:highlight w:val="none"/>
          <w:u w:val="single"/>
        </w:rPr>
        <w:t xml:space="preserve">               </w:t>
      </w:r>
      <w:r>
        <w:rPr>
          <w:rFonts w:hint="eastAsia" w:ascii="宋体" w:hAnsi="宋体"/>
          <w:bCs/>
          <w:color w:val="auto"/>
          <w:kern w:val="0"/>
          <w:sz w:val="24"/>
          <w:szCs w:val="24"/>
          <w:highlight w:val="none"/>
          <w:u w:val="single"/>
          <w:lang w:val="zh-CN"/>
        </w:rPr>
        <w:t>：</w:t>
      </w:r>
    </w:p>
    <w:p w14:paraId="3EA136BD">
      <w:pPr>
        <w:widowControl/>
        <w:spacing w:line="360" w:lineRule="auto"/>
        <w:ind w:firstLine="468"/>
        <w:jc w:val="left"/>
        <w:rPr>
          <w:rFonts w:ascii="宋体" w:cs="宋体"/>
          <w:color w:val="auto"/>
          <w:kern w:val="0"/>
          <w:sz w:val="24"/>
          <w:szCs w:val="24"/>
          <w:highlight w:val="none"/>
        </w:rPr>
      </w:pPr>
      <w:r>
        <w:rPr>
          <w:rFonts w:hint="eastAsia" w:ascii="宋体" w:hAnsi="宋体" w:cs="宋体"/>
          <w:color w:val="auto"/>
          <w:kern w:val="0"/>
          <w:sz w:val="24"/>
          <w:szCs w:val="24"/>
          <w:highlight w:val="none"/>
        </w:rPr>
        <w:t>我方参加你方的（项目名称）的投标，现我方向你方慎重承诺：</w:t>
      </w:r>
    </w:p>
    <w:p w14:paraId="53EC92F3">
      <w:pPr>
        <w:widowControl/>
        <w:spacing w:line="360" w:lineRule="auto"/>
        <w:ind w:left="448"/>
        <w:jc w:val="left"/>
        <w:rPr>
          <w:rFonts w:ascii="宋体" w:cs="宋体"/>
          <w:color w:val="auto"/>
          <w:kern w:val="0"/>
          <w:sz w:val="24"/>
          <w:szCs w:val="24"/>
          <w:highlight w:val="none"/>
        </w:rPr>
      </w:pPr>
      <w:r>
        <w:rPr>
          <w:rFonts w:hint="eastAsia" w:ascii="宋体" w:hAnsi="宋体" w:cs="宋体"/>
          <w:color w:val="auto"/>
          <w:kern w:val="0"/>
          <w:sz w:val="24"/>
          <w:szCs w:val="24"/>
          <w:highlight w:val="none"/>
        </w:rPr>
        <w:t>本单位（具备</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不具备）履行合同所必需的设备和专业技术能力。</w:t>
      </w:r>
    </w:p>
    <w:p w14:paraId="37B9DFF8">
      <w:pPr>
        <w:spacing w:line="360" w:lineRule="auto"/>
        <w:ind w:right="-512" w:firstLine="3120"/>
        <w:rPr>
          <w:rFonts w:ascii="宋体" w:cs="宋体"/>
          <w:color w:val="auto"/>
          <w:kern w:val="0"/>
          <w:sz w:val="24"/>
          <w:szCs w:val="24"/>
          <w:highlight w:val="none"/>
        </w:rPr>
      </w:pPr>
    </w:p>
    <w:p w14:paraId="742F2006">
      <w:pPr>
        <w:spacing w:line="360" w:lineRule="auto"/>
        <w:ind w:right="-512" w:firstLine="3840"/>
        <w:rPr>
          <w:rFonts w:ascii="宋体" w:cs="宋体"/>
          <w:color w:val="auto"/>
          <w:kern w:val="0"/>
          <w:sz w:val="24"/>
          <w:szCs w:val="24"/>
          <w:highlight w:val="none"/>
        </w:rPr>
      </w:pPr>
      <w:r>
        <w:rPr>
          <w:rFonts w:hint="eastAsia" w:ascii="宋体" w:hAnsi="宋体" w:cs="宋体"/>
          <w:color w:val="auto"/>
          <w:kern w:val="0"/>
          <w:sz w:val="24"/>
          <w:szCs w:val="24"/>
          <w:highlight w:val="none"/>
        </w:rPr>
        <w:t>供应商（盖章）：</w:t>
      </w:r>
    </w:p>
    <w:p w14:paraId="0CDE3C92">
      <w:pPr>
        <w:tabs>
          <w:tab w:val="left" w:pos="4320"/>
        </w:tabs>
        <w:spacing w:line="360" w:lineRule="auto"/>
        <w:ind w:right="-512" w:firstLine="3120"/>
        <w:rPr>
          <w:rFonts w:ascii="宋体" w:cs="宋体"/>
          <w:color w:val="auto"/>
          <w:kern w:val="0"/>
          <w:sz w:val="24"/>
          <w:szCs w:val="24"/>
          <w:highlight w:val="none"/>
        </w:rPr>
      </w:pPr>
      <w:r>
        <w:rPr>
          <w:rFonts w:hint="eastAsia" w:ascii="宋体" w:hAnsi="宋体"/>
          <w:color w:val="auto"/>
          <w:kern w:val="0"/>
          <w:sz w:val="24"/>
          <w:szCs w:val="24"/>
          <w:highlight w:val="none"/>
        </w:rPr>
        <w:t>法定代表人或其授权委托人</w:t>
      </w:r>
      <w:r>
        <w:rPr>
          <w:rFonts w:hint="eastAsia" w:ascii="宋体" w:hAnsi="宋体" w:cs="宋体"/>
          <w:color w:val="auto"/>
          <w:kern w:val="0"/>
          <w:sz w:val="24"/>
          <w:szCs w:val="24"/>
          <w:highlight w:val="none"/>
        </w:rPr>
        <w:t>（签字或盖章）：</w:t>
      </w:r>
    </w:p>
    <w:p w14:paraId="6DAB20AA">
      <w:pPr>
        <w:spacing w:line="360" w:lineRule="auto"/>
        <w:jc w:val="right"/>
        <w:rPr>
          <w:rFonts w:ascii="宋体" w:hAnsi="宋体" w:cs="宋体"/>
          <w:color w:val="auto"/>
          <w:kern w:val="0"/>
          <w:sz w:val="24"/>
          <w:szCs w:val="24"/>
          <w:highlight w:val="none"/>
        </w:rPr>
      </w:pPr>
      <w:r>
        <w:rPr>
          <w:rFonts w:ascii="宋体" w:hAnsi="宋体"/>
          <w:bCs/>
          <w:color w:val="auto"/>
          <w:kern w:val="0"/>
          <w:szCs w:val="21"/>
          <w:highlight w:val="none"/>
          <w:u w:val="single"/>
        </w:rPr>
        <w:t>______</w:t>
      </w:r>
      <w:r>
        <w:rPr>
          <w:rFonts w:hint="eastAsia" w:ascii="宋体" w:hAnsi="宋体" w:cs="宋体"/>
          <w:color w:val="auto"/>
          <w:kern w:val="0"/>
          <w:sz w:val="24"/>
          <w:szCs w:val="24"/>
          <w:highlight w:val="none"/>
        </w:rPr>
        <w:t>年</w:t>
      </w:r>
      <w:r>
        <w:rPr>
          <w:rFonts w:ascii="宋体" w:hAnsi="宋体"/>
          <w:bCs/>
          <w:color w:val="auto"/>
          <w:kern w:val="0"/>
          <w:szCs w:val="21"/>
          <w:highlight w:val="none"/>
          <w:u w:val="single"/>
        </w:rPr>
        <w:t>______</w:t>
      </w:r>
      <w:r>
        <w:rPr>
          <w:rFonts w:hint="eastAsia" w:ascii="宋体" w:hAnsi="宋体" w:cs="宋体"/>
          <w:color w:val="auto"/>
          <w:kern w:val="0"/>
          <w:sz w:val="24"/>
          <w:szCs w:val="24"/>
          <w:highlight w:val="none"/>
        </w:rPr>
        <w:t>月</w:t>
      </w:r>
      <w:r>
        <w:rPr>
          <w:rFonts w:ascii="宋体" w:hAnsi="宋体"/>
          <w:bCs/>
          <w:color w:val="auto"/>
          <w:kern w:val="0"/>
          <w:szCs w:val="21"/>
          <w:highlight w:val="none"/>
          <w:u w:val="single"/>
        </w:rPr>
        <w:t>______</w:t>
      </w:r>
      <w:r>
        <w:rPr>
          <w:rFonts w:hint="eastAsia" w:ascii="宋体" w:hAnsi="宋体" w:cs="宋体"/>
          <w:color w:val="auto"/>
          <w:kern w:val="0"/>
          <w:sz w:val="24"/>
          <w:szCs w:val="24"/>
          <w:highlight w:val="none"/>
        </w:rPr>
        <w:t>日</w:t>
      </w:r>
    </w:p>
    <w:p w14:paraId="6262F578">
      <w:pPr>
        <w:spacing w:line="400" w:lineRule="exact"/>
        <w:contextualSpacing/>
        <w:rPr>
          <w:rFonts w:ascii="宋体"/>
          <w:color w:val="auto"/>
          <w:kern w:val="0"/>
          <w:sz w:val="32"/>
          <w:szCs w:val="32"/>
          <w:highlight w:val="none"/>
          <w:lang w:val="zh-CN"/>
        </w:rPr>
      </w:pPr>
      <w:r>
        <w:rPr>
          <w:rFonts w:ascii="宋体" w:hAnsi="宋体" w:cs="宋体"/>
          <w:color w:val="auto"/>
          <w:kern w:val="0"/>
          <w:sz w:val="24"/>
          <w:szCs w:val="24"/>
          <w:highlight w:val="none"/>
        </w:rPr>
        <w:br w:type="page"/>
      </w:r>
      <w:r>
        <w:rPr>
          <w:rFonts w:hint="eastAsia" w:ascii="宋体" w:hAnsi="宋体"/>
          <w:color w:val="auto"/>
          <w:kern w:val="0"/>
          <w:sz w:val="32"/>
          <w:szCs w:val="32"/>
          <w:highlight w:val="none"/>
          <w:lang w:val="zh-CN"/>
        </w:rPr>
        <w:t>附件2</w:t>
      </w:r>
    </w:p>
    <w:p w14:paraId="5B3D8D25">
      <w:pPr>
        <w:ind w:firstLine="643"/>
        <w:jc w:val="center"/>
        <w:rPr>
          <w:rFonts w:ascii="宋体"/>
          <w:b/>
          <w:color w:val="auto"/>
          <w:kern w:val="0"/>
          <w:sz w:val="32"/>
          <w:szCs w:val="32"/>
          <w:highlight w:val="none"/>
        </w:rPr>
      </w:pPr>
    </w:p>
    <w:p w14:paraId="5BE9FD23">
      <w:pPr>
        <w:ind w:firstLine="643"/>
        <w:jc w:val="center"/>
        <w:rPr>
          <w:rFonts w:ascii="宋体"/>
          <w:b/>
          <w:color w:val="auto"/>
          <w:kern w:val="0"/>
          <w:sz w:val="32"/>
          <w:szCs w:val="32"/>
          <w:highlight w:val="none"/>
        </w:rPr>
      </w:pPr>
      <w:r>
        <w:rPr>
          <w:rFonts w:hint="eastAsia" w:ascii="宋体" w:hAnsi="宋体"/>
          <w:b/>
          <w:color w:val="auto"/>
          <w:kern w:val="0"/>
          <w:sz w:val="32"/>
          <w:szCs w:val="32"/>
          <w:highlight w:val="none"/>
        </w:rPr>
        <w:t>参加政府采购活动前</w:t>
      </w:r>
      <w:r>
        <w:rPr>
          <w:rFonts w:ascii="宋体" w:hAnsi="宋体"/>
          <w:b/>
          <w:color w:val="auto"/>
          <w:kern w:val="0"/>
          <w:sz w:val="32"/>
          <w:szCs w:val="32"/>
          <w:highlight w:val="none"/>
        </w:rPr>
        <w:t xml:space="preserve"> 3 </w:t>
      </w:r>
      <w:r>
        <w:rPr>
          <w:rFonts w:hint="eastAsia" w:ascii="宋体" w:hAnsi="宋体"/>
          <w:b/>
          <w:color w:val="auto"/>
          <w:kern w:val="0"/>
          <w:sz w:val="32"/>
          <w:szCs w:val="32"/>
          <w:highlight w:val="none"/>
        </w:rPr>
        <w:t>年内在经营活动中没有重大违法记</w:t>
      </w:r>
      <w:r>
        <w:rPr>
          <w:rFonts w:hint="eastAsia" w:ascii="宋体" w:hAnsi="宋体"/>
          <w:b/>
          <w:bCs/>
          <w:color w:val="auto"/>
          <w:kern w:val="0"/>
          <w:sz w:val="32"/>
          <w:szCs w:val="32"/>
          <w:highlight w:val="none"/>
        </w:rPr>
        <w:t>录的书面声明</w:t>
      </w:r>
    </w:p>
    <w:p w14:paraId="6E596206">
      <w:pPr>
        <w:spacing w:line="460" w:lineRule="exact"/>
        <w:rPr>
          <w:rFonts w:ascii="宋体"/>
          <w:b/>
          <w:bCs/>
          <w:color w:val="auto"/>
          <w:kern w:val="0"/>
          <w:sz w:val="44"/>
          <w:szCs w:val="44"/>
          <w:highlight w:val="none"/>
        </w:rPr>
      </w:pPr>
    </w:p>
    <w:p w14:paraId="50F0083B">
      <w:pPr>
        <w:spacing w:line="460" w:lineRule="exact"/>
        <w:ind w:firstLine="881"/>
        <w:jc w:val="center"/>
        <w:rPr>
          <w:rFonts w:ascii="宋体"/>
          <w:b/>
          <w:bCs/>
          <w:color w:val="auto"/>
          <w:kern w:val="0"/>
          <w:sz w:val="44"/>
          <w:szCs w:val="44"/>
          <w:highlight w:val="none"/>
        </w:rPr>
      </w:pPr>
    </w:p>
    <w:p w14:paraId="42515A2D">
      <w:pPr>
        <w:spacing w:line="500" w:lineRule="exact"/>
        <w:ind w:firstLine="482"/>
        <w:rPr>
          <w:rFonts w:ascii="宋体"/>
          <w:bCs/>
          <w:color w:val="auto"/>
          <w:kern w:val="0"/>
          <w:szCs w:val="21"/>
          <w:highlight w:val="none"/>
        </w:rPr>
      </w:pPr>
      <w:r>
        <w:rPr>
          <w:rFonts w:hint="eastAsia" w:ascii="宋体" w:hAnsi="宋体"/>
          <w:bCs/>
          <w:color w:val="auto"/>
          <w:kern w:val="0"/>
          <w:szCs w:val="21"/>
          <w:highlight w:val="none"/>
        </w:rPr>
        <w:t>我公司（本人）郑重声明：参加本次政府采购活动前</w:t>
      </w:r>
      <w:r>
        <w:rPr>
          <w:rFonts w:ascii="宋体" w:hAnsi="宋体"/>
          <w:bCs/>
          <w:color w:val="auto"/>
          <w:kern w:val="0"/>
          <w:szCs w:val="21"/>
          <w:highlight w:val="none"/>
        </w:rPr>
        <w:t xml:space="preserve"> 3 </w:t>
      </w:r>
      <w:r>
        <w:rPr>
          <w:rFonts w:hint="eastAsia" w:ascii="宋体" w:hAnsi="宋体"/>
          <w:bCs/>
          <w:color w:val="auto"/>
          <w:kern w:val="0"/>
          <w:szCs w:val="21"/>
          <w:highlight w:val="none"/>
        </w:rPr>
        <w:t>年内，我公司在经营活动中没有因违法经营受到刑事处罚或者责令停产停业、吊销许可证或者执照、较大数额罚款等行政处罚。</w:t>
      </w:r>
    </w:p>
    <w:p w14:paraId="0F29C20C">
      <w:pPr>
        <w:spacing w:line="500" w:lineRule="exact"/>
        <w:ind w:firstLine="482"/>
        <w:rPr>
          <w:rFonts w:ascii="宋体"/>
          <w:color w:val="auto"/>
          <w:kern w:val="0"/>
          <w:szCs w:val="21"/>
          <w:highlight w:val="none"/>
        </w:rPr>
      </w:pPr>
    </w:p>
    <w:p w14:paraId="66C75023">
      <w:pPr>
        <w:spacing w:line="500" w:lineRule="exact"/>
        <w:ind w:firstLine="482"/>
        <w:rPr>
          <w:rFonts w:ascii="宋体"/>
          <w:color w:val="auto"/>
          <w:kern w:val="0"/>
          <w:szCs w:val="21"/>
          <w:highlight w:val="none"/>
        </w:rPr>
      </w:pPr>
    </w:p>
    <w:p w14:paraId="4A556244">
      <w:pPr>
        <w:spacing w:line="500" w:lineRule="exact"/>
        <w:ind w:firstLine="482"/>
        <w:rPr>
          <w:rFonts w:ascii="宋体"/>
          <w:color w:val="auto"/>
          <w:kern w:val="0"/>
          <w:szCs w:val="21"/>
          <w:highlight w:val="none"/>
        </w:rPr>
      </w:pPr>
    </w:p>
    <w:p w14:paraId="7EE6F6A8">
      <w:pPr>
        <w:spacing w:line="500" w:lineRule="exact"/>
        <w:ind w:firstLine="482"/>
        <w:rPr>
          <w:rFonts w:ascii="宋体"/>
          <w:color w:val="auto"/>
          <w:kern w:val="0"/>
          <w:sz w:val="24"/>
          <w:szCs w:val="24"/>
          <w:highlight w:val="none"/>
        </w:rPr>
      </w:pPr>
    </w:p>
    <w:p w14:paraId="44BBBFAE">
      <w:pPr>
        <w:spacing w:line="500" w:lineRule="exact"/>
        <w:ind w:firstLine="482"/>
        <w:rPr>
          <w:rFonts w:ascii="宋体"/>
          <w:color w:val="auto"/>
          <w:kern w:val="0"/>
          <w:sz w:val="24"/>
          <w:szCs w:val="24"/>
          <w:highlight w:val="none"/>
        </w:rPr>
      </w:pPr>
    </w:p>
    <w:p w14:paraId="6B553E04">
      <w:pPr>
        <w:spacing w:line="500" w:lineRule="exact"/>
        <w:ind w:firstLine="482"/>
        <w:rPr>
          <w:rFonts w:ascii="宋体"/>
          <w:color w:val="auto"/>
          <w:kern w:val="0"/>
          <w:sz w:val="24"/>
          <w:szCs w:val="24"/>
          <w:highlight w:val="none"/>
        </w:rPr>
      </w:pPr>
    </w:p>
    <w:p w14:paraId="02D79321">
      <w:pPr>
        <w:spacing w:line="500" w:lineRule="exact"/>
        <w:ind w:firstLine="482"/>
        <w:rPr>
          <w:rFonts w:ascii="宋体"/>
          <w:color w:val="auto"/>
          <w:kern w:val="0"/>
          <w:sz w:val="24"/>
          <w:szCs w:val="24"/>
          <w:highlight w:val="none"/>
        </w:rPr>
      </w:pPr>
    </w:p>
    <w:p w14:paraId="23859D5B">
      <w:pPr>
        <w:spacing w:line="500" w:lineRule="exact"/>
        <w:ind w:firstLine="482"/>
        <w:rPr>
          <w:rFonts w:ascii="宋体"/>
          <w:color w:val="auto"/>
          <w:kern w:val="0"/>
          <w:sz w:val="24"/>
          <w:szCs w:val="24"/>
          <w:highlight w:val="none"/>
        </w:rPr>
      </w:pPr>
    </w:p>
    <w:p w14:paraId="71985486">
      <w:pPr>
        <w:spacing w:line="500" w:lineRule="exact"/>
        <w:rPr>
          <w:rFonts w:ascii="宋体"/>
          <w:bCs/>
          <w:color w:val="auto"/>
          <w:kern w:val="0"/>
          <w:sz w:val="24"/>
          <w:szCs w:val="21"/>
          <w:highlight w:val="none"/>
        </w:rPr>
      </w:pPr>
    </w:p>
    <w:p w14:paraId="78C751EE">
      <w:pPr>
        <w:spacing w:line="460" w:lineRule="exact"/>
        <w:rPr>
          <w:rFonts w:ascii="宋体"/>
          <w:bCs/>
          <w:color w:val="auto"/>
          <w:kern w:val="0"/>
          <w:szCs w:val="21"/>
          <w:highlight w:val="none"/>
        </w:rPr>
      </w:pPr>
      <w:r>
        <w:rPr>
          <w:rFonts w:ascii="宋体" w:hAnsi="宋体"/>
          <w:bCs/>
          <w:color w:val="auto"/>
          <w:kern w:val="0"/>
          <w:szCs w:val="21"/>
          <w:highlight w:val="none"/>
        </w:rPr>
        <w:t xml:space="preserve"> </w:t>
      </w:r>
      <w:r>
        <w:rPr>
          <w:rFonts w:hint="eastAsia" w:ascii="宋体" w:hAnsi="宋体"/>
          <w:bCs/>
          <w:color w:val="auto"/>
          <w:kern w:val="0"/>
          <w:szCs w:val="21"/>
          <w:highlight w:val="none"/>
        </w:rPr>
        <w:t xml:space="preserve">                               </w:t>
      </w:r>
      <w:r>
        <w:rPr>
          <w:rFonts w:ascii="宋体" w:hAnsi="宋体"/>
          <w:bCs/>
          <w:color w:val="auto"/>
          <w:kern w:val="0"/>
          <w:szCs w:val="21"/>
          <w:highlight w:val="none"/>
        </w:rPr>
        <w:t xml:space="preserve">  </w:t>
      </w:r>
      <w:r>
        <w:rPr>
          <w:rFonts w:hint="eastAsia" w:ascii="宋体" w:hAnsi="宋体"/>
          <w:bCs/>
          <w:color w:val="auto"/>
          <w:kern w:val="0"/>
          <w:szCs w:val="21"/>
          <w:highlight w:val="none"/>
        </w:rPr>
        <w:t>供应商名称（公章）：</w:t>
      </w:r>
    </w:p>
    <w:p w14:paraId="1DAD9C65">
      <w:pPr>
        <w:spacing w:line="460" w:lineRule="exact"/>
        <w:rPr>
          <w:rFonts w:ascii="宋体"/>
          <w:bCs/>
          <w:color w:val="auto"/>
          <w:kern w:val="0"/>
          <w:szCs w:val="21"/>
          <w:highlight w:val="none"/>
        </w:rPr>
      </w:pPr>
      <w:r>
        <w:rPr>
          <w:rFonts w:ascii="宋体" w:hAnsi="宋体"/>
          <w:bCs/>
          <w:color w:val="auto"/>
          <w:kern w:val="0"/>
          <w:szCs w:val="21"/>
          <w:highlight w:val="none"/>
        </w:rPr>
        <w:t xml:space="preserve">                                 </w:t>
      </w:r>
      <w:r>
        <w:rPr>
          <w:rFonts w:hint="eastAsia" w:ascii="宋体" w:hAnsi="宋体"/>
          <w:bCs/>
          <w:color w:val="auto"/>
          <w:kern w:val="0"/>
          <w:szCs w:val="21"/>
          <w:highlight w:val="none"/>
        </w:rPr>
        <w:t>授权代表签字：</w:t>
      </w:r>
      <w:r>
        <w:rPr>
          <w:rFonts w:ascii="宋体" w:hAnsi="宋体"/>
          <w:bCs/>
          <w:color w:val="auto"/>
          <w:kern w:val="0"/>
          <w:szCs w:val="21"/>
          <w:highlight w:val="none"/>
          <w:u w:val="single"/>
        </w:rPr>
        <w:t>_______________________</w:t>
      </w:r>
    </w:p>
    <w:p w14:paraId="5B371E69">
      <w:pPr>
        <w:spacing w:line="460" w:lineRule="exact"/>
        <w:rPr>
          <w:rFonts w:ascii="宋体"/>
          <w:bCs/>
          <w:color w:val="auto"/>
          <w:kern w:val="0"/>
          <w:szCs w:val="21"/>
          <w:highlight w:val="none"/>
        </w:rPr>
      </w:pPr>
      <w:r>
        <w:rPr>
          <w:rFonts w:ascii="宋体" w:hAnsi="宋体"/>
          <w:bCs/>
          <w:color w:val="auto"/>
          <w:kern w:val="0"/>
          <w:szCs w:val="21"/>
          <w:highlight w:val="none"/>
        </w:rPr>
        <w:t xml:space="preserve">                                 </w:t>
      </w:r>
      <w:r>
        <w:rPr>
          <w:rFonts w:hint="eastAsia" w:ascii="宋体" w:hAnsi="宋体"/>
          <w:bCs/>
          <w:color w:val="auto"/>
          <w:kern w:val="0"/>
          <w:szCs w:val="21"/>
          <w:highlight w:val="none"/>
        </w:rPr>
        <w:t>日期：</w:t>
      </w:r>
      <w:r>
        <w:rPr>
          <w:rFonts w:ascii="宋体" w:hAnsi="宋体"/>
          <w:bCs/>
          <w:color w:val="auto"/>
          <w:kern w:val="0"/>
          <w:szCs w:val="21"/>
          <w:highlight w:val="none"/>
          <w:u w:val="single"/>
        </w:rPr>
        <w:t>______</w:t>
      </w:r>
      <w:r>
        <w:rPr>
          <w:rFonts w:hint="eastAsia" w:ascii="宋体" w:hAnsi="宋体"/>
          <w:bCs/>
          <w:color w:val="auto"/>
          <w:kern w:val="0"/>
          <w:szCs w:val="21"/>
          <w:highlight w:val="none"/>
        </w:rPr>
        <w:t>年</w:t>
      </w:r>
      <w:r>
        <w:rPr>
          <w:rFonts w:ascii="宋体" w:hAnsi="宋体"/>
          <w:bCs/>
          <w:color w:val="auto"/>
          <w:kern w:val="0"/>
          <w:szCs w:val="21"/>
          <w:highlight w:val="none"/>
          <w:u w:val="single"/>
        </w:rPr>
        <w:t>______</w:t>
      </w:r>
      <w:r>
        <w:rPr>
          <w:rFonts w:hint="eastAsia" w:ascii="宋体" w:hAnsi="宋体"/>
          <w:bCs/>
          <w:color w:val="auto"/>
          <w:kern w:val="0"/>
          <w:szCs w:val="21"/>
          <w:highlight w:val="none"/>
        </w:rPr>
        <w:t>月</w:t>
      </w:r>
      <w:r>
        <w:rPr>
          <w:rFonts w:ascii="宋体" w:hAnsi="宋体"/>
          <w:bCs/>
          <w:color w:val="auto"/>
          <w:kern w:val="0"/>
          <w:szCs w:val="21"/>
          <w:highlight w:val="none"/>
          <w:u w:val="single"/>
        </w:rPr>
        <w:t>______</w:t>
      </w:r>
      <w:r>
        <w:rPr>
          <w:rFonts w:hint="eastAsia" w:ascii="宋体" w:hAnsi="宋体"/>
          <w:bCs/>
          <w:color w:val="auto"/>
          <w:kern w:val="0"/>
          <w:szCs w:val="21"/>
          <w:highlight w:val="none"/>
        </w:rPr>
        <w:t>日</w:t>
      </w:r>
    </w:p>
    <w:p w14:paraId="6B86CF0B">
      <w:pPr>
        <w:spacing w:line="360" w:lineRule="auto"/>
        <w:jc w:val="right"/>
        <w:rPr>
          <w:rFonts w:ascii="宋体" w:cs="宋体"/>
          <w:color w:val="auto"/>
          <w:kern w:val="0"/>
          <w:sz w:val="24"/>
          <w:szCs w:val="24"/>
          <w:highlight w:val="none"/>
        </w:rPr>
      </w:pPr>
    </w:p>
    <w:p w14:paraId="4AE530BE">
      <w:pPr>
        <w:snapToGrid w:val="0"/>
        <w:spacing w:line="400" w:lineRule="exact"/>
        <w:contextualSpacing/>
        <w:rPr>
          <w:rFonts w:eastAsia="方正黑体_GBK"/>
          <w:color w:val="auto"/>
          <w:kern w:val="0"/>
          <w:sz w:val="32"/>
          <w:szCs w:val="32"/>
          <w:highlight w:val="none"/>
          <w:lang w:val="zh-CN"/>
        </w:rPr>
      </w:pPr>
      <w:r>
        <w:rPr>
          <w:rFonts w:ascii="宋体" w:hAnsi="宋体"/>
          <w:color w:val="auto"/>
          <w:sz w:val="24"/>
          <w:szCs w:val="21"/>
          <w:highlight w:val="none"/>
        </w:rPr>
        <w:br w:type="page"/>
      </w:r>
      <w:r>
        <w:rPr>
          <w:rFonts w:eastAsia="方正黑体_GBK"/>
          <w:color w:val="auto"/>
          <w:kern w:val="0"/>
          <w:sz w:val="32"/>
          <w:szCs w:val="32"/>
          <w:highlight w:val="none"/>
          <w:lang w:val="zh-CN"/>
        </w:rPr>
        <w:t>附件</w:t>
      </w:r>
      <w:r>
        <w:rPr>
          <w:rFonts w:hint="eastAsia" w:eastAsia="方正黑体_GBK"/>
          <w:color w:val="auto"/>
          <w:kern w:val="0"/>
          <w:sz w:val="32"/>
          <w:szCs w:val="32"/>
          <w:highlight w:val="none"/>
          <w:lang w:val="zh-CN"/>
        </w:rPr>
        <w:t>3</w:t>
      </w:r>
    </w:p>
    <w:p w14:paraId="474C1B67">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法定代表人身份证明</w:t>
      </w:r>
    </w:p>
    <w:p w14:paraId="4ABC0150">
      <w:pPr>
        <w:spacing w:line="480" w:lineRule="exact"/>
        <w:rPr>
          <w:rFonts w:ascii="宋体" w:hAnsi="宋体"/>
          <w:color w:val="auto"/>
          <w:sz w:val="24"/>
          <w:szCs w:val="24"/>
          <w:highlight w:val="none"/>
        </w:rPr>
      </w:pPr>
    </w:p>
    <w:p w14:paraId="2A3B3F1D">
      <w:pPr>
        <w:spacing w:line="480" w:lineRule="exact"/>
        <w:ind w:firstLine="480" w:firstLineChars="200"/>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先生/女士：</w:t>
      </w:r>
      <w:r>
        <w:rPr>
          <w:rFonts w:ascii="宋体" w:hAnsi="宋体"/>
          <w:color w:val="auto"/>
          <w:sz w:val="24"/>
          <w:szCs w:val="24"/>
          <w:highlight w:val="none"/>
        </w:rPr>
        <w:t xml:space="preserve"> </w:t>
      </w:r>
      <w:r>
        <w:rPr>
          <w:rFonts w:hint="eastAsia" w:ascii="宋体" w:hAnsi="宋体"/>
          <w:color w:val="auto"/>
          <w:sz w:val="24"/>
          <w:szCs w:val="24"/>
          <w:highlight w:val="none"/>
        </w:rPr>
        <w:t>现任我单位</w:t>
      </w:r>
      <w:r>
        <w:rPr>
          <w:rFonts w:ascii="宋体" w:hAnsi="宋体"/>
          <w:color w:val="auto"/>
          <w:sz w:val="24"/>
          <w:szCs w:val="24"/>
          <w:highlight w:val="none"/>
          <w:u w:val="single"/>
        </w:rPr>
        <w:t xml:space="preserve">        </w:t>
      </w:r>
      <w:r>
        <w:rPr>
          <w:rFonts w:hint="eastAsia" w:ascii="宋体" w:hAnsi="宋体"/>
          <w:color w:val="auto"/>
          <w:sz w:val="24"/>
          <w:szCs w:val="24"/>
          <w:highlight w:val="none"/>
        </w:rPr>
        <w:t>职务，为法定代表人，特此证明。</w:t>
      </w:r>
    </w:p>
    <w:p w14:paraId="37D65823">
      <w:pPr>
        <w:spacing w:line="48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身份证号码：</w:t>
      </w:r>
      <w:r>
        <w:rPr>
          <w:rFonts w:ascii="宋体" w:hAnsi="宋体"/>
          <w:color w:val="auto"/>
          <w:sz w:val="24"/>
          <w:szCs w:val="24"/>
          <w:highlight w:val="none"/>
          <w:u w:val="single"/>
        </w:rPr>
        <w:t xml:space="preserve">                                               </w:t>
      </w:r>
    </w:p>
    <w:p w14:paraId="34AFD4A3">
      <w:pPr>
        <w:spacing w:line="480" w:lineRule="exact"/>
        <w:ind w:firstLine="480"/>
        <w:rPr>
          <w:rFonts w:ascii="宋体" w:hAnsi="宋体"/>
          <w:color w:val="auto"/>
          <w:sz w:val="24"/>
          <w:szCs w:val="24"/>
          <w:highlight w:val="none"/>
        </w:rPr>
      </w:pPr>
    </w:p>
    <w:p w14:paraId="6953B4D3">
      <w:pPr>
        <w:spacing w:line="600" w:lineRule="exact"/>
        <w:rPr>
          <w:rFonts w:ascii="宋体" w:hAnsi="宋体"/>
          <w:b/>
          <w:color w:val="auto"/>
          <w:sz w:val="24"/>
          <w:szCs w:val="24"/>
          <w:highlight w:val="none"/>
        </w:rPr>
      </w:pPr>
      <w:r>
        <w:rPr>
          <w:rFonts w:hint="eastAsia" w:ascii="宋体" w:hAnsi="宋体"/>
          <w:b/>
          <w:color w:val="auto"/>
          <w:sz w:val="24"/>
          <w:szCs w:val="24"/>
          <w:highlight w:val="none"/>
        </w:rPr>
        <w:t>注：提供法定代表人的身份证复印件盖公章</w:t>
      </w:r>
    </w:p>
    <w:p w14:paraId="25C38CD9">
      <w:pPr>
        <w:spacing w:line="440" w:lineRule="exact"/>
        <w:ind w:firstLine="480" w:firstLineChars="200"/>
        <w:rPr>
          <w:rFonts w:ascii="宋体" w:hAnsi="宋体"/>
          <w:color w:val="auto"/>
          <w:sz w:val="24"/>
          <w:szCs w:val="21"/>
          <w:highlight w:val="none"/>
        </w:rPr>
      </w:pPr>
    </w:p>
    <w:bookmarkEnd w:id="199"/>
    <w:bookmarkEnd w:id="200"/>
    <w:bookmarkEnd w:id="201"/>
    <w:p w14:paraId="7CB7CFD6">
      <w:pPr>
        <w:spacing w:line="460" w:lineRule="exact"/>
        <w:rPr>
          <w:rFonts w:ascii="宋体" w:hAnsi="宋体"/>
          <w:bCs/>
          <w:color w:val="auto"/>
          <w:sz w:val="24"/>
          <w:szCs w:val="21"/>
          <w:highlight w:val="none"/>
        </w:rPr>
      </w:pPr>
      <w:bookmarkStart w:id="202" w:name="_Toc120614284"/>
    </w:p>
    <w:p w14:paraId="320AEEAA">
      <w:pPr>
        <w:snapToGrid w:val="0"/>
        <w:spacing w:line="400" w:lineRule="exact"/>
        <w:contextualSpacing/>
        <w:rPr>
          <w:rFonts w:eastAsia="方正黑体_GBK"/>
          <w:color w:val="auto"/>
          <w:kern w:val="0"/>
          <w:sz w:val="32"/>
          <w:szCs w:val="32"/>
          <w:highlight w:val="none"/>
          <w:lang w:val="zh-CN"/>
        </w:rPr>
      </w:pPr>
      <w:r>
        <w:rPr>
          <w:rFonts w:ascii="宋体" w:hAnsi="宋体"/>
          <w:bCs/>
          <w:color w:val="auto"/>
          <w:sz w:val="24"/>
          <w:szCs w:val="21"/>
          <w:highlight w:val="none"/>
        </w:rPr>
        <w:br w:type="page"/>
      </w:r>
      <w:r>
        <w:rPr>
          <w:rFonts w:eastAsia="方正黑体_GBK"/>
          <w:color w:val="auto"/>
          <w:kern w:val="0"/>
          <w:sz w:val="32"/>
          <w:szCs w:val="32"/>
          <w:highlight w:val="none"/>
          <w:lang w:val="zh-CN"/>
        </w:rPr>
        <w:t>附件</w:t>
      </w:r>
      <w:r>
        <w:rPr>
          <w:rFonts w:hint="eastAsia" w:eastAsia="方正黑体_GBK"/>
          <w:color w:val="auto"/>
          <w:kern w:val="0"/>
          <w:sz w:val="32"/>
          <w:szCs w:val="32"/>
          <w:highlight w:val="none"/>
          <w:lang w:val="zh-CN"/>
        </w:rPr>
        <w:t>4</w:t>
      </w:r>
    </w:p>
    <w:p w14:paraId="1001C844">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法人授权书</w:t>
      </w:r>
    </w:p>
    <w:p w14:paraId="367807C6">
      <w:pPr>
        <w:tabs>
          <w:tab w:val="left" w:pos="360"/>
        </w:tabs>
        <w:ind w:firstLine="480" w:firstLineChars="200"/>
        <w:rPr>
          <w:color w:val="auto"/>
          <w:sz w:val="24"/>
          <w:szCs w:val="24"/>
          <w:highlight w:val="none"/>
        </w:rPr>
      </w:pPr>
      <w:r>
        <w:rPr>
          <w:rFonts w:hint="eastAsia"/>
          <w:color w:val="auto"/>
          <w:sz w:val="24"/>
          <w:szCs w:val="24"/>
          <w:highlight w:val="none"/>
        </w:rPr>
        <w:t>本授权书声明：____________（供应商名称）授权________________（被授权人的姓名）为我方项目编号：</w:t>
      </w:r>
      <w:r>
        <w:rPr>
          <w:rFonts w:hint="eastAsia"/>
          <w:color w:val="auto"/>
          <w:sz w:val="24"/>
          <w:szCs w:val="24"/>
          <w:highlight w:val="none"/>
          <w:u w:val="single"/>
        </w:rPr>
        <w:t xml:space="preserve">        </w:t>
      </w:r>
      <w:r>
        <w:rPr>
          <w:rFonts w:hint="eastAsia"/>
          <w:color w:val="auto"/>
          <w:sz w:val="24"/>
          <w:szCs w:val="24"/>
          <w:highlight w:val="none"/>
        </w:rPr>
        <w:t>项目采购活动的合法代理人，以本单位名义全权处理一切与该项目采购有关的事务。</w:t>
      </w:r>
    </w:p>
    <w:p w14:paraId="6CBE6DFF">
      <w:pPr>
        <w:tabs>
          <w:tab w:val="left" w:pos="360"/>
        </w:tabs>
        <w:ind w:firstLine="480" w:firstLineChars="200"/>
        <w:rPr>
          <w:color w:val="auto"/>
          <w:sz w:val="24"/>
          <w:szCs w:val="24"/>
          <w:highlight w:val="none"/>
        </w:rPr>
      </w:pPr>
      <w:r>
        <w:rPr>
          <w:rFonts w:hint="eastAsia"/>
          <w:color w:val="auto"/>
          <w:sz w:val="24"/>
          <w:szCs w:val="24"/>
          <w:highlight w:val="none"/>
        </w:rPr>
        <w:t>本授权书于______年____月____日起生效，特此声明。</w:t>
      </w:r>
    </w:p>
    <w:p w14:paraId="63621A7B">
      <w:pPr>
        <w:tabs>
          <w:tab w:val="left" w:pos="360"/>
        </w:tabs>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6EC115BE">
      <w:pPr>
        <w:tabs>
          <w:tab w:val="left" w:pos="360"/>
        </w:tabs>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390A8A88">
      <w:pPr>
        <w:tabs>
          <w:tab w:val="left" w:pos="360"/>
        </w:tabs>
        <w:ind w:firstLine="1200" w:firstLineChars="500"/>
        <w:rPr>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50D83549">
      <w:pPr>
        <w:tabs>
          <w:tab w:val="left" w:pos="360"/>
        </w:tabs>
        <w:ind w:firstLine="480" w:firstLineChars="200"/>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318694EF">
      <w:pPr>
        <w:tabs>
          <w:tab w:val="left" w:pos="360"/>
        </w:tabs>
        <w:ind w:firstLine="480" w:firstLineChars="200"/>
        <w:rPr>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p>
    <w:p w14:paraId="672D154E">
      <w:pPr>
        <w:ind w:firstLine="420"/>
        <w:rPr>
          <w:i/>
          <w:color w:val="auto"/>
          <w:sz w:val="24"/>
          <w:szCs w:val="24"/>
          <w:highlight w:val="none"/>
          <w:u w:val="single"/>
        </w:rPr>
      </w:pPr>
    </w:p>
    <w:p w14:paraId="023725F2">
      <w:pPr>
        <w:rPr>
          <w:color w:val="auto"/>
          <w:szCs w:val="21"/>
          <w:highlight w:val="none"/>
        </w:rPr>
      </w:pPr>
    </w:p>
    <w:p w14:paraId="1A0874AB">
      <w:pPr>
        <w:spacing w:line="460" w:lineRule="exact"/>
        <w:rPr>
          <w:rFonts w:ascii="宋体" w:hAnsi="宋体"/>
          <w:bCs/>
          <w:color w:val="auto"/>
          <w:sz w:val="24"/>
          <w:szCs w:val="21"/>
          <w:highlight w:val="none"/>
        </w:rPr>
      </w:pPr>
    </w:p>
    <w:p w14:paraId="4CB6717A">
      <w:pPr>
        <w:spacing w:line="460" w:lineRule="exact"/>
        <w:rPr>
          <w:rFonts w:ascii="宋体" w:hAnsi="宋体"/>
          <w:bCs/>
          <w:color w:val="auto"/>
          <w:sz w:val="24"/>
          <w:szCs w:val="21"/>
          <w:highlight w:val="none"/>
        </w:rPr>
      </w:pPr>
    </w:p>
    <w:p w14:paraId="73BDD357">
      <w:pPr>
        <w:snapToGrid w:val="0"/>
        <w:spacing w:line="400" w:lineRule="exact"/>
        <w:contextualSpacing/>
        <w:rPr>
          <w:rFonts w:eastAsia="方正黑体_GBK"/>
          <w:color w:val="auto"/>
          <w:kern w:val="0"/>
          <w:sz w:val="32"/>
          <w:szCs w:val="32"/>
          <w:highlight w:val="none"/>
        </w:rPr>
      </w:pPr>
      <w:r>
        <w:rPr>
          <w:rFonts w:ascii="宋体" w:hAnsi="宋体"/>
          <w:bCs/>
          <w:color w:val="auto"/>
          <w:sz w:val="24"/>
          <w:szCs w:val="21"/>
          <w:highlight w:val="none"/>
        </w:rPr>
        <w:br w:type="page"/>
      </w:r>
      <w:r>
        <w:rPr>
          <w:rFonts w:eastAsia="方正黑体_GBK"/>
          <w:color w:val="auto"/>
          <w:kern w:val="0"/>
          <w:sz w:val="32"/>
          <w:szCs w:val="32"/>
          <w:highlight w:val="none"/>
        </w:rPr>
        <w:t>附件</w:t>
      </w:r>
      <w:r>
        <w:rPr>
          <w:rFonts w:hint="eastAsia" w:eastAsia="方正黑体_GBK"/>
          <w:color w:val="auto"/>
          <w:kern w:val="0"/>
          <w:sz w:val="32"/>
          <w:szCs w:val="32"/>
          <w:highlight w:val="none"/>
        </w:rPr>
        <w:t>5</w:t>
      </w:r>
    </w:p>
    <w:p w14:paraId="5E7C5344">
      <w:pPr>
        <w:spacing w:line="56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磋商响应函</w:t>
      </w:r>
    </w:p>
    <w:p w14:paraId="4C9DF22D">
      <w:pPr>
        <w:adjustRightInd w:val="0"/>
        <w:spacing w:line="420" w:lineRule="exact"/>
        <w:jc w:val="left"/>
        <w:textAlignment w:val="baseline"/>
        <w:rPr>
          <w:rFonts w:ascii="宋体" w:hAnsi="宋体"/>
          <w:color w:val="auto"/>
          <w:sz w:val="24"/>
          <w:szCs w:val="21"/>
          <w:highlight w:val="none"/>
        </w:rPr>
      </w:pPr>
      <w:r>
        <w:rPr>
          <w:rFonts w:hint="eastAsia" w:ascii="宋体" w:hAnsi="宋体"/>
          <w:color w:val="auto"/>
          <w:sz w:val="24"/>
          <w:szCs w:val="21"/>
          <w:highlight w:val="none"/>
        </w:rPr>
        <w:t>致：采购人</w:t>
      </w:r>
    </w:p>
    <w:p w14:paraId="74DE0D40">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根据贵方的项目编号：</w:t>
      </w:r>
      <w:r>
        <w:rPr>
          <w:rFonts w:hint="eastAsia" w:ascii="宋体" w:hAnsi="宋体"/>
          <w:b/>
          <w:color w:val="auto"/>
          <w:kern w:val="0"/>
          <w:sz w:val="36"/>
          <w:szCs w:val="24"/>
          <w:highlight w:val="none"/>
          <w:u w:val="single"/>
        </w:rPr>
        <w:t xml:space="preserve">    </w:t>
      </w:r>
      <w:r>
        <w:rPr>
          <w:rFonts w:hint="eastAsia" w:ascii="宋体" w:hAnsi="宋体"/>
          <w:color w:val="auto"/>
          <w:sz w:val="24"/>
          <w:szCs w:val="21"/>
          <w:highlight w:val="none"/>
        </w:rPr>
        <w:t>磋商文件，正式授权下述签字人______(姓名)代表我方______________（供应商的名称），全权处理本次项目磋商的有关事宜。</w:t>
      </w:r>
    </w:p>
    <w:p w14:paraId="1802FBF8">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据此函，__________签字人兹宣布同意如下：</w:t>
      </w:r>
    </w:p>
    <w:p w14:paraId="566CAEE7">
      <w:pPr>
        <w:adjustRightInd w:val="0"/>
        <w:spacing w:line="420" w:lineRule="exact"/>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1.按磋商文件规定的各项要求，向买方提供所需货物、服务（包含与货物相关的服务及与服务相关的货物）。</w:t>
      </w:r>
    </w:p>
    <w:p w14:paraId="16C2425C">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2.我们完全理解贵方不一定将合同授予最低报价的供应商。</w:t>
      </w:r>
    </w:p>
    <w:p w14:paraId="1438E916">
      <w:pPr>
        <w:adjustRightInd w:val="0"/>
        <w:spacing w:line="420" w:lineRule="exact"/>
        <w:ind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3.我们已详细审核全部磋商文件及其有效补充文件，我们知道必须放弃提出含糊不清或误解问题的权利。</w:t>
      </w:r>
    </w:p>
    <w:p w14:paraId="58E5D1C6">
      <w:pPr>
        <w:adjustRightInd w:val="0"/>
        <w:spacing w:line="420" w:lineRule="exact"/>
        <w:ind w:firstLine="480"/>
        <w:jc w:val="left"/>
        <w:textAlignment w:val="baseline"/>
        <w:rPr>
          <w:rFonts w:ascii="宋体" w:hAnsi="宋体"/>
          <w:color w:val="auto"/>
          <w:sz w:val="24"/>
          <w:szCs w:val="21"/>
          <w:highlight w:val="none"/>
        </w:rPr>
      </w:pPr>
      <w:r>
        <w:rPr>
          <w:rFonts w:hint="eastAsia" w:ascii="宋体" w:hAnsi="宋体"/>
          <w:color w:val="auto"/>
          <w:sz w:val="24"/>
          <w:szCs w:val="21"/>
          <w:highlight w:val="none"/>
        </w:rPr>
        <w:t>4.我们同意从规定的开标日期起遵循本响应文件，并在规定的磋商有效期期满之前均具有约束力。</w:t>
      </w:r>
    </w:p>
    <w:p w14:paraId="3D02FEF7">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.同意向贵方提供贵方可能另外要求的与磋商有关的任何证据或资料，并保证我方已提供和将要提供的文件是真实的、准确的。</w:t>
      </w:r>
    </w:p>
    <w:p w14:paraId="6BE8AD8A">
      <w:pPr>
        <w:adjustRightInd w:val="0"/>
        <w:spacing w:line="420" w:lineRule="exact"/>
        <w:ind w:firstLine="480"/>
        <w:jc w:val="left"/>
        <w:textAlignment w:val="baseline"/>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.一旦我方成交,我方将根据磋商文件的规定，严格履行合同的责任和义务,并保证在磋商文件规定的时间完成项目，交付买方验收、使用。</w:t>
      </w:r>
    </w:p>
    <w:p w14:paraId="7DF16675">
      <w:pPr>
        <w:adjustRightInd w:val="0"/>
        <w:spacing w:line="420" w:lineRule="exact"/>
        <w:ind w:left="425"/>
        <w:jc w:val="left"/>
        <w:textAlignment w:val="baseline"/>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.我方与本磋商有关的正式通讯地址为：</w:t>
      </w:r>
    </w:p>
    <w:p w14:paraId="6AC8965E">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地          址：</w:t>
      </w:r>
    </w:p>
    <w:p w14:paraId="2CAC3113">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邮          编：</w:t>
      </w:r>
    </w:p>
    <w:p w14:paraId="0FE154FD">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电          话：</w:t>
      </w:r>
    </w:p>
    <w:p w14:paraId="0AE3D1BC">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传          真：</w:t>
      </w:r>
    </w:p>
    <w:p w14:paraId="4B43BE9C">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供应商开户行：</w:t>
      </w:r>
    </w:p>
    <w:p w14:paraId="0415EE82">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 xml:space="preserve">账          号： </w:t>
      </w:r>
    </w:p>
    <w:p w14:paraId="364A24FA">
      <w:pPr>
        <w:adjustRightInd w:val="0"/>
        <w:spacing w:line="420" w:lineRule="exact"/>
        <w:ind w:left="420" w:leftChars="200" w:firstLine="480" w:firstLineChars="200"/>
        <w:jc w:val="left"/>
        <w:textAlignment w:val="baseline"/>
        <w:rPr>
          <w:rFonts w:ascii="宋体" w:hAnsi="宋体"/>
          <w:color w:val="auto"/>
          <w:sz w:val="24"/>
          <w:szCs w:val="21"/>
          <w:highlight w:val="none"/>
        </w:rPr>
      </w:pPr>
      <w:r>
        <w:rPr>
          <w:rFonts w:hint="eastAsia" w:ascii="宋体" w:hAnsi="宋体"/>
          <w:color w:val="auto"/>
          <w:sz w:val="24"/>
          <w:szCs w:val="21"/>
          <w:highlight w:val="none"/>
        </w:rPr>
        <w:t>日           期：________年____月____日</w:t>
      </w:r>
    </w:p>
    <w:p w14:paraId="4DA5DE28">
      <w:pPr>
        <w:snapToGrid w:val="0"/>
        <w:spacing w:line="400" w:lineRule="exact"/>
        <w:contextualSpacing/>
        <w:rPr>
          <w:rFonts w:ascii="宋体" w:hAnsi="宋体"/>
          <w:bCs/>
          <w:color w:val="auto"/>
          <w:sz w:val="24"/>
          <w:szCs w:val="21"/>
          <w:highlight w:val="none"/>
        </w:rPr>
      </w:pPr>
    </w:p>
    <w:p w14:paraId="7806529D">
      <w:pPr>
        <w:adjustRightInd w:val="0"/>
        <w:spacing w:line="440" w:lineRule="exact"/>
        <w:ind w:left="420" w:leftChars="200" w:firstLine="480" w:firstLineChars="200"/>
        <w:jc w:val="left"/>
        <w:textAlignment w:val="baseline"/>
        <w:rPr>
          <w:rFonts w:ascii="宋体" w:hAnsi="宋体"/>
          <w:color w:val="auto"/>
          <w:sz w:val="24"/>
          <w:szCs w:val="21"/>
          <w:highlight w:val="none"/>
        </w:rPr>
      </w:pPr>
    </w:p>
    <w:p w14:paraId="3ACD559C">
      <w:pPr>
        <w:adjustRightInd w:val="0"/>
        <w:spacing w:line="440" w:lineRule="exact"/>
        <w:ind w:left="420" w:leftChars="200" w:firstLine="2400" w:firstLineChars="1000"/>
        <w:jc w:val="left"/>
        <w:textAlignment w:val="baseline"/>
        <w:rPr>
          <w:rFonts w:ascii="宋体" w:hAnsi="宋体"/>
          <w:color w:val="auto"/>
          <w:sz w:val="24"/>
          <w:szCs w:val="21"/>
          <w:highlight w:val="none"/>
        </w:rPr>
      </w:pPr>
      <w:r>
        <w:rPr>
          <w:rFonts w:hint="eastAsia" w:ascii="宋体" w:hAnsi="宋体"/>
          <w:color w:val="auto"/>
          <w:sz w:val="24"/>
          <w:szCs w:val="21"/>
          <w:highlight w:val="none"/>
        </w:rPr>
        <w:t>响应供应商全称(盖公章)：</w:t>
      </w:r>
    </w:p>
    <w:p w14:paraId="68C105DD">
      <w:pPr>
        <w:adjustRightInd w:val="0"/>
        <w:spacing w:line="440" w:lineRule="exact"/>
        <w:ind w:left="420" w:leftChars="200" w:firstLine="2400" w:firstLineChars="1000"/>
        <w:jc w:val="left"/>
        <w:textAlignment w:val="baseline"/>
        <w:rPr>
          <w:rFonts w:ascii="宋体" w:hAnsi="宋体"/>
          <w:color w:val="auto"/>
          <w:sz w:val="24"/>
          <w:szCs w:val="21"/>
          <w:highlight w:val="none"/>
        </w:rPr>
      </w:pPr>
      <w:r>
        <w:rPr>
          <w:rFonts w:hint="eastAsia" w:ascii="宋体" w:hAnsi="宋体"/>
          <w:color w:val="auto"/>
          <w:sz w:val="24"/>
          <w:szCs w:val="21"/>
          <w:highlight w:val="none"/>
        </w:rPr>
        <w:t>法定代表人（签字或盖章）：</w:t>
      </w:r>
    </w:p>
    <w:p w14:paraId="79B4A578">
      <w:pPr>
        <w:spacing w:line="460" w:lineRule="exact"/>
        <w:rPr>
          <w:rFonts w:ascii="宋体" w:hAnsi="宋体"/>
          <w:bCs/>
          <w:color w:val="auto"/>
          <w:sz w:val="24"/>
          <w:szCs w:val="21"/>
          <w:highlight w:val="none"/>
        </w:rPr>
      </w:pPr>
    </w:p>
    <w:p w14:paraId="77DDA9D6">
      <w:pPr>
        <w:spacing w:line="460" w:lineRule="exact"/>
        <w:rPr>
          <w:rFonts w:eastAsia="方正黑体_GBK"/>
          <w:color w:val="auto"/>
          <w:kern w:val="0"/>
          <w:sz w:val="32"/>
          <w:szCs w:val="32"/>
          <w:highlight w:val="none"/>
        </w:rPr>
      </w:pPr>
      <w:r>
        <w:rPr>
          <w:rFonts w:ascii="宋体" w:hAnsi="宋体"/>
          <w:bCs/>
          <w:color w:val="auto"/>
          <w:sz w:val="24"/>
          <w:szCs w:val="21"/>
          <w:highlight w:val="none"/>
        </w:rPr>
        <w:br w:type="page"/>
      </w:r>
    </w:p>
    <w:p w14:paraId="138F6418">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w:t>
      </w:r>
      <w:r>
        <w:rPr>
          <w:rFonts w:hint="eastAsia" w:eastAsia="方正黑体_GBK"/>
          <w:color w:val="auto"/>
          <w:kern w:val="0"/>
          <w:sz w:val="32"/>
          <w:szCs w:val="32"/>
          <w:highlight w:val="none"/>
        </w:rPr>
        <w:t>6</w:t>
      </w:r>
    </w:p>
    <w:p w14:paraId="7D3010B6">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商务部分正负偏离表</w:t>
      </w:r>
    </w:p>
    <w:p w14:paraId="247AB9D6">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4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3C615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099CAA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1DBA7C7">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12DC422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380FD831">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6A14096">
            <w:pPr>
              <w:spacing w:line="340" w:lineRule="exact"/>
              <w:jc w:val="center"/>
              <w:rPr>
                <w:rFonts w:ascii="宋体" w:hAnsi="宋体"/>
                <w:color w:val="auto"/>
                <w:sz w:val="24"/>
                <w:szCs w:val="24"/>
                <w:highlight w:val="none"/>
              </w:rPr>
            </w:pPr>
          </w:p>
          <w:p w14:paraId="26D5494D">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0DE84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01821276">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01D1131">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0B657BB2">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AC3D630">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D90C9E7">
            <w:pPr>
              <w:spacing w:line="340" w:lineRule="exact"/>
              <w:jc w:val="left"/>
              <w:rPr>
                <w:color w:val="auto"/>
                <w:sz w:val="24"/>
                <w:szCs w:val="24"/>
                <w:highlight w:val="none"/>
              </w:rPr>
            </w:pPr>
          </w:p>
        </w:tc>
      </w:tr>
      <w:tr w14:paraId="2BFC8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7BDAD897">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F5D975B">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5C6B4C9">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00EF652">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CAE1330">
            <w:pPr>
              <w:spacing w:line="340" w:lineRule="exact"/>
              <w:jc w:val="left"/>
              <w:rPr>
                <w:color w:val="auto"/>
                <w:sz w:val="24"/>
                <w:szCs w:val="24"/>
                <w:highlight w:val="none"/>
              </w:rPr>
            </w:pPr>
          </w:p>
        </w:tc>
      </w:tr>
      <w:tr w14:paraId="6878E9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232B55A">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57759DE4">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A4B91D4">
            <w:pPr>
              <w:spacing w:line="340" w:lineRule="exact"/>
              <w:jc w:val="left"/>
              <w:rPr>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2CFE3ED">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0C2247C">
            <w:pPr>
              <w:spacing w:line="340" w:lineRule="exact"/>
              <w:jc w:val="left"/>
              <w:rPr>
                <w:color w:val="auto"/>
                <w:sz w:val="24"/>
                <w:szCs w:val="24"/>
                <w:highlight w:val="none"/>
              </w:rPr>
            </w:pPr>
          </w:p>
        </w:tc>
      </w:tr>
      <w:tr w14:paraId="55E8D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FE9895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3100BCC2">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68BE1AF6">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D779CF7">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7BFA6DF">
            <w:pPr>
              <w:spacing w:line="340" w:lineRule="exact"/>
              <w:jc w:val="left"/>
              <w:rPr>
                <w:color w:val="auto"/>
                <w:sz w:val="24"/>
                <w:szCs w:val="24"/>
                <w:highlight w:val="none"/>
              </w:rPr>
            </w:pPr>
          </w:p>
        </w:tc>
      </w:tr>
    </w:tbl>
    <w:p w14:paraId="3B2F1537">
      <w:pPr>
        <w:snapToGrid w:val="0"/>
        <w:spacing w:line="560" w:lineRule="exact"/>
        <w:contextualSpacing/>
        <w:rPr>
          <w:rFonts w:ascii="宋体" w:hAnsi="宋体"/>
          <w:b/>
          <w:color w:val="auto"/>
          <w:sz w:val="24"/>
          <w:szCs w:val="24"/>
          <w:highlight w:val="none"/>
        </w:rPr>
      </w:pPr>
      <w:r>
        <w:rPr>
          <w:rFonts w:hint="eastAsia" w:ascii="宋体" w:hAnsi="宋体"/>
          <w:b/>
          <w:color w:val="auto"/>
          <w:sz w:val="24"/>
          <w:szCs w:val="24"/>
          <w:highlight w:val="none"/>
        </w:rPr>
        <w:t>注：</w:t>
      </w:r>
    </w:p>
    <w:p w14:paraId="333851B5">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1.供应商提交的响应文件中与磋商文件第三部分“项目需求”中的商务部分的要求，应逐条填列在偏离表中。</w:t>
      </w:r>
    </w:p>
    <w:p w14:paraId="2136E697">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2.</w:t>
      </w:r>
      <w:r>
        <w:rPr>
          <w:rFonts w:hint="eastAsia"/>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“偏离说明”一栏选择“正偏离”、“无偏离”、“负偏离”进行填写。正偏离、无偏离的确认和负偏离的是否响应采购文件，由磋商小组认定。</w:t>
      </w:r>
    </w:p>
    <w:p w14:paraId="536FF411">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514B1139">
      <w:pPr>
        <w:snapToGrid w:val="0"/>
        <w:spacing w:line="560" w:lineRule="exact"/>
        <w:ind w:firstLine="480" w:firstLineChars="200"/>
        <w:contextualSpacing/>
        <w:rPr>
          <w:rFonts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4FD77F01">
      <w:pPr>
        <w:snapToGrid w:val="0"/>
        <w:spacing w:line="560" w:lineRule="exact"/>
        <w:ind w:firstLine="540" w:firstLineChars="192"/>
        <w:contextualSpacing/>
        <w:rPr>
          <w:rFonts w:ascii="宋体" w:hAnsi="宋体" w:cs="宋体"/>
          <w:b/>
          <w:color w:val="auto"/>
          <w:kern w:val="0"/>
          <w:sz w:val="28"/>
          <w:szCs w:val="28"/>
          <w:highlight w:val="none"/>
        </w:rPr>
      </w:pPr>
    </w:p>
    <w:p w14:paraId="33558891">
      <w:pPr>
        <w:spacing w:line="460" w:lineRule="exact"/>
        <w:rPr>
          <w:rFonts w:ascii="宋体" w:hAnsi="宋体"/>
          <w:bCs/>
          <w:color w:val="auto"/>
          <w:sz w:val="24"/>
          <w:szCs w:val="21"/>
          <w:highlight w:val="none"/>
        </w:rPr>
      </w:pPr>
    </w:p>
    <w:p w14:paraId="23432251">
      <w:pPr>
        <w:snapToGrid w:val="0"/>
        <w:spacing w:line="400" w:lineRule="exact"/>
        <w:contextualSpacing/>
        <w:rPr>
          <w:rFonts w:eastAsia="方正黑体_GBK"/>
          <w:color w:val="auto"/>
          <w:kern w:val="0"/>
          <w:sz w:val="32"/>
          <w:szCs w:val="32"/>
          <w:highlight w:val="none"/>
        </w:rPr>
      </w:pPr>
      <w:r>
        <w:rPr>
          <w:rFonts w:ascii="宋体" w:hAnsi="宋体"/>
          <w:bCs/>
          <w:color w:val="auto"/>
          <w:sz w:val="24"/>
          <w:szCs w:val="21"/>
          <w:highlight w:val="none"/>
        </w:rPr>
        <w:br w:type="page"/>
      </w:r>
      <w:r>
        <w:rPr>
          <w:rFonts w:eastAsia="方正黑体_GBK"/>
          <w:color w:val="auto"/>
          <w:kern w:val="0"/>
          <w:sz w:val="32"/>
          <w:szCs w:val="32"/>
          <w:highlight w:val="none"/>
        </w:rPr>
        <w:t>附件</w:t>
      </w:r>
      <w:r>
        <w:rPr>
          <w:rFonts w:hint="eastAsia" w:eastAsia="方正黑体_GBK"/>
          <w:color w:val="auto"/>
          <w:kern w:val="0"/>
          <w:sz w:val="32"/>
          <w:szCs w:val="32"/>
          <w:highlight w:val="none"/>
        </w:rPr>
        <w:t>7</w:t>
      </w:r>
    </w:p>
    <w:p w14:paraId="13EE49AC">
      <w:pPr>
        <w:snapToGrid w:val="0"/>
        <w:spacing w:line="300" w:lineRule="auto"/>
        <w:contextualSpacing/>
        <w:jc w:val="center"/>
        <w:rPr>
          <w:rFonts w:ascii="宋体" w:hAnsi="宋体"/>
          <w:b/>
          <w:color w:val="auto"/>
          <w:sz w:val="32"/>
          <w:szCs w:val="32"/>
          <w:highlight w:val="none"/>
        </w:rPr>
      </w:pPr>
      <w:r>
        <w:rPr>
          <w:rFonts w:hint="eastAsia" w:ascii="宋体" w:hAnsi="宋体"/>
          <w:b/>
          <w:color w:val="auto"/>
          <w:sz w:val="32"/>
          <w:szCs w:val="32"/>
          <w:highlight w:val="none"/>
        </w:rPr>
        <w:t>技术部分正负偏离表</w:t>
      </w:r>
    </w:p>
    <w:p w14:paraId="580B6A48">
      <w:pPr>
        <w:ind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（由供应商据实填写，表格不够自行添加）</w:t>
      </w:r>
    </w:p>
    <w:tbl>
      <w:tblPr>
        <w:tblStyle w:val="4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3"/>
        <w:gridCol w:w="2300"/>
        <w:gridCol w:w="2008"/>
        <w:gridCol w:w="2591"/>
        <w:gridCol w:w="1427"/>
      </w:tblGrid>
      <w:tr w14:paraId="73F29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2566DAA4">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67AA74B2">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14131089">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0EF2AC03">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73DE358">
            <w:pPr>
              <w:spacing w:line="340" w:lineRule="exact"/>
              <w:jc w:val="center"/>
              <w:rPr>
                <w:rFonts w:ascii="宋体" w:hAnsi="宋体"/>
                <w:color w:val="auto"/>
                <w:sz w:val="24"/>
                <w:szCs w:val="24"/>
                <w:highlight w:val="none"/>
              </w:rPr>
            </w:pPr>
          </w:p>
          <w:p w14:paraId="15009C35">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14:paraId="0328B1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5CF6FDAE">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7C6D3A91">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0AAD3CAD">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6276F19">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FE59041">
            <w:pPr>
              <w:spacing w:line="340" w:lineRule="exact"/>
              <w:jc w:val="left"/>
              <w:rPr>
                <w:color w:val="auto"/>
                <w:sz w:val="24"/>
                <w:szCs w:val="24"/>
                <w:highlight w:val="none"/>
              </w:rPr>
            </w:pPr>
          </w:p>
        </w:tc>
      </w:tr>
      <w:tr w14:paraId="5D3263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805EF1F">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690DD1D5">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B8EEBB9">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61BB858">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3671B79">
            <w:pPr>
              <w:spacing w:line="340" w:lineRule="exact"/>
              <w:jc w:val="left"/>
              <w:rPr>
                <w:color w:val="auto"/>
                <w:sz w:val="24"/>
                <w:szCs w:val="24"/>
                <w:highlight w:val="none"/>
              </w:rPr>
            </w:pPr>
          </w:p>
        </w:tc>
      </w:tr>
      <w:tr w14:paraId="37E1A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0FDE8018">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33A838A9">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E90C72F">
            <w:pPr>
              <w:spacing w:line="340" w:lineRule="exact"/>
              <w:jc w:val="left"/>
              <w:rPr>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818A266">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40C6E36">
            <w:pPr>
              <w:spacing w:line="340" w:lineRule="exact"/>
              <w:jc w:val="left"/>
              <w:rPr>
                <w:color w:val="auto"/>
                <w:sz w:val="24"/>
                <w:szCs w:val="24"/>
                <w:highlight w:val="none"/>
              </w:rPr>
            </w:pPr>
          </w:p>
        </w:tc>
      </w:tr>
      <w:tr w14:paraId="592C7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C96F629">
            <w:pPr>
              <w:spacing w:line="34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17BAD0CB">
            <w:pPr>
              <w:spacing w:line="340" w:lineRule="exact"/>
              <w:jc w:val="left"/>
              <w:rPr>
                <w:rFonts w:ascii="宋体" w:hAnsi="宋体"/>
                <w:color w:val="auto"/>
                <w:sz w:val="24"/>
                <w:szCs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AC0EB55">
            <w:pPr>
              <w:spacing w:line="340" w:lineRule="exact"/>
              <w:jc w:val="left"/>
              <w:rPr>
                <w:rFonts w:ascii="宋体" w:hAnsi="宋体"/>
                <w:color w:val="auto"/>
                <w:sz w:val="24"/>
                <w:szCs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86874FC">
            <w:pPr>
              <w:spacing w:line="340" w:lineRule="exact"/>
              <w:jc w:val="left"/>
              <w:rPr>
                <w:color w:val="auto"/>
                <w:sz w:val="24"/>
                <w:szCs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1F6324C">
            <w:pPr>
              <w:spacing w:line="340" w:lineRule="exact"/>
              <w:jc w:val="left"/>
              <w:rPr>
                <w:color w:val="auto"/>
                <w:sz w:val="24"/>
                <w:szCs w:val="24"/>
                <w:highlight w:val="none"/>
              </w:rPr>
            </w:pPr>
          </w:p>
        </w:tc>
      </w:tr>
    </w:tbl>
    <w:p w14:paraId="6287CF00">
      <w:pPr>
        <w:snapToGrid w:val="0"/>
        <w:spacing w:line="560" w:lineRule="exact"/>
        <w:contextualSpacing/>
        <w:rPr>
          <w:rFonts w:ascii="宋体" w:hAnsi="宋体"/>
          <w:b/>
          <w:color w:val="auto"/>
          <w:sz w:val="24"/>
          <w:szCs w:val="24"/>
          <w:highlight w:val="none"/>
        </w:rPr>
      </w:pPr>
      <w:r>
        <w:rPr>
          <w:rFonts w:hint="eastAsia" w:ascii="宋体" w:hAnsi="宋体"/>
          <w:b/>
          <w:color w:val="auto"/>
          <w:sz w:val="24"/>
          <w:szCs w:val="24"/>
          <w:highlight w:val="none"/>
        </w:rPr>
        <w:t>注：</w:t>
      </w:r>
    </w:p>
    <w:p w14:paraId="4D13580D">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1.供应商提交的响应文件中与磋商文件第三部分“项目需求”中的技术部分的要求，应逐条填列在偏离表中。</w:t>
      </w:r>
    </w:p>
    <w:p w14:paraId="00B61B3A">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2.</w:t>
      </w:r>
      <w:r>
        <w:rPr>
          <w:rFonts w:hint="eastAsia"/>
          <w:color w:val="auto"/>
          <w:szCs w:val="24"/>
          <w:highlight w:val="none"/>
        </w:rPr>
        <w:t xml:space="preserve"> </w:t>
      </w:r>
      <w:r>
        <w:rPr>
          <w:rFonts w:hint="eastAsia" w:ascii="宋体" w:hAnsi="宋体"/>
          <w:color w:val="auto"/>
          <w:sz w:val="24"/>
          <w:szCs w:val="24"/>
          <w:highlight w:val="none"/>
        </w:rPr>
        <w:t>“偏离说明”一栏选择“正偏离”、“无偏离”、“负偏离”进行填写。正偏离、无偏离的确认和负偏离的是否响应采购文件，由磋商小组认定。</w:t>
      </w:r>
    </w:p>
    <w:p w14:paraId="538844E7">
      <w:pPr>
        <w:snapToGrid w:val="0"/>
        <w:spacing w:line="560" w:lineRule="exact"/>
        <w:ind w:firstLine="480" w:firstLineChars="200"/>
        <w:contextualSpacing/>
        <w:rPr>
          <w:rFonts w:ascii="宋体" w:hAnsi="宋体"/>
          <w:color w:val="auto"/>
          <w:sz w:val="24"/>
          <w:szCs w:val="24"/>
          <w:highlight w:val="none"/>
        </w:rPr>
      </w:pPr>
      <w:r>
        <w:rPr>
          <w:rFonts w:hint="eastAsia" w:ascii="宋体" w:hAnsi="宋体"/>
          <w:color w:val="auto"/>
          <w:sz w:val="24"/>
          <w:szCs w:val="24"/>
          <w:highlight w:val="none"/>
        </w:rPr>
        <w:t>3.供应商如果虚假响应，将被暂停参加采购人组织政府采购活动。</w:t>
      </w:r>
    </w:p>
    <w:p w14:paraId="5A77ED50">
      <w:pPr>
        <w:snapToGrid w:val="0"/>
        <w:spacing w:line="560" w:lineRule="exact"/>
        <w:ind w:firstLine="480" w:firstLineChars="200"/>
        <w:contextualSpacing/>
        <w:rPr>
          <w:rFonts w:ascii="宋体" w:hAnsi="宋体"/>
          <w:bCs/>
          <w:color w:val="auto"/>
          <w:sz w:val="24"/>
          <w:szCs w:val="24"/>
          <w:highlight w:val="none"/>
        </w:rPr>
      </w:pPr>
      <w:r>
        <w:rPr>
          <w:rFonts w:hint="eastAsia" w:ascii="宋体" w:hAnsi="宋体"/>
          <w:bCs/>
          <w:color w:val="auto"/>
          <w:sz w:val="24"/>
          <w:szCs w:val="24"/>
          <w:highlight w:val="none"/>
        </w:rPr>
        <w:t>4.供应商若提供其他增值服务，可以在表中自行据实填写。</w:t>
      </w:r>
    </w:p>
    <w:p w14:paraId="421370AA">
      <w:pPr>
        <w:spacing w:line="460" w:lineRule="exact"/>
        <w:rPr>
          <w:rFonts w:ascii="宋体" w:hAnsi="宋体"/>
          <w:bCs/>
          <w:color w:val="auto"/>
          <w:sz w:val="24"/>
          <w:szCs w:val="21"/>
          <w:highlight w:val="none"/>
        </w:rPr>
      </w:pPr>
    </w:p>
    <w:p w14:paraId="6BB09987">
      <w:pPr>
        <w:snapToGrid w:val="0"/>
        <w:spacing w:line="400" w:lineRule="exact"/>
        <w:contextualSpacing/>
        <w:rPr>
          <w:rFonts w:eastAsia="方正黑体_GBK"/>
          <w:color w:val="auto"/>
          <w:kern w:val="0"/>
          <w:sz w:val="32"/>
          <w:szCs w:val="32"/>
          <w:highlight w:val="none"/>
        </w:rPr>
      </w:pPr>
      <w:r>
        <w:rPr>
          <w:rFonts w:ascii="宋体" w:hAnsi="宋体"/>
          <w:bCs/>
          <w:color w:val="auto"/>
          <w:sz w:val="24"/>
          <w:szCs w:val="21"/>
          <w:highlight w:val="none"/>
        </w:rPr>
        <w:br w:type="page"/>
      </w:r>
      <w:r>
        <w:rPr>
          <w:rFonts w:eastAsia="方正黑体_GBK"/>
          <w:color w:val="auto"/>
          <w:kern w:val="0"/>
          <w:sz w:val="32"/>
          <w:szCs w:val="32"/>
          <w:highlight w:val="none"/>
        </w:rPr>
        <w:t>附件</w:t>
      </w:r>
      <w:r>
        <w:rPr>
          <w:rFonts w:hint="eastAsia" w:eastAsia="方正黑体_GBK"/>
          <w:color w:val="auto"/>
          <w:kern w:val="0"/>
          <w:sz w:val="32"/>
          <w:szCs w:val="32"/>
          <w:highlight w:val="none"/>
        </w:rPr>
        <w:t>8</w:t>
      </w:r>
    </w:p>
    <w:p w14:paraId="57228999">
      <w:pPr>
        <w:widowControl/>
        <w:spacing w:before="100" w:beforeAutospacing="1" w:after="100" w:afterAutospacing="1" w:line="500" w:lineRule="atLeast"/>
        <w:jc w:val="center"/>
        <w:rPr>
          <w:rFonts w:ascii="宋体" w:hAnsi="宋体" w:cs="宋体"/>
          <w:color w:val="auto"/>
          <w:kern w:val="0"/>
          <w:sz w:val="32"/>
          <w:szCs w:val="32"/>
          <w:highlight w:val="none"/>
        </w:rPr>
      </w:pPr>
      <w:r>
        <w:rPr>
          <w:rFonts w:hint="eastAsia" w:ascii="宋体" w:hAnsi="宋体" w:cs="宋体"/>
          <w:b/>
          <w:bCs/>
          <w:color w:val="auto"/>
          <w:kern w:val="0"/>
          <w:sz w:val="32"/>
          <w:szCs w:val="32"/>
          <w:highlight w:val="none"/>
        </w:rPr>
        <w:t>报价总表</w:t>
      </w:r>
    </w:p>
    <w:p w14:paraId="60FFD9A6">
      <w:pPr>
        <w:rPr>
          <w:rFonts w:ascii="宋体" w:hAnsi="宋体" w:cs="宋体"/>
          <w:color w:val="auto"/>
          <w:kern w:val="0"/>
          <w:sz w:val="28"/>
          <w:szCs w:val="28"/>
          <w:highlight w:val="none"/>
          <w:u w:val="single"/>
        </w:rPr>
      </w:pPr>
      <w:r>
        <w:rPr>
          <w:rFonts w:ascii="宋体" w:hAnsi="宋体" w:cs="宋体"/>
          <w:color w:val="auto"/>
          <w:kern w:val="0"/>
          <w:sz w:val="28"/>
          <w:szCs w:val="28"/>
          <w:highlight w:val="none"/>
        </w:rPr>
        <w:t>供应商全称（加盖公章）：</w:t>
      </w:r>
    </w:p>
    <w:p w14:paraId="0074AB10">
      <w:pPr>
        <w:rPr>
          <w:rFonts w:ascii="宋体" w:hAnsi="宋体" w:cs="宋体"/>
          <w:color w:val="auto"/>
          <w:kern w:val="0"/>
          <w:sz w:val="28"/>
          <w:szCs w:val="28"/>
          <w:highlight w:val="none"/>
          <w:u w:val="single"/>
        </w:rPr>
      </w:pPr>
      <w:r>
        <w:rPr>
          <w:rFonts w:ascii="宋体" w:hAnsi="宋体" w:cs="宋体"/>
          <w:color w:val="auto"/>
          <w:kern w:val="0"/>
          <w:sz w:val="28"/>
          <w:szCs w:val="28"/>
          <w:highlight w:val="none"/>
        </w:rPr>
        <w:t>项目名称：</w:t>
      </w:r>
    </w:p>
    <w:p w14:paraId="732CE7E7">
      <w:pPr>
        <w:rPr>
          <w:rFonts w:ascii="宋体" w:hAnsi="宋体" w:cs="宋体"/>
          <w:color w:val="auto"/>
          <w:kern w:val="0"/>
          <w:sz w:val="28"/>
          <w:szCs w:val="28"/>
          <w:highlight w:val="none"/>
        </w:rPr>
      </w:pPr>
      <w:r>
        <w:rPr>
          <w:rFonts w:ascii="宋体" w:hAnsi="宋体" w:cs="宋体"/>
          <w:color w:val="auto"/>
          <w:kern w:val="0"/>
          <w:sz w:val="28"/>
          <w:szCs w:val="28"/>
          <w:highlight w:val="none"/>
        </w:rPr>
        <w:t>项目编号：</w:t>
      </w:r>
    </w:p>
    <w:p w14:paraId="3ACE3D24">
      <w:pPr>
        <w:spacing w:line="560" w:lineRule="exact"/>
        <w:rPr>
          <w:rFonts w:ascii="宋体" w:hAnsi="宋体" w:cs="宋体"/>
          <w:color w:val="auto"/>
          <w:kern w:val="0"/>
          <w:sz w:val="28"/>
          <w:szCs w:val="28"/>
          <w:highlight w:val="none"/>
        </w:rPr>
      </w:pPr>
      <w:r>
        <w:rPr>
          <w:rFonts w:ascii="宋体" w:hAnsi="宋体" w:cs="宋体"/>
          <w:color w:val="auto"/>
          <w:kern w:val="0"/>
          <w:sz w:val="28"/>
          <w:szCs w:val="28"/>
          <w:highlight w:val="none"/>
        </w:rPr>
        <w:t>分包号：</w:t>
      </w:r>
    </w:p>
    <w:tbl>
      <w:tblPr>
        <w:tblStyle w:val="46"/>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27DB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711C8F6B">
            <w:pPr>
              <w:spacing w:line="560" w:lineRule="exact"/>
              <w:jc w:val="center"/>
              <w:rPr>
                <w:rFonts w:ascii="等线" w:hAnsi="等线" w:eastAsia="等线"/>
                <w:color w:val="auto"/>
                <w:highlight w:val="none"/>
              </w:rPr>
            </w:pPr>
            <w:r>
              <w:rPr>
                <w:rFonts w:hint="eastAsia" w:ascii="宋体" w:hAnsi="宋体" w:cs="宋体"/>
                <w:color w:val="auto"/>
                <w:kern w:val="0"/>
                <w:sz w:val="28"/>
                <w:szCs w:val="28"/>
                <w:highlight w:val="none"/>
              </w:rPr>
              <w:t>磋商</w:t>
            </w:r>
            <w:r>
              <w:rPr>
                <w:rFonts w:ascii="宋体" w:hAnsi="宋体" w:cs="宋体"/>
                <w:color w:val="auto"/>
                <w:kern w:val="0"/>
                <w:sz w:val="28"/>
                <w:szCs w:val="28"/>
                <w:highlight w:val="none"/>
              </w:rPr>
              <w:t>货物、服务名称</w:t>
            </w:r>
          </w:p>
        </w:tc>
        <w:tc>
          <w:tcPr>
            <w:tcW w:w="4607" w:type="dxa"/>
          </w:tcPr>
          <w:p w14:paraId="210A4EFC">
            <w:pPr>
              <w:spacing w:line="560" w:lineRule="exact"/>
              <w:jc w:val="center"/>
              <w:rPr>
                <w:rFonts w:ascii="等线" w:hAnsi="等线" w:eastAsia="等线"/>
                <w:color w:val="auto"/>
                <w:highlight w:val="none"/>
              </w:rPr>
            </w:pPr>
            <w:r>
              <w:rPr>
                <w:rFonts w:hint="eastAsia" w:ascii="宋体" w:hAnsi="宋体" w:cs="宋体"/>
                <w:color w:val="auto"/>
                <w:kern w:val="0"/>
                <w:sz w:val="28"/>
                <w:szCs w:val="28"/>
                <w:highlight w:val="none"/>
              </w:rPr>
              <w:t>磋商</w:t>
            </w:r>
            <w:r>
              <w:rPr>
                <w:rFonts w:ascii="宋体" w:hAnsi="宋体" w:cs="宋体"/>
                <w:color w:val="auto"/>
                <w:kern w:val="0"/>
                <w:sz w:val="28"/>
                <w:szCs w:val="28"/>
                <w:highlight w:val="none"/>
              </w:rPr>
              <w:t>总报价</w:t>
            </w:r>
          </w:p>
        </w:tc>
      </w:tr>
      <w:tr w14:paraId="6375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tcPr>
          <w:p w14:paraId="2A8AF817">
            <w:pPr>
              <w:spacing w:line="560" w:lineRule="exact"/>
              <w:rPr>
                <w:rFonts w:ascii="等线" w:hAnsi="等线" w:eastAsia="等线"/>
                <w:color w:val="auto"/>
                <w:highlight w:val="none"/>
              </w:rPr>
            </w:pPr>
          </w:p>
        </w:tc>
        <w:tc>
          <w:tcPr>
            <w:tcW w:w="4607" w:type="dxa"/>
          </w:tcPr>
          <w:p w14:paraId="147C29F1">
            <w:pPr>
              <w:spacing w:line="560" w:lineRule="exact"/>
              <w:rPr>
                <w:rFonts w:ascii="宋体" w:hAnsi="宋体" w:cs="宋体"/>
                <w:color w:val="auto"/>
                <w:kern w:val="0"/>
                <w:sz w:val="28"/>
                <w:szCs w:val="28"/>
                <w:highlight w:val="none"/>
              </w:rPr>
            </w:pPr>
            <w:r>
              <w:rPr>
                <w:rFonts w:ascii="宋体" w:hAnsi="宋体" w:cs="宋体"/>
                <w:color w:val="auto"/>
                <w:kern w:val="0"/>
                <w:sz w:val="28"/>
                <w:szCs w:val="28"/>
                <w:highlight w:val="none"/>
              </w:rPr>
              <w:t>大写：</w:t>
            </w:r>
          </w:p>
          <w:p w14:paraId="0E0A6F75">
            <w:pPr>
              <w:spacing w:line="560" w:lineRule="exact"/>
              <w:rPr>
                <w:rFonts w:ascii="等线" w:hAnsi="等线" w:eastAsia="等线"/>
                <w:color w:val="auto"/>
                <w:highlight w:val="none"/>
                <w:u w:val="single"/>
              </w:rPr>
            </w:pPr>
            <w:r>
              <w:rPr>
                <w:rFonts w:ascii="宋体" w:hAnsi="宋体" w:cs="宋体"/>
                <w:color w:val="auto"/>
                <w:kern w:val="0"/>
                <w:sz w:val="28"/>
                <w:szCs w:val="28"/>
                <w:highlight w:val="none"/>
              </w:rPr>
              <w:t>小写：</w:t>
            </w:r>
            <w:r>
              <w:rPr>
                <w:rFonts w:hint="eastAsia" w:ascii="宋体" w:hAnsi="宋体" w:cs="宋体"/>
                <w:color w:val="auto"/>
                <w:kern w:val="0"/>
                <w:sz w:val="28"/>
                <w:szCs w:val="28"/>
                <w:highlight w:val="none"/>
              </w:rPr>
              <w:t xml:space="preserve">          </w:t>
            </w:r>
            <w:r>
              <w:rPr>
                <w:rFonts w:ascii="宋体" w:hAnsi="宋体" w:cs="宋体"/>
                <w:color w:val="auto"/>
                <w:kern w:val="0"/>
                <w:sz w:val="28"/>
                <w:szCs w:val="28"/>
                <w:highlight w:val="none"/>
              </w:rPr>
              <w:t>元（人民币）</w:t>
            </w:r>
          </w:p>
        </w:tc>
      </w:tr>
      <w:tr w14:paraId="4BAC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6F48ECBE">
            <w:pPr>
              <w:spacing w:line="560" w:lineRule="exact"/>
              <w:rPr>
                <w:rFonts w:ascii="等线" w:hAnsi="等线" w:eastAsia="等线"/>
                <w:color w:val="auto"/>
                <w:highlight w:val="none"/>
              </w:rPr>
            </w:pPr>
            <w:r>
              <w:rPr>
                <w:rFonts w:ascii="宋体" w:hAnsi="宋体" w:cs="宋体"/>
                <w:color w:val="auto"/>
                <w:kern w:val="0"/>
                <w:sz w:val="28"/>
                <w:szCs w:val="28"/>
                <w:highlight w:val="none"/>
              </w:rPr>
              <w:t>主要货物、服务制造商及产地</w:t>
            </w:r>
          </w:p>
        </w:tc>
        <w:tc>
          <w:tcPr>
            <w:tcW w:w="4607" w:type="dxa"/>
          </w:tcPr>
          <w:p w14:paraId="4714118F">
            <w:pPr>
              <w:spacing w:line="560" w:lineRule="exact"/>
              <w:rPr>
                <w:rFonts w:ascii="等线" w:hAnsi="等线" w:eastAsia="等线"/>
                <w:color w:val="auto"/>
                <w:highlight w:val="none"/>
              </w:rPr>
            </w:pPr>
          </w:p>
        </w:tc>
      </w:tr>
      <w:tr w14:paraId="0CEE2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tcPr>
          <w:p w14:paraId="2B96690B">
            <w:pPr>
              <w:spacing w:line="560" w:lineRule="exact"/>
              <w:rPr>
                <w:rFonts w:ascii="等线" w:hAnsi="等线" w:eastAsia="等线"/>
                <w:color w:val="auto"/>
                <w:highlight w:val="none"/>
              </w:rPr>
            </w:pPr>
            <w:r>
              <w:rPr>
                <w:rFonts w:hint="eastAsia" w:ascii="宋体" w:hAnsi="宋体" w:cs="宋体"/>
                <w:color w:val="auto"/>
                <w:kern w:val="0"/>
                <w:sz w:val="28"/>
                <w:szCs w:val="28"/>
                <w:highlight w:val="none"/>
              </w:rPr>
              <w:t>核心产品品牌（如有）</w:t>
            </w:r>
          </w:p>
        </w:tc>
        <w:tc>
          <w:tcPr>
            <w:tcW w:w="4607" w:type="dxa"/>
          </w:tcPr>
          <w:p w14:paraId="367ECFEC">
            <w:pPr>
              <w:spacing w:line="560" w:lineRule="exact"/>
              <w:rPr>
                <w:rFonts w:ascii="等线" w:hAnsi="等线" w:eastAsia="等线"/>
                <w:color w:val="auto"/>
                <w:highlight w:val="none"/>
              </w:rPr>
            </w:pPr>
          </w:p>
        </w:tc>
      </w:tr>
    </w:tbl>
    <w:p w14:paraId="74F53170">
      <w:pPr>
        <w:spacing w:line="560" w:lineRule="exact"/>
        <w:rPr>
          <w:rFonts w:ascii="宋体" w:hAnsi="宋体" w:cs="宋体"/>
          <w:color w:val="auto"/>
          <w:kern w:val="0"/>
          <w:sz w:val="28"/>
          <w:szCs w:val="28"/>
          <w:highlight w:val="none"/>
        </w:rPr>
      </w:pPr>
      <w:r>
        <w:rPr>
          <w:rFonts w:ascii="宋体" w:hAnsi="宋体" w:cs="宋体"/>
          <w:color w:val="auto"/>
          <w:kern w:val="0"/>
          <w:sz w:val="28"/>
          <w:szCs w:val="28"/>
          <w:highlight w:val="none"/>
        </w:rPr>
        <w:t>日期：</w:t>
      </w:r>
    </w:p>
    <w:p w14:paraId="2D9552BB">
      <w:pPr>
        <w:spacing w:line="520" w:lineRule="exact"/>
        <w:rPr>
          <w:rFonts w:ascii="宋体" w:hAnsi="宋体" w:cs="宋体"/>
          <w:color w:val="auto"/>
          <w:kern w:val="0"/>
          <w:sz w:val="24"/>
          <w:szCs w:val="24"/>
          <w:highlight w:val="none"/>
        </w:rPr>
      </w:pPr>
      <w:r>
        <w:rPr>
          <w:rFonts w:ascii="宋体" w:hAnsi="宋体" w:cs="宋体"/>
          <w:color w:val="auto"/>
          <w:kern w:val="0"/>
          <w:sz w:val="24"/>
          <w:szCs w:val="24"/>
          <w:highlight w:val="none"/>
        </w:rPr>
        <w:t>填写说明：</w:t>
      </w:r>
    </w:p>
    <w:p w14:paraId="5BC27684">
      <w:pPr>
        <w:spacing w:line="520" w:lineRule="exact"/>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报价总表</w:t>
      </w:r>
      <w:r>
        <w:rPr>
          <w:rFonts w:ascii="宋体" w:hAnsi="宋体" w:cs="宋体"/>
          <w:color w:val="auto"/>
          <w:kern w:val="0"/>
          <w:sz w:val="24"/>
          <w:szCs w:val="24"/>
          <w:highlight w:val="none"/>
        </w:rPr>
        <w:t>必须加盖</w:t>
      </w:r>
      <w:r>
        <w:rPr>
          <w:rFonts w:hint="eastAsia" w:ascii="宋体" w:hAnsi="宋体" w:cs="宋体"/>
          <w:color w:val="auto"/>
          <w:kern w:val="0"/>
          <w:sz w:val="24"/>
          <w:szCs w:val="24"/>
          <w:highlight w:val="none"/>
        </w:rPr>
        <w:t>供应商</w:t>
      </w:r>
      <w:r>
        <w:rPr>
          <w:rFonts w:ascii="宋体" w:hAnsi="宋体" w:cs="宋体"/>
          <w:color w:val="auto"/>
          <w:kern w:val="0"/>
          <w:sz w:val="24"/>
          <w:szCs w:val="24"/>
          <w:highlight w:val="none"/>
        </w:rPr>
        <w:t>公章（复印件无效）。</w:t>
      </w:r>
    </w:p>
    <w:p w14:paraId="68157219">
      <w:pPr>
        <w:snapToGrid w:val="0"/>
        <w:spacing w:line="400" w:lineRule="exact"/>
        <w:contextualSpacing/>
        <w:rPr>
          <w:rFonts w:ascii="宋体" w:hAnsi="宋体"/>
          <w:bCs/>
          <w:color w:val="auto"/>
          <w:sz w:val="24"/>
          <w:szCs w:val="21"/>
          <w:highlight w:val="none"/>
        </w:rPr>
      </w:pPr>
    </w:p>
    <w:p w14:paraId="6A7CF031">
      <w:pPr>
        <w:snapToGrid w:val="0"/>
        <w:spacing w:line="400" w:lineRule="exact"/>
        <w:contextualSpacing/>
        <w:rPr>
          <w:rFonts w:ascii="宋体" w:hAnsi="宋体"/>
          <w:bCs/>
          <w:color w:val="auto"/>
          <w:sz w:val="24"/>
          <w:szCs w:val="21"/>
          <w:highlight w:val="none"/>
        </w:rPr>
      </w:pPr>
    </w:p>
    <w:p w14:paraId="49CC3B68">
      <w:pPr>
        <w:snapToGrid w:val="0"/>
        <w:spacing w:line="400" w:lineRule="exact"/>
        <w:contextualSpacing/>
        <w:rPr>
          <w:rFonts w:ascii="宋体" w:hAnsi="宋体"/>
          <w:bCs/>
          <w:color w:val="auto"/>
          <w:sz w:val="24"/>
          <w:szCs w:val="21"/>
          <w:highlight w:val="none"/>
        </w:rPr>
      </w:pPr>
    </w:p>
    <w:p w14:paraId="7854886F">
      <w:pPr>
        <w:snapToGrid w:val="0"/>
        <w:spacing w:line="400" w:lineRule="exact"/>
        <w:contextualSpacing/>
        <w:rPr>
          <w:rFonts w:eastAsia="方正黑体_GBK"/>
          <w:color w:val="auto"/>
          <w:kern w:val="0"/>
          <w:sz w:val="32"/>
          <w:szCs w:val="32"/>
          <w:highlight w:val="none"/>
        </w:rPr>
      </w:pPr>
    </w:p>
    <w:p w14:paraId="46AB6F72">
      <w:pPr>
        <w:snapToGrid w:val="0"/>
        <w:spacing w:line="400" w:lineRule="exact"/>
        <w:contextualSpacing/>
        <w:rPr>
          <w:rFonts w:eastAsia="方正黑体_GBK"/>
          <w:color w:val="auto"/>
          <w:kern w:val="0"/>
          <w:sz w:val="32"/>
          <w:szCs w:val="32"/>
          <w:highlight w:val="none"/>
        </w:rPr>
      </w:pPr>
    </w:p>
    <w:p w14:paraId="7F1A6C3A">
      <w:pPr>
        <w:snapToGrid w:val="0"/>
        <w:spacing w:line="400" w:lineRule="exact"/>
        <w:contextualSpacing/>
        <w:rPr>
          <w:rFonts w:eastAsia="方正黑体_GBK"/>
          <w:color w:val="auto"/>
          <w:kern w:val="0"/>
          <w:sz w:val="32"/>
          <w:szCs w:val="32"/>
          <w:highlight w:val="none"/>
        </w:rPr>
      </w:pPr>
    </w:p>
    <w:p w14:paraId="4AD07652">
      <w:pPr>
        <w:snapToGrid w:val="0"/>
        <w:spacing w:line="400" w:lineRule="exact"/>
        <w:contextualSpacing/>
        <w:rPr>
          <w:rFonts w:eastAsia="方正黑体_GBK"/>
          <w:color w:val="auto"/>
          <w:kern w:val="0"/>
          <w:sz w:val="32"/>
          <w:szCs w:val="32"/>
          <w:highlight w:val="none"/>
        </w:rPr>
      </w:pPr>
    </w:p>
    <w:p w14:paraId="151E1C6C">
      <w:pPr>
        <w:snapToGrid w:val="0"/>
        <w:spacing w:line="400" w:lineRule="exact"/>
        <w:contextualSpacing/>
        <w:rPr>
          <w:rFonts w:eastAsia="方正黑体_GBK"/>
          <w:color w:val="auto"/>
          <w:kern w:val="0"/>
          <w:sz w:val="32"/>
          <w:szCs w:val="32"/>
          <w:highlight w:val="none"/>
        </w:rPr>
      </w:pPr>
    </w:p>
    <w:p w14:paraId="7EDAC012">
      <w:pPr>
        <w:snapToGrid w:val="0"/>
        <w:spacing w:line="400" w:lineRule="exact"/>
        <w:contextualSpacing/>
        <w:rPr>
          <w:rFonts w:eastAsia="方正黑体_GBK"/>
          <w:color w:val="auto"/>
          <w:kern w:val="0"/>
          <w:sz w:val="32"/>
          <w:szCs w:val="32"/>
          <w:highlight w:val="none"/>
        </w:rPr>
      </w:pPr>
    </w:p>
    <w:p w14:paraId="159632A1">
      <w:pPr>
        <w:snapToGrid w:val="0"/>
        <w:spacing w:line="400" w:lineRule="exact"/>
        <w:contextualSpacing/>
        <w:rPr>
          <w:rFonts w:eastAsia="方正黑体_GBK"/>
          <w:color w:val="auto"/>
          <w:kern w:val="0"/>
          <w:sz w:val="32"/>
          <w:szCs w:val="32"/>
          <w:highlight w:val="none"/>
        </w:rPr>
      </w:pPr>
    </w:p>
    <w:p w14:paraId="7E2BCF41">
      <w:pPr>
        <w:snapToGrid w:val="0"/>
        <w:spacing w:line="400" w:lineRule="exact"/>
        <w:contextualSpacing/>
        <w:rPr>
          <w:rFonts w:eastAsia="方正黑体_GBK"/>
          <w:color w:val="auto"/>
          <w:kern w:val="0"/>
          <w:sz w:val="32"/>
          <w:szCs w:val="32"/>
          <w:highlight w:val="none"/>
        </w:rPr>
      </w:pPr>
    </w:p>
    <w:p w14:paraId="0E9617EE">
      <w:pPr>
        <w:snapToGrid w:val="0"/>
        <w:spacing w:line="400" w:lineRule="exact"/>
        <w:contextualSpacing/>
        <w:rPr>
          <w:rFonts w:eastAsia="方正黑体_GBK"/>
          <w:color w:val="auto"/>
          <w:kern w:val="0"/>
          <w:sz w:val="32"/>
          <w:szCs w:val="32"/>
          <w:highlight w:val="none"/>
        </w:rPr>
      </w:pPr>
    </w:p>
    <w:p w14:paraId="5E87B4BA">
      <w:pPr>
        <w:snapToGrid w:val="0"/>
        <w:spacing w:line="400" w:lineRule="exact"/>
        <w:contextualSpacing/>
        <w:rPr>
          <w:rFonts w:eastAsia="方正黑体_GBK"/>
          <w:color w:val="auto"/>
          <w:kern w:val="0"/>
          <w:sz w:val="32"/>
          <w:szCs w:val="32"/>
          <w:highlight w:val="none"/>
        </w:rPr>
      </w:pPr>
    </w:p>
    <w:p w14:paraId="2E25417C">
      <w:pPr>
        <w:snapToGrid w:val="0"/>
        <w:spacing w:line="400" w:lineRule="exact"/>
        <w:contextualSpacing/>
        <w:rPr>
          <w:rFonts w:eastAsia="方正黑体_GBK"/>
          <w:color w:val="auto"/>
          <w:kern w:val="0"/>
          <w:sz w:val="32"/>
          <w:szCs w:val="32"/>
          <w:highlight w:val="none"/>
        </w:rPr>
      </w:pPr>
    </w:p>
    <w:p w14:paraId="357FDA23">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w:t>
      </w:r>
      <w:r>
        <w:rPr>
          <w:rFonts w:hint="eastAsia" w:eastAsia="方正黑体_GBK"/>
          <w:color w:val="auto"/>
          <w:kern w:val="0"/>
          <w:sz w:val="32"/>
          <w:szCs w:val="32"/>
          <w:highlight w:val="none"/>
        </w:rPr>
        <w:t>9</w:t>
      </w:r>
    </w:p>
    <w:p w14:paraId="002EB13B">
      <w:pPr>
        <w:snapToGrid w:val="0"/>
        <w:spacing w:line="400" w:lineRule="exact"/>
        <w:contextualSpacing/>
        <w:rPr>
          <w:rFonts w:ascii="宋体" w:hAnsi="宋体" w:cs="宋体"/>
          <w:color w:val="auto"/>
          <w:kern w:val="0"/>
          <w:sz w:val="28"/>
          <w:szCs w:val="28"/>
          <w:highlight w:val="none"/>
        </w:rPr>
      </w:pPr>
    </w:p>
    <w:p w14:paraId="27D47C0D">
      <w:pPr>
        <w:spacing w:line="400" w:lineRule="exact"/>
        <w:jc w:val="center"/>
        <w:rPr>
          <w:b/>
          <w:bCs/>
          <w:color w:val="auto"/>
          <w:sz w:val="32"/>
          <w:szCs w:val="32"/>
          <w:highlight w:val="none"/>
        </w:rPr>
      </w:pPr>
      <w:r>
        <w:rPr>
          <w:rFonts w:hint="eastAsia"/>
          <w:b/>
          <w:bCs/>
          <w:color w:val="auto"/>
          <w:sz w:val="32"/>
          <w:szCs w:val="32"/>
          <w:highlight w:val="none"/>
        </w:rPr>
        <w:t>分项报价明细表（服务类）</w:t>
      </w:r>
    </w:p>
    <w:p w14:paraId="4F2CFDE1">
      <w:pPr>
        <w:snapToGrid w:val="0"/>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供应商（盖章）：</w:t>
      </w:r>
    </w:p>
    <w:tbl>
      <w:tblPr>
        <w:tblStyle w:val="4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4B9FC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634278C9">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1321" w:type="dxa"/>
            <w:vAlign w:val="center"/>
          </w:tcPr>
          <w:p w14:paraId="63394564">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名称</w:t>
            </w:r>
          </w:p>
        </w:tc>
        <w:tc>
          <w:tcPr>
            <w:tcW w:w="1417" w:type="dxa"/>
            <w:vAlign w:val="center"/>
          </w:tcPr>
          <w:p w14:paraId="33B31AE1">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服务范围</w:t>
            </w:r>
          </w:p>
        </w:tc>
        <w:tc>
          <w:tcPr>
            <w:tcW w:w="1418" w:type="dxa"/>
            <w:vAlign w:val="center"/>
          </w:tcPr>
          <w:p w14:paraId="6EF5DE29">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服务要求</w:t>
            </w:r>
          </w:p>
        </w:tc>
        <w:tc>
          <w:tcPr>
            <w:tcW w:w="1275" w:type="dxa"/>
            <w:vAlign w:val="center"/>
          </w:tcPr>
          <w:p w14:paraId="2E19F45D">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服务时间</w:t>
            </w:r>
          </w:p>
        </w:tc>
        <w:tc>
          <w:tcPr>
            <w:tcW w:w="1276" w:type="dxa"/>
            <w:vAlign w:val="center"/>
          </w:tcPr>
          <w:p w14:paraId="2DE73345">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服务标准</w:t>
            </w:r>
          </w:p>
        </w:tc>
        <w:tc>
          <w:tcPr>
            <w:tcW w:w="851" w:type="dxa"/>
            <w:vAlign w:val="center"/>
          </w:tcPr>
          <w:p w14:paraId="6D620C17">
            <w:pPr>
              <w:snapToGrid w:val="0"/>
              <w:spacing w:line="360" w:lineRule="auto"/>
              <w:jc w:val="center"/>
              <w:rPr>
                <w:rFonts w:ascii="宋体" w:hAnsi="宋体"/>
                <w:b/>
                <w:color w:val="auto"/>
                <w:szCs w:val="21"/>
                <w:highlight w:val="none"/>
              </w:rPr>
            </w:pPr>
            <w:r>
              <w:rPr>
                <w:rFonts w:hint="eastAsia" w:ascii="宋体" w:hAnsi="宋体"/>
                <w:b/>
                <w:color w:val="auto"/>
                <w:szCs w:val="21"/>
                <w:highlight w:val="none"/>
              </w:rPr>
              <w:t>金额</w:t>
            </w:r>
          </w:p>
        </w:tc>
        <w:tc>
          <w:tcPr>
            <w:tcW w:w="1151" w:type="dxa"/>
            <w:vAlign w:val="center"/>
          </w:tcPr>
          <w:p w14:paraId="24D5998F">
            <w:pPr>
              <w:snapToGrid w:val="0"/>
              <w:spacing w:line="360" w:lineRule="auto"/>
              <w:ind w:firstLine="105" w:firstLineChars="50"/>
              <w:jc w:val="center"/>
              <w:rPr>
                <w:rFonts w:ascii="宋体" w:hAnsi="宋体"/>
                <w:b/>
                <w:color w:val="auto"/>
                <w:szCs w:val="21"/>
                <w:highlight w:val="none"/>
              </w:rPr>
            </w:pPr>
            <w:r>
              <w:rPr>
                <w:rFonts w:hint="eastAsia" w:ascii="宋体" w:hAnsi="宋体"/>
                <w:b/>
                <w:color w:val="auto"/>
                <w:szCs w:val="21"/>
                <w:highlight w:val="none"/>
              </w:rPr>
              <w:t>备注</w:t>
            </w:r>
          </w:p>
        </w:tc>
      </w:tr>
      <w:tr w14:paraId="0F03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7F45417F">
            <w:pPr>
              <w:snapToGrid w:val="0"/>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1321" w:type="dxa"/>
            <w:vAlign w:val="center"/>
          </w:tcPr>
          <w:p w14:paraId="407EEA75">
            <w:pPr>
              <w:snapToGrid w:val="0"/>
              <w:spacing w:line="360" w:lineRule="auto"/>
              <w:jc w:val="center"/>
              <w:rPr>
                <w:rFonts w:ascii="仿宋_GB2312" w:hAnsi="宋体" w:eastAsia="仿宋_GB2312"/>
                <w:color w:val="auto"/>
                <w:sz w:val="24"/>
                <w:szCs w:val="24"/>
                <w:highlight w:val="none"/>
              </w:rPr>
            </w:pPr>
          </w:p>
        </w:tc>
        <w:tc>
          <w:tcPr>
            <w:tcW w:w="1417" w:type="dxa"/>
            <w:vAlign w:val="center"/>
          </w:tcPr>
          <w:p w14:paraId="4752C5CE">
            <w:pPr>
              <w:snapToGrid w:val="0"/>
              <w:spacing w:line="360" w:lineRule="auto"/>
              <w:jc w:val="center"/>
              <w:rPr>
                <w:rFonts w:ascii="仿宋_GB2312" w:hAnsi="宋体" w:eastAsia="仿宋_GB2312"/>
                <w:color w:val="auto"/>
                <w:sz w:val="24"/>
                <w:szCs w:val="24"/>
                <w:highlight w:val="none"/>
              </w:rPr>
            </w:pPr>
          </w:p>
        </w:tc>
        <w:tc>
          <w:tcPr>
            <w:tcW w:w="1418" w:type="dxa"/>
            <w:vAlign w:val="center"/>
          </w:tcPr>
          <w:p w14:paraId="1226BD71">
            <w:pPr>
              <w:snapToGrid w:val="0"/>
              <w:spacing w:line="360" w:lineRule="auto"/>
              <w:jc w:val="center"/>
              <w:rPr>
                <w:rFonts w:ascii="仿宋_GB2312" w:hAnsi="宋体" w:eastAsia="仿宋_GB2312"/>
                <w:color w:val="auto"/>
                <w:sz w:val="24"/>
                <w:szCs w:val="24"/>
                <w:highlight w:val="none"/>
              </w:rPr>
            </w:pPr>
          </w:p>
        </w:tc>
        <w:tc>
          <w:tcPr>
            <w:tcW w:w="1275" w:type="dxa"/>
            <w:vAlign w:val="center"/>
          </w:tcPr>
          <w:p w14:paraId="3D9EC6B5">
            <w:pPr>
              <w:snapToGrid w:val="0"/>
              <w:spacing w:line="360" w:lineRule="auto"/>
              <w:jc w:val="center"/>
              <w:rPr>
                <w:rFonts w:ascii="仿宋_GB2312" w:hAnsi="宋体" w:eastAsia="仿宋_GB2312"/>
                <w:color w:val="auto"/>
                <w:sz w:val="24"/>
                <w:szCs w:val="24"/>
                <w:highlight w:val="none"/>
              </w:rPr>
            </w:pPr>
          </w:p>
        </w:tc>
        <w:tc>
          <w:tcPr>
            <w:tcW w:w="1276" w:type="dxa"/>
            <w:vAlign w:val="center"/>
          </w:tcPr>
          <w:p w14:paraId="5296AD11">
            <w:pPr>
              <w:snapToGrid w:val="0"/>
              <w:spacing w:line="360" w:lineRule="auto"/>
              <w:jc w:val="center"/>
              <w:rPr>
                <w:rFonts w:ascii="仿宋_GB2312" w:hAnsi="宋体" w:eastAsia="仿宋_GB2312"/>
                <w:color w:val="auto"/>
                <w:sz w:val="24"/>
                <w:szCs w:val="24"/>
                <w:highlight w:val="none"/>
              </w:rPr>
            </w:pPr>
          </w:p>
        </w:tc>
        <w:tc>
          <w:tcPr>
            <w:tcW w:w="851" w:type="dxa"/>
            <w:vAlign w:val="center"/>
          </w:tcPr>
          <w:p w14:paraId="04B49508">
            <w:pPr>
              <w:snapToGrid w:val="0"/>
              <w:spacing w:line="360" w:lineRule="auto"/>
              <w:jc w:val="center"/>
              <w:rPr>
                <w:rFonts w:ascii="仿宋_GB2312" w:hAnsi="宋体" w:eastAsia="仿宋_GB2312"/>
                <w:color w:val="auto"/>
                <w:sz w:val="24"/>
                <w:szCs w:val="24"/>
                <w:highlight w:val="none"/>
              </w:rPr>
            </w:pPr>
          </w:p>
        </w:tc>
        <w:tc>
          <w:tcPr>
            <w:tcW w:w="1151" w:type="dxa"/>
            <w:vAlign w:val="center"/>
          </w:tcPr>
          <w:p w14:paraId="1F22DE29">
            <w:pPr>
              <w:snapToGrid w:val="0"/>
              <w:spacing w:line="360" w:lineRule="auto"/>
              <w:jc w:val="center"/>
              <w:rPr>
                <w:rFonts w:ascii="仿宋_GB2312" w:hAnsi="宋体" w:eastAsia="仿宋_GB2312"/>
                <w:color w:val="auto"/>
                <w:sz w:val="24"/>
                <w:szCs w:val="24"/>
                <w:highlight w:val="none"/>
              </w:rPr>
            </w:pPr>
          </w:p>
        </w:tc>
      </w:tr>
      <w:tr w14:paraId="4F5C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695673A4">
            <w:pPr>
              <w:snapToGrid w:val="0"/>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1321" w:type="dxa"/>
            <w:vAlign w:val="center"/>
          </w:tcPr>
          <w:p w14:paraId="50211595">
            <w:pPr>
              <w:snapToGrid w:val="0"/>
              <w:spacing w:line="360" w:lineRule="auto"/>
              <w:jc w:val="center"/>
              <w:rPr>
                <w:rFonts w:ascii="仿宋_GB2312" w:hAnsi="宋体" w:eastAsia="仿宋_GB2312"/>
                <w:color w:val="auto"/>
                <w:sz w:val="24"/>
                <w:szCs w:val="24"/>
                <w:highlight w:val="none"/>
              </w:rPr>
            </w:pPr>
          </w:p>
        </w:tc>
        <w:tc>
          <w:tcPr>
            <w:tcW w:w="1417" w:type="dxa"/>
            <w:vAlign w:val="center"/>
          </w:tcPr>
          <w:p w14:paraId="4E5FDCDF">
            <w:pPr>
              <w:snapToGrid w:val="0"/>
              <w:spacing w:line="360" w:lineRule="auto"/>
              <w:jc w:val="center"/>
              <w:rPr>
                <w:rFonts w:ascii="仿宋_GB2312" w:hAnsi="宋体" w:eastAsia="仿宋_GB2312"/>
                <w:color w:val="auto"/>
                <w:sz w:val="24"/>
                <w:szCs w:val="24"/>
                <w:highlight w:val="none"/>
              </w:rPr>
            </w:pPr>
          </w:p>
        </w:tc>
        <w:tc>
          <w:tcPr>
            <w:tcW w:w="1418" w:type="dxa"/>
            <w:vAlign w:val="center"/>
          </w:tcPr>
          <w:p w14:paraId="26277E5E">
            <w:pPr>
              <w:snapToGrid w:val="0"/>
              <w:spacing w:line="360" w:lineRule="auto"/>
              <w:jc w:val="center"/>
              <w:rPr>
                <w:rFonts w:ascii="仿宋_GB2312" w:hAnsi="宋体" w:eastAsia="仿宋_GB2312"/>
                <w:color w:val="auto"/>
                <w:sz w:val="24"/>
                <w:szCs w:val="24"/>
                <w:highlight w:val="none"/>
              </w:rPr>
            </w:pPr>
          </w:p>
        </w:tc>
        <w:tc>
          <w:tcPr>
            <w:tcW w:w="1275" w:type="dxa"/>
            <w:vAlign w:val="center"/>
          </w:tcPr>
          <w:p w14:paraId="6BE09A0B">
            <w:pPr>
              <w:snapToGrid w:val="0"/>
              <w:spacing w:line="360" w:lineRule="auto"/>
              <w:jc w:val="center"/>
              <w:rPr>
                <w:rFonts w:ascii="仿宋_GB2312" w:hAnsi="宋体" w:eastAsia="仿宋_GB2312"/>
                <w:color w:val="auto"/>
                <w:sz w:val="24"/>
                <w:szCs w:val="24"/>
                <w:highlight w:val="none"/>
              </w:rPr>
            </w:pPr>
          </w:p>
        </w:tc>
        <w:tc>
          <w:tcPr>
            <w:tcW w:w="1276" w:type="dxa"/>
            <w:vAlign w:val="center"/>
          </w:tcPr>
          <w:p w14:paraId="0D518945">
            <w:pPr>
              <w:snapToGrid w:val="0"/>
              <w:spacing w:line="360" w:lineRule="auto"/>
              <w:jc w:val="center"/>
              <w:rPr>
                <w:rFonts w:ascii="仿宋_GB2312" w:hAnsi="宋体" w:eastAsia="仿宋_GB2312"/>
                <w:color w:val="auto"/>
                <w:sz w:val="24"/>
                <w:szCs w:val="24"/>
                <w:highlight w:val="none"/>
              </w:rPr>
            </w:pPr>
          </w:p>
        </w:tc>
        <w:tc>
          <w:tcPr>
            <w:tcW w:w="851" w:type="dxa"/>
            <w:vAlign w:val="center"/>
          </w:tcPr>
          <w:p w14:paraId="51C7B396">
            <w:pPr>
              <w:snapToGrid w:val="0"/>
              <w:spacing w:line="360" w:lineRule="auto"/>
              <w:jc w:val="center"/>
              <w:rPr>
                <w:rFonts w:ascii="仿宋_GB2312" w:hAnsi="宋体" w:eastAsia="仿宋_GB2312"/>
                <w:color w:val="auto"/>
                <w:sz w:val="24"/>
                <w:szCs w:val="24"/>
                <w:highlight w:val="none"/>
              </w:rPr>
            </w:pPr>
          </w:p>
        </w:tc>
        <w:tc>
          <w:tcPr>
            <w:tcW w:w="1151" w:type="dxa"/>
            <w:vAlign w:val="center"/>
          </w:tcPr>
          <w:p w14:paraId="5721BC57">
            <w:pPr>
              <w:snapToGrid w:val="0"/>
              <w:spacing w:line="360" w:lineRule="auto"/>
              <w:jc w:val="center"/>
              <w:rPr>
                <w:rFonts w:ascii="仿宋_GB2312" w:hAnsi="宋体" w:eastAsia="仿宋_GB2312"/>
                <w:color w:val="auto"/>
                <w:sz w:val="24"/>
                <w:szCs w:val="24"/>
                <w:highlight w:val="none"/>
              </w:rPr>
            </w:pPr>
          </w:p>
        </w:tc>
      </w:tr>
      <w:tr w14:paraId="4056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5123651E">
            <w:pPr>
              <w:snapToGrid w:val="0"/>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1321" w:type="dxa"/>
            <w:vAlign w:val="center"/>
          </w:tcPr>
          <w:p w14:paraId="05388F67">
            <w:pPr>
              <w:snapToGrid w:val="0"/>
              <w:spacing w:line="360" w:lineRule="auto"/>
              <w:jc w:val="center"/>
              <w:rPr>
                <w:rFonts w:ascii="仿宋_GB2312" w:hAnsi="宋体" w:eastAsia="仿宋_GB2312"/>
                <w:color w:val="auto"/>
                <w:sz w:val="24"/>
                <w:szCs w:val="24"/>
                <w:highlight w:val="none"/>
              </w:rPr>
            </w:pPr>
          </w:p>
        </w:tc>
        <w:tc>
          <w:tcPr>
            <w:tcW w:w="1417" w:type="dxa"/>
            <w:vAlign w:val="center"/>
          </w:tcPr>
          <w:p w14:paraId="20D1A1B6">
            <w:pPr>
              <w:snapToGrid w:val="0"/>
              <w:spacing w:line="360" w:lineRule="auto"/>
              <w:jc w:val="center"/>
              <w:rPr>
                <w:rFonts w:ascii="仿宋_GB2312" w:hAnsi="宋体" w:eastAsia="仿宋_GB2312"/>
                <w:color w:val="auto"/>
                <w:sz w:val="24"/>
                <w:szCs w:val="24"/>
                <w:highlight w:val="none"/>
              </w:rPr>
            </w:pPr>
          </w:p>
        </w:tc>
        <w:tc>
          <w:tcPr>
            <w:tcW w:w="1418" w:type="dxa"/>
            <w:vAlign w:val="center"/>
          </w:tcPr>
          <w:p w14:paraId="52EFD36B">
            <w:pPr>
              <w:snapToGrid w:val="0"/>
              <w:spacing w:line="360" w:lineRule="auto"/>
              <w:jc w:val="center"/>
              <w:rPr>
                <w:rFonts w:ascii="仿宋_GB2312" w:hAnsi="宋体" w:eastAsia="仿宋_GB2312"/>
                <w:color w:val="auto"/>
                <w:sz w:val="24"/>
                <w:szCs w:val="24"/>
                <w:highlight w:val="none"/>
              </w:rPr>
            </w:pPr>
          </w:p>
        </w:tc>
        <w:tc>
          <w:tcPr>
            <w:tcW w:w="1275" w:type="dxa"/>
            <w:vAlign w:val="center"/>
          </w:tcPr>
          <w:p w14:paraId="49FC9FB5">
            <w:pPr>
              <w:snapToGrid w:val="0"/>
              <w:spacing w:line="360" w:lineRule="auto"/>
              <w:jc w:val="center"/>
              <w:rPr>
                <w:rFonts w:ascii="仿宋_GB2312" w:hAnsi="宋体" w:eastAsia="仿宋_GB2312"/>
                <w:color w:val="auto"/>
                <w:sz w:val="24"/>
                <w:szCs w:val="24"/>
                <w:highlight w:val="none"/>
              </w:rPr>
            </w:pPr>
          </w:p>
        </w:tc>
        <w:tc>
          <w:tcPr>
            <w:tcW w:w="1276" w:type="dxa"/>
            <w:vAlign w:val="center"/>
          </w:tcPr>
          <w:p w14:paraId="2A8EA3BD">
            <w:pPr>
              <w:snapToGrid w:val="0"/>
              <w:spacing w:line="360" w:lineRule="auto"/>
              <w:jc w:val="center"/>
              <w:rPr>
                <w:rFonts w:ascii="仿宋_GB2312" w:hAnsi="宋体" w:eastAsia="仿宋_GB2312"/>
                <w:color w:val="auto"/>
                <w:sz w:val="24"/>
                <w:szCs w:val="24"/>
                <w:highlight w:val="none"/>
              </w:rPr>
            </w:pPr>
          </w:p>
        </w:tc>
        <w:tc>
          <w:tcPr>
            <w:tcW w:w="851" w:type="dxa"/>
            <w:vAlign w:val="center"/>
          </w:tcPr>
          <w:p w14:paraId="7343CB49">
            <w:pPr>
              <w:snapToGrid w:val="0"/>
              <w:spacing w:line="360" w:lineRule="auto"/>
              <w:jc w:val="center"/>
              <w:rPr>
                <w:rFonts w:ascii="仿宋_GB2312" w:hAnsi="宋体" w:eastAsia="仿宋_GB2312"/>
                <w:color w:val="auto"/>
                <w:sz w:val="24"/>
                <w:szCs w:val="24"/>
                <w:highlight w:val="none"/>
              </w:rPr>
            </w:pPr>
          </w:p>
        </w:tc>
        <w:tc>
          <w:tcPr>
            <w:tcW w:w="1151" w:type="dxa"/>
            <w:vAlign w:val="center"/>
          </w:tcPr>
          <w:p w14:paraId="2C5C1191">
            <w:pPr>
              <w:snapToGrid w:val="0"/>
              <w:spacing w:line="360" w:lineRule="auto"/>
              <w:jc w:val="center"/>
              <w:rPr>
                <w:rFonts w:ascii="仿宋_GB2312" w:hAnsi="宋体" w:eastAsia="仿宋_GB2312"/>
                <w:color w:val="auto"/>
                <w:sz w:val="24"/>
                <w:szCs w:val="24"/>
                <w:highlight w:val="none"/>
              </w:rPr>
            </w:pPr>
          </w:p>
        </w:tc>
      </w:tr>
      <w:tr w14:paraId="4819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12287C73">
            <w:pPr>
              <w:snapToGrid w:val="0"/>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1321" w:type="dxa"/>
            <w:vAlign w:val="center"/>
          </w:tcPr>
          <w:p w14:paraId="66B2CA08">
            <w:pPr>
              <w:snapToGrid w:val="0"/>
              <w:spacing w:line="360" w:lineRule="auto"/>
              <w:jc w:val="center"/>
              <w:rPr>
                <w:rFonts w:ascii="仿宋_GB2312" w:hAnsi="宋体" w:eastAsia="仿宋_GB2312"/>
                <w:color w:val="auto"/>
                <w:sz w:val="24"/>
                <w:szCs w:val="24"/>
                <w:highlight w:val="none"/>
              </w:rPr>
            </w:pPr>
          </w:p>
        </w:tc>
        <w:tc>
          <w:tcPr>
            <w:tcW w:w="1417" w:type="dxa"/>
            <w:vAlign w:val="center"/>
          </w:tcPr>
          <w:p w14:paraId="40E6DB77">
            <w:pPr>
              <w:snapToGrid w:val="0"/>
              <w:spacing w:line="360" w:lineRule="auto"/>
              <w:jc w:val="center"/>
              <w:rPr>
                <w:rFonts w:ascii="仿宋_GB2312" w:hAnsi="宋体" w:eastAsia="仿宋_GB2312"/>
                <w:color w:val="auto"/>
                <w:sz w:val="24"/>
                <w:szCs w:val="24"/>
                <w:highlight w:val="none"/>
              </w:rPr>
            </w:pPr>
          </w:p>
        </w:tc>
        <w:tc>
          <w:tcPr>
            <w:tcW w:w="1418" w:type="dxa"/>
            <w:vAlign w:val="center"/>
          </w:tcPr>
          <w:p w14:paraId="015C5FBF">
            <w:pPr>
              <w:snapToGrid w:val="0"/>
              <w:spacing w:line="360" w:lineRule="auto"/>
              <w:jc w:val="center"/>
              <w:rPr>
                <w:rFonts w:ascii="仿宋_GB2312" w:hAnsi="宋体" w:eastAsia="仿宋_GB2312"/>
                <w:color w:val="auto"/>
                <w:sz w:val="24"/>
                <w:szCs w:val="24"/>
                <w:highlight w:val="none"/>
              </w:rPr>
            </w:pPr>
          </w:p>
        </w:tc>
        <w:tc>
          <w:tcPr>
            <w:tcW w:w="1275" w:type="dxa"/>
            <w:vAlign w:val="center"/>
          </w:tcPr>
          <w:p w14:paraId="101478E8">
            <w:pPr>
              <w:snapToGrid w:val="0"/>
              <w:spacing w:line="360" w:lineRule="auto"/>
              <w:jc w:val="center"/>
              <w:rPr>
                <w:rFonts w:ascii="仿宋_GB2312" w:hAnsi="宋体" w:eastAsia="仿宋_GB2312"/>
                <w:color w:val="auto"/>
                <w:sz w:val="24"/>
                <w:szCs w:val="24"/>
                <w:highlight w:val="none"/>
              </w:rPr>
            </w:pPr>
          </w:p>
        </w:tc>
        <w:tc>
          <w:tcPr>
            <w:tcW w:w="1276" w:type="dxa"/>
            <w:vAlign w:val="center"/>
          </w:tcPr>
          <w:p w14:paraId="4F8AEEAC">
            <w:pPr>
              <w:snapToGrid w:val="0"/>
              <w:spacing w:line="360" w:lineRule="auto"/>
              <w:jc w:val="center"/>
              <w:rPr>
                <w:rFonts w:ascii="仿宋_GB2312" w:hAnsi="宋体" w:eastAsia="仿宋_GB2312"/>
                <w:color w:val="auto"/>
                <w:sz w:val="24"/>
                <w:szCs w:val="24"/>
                <w:highlight w:val="none"/>
              </w:rPr>
            </w:pPr>
          </w:p>
        </w:tc>
        <w:tc>
          <w:tcPr>
            <w:tcW w:w="851" w:type="dxa"/>
            <w:vAlign w:val="center"/>
          </w:tcPr>
          <w:p w14:paraId="79978A3C">
            <w:pPr>
              <w:snapToGrid w:val="0"/>
              <w:spacing w:line="360" w:lineRule="auto"/>
              <w:jc w:val="center"/>
              <w:rPr>
                <w:rFonts w:ascii="仿宋_GB2312" w:hAnsi="宋体" w:eastAsia="仿宋_GB2312"/>
                <w:color w:val="auto"/>
                <w:sz w:val="24"/>
                <w:szCs w:val="24"/>
                <w:highlight w:val="none"/>
              </w:rPr>
            </w:pPr>
          </w:p>
        </w:tc>
        <w:tc>
          <w:tcPr>
            <w:tcW w:w="1151" w:type="dxa"/>
            <w:vAlign w:val="center"/>
          </w:tcPr>
          <w:p w14:paraId="083813F2">
            <w:pPr>
              <w:snapToGrid w:val="0"/>
              <w:spacing w:line="360" w:lineRule="auto"/>
              <w:jc w:val="center"/>
              <w:rPr>
                <w:rFonts w:ascii="仿宋_GB2312" w:hAnsi="宋体" w:eastAsia="仿宋_GB2312"/>
                <w:color w:val="auto"/>
                <w:sz w:val="24"/>
                <w:szCs w:val="24"/>
                <w:highlight w:val="none"/>
              </w:rPr>
            </w:pPr>
          </w:p>
        </w:tc>
      </w:tr>
      <w:tr w14:paraId="3209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665CE07B">
            <w:pPr>
              <w:snapToGrid w:val="0"/>
              <w:spacing w:line="360" w:lineRule="auto"/>
              <w:jc w:val="center"/>
              <w:rPr>
                <w:rFonts w:ascii="仿宋_GB2312" w:hAnsi="宋体" w:eastAsia="仿宋_GB2312"/>
                <w:color w:val="auto"/>
                <w:sz w:val="24"/>
                <w:szCs w:val="24"/>
                <w:highlight w:val="none"/>
              </w:rPr>
            </w:pPr>
          </w:p>
        </w:tc>
        <w:tc>
          <w:tcPr>
            <w:tcW w:w="1321" w:type="dxa"/>
            <w:vAlign w:val="center"/>
          </w:tcPr>
          <w:p w14:paraId="1EDB3501">
            <w:pPr>
              <w:snapToGrid w:val="0"/>
              <w:spacing w:line="360" w:lineRule="auto"/>
              <w:jc w:val="center"/>
              <w:rPr>
                <w:rFonts w:ascii="仿宋_GB2312" w:hAnsi="宋体" w:eastAsia="仿宋_GB2312"/>
                <w:color w:val="auto"/>
                <w:sz w:val="24"/>
                <w:szCs w:val="24"/>
                <w:highlight w:val="none"/>
              </w:rPr>
            </w:pPr>
          </w:p>
        </w:tc>
        <w:tc>
          <w:tcPr>
            <w:tcW w:w="1417" w:type="dxa"/>
            <w:vAlign w:val="center"/>
          </w:tcPr>
          <w:p w14:paraId="70C507D3">
            <w:pPr>
              <w:snapToGrid w:val="0"/>
              <w:spacing w:line="360" w:lineRule="auto"/>
              <w:jc w:val="center"/>
              <w:rPr>
                <w:rFonts w:ascii="仿宋_GB2312" w:hAnsi="宋体" w:eastAsia="仿宋_GB2312"/>
                <w:color w:val="auto"/>
                <w:sz w:val="24"/>
                <w:szCs w:val="24"/>
                <w:highlight w:val="none"/>
              </w:rPr>
            </w:pPr>
          </w:p>
        </w:tc>
        <w:tc>
          <w:tcPr>
            <w:tcW w:w="1418" w:type="dxa"/>
            <w:vAlign w:val="center"/>
          </w:tcPr>
          <w:p w14:paraId="5FEFBD9C">
            <w:pPr>
              <w:snapToGrid w:val="0"/>
              <w:spacing w:line="360" w:lineRule="auto"/>
              <w:jc w:val="center"/>
              <w:rPr>
                <w:rFonts w:ascii="仿宋_GB2312" w:hAnsi="宋体" w:eastAsia="仿宋_GB2312"/>
                <w:color w:val="auto"/>
                <w:sz w:val="24"/>
                <w:szCs w:val="24"/>
                <w:highlight w:val="none"/>
              </w:rPr>
            </w:pPr>
          </w:p>
        </w:tc>
        <w:tc>
          <w:tcPr>
            <w:tcW w:w="1275" w:type="dxa"/>
            <w:vAlign w:val="center"/>
          </w:tcPr>
          <w:p w14:paraId="2F0041B4">
            <w:pPr>
              <w:snapToGrid w:val="0"/>
              <w:spacing w:line="360" w:lineRule="auto"/>
              <w:jc w:val="center"/>
              <w:rPr>
                <w:rFonts w:ascii="仿宋_GB2312" w:hAnsi="宋体" w:eastAsia="仿宋_GB2312"/>
                <w:color w:val="auto"/>
                <w:sz w:val="24"/>
                <w:szCs w:val="24"/>
                <w:highlight w:val="none"/>
              </w:rPr>
            </w:pPr>
          </w:p>
        </w:tc>
        <w:tc>
          <w:tcPr>
            <w:tcW w:w="1276" w:type="dxa"/>
            <w:vAlign w:val="center"/>
          </w:tcPr>
          <w:p w14:paraId="282053DB">
            <w:pPr>
              <w:snapToGrid w:val="0"/>
              <w:spacing w:line="360" w:lineRule="auto"/>
              <w:jc w:val="center"/>
              <w:rPr>
                <w:rFonts w:ascii="仿宋_GB2312" w:hAnsi="宋体" w:eastAsia="仿宋_GB2312"/>
                <w:color w:val="auto"/>
                <w:sz w:val="24"/>
                <w:szCs w:val="24"/>
                <w:highlight w:val="none"/>
              </w:rPr>
            </w:pPr>
          </w:p>
        </w:tc>
        <w:tc>
          <w:tcPr>
            <w:tcW w:w="851" w:type="dxa"/>
            <w:vAlign w:val="center"/>
          </w:tcPr>
          <w:p w14:paraId="3DB7E5FE">
            <w:pPr>
              <w:snapToGrid w:val="0"/>
              <w:spacing w:line="360" w:lineRule="auto"/>
              <w:jc w:val="center"/>
              <w:rPr>
                <w:rFonts w:ascii="仿宋_GB2312" w:hAnsi="宋体" w:eastAsia="仿宋_GB2312"/>
                <w:color w:val="auto"/>
                <w:sz w:val="24"/>
                <w:szCs w:val="24"/>
                <w:highlight w:val="none"/>
              </w:rPr>
            </w:pPr>
          </w:p>
        </w:tc>
        <w:tc>
          <w:tcPr>
            <w:tcW w:w="1151" w:type="dxa"/>
            <w:vAlign w:val="center"/>
          </w:tcPr>
          <w:p w14:paraId="5C704480">
            <w:pPr>
              <w:snapToGrid w:val="0"/>
              <w:spacing w:line="360" w:lineRule="auto"/>
              <w:jc w:val="center"/>
              <w:rPr>
                <w:rFonts w:ascii="仿宋_GB2312" w:hAnsi="宋体" w:eastAsia="仿宋_GB2312"/>
                <w:color w:val="auto"/>
                <w:sz w:val="24"/>
                <w:szCs w:val="24"/>
                <w:highlight w:val="none"/>
              </w:rPr>
            </w:pPr>
          </w:p>
        </w:tc>
      </w:tr>
      <w:tr w14:paraId="61EC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vAlign w:val="center"/>
          </w:tcPr>
          <w:p w14:paraId="6DEC282A">
            <w:pPr>
              <w:snapToGrid w:val="0"/>
              <w:spacing w:line="360" w:lineRule="auto"/>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合计</w:t>
            </w:r>
          </w:p>
        </w:tc>
        <w:tc>
          <w:tcPr>
            <w:tcW w:w="8709" w:type="dxa"/>
            <w:gridSpan w:val="7"/>
            <w:vAlign w:val="center"/>
          </w:tcPr>
          <w:p w14:paraId="00976C1F">
            <w:pPr>
              <w:snapToGrid w:val="0"/>
              <w:spacing w:line="360" w:lineRule="auto"/>
              <w:jc w:val="center"/>
              <w:rPr>
                <w:rFonts w:ascii="仿宋_GB2312" w:hAnsi="宋体" w:eastAsia="仿宋_GB2312"/>
                <w:color w:val="auto"/>
                <w:sz w:val="24"/>
                <w:szCs w:val="24"/>
                <w:highlight w:val="none"/>
              </w:rPr>
            </w:pPr>
          </w:p>
        </w:tc>
      </w:tr>
    </w:tbl>
    <w:p w14:paraId="5233C3AE">
      <w:pPr>
        <w:snapToGrid w:val="0"/>
        <w:spacing w:line="300" w:lineRule="auto"/>
        <w:rPr>
          <w:rFonts w:ascii="宋体" w:hAnsi="宋体" w:cs="宋体"/>
          <w:b/>
          <w:color w:val="auto"/>
          <w:kern w:val="0"/>
          <w:sz w:val="28"/>
          <w:szCs w:val="28"/>
          <w:highlight w:val="none"/>
          <w:lang w:val="zh-CN"/>
        </w:rPr>
      </w:pPr>
    </w:p>
    <w:p w14:paraId="44081686">
      <w:pPr>
        <w:snapToGrid w:val="0"/>
        <w:spacing w:line="300" w:lineRule="auto"/>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lang w:val="zh-CN"/>
        </w:rPr>
        <w:t>注：1.供应商必须详细报出采购清单中各个子项中的内容（是否为主要标的）。且本表各分项报价合计应当与报价总表报价合计相等。请各供应商务必按照以上要求填报，否则作为无效响应处理。</w:t>
      </w:r>
    </w:p>
    <w:p w14:paraId="4391422D">
      <w:pPr>
        <w:snapToGrid w:val="0"/>
        <w:spacing w:line="300" w:lineRule="auto"/>
        <w:rPr>
          <w:rFonts w:ascii="宋体" w:hAnsi="宋体" w:cs="宋体"/>
          <w:b/>
          <w:color w:val="auto"/>
          <w:kern w:val="0"/>
          <w:sz w:val="28"/>
          <w:szCs w:val="28"/>
          <w:highlight w:val="none"/>
          <w:lang w:val="zh-CN"/>
        </w:rPr>
      </w:pPr>
      <w:r>
        <w:rPr>
          <w:rFonts w:hint="eastAsia" w:ascii="宋体" w:hAnsi="宋体" w:cs="宋体"/>
          <w:b/>
          <w:color w:val="auto"/>
          <w:kern w:val="0"/>
          <w:sz w:val="28"/>
          <w:szCs w:val="28"/>
          <w:highlight w:val="none"/>
          <w:lang w:val="zh-CN"/>
        </w:rPr>
        <w:t>2.</w:t>
      </w:r>
      <w:r>
        <w:rPr>
          <w:rFonts w:hint="eastAsia" w:ascii="宋体" w:hAnsi="宋体" w:cs="宋体"/>
          <w:b/>
          <w:color w:val="auto"/>
          <w:kern w:val="0"/>
          <w:sz w:val="28"/>
          <w:szCs w:val="28"/>
          <w:highlight w:val="none"/>
        </w:rPr>
        <w:t xml:space="preserve"> 供应商须详细备注主要标的信息，并</w:t>
      </w:r>
      <w:r>
        <w:rPr>
          <w:rFonts w:hint="eastAsia" w:ascii="宋体" w:hAnsi="宋体" w:cs="宋体"/>
          <w:b/>
          <w:color w:val="auto"/>
          <w:kern w:val="0"/>
          <w:sz w:val="28"/>
          <w:szCs w:val="28"/>
          <w:highlight w:val="none"/>
          <w:lang w:val="zh-CN"/>
        </w:rPr>
        <w:t>将随成交公告进行公示。内容不实的，属于提供虚假材料谋取中标、成交，依照《中华人民共和</w:t>
      </w:r>
      <w:r>
        <w:rPr>
          <w:rFonts w:hint="eastAsia" w:ascii="宋体" w:hAnsi="宋体" w:cs="宋体"/>
          <w:b/>
          <w:color w:val="auto"/>
          <w:kern w:val="0"/>
          <w:sz w:val="28"/>
          <w:szCs w:val="28"/>
          <w:highlight w:val="none"/>
        </w:rPr>
        <w:t>国政府采购法》等国家有关规定追究相应责</w:t>
      </w:r>
      <w:r>
        <w:rPr>
          <w:rFonts w:hint="eastAsia" w:ascii="宋体" w:hAnsi="宋体" w:cs="宋体"/>
          <w:b/>
          <w:color w:val="auto"/>
          <w:kern w:val="0"/>
          <w:sz w:val="28"/>
          <w:szCs w:val="28"/>
          <w:highlight w:val="none"/>
          <w:lang w:val="zh-CN"/>
        </w:rPr>
        <w:t>任。</w:t>
      </w:r>
    </w:p>
    <w:p w14:paraId="125D0FC3">
      <w:pPr>
        <w:snapToGrid w:val="0"/>
        <w:spacing w:line="300" w:lineRule="auto"/>
        <w:rPr>
          <w:rFonts w:eastAsia="方正黑体_GBK"/>
          <w:color w:val="auto"/>
          <w:sz w:val="32"/>
          <w:szCs w:val="32"/>
          <w:highlight w:val="none"/>
        </w:rPr>
      </w:pPr>
      <w:r>
        <w:rPr>
          <w:rFonts w:ascii="宋体" w:hAnsi="宋体" w:eastAsia="幼圆" w:cs="Arial"/>
          <w:b/>
          <w:color w:val="auto"/>
          <w:sz w:val="24"/>
          <w:szCs w:val="44"/>
          <w:highlight w:val="none"/>
        </w:rPr>
        <w:br w:type="page"/>
      </w:r>
      <w:r>
        <w:rPr>
          <w:rFonts w:eastAsia="方正黑体_GBK"/>
          <w:color w:val="auto"/>
          <w:sz w:val="32"/>
          <w:szCs w:val="32"/>
          <w:highlight w:val="none"/>
        </w:rPr>
        <w:t>附件</w:t>
      </w:r>
      <w:r>
        <w:rPr>
          <w:rFonts w:hint="eastAsia" w:eastAsia="方正黑体_GBK"/>
          <w:color w:val="auto"/>
          <w:sz w:val="32"/>
          <w:szCs w:val="32"/>
          <w:highlight w:val="none"/>
        </w:rPr>
        <w:t>10</w:t>
      </w:r>
    </w:p>
    <w:p w14:paraId="7371A9AE">
      <w:pPr>
        <w:snapToGrid w:val="0"/>
        <w:spacing w:line="300" w:lineRule="auto"/>
        <w:jc w:val="center"/>
        <w:rPr>
          <w:b/>
          <w:bCs/>
          <w:color w:val="auto"/>
          <w:sz w:val="28"/>
          <w:szCs w:val="28"/>
          <w:highlight w:val="none"/>
          <w:lang w:bidi="zh-CN"/>
        </w:rPr>
      </w:pPr>
      <w:r>
        <w:rPr>
          <w:b/>
          <w:bCs/>
          <w:color w:val="auto"/>
          <w:sz w:val="28"/>
          <w:szCs w:val="28"/>
          <w:highlight w:val="none"/>
          <w:lang w:bidi="zh-CN"/>
        </w:rPr>
        <w:t>中小企业声明函（工程、服务）</w:t>
      </w:r>
    </w:p>
    <w:p w14:paraId="1ED2F342">
      <w:pPr>
        <w:snapToGrid w:val="0"/>
        <w:spacing w:line="360" w:lineRule="auto"/>
        <w:ind w:firstLine="560" w:firstLineChars="200"/>
        <w:rPr>
          <w:color w:val="auto"/>
          <w:sz w:val="28"/>
          <w:szCs w:val="28"/>
          <w:highlight w:val="none"/>
          <w:lang w:bidi="zh-CN"/>
        </w:rPr>
      </w:pPr>
      <w:r>
        <w:rPr>
          <w:color w:val="auto"/>
          <w:sz w:val="28"/>
          <w:szCs w:val="28"/>
          <w:highlight w:val="none"/>
          <w:lang w:bidi="zh-CN"/>
        </w:rPr>
        <w:t>本公司（联合体）郑重声明，根据《政府采购促进中小企业发展管理办法》（财库</w:t>
      </w:r>
      <w:r>
        <w:rPr>
          <w:rFonts w:hint="eastAsia"/>
          <w:color w:val="auto"/>
          <w:sz w:val="28"/>
          <w:szCs w:val="28"/>
          <w:highlight w:val="none"/>
          <w:lang w:bidi="zh-CN"/>
        </w:rPr>
        <w:t>﹝</w:t>
      </w:r>
      <w:r>
        <w:rPr>
          <w:color w:val="auto"/>
          <w:sz w:val="28"/>
          <w:szCs w:val="28"/>
          <w:highlight w:val="none"/>
          <w:lang w:bidi="zh-CN"/>
        </w:rPr>
        <w:t>2020</w:t>
      </w:r>
      <w:r>
        <w:rPr>
          <w:rFonts w:hint="eastAsia"/>
          <w:color w:val="auto"/>
          <w:sz w:val="28"/>
          <w:szCs w:val="28"/>
          <w:highlight w:val="none"/>
          <w:lang w:bidi="zh-CN"/>
        </w:rPr>
        <w:t>﹞</w:t>
      </w:r>
      <w:r>
        <w:rPr>
          <w:color w:val="auto"/>
          <w:sz w:val="28"/>
          <w:szCs w:val="28"/>
          <w:highlight w:val="none"/>
          <w:lang w:bidi="zh-CN"/>
        </w:rPr>
        <w:t>46 号）的规定，本公司（联合体）参加</w:t>
      </w:r>
      <w:r>
        <w:rPr>
          <w:color w:val="auto"/>
          <w:sz w:val="28"/>
          <w:szCs w:val="28"/>
          <w:highlight w:val="none"/>
          <w:u w:val="single"/>
          <w:lang w:bidi="zh-CN"/>
        </w:rPr>
        <w:t>（单位名称）</w:t>
      </w:r>
      <w:r>
        <w:rPr>
          <w:color w:val="auto"/>
          <w:sz w:val="28"/>
          <w:szCs w:val="28"/>
          <w:highlight w:val="none"/>
          <w:lang w:bidi="zh-CN"/>
        </w:rPr>
        <w:t>的</w:t>
      </w:r>
      <w:r>
        <w:rPr>
          <w:color w:val="auto"/>
          <w:sz w:val="28"/>
          <w:szCs w:val="28"/>
          <w:highlight w:val="none"/>
          <w:u w:val="single"/>
          <w:lang w:bidi="zh-CN"/>
        </w:rPr>
        <w:t>（项目名称）</w:t>
      </w:r>
      <w:r>
        <w:rPr>
          <w:color w:val="auto"/>
          <w:sz w:val="28"/>
          <w:szCs w:val="28"/>
          <w:highlight w:val="none"/>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73B4523E">
      <w:pPr>
        <w:snapToGrid w:val="0"/>
        <w:spacing w:line="360" w:lineRule="auto"/>
        <w:jc w:val="left"/>
        <w:rPr>
          <w:color w:val="auto"/>
          <w:sz w:val="28"/>
          <w:szCs w:val="28"/>
          <w:highlight w:val="none"/>
          <w:lang w:bidi="zh-CN"/>
        </w:rPr>
      </w:pPr>
      <w:r>
        <w:rPr>
          <w:rFonts w:hint="eastAsia"/>
          <w:color w:val="auto"/>
          <w:sz w:val="28"/>
          <w:szCs w:val="28"/>
          <w:highlight w:val="none"/>
          <w:lang w:bidi="zh-CN"/>
        </w:rPr>
        <w:t>1.</w:t>
      </w:r>
      <w:r>
        <w:rPr>
          <w:color w:val="auto"/>
          <w:sz w:val="28"/>
          <w:szCs w:val="28"/>
          <w:highlight w:val="none"/>
          <w:u w:val="single"/>
          <w:lang w:bidi="zh-CN"/>
        </w:rPr>
        <w:t>（标的名称）</w:t>
      </w:r>
      <w:r>
        <w:rPr>
          <w:color w:val="auto"/>
          <w:sz w:val="28"/>
          <w:szCs w:val="28"/>
          <w:highlight w:val="none"/>
          <w:lang w:bidi="zh-CN"/>
        </w:rPr>
        <w:t>，属于（</w:t>
      </w:r>
      <w:r>
        <w:rPr>
          <w:rFonts w:hint="eastAsia"/>
          <w:color w:val="auto"/>
          <w:sz w:val="28"/>
          <w:szCs w:val="28"/>
          <w:highlight w:val="none"/>
          <w:u w:val="single"/>
          <w:lang w:bidi="zh-CN"/>
        </w:rPr>
        <w:t>其他未列明行业</w:t>
      </w:r>
      <w:r>
        <w:rPr>
          <w:color w:val="auto"/>
          <w:sz w:val="28"/>
          <w:szCs w:val="28"/>
          <w:highlight w:val="none"/>
          <w:u w:val="single"/>
          <w:lang w:bidi="zh-CN"/>
        </w:rPr>
        <w:t>）</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0B07D58B">
      <w:pPr>
        <w:snapToGrid w:val="0"/>
        <w:spacing w:line="360" w:lineRule="auto"/>
        <w:jc w:val="left"/>
        <w:rPr>
          <w:color w:val="auto"/>
          <w:sz w:val="28"/>
          <w:szCs w:val="28"/>
          <w:highlight w:val="none"/>
          <w:lang w:bidi="zh-CN"/>
        </w:rPr>
      </w:pPr>
      <w:r>
        <w:rPr>
          <w:rFonts w:hint="eastAsia"/>
          <w:color w:val="auto"/>
          <w:sz w:val="28"/>
          <w:szCs w:val="28"/>
          <w:highlight w:val="none"/>
          <w:lang w:bidi="zh-CN"/>
        </w:rPr>
        <w:t>2.</w:t>
      </w:r>
      <w:r>
        <w:rPr>
          <w:color w:val="auto"/>
          <w:sz w:val="28"/>
          <w:szCs w:val="28"/>
          <w:highlight w:val="none"/>
          <w:u w:val="single"/>
          <w:lang w:bidi="zh-CN"/>
        </w:rPr>
        <w:t>（标的名称）</w:t>
      </w:r>
      <w:r>
        <w:rPr>
          <w:color w:val="auto"/>
          <w:sz w:val="28"/>
          <w:szCs w:val="28"/>
          <w:highlight w:val="none"/>
          <w:lang w:bidi="zh-CN"/>
        </w:rPr>
        <w:t>，属于（</w:t>
      </w:r>
      <w:r>
        <w:rPr>
          <w:rFonts w:hint="eastAsia"/>
          <w:color w:val="auto"/>
          <w:sz w:val="28"/>
          <w:szCs w:val="28"/>
          <w:highlight w:val="none"/>
          <w:u w:val="single"/>
          <w:lang w:bidi="zh-CN"/>
        </w:rPr>
        <w:t>其他未列明行业</w:t>
      </w:r>
      <w:r>
        <w:rPr>
          <w:color w:val="auto"/>
          <w:sz w:val="28"/>
          <w:szCs w:val="28"/>
          <w:highlight w:val="none"/>
          <w:u w:val="single"/>
          <w:lang w:bidi="zh-CN"/>
        </w:rPr>
        <w:t>）</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人，营业收入为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万元，资产总额为</w:t>
      </w:r>
      <w:r>
        <w:rPr>
          <w:color w:val="auto"/>
          <w:sz w:val="28"/>
          <w:szCs w:val="28"/>
          <w:highlight w:val="none"/>
          <w:u w:val="single"/>
          <w:lang w:bidi="zh-CN"/>
        </w:rPr>
        <w:t xml:space="preserve"> </w:t>
      </w:r>
      <w:r>
        <w:rPr>
          <w:color w:val="auto"/>
          <w:sz w:val="28"/>
          <w:szCs w:val="28"/>
          <w:highlight w:val="none"/>
          <w:u w:val="single"/>
          <w:lang w:bidi="zh-CN"/>
        </w:rPr>
        <w:tab/>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363FF303">
      <w:pPr>
        <w:snapToGrid w:val="0"/>
        <w:spacing w:line="360" w:lineRule="auto"/>
        <w:jc w:val="left"/>
        <w:rPr>
          <w:color w:val="auto"/>
          <w:sz w:val="28"/>
          <w:szCs w:val="28"/>
          <w:highlight w:val="none"/>
          <w:lang w:bidi="zh-CN"/>
        </w:rPr>
      </w:pPr>
      <w:r>
        <w:rPr>
          <w:color w:val="auto"/>
          <w:sz w:val="28"/>
          <w:szCs w:val="28"/>
          <w:highlight w:val="none"/>
          <w:lang w:bidi="zh-CN"/>
        </w:rPr>
        <w:t>……</w:t>
      </w:r>
    </w:p>
    <w:p w14:paraId="7E329A06">
      <w:pPr>
        <w:snapToGrid w:val="0"/>
        <w:spacing w:line="360" w:lineRule="auto"/>
        <w:ind w:firstLine="560" w:firstLineChars="200"/>
        <w:rPr>
          <w:color w:val="auto"/>
          <w:sz w:val="28"/>
          <w:szCs w:val="28"/>
          <w:highlight w:val="none"/>
          <w:lang w:bidi="zh-CN"/>
        </w:rPr>
      </w:pPr>
      <w:r>
        <w:rPr>
          <w:color w:val="auto"/>
          <w:sz w:val="28"/>
          <w:szCs w:val="28"/>
          <w:highlight w:val="none"/>
          <w:lang w:bidi="zh-CN"/>
        </w:rPr>
        <w:t>以上企业，不属于大企业的分支机构，不存在控股股东为大企业的情形，也不存在与大企业的负责人为同一人的情形。</w:t>
      </w:r>
    </w:p>
    <w:p w14:paraId="6AC30495">
      <w:pPr>
        <w:snapToGrid w:val="0"/>
        <w:spacing w:line="360" w:lineRule="auto"/>
        <w:ind w:firstLine="560" w:firstLineChars="200"/>
        <w:rPr>
          <w:color w:val="auto"/>
          <w:sz w:val="28"/>
          <w:szCs w:val="28"/>
          <w:highlight w:val="none"/>
          <w:lang w:bidi="zh-CN"/>
        </w:rPr>
      </w:pPr>
      <w:r>
        <w:rPr>
          <w:color w:val="auto"/>
          <w:sz w:val="28"/>
          <w:szCs w:val="28"/>
          <w:highlight w:val="none"/>
          <w:lang w:bidi="zh-CN"/>
        </w:rPr>
        <w:t>本企业对上述声明内容的真实性负责。如有虚假，将依法承担相应责任。</w:t>
      </w:r>
    </w:p>
    <w:p w14:paraId="0C45BDCB">
      <w:pPr>
        <w:snapToGrid w:val="0"/>
        <w:spacing w:line="360" w:lineRule="auto"/>
        <w:ind w:firstLine="560" w:firstLineChars="200"/>
        <w:rPr>
          <w:color w:val="auto"/>
          <w:sz w:val="28"/>
          <w:szCs w:val="28"/>
          <w:highlight w:val="none"/>
          <w:lang w:bidi="zh-CN"/>
        </w:rPr>
      </w:pPr>
    </w:p>
    <w:p w14:paraId="527A5E38">
      <w:pPr>
        <w:snapToGrid w:val="0"/>
        <w:spacing w:line="360" w:lineRule="auto"/>
        <w:ind w:firstLine="560" w:firstLineChars="200"/>
        <w:rPr>
          <w:color w:val="auto"/>
          <w:sz w:val="28"/>
          <w:szCs w:val="28"/>
          <w:highlight w:val="none"/>
          <w:lang w:bidi="zh-CN"/>
        </w:rPr>
      </w:pPr>
    </w:p>
    <w:p w14:paraId="3273BC1E">
      <w:pPr>
        <w:snapToGrid w:val="0"/>
        <w:spacing w:line="300" w:lineRule="auto"/>
        <w:rPr>
          <w:rFonts w:ascii="宋体" w:hAnsi="宋体" w:cs="宋体"/>
          <w:color w:val="auto"/>
          <w:szCs w:val="21"/>
          <w:highlight w:val="none"/>
          <w:lang w:bidi="zh-CN"/>
        </w:rPr>
      </w:pPr>
      <w:r>
        <w:rPr>
          <w:rFonts w:hint="eastAsia" w:ascii="宋体" w:hAnsi="宋体" w:cs="宋体"/>
          <w:color w:val="auto"/>
          <w:szCs w:val="21"/>
          <w:highlight w:val="none"/>
          <w:lang w:bidi="zh-CN"/>
        </w:rPr>
        <w:t>注：1.如项目属性为“服务”或“工程”，请按本表填写。</w:t>
      </w:r>
    </w:p>
    <w:p w14:paraId="78B39C09">
      <w:pPr>
        <w:snapToGrid w:val="0"/>
        <w:spacing w:line="300" w:lineRule="auto"/>
        <w:ind w:firstLine="420" w:firstLineChars="200"/>
        <w:rPr>
          <w:rFonts w:ascii="宋体" w:hAnsi="宋体" w:cs="宋体"/>
          <w:color w:val="auto"/>
          <w:szCs w:val="21"/>
          <w:highlight w:val="none"/>
          <w:lang w:bidi="zh-CN"/>
        </w:rPr>
      </w:pPr>
      <w:r>
        <w:rPr>
          <w:rFonts w:hint="eastAsia" w:ascii="宋体" w:hAnsi="宋体" w:cs="宋体"/>
          <w:color w:val="auto"/>
          <w:szCs w:val="21"/>
          <w:highlight w:val="none"/>
          <w:lang w:bidi="zh-CN"/>
        </w:rPr>
        <w:t>2.从业人员、营业收入、资产总额填报上一年度数据，无上一年度数据的新成立企业可不填报。</w:t>
      </w:r>
    </w:p>
    <w:p w14:paraId="3661ABC9">
      <w:pPr>
        <w:snapToGrid w:val="0"/>
        <w:spacing w:line="300" w:lineRule="auto"/>
        <w:ind w:firstLine="420" w:firstLineChars="200"/>
        <w:rPr>
          <w:color w:val="auto"/>
          <w:sz w:val="28"/>
          <w:szCs w:val="28"/>
          <w:highlight w:val="none"/>
          <w:lang w:bidi="zh-CN"/>
        </w:rPr>
      </w:pPr>
      <w:r>
        <w:rPr>
          <w:rFonts w:hint="eastAsia" w:ascii="宋体" w:hAnsi="宋体" w:cs="宋体"/>
          <w:color w:val="auto"/>
          <w:szCs w:val="21"/>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0A8322F">
      <w:pPr>
        <w:snapToGrid w:val="0"/>
        <w:spacing w:line="300" w:lineRule="auto"/>
        <w:ind w:firstLine="4900" w:firstLineChars="1750"/>
        <w:rPr>
          <w:color w:val="auto"/>
          <w:sz w:val="28"/>
          <w:szCs w:val="28"/>
          <w:highlight w:val="none"/>
          <w:lang w:bidi="zh-CN"/>
        </w:rPr>
      </w:pPr>
      <w:r>
        <w:rPr>
          <w:color w:val="auto"/>
          <w:sz w:val="28"/>
          <w:szCs w:val="28"/>
          <w:highlight w:val="none"/>
          <w:lang w:bidi="zh-CN"/>
        </w:rPr>
        <w:t>企业名称（盖章）：</w:t>
      </w:r>
    </w:p>
    <w:p w14:paraId="268A990E">
      <w:pPr>
        <w:snapToGrid w:val="0"/>
        <w:spacing w:line="300" w:lineRule="auto"/>
        <w:ind w:firstLine="4900" w:firstLineChars="1750"/>
        <w:rPr>
          <w:color w:val="auto"/>
          <w:sz w:val="28"/>
          <w:szCs w:val="28"/>
          <w:highlight w:val="none"/>
          <w:lang w:bidi="zh-CN"/>
        </w:rPr>
      </w:pPr>
      <w:r>
        <w:rPr>
          <w:color w:val="auto"/>
          <w:sz w:val="28"/>
          <w:szCs w:val="28"/>
          <w:highlight w:val="none"/>
          <w:lang w:bidi="zh-CN"/>
        </w:rPr>
        <w:t>日期：</w:t>
      </w:r>
    </w:p>
    <w:p w14:paraId="4D7D42F4">
      <w:pPr>
        <w:spacing w:line="460" w:lineRule="exact"/>
        <w:rPr>
          <w:rFonts w:ascii="宋体" w:hAnsi="宋体"/>
          <w:color w:val="auto"/>
          <w:sz w:val="24"/>
          <w:szCs w:val="21"/>
          <w:highlight w:val="none"/>
        </w:rPr>
      </w:pPr>
    </w:p>
    <w:p w14:paraId="7BD527C0">
      <w:pPr>
        <w:spacing w:line="560" w:lineRule="exact"/>
        <w:ind w:firstLine="240" w:firstLineChars="100"/>
        <w:jc w:val="center"/>
        <w:rPr>
          <w:rFonts w:ascii="宋体" w:hAnsi="宋体"/>
          <w:bCs/>
          <w:color w:val="auto"/>
          <w:sz w:val="24"/>
          <w:szCs w:val="21"/>
          <w:highlight w:val="none"/>
        </w:rPr>
      </w:pPr>
    </w:p>
    <w:p w14:paraId="2BC54CA4">
      <w:pPr>
        <w:snapToGrid w:val="0"/>
        <w:spacing w:line="300" w:lineRule="auto"/>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1</w:t>
      </w:r>
    </w:p>
    <w:p w14:paraId="778A3745">
      <w:pPr>
        <w:spacing w:line="460" w:lineRule="exact"/>
        <w:jc w:val="center"/>
        <w:rPr>
          <w:rFonts w:ascii="宋体" w:hAnsi="宋体"/>
          <w:b/>
          <w:color w:val="auto"/>
          <w:sz w:val="32"/>
          <w:szCs w:val="32"/>
          <w:highlight w:val="none"/>
        </w:rPr>
      </w:pPr>
      <w:r>
        <w:rPr>
          <w:rFonts w:hint="eastAsia" w:ascii="宋体" w:hAnsi="宋体"/>
          <w:b/>
          <w:color w:val="auto"/>
          <w:sz w:val="32"/>
          <w:szCs w:val="32"/>
          <w:highlight w:val="none"/>
        </w:rPr>
        <w:t>残疾人福利性单位声明函（如有）</w:t>
      </w:r>
    </w:p>
    <w:p w14:paraId="623CA045">
      <w:pPr>
        <w:spacing w:line="588"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7569AF91">
      <w:pPr>
        <w:spacing w:line="588" w:lineRule="exact"/>
        <w:ind w:firstLine="560" w:firstLineChars="200"/>
        <w:rPr>
          <w:rFonts w:ascii="宋体" w:hAnsi="宋体"/>
          <w:color w:val="auto"/>
          <w:sz w:val="28"/>
          <w:szCs w:val="28"/>
          <w:highlight w:val="none"/>
        </w:rPr>
      </w:pPr>
      <w:r>
        <w:rPr>
          <w:rFonts w:hint="eastAsia" w:ascii="宋体" w:hAnsi="宋体"/>
          <w:color w:val="auto"/>
          <w:sz w:val="28"/>
          <w:szCs w:val="28"/>
          <w:highlight w:val="none"/>
        </w:rPr>
        <w:t>本单位对上述声明的真实性负责。如有虚假，将依法承担相应责任。</w:t>
      </w:r>
    </w:p>
    <w:p w14:paraId="570B84FE">
      <w:pPr>
        <w:spacing w:line="588" w:lineRule="exact"/>
        <w:ind w:firstLine="560" w:firstLineChars="200"/>
        <w:rPr>
          <w:rFonts w:ascii="宋体" w:hAnsi="宋体"/>
          <w:color w:val="auto"/>
          <w:sz w:val="28"/>
          <w:szCs w:val="28"/>
          <w:highlight w:val="none"/>
        </w:rPr>
      </w:pPr>
    </w:p>
    <w:p w14:paraId="707F20B7">
      <w:pPr>
        <w:spacing w:line="588" w:lineRule="exact"/>
        <w:ind w:firstLine="560" w:firstLineChars="200"/>
        <w:rPr>
          <w:rFonts w:ascii="宋体" w:hAnsi="宋体"/>
          <w:color w:val="auto"/>
          <w:sz w:val="28"/>
          <w:szCs w:val="28"/>
          <w:highlight w:val="none"/>
        </w:rPr>
      </w:pPr>
    </w:p>
    <w:p w14:paraId="731D6688">
      <w:pPr>
        <w:spacing w:line="588" w:lineRule="exact"/>
        <w:ind w:firstLine="560" w:firstLineChars="200"/>
        <w:rPr>
          <w:rFonts w:ascii="宋体" w:hAnsi="宋体"/>
          <w:color w:val="auto"/>
          <w:sz w:val="28"/>
          <w:szCs w:val="28"/>
          <w:highlight w:val="none"/>
        </w:rPr>
      </w:pPr>
    </w:p>
    <w:p w14:paraId="6653B19D">
      <w:pPr>
        <w:spacing w:line="588" w:lineRule="exact"/>
        <w:ind w:firstLine="560" w:firstLineChars="200"/>
        <w:rPr>
          <w:rFonts w:ascii="宋体" w:hAnsi="宋体"/>
          <w:color w:val="auto"/>
          <w:sz w:val="28"/>
          <w:szCs w:val="28"/>
          <w:highlight w:val="none"/>
        </w:rPr>
      </w:pPr>
    </w:p>
    <w:p w14:paraId="44B82229">
      <w:pPr>
        <w:snapToGrid w:val="0"/>
        <w:spacing w:line="300" w:lineRule="auto"/>
        <w:rPr>
          <w:rFonts w:ascii="宋体" w:hAnsi="宋体" w:cs="宋体"/>
          <w:color w:val="auto"/>
          <w:sz w:val="28"/>
          <w:szCs w:val="28"/>
          <w:highlight w:val="none"/>
          <w:lang w:bidi="zh-CN"/>
        </w:rPr>
      </w:pPr>
      <w:r>
        <w:rPr>
          <w:rFonts w:hint="eastAsia" w:ascii="宋体" w:hAnsi="宋体" w:cs="宋体"/>
          <w:color w:val="auto"/>
          <w:sz w:val="28"/>
          <w:szCs w:val="28"/>
          <w:highlight w:val="none"/>
          <w:lang w:bidi="zh-CN"/>
        </w:rPr>
        <w:t>注：1、供应商如不提供此声明函，价格将不做相应扣除。</w:t>
      </w:r>
    </w:p>
    <w:p w14:paraId="0CE32F7B">
      <w:pPr>
        <w:spacing w:line="588" w:lineRule="exact"/>
        <w:ind w:firstLine="560" w:firstLineChars="200"/>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0278FBE9">
      <w:pPr>
        <w:spacing w:line="588" w:lineRule="exact"/>
        <w:ind w:firstLine="584" w:firstLineChars="200"/>
        <w:rPr>
          <w:rFonts w:ascii="仿宋_GB2312" w:eastAsia="仿宋_GB2312"/>
          <w:color w:val="auto"/>
          <w:spacing w:val="6"/>
          <w:sz w:val="28"/>
          <w:szCs w:val="28"/>
          <w:highlight w:val="none"/>
        </w:rPr>
      </w:pPr>
    </w:p>
    <w:p w14:paraId="6A446ACA">
      <w:pPr>
        <w:tabs>
          <w:tab w:val="left" w:pos="4860"/>
        </w:tabs>
        <w:spacing w:line="588" w:lineRule="exact"/>
        <w:ind w:right="1560" w:firstLine="584" w:firstLineChars="200"/>
        <w:jc w:val="center"/>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p>
    <w:p w14:paraId="46FD28FD">
      <w:pPr>
        <w:tabs>
          <w:tab w:val="left" w:pos="4860"/>
        </w:tabs>
        <w:spacing w:line="588" w:lineRule="exact"/>
        <w:ind w:right="1560" w:firstLine="560" w:firstLineChars="200"/>
        <w:jc w:val="center"/>
        <w:rPr>
          <w:rFonts w:ascii="宋体" w:hAnsi="宋体"/>
          <w:color w:val="auto"/>
          <w:sz w:val="28"/>
          <w:szCs w:val="28"/>
          <w:highlight w:val="none"/>
        </w:rPr>
      </w:pPr>
      <w:r>
        <w:rPr>
          <w:rFonts w:hint="eastAsia" w:ascii="宋体" w:hAnsi="宋体"/>
          <w:color w:val="auto"/>
          <w:sz w:val="28"/>
          <w:szCs w:val="28"/>
          <w:highlight w:val="none"/>
        </w:rPr>
        <w:t xml:space="preserve">              日  期：</w:t>
      </w:r>
    </w:p>
    <w:p w14:paraId="1091D54B">
      <w:pPr>
        <w:spacing w:line="560" w:lineRule="exact"/>
        <w:ind w:firstLine="240" w:firstLineChars="100"/>
        <w:jc w:val="center"/>
        <w:rPr>
          <w:rFonts w:ascii="宋体" w:hAnsi="宋体"/>
          <w:bCs/>
          <w:color w:val="auto"/>
          <w:sz w:val="24"/>
          <w:szCs w:val="21"/>
          <w:highlight w:val="none"/>
        </w:rPr>
      </w:pPr>
    </w:p>
    <w:p w14:paraId="20AF43DF">
      <w:pPr>
        <w:spacing w:line="560" w:lineRule="exact"/>
        <w:ind w:firstLine="240" w:firstLineChars="100"/>
        <w:jc w:val="center"/>
        <w:rPr>
          <w:rFonts w:ascii="宋体" w:hAnsi="宋体"/>
          <w:bCs/>
          <w:color w:val="auto"/>
          <w:sz w:val="24"/>
          <w:szCs w:val="21"/>
          <w:highlight w:val="none"/>
        </w:rPr>
      </w:pPr>
    </w:p>
    <w:p w14:paraId="05349919">
      <w:pPr>
        <w:spacing w:line="560" w:lineRule="exact"/>
        <w:ind w:firstLine="240" w:firstLineChars="100"/>
        <w:jc w:val="center"/>
        <w:rPr>
          <w:rFonts w:ascii="宋体" w:hAnsi="宋体"/>
          <w:bCs/>
          <w:color w:val="auto"/>
          <w:sz w:val="24"/>
          <w:szCs w:val="21"/>
          <w:highlight w:val="none"/>
        </w:rPr>
      </w:pPr>
    </w:p>
    <w:p w14:paraId="5440CE05">
      <w:pPr>
        <w:snapToGrid w:val="0"/>
        <w:spacing w:line="300" w:lineRule="auto"/>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2</w:t>
      </w:r>
    </w:p>
    <w:p w14:paraId="4D7EF7E9">
      <w:pPr>
        <w:snapToGrid w:val="0"/>
        <w:spacing w:line="420" w:lineRule="exact"/>
        <w:jc w:val="center"/>
        <w:rPr>
          <w:b/>
          <w:bCs/>
          <w:color w:val="auto"/>
          <w:sz w:val="32"/>
          <w:szCs w:val="32"/>
          <w:highlight w:val="none"/>
        </w:rPr>
      </w:pPr>
      <w:r>
        <w:rPr>
          <w:rFonts w:hint="eastAsia"/>
          <w:b/>
          <w:bCs/>
          <w:color w:val="auto"/>
          <w:sz w:val="32"/>
          <w:szCs w:val="32"/>
          <w:highlight w:val="none"/>
        </w:rPr>
        <w:t>监狱和戒毒企业证明材料（如有）</w:t>
      </w:r>
    </w:p>
    <w:p w14:paraId="2346BB3E">
      <w:pPr>
        <w:snapToGrid w:val="0"/>
        <w:spacing w:line="420" w:lineRule="exact"/>
        <w:ind w:firstLine="495" w:firstLineChars="177"/>
        <w:rPr>
          <w:rFonts w:ascii="宋体" w:hAnsi="宋体" w:cs="宋体"/>
          <w:color w:val="auto"/>
          <w:sz w:val="28"/>
          <w:szCs w:val="28"/>
          <w:highlight w:val="none"/>
        </w:rPr>
      </w:pPr>
    </w:p>
    <w:p w14:paraId="4442E65B">
      <w:pPr>
        <w:snapToGrid w:val="0"/>
        <w:spacing w:line="420" w:lineRule="exact"/>
        <w:ind w:firstLine="498" w:firstLineChars="177"/>
        <w:rPr>
          <w:rFonts w:ascii="宋体" w:hAnsi="宋体" w:cs="宋体"/>
          <w:b/>
          <w:color w:val="auto"/>
          <w:sz w:val="28"/>
          <w:szCs w:val="28"/>
          <w:highlight w:val="none"/>
        </w:rPr>
      </w:pPr>
      <w:r>
        <w:rPr>
          <w:rFonts w:hint="eastAsia" w:ascii="宋体" w:hAnsi="宋体" w:cs="宋体"/>
          <w:b/>
          <w:color w:val="auto"/>
          <w:sz w:val="28"/>
          <w:szCs w:val="28"/>
          <w:highlight w:val="none"/>
        </w:rPr>
        <w:t>（格式自拟）</w:t>
      </w:r>
    </w:p>
    <w:p w14:paraId="60E8CA47">
      <w:pPr>
        <w:snapToGrid w:val="0"/>
        <w:spacing w:line="420" w:lineRule="exact"/>
        <w:ind w:firstLine="495" w:firstLineChars="177"/>
        <w:rPr>
          <w:rFonts w:ascii="宋体" w:hAnsi="宋体" w:cs="宋体"/>
          <w:color w:val="auto"/>
          <w:sz w:val="28"/>
          <w:szCs w:val="28"/>
          <w:highlight w:val="none"/>
        </w:rPr>
      </w:pPr>
    </w:p>
    <w:p w14:paraId="137B38F7">
      <w:pPr>
        <w:snapToGrid w:val="0"/>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9852DEC">
      <w:pPr>
        <w:snapToGrid w:val="0"/>
        <w:spacing w:line="300" w:lineRule="auto"/>
        <w:rPr>
          <w:color w:val="auto"/>
          <w:sz w:val="28"/>
          <w:szCs w:val="28"/>
          <w:highlight w:val="none"/>
        </w:rPr>
      </w:pPr>
    </w:p>
    <w:p w14:paraId="13AFD52F">
      <w:pPr>
        <w:snapToGrid w:val="0"/>
        <w:spacing w:line="300" w:lineRule="auto"/>
        <w:rPr>
          <w:color w:val="auto"/>
          <w:sz w:val="28"/>
          <w:szCs w:val="28"/>
          <w:highlight w:val="none"/>
        </w:rPr>
      </w:pPr>
    </w:p>
    <w:p w14:paraId="7A268EF7">
      <w:pPr>
        <w:snapToGrid w:val="0"/>
        <w:spacing w:line="300" w:lineRule="auto"/>
        <w:rPr>
          <w:color w:val="auto"/>
          <w:sz w:val="28"/>
          <w:szCs w:val="28"/>
          <w:highlight w:val="none"/>
        </w:rPr>
      </w:pPr>
    </w:p>
    <w:p w14:paraId="5454E5A5">
      <w:pPr>
        <w:snapToGrid w:val="0"/>
        <w:spacing w:line="300" w:lineRule="auto"/>
        <w:rPr>
          <w:color w:val="auto"/>
          <w:sz w:val="28"/>
          <w:szCs w:val="28"/>
          <w:highlight w:val="none"/>
        </w:rPr>
      </w:pPr>
    </w:p>
    <w:p w14:paraId="29AB2470">
      <w:pPr>
        <w:snapToGrid w:val="0"/>
        <w:spacing w:line="300" w:lineRule="auto"/>
        <w:rPr>
          <w:color w:val="auto"/>
          <w:sz w:val="28"/>
          <w:szCs w:val="28"/>
          <w:highlight w:val="none"/>
        </w:rPr>
      </w:pPr>
    </w:p>
    <w:p w14:paraId="198A7F26">
      <w:pPr>
        <w:snapToGrid w:val="0"/>
        <w:spacing w:line="300" w:lineRule="auto"/>
        <w:rPr>
          <w:color w:val="auto"/>
          <w:sz w:val="28"/>
          <w:szCs w:val="28"/>
          <w:highlight w:val="none"/>
        </w:rPr>
      </w:pPr>
    </w:p>
    <w:p w14:paraId="2D8ED97F">
      <w:pPr>
        <w:snapToGrid w:val="0"/>
        <w:spacing w:line="300" w:lineRule="auto"/>
        <w:rPr>
          <w:color w:val="auto"/>
          <w:sz w:val="28"/>
          <w:szCs w:val="28"/>
          <w:highlight w:val="none"/>
        </w:rPr>
      </w:pPr>
      <w:r>
        <w:rPr>
          <w:rFonts w:hint="eastAsia"/>
          <w:color w:val="auto"/>
          <w:sz w:val="28"/>
          <w:szCs w:val="28"/>
          <w:highlight w:val="none"/>
        </w:rPr>
        <w:t>注：1、供应商如不提供此声明函，价格将不做相应扣除。</w:t>
      </w:r>
    </w:p>
    <w:p w14:paraId="1C3EFFEB">
      <w:pPr>
        <w:snapToGrid w:val="0"/>
        <w:spacing w:line="300" w:lineRule="auto"/>
        <w:ind w:firstLine="560" w:firstLineChars="200"/>
        <w:rPr>
          <w:color w:val="auto"/>
          <w:sz w:val="28"/>
          <w:szCs w:val="28"/>
          <w:highlight w:val="none"/>
        </w:rPr>
      </w:pPr>
      <w:r>
        <w:rPr>
          <w:rFonts w:hint="eastAsia"/>
          <w:color w:val="auto"/>
          <w:sz w:val="28"/>
          <w:szCs w:val="28"/>
          <w:highlight w:val="none"/>
        </w:rPr>
        <w:t>2、成交供应商为监狱企业的，此声明函将随成交结果同时公告，</w:t>
      </w:r>
    </w:p>
    <w:p w14:paraId="5A4EC748">
      <w:pPr>
        <w:snapToGrid w:val="0"/>
        <w:spacing w:line="300" w:lineRule="auto"/>
        <w:rPr>
          <w:color w:val="auto"/>
          <w:sz w:val="28"/>
          <w:szCs w:val="28"/>
          <w:highlight w:val="none"/>
        </w:rPr>
      </w:pPr>
      <w:r>
        <w:rPr>
          <w:rFonts w:hint="eastAsia"/>
          <w:color w:val="auto"/>
          <w:sz w:val="28"/>
          <w:szCs w:val="28"/>
          <w:highlight w:val="none"/>
        </w:rPr>
        <w:t>接受社会监督。供应商按照本办法规定提供声明函内容不实的，属于</w:t>
      </w:r>
    </w:p>
    <w:p w14:paraId="4A165263">
      <w:pPr>
        <w:snapToGrid w:val="0"/>
        <w:spacing w:line="300" w:lineRule="auto"/>
        <w:rPr>
          <w:color w:val="auto"/>
          <w:sz w:val="28"/>
          <w:szCs w:val="28"/>
          <w:highlight w:val="none"/>
        </w:rPr>
      </w:pPr>
      <w:r>
        <w:rPr>
          <w:rFonts w:hint="eastAsia"/>
          <w:color w:val="auto"/>
          <w:sz w:val="28"/>
          <w:szCs w:val="28"/>
          <w:highlight w:val="none"/>
        </w:rPr>
        <w:t>提供虚假材料谋取中标、成交，依照《中华人民共和国政府采购法》</w:t>
      </w:r>
    </w:p>
    <w:p w14:paraId="1DB11A55">
      <w:pPr>
        <w:snapToGrid w:val="0"/>
        <w:spacing w:line="300" w:lineRule="auto"/>
        <w:rPr>
          <w:color w:val="auto"/>
          <w:sz w:val="28"/>
          <w:szCs w:val="28"/>
          <w:highlight w:val="none"/>
        </w:rPr>
      </w:pPr>
      <w:r>
        <w:rPr>
          <w:rFonts w:hint="eastAsia"/>
          <w:color w:val="auto"/>
          <w:sz w:val="28"/>
          <w:szCs w:val="28"/>
          <w:highlight w:val="none"/>
        </w:rPr>
        <w:t>等国家有关规定追究相应责任。</w:t>
      </w:r>
    </w:p>
    <w:p w14:paraId="1D1DC5E9">
      <w:pPr>
        <w:snapToGrid w:val="0"/>
        <w:spacing w:line="300" w:lineRule="auto"/>
        <w:rPr>
          <w:color w:val="auto"/>
          <w:sz w:val="28"/>
          <w:szCs w:val="28"/>
          <w:highlight w:val="none"/>
        </w:rPr>
      </w:pPr>
    </w:p>
    <w:p w14:paraId="2E6B9F6A">
      <w:pPr>
        <w:snapToGrid w:val="0"/>
        <w:spacing w:line="300" w:lineRule="auto"/>
        <w:rPr>
          <w:color w:val="auto"/>
          <w:sz w:val="28"/>
          <w:szCs w:val="28"/>
          <w:highlight w:val="none"/>
        </w:rPr>
      </w:pPr>
    </w:p>
    <w:p w14:paraId="12D227FD">
      <w:pPr>
        <w:rPr>
          <w:rFonts w:eastAsia="方正黑体_GBK"/>
          <w:bCs/>
          <w:color w:val="auto"/>
          <w:sz w:val="32"/>
          <w:szCs w:val="32"/>
          <w:highlight w:val="none"/>
          <w:lang w:bidi="ar"/>
        </w:rPr>
      </w:pPr>
      <w:r>
        <w:rPr>
          <w:rFonts w:ascii="黑体" w:hAnsi="黑体" w:eastAsia="黑体"/>
          <w:b/>
          <w:color w:val="auto"/>
          <w:sz w:val="32"/>
          <w:szCs w:val="32"/>
          <w:highlight w:val="none"/>
        </w:rPr>
        <w:br w:type="page"/>
      </w:r>
      <w:r>
        <w:rPr>
          <w:rFonts w:eastAsia="方正黑体_GBK"/>
          <w:bCs/>
          <w:color w:val="auto"/>
          <w:sz w:val="32"/>
          <w:szCs w:val="32"/>
          <w:highlight w:val="none"/>
          <w:lang w:bidi="ar"/>
        </w:rPr>
        <w:t>附件1</w:t>
      </w:r>
      <w:r>
        <w:rPr>
          <w:rFonts w:hint="eastAsia" w:eastAsia="方正黑体_GBK"/>
          <w:bCs/>
          <w:color w:val="auto"/>
          <w:sz w:val="32"/>
          <w:szCs w:val="32"/>
          <w:highlight w:val="none"/>
          <w:lang w:bidi="ar"/>
        </w:rPr>
        <w:t>3</w:t>
      </w:r>
    </w:p>
    <w:p w14:paraId="3794FAA1">
      <w:pPr>
        <w:spacing w:line="560" w:lineRule="exact"/>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联合体协议（参考格式）（分包号：**）</w:t>
      </w:r>
    </w:p>
    <w:p w14:paraId="671B2128">
      <w:pPr>
        <w:pStyle w:val="121"/>
        <w:rPr>
          <w:color w:val="auto"/>
          <w:highlight w:val="none"/>
        </w:rPr>
      </w:pPr>
    </w:p>
    <w:p w14:paraId="675FDFC3">
      <w:pPr>
        <w:spacing w:line="560" w:lineRule="exact"/>
        <w:rPr>
          <w:rFonts w:ascii="宋体" w:hAnsi="宋体"/>
          <w:color w:val="auto"/>
          <w:sz w:val="24"/>
          <w:szCs w:val="21"/>
          <w:highlight w:val="none"/>
        </w:rPr>
      </w:pPr>
      <w:r>
        <w:rPr>
          <w:rFonts w:hint="eastAsia" w:ascii="宋体" w:hAnsi="宋体"/>
          <w:color w:val="auto"/>
          <w:sz w:val="24"/>
          <w:szCs w:val="21"/>
          <w:highlight w:val="none"/>
        </w:rPr>
        <w:t>（联合体中各供应商全称）在此达成以下协议：</w:t>
      </w:r>
    </w:p>
    <w:p w14:paraId="485AA735">
      <w:pPr>
        <w:spacing w:line="560" w:lineRule="exact"/>
        <w:ind w:firstLine="645"/>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w:t>
      </w:r>
      <w:r>
        <w:rPr>
          <w:rFonts w:hint="eastAsia" w:ascii="宋体" w:hAnsi="宋体"/>
          <w:color w:val="auto"/>
          <w:sz w:val="24"/>
          <w:szCs w:val="21"/>
          <w:highlight w:val="none"/>
        </w:rPr>
        <w:t>自愿组成联合体，参加采购人组织的采购编号为</w:t>
      </w:r>
      <w:r>
        <w:rPr>
          <w:rFonts w:hint="eastAsia" w:ascii="宋体" w:hAnsi="宋体"/>
          <w:color w:val="auto"/>
          <w:sz w:val="24"/>
          <w:szCs w:val="21"/>
          <w:highlight w:val="none"/>
          <w:u w:val="single"/>
        </w:rPr>
        <w:t>（编号全称），（项目全称）</w:t>
      </w:r>
      <w:r>
        <w:rPr>
          <w:rFonts w:hint="eastAsia" w:ascii="宋体" w:hAnsi="宋体"/>
          <w:color w:val="auto"/>
          <w:sz w:val="24"/>
          <w:szCs w:val="21"/>
          <w:highlight w:val="none"/>
        </w:rPr>
        <w:t>项目（分包号：**）的政府采购活动，我联合体指定</w:t>
      </w:r>
      <w:r>
        <w:rPr>
          <w:rFonts w:hint="eastAsia" w:ascii="宋体" w:hAnsi="宋体"/>
          <w:color w:val="auto"/>
          <w:sz w:val="24"/>
          <w:szCs w:val="21"/>
          <w:highlight w:val="none"/>
          <w:u w:val="single"/>
        </w:rPr>
        <w:t>（供应商*）</w:t>
      </w:r>
      <w:r>
        <w:rPr>
          <w:rFonts w:hint="eastAsia" w:ascii="宋体" w:hAnsi="宋体"/>
          <w:color w:val="auto"/>
          <w:sz w:val="24"/>
          <w:szCs w:val="21"/>
          <w:highlight w:val="none"/>
        </w:rPr>
        <w:t>为牵头单位（牵头单位必须为联合体成员）。</w:t>
      </w:r>
    </w:p>
    <w:p w14:paraId="49F32A5A">
      <w:pPr>
        <w:spacing w:line="560" w:lineRule="exact"/>
        <w:ind w:firstLine="645"/>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、若我们联合成交，（供应商单位</w:t>
      </w:r>
      <w:r>
        <w:rPr>
          <w:rFonts w:ascii="宋体" w:hAnsi="宋体"/>
          <w:color w:val="auto"/>
          <w:sz w:val="24"/>
          <w:szCs w:val="21"/>
          <w:highlight w:val="none"/>
        </w:rPr>
        <w:t>1</w:t>
      </w:r>
      <w:r>
        <w:rPr>
          <w:rFonts w:hint="eastAsia" w:ascii="宋体" w:hAnsi="宋体"/>
          <w:color w:val="auto"/>
          <w:sz w:val="24"/>
          <w:szCs w:val="21"/>
          <w:highlight w:val="none"/>
        </w:rPr>
        <w:t>全称）实施项目中（工作内容）部分工作，并承担相应的责任。（供应商单位</w:t>
      </w:r>
      <w:r>
        <w:rPr>
          <w:rFonts w:ascii="宋体" w:hAnsi="宋体"/>
          <w:color w:val="auto"/>
          <w:sz w:val="24"/>
          <w:szCs w:val="21"/>
          <w:highlight w:val="none"/>
        </w:rPr>
        <w:t>2</w:t>
      </w:r>
      <w:r>
        <w:rPr>
          <w:rFonts w:hint="eastAsia" w:ascii="宋体" w:hAnsi="宋体"/>
          <w:color w:val="auto"/>
          <w:sz w:val="24"/>
          <w:szCs w:val="21"/>
          <w:highlight w:val="none"/>
        </w:rPr>
        <w:t>全称）实施项目中（工作内容）部分工作，并承担相应的责任……。（注：联合体中各供应商都应明示所承担的工作和相应的责任）。</w:t>
      </w:r>
    </w:p>
    <w:p w14:paraId="30FBF401">
      <w:pPr>
        <w:spacing w:line="560" w:lineRule="exact"/>
        <w:ind w:firstLine="645"/>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w:t>
      </w:r>
    </w:p>
    <w:p w14:paraId="6A6E0F71">
      <w:pPr>
        <w:spacing w:line="560" w:lineRule="exact"/>
        <w:ind w:firstLine="645"/>
        <w:rPr>
          <w:rFonts w:ascii="宋体" w:hAnsi="宋体"/>
          <w:color w:val="auto"/>
          <w:sz w:val="24"/>
          <w:szCs w:val="21"/>
          <w:highlight w:val="none"/>
        </w:rPr>
      </w:pPr>
    </w:p>
    <w:p w14:paraId="4D9AF62F">
      <w:pPr>
        <w:spacing w:line="560" w:lineRule="exact"/>
        <w:ind w:firstLine="645"/>
        <w:rPr>
          <w:rFonts w:ascii="宋体" w:hAnsi="宋体"/>
          <w:color w:val="auto"/>
          <w:sz w:val="24"/>
          <w:szCs w:val="21"/>
          <w:highlight w:val="none"/>
        </w:rPr>
      </w:pPr>
      <w:r>
        <w:rPr>
          <w:rFonts w:hint="eastAsia" w:ascii="宋体" w:hAnsi="宋体"/>
          <w:color w:val="auto"/>
          <w:sz w:val="24"/>
          <w:szCs w:val="21"/>
          <w:highlight w:val="none"/>
        </w:rPr>
        <w:t>备注：本磋商文件中要求加盖CA电子签章的地方，仅需加盖牵头单位的CA电子签章。</w:t>
      </w:r>
    </w:p>
    <w:p w14:paraId="25300BAE">
      <w:pPr>
        <w:spacing w:line="560" w:lineRule="exact"/>
        <w:ind w:firstLine="645"/>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p>
    <w:p w14:paraId="512326FD">
      <w:pPr>
        <w:spacing w:line="560" w:lineRule="exact"/>
        <w:ind w:firstLine="645"/>
        <w:jc w:val="right"/>
        <w:rPr>
          <w:rFonts w:ascii="宋体" w:hAnsi="宋体"/>
          <w:color w:val="auto"/>
          <w:sz w:val="24"/>
          <w:szCs w:val="21"/>
          <w:highlight w:val="none"/>
        </w:rPr>
      </w:pPr>
      <w:r>
        <w:rPr>
          <w:rFonts w:hint="eastAsia" w:ascii="宋体" w:hAnsi="宋体"/>
          <w:color w:val="auto"/>
          <w:sz w:val="24"/>
          <w:szCs w:val="21"/>
          <w:highlight w:val="none"/>
        </w:rPr>
        <w:t>联合体中各供应商全称（公章）：</w:t>
      </w:r>
      <w:r>
        <w:rPr>
          <w:rFonts w:ascii="宋体" w:hAnsi="宋体"/>
          <w:color w:val="auto"/>
          <w:sz w:val="24"/>
          <w:szCs w:val="21"/>
          <w:highlight w:val="none"/>
        </w:rPr>
        <w:t xml:space="preserve">     </w:t>
      </w:r>
    </w:p>
    <w:p w14:paraId="4EC4DD8E">
      <w:pPr>
        <w:spacing w:line="560" w:lineRule="exact"/>
        <w:ind w:firstLine="645"/>
        <w:rPr>
          <w:rFonts w:ascii="宋体" w:hAnsi="宋体"/>
          <w:color w:val="auto"/>
          <w:sz w:val="24"/>
          <w:szCs w:val="24"/>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rPr>
          <w:rFonts w:hint="eastAsia" w:ascii="宋体" w:hAnsi="宋体"/>
          <w:color w:val="auto"/>
          <w:sz w:val="24"/>
          <w:szCs w:val="24"/>
          <w:highlight w:val="none"/>
        </w:rPr>
        <w:t xml:space="preserve"> </w:t>
      </w:r>
    </w:p>
    <w:p w14:paraId="5CD9C84E">
      <w:pPr>
        <w:widowControl/>
        <w:spacing w:line="560" w:lineRule="exact"/>
        <w:ind w:firstLine="480" w:firstLineChars="200"/>
        <w:jc w:val="left"/>
        <w:rPr>
          <w:rFonts w:ascii="宋体" w:hAnsi="宋体"/>
          <w:color w:val="auto"/>
          <w:sz w:val="24"/>
          <w:szCs w:val="24"/>
          <w:highlight w:val="none"/>
        </w:rPr>
      </w:pPr>
    </w:p>
    <w:p w14:paraId="2DED1F31">
      <w:pPr>
        <w:spacing w:line="560" w:lineRule="exact"/>
        <w:jc w:val="left"/>
        <w:rPr>
          <w:rFonts w:ascii="黑体" w:hAnsi="黑体" w:eastAsia="黑体"/>
          <w:b/>
          <w:color w:val="auto"/>
          <w:sz w:val="32"/>
          <w:szCs w:val="32"/>
          <w:highlight w:val="none"/>
        </w:rPr>
      </w:pPr>
      <w:r>
        <w:rPr>
          <w:rFonts w:hint="eastAsia" w:ascii="黑体" w:hAnsi="黑体" w:eastAsia="黑体"/>
          <w:b/>
          <w:color w:val="auto"/>
          <w:sz w:val="32"/>
          <w:szCs w:val="32"/>
          <w:highlight w:val="none"/>
        </w:rPr>
        <w:t>备注：本项目不接受联合体</w:t>
      </w:r>
    </w:p>
    <w:p w14:paraId="597FD3A8">
      <w:pPr>
        <w:spacing w:line="560" w:lineRule="exact"/>
        <w:jc w:val="center"/>
        <w:rPr>
          <w:rFonts w:ascii="黑体" w:hAnsi="黑体" w:eastAsia="黑体"/>
          <w:b/>
          <w:color w:val="auto"/>
          <w:sz w:val="32"/>
          <w:szCs w:val="32"/>
          <w:highlight w:val="none"/>
        </w:rPr>
      </w:pPr>
    </w:p>
    <w:p w14:paraId="1C3A464A">
      <w:pPr>
        <w:spacing w:line="560" w:lineRule="exact"/>
        <w:jc w:val="center"/>
        <w:rPr>
          <w:rFonts w:ascii="黑体" w:hAnsi="黑体" w:eastAsia="黑体"/>
          <w:b/>
          <w:color w:val="auto"/>
          <w:sz w:val="32"/>
          <w:szCs w:val="32"/>
          <w:highlight w:val="none"/>
        </w:rPr>
      </w:pPr>
    </w:p>
    <w:p w14:paraId="4F1CC346">
      <w:pPr>
        <w:spacing w:line="560" w:lineRule="exact"/>
        <w:jc w:val="center"/>
        <w:rPr>
          <w:rFonts w:ascii="黑体" w:hAnsi="黑体" w:eastAsia="黑体"/>
          <w:b/>
          <w:color w:val="auto"/>
          <w:sz w:val="32"/>
          <w:szCs w:val="32"/>
          <w:highlight w:val="none"/>
        </w:rPr>
      </w:pPr>
    </w:p>
    <w:p w14:paraId="7EFB5026">
      <w:pPr>
        <w:spacing w:line="560" w:lineRule="exact"/>
        <w:jc w:val="center"/>
        <w:rPr>
          <w:rFonts w:ascii="黑体" w:hAnsi="黑体" w:eastAsia="黑体"/>
          <w:b/>
          <w:color w:val="auto"/>
          <w:sz w:val="32"/>
          <w:szCs w:val="32"/>
          <w:highlight w:val="none"/>
        </w:rPr>
      </w:pPr>
    </w:p>
    <w:p w14:paraId="079C7F4C">
      <w:pPr>
        <w:snapToGrid w:val="0"/>
        <w:spacing w:line="520" w:lineRule="exact"/>
        <w:rPr>
          <w:rFonts w:eastAsia="方正黑体_GBK"/>
          <w:color w:val="auto"/>
          <w:sz w:val="32"/>
          <w:szCs w:val="32"/>
          <w:highlight w:val="none"/>
        </w:rPr>
      </w:pPr>
      <w:r>
        <w:rPr>
          <w:rFonts w:eastAsia="方正黑体_GBK"/>
          <w:color w:val="auto"/>
          <w:sz w:val="32"/>
          <w:szCs w:val="32"/>
          <w:highlight w:val="none"/>
        </w:rPr>
        <w:t>附件1</w:t>
      </w:r>
      <w:r>
        <w:rPr>
          <w:rFonts w:hint="eastAsia" w:eastAsia="方正黑体_GBK"/>
          <w:color w:val="auto"/>
          <w:sz w:val="32"/>
          <w:szCs w:val="32"/>
          <w:highlight w:val="none"/>
        </w:rPr>
        <w:t>4</w:t>
      </w:r>
    </w:p>
    <w:p w14:paraId="4E530619">
      <w:pPr>
        <w:spacing w:line="520" w:lineRule="exact"/>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0C02CB52">
      <w:pPr>
        <w:adjustRightInd w:val="0"/>
        <w:snapToGrid w:val="0"/>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2EF2805C">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dotted"/>
        </w:rPr>
        <w:t xml:space="preserve">                                                              </w:t>
      </w:r>
    </w:p>
    <w:p w14:paraId="09CFAD6F">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533206C7">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6E8955CD">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12B1293C">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417DC46A">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493E9B2D">
      <w:pPr>
        <w:adjustRightInd w:val="0"/>
        <w:snapToGrid w:val="0"/>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1804EC9">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080A24FA">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01B52C67">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28B24A84">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dotted"/>
        </w:rPr>
        <w:t xml:space="preserve">                                                        </w:t>
      </w:r>
    </w:p>
    <w:p w14:paraId="175C48C2">
      <w:pPr>
        <w:adjustRightInd w:val="0"/>
        <w:snapToGrid w:val="0"/>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018493EF">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4C7BF359">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1EF140FB">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3A8C8317">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54364920">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160C4A9B">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47F6C93A">
      <w:pPr>
        <w:adjustRightInd w:val="0"/>
        <w:snapToGrid w:val="0"/>
        <w:spacing w:line="520" w:lineRule="exact"/>
        <w:rPr>
          <w:rFonts w:ascii="宋体" w:hAnsi="宋体" w:cs="仿宋"/>
          <w:color w:val="auto"/>
          <w:sz w:val="24"/>
          <w:szCs w:val="24"/>
          <w:highlight w:val="none"/>
        </w:rPr>
      </w:pPr>
      <w:r>
        <w:rPr>
          <w:rFonts w:hint="eastAsia" w:ascii="宋体" w:hAnsi="宋体" w:cs="仿宋"/>
          <w:color w:val="auto"/>
          <w:sz w:val="24"/>
          <w:szCs w:val="24"/>
          <w:highlight w:val="none"/>
        </w:rPr>
        <w:t>……</w:t>
      </w:r>
    </w:p>
    <w:p w14:paraId="7E7D01F8">
      <w:pPr>
        <w:adjustRightInd w:val="0"/>
        <w:snapToGrid w:val="0"/>
        <w:spacing w:line="520" w:lineRule="exact"/>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05403965">
      <w:pPr>
        <w:adjustRightInd w:val="0"/>
        <w:snapToGrid w:val="0"/>
        <w:spacing w:line="520" w:lineRule="exact"/>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1BB33058">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298AB886">
      <w:pPr>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p>
    <w:p w14:paraId="5C877D7F">
      <w:pPr>
        <w:spacing w:line="52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6F7D8BF6">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6C8DA9E7">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szCs w:val="24"/>
          <w:highlight w:val="none"/>
        </w:rPr>
        <w:t>供应商签署的授权委托书。授权委托书应载明代理人的姓名或者名称、代理事项、具体权限、期限和相关事项。</w:t>
      </w:r>
    </w:p>
    <w:p w14:paraId="5BE833F3">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45C95B12">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026AA36E">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10463743">
      <w:pPr>
        <w:widowControl/>
        <w:spacing w:line="52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0752A474">
      <w:pPr>
        <w:spacing w:line="560" w:lineRule="exact"/>
        <w:jc w:val="center"/>
        <w:rPr>
          <w:rFonts w:ascii="黑体" w:hAnsi="黑体" w:eastAsia="黑体"/>
          <w:b/>
          <w:color w:val="auto"/>
          <w:sz w:val="32"/>
          <w:szCs w:val="32"/>
          <w:highlight w:val="none"/>
        </w:rPr>
      </w:pPr>
    </w:p>
    <w:p w14:paraId="738FC873">
      <w:pPr>
        <w:spacing w:line="560" w:lineRule="exact"/>
        <w:jc w:val="center"/>
        <w:rPr>
          <w:rFonts w:ascii="黑体" w:hAnsi="黑体" w:eastAsia="黑体"/>
          <w:b/>
          <w:color w:val="auto"/>
          <w:sz w:val="32"/>
          <w:szCs w:val="32"/>
          <w:highlight w:val="none"/>
        </w:rPr>
      </w:pPr>
    </w:p>
    <w:p w14:paraId="7CCFD887">
      <w:pPr>
        <w:spacing w:line="560" w:lineRule="exact"/>
        <w:jc w:val="center"/>
        <w:rPr>
          <w:rFonts w:ascii="黑体" w:hAnsi="黑体" w:eastAsia="黑体"/>
          <w:b/>
          <w:color w:val="auto"/>
          <w:sz w:val="32"/>
          <w:szCs w:val="32"/>
          <w:highlight w:val="none"/>
        </w:rPr>
      </w:pPr>
    </w:p>
    <w:p w14:paraId="199A08B1">
      <w:pPr>
        <w:spacing w:line="560" w:lineRule="exact"/>
        <w:jc w:val="center"/>
        <w:rPr>
          <w:rFonts w:ascii="黑体" w:hAnsi="黑体" w:eastAsia="黑体"/>
          <w:b/>
          <w:color w:val="auto"/>
          <w:sz w:val="32"/>
          <w:szCs w:val="32"/>
          <w:highlight w:val="none"/>
        </w:rPr>
      </w:pPr>
    </w:p>
    <w:p w14:paraId="0D7124DA">
      <w:pPr>
        <w:spacing w:line="560" w:lineRule="exact"/>
        <w:jc w:val="center"/>
        <w:rPr>
          <w:rFonts w:ascii="黑体" w:hAnsi="黑体" w:eastAsia="黑体"/>
          <w:b/>
          <w:color w:val="auto"/>
          <w:sz w:val="32"/>
          <w:szCs w:val="32"/>
          <w:highlight w:val="none"/>
        </w:rPr>
      </w:pPr>
    </w:p>
    <w:p w14:paraId="45C3281A">
      <w:pPr>
        <w:spacing w:line="560" w:lineRule="exact"/>
        <w:jc w:val="center"/>
        <w:rPr>
          <w:rFonts w:ascii="黑体" w:hAnsi="黑体" w:eastAsia="黑体"/>
          <w:b/>
          <w:color w:val="auto"/>
          <w:sz w:val="32"/>
          <w:szCs w:val="32"/>
          <w:highlight w:val="none"/>
        </w:rPr>
      </w:pPr>
    </w:p>
    <w:p w14:paraId="60B3856F">
      <w:pPr>
        <w:spacing w:line="560" w:lineRule="exact"/>
        <w:jc w:val="center"/>
        <w:rPr>
          <w:rFonts w:ascii="黑体" w:hAnsi="黑体" w:eastAsia="黑体"/>
          <w:b/>
          <w:color w:val="auto"/>
          <w:sz w:val="32"/>
          <w:szCs w:val="32"/>
          <w:highlight w:val="none"/>
        </w:rPr>
      </w:pPr>
    </w:p>
    <w:p w14:paraId="07506F8D">
      <w:pPr>
        <w:spacing w:line="560" w:lineRule="exact"/>
        <w:jc w:val="center"/>
        <w:rPr>
          <w:rFonts w:ascii="黑体" w:hAnsi="黑体" w:eastAsia="黑体"/>
          <w:b/>
          <w:color w:val="auto"/>
          <w:sz w:val="32"/>
          <w:szCs w:val="32"/>
          <w:highlight w:val="none"/>
        </w:rPr>
      </w:pPr>
    </w:p>
    <w:p w14:paraId="250B7C59">
      <w:pPr>
        <w:spacing w:line="560" w:lineRule="exact"/>
        <w:jc w:val="center"/>
        <w:rPr>
          <w:rFonts w:ascii="黑体" w:hAnsi="黑体" w:eastAsia="黑体"/>
          <w:b/>
          <w:color w:val="auto"/>
          <w:sz w:val="32"/>
          <w:szCs w:val="32"/>
          <w:highlight w:val="none"/>
        </w:rPr>
      </w:pPr>
    </w:p>
    <w:p w14:paraId="150704C1">
      <w:pPr>
        <w:spacing w:line="560" w:lineRule="exact"/>
        <w:jc w:val="center"/>
        <w:rPr>
          <w:rFonts w:ascii="黑体" w:hAnsi="黑体" w:eastAsia="黑体"/>
          <w:b/>
          <w:color w:val="auto"/>
          <w:sz w:val="32"/>
          <w:szCs w:val="32"/>
          <w:highlight w:val="none"/>
        </w:rPr>
      </w:pPr>
    </w:p>
    <w:p w14:paraId="7AADD8D1">
      <w:pPr>
        <w:spacing w:line="560" w:lineRule="exact"/>
        <w:jc w:val="center"/>
        <w:rPr>
          <w:rFonts w:ascii="黑体" w:hAnsi="黑体" w:eastAsia="黑体"/>
          <w:b/>
          <w:color w:val="auto"/>
          <w:sz w:val="32"/>
          <w:szCs w:val="32"/>
          <w:highlight w:val="none"/>
        </w:rPr>
      </w:pPr>
    </w:p>
    <w:p w14:paraId="351C60B3">
      <w:pPr>
        <w:spacing w:line="560" w:lineRule="exact"/>
        <w:jc w:val="center"/>
        <w:rPr>
          <w:rFonts w:ascii="黑体" w:hAnsi="黑体" w:eastAsia="黑体"/>
          <w:b/>
          <w:color w:val="auto"/>
          <w:sz w:val="32"/>
          <w:szCs w:val="32"/>
          <w:highlight w:val="none"/>
        </w:rPr>
      </w:pPr>
    </w:p>
    <w:p w14:paraId="5C49BA9D">
      <w:pPr>
        <w:spacing w:line="560" w:lineRule="exact"/>
        <w:jc w:val="center"/>
        <w:rPr>
          <w:rFonts w:ascii="黑体" w:hAnsi="黑体" w:eastAsia="黑体"/>
          <w:b/>
          <w:color w:val="auto"/>
          <w:sz w:val="32"/>
          <w:szCs w:val="32"/>
          <w:highlight w:val="none"/>
        </w:rPr>
      </w:pPr>
    </w:p>
    <w:p w14:paraId="64B26510">
      <w:pPr>
        <w:spacing w:line="560" w:lineRule="exact"/>
        <w:jc w:val="center"/>
        <w:rPr>
          <w:rFonts w:ascii="黑体" w:hAnsi="黑体" w:eastAsia="黑体"/>
          <w:b/>
          <w:color w:val="auto"/>
          <w:sz w:val="32"/>
          <w:szCs w:val="32"/>
          <w:highlight w:val="none"/>
        </w:rPr>
      </w:pPr>
    </w:p>
    <w:bookmarkEnd w:id="184"/>
    <w:bookmarkEnd w:id="185"/>
    <w:bookmarkEnd w:id="202"/>
    <w:p w14:paraId="10FAE676">
      <w:pPr>
        <w:snapToGrid w:val="0"/>
        <w:spacing w:line="300" w:lineRule="auto"/>
        <w:rPr>
          <w:rFonts w:ascii="仿宋_GB2312" w:eastAsia="仿宋_GB2312"/>
          <w:b/>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rPr>
        <w:t>15</w:t>
      </w:r>
    </w:p>
    <w:p w14:paraId="57884179">
      <w:pPr>
        <w:autoSpaceDE w:val="0"/>
        <w:autoSpaceDN w:val="0"/>
        <w:snapToGrid w:val="0"/>
        <w:spacing w:line="580" w:lineRule="exact"/>
        <w:jc w:val="center"/>
        <w:rPr>
          <w:rFonts w:ascii="方正小标宋简体" w:eastAsia="方正小标宋简体"/>
          <w:color w:val="auto"/>
          <w:sz w:val="44"/>
          <w:highlight w:val="none"/>
        </w:rPr>
      </w:pPr>
      <w:r>
        <w:rPr>
          <w:rFonts w:hint="eastAsia" w:eastAsia="方正大标宋_GBK"/>
          <w:bCs/>
          <w:snapToGrid w:val="0"/>
          <w:color w:val="auto"/>
          <w:kern w:val="0"/>
          <w:sz w:val="44"/>
          <w:szCs w:val="44"/>
          <w:highlight w:val="none"/>
        </w:rPr>
        <w:t>办理政采贷和</w:t>
      </w:r>
      <w:r>
        <w:rPr>
          <w:rFonts w:eastAsia="方正大标宋_GBK"/>
          <w:bCs/>
          <w:snapToGrid w:val="0"/>
          <w:color w:val="auto"/>
          <w:kern w:val="0"/>
          <w:sz w:val="44"/>
          <w:szCs w:val="44"/>
          <w:highlight w:val="none"/>
        </w:rPr>
        <w:t>履</w:t>
      </w:r>
      <w:r>
        <w:rPr>
          <w:rFonts w:hint="eastAsia" w:eastAsia="方正大标宋_GBK"/>
          <w:bCs/>
          <w:snapToGrid w:val="0"/>
          <w:color w:val="auto"/>
          <w:kern w:val="0"/>
          <w:sz w:val="44"/>
          <w:szCs w:val="44"/>
          <w:highlight w:val="none"/>
        </w:rPr>
        <w:t>约保函（</w:t>
      </w:r>
      <w:r>
        <w:rPr>
          <w:rFonts w:eastAsia="方正大标宋_GBK"/>
          <w:bCs/>
          <w:snapToGrid w:val="0"/>
          <w:color w:val="auto"/>
          <w:kern w:val="0"/>
          <w:sz w:val="44"/>
          <w:szCs w:val="44"/>
          <w:highlight w:val="none"/>
        </w:rPr>
        <w:t>保险</w:t>
      </w:r>
      <w:r>
        <w:rPr>
          <w:rFonts w:hint="eastAsia" w:eastAsia="方正大标宋_GBK"/>
          <w:bCs/>
          <w:snapToGrid w:val="0"/>
          <w:color w:val="auto"/>
          <w:kern w:val="0"/>
          <w:sz w:val="44"/>
          <w:szCs w:val="44"/>
          <w:highlight w:val="none"/>
        </w:rPr>
        <w:t>）告知函</w:t>
      </w:r>
    </w:p>
    <w:p w14:paraId="705B4679">
      <w:pPr>
        <w:rPr>
          <w:rFonts w:eastAsia="仿宋_GB2312"/>
          <w:color w:val="auto"/>
          <w:sz w:val="32"/>
          <w:highlight w:val="none"/>
        </w:rPr>
      </w:pPr>
    </w:p>
    <w:p w14:paraId="79F81A6E">
      <w:pPr>
        <w:rPr>
          <w:rFonts w:eastAsia="仿宋_GB2312"/>
          <w:color w:val="auto"/>
          <w:sz w:val="32"/>
          <w:highlight w:val="none"/>
        </w:rPr>
      </w:pPr>
      <w:r>
        <w:rPr>
          <w:rFonts w:hint="eastAsia" w:eastAsia="仿宋_GB2312"/>
          <w:color w:val="auto"/>
          <w:sz w:val="32"/>
          <w:highlight w:val="none"/>
        </w:rPr>
        <w:t>各政府采购供应商：</w:t>
      </w:r>
    </w:p>
    <w:p w14:paraId="28598F15">
      <w:pPr>
        <w:ind w:firstLine="640" w:firstLineChars="200"/>
        <w:rPr>
          <w:rFonts w:eastAsia="仿宋_GB2312"/>
          <w:color w:val="auto"/>
          <w:sz w:val="32"/>
          <w:highlight w:val="none"/>
        </w:rPr>
      </w:pPr>
      <w:r>
        <w:rPr>
          <w:rFonts w:hint="eastAsia" w:eastAsia="仿宋_GB2312"/>
          <w:color w:val="auto"/>
          <w:sz w:val="32"/>
          <w:highlight w:val="none"/>
        </w:rPr>
        <w:t>欢迎贵公司参与南通市政府采购活动！</w:t>
      </w:r>
    </w:p>
    <w:p w14:paraId="0B33D546">
      <w:pPr>
        <w:ind w:firstLine="640" w:firstLineChars="200"/>
        <w:rPr>
          <w:rFonts w:eastAsia="仿宋_GB2312"/>
          <w:color w:val="auto"/>
          <w:sz w:val="32"/>
          <w:highlight w:val="none"/>
        </w:rPr>
      </w:pPr>
      <w:r>
        <w:rPr>
          <w:rFonts w:hint="eastAsia" w:eastAsia="仿宋_GB2312"/>
          <w:color w:val="auto"/>
          <w:sz w:val="32"/>
          <w:highlight w:val="none"/>
        </w:rPr>
        <w:t>政府采购线上合同信用融资和</w:t>
      </w:r>
      <w:r>
        <w:rPr>
          <w:rFonts w:eastAsia="仿宋_GB2312"/>
          <w:color w:val="auto"/>
          <w:sz w:val="32"/>
          <w:highlight w:val="none"/>
        </w:rPr>
        <w:t>履</w:t>
      </w:r>
      <w:r>
        <w:rPr>
          <w:rFonts w:hint="eastAsia" w:eastAsia="仿宋_GB2312"/>
          <w:color w:val="auto"/>
          <w:sz w:val="32"/>
          <w:highlight w:val="none"/>
        </w:rPr>
        <w:t>约保函（</w:t>
      </w:r>
      <w:r>
        <w:rPr>
          <w:rFonts w:eastAsia="仿宋_GB2312"/>
          <w:color w:val="auto"/>
          <w:sz w:val="32"/>
          <w:highlight w:val="none"/>
        </w:rPr>
        <w:t>保险</w:t>
      </w:r>
      <w:r>
        <w:rPr>
          <w:rFonts w:hint="eastAsia" w:eastAsia="仿宋_GB2312"/>
          <w:color w:val="auto"/>
          <w:sz w:val="32"/>
          <w:highlight w:val="none"/>
        </w:rPr>
        <w:t>）是支持企业发展，针对参与政府采购活动的企业融资难、现金流不足等问题推出的一项服务举措。</w:t>
      </w:r>
    </w:p>
    <w:p w14:paraId="7471F422">
      <w:pPr>
        <w:autoSpaceDE w:val="0"/>
        <w:autoSpaceDN w:val="0"/>
        <w:snapToGrid w:val="0"/>
        <w:spacing w:line="580" w:lineRule="exact"/>
        <w:ind w:firstLine="640" w:firstLineChars="200"/>
        <w:rPr>
          <w:rFonts w:eastAsia="仿宋_GB2312"/>
          <w:color w:val="auto"/>
          <w:sz w:val="32"/>
          <w:highlight w:val="none"/>
        </w:rPr>
      </w:pPr>
      <w:r>
        <w:rPr>
          <w:rFonts w:hint="eastAsia" w:eastAsia="仿宋_GB2312"/>
          <w:color w:val="auto"/>
          <w:sz w:val="32"/>
          <w:highlight w:val="none"/>
        </w:rPr>
        <w:t>贵公司若成为本次政府采购项目的中标（成交）供应商，</w:t>
      </w:r>
      <w:r>
        <w:rPr>
          <w:rFonts w:hint="eastAsia" w:ascii="仿宋_GB2312" w:eastAsia="仿宋_GB2312"/>
          <w:color w:val="auto"/>
          <w:sz w:val="32"/>
          <w:szCs w:val="32"/>
          <w:highlight w:val="none"/>
        </w:rPr>
        <w:t>可自愿选择</w:t>
      </w:r>
      <w:r>
        <w:rPr>
          <w:rFonts w:eastAsia="仿宋_GB2312"/>
          <w:color w:val="auto"/>
          <w:sz w:val="32"/>
          <w:highlight w:val="none"/>
        </w:rPr>
        <w:t>履</w:t>
      </w:r>
      <w:r>
        <w:rPr>
          <w:rFonts w:hint="eastAsia" w:eastAsia="仿宋_GB2312"/>
          <w:color w:val="auto"/>
          <w:sz w:val="32"/>
          <w:highlight w:val="none"/>
        </w:rPr>
        <w:t>约保函（</w:t>
      </w:r>
      <w:r>
        <w:rPr>
          <w:rFonts w:eastAsia="仿宋_GB2312"/>
          <w:color w:val="auto"/>
          <w:sz w:val="32"/>
          <w:highlight w:val="none"/>
        </w:rPr>
        <w:t>保险</w:t>
      </w:r>
      <w:r>
        <w:rPr>
          <w:rFonts w:hint="eastAsia" w:eastAsia="仿宋_GB2312"/>
          <w:color w:val="auto"/>
          <w:sz w:val="32"/>
          <w:highlight w:val="none"/>
        </w:rPr>
        <w:t>）</w:t>
      </w:r>
      <w:r>
        <w:rPr>
          <w:rFonts w:hint="eastAsia" w:ascii="仿宋_GB2312" w:eastAsia="仿宋_GB2312"/>
          <w:color w:val="auto"/>
          <w:sz w:val="32"/>
          <w:szCs w:val="32"/>
          <w:highlight w:val="none"/>
        </w:rPr>
        <w:t>形式替代履约保证金，也</w:t>
      </w:r>
      <w:r>
        <w:rPr>
          <w:rFonts w:hint="eastAsia" w:eastAsia="仿宋_GB2312"/>
          <w:color w:val="auto"/>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5D5F6438">
      <w:pPr>
        <w:pStyle w:val="58"/>
        <w:ind w:firstLine="640"/>
        <w:rPr>
          <w:rFonts w:eastAsia="仿宋_GB2312"/>
          <w:color w:val="auto"/>
          <w:sz w:val="32"/>
          <w:highlight w:val="none"/>
        </w:rPr>
      </w:pPr>
    </w:p>
    <w:p w14:paraId="3CB77411">
      <w:pPr>
        <w:pStyle w:val="58"/>
        <w:ind w:firstLine="640"/>
        <w:rPr>
          <w:rFonts w:eastAsia="仿宋_GB2312"/>
          <w:color w:val="auto"/>
          <w:sz w:val="32"/>
          <w:highlight w:val="none"/>
        </w:rPr>
      </w:pPr>
    </w:p>
    <w:p w14:paraId="096F73B4">
      <w:pPr>
        <w:pStyle w:val="58"/>
        <w:ind w:firstLine="640"/>
        <w:rPr>
          <w:rFonts w:eastAsia="仿宋_GB2312"/>
          <w:color w:val="auto"/>
          <w:sz w:val="32"/>
          <w:highlight w:val="none"/>
        </w:rPr>
      </w:pPr>
    </w:p>
    <w:p w14:paraId="2FCD8FDF">
      <w:pPr>
        <w:pStyle w:val="58"/>
        <w:ind w:firstLine="640"/>
        <w:rPr>
          <w:rFonts w:eastAsia="仿宋_GB2312"/>
          <w:color w:val="auto"/>
          <w:sz w:val="32"/>
          <w:highlight w:val="none"/>
        </w:rPr>
      </w:pPr>
    </w:p>
    <w:p w14:paraId="340697FF">
      <w:pPr>
        <w:pStyle w:val="58"/>
        <w:ind w:firstLine="640"/>
        <w:rPr>
          <w:rFonts w:eastAsia="仿宋_GB2312"/>
          <w:color w:val="auto"/>
          <w:sz w:val="32"/>
          <w:highlight w:val="none"/>
        </w:rPr>
      </w:pPr>
    </w:p>
    <w:p w14:paraId="565AD439">
      <w:pPr>
        <w:pStyle w:val="58"/>
        <w:ind w:firstLine="640"/>
        <w:rPr>
          <w:rFonts w:eastAsia="仿宋_GB2312"/>
          <w:color w:val="auto"/>
          <w:sz w:val="32"/>
          <w:highlight w:val="none"/>
        </w:rPr>
      </w:pPr>
    </w:p>
    <w:p w14:paraId="726DE14B">
      <w:pPr>
        <w:pStyle w:val="58"/>
        <w:ind w:firstLine="640"/>
        <w:rPr>
          <w:rFonts w:eastAsia="仿宋_GB2312"/>
          <w:color w:val="auto"/>
          <w:sz w:val="32"/>
          <w:highlight w:val="none"/>
        </w:rPr>
      </w:pPr>
    </w:p>
    <w:p w14:paraId="70F57667">
      <w:pPr>
        <w:pStyle w:val="58"/>
        <w:ind w:firstLine="640"/>
        <w:rPr>
          <w:rFonts w:eastAsia="仿宋_GB2312"/>
          <w:color w:val="auto"/>
          <w:sz w:val="32"/>
          <w:highlight w:val="none"/>
        </w:rPr>
      </w:pPr>
    </w:p>
    <w:p w14:paraId="2F658E2D">
      <w:pPr>
        <w:pStyle w:val="58"/>
        <w:ind w:firstLine="640"/>
        <w:rPr>
          <w:rFonts w:eastAsia="仿宋_GB2312"/>
          <w:color w:val="auto"/>
          <w:sz w:val="32"/>
          <w:highlight w:val="none"/>
        </w:rPr>
      </w:pPr>
    </w:p>
    <w:p w14:paraId="22433885">
      <w:pPr>
        <w:snapToGrid w:val="0"/>
        <w:spacing w:line="300" w:lineRule="auto"/>
        <w:rPr>
          <w:rFonts w:eastAsia="方正黑体_GBK"/>
          <w:color w:val="auto"/>
          <w:sz w:val="32"/>
          <w:szCs w:val="32"/>
          <w:highlight w:val="none"/>
        </w:rPr>
      </w:pPr>
      <w:r>
        <w:rPr>
          <w:rFonts w:hint="eastAsia" w:eastAsia="方正黑体_GBK"/>
          <w:color w:val="auto"/>
          <w:sz w:val="32"/>
          <w:szCs w:val="32"/>
          <w:highlight w:val="none"/>
        </w:rPr>
        <w:t>附件16：</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042"/>
        <w:gridCol w:w="1108"/>
        <w:gridCol w:w="1326"/>
        <w:gridCol w:w="1570"/>
        <w:gridCol w:w="578"/>
        <w:gridCol w:w="1196"/>
        <w:gridCol w:w="1462"/>
      </w:tblGrid>
      <w:tr w14:paraId="5ABA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5000" w:type="pct"/>
            <w:gridSpan w:val="8"/>
            <w:vAlign w:val="center"/>
          </w:tcPr>
          <w:p w14:paraId="482FCEC5">
            <w:pPr>
              <w:adjustRightInd w:val="0"/>
              <w:snapToGrid w:val="0"/>
              <w:spacing w:line="300" w:lineRule="auto"/>
              <w:jc w:val="center"/>
              <w:rPr>
                <w:rFonts w:ascii="宋体" w:hAnsi="宋体" w:cs="宋体"/>
                <w:bCs/>
                <w:color w:val="auto"/>
                <w:sz w:val="24"/>
                <w:szCs w:val="24"/>
                <w:highlight w:val="none"/>
              </w:rPr>
            </w:pPr>
            <w:r>
              <w:rPr>
                <w:rFonts w:hint="eastAsia" w:ascii="宋体" w:hAnsi="宋体" w:cs="宋体"/>
                <w:b/>
                <w:color w:val="auto"/>
                <w:sz w:val="30"/>
                <w:szCs w:val="30"/>
                <w:highlight w:val="none"/>
              </w:rPr>
              <w:t>检验项目响应表</w:t>
            </w:r>
          </w:p>
        </w:tc>
      </w:tr>
      <w:tr w14:paraId="6842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53" w:type="pct"/>
            <w:gridSpan w:val="2"/>
            <w:vAlign w:val="center"/>
          </w:tcPr>
          <w:p w14:paraId="4CC00FC7">
            <w:pPr>
              <w:adjustRightInd w:val="0"/>
              <w:snapToGrid w:val="0"/>
              <w:spacing w:line="300" w:lineRule="auto"/>
              <w:jc w:val="center"/>
              <w:rPr>
                <w:rFonts w:ascii="宋体" w:hAnsi="宋体" w:cs="宋体"/>
                <w:b/>
                <w:color w:val="auto"/>
                <w:sz w:val="30"/>
                <w:szCs w:val="30"/>
                <w:highlight w:val="none"/>
              </w:rPr>
            </w:pPr>
            <w:r>
              <w:rPr>
                <w:rFonts w:hint="eastAsia" w:hAnsi="宋体" w:cs="宋体"/>
                <w:bCs/>
                <w:color w:val="auto"/>
                <w:sz w:val="24"/>
                <w:szCs w:val="24"/>
                <w:highlight w:val="none"/>
              </w:rPr>
              <w:t>供应商名称：</w:t>
            </w:r>
          </w:p>
        </w:tc>
        <w:tc>
          <w:tcPr>
            <w:tcW w:w="1327" w:type="pct"/>
            <w:gridSpan w:val="2"/>
            <w:vAlign w:val="center"/>
          </w:tcPr>
          <w:p w14:paraId="6103F15B">
            <w:pPr>
              <w:adjustRightInd w:val="0"/>
              <w:snapToGrid w:val="0"/>
              <w:spacing w:line="300" w:lineRule="auto"/>
              <w:jc w:val="center"/>
              <w:rPr>
                <w:rFonts w:ascii="宋体" w:hAnsi="宋体" w:cs="宋体"/>
                <w:b/>
                <w:color w:val="auto"/>
                <w:sz w:val="30"/>
                <w:szCs w:val="30"/>
                <w:highlight w:val="none"/>
              </w:rPr>
            </w:pPr>
          </w:p>
        </w:tc>
        <w:tc>
          <w:tcPr>
            <w:tcW w:w="856" w:type="pct"/>
            <w:vAlign w:val="center"/>
          </w:tcPr>
          <w:p w14:paraId="29FC80EB">
            <w:pPr>
              <w:adjustRightInd w:val="0"/>
              <w:snapToGrid w:val="0"/>
              <w:spacing w:line="300" w:lineRule="auto"/>
              <w:jc w:val="center"/>
              <w:rPr>
                <w:rFonts w:ascii="宋体" w:hAnsi="宋体" w:cs="宋体"/>
                <w:b/>
                <w:color w:val="auto"/>
                <w:sz w:val="30"/>
                <w:szCs w:val="30"/>
                <w:highlight w:val="none"/>
              </w:rPr>
            </w:pPr>
            <w:r>
              <w:rPr>
                <w:rFonts w:hint="eastAsia" w:ascii="宋体" w:hAnsi="宋体" w:cs="宋体"/>
                <w:bCs/>
                <w:color w:val="auto"/>
                <w:sz w:val="24"/>
                <w:szCs w:val="24"/>
                <w:highlight w:val="none"/>
                <w:lang w:bidi="ar"/>
              </w:rPr>
              <w:t>项目名称：</w:t>
            </w:r>
          </w:p>
        </w:tc>
        <w:tc>
          <w:tcPr>
            <w:tcW w:w="1763" w:type="pct"/>
            <w:gridSpan w:val="3"/>
            <w:vAlign w:val="center"/>
          </w:tcPr>
          <w:p w14:paraId="5CF01B4B">
            <w:pPr>
              <w:adjustRightInd w:val="0"/>
              <w:snapToGrid w:val="0"/>
              <w:spacing w:line="300" w:lineRule="auto"/>
              <w:jc w:val="center"/>
              <w:rPr>
                <w:rFonts w:ascii="宋体" w:hAnsi="宋体" w:cs="宋体"/>
                <w:b/>
                <w:color w:val="auto"/>
                <w:sz w:val="30"/>
                <w:szCs w:val="30"/>
                <w:highlight w:val="none"/>
              </w:rPr>
            </w:pPr>
          </w:p>
        </w:tc>
      </w:tr>
      <w:tr w14:paraId="268A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53" w:type="pct"/>
            <w:gridSpan w:val="2"/>
            <w:vAlign w:val="center"/>
          </w:tcPr>
          <w:p w14:paraId="69D86DDE">
            <w:pPr>
              <w:adjustRightInd w:val="0"/>
              <w:snapToGrid w:val="0"/>
              <w:spacing w:line="300" w:lineRule="auto"/>
              <w:jc w:val="center"/>
              <w:rPr>
                <w:rFonts w:ascii="宋体" w:hAnsi="宋体" w:cs="宋体"/>
                <w:b/>
                <w:color w:val="auto"/>
                <w:sz w:val="30"/>
                <w:szCs w:val="30"/>
                <w:highlight w:val="none"/>
              </w:rPr>
            </w:pPr>
            <w:r>
              <w:rPr>
                <w:rFonts w:hint="eastAsia" w:ascii="宋体" w:hAnsi="宋体" w:cs="宋体"/>
                <w:bCs/>
                <w:color w:val="auto"/>
                <w:sz w:val="24"/>
                <w:szCs w:val="24"/>
                <w:highlight w:val="none"/>
                <w:lang w:bidi="ar"/>
              </w:rPr>
              <w:t>项目编</w:t>
            </w:r>
            <w:r>
              <w:rPr>
                <w:rFonts w:hint="eastAsia" w:ascii="宋体" w:hAnsi="宋体" w:cs="宋体"/>
                <w:bCs/>
                <w:color w:val="auto"/>
                <w:sz w:val="24"/>
                <w:szCs w:val="24"/>
                <w:highlight w:val="none"/>
              </w:rPr>
              <w:t>号：</w:t>
            </w:r>
          </w:p>
        </w:tc>
        <w:tc>
          <w:tcPr>
            <w:tcW w:w="3946" w:type="pct"/>
            <w:gridSpan w:val="6"/>
            <w:vAlign w:val="center"/>
          </w:tcPr>
          <w:p w14:paraId="2D5FAD36">
            <w:pPr>
              <w:adjustRightInd w:val="0"/>
              <w:snapToGrid w:val="0"/>
              <w:spacing w:line="300" w:lineRule="auto"/>
              <w:jc w:val="center"/>
              <w:rPr>
                <w:rFonts w:ascii="宋体" w:hAnsi="宋体" w:cs="宋体"/>
                <w:b/>
                <w:color w:val="auto"/>
                <w:sz w:val="30"/>
                <w:szCs w:val="30"/>
                <w:highlight w:val="none"/>
              </w:rPr>
            </w:pPr>
          </w:p>
        </w:tc>
      </w:tr>
      <w:tr w14:paraId="32A9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4203" w:type="pct"/>
            <w:gridSpan w:val="7"/>
            <w:vAlign w:val="center"/>
          </w:tcPr>
          <w:p w14:paraId="30493957">
            <w:pPr>
              <w:pStyle w:val="18"/>
              <w:rPr>
                <w:rFonts w:hint="default" w:hAnsi="宋体" w:cs="宋体"/>
                <w:b/>
                <w:color w:val="auto"/>
                <w:sz w:val="22"/>
                <w:szCs w:val="22"/>
                <w:highlight w:val="none"/>
                <w:lang w:bidi="ar"/>
              </w:rPr>
            </w:pPr>
            <w:r>
              <w:rPr>
                <w:rFonts w:hAnsi="宋体" w:cs="宋体"/>
                <w:bCs/>
                <w:color w:val="auto"/>
                <w:highlight w:val="none"/>
              </w:rPr>
              <w:t>CMA附表对《食品安全监督抽检实施细则》（</w:t>
            </w:r>
            <w:r>
              <w:rPr>
                <w:rFonts w:hint="eastAsia" w:hAnsi="宋体" w:cs="宋体"/>
                <w:bCs/>
                <w:color w:val="auto"/>
                <w:highlight w:val="none"/>
                <w:lang w:val="en-US" w:eastAsia="zh-CN"/>
              </w:rPr>
              <w:t>最新</w:t>
            </w:r>
            <w:r>
              <w:rPr>
                <w:rFonts w:hAnsi="宋体" w:cs="宋体"/>
                <w:bCs/>
                <w:color w:val="auto"/>
                <w:highlight w:val="none"/>
              </w:rPr>
              <w:t>版）覆盖率为：</w:t>
            </w:r>
          </w:p>
        </w:tc>
        <w:tc>
          <w:tcPr>
            <w:tcW w:w="796" w:type="pct"/>
            <w:vAlign w:val="center"/>
          </w:tcPr>
          <w:p w14:paraId="71578947">
            <w:pPr>
              <w:pStyle w:val="18"/>
              <w:rPr>
                <w:rFonts w:hint="default" w:hAnsi="宋体" w:cs="宋体"/>
                <w:bCs/>
                <w:color w:val="auto"/>
                <w:highlight w:val="none"/>
              </w:rPr>
            </w:pPr>
            <w:r>
              <w:rPr>
                <w:rFonts w:hAnsi="宋体" w:cs="宋体"/>
                <w:bCs/>
                <w:color w:val="auto"/>
                <w:highlight w:val="none"/>
                <w:u w:val="single"/>
              </w:rPr>
              <w:t xml:space="preserve">       </w:t>
            </w:r>
            <w:r>
              <w:rPr>
                <w:rFonts w:hAnsi="宋体" w:cs="宋体"/>
                <w:bCs/>
                <w:color w:val="auto"/>
                <w:highlight w:val="none"/>
              </w:rPr>
              <w:t>%</w:t>
            </w:r>
          </w:p>
        </w:tc>
      </w:tr>
      <w:tr w14:paraId="58DE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5000" w:type="pct"/>
            <w:gridSpan w:val="8"/>
            <w:vAlign w:val="center"/>
          </w:tcPr>
          <w:p w14:paraId="20AA4A2D">
            <w:pPr>
              <w:widowControl/>
              <w:jc w:val="center"/>
              <w:rPr>
                <w:rFonts w:ascii="宋体" w:hAnsi="宋体" w:cs="宋体"/>
                <w:b/>
                <w:color w:val="auto"/>
                <w:kern w:val="0"/>
                <w:sz w:val="22"/>
                <w:highlight w:val="none"/>
                <w:lang w:bidi="ar"/>
              </w:rPr>
            </w:pPr>
            <w:r>
              <w:rPr>
                <w:rFonts w:hint="eastAsia" w:ascii="宋体" w:hAnsi="宋体" w:cs="宋体"/>
                <w:b/>
                <w:color w:val="auto"/>
                <w:kern w:val="0"/>
                <w:sz w:val="22"/>
                <w:highlight w:val="none"/>
                <w:lang w:bidi="ar"/>
              </w:rPr>
              <w:t>检验项目响应表</w:t>
            </w:r>
          </w:p>
        </w:tc>
      </w:tr>
      <w:tr w14:paraId="07A73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484" w:type="pct"/>
            <w:vAlign w:val="center"/>
          </w:tcPr>
          <w:p w14:paraId="7F0043B8">
            <w:pPr>
              <w:widowControl/>
              <w:ind w:left="-78" w:leftChars="-37" w:right="-78" w:rightChars="-37"/>
              <w:jc w:val="center"/>
              <w:rPr>
                <w:rFonts w:ascii="宋体" w:hAnsi="宋体" w:cs="宋体"/>
                <w:bCs/>
                <w:color w:val="auto"/>
                <w:kern w:val="0"/>
                <w:sz w:val="22"/>
                <w:highlight w:val="none"/>
              </w:rPr>
            </w:pPr>
            <w:r>
              <w:rPr>
                <w:rFonts w:hint="eastAsia" w:ascii="宋体" w:hAnsi="宋体" w:cs="宋体"/>
                <w:bCs/>
                <w:color w:val="auto"/>
                <w:kern w:val="0"/>
                <w:sz w:val="22"/>
                <w:highlight w:val="none"/>
                <w:lang w:bidi="ar"/>
              </w:rPr>
              <w:t>序号</w:t>
            </w:r>
          </w:p>
        </w:tc>
        <w:tc>
          <w:tcPr>
            <w:tcW w:w="1173" w:type="pct"/>
            <w:gridSpan w:val="2"/>
            <w:vAlign w:val="center"/>
          </w:tcPr>
          <w:p w14:paraId="1D000D7B">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rPr>
              <w:t>检验项目</w:t>
            </w:r>
          </w:p>
        </w:tc>
        <w:tc>
          <w:tcPr>
            <w:tcW w:w="1894" w:type="pct"/>
            <w:gridSpan w:val="3"/>
            <w:vAlign w:val="center"/>
          </w:tcPr>
          <w:p w14:paraId="51421CC1">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lang w:bidi="ar"/>
              </w:rPr>
              <w:t>资质附表页码</w:t>
            </w:r>
          </w:p>
        </w:tc>
        <w:tc>
          <w:tcPr>
            <w:tcW w:w="651" w:type="pct"/>
            <w:vAlign w:val="center"/>
          </w:tcPr>
          <w:p w14:paraId="5A1A5B8D">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lang w:bidi="ar"/>
              </w:rPr>
              <w:t>资质附表序号</w:t>
            </w:r>
          </w:p>
        </w:tc>
        <w:tc>
          <w:tcPr>
            <w:tcW w:w="796" w:type="pct"/>
            <w:vAlign w:val="center"/>
          </w:tcPr>
          <w:p w14:paraId="0FDBD146">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lang w:bidi="ar"/>
              </w:rPr>
              <w:t>是否覆盖</w:t>
            </w:r>
          </w:p>
        </w:tc>
      </w:tr>
      <w:tr w14:paraId="1C09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484" w:type="pct"/>
            <w:vAlign w:val="center"/>
          </w:tcPr>
          <w:p w14:paraId="0A693977">
            <w:pPr>
              <w:widowControl/>
              <w:ind w:left="-78" w:leftChars="-37" w:right="-78" w:rightChars="-37"/>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1</w:t>
            </w:r>
          </w:p>
        </w:tc>
        <w:tc>
          <w:tcPr>
            <w:tcW w:w="1173" w:type="pct"/>
            <w:gridSpan w:val="2"/>
            <w:vAlign w:val="center"/>
          </w:tcPr>
          <w:p w14:paraId="748DFE32">
            <w:pPr>
              <w:widowControl/>
              <w:wordWrap w:val="0"/>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镉（以Cd计）</w:t>
            </w:r>
          </w:p>
        </w:tc>
        <w:tc>
          <w:tcPr>
            <w:tcW w:w="1894" w:type="pct"/>
            <w:gridSpan w:val="3"/>
            <w:vAlign w:val="center"/>
          </w:tcPr>
          <w:p w14:paraId="09A90CB5">
            <w:pPr>
              <w:widowControl/>
              <w:wordWrap w:val="0"/>
              <w:jc w:val="center"/>
              <w:rPr>
                <w:rFonts w:ascii="宋体" w:hAnsi="宋体" w:cs="宋体"/>
                <w:bCs/>
                <w:color w:val="auto"/>
                <w:kern w:val="0"/>
                <w:sz w:val="20"/>
                <w:szCs w:val="20"/>
                <w:highlight w:val="none"/>
                <w:lang w:bidi="ar"/>
              </w:rPr>
            </w:pPr>
          </w:p>
        </w:tc>
        <w:tc>
          <w:tcPr>
            <w:tcW w:w="651" w:type="pct"/>
            <w:vAlign w:val="center"/>
          </w:tcPr>
          <w:p w14:paraId="2BEC6651">
            <w:pPr>
              <w:widowControl/>
              <w:wordWrap w:val="0"/>
              <w:jc w:val="center"/>
              <w:rPr>
                <w:rFonts w:ascii="宋体" w:hAnsi="宋体" w:cs="宋体"/>
                <w:bCs/>
                <w:color w:val="auto"/>
                <w:kern w:val="0"/>
                <w:sz w:val="20"/>
                <w:szCs w:val="20"/>
                <w:highlight w:val="none"/>
                <w:lang w:bidi="ar"/>
              </w:rPr>
            </w:pPr>
          </w:p>
        </w:tc>
        <w:tc>
          <w:tcPr>
            <w:tcW w:w="796" w:type="pct"/>
            <w:vAlign w:val="center"/>
          </w:tcPr>
          <w:p w14:paraId="1AD7DFB3">
            <w:pPr>
              <w:widowControl/>
              <w:wordWrap w:val="0"/>
              <w:jc w:val="center"/>
              <w:rPr>
                <w:rFonts w:ascii="宋体" w:hAnsi="宋体" w:cs="宋体"/>
                <w:bCs/>
                <w:color w:val="auto"/>
                <w:kern w:val="0"/>
                <w:sz w:val="20"/>
                <w:szCs w:val="20"/>
                <w:highlight w:val="none"/>
                <w:lang w:bidi="ar"/>
              </w:rPr>
            </w:pPr>
          </w:p>
        </w:tc>
      </w:tr>
      <w:tr w14:paraId="78BB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84" w:type="pct"/>
            <w:vAlign w:val="center"/>
          </w:tcPr>
          <w:p w14:paraId="718E7E34">
            <w:pPr>
              <w:widowControl/>
              <w:ind w:left="-78" w:leftChars="-37" w:right="-78" w:rightChars="-37"/>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2</w:t>
            </w:r>
          </w:p>
        </w:tc>
        <w:tc>
          <w:tcPr>
            <w:tcW w:w="1173" w:type="pct"/>
            <w:gridSpan w:val="2"/>
            <w:vAlign w:val="center"/>
          </w:tcPr>
          <w:p w14:paraId="6896045E">
            <w:pPr>
              <w:widowControl/>
              <w:wordWrap w:val="0"/>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苯并[a]芘</w:t>
            </w:r>
          </w:p>
        </w:tc>
        <w:tc>
          <w:tcPr>
            <w:tcW w:w="1894" w:type="pct"/>
            <w:gridSpan w:val="3"/>
            <w:vAlign w:val="center"/>
          </w:tcPr>
          <w:p w14:paraId="2B394B2A">
            <w:pPr>
              <w:widowControl/>
              <w:wordWrap w:val="0"/>
              <w:jc w:val="center"/>
              <w:rPr>
                <w:rFonts w:ascii="宋体" w:hAnsi="宋体" w:cs="宋体"/>
                <w:bCs/>
                <w:color w:val="auto"/>
                <w:kern w:val="0"/>
                <w:sz w:val="20"/>
                <w:szCs w:val="20"/>
                <w:highlight w:val="none"/>
                <w:lang w:bidi="ar"/>
              </w:rPr>
            </w:pPr>
          </w:p>
        </w:tc>
        <w:tc>
          <w:tcPr>
            <w:tcW w:w="651" w:type="pct"/>
            <w:vAlign w:val="center"/>
          </w:tcPr>
          <w:p w14:paraId="496B9CCD">
            <w:pPr>
              <w:widowControl/>
              <w:wordWrap w:val="0"/>
              <w:jc w:val="center"/>
              <w:rPr>
                <w:rFonts w:ascii="宋体" w:hAnsi="宋体" w:cs="宋体"/>
                <w:bCs/>
                <w:color w:val="auto"/>
                <w:kern w:val="0"/>
                <w:sz w:val="20"/>
                <w:szCs w:val="20"/>
                <w:highlight w:val="none"/>
                <w:lang w:bidi="ar"/>
              </w:rPr>
            </w:pPr>
          </w:p>
        </w:tc>
        <w:tc>
          <w:tcPr>
            <w:tcW w:w="796" w:type="pct"/>
            <w:vAlign w:val="center"/>
          </w:tcPr>
          <w:p w14:paraId="10357AEE">
            <w:pPr>
              <w:widowControl/>
              <w:wordWrap w:val="0"/>
              <w:jc w:val="center"/>
              <w:rPr>
                <w:rFonts w:ascii="宋体" w:hAnsi="宋体" w:cs="宋体"/>
                <w:bCs/>
                <w:color w:val="auto"/>
                <w:kern w:val="0"/>
                <w:sz w:val="20"/>
                <w:szCs w:val="20"/>
                <w:highlight w:val="none"/>
                <w:lang w:bidi="ar"/>
              </w:rPr>
            </w:pPr>
          </w:p>
        </w:tc>
      </w:tr>
      <w:tr w14:paraId="5FD59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84" w:type="pct"/>
            <w:vAlign w:val="center"/>
          </w:tcPr>
          <w:p w14:paraId="7F341053">
            <w:pPr>
              <w:widowControl/>
              <w:ind w:left="-78" w:leftChars="-37" w:right="-78" w:rightChars="-37"/>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3</w:t>
            </w:r>
          </w:p>
        </w:tc>
        <w:tc>
          <w:tcPr>
            <w:tcW w:w="1173" w:type="pct"/>
            <w:gridSpan w:val="2"/>
            <w:vAlign w:val="center"/>
          </w:tcPr>
          <w:p w14:paraId="68405BE4">
            <w:pPr>
              <w:widowControl/>
              <w:wordWrap w:val="0"/>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玉米赤霉烯酮</w:t>
            </w:r>
          </w:p>
        </w:tc>
        <w:tc>
          <w:tcPr>
            <w:tcW w:w="1894" w:type="pct"/>
            <w:gridSpan w:val="3"/>
            <w:vAlign w:val="center"/>
          </w:tcPr>
          <w:p w14:paraId="40B9B306">
            <w:pPr>
              <w:widowControl/>
              <w:wordWrap w:val="0"/>
              <w:jc w:val="center"/>
              <w:rPr>
                <w:rFonts w:ascii="宋体" w:hAnsi="宋体" w:cs="宋体"/>
                <w:bCs/>
                <w:color w:val="auto"/>
                <w:kern w:val="0"/>
                <w:sz w:val="20"/>
                <w:szCs w:val="20"/>
                <w:highlight w:val="none"/>
                <w:lang w:bidi="ar"/>
              </w:rPr>
            </w:pPr>
          </w:p>
        </w:tc>
        <w:tc>
          <w:tcPr>
            <w:tcW w:w="651" w:type="pct"/>
            <w:vAlign w:val="center"/>
          </w:tcPr>
          <w:p w14:paraId="5B511851">
            <w:pPr>
              <w:widowControl/>
              <w:wordWrap w:val="0"/>
              <w:jc w:val="center"/>
              <w:rPr>
                <w:rFonts w:ascii="宋体" w:hAnsi="宋体" w:cs="宋体"/>
                <w:bCs/>
                <w:color w:val="auto"/>
                <w:kern w:val="0"/>
                <w:sz w:val="20"/>
                <w:szCs w:val="20"/>
                <w:highlight w:val="none"/>
                <w:lang w:bidi="ar"/>
              </w:rPr>
            </w:pPr>
          </w:p>
        </w:tc>
        <w:tc>
          <w:tcPr>
            <w:tcW w:w="796" w:type="pct"/>
            <w:vAlign w:val="center"/>
          </w:tcPr>
          <w:p w14:paraId="3B10E8D5">
            <w:pPr>
              <w:widowControl/>
              <w:wordWrap w:val="0"/>
              <w:jc w:val="center"/>
              <w:rPr>
                <w:rFonts w:ascii="宋体" w:hAnsi="宋体" w:cs="宋体"/>
                <w:bCs/>
                <w:color w:val="auto"/>
                <w:kern w:val="0"/>
                <w:sz w:val="20"/>
                <w:szCs w:val="20"/>
                <w:highlight w:val="none"/>
                <w:lang w:bidi="ar"/>
              </w:rPr>
            </w:pPr>
          </w:p>
        </w:tc>
      </w:tr>
      <w:tr w14:paraId="0A03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484" w:type="pct"/>
            <w:vAlign w:val="center"/>
          </w:tcPr>
          <w:p w14:paraId="25AE5F5A">
            <w:pPr>
              <w:widowControl/>
              <w:ind w:left="-78" w:leftChars="-37" w:right="-78" w:rightChars="-37"/>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4</w:t>
            </w:r>
          </w:p>
        </w:tc>
        <w:tc>
          <w:tcPr>
            <w:tcW w:w="1173" w:type="pct"/>
            <w:gridSpan w:val="2"/>
            <w:vAlign w:val="center"/>
          </w:tcPr>
          <w:p w14:paraId="179C3DA8">
            <w:pPr>
              <w:widowControl/>
              <w:wordWrap w:val="0"/>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脱氧雪腐镰刀菌烯醇</w:t>
            </w:r>
          </w:p>
        </w:tc>
        <w:tc>
          <w:tcPr>
            <w:tcW w:w="1894" w:type="pct"/>
            <w:gridSpan w:val="3"/>
            <w:vAlign w:val="center"/>
          </w:tcPr>
          <w:p w14:paraId="53AC97FF">
            <w:pPr>
              <w:widowControl/>
              <w:wordWrap w:val="0"/>
              <w:jc w:val="center"/>
              <w:rPr>
                <w:rFonts w:ascii="宋体" w:hAnsi="宋体" w:cs="宋体"/>
                <w:bCs/>
                <w:color w:val="auto"/>
                <w:kern w:val="0"/>
                <w:sz w:val="20"/>
                <w:szCs w:val="20"/>
                <w:highlight w:val="none"/>
                <w:lang w:bidi="ar"/>
              </w:rPr>
            </w:pPr>
          </w:p>
        </w:tc>
        <w:tc>
          <w:tcPr>
            <w:tcW w:w="651" w:type="pct"/>
            <w:vAlign w:val="center"/>
          </w:tcPr>
          <w:p w14:paraId="609D7EE4">
            <w:pPr>
              <w:widowControl/>
              <w:wordWrap w:val="0"/>
              <w:jc w:val="center"/>
              <w:rPr>
                <w:rFonts w:ascii="宋体" w:hAnsi="宋体" w:cs="宋体"/>
                <w:bCs/>
                <w:color w:val="auto"/>
                <w:kern w:val="0"/>
                <w:sz w:val="20"/>
                <w:szCs w:val="20"/>
                <w:highlight w:val="none"/>
                <w:lang w:bidi="ar"/>
              </w:rPr>
            </w:pPr>
          </w:p>
        </w:tc>
        <w:tc>
          <w:tcPr>
            <w:tcW w:w="796" w:type="pct"/>
            <w:vAlign w:val="center"/>
          </w:tcPr>
          <w:p w14:paraId="60B69AED">
            <w:pPr>
              <w:widowControl/>
              <w:wordWrap w:val="0"/>
              <w:jc w:val="center"/>
              <w:rPr>
                <w:rFonts w:ascii="宋体" w:hAnsi="宋体" w:cs="宋体"/>
                <w:bCs/>
                <w:color w:val="auto"/>
                <w:kern w:val="0"/>
                <w:sz w:val="20"/>
                <w:szCs w:val="20"/>
                <w:highlight w:val="none"/>
                <w:lang w:bidi="ar"/>
              </w:rPr>
            </w:pPr>
          </w:p>
        </w:tc>
      </w:tr>
      <w:tr w14:paraId="2D8B3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484" w:type="pct"/>
            <w:vAlign w:val="center"/>
          </w:tcPr>
          <w:p w14:paraId="7EE71AC8">
            <w:pPr>
              <w:widowControl/>
              <w:ind w:left="-78" w:leftChars="-37" w:right="-78" w:rightChars="-37"/>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lang w:bidi="ar"/>
              </w:rPr>
              <w:t>5</w:t>
            </w:r>
          </w:p>
        </w:tc>
        <w:tc>
          <w:tcPr>
            <w:tcW w:w="1173" w:type="pct"/>
            <w:gridSpan w:val="2"/>
            <w:vAlign w:val="center"/>
          </w:tcPr>
          <w:p w14:paraId="50884159">
            <w:pPr>
              <w:widowControl/>
              <w:wordWrap w:val="0"/>
              <w:jc w:val="center"/>
              <w:rPr>
                <w:rFonts w:ascii="宋体" w:hAnsi="宋体" w:cs="宋体"/>
                <w:bCs/>
                <w:color w:val="auto"/>
                <w:kern w:val="0"/>
                <w:sz w:val="20"/>
                <w:szCs w:val="20"/>
                <w:highlight w:val="none"/>
                <w:lang w:bidi="ar"/>
              </w:rPr>
            </w:pPr>
            <w:r>
              <w:rPr>
                <w:rFonts w:hint="eastAsia" w:ascii="宋体" w:hAnsi="宋体" w:cs="宋体"/>
                <w:bCs/>
                <w:color w:val="auto"/>
                <w:kern w:val="0"/>
                <w:sz w:val="20"/>
                <w:szCs w:val="20"/>
                <w:highlight w:val="none"/>
                <w:lang w:bidi="ar"/>
              </w:rPr>
              <w:t>赭曲霉毒素A</w:t>
            </w:r>
          </w:p>
        </w:tc>
        <w:tc>
          <w:tcPr>
            <w:tcW w:w="1894" w:type="pct"/>
            <w:gridSpan w:val="3"/>
            <w:vAlign w:val="center"/>
          </w:tcPr>
          <w:p w14:paraId="1774D981">
            <w:pPr>
              <w:widowControl/>
              <w:wordWrap w:val="0"/>
              <w:jc w:val="center"/>
              <w:rPr>
                <w:rFonts w:ascii="宋体" w:hAnsi="宋体" w:cs="宋体"/>
                <w:bCs/>
                <w:color w:val="auto"/>
                <w:kern w:val="0"/>
                <w:sz w:val="22"/>
                <w:highlight w:val="none"/>
                <w:lang w:bidi="ar"/>
              </w:rPr>
            </w:pPr>
          </w:p>
        </w:tc>
        <w:tc>
          <w:tcPr>
            <w:tcW w:w="651" w:type="pct"/>
            <w:vAlign w:val="center"/>
          </w:tcPr>
          <w:p w14:paraId="2D142BB5">
            <w:pPr>
              <w:widowControl/>
              <w:wordWrap w:val="0"/>
              <w:jc w:val="center"/>
              <w:rPr>
                <w:rFonts w:ascii="宋体" w:hAnsi="宋体" w:cs="宋体"/>
                <w:bCs/>
                <w:color w:val="auto"/>
                <w:kern w:val="0"/>
                <w:sz w:val="22"/>
                <w:highlight w:val="none"/>
                <w:lang w:bidi="ar"/>
              </w:rPr>
            </w:pPr>
          </w:p>
        </w:tc>
        <w:tc>
          <w:tcPr>
            <w:tcW w:w="796" w:type="pct"/>
            <w:vAlign w:val="center"/>
          </w:tcPr>
          <w:p w14:paraId="2652F7A0">
            <w:pPr>
              <w:widowControl/>
              <w:wordWrap w:val="0"/>
              <w:jc w:val="center"/>
              <w:rPr>
                <w:rFonts w:ascii="宋体" w:hAnsi="宋体" w:cs="宋体"/>
                <w:bCs/>
                <w:color w:val="auto"/>
                <w:kern w:val="0"/>
                <w:sz w:val="22"/>
                <w:highlight w:val="none"/>
                <w:lang w:bidi="ar"/>
              </w:rPr>
            </w:pPr>
          </w:p>
        </w:tc>
      </w:tr>
      <w:tr w14:paraId="7981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484" w:type="pct"/>
            <w:vAlign w:val="center"/>
          </w:tcPr>
          <w:p w14:paraId="22579308">
            <w:pPr>
              <w:widowControl/>
              <w:ind w:left="-78" w:leftChars="-37" w:right="-78" w:rightChars="-37"/>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lang w:bidi="ar"/>
              </w:rPr>
              <w:t>...</w:t>
            </w:r>
          </w:p>
        </w:tc>
        <w:tc>
          <w:tcPr>
            <w:tcW w:w="1173" w:type="pct"/>
            <w:gridSpan w:val="2"/>
            <w:vAlign w:val="center"/>
          </w:tcPr>
          <w:p w14:paraId="127CBC96">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rPr>
              <w:t>...</w:t>
            </w:r>
          </w:p>
        </w:tc>
        <w:tc>
          <w:tcPr>
            <w:tcW w:w="1894" w:type="pct"/>
            <w:gridSpan w:val="3"/>
            <w:vAlign w:val="center"/>
          </w:tcPr>
          <w:p w14:paraId="7ABBDB63">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rPr>
              <w:t>...</w:t>
            </w:r>
          </w:p>
        </w:tc>
        <w:tc>
          <w:tcPr>
            <w:tcW w:w="651" w:type="pct"/>
            <w:vAlign w:val="center"/>
          </w:tcPr>
          <w:p w14:paraId="25BCA5BF">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rPr>
              <w:t>...</w:t>
            </w:r>
          </w:p>
        </w:tc>
        <w:tc>
          <w:tcPr>
            <w:tcW w:w="796" w:type="pct"/>
            <w:vAlign w:val="center"/>
          </w:tcPr>
          <w:p w14:paraId="4513E811">
            <w:pPr>
              <w:widowControl/>
              <w:wordWrap w:val="0"/>
              <w:jc w:val="center"/>
              <w:rPr>
                <w:rFonts w:ascii="宋体" w:hAnsi="宋体" w:cs="宋体"/>
                <w:bCs/>
                <w:color w:val="auto"/>
                <w:kern w:val="0"/>
                <w:sz w:val="22"/>
                <w:highlight w:val="none"/>
                <w:lang w:bidi="ar"/>
              </w:rPr>
            </w:pPr>
            <w:r>
              <w:rPr>
                <w:rFonts w:hint="eastAsia" w:ascii="宋体" w:hAnsi="宋体" w:cs="宋体"/>
                <w:bCs/>
                <w:color w:val="auto"/>
                <w:kern w:val="0"/>
                <w:sz w:val="22"/>
                <w:highlight w:val="none"/>
              </w:rPr>
              <w:t>...</w:t>
            </w:r>
          </w:p>
        </w:tc>
      </w:tr>
      <w:tr w14:paraId="1C89C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5000" w:type="pct"/>
            <w:gridSpan w:val="8"/>
            <w:vAlign w:val="center"/>
          </w:tcPr>
          <w:p w14:paraId="7E2F5B76">
            <w:pPr>
              <w:spacing w:line="440" w:lineRule="exact"/>
              <w:ind w:firstLine="440" w:firstLineChars="200"/>
              <w:rPr>
                <w:rFonts w:ascii="宋体" w:hAnsi="宋体" w:cs="宋体"/>
                <w:bCs/>
                <w:color w:val="auto"/>
                <w:sz w:val="22"/>
                <w:highlight w:val="none"/>
              </w:rPr>
            </w:pPr>
            <w:r>
              <w:rPr>
                <w:rFonts w:hint="eastAsia" w:ascii="宋体" w:hAnsi="宋体" w:cs="宋体"/>
                <w:bCs/>
                <w:color w:val="auto"/>
                <w:sz w:val="22"/>
                <w:highlight w:val="none"/>
                <w:lang w:bidi="ar"/>
              </w:rPr>
              <w:t>注：供应商按上述表格要求填写《检验项目响应表》时，根据所投对应采购包组检验内容进行填写，并说明每个检测项目所在</w:t>
            </w:r>
            <w:r>
              <w:rPr>
                <w:rFonts w:hint="eastAsia" w:ascii="宋体" w:hAnsi="宋体" w:cs="宋体"/>
                <w:bCs/>
                <w:color w:val="auto"/>
                <w:kern w:val="0"/>
                <w:sz w:val="22"/>
                <w:highlight w:val="none"/>
                <w:lang w:bidi="ar"/>
              </w:rPr>
              <w:t>CMA</w:t>
            </w:r>
            <w:r>
              <w:rPr>
                <w:rFonts w:hint="eastAsia" w:ascii="宋体" w:hAnsi="宋体" w:cs="宋体"/>
                <w:bCs/>
                <w:color w:val="auto"/>
                <w:sz w:val="22"/>
                <w:highlight w:val="none"/>
                <w:lang w:bidi="ar"/>
              </w:rPr>
              <w:t>后附表中对应的页码和序号，不得仅指向认证的产品标准</w:t>
            </w:r>
          </w:p>
          <w:p w14:paraId="6DF33462">
            <w:pPr>
              <w:widowControl/>
              <w:wordWrap w:val="0"/>
              <w:jc w:val="center"/>
              <w:rPr>
                <w:rFonts w:ascii="宋体" w:hAnsi="宋体" w:cs="宋体"/>
                <w:bCs/>
                <w:color w:val="auto"/>
                <w:kern w:val="0"/>
                <w:sz w:val="22"/>
                <w:highlight w:val="none"/>
                <w:lang w:bidi="ar"/>
              </w:rPr>
            </w:pPr>
          </w:p>
        </w:tc>
      </w:tr>
    </w:tbl>
    <w:p w14:paraId="60D746DC">
      <w:pPr>
        <w:adjustRightInd w:val="0"/>
        <w:snapToGrid w:val="0"/>
        <w:spacing w:line="360" w:lineRule="auto"/>
        <w:rPr>
          <w:color w:val="auto"/>
          <w:spacing w:val="4"/>
          <w:highlight w:val="none"/>
        </w:rPr>
      </w:pPr>
    </w:p>
    <w:p w14:paraId="3DB014A1">
      <w:pPr>
        <w:adjustRightInd w:val="0"/>
        <w:snapToGrid w:val="0"/>
        <w:spacing w:line="360" w:lineRule="auto"/>
        <w:rPr>
          <w:color w:val="auto"/>
          <w:spacing w:val="4"/>
          <w:highlight w:val="none"/>
        </w:rPr>
      </w:pPr>
    </w:p>
    <w:p w14:paraId="278A65DF">
      <w:pPr>
        <w:adjustRightInd w:val="0"/>
        <w:snapToGrid w:val="0"/>
        <w:spacing w:line="360" w:lineRule="auto"/>
        <w:ind w:left="210" w:leftChars="100"/>
        <w:rPr>
          <w:rFonts w:ascii="宋体" w:hAnsi="宋体" w:cs="宋体"/>
          <w:color w:val="auto"/>
          <w:sz w:val="24"/>
          <w:szCs w:val="24"/>
          <w:highlight w:val="none"/>
          <w:u w:val="single"/>
        </w:rPr>
      </w:pPr>
      <w:r>
        <w:rPr>
          <w:rFonts w:hint="eastAsia" w:ascii="宋体" w:hAnsi="宋体" w:cs="宋体"/>
          <w:color w:val="auto"/>
          <w:sz w:val="24"/>
          <w:szCs w:val="24"/>
          <w:highlight w:val="none"/>
        </w:rPr>
        <w:t>投标人法定代表人（或法定代表人授权代表）签字：</w:t>
      </w:r>
      <w:r>
        <w:rPr>
          <w:rFonts w:hint="eastAsia" w:ascii="宋体" w:hAnsi="宋体" w:cs="宋体"/>
          <w:color w:val="auto"/>
          <w:sz w:val="24"/>
          <w:szCs w:val="24"/>
          <w:highlight w:val="none"/>
          <w:u w:val="single"/>
        </w:rPr>
        <w:t xml:space="preserve">                   </w:t>
      </w:r>
    </w:p>
    <w:p w14:paraId="434A4726">
      <w:pPr>
        <w:adjustRightInd w:val="0"/>
        <w:snapToGrid w:val="0"/>
        <w:spacing w:line="360" w:lineRule="auto"/>
        <w:ind w:left="210" w:leftChars="100"/>
        <w:rPr>
          <w:rFonts w:ascii="宋体" w:hAnsi="宋体" w:cs="宋体"/>
          <w:color w:val="auto"/>
          <w:sz w:val="24"/>
          <w:szCs w:val="24"/>
          <w:highlight w:val="none"/>
        </w:rPr>
      </w:pPr>
      <w:r>
        <w:rPr>
          <w:rFonts w:hint="eastAsia" w:ascii="宋体" w:hAnsi="宋体" w:cs="宋体"/>
          <w:color w:val="auto"/>
          <w:sz w:val="24"/>
          <w:szCs w:val="24"/>
          <w:highlight w:val="none"/>
        </w:rPr>
        <w:t>投标人名称（盖公章）：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53F7DBD9">
      <w:pPr>
        <w:pStyle w:val="58"/>
        <w:rPr>
          <w:rFonts w:eastAsia="仿宋_GB2312"/>
          <w:color w:val="auto"/>
          <w:sz w:val="32"/>
          <w:highlight w:val="none"/>
        </w:rPr>
      </w:pPr>
      <w:r>
        <w:rPr>
          <w:rFonts w:hint="eastAsia" w:ascii="宋体" w:hAnsi="宋体" w:cs="宋体"/>
          <w:color w:val="auto"/>
          <w:sz w:val="24"/>
          <w:szCs w:val="24"/>
          <w:highlight w:val="none"/>
        </w:rPr>
        <w:t>日期：   年   月   日</w:t>
      </w:r>
    </w:p>
    <w:p w14:paraId="27659871">
      <w:pPr>
        <w:pStyle w:val="58"/>
        <w:ind w:firstLine="640"/>
        <w:rPr>
          <w:rFonts w:eastAsia="仿宋_GB2312"/>
          <w:color w:val="auto"/>
          <w:sz w:val="32"/>
          <w:highlight w:val="none"/>
        </w:rPr>
      </w:pPr>
    </w:p>
    <w:p w14:paraId="48E4ABD1">
      <w:pPr>
        <w:pStyle w:val="58"/>
        <w:ind w:firstLine="640"/>
        <w:rPr>
          <w:rFonts w:eastAsia="仿宋_GB2312"/>
          <w:color w:val="auto"/>
          <w:sz w:val="32"/>
          <w:highlight w:val="none"/>
        </w:rPr>
      </w:pPr>
    </w:p>
    <w:p w14:paraId="6B2217EC">
      <w:pPr>
        <w:pStyle w:val="58"/>
        <w:ind w:firstLine="640"/>
        <w:rPr>
          <w:rFonts w:eastAsia="仿宋_GB2312"/>
          <w:color w:val="auto"/>
          <w:sz w:val="32"/>
          <w:highlight w:val="none"/>
        </w:rPr>
      </w:pPr>
    </w:p>
    <w:p w14:paraId="5621670B">
      <w:pPr>
        <w:pStyle w:val="58"/>
        <w:ind w:firstLine="640"/>
        <w:rPr>
          <w:rFonts w:eastAsia="仿宋_GB2312"/>
          <w:color w:val="auto"/>
          <w:sz w:val="32"/>
          <w:highlight w:val="none"/>
        </w:rPr>
      </w:pPr>
    </w:p>
    <w:p w14:paraId="72610386">
      <w:pPr>
        <w:pStyle w:val="58"/>
        <w:ind w:firstLine="640"/>
        <w:rPr>
          <w:rFonts w:eastAsia="仿宋_GB2312"/>
          <w:color w:val="auto"/>
          <w:sz w:val="32"/>
          <w:highlight w:val="none"/>
        </w:rPr>
      </w:pPr>
    </w:p>
    <w:p w14:paraId="425C2EAC">
      <w:pPr>
        <w:pStyle w:val="58"/>
        <w:ind w:firstLine="640"/>
        <w:rPr>
          <w:rFonts w:eastAsia="仿宋_GB2312"/>
          <w:color w:val="auto"/>
          <w:sz w:val="32"/>
          <w:highlight w:val="none"/>
        </w:rPr>
      </w:pPr>
    </w:p>
    <w:p w14:paraId="402FF477">
      <w:pPr>
        <w:spacing w:line="560" w:lineRule="exact"/>
        <w:rPr>
          <w:color w:val="auto"/>
          <w:highlight w:val="none"/>
        </w:rPr>
      </w:pPr>
    </w:p>
    <w:sectPr>
      <w:pgSz w:w="11906" w:h="16838"/>
      <w:pgMar w:top="1418" w:right="1588" w:bottom="1418" w:left="1365" w:header="851" w:footer="907" w:gutter="0"/>
      <w:pgNumType w:chapStyle="1"/>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F5D2D1C-6830-4781-94C6-F41FE413FC8E}"/>
  </w:font>
  <w:font w:name="黑体">
    <w:panose1 w:val="02010609060101010101"/>
    <w:charset w:val="86"/>
    <w:family w:val="auto"/>
    <w:pitch w:val="default"/>
    <w:sig w:usb0="800002BF" w:usb1="38CF7CFA" w:usb2="00000016" w:usb3="00000000" w:csb0="00040001" w:csb1="00000000"/>
    <w:embedRegular r:id="rId2" w:fontKey="{938E2C18-2E79-4455-B1C6-C359069C6D5F}"/>
  </w:font>
  <w:font w:name="Courier New">
    <w:panose1 w:val="02070309020205020404"/>
    <w:charset w:val="01"/>
    <w:family w:val="modern"/>
    <w:pitch w:val="default"/>
    <w:sig w:usb0="E0002EFF" w:usb1="C0007843" w:usb2="00000009" w:usb3="00000000" w:csb0="400001FF" w:csb1="FFFF0000"/>
    <w:embedRegular r:id="rId3" w:fontKey="{C9F54545-79A7-4287-958E-F86E82A4FE0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embedRegular r:id="rId4" w:fontKey="{0D315BF4-843F-4343-87C4-87B0766FDB67}"/>
  </w:font>
  <w:font w:name="仿宋_GB2312">
    <w:altName w:val="仿宋"/>
    <w:panose1 w:val="00000000000000000000"/>
    <w:charset w:val="86"/>
    <w:family w:val="modern"/>
    <w:pitch w:val="default"/>
    <w:sig w:usb0="00000000" w:usb1="00000000" w:usb2="00000000" w:usb3="00000000" w:csb0="00040000" w:csb1="00000000"/>
    <w:embedRegular r:id="rId5" w:fontKey="{6B2D7699-0F27-4D2C-B37E-336346974FE3}"/>
  </w:font>
  <w:font w:name="仿宋">
    <w:panose1 w:val="02010609060101010101"/>
    <w:charset w:val="86"/>
    <w:family w:val="modern"/>
    <w:pitch w:val="default"/>
    <w:sig w:usb0="800002BF" w:usb1="38CF7CFA" w:usb2="00000016" w:usb3="00000000" w:csb0="00040001" w:csb1="00000000"/>
    <w:embedRegular r:id="rId6" w:fontKey="{61809BDB-4E65-4BF7-B112-682768391EF9}"/>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86"/>
    <w:family w:val="script"/>
    <w:pitch w:val="default"/>
    <w:sig w:usb0="00000000" w:usb1="00000000" w:usb2="00000000" w:usb3="00000000" w:csb0="00040000" w:csb1="00000000"/>
    <w:embedRegular r:id="rId7" w:fontKey="{BA80F4CE-6C13-4B3A-90BD-5140AE385179}"/>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Showcard Gothic">
    <w:panose1 w:val="04020904020102020604"/>
    <w:charset w:val="00"/>
    <w:family w:val="decorative"/>
    <w:pitch w:val="default"/>
    <w:sig w:usb0="00000003" w:usb1="00000000" w:usb2="00000000" w:usb3="00000000" w:csb0="20000001" w:csb1="00000000"/>
    <w:embedRegular r:id="rId8" w:fontKey="{7B66CFC4-0AEF-4A59-A019-C55B3CA2990A}"/>
  </w:font>
  <w:font w:name="等线">
    <w:panose1 w:val="02010600030101010101"/>
    <w:charset w:val="86"/>
    <w:family w:val="auto"/>
    <w:pitch w:val="default"/>
    <w:sig w:usb0="A00002BF" w:usb1="38CF7CFA" w:usb2="00000016" w:usb3="00000000" w:csb0="0004000F" w:csb1="00000000"/>
    <w:embedRegular r:id="rId9" w:fontKey="{65EA1115-7257-45D9-8E0E-4E6CA1CC20A5}"/>
  </w:font>
  <w:font w:name="方正小标宋简体">
    <w:altName w:val="方正舒体"/>
    <w:panose1 w:val="00000000000000000000"/>
    <w:charset w:val="86"/>
    <w:family w:val="script"/>
    <w:pitch w:val="default"/>
    <w:sig w:usb0="00000000" w:usb1="00000000" w:usb2="00000000" w:usb3="00000000" w:csb0="00040000" w:csb1="00000000"/>
    <w:embedRegular r:id="rId10" w:fontKey="{65A89982-1B9B-4B00-8EF1-50DDBD6847C7}"/>
  </w:font>
  <w:font w:name="方正舒体">
    <w:panose1 w:val="02010601030101010101"/>
    <w:charset w:val="86"/>
    <w:family w:val="auto"/>
    <w:pitch w:val="default"/>
    <w:sig w:usb0="00000003" w:usb1="080E0000" w:usb2="00000000" w:usb3="00000000" w:csb0="00040000" w:csb1="00000000"/>
  </w:font>
  <w:font w:name="方正大标宋_GBK">
    <w:altName w:val="宋体"/>
    <w:panose1 w:val="00000000000000000000"/>
    <w:charset w:val="86"/>
    <w:family w:val="script"/>
    <w:pitch w:val="default"/>
    <w:sig w:usb0="00000000" w:usb1="00000000" w:usb2="00000000" w:usb3="00000000" w:csb0="00040000" w:csb1="00000000"/>
    <w:embedRegular r:id="rId11" w:fontKey="{101E6AAD-2C16-4957-8E1D-9A5A168F0691}"/>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49845">
    <w:pPr>
      <w:pStyle w:val="29"/>
      <w:jc w:val="center"/>
    </w:pPr>
  </w:p>
  <w:p w14:paraId="2C859CD3">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FFEF3B">
                          <w:pPr>
                            <w:pStyle w:val="29"/>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AFFEF3B">
                    <w:pPr>
                      <w:pStyle w:val="29"/>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D653">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rPr>
      <w:t>1</w:t>
    </w:r>
    <w:r>
      <w:fldChar w:fldCharType="end"/>
    </w:r>
  </w:p>
  <w:p w14:paraId="5875F30A">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D70DB">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1D58A6">
                          <w:pPr>
                            <w:pStyle w:val="2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A1D58A6">
                    <w:pPr>
                      <w:pStyle w:val="29"/>
                    </w:pPr>
                    <w:r>
                      <w:fldChar w:fldCharType="begin"/>
                    </w:r>
                    <w:r>
                      <w:instrText xml:space="preserve"> PAGE  \* MERGEFORMAT </w:instrText>
                    </w:r>
                    <w:r>
                      <w:fldChar w:fldCharType="separate"/>
                    </w:r>
                    <w:r>
                      <w:t>50</w:t>
                    </w:r>
                    <w:r>
                      <w:fldChar w:fldCharType="end"/>
                    </w:r>
                  </w:p>
                </w:txbxContent>
              </v:textbox>
            </v:shape>
          </w:pict>
        </mc:Fallback>
      </mc:AlternateContent>
    </w:r>
  </w:p>
  <w:p w14:paraId="3518EB77">
    <w:pPr>
      <w:pStyle w:val="29"/>
    </w:pPr>
  </w:p>
  <w:p w14:paraId="5DA094A0">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947EF">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FC701"/>
    <w:multiLevelType w:val="singleLevel"/>
    <w:tmpl w:val="996FC701"/>
    <w:lvl w:ilvl="0" w:tentative="0">
      <w:start w:val="2"/>
      <w:numFmt w:val="chineseCounting"/>
      <w:suff w:val="nothing"/>
      <w:lvlText w:val="（%1）"/>
      <w:lvlJc w:val="left"/>
      <w:rPr>
        <w:rFonts w:hint="eastAsia"/>
      </w:rPr>
    </w:lvl>
  </w:abstractNum>
  <w:abstractNum w:abstractNumId="1">
    <w:nsid w:val="A7FCD8EE"/>
    <w:multiLevelType w:val="singleLevel"/>
    <w:tmpl w:val="A7FCD8EE"/>
    <w:lvl w:ilvl="0" w:tentative="0">
      <w:start w:val="1"/>
      <w:numFmt w:val="decimal"/>
      <w:lvlText w:val="%1."/>
      <w:lvlJc w:val="left"/>
      <w:pPr>
        <w:tabs>
          <w:tab w:val="left" w:pos="312"/>
        </w:tabs>
      </w:pPr>
    </w:lvl>
  </w:abstractNum>
  <w:abstractNum w:abstractNumId="2">
    <w:nsid w:val="06784D56"/>
    <w:multiLevelType w:val="singleLevel"/>
    <w:tmpl w:val="06784D56"/>
    <w:lvl w:ilvl="0" w:tentative="0">
      <w:start w:val="1"/>
      <w:numFmt w:val="upperLetter"/>
      <w:pStyle w:val="96"/>
      <w:lvlText w:val="附录%1."/>
      <w:lvlJc w:val="left"/>
      <w:pPr>
        <w:tabs>
          <w:tab w:val="left" w:pos="907"/>
        </w:tabs>
        <w:ind w:left="907" w:hanging="907"/>
      </w:pPr>
      <w:rPr>
        <w:rFonts w:hint="eastAsia"/>
      </w:rPr>
    </w:lvl>
  </w:abstractNum>
  <w:abstractNum w:abstractNumId="3">
    <w:nsid w:val="420C153B"/>
    <w:multiLevelType w:val="multilevel"/>
    <w:tmpl w:val="420C153B"/>
    <w:lvl w:ilvl="0" w:tentative="0">
      <w:start w:val="1"/>
      <w:numFmt w:val="decimal"/>
      <w:pStyle w:val="10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5">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6">
    <w:nsid w:val="7C337772"/>
    <w:multiLevelType w:val="multilevel"/>
    <w:tmpl w:val="7C337772"/>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FCC37B5"/>
    <w:multiLevelType w:val="singleLevel"/>
    <w:tmpl w:val="7FCC37B5"/>
    <w:lvl w:ilvl="0" w:tentative="0">
      <w:start w:val="3"/>
      <w:numFmt w:val="decimal"/>
      <w:lvlText w:val="%1."/>
      <w:lvlJc w:val="left"/>
      <w:pPr>
        <w:tabs>
          <w:tab w:val="left" w:pos="312"/>
        </w:tabs>
      </w:pPr>
    </w:lvl>
  </w:abstractNum>
  <w:num w:numId="1">
    <w:abstractNumId w:val="4"/>
  </w:num>
  <w:num w:numId="2">
    <w:abstractNumId w:val="2"/>
  </w:num>
  <w:num w:numId="3">
    <w:abstractNumId w:val="3"/>
  </w:num>
  <w:num w:numId="4">
    <w:abstractNumId w:val="5"/>
  </w:num>
  <w:num w:numId="5">
    <w:abstractNumId w:val="7"/>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3YzI5NjE1NDIzMGQ2MTIyMTU4NTVkMzYwY2MyZmYifQ=="/>
    <w:docVar w:name="KGWebUrl" w:val="https://www.ccgp-jiangsu.gov.cn:5009/zfcgzx/OfficeServer"/>
  </w:docVars>
  <w:rsids>
    <w:rsidRoot w:val="003B4718"/>
    <w:rsid w:val="00005DA8"/>
    <w:rsid w:val="00031BF8"/>
    <w:rsid w:val="00032AB8"/>
    <w:rsid w:val="0003669F"/>
    <w:rsid w:val="00046990"/>
    <w:rsid w:val="00060FF5"/>
    <w:rsid w:val="00061DE6"/>
    <w:rsid w:val="0006767A"/>
    <w:rsid w:val="000724AE"/>
    <w:rsid w:val="00072A72"/>
    <w:rsid w:val="00076346"/>
    <w:rsid w:val="00082A70"/>
    <w:rsid w:val="000849FF"/>
    <w:rsid w:val="000949A9"/>
    <w:rsid w:val="00095E38"/>
    <w:rsid w:val="000B1294"/>
    <w:rsid w:val="000B31DC"/>
    <w:rsid w:val="000B3973"/>
    <w:rsid w:val="000C182C"/>
    <w:rsid w:val="000D115F"/>
    <w:rsid w:val="000D7A0E"/>
    <w:rsid w:val="000F0809"/>
    <w:rsid w:val="000F206D"/>
    <w:rsid w:val="000F4265"/>
    <w:rsid w:val="00100156"/>
    <w:rsid w:val="00107B58"/>
    <w:rsid w:val="001120E0"/>
    <w:rsid w:val="0011498D"/>
    <w:rsid w:val="001171B1"/>
    <w:rsid w:val="001237CF"/>
    <w:rsid w:val="00126422"/>
    <w:rsid w:val="0014023F"/>
    <w:rsid w:val="00141CB4"/>
    <w:rsid w:val="0014741E"/>
    <w:rsid w:val="00150E77"/>
    <w:rsid w:val="00153434"/>
    <w:rsid w:val="00160A44"/>
    <w:rsid w:val="00167AD8"/>
    <w:rsid w:val="00170321"/>
    <w:rsid w:val="0018621B"/>
    <w:rsid w:val="001945E4"/>
    <w:rsid w:val="001A2C9A"/>
    <w:rsid w:val="001B16FC"/>
    <w:rsid w:val="001B48DD"/>
    <w:rsid w:val="001B4BDF"/>
    <w:rsid w:val="001C23B1"/>
    <w:rsid w:val="001C5C63"/>
    <w:rsid w:val="001D0990"/>
    <w:rsid w:val="001D0F27"/>
    <w:rsid w:val="001D185B"/>
    <w:rsid w:val="001D2D32"/>
    <w:rsid w:val="001D5BA4"/>
    <w:rsid w:val="001E2BD8"/>
    <w:rsid w:val="001E3B86"/>
    <w:rsid w:val="001F62DF"/>
    <w:rsid w:val="002063FB"/>
    <w:rsid w:val="00216559"/>
    <w:rsid w:val="00225025"/>
    <w:rsid w:val="002264EB"/>
    <w:rsid w:val="00234343"/>
    <w:rsid w:val="002360A5"/>
    <w:rsid w:val="00242707"/>
    <w:rsid w:val="00243B10"/>
    <w:rsid w:val="002557A5"/>
    <w:rsid w:val="00257AA3"/>
    <w:rsid w:val="002708BB"/>
    <w:rsid w:val="00274FBC"/>
    <w:rsid w:val="00287292"/>
    <w:rsid w:val="002A4506"/>
    <w:rsid w:val="002A555B"/>
    <w:rsid w:val="002A6CE3"/>
    <w:rsid w:val="002B6516"/>
    <w:rsid w:val="002C1132"/>
    <w:rsid w:val="002C7C11"/>
    <w:rsid w:val="002D2398"/>
    <w:rsid w:val="002D2EAC"/>
    <w:rsid w:val="002D3AE8"/>
    <w:rsid w:val="002E445A"/>
    <w:rsid w:val="002F196C"/>
    <w:rsid w:val="002F3900"/>
    <w:rsid w:val="00305946"/>
    <w:rsid w:val="00313DD0"/>
    <w:rsid w:val="00314395"/>
    <w:rsid w:val="003174C1"/>
    <w:rsid w:val="00317D9A"/>
    <w:rsid w:val="00336273"/>
    <w:rsid w:val="003367C4"/>
    <w:rsid w:val="0034529D"/>
    <w:rsid w:val="00346497"/>
    <w:rsid w:val="00347661"/>
    <w:rsid w:val="00361463"/>
    <w:rsid w:val="00361DD7"/>
    <w:rsid w:val="00363D0D"/>
    <w:rsid w:val="0036606D"/>
    <w:rsid w:val="003664B3"/>
    <w:rsid w:val="00367D3C"/>
    <w:rsid w:val="00371AE2"/>
    <w:rsid w:val="00372948"/>
    <w:rsid w:val="003806D6"/>
    <w:rsid w:val="00380ADD"/>
    <w:rsid w:val="00381330"/>
    <w:rsid w:val="0038400C"/>
    <w:rsid w:val="003857CB"/>
    <w:rsid w:val="003912A1"/>
    <w:rsid w:val="0039291A"/>
    <w:rsid w:val="0039363B"/>
    <w:rsid w:val="0039694C"/>
    <w:rsid w:val="003A039B"/>
    <w:rsid w:val="003A1F33"/>
    <w:rsid w:val="003A7C0C"/>
    <w:rsid w:val="003B4718"/>
    <w:rsid w:val="003B5BD0"/>
    <w:rsid w:val="003C2CFD"/>
    <w:rsid w:val="003C3C65"/>
    <w:rsid w:val="003D04BE"/>
    <w:rsid w:val="003E43B2"/>
    <w:rsid w:val="003E632D"/>
    <w:rsid w:val="003E6355"/>
    <w:rsid w:val="00400AFE"/>
    <w:rsid w:val="004052A0"/>
    <w:rsid w:val="00412044"/>
    <w:rsid w:val="00416749"/>
    <w:rsid w:val="00427131"/>
    <w:rsid w:val="00432778"/>
    <w:rsid w:val="00445D8D"/>
    <w:rsid w:val="00447028"/>
    <w:rsid w:val="004507E9"/>
    <w:rsid w:val="00450DF4"/>
    <w:rsid w:val="00456774"/>
    <w:rsid w:val="0046174D"/>
    <w:rsid w:val="004617C9"/>
    <w:rsid w:val="004628A5"/>
    <w:rsid w:val="00463653"/>
    <w:rsid w:val="00465F99"/>
    <w:rsid w:val="00482CAB"/>
    <w:rsid w:val="00491456"/>
    <w:rsid w:val="004A1182"/>
    <w:rsid w:val="004A2A56"/>
    <w:rsid w:val="004B065D"/>
    <w:rsid w:val="004B2A2B"/>
    <w:rsid w:val="004C670E"/>
    <w:rsid w:val="004D1CA3"/>
    <w:rsid w:val="004D464F"/>
    <w:rsid w:val="004D744A"/>
    <w:rsid w:val="004E3A39"/>
    <w:rsid w:val="004E78BE"/>
    <w:rsid w:val="004F435B"/>
    <w:rsid w:val="00500E26"/>
    <w:rsid w:val="0050203B"/>
    <w:rsid w:val="00503DE6"/>
    <w:rsid w:val="00506FED"/>
    <w:rsid w:val="00515A92"/>
    <w:rsid w:val="00524CC0"/>
    <w:rsid w:val="00526D71"/>
    <w:rsid w:val="005301E2"/>
    <w:rsid w:val="00536D5E"/>
    <w:rsid w:val="005434C9"/>
    <w:rsid w:val="00554E66"/>
    <w:rsid w:val="00567A2E"/>
    <w:rsid w:val="0057304A"/>
    <w:rsid w:val="005807BE"/>
    <w:rsid w:val="00584EBB"/>
    <w:rsid w:val="00594905"/>
    <w:rsid w:val="00596CF0"/>
    <w:rsid w:val="005974C4"/>
    <w:rsid w:val="005975C9"/>
    <w:rsid w:val="005A1D1C"/>
    <w:rsid w:val="005A6C99"/>
    <w:rsid w:val="005B24E5"/>
    <w:rsid w:val="005B3827"/>
    <w:rsid w:val="005C12E4"/>
    <w:rsid w:val="005C22DA"/>
    <w:rsid w:val="005D7534"/>
    <w:rsid w:val="005F4CA9"/>
    <w:rsid w:val="006060F3"/>
    <w:rsid w:val="006066CB"/>
    <w:rsid w:val="0061082D"/>
    <w:rsid w:val="00622C9F"/>
    <w:rsid w:val="006363CC"/>
    <w:rsid w:val="006460A8"/>
    <w:rsid w:val="00653E13"/>
    <w:rsid w:val="00654811"/>
    <w:rsid w:val="00655578"/>
    <w:rsid w:val="0066212A"/>
    <w:rsid w:val="006635A9"/>
    <w:rsid w:val="006704B9"/>
    <w:rsid w:val="00670B82"/>
    <w:rsid w:val="00672AC9"/>
    <w:rsid w:val="00676FC9"/>
    <w:rsid w:val="00683B0A"/>
    <w:rsid w:val="0068573B"/>
    <w:rsid w:val="00697A70"/>
    <w:rsid w:val="006A08AA"/>
    <w:rsid w:val="006A65F5"/>
    <w:rsid w:val="006B1A95"/>
    <w:rsid w:val="006B48A0"/>
    <w:rsid w:val="006B5667"/>
    <w:rsid w:val="006B77E6"/>
    <w:rsid w:val="006C05C2"/>
    <w:rsid w:val="006C5E21"/>
    <w:rsid w:val="006D1480"/>
    <w:rsid w:val="006D388C"/>
    <w:rsid w:val="006E06F6"/>
    <w:rsid w:val="006E49AB"/>
    <w:rsid w:val="006F4261"/>
    <w:rsid w:val="006F7CA7"/>
    <w:rsid w:val="00703233"/>
    <w:rsid w:val="00703874"/>
    <w:rsid w:val="00704F68"/>
    <w:rsid w:val="00706EBE"/>
    <w:rsid w:val="0071195A"/>
    <w:rsid w:val="00727068"/>
    <w:rsid w:val="0073112B"/>
    <w:rsid w:val="007366DB"/>
    <w:rsid w:val="00750777"/>
    <w:rsid w:val="00750DF5"/>
    <w:rsid w:val="007556B0"/>
    <w:rsid w:val="00757280"/>
    <w:rsid w:val="00762937"/>
    <w:rsid w:val="00762BC4"/>
    <w:rsid w:val="007654E2"/>
    <w:rsid w:val="00766F7D"/>
    <w:rsid w:val="00767804"/>
    <w:rsid w:val="00772B3B"/>
    <w:rsid w:val="00772D63"/>
    <w:rsid w:val="00775A34"/>
    <w:rsid w:val="00787D14"/>
    <w:rsid w:val="00790988"/>
    <w:rsid w:val="00797D6B"/>
    <w:rsid w:val="007A05A6"/>
    <w:rsid w:val="007A34E4"/>
    <w:rsid w:val="007A476F"/>
    <w:rsid w:val="007B0969"/>
    <w:rsid w:val="007B5500"/>
    <w:rsid w:val="007C130B"/>
    <w:rsid w:val="007C4045"/>
    <w:rsid w:val="007C43A5"/>
    <w:rsid w:val="007C534F"/>
    <w:rsid w:val="007D23BE"/>
    <w:rsid w:val="007D73EF"/>
    <w:rsid w:val="007E2994"/>
    <w:rsid w:val="007F131C"/>
    <w:rsid w:val="007F3F9C"/>
    <w:rsid w:val="008102ED"/>
    <w:rsid w:val="00813B09"/>
    <w:rsid w:val="00814F14"/>
    <w:rsid w:val="00815C9C"/>
    <w:rsid w:val="00837006"/>
    <w:rsid w:val="00841071"/>
    <w:rsid w:val="008427EE"/>
    <w:rsid w:val="00843CA6"/>
    <w:rsid w:val="00845477"/>
    <w:rsid w:val="008506CB"/>
    <w:rsid w:val="008514C4"/>
    <w:rsid w:val="00851F93"/>
    <w:rsid w:val="00853CA3"/>
    <w:rsid w:val="00863C97"/>
    <w:rsid w:val="008648D2"/>
    <w:rsid w:val="008708C4"/>
    <w:rsid w:val="0088306A"/>
    <w:rsid w:val="00886AEE"/>
    <w:rsid w:val="00892619"/>
    <w:rsid w:val="008A15DF"/>
    <w:rsid w:val="008A4A08"/>
    <w:rsid w:val="008A738A"/>
    <w:rsid w:val="008A7868"/>
    <w:rsid w:val="008B1D6F"/>
    <w:rsid w:val="008B246F"/>
    <w:rsid w:val="008B2CA9"/>
    <w:rsid w:val="008B35BA"/>
    <w:rsid w:val="008B3F16"/>
    <w:rsid w:val="008B6034"/>
    <w:rsid w:val="008C3856"/>
    <w:rsid w:val="008C7AAD"/>
    <w:rsid w:val="008D1C08"/>
    <w:rsid w:val="008D4C2C"/>
    <w:rsid w:val="008D786A"/>
    <w:rsid w:val="008E09AB"/>
    <w:rsid w:val="008E15E0"/>
    <w:rsid w:val="008E370E"/>
    <w:rsid w:val="008E3CB5"/>
    <w:rsid w:val="008E5A0B"/>
    <w:rsid w:val="008F28AA"/>
    <w:rsid w:val="009052ED"/>
    <w:rsid w:val="009068EE"/>
    <w:rsid w:val="00920EB7"/>
    <w:rsid w:val="00925843"/>
    <w:rsid w:val="0093033D"/>
    <w:rsid w:val="00931B35"/>
    <w:rsid w:val="00933E14"/>
    <w:rsid w:val="009402E2"/>
    <w:rsid w:val="009444C8"/>
    <w:rsid w:val="0096105C"/>
    <w:rsid w:val="009627EA"/>
    <w:rsid w:val="00963E8A"/>
    <w:rsid w:val="00970D4A"/>
    <w:rsid w:val="009736FA"/>
    <w:rsid w:val="00973CDB"/>
    <w:rsid w:val="00985523"/>
    <w:rsid w:val="0099542A"/>
    <w:rsid w:val="0099656D"/>
    <w:rsid w:val="009A1D77"/>
    <w:rsid w:val="009A1FBE"/>
    <w:rsid w:val="009A3210"/>
    <w:rsid w:val="009A3C36"/>
    <w:rsid w:val="009A6E99"/>
    <w:rsid w:val="009B7D79"/>
    <w:rsid w:val="009C0152"/>
    <w:rsid w:val="009D6427"/>
    <w:rsid w:val="009D6CDB"/>
    <w:rsid w:val="009E6C6B"/>
    <w:rsid w:val="009F05FC"/>
    <w:rsid w:val="009F1DD3"/>
    <w:rsid w:val="009F25E2"/>
    <w:rsid w:val="009F78C9"/>
    <w:rsid w:val="00A01815"/>
    <w:rsid w:val="00A01D14"/>
    <w:rsid w:val="00A02208"/>
    <w:rsid w:val="00A03A01"/>
    <w:rsid w:val="00A045C6"/>
    <w:rsid w:val="00A10416"/>
    <w:rsid w:val="00A11161"/>
    <w:rsid w:val="00A140D1"/>
    <w:rsid w:val="00A24C17"/>
    <w:rsid w:val="00A24EFF"/>
    <w:rsid w:val="00A2750C"/>
    <w:rsid w:val="00A3749C"/>
    <w:rsid w:val="00A42F31"/>
    <w:rsid w:val="00A466FB"/>
    <w:rsid w:val="00A46B56"/>
    <w:rsid w:val="00A553F9"/>
    <w:rsid w:val="00A573F5"/>
    <w:rsid w:val="00A72F72"/>
    <w:rsid w:val="00A73AD8"/>
    <w:rsid w:val="00A76014"/>
    <w:rsid w:val="00A80F3A"/>
    <w:rsid w:val="00A8273E"/>
    <w:rsid w:val="00A83885"/>
    <w:rsid w:val="00A84B31"/>
    <w:rsid w:val="00A931D4"/>
    <w:rsid w:val="00A9752E"/>
    <w:rsid w:val="00AA069A"/>
    <w:rsid w:val="00AA1A7F"/>
    <w:rsid w:val="00AA2D72"/>
    <w:rsid w:val="00AB0630"/>
    <w:rsid w:val="00AC1FEB"/>
    <w:rsid w:val="00AF2B7F"/>
    <w:rsid w:val="00AF392C"/>
    <w:rsid w:val="00AF3B3C"/>
    <w:rsid w:val="00AF3FB7"/>
    <w:rsid w:val="00B01EAF"/>
    <w:rsid w:val="00B05B80"/>
    <w:rsid w:val="00B118BD"/>
    <w:rsid w:val="00B12993"/>
    <w:rsid w:val="00B15B6D"/>
    <w:rsid w:val="00B22548"/>
    <w:rsid w:val="00B24471"/>
    <w:rsid w:val="00B256C5"/>
    <w:rsid w:val="00B261AF"/>
    <w:rsid w:val="00B26F03"/>
    <w:rsid w:val="00B27B48"/>
    <w:rsid w:val="00B3129D"/>
    <w:rsid w:val="00B33337"/>
    <w:rsid w:val="00B33B31"/>
    <w:rsid w:val="00B40909"/>
    <w:rsid w:val="00B458CF"/>
    <w:rsid w:val="00B56004"/>
    <w:rsid w:val="00B57F23"/>
    <w:rsid w:val="00B63F58"/>
    <w:rsid w:val="00B67AAD"/>
    <w:rsid w:val="00B67CF3"/>
    <w:rsid w:val="00B67D6E"/>
    <w:rsid w:val="00B77CC6"/>
    <w:rsid w:val="00B87FA0"/>
    <w:rsid w:val="00B96891"/>
    <w:rsid w:val="00BA4347"/>
    <w:rsid w:val="00BA5739"/>
    <w:rsid w:val="00BA6DDE"/>
    <w:rsid w:val="00BB3162"/>
    <w:rsid w:val="00BB3E33"/>
    <w:rsid w:val="00BC08F3"/>
    <w:rsid w:val="00BC119F"/>
    <w:rsid w:val="00BC16E0"/>
    <w:rsid w:val="00BC3752"/>
    <w:rsid w:val="00BE0567"/>
    <w:rsid w:val="00BF592B"/>
    <w:rsid w:val="00C00B6F"/>
    <w:rsid w:val="00C0240D"/>
    <w:rsid w:val="00C050E7"/>
    <w:rsid w:val="00C0531A"/>
    <w:rsid w:val="00C10D1F"/>
    <w:rsid w:val="00C11475"/>
    <w:rsid w:val="00C17476"/>
    <w:rsid w:val="00C202DE"/>
    <w:rsid w:val="00C21C42"/>
    <w:rsid w:val="00C24418"/>
    <w:rsid w:val="00C27ABA"/>
    <w:rsid w:val="00C37630"/>
    <w:rsid w:val="00C42657"/>
    <w:rsid w:val="00C449B1"/>
    <w:rsid w:val="00C46E23"/>
    <w:rsid w:val="00C52BF4"/>
    <w:rsid w:val="00C64795"/>
    <w:rsid w:val="00C7532E"/>
    <w:rsid w:val="00C75393"/>
    <w:rsid w:val="00C84F37"/>
    <w:rsid w:val="00C9053D"/>
    <w:rsid w:val="00CA7CF5"/>
    <w:rsid w:val="00CB129B"/>
    <w:rsid w:val="00CB142B"/>
    <w:rsid w:val="00CD33D7"/>
    <w:rsid w:val="00CD4E26"/>
    <w:rsid w:val="00CD555F"/>
    <w:rsid w:val="00CD5766"/>
    <w:rsid w:val="00CD600A"/>
    <w:rsid w:val="00CE6246"/>
    <w:rsid w:val="00CE6B07"/>
    <w:rsid w:val="00CF66F9"/>
    <w:rsid w:val="00D00F4A"/>
    <w:rsid w:val="00D01E09"/>
    <w:rsid w:val="00D028BF"/>
    <w:rsid w:val="00D0558A"/>
    <w:rsid w:val="00D12E04"/>
    <w:rsid w:val="00D13215"/>
    <w:rsid w:val="00D16DB0"/>
    <w:rsid w:val="00D23292"/>
    <w:rsid w:val="00D25EAE"/>
    <w:rsid w:val="00D45FB9"/>
    <w:rsid w:val="00D533A7"/>
    <w:rsid w:val="00D61307"/>
    <w:rsid w:val="00D6223E"/>
    <w:rsid w:val="00D64556"/>
    <w:rsid w:val="00D65487"/>
    <w:rsid w:val="00D702A2"/>
    <w:rsid w:val="00D817D7"/>
    <w:rsid w:val="00D818C0"/>
    <w:rsid w:val="00D82851"/>
    <w:rsid w:val="00D85B52"/>
    <w:rsid w:val="00D96EBF"/>
    <w:rsid w:val="00D977BD"/>
    <w:rsid w:val="00DA152E"/>
    <w:rsid w:val="00DA3435"/>
    <w:rsid w:val="00DA5AFF"/>
    <w:rsid w:val="00DB0AD5"/>
    <w:rsid w:val="00DB303C"/>
    <w:rsid w:val="00DB41A0"/>
    <w:rsid w:val="00DC37F9"/>
    <w:rsid w:val="00DD3C8A"/>
    <w:rsid w:val="00DD77E9"/>
    <w:rsid w:val="00DF0982"/>
    <w:rsid w:val="00DF57DA"/>
    <w:rsid w:val="00DF74B0"/>
    <w:rsid w:val="00E0024A"/>
    <w:rsid w:val="00E00876"/>
    <w:rsid w:val="00E033B2"/>
    <w:rsid w:val="00E106B9"/>
    <w:rsid w:val="00E116D7"/>
    <w:rsid w:val="00E1670F"/>
    <w:rsid w:val="00E17648"/>
    <w:rsid w:val="00E17900"/>
    <w:rsid w:val="00E26577"/>
    <w:rsid w:val="00E30828"/>
    <w:rsid w:val="00E310FC"/>
    <w:rsid w:val="00E3448F"/>
    <w:rsid w:val="00E365D9"/>
    <w:rsid w:val="00E4115E"/>
    <w:rsid w:val="00E604CC"/>
    <w:rsid w:val="00E60643"/>
    <w:rsid w:val="00E63526"/>
    <w:rsid w:val="00E6674C"/>
    <w:rsid w:val="00E72142"/>
    <w:rsid w:val="00E74C22"/>
    <w:rsid w:val="00E75899"/>
    <w:rsid w:val="00E9102B"/>
    <w:rsid w:val="00E911BA"/>
    <w:rsid w:val="00E947F0"/>
    <w:rsid w:val="00EA149B"/>
    <w:rsid w:val="00EA4063"/>
    <w:rsid w:val="00EA71F3"/>
    <w:rsid w:val="00EB0EA4"/>
    <w:rsid w:val="00EB1AD5"/>
    <w:rsid w:val="00EB4E7B"/>
    <w:rsid w:val="00EB76CD"/>
    <w:rsid w:val="00EC0C71"/>
    <w:rsid w:val="00ED4534"/>
    <w:rsid w:val="00ED7558"/>
    <w:rsid w:val="00EE0191"/>
    <w:rsid w:val="00EE1C07"/>
    <w:rsid w:val="00EF24B6"/>
    <w:rsid w:val="00EF30DF"/>
    <w:rsid w:val="00EF3143"/>
    <w:rsid w:val="00EF5E6E"/>
    <w:rsid w:val="00F00866"/>
    <w:rsid w:val="00F023E5"/>
    <w:rsid w:val="00F0296A"/>
    <w:rsid w:val="00F04124"/>
    <w:rsid w:val="00F04343"/>
    <w:rsid w:val="00F0580D"/>
    <w:rsid w:val="00F05B09"/>
    <w:rsid w:val="00F106AB"/>
    <w:rsid w:val="00F24B83"/>
    <w:rsid w:val="00F27D88"/>
    <w:rsid w:val="00F27FE5"/>
    <w:rsid w:val="00F31ACD"/>
    <w:rsid w:val="00F37926"/>
    <w:rsid w:val="00F4421B"/>
    <w:rsid w:val="00F5044A"/>
    <w:rsid w:val="00F5122D"/>
    <w:rsid w:val="00F536D0"/>
    <w:rsid w:val="00F569B7"/>
    <w:rsid w:val="00F61964"/>
    <w:rsid w:val="00F61C35"/>
    <w:rsid w:val="00F72764"/>
    <w:rsid w:val="00F878E4"/>
    <w:rsid w:val="00F92128"/>
    <w:rsid w:val="00F94DA3"/>
    <w:rsid w:val="00FA502A"/>
    <w:rsid w:val="00FB307D"/>
    <w:rsid w:val="00FB3D0D"/>
    <w:rsid w:val="00FB6082"/>
    <w:rsid w:val="00FD50E5"/>
    <w:rsid w:val="00FE14B6"/>
    <w:rsid w:val="00FE5678"/>
    <w:rsid w:val="01113D6B"/>
    <w:rsid w:val="012375FA"/>
    <w:rsid w:val="013F2246"/>
    <w:rsid w:val="014C06F1"/>
    <w:rsid w:val="016D0489"/>
    <w:rsid w:val="02076F1C"/>
    <w:rsid w:val="0212636B"/>
    <w:rsid w:val="02320E9C"/>
    <w:rsid w:val="023A3927"/>
    <w:rsid w:val="026701F4"/>
    <w:rsid w:val="028B06D3"/>
    <w:rsid w:val="02B50726"/>
    <w:rsid w:val="02C679DF"/>
    <w:rsid w:val="03886059"/>
    <w:rsid w:val="0389225B"/>
    <w:rsid w:val="03EA2651"/>
    <w:rsid w:val="03FB2BEF"/>
    <w:rsid w:val="04206E2A"/>
    <w:rsid w:val="04266FBB"/>
    <w:rsid w:val="04310280"/>
    <w:rsid w:val="04360A37"/>
    <w:rsid w:val="04366AF4"/>
    <w:rsid w:val="047A5783"/>
    <w:rsid w:val="048110D0"/>
    <w:rsid w:val="049A2ECE"/>
    <w:rsid w:val="04E967F5"/>
    <w:rsid w:val="04F217BD"/>
    <w:rsid w:val="05092FAB"/>
    <w:rsid w:val="0514384F"/>
    <w:rsid w:val="05294741"/>
    <w:rsid w:val="052C1F57"/>
    <w:rsid w:val="05B41169"/>
    <w:rsid w:val="05C078B1"/>
    <w:rsid w:val="05DE2BD5"/>
    <w:rsid w:val="05E73DD4"/>
    <w:rsid w:val="066E57BB"/>
    <w:rsid w:val="06BB2083"/>
    <w:rsid w:val="06FF6413"/>
    <w:rsid w:val="070C03ED"/>
    <w:rsid w:val="0717375D"/>
    <w:rsid w:val="07320597"/>
    <w:rsid w:val="074643B0"/>
    <w:rsid w:val="074D53D1"/>
    <w:rsid w:val="077B499C"/>
    <w:rsid w:val="07921036"/>
    <w:rsid w:val="079B25E0"/>
    <w:rsid w:val="07BE399B"/>
    <w:rsid w:val="07F41CF0"/>
    <w:rsid w:val="07F55FA5"/>
    <w:rsid w:val="08197AC6"/>
    <w:rsid w:val="082219A2"/>
    <w:rsid w:val="08311379"/>
    <w:rsid w:val="088C3CD7"/>
    <w:rsid w:val="089F5390"/>
    <w:rsid w:val="08C835F4"/>
    <w:rsid w:val="08F82489"/>
    <w:rsid w:val="090A679D"/>
    <w:rsid w:val="096156B5"/>
    <w:rsid w:val="09802E8C"/>
    <w:rsid w:val="09931095"/>
    <w:rsid w:val="09A964E6"/>
    <w:rsid w:val="09D750A5"/>
    <w:rsid w:val="09E83EF5"/>
    <w:rsid w:val="0A4A209B"/>
    <w:rsid w:val="0AF85654"/>
    <w:rsid w:val="0B107D8C"/>
    <w:rsid w:val="0BBC0D77"/>
    <w:rsid w:val="0BD27827"/>
    <w:rsid w:val="0BF73BE1"/>
    <w:rsid w:val="0BF97543"/>
    <w:rsid w:val="0C264442"/>
    <w:rsid w:val="0C7A7D23"/>
    <w:rsid w:val="0CAF0EFF"/>
    <w:rsid w:val="0CD03637"/>
    <w:rsid w:val="0CE95932"/>
    <w:rsid w:val="0D47429F"/>
    <w:rsid w:val="0D855D0D"/>
    <w:rsid w:val="0E010CC3"/>
    <w:rsid w:val="0E664FCA"/>
    <w:rsid w:val="0ED72EC1"/>
    <w:rsid w:val="0EEA405B"/>
    <w:rsid w:val="0EEE3633"/>
    <w:rsid w:val="0F1B4006"/>
    <w:rsid w:val="0F6C6610"/>
    <w:rsid w:val="0F73174D"/>
    <w:rsid w:val="0F794915"/>
    <w:rsid w:val="0F935ACE"/>
    <w:rsid w:val="0F9A2B62"/>
    <w:rsid w:val="0FC5304C"/>
    <w:rsid w:val="0FE606FA"/>
    <w:rsid w:val="10256CA9"/>
    <w:rsid w:val="107514F4"/>
    <w:rsid w:val="10A02A15"/>
    <w:rsid w:val="10B910CF"/>
    <w:rsid w:val="10B93AD7"/>
    <w:rsid w:val="11360C84"/>
    <w:rsid w:val="1164200A"/>
    <w:rsid w:val="117B6FDE"/>
    <w:rsid w:val="11874BBA"/>
    <w:rsid w:val="11902A8A"/>
    <w:rsid w:val="11D32976"/>
    <w:rsid w:val="11E81D53"/>
    <w:rsid w:val="123A0C48"/>
    <w:rsid w:val="12771554"/>
    <w:rsid w:val="128F6713"/>
    <w:rsid w:val="12A83995"/>
    <w:rsid w:val="12C23F1D"/>
    <w:rsid w:val="12F9640D"/>
    <w:rsid w:val="12FD78E1"/>
    <w:rsid w:val="132370B1"/>
    <w:rsid w:val="13466B45"/>
    <w:rsid w:val="135F6229"/>
    <w:rsid w:val="13635D81"/>
    <w:rsid w:val="136F4921"/>
    <w:rsid w:val="14860174"/>
    <w:rsid w:val="148815CD"/>
    <w:rsid w:val="149F2B37"/>
    <w:rsid w:val="14ED3BB7"/>
    <w:rsid w:val="152A4FA3"/>
    <w:rsid w:val="15390260"/>
    <w:rsid w:val="15655FDB"/>
    <w:rsid w:val="157C06D7"/>
    <w:rsid w:val="157F3ED3"/>
    <w:rsid w:val="15C26F8A"/>
    <w:rsid w:val="15D13671"/>
    <w:rsid w:val="15F17965"/>
    <w:rsid w:val="161377E5"/>
    <w:rsid w:val="161B2B0B"/>
    <w:rsid w:val="164E263B"/>
    <w:rsid w:val="16544865"/>
    <w:rsid w:val="16610814"/>
    <w:rsid w:val="16A67991"/>
    <w:rsid w:val="16C86822"/>
    <w:rsid w:val="16F66EC1"/>
    <w:rsid w:val="173B4330"/>
    <w:rsid w:val="17714207"/>
    <w:rsid w:val="1796706A"/>
    <w:rsid w:val="17B765A5"/>
    <w:rsid w:val="17DA6498"/>
    <w:rsid w:val="1809357A"/>
    <w:rsid w:val="182A4F36"/>
    <w:rsid w:val="185C36C6"/>
    <w:rsid w:val="185E72B5"/>
    <w:rsid w:val="18871C35"/>
    <w:rsid w:val="18C14AFA"/>
    <w:rsid w:val="18D663F7"/>
    <w:rsid w:val="18E37C44"/>
    <w:rsid w:val="19063441"/>
    <w:rsid w:val="191222D0"/>
    <w:rsid w:val="19665E27"/>
    <w:rsid w:val="19690A78"/>
    <w:rsid w:val="196E39FC"/>
    <w:rsid w:val="19780EE1"/>
    <w:rsid w:val="197C4AC1"/>
    <w:rsid w:val="19A000B3"/>
    <w:rsid w:val="19A846E9"/>
    <w:rsid w:val="19BD63E6"/>
    <w:rsid w:val="19C51002"/>
    <w:rsid w:val="1A1F3008"/>
    <w:rsid w:val="1A564145"/>
    <w:rsid w:val="1A66480A"/>
    <w:rsid w:val="1A8B24DC"/>
    <w:rsid w:val="1A9B5FFB"/>
    <w:rsid w:val="1AC90DBB"/>
    <w:rsid w:val="1B060AF5"/>
    <w:rsid w:val="1B2279AD"/>
    <w:rsid w:val="1B2D1349"/>
    <w:rsid w:val="1B3B3097"/>
    <w:rsid w:val="1B5508A0"/>
    <w:rsid w:val="1B6F4D9F"/>
    <w:rsid w:val="1B8B147B"/>
    <w:rsid w:val="1B99078D"/>
    <w:rsid w:val="1BB11F7A"/>
    <w:rsid w:val="1BBD002A"/>
    <w:rsid w:val="1BBF7034"/>
    <w:rsid w:val="1BD6553D"/>
    <w:rsid w:val="1BD96DDB"/>
    <w:rsid w:val="1BF310EE"/>
    <w:rsid w:val="1BF63E31"/>
    <w:rsid w:val="1C342DC6"/>
    <w:rsid w:val="1C356329"/>
    <w:rsid w:val="1C5F0C5B"/>
    <w:rsid w:val="1C9B74C6"/>
    <w:rsid w:val="1CAA4A86"/>
    <w:rsid w:val="1CB56D70"/>
    <w:rsid w:val="1CCB706C"/>
    <w:rsid w:val="1CCE6062"/>
    <w:rsid w:val="1CFA525B"/>
    <w:rsid w:val="1D271DC8"/>
    <w:rsid w:val="1D2A0D94"/>
    <w:rsid w:val="1D4C318D"/>
    <w:rsid w:val="1D536A06"/>
    <w:rsid w:val="1D5750D0"/>
    <w:rsid w:val="1D81717B"/>
    <w:rsid w:val="1D8316F5"/>
    <w:rsid w:val="1DA653E3"/>
    <w:rsid w:val="1DC57B03"/>
    <w:rsid w:val="1DD36E51"/>
    <w:rsid w:val="1DEF6D8A"/>
    <w:rsid w:val="1E1E766F"/>
    <w:rsid w:val="1E38092B"/>
    <w:rsid w:val="1E4C5A99"/>
    <w:rsid w:val="1E574E31"/>
    <w:rsid w:val="1E6865C3"/>
    <w:rsid w:val="1E7C1595"/>
    <w:rsid w:val="1E8C6387"/>
    <w:rsid w:val="1E8F7C25"/>
    <w:rsid w:val="1ED206E5"/>
    <w:rsid w:val="1F4924CA"/>
    <w:rsid w:val="1F8A5A67"/>
    <w:rsid w:val="1FA80B45"/>
    <w:rsid w:val="2000527E"/>
    <w:rsid w:val="2014177F"/>
    <w:rsid w:val="20354072"/>
    <w:rsid w:val="206E043A"/>
    <w:rsid w:val="20855A40"/>
    <w:rsid w:val="20A0778C"/>
    <w:rsid w:val="20D83B05"/>
    <w:rsid w:val="212E5E1B"/>
    <w:rsid w:val="213D7E0C"/>
    <w:rsid w:val="21417B95"/>
    <w:rsid w:val="214774C7"/>
    <w:rsid w:val="215273BB"/>
    <w:rsid w:val="216A2B5A"/>
    <w:rsid w:val="217F21D3"/>
    <w:rsid w:val="218D763F"/>
    <w:rsid w:val="218E2416"/>
    <w:rsid w:val="219A64A1"/>
    <w:rsid w:val="219B389D"/>
    <w:rsid w:val="21B26104"/>
    <w:rsid w:val="21B344ED"/>
    <w:rsid w:val="21D173FB"/>
    <w:rsid w:val="21D70261"/>
    <w:rsid w:val="220652BA"/>
    <w:rsid w:val="22257C75"/>
    <w:rsid w:val="22B97967"/>
    <w:rsid w:val="22CC1448"/>
    <w:rsid w:val="2317633D"/>
    <w:rsid w:val="232E5839"/>
    <w:rsid w:val="23D357D7"/>
    <w:rsid w:val="23EF1892"/>
    <w:rsid w:val="24135D3A"/>
    <w:rsid w:val="241F37F9"/>
    <w:rsid w:val="242104E2"/>
    <w:rsid w:val="24270483"/>
    <w:rsid w:val="24350E97"/>
    <w:rsid w:val="245517DF"/>
    <w:rsid w:val="246B012B"/>
    <w:rsid w:val="248353BC"/>
    <w:rsid w:val="24C91E6F"/>
    <w:rsid w:val="24CA7555"/>
    <w:rsid w:val="24E62827"/>
    <w:rsid w:val="24F20A2F"/>
    <w:rsid w:val="253B28B5"/>
    <w:rsid w:val="25441D3A"/>
    <w:rsid w:val="256966DF"/>
    <w:rsid w:val="25807435"/>
    <w:rsid w:val="25B77355"/>
    <w:rsid w:val="25BC1C48"/>
    <w:rsid w:val="25C225AF"/>
    <w:rsid w:val="25C74CD1"/>
    <w:rsid w:val="25C96113"/>
    <w:rsid w:val="25E00F62"/>
    <w:rsid w:val="25E03518"/>
    <w:rsid w:val="261254A1"/>
    <w:rsid w:val="2621554B"/>
    <w:rsid w:val="26414073"/>
    <w:rsid w:val="26500679"/>
    <w:rsid w:val="265A320F"/>
    <w:rsid w:val="266C773A"/>
    <w:rsid w:val="26962D08"/>
    <w:rsid w:val="26B5532D"/>
    <w:rsid w:val="26D233BC"/>
    <w:rsid w:val="26D525AE"/>
    <w:rsid w:val="278E3373"/>
    <w:rsid w:val="27F531EF"/>
    <w:rsid w:val="2822512B"/>
    <w:rsid w:val="28377363"/>
    <w:rsid w:val="283D06F2"/>
    <w:rsid w:val="28542E98"/>
    <w:rsid w:val="286133E5"/>
    <w:rsid w:val="28B53E93"/>
    <w:rsid w:val="28BE4931"/>
    <w:rsid w:val="28CB21A2"/>
    <w:rsid w:val="28F01E2E"/>
    <w:rsid w:val="29591FA5"/>
    <w:rsid w:val="29610A53"/>
    <w:rsid w:val="29E31034"/>
    <w:rsid w:val="29FC02B6"/>
    <w:rsid w:val="2A273408"/>
    <w:rsid w:val="2A4B5348"/>
    <w:rsid w:val="2A5204DC"/>
    <w:rsid w:val="2A6603D4"/>
    <w:rsid w:val="2A6A6763"/>
    <w:rsid w:val="2A77438F"/>
    <w:rsid w:val="2AD74E2E"/>
    <w:rsid w:val="2AF4778E"/>
    <w:rsid w:val="2AF7102C"/>
    <w:rsid w:val="2B125E66"/>
    <w:rsid w:val="2B1C5C3D"/>
    <w:rsid w:val="2B2123F9"/>
    <w:rsid w:val="2B255206"/>
    <w:rsid w:val="2B53065E"/>
    <w:rsid w:val="2BB44256"/>
    <w:rsid w:val="2C2C0EF1"/>
    <w:rsid w:val="2C3A6679"/>
    <w:rsid w:val="2C46226B"/>
    <w:rsid w:val="2C4E2ECE"/>
    <w:rsid w:val="2C4F5D47"/>
    <w:rsid w:val="2C6721E1"/>
    <w:rsid w:val="2C832F09"/>
    <w:rsid w:val="2C853AD3"/>
    <w:rsid w:val="2C8561A9"/>
    <w:rsid w:val="2C987C53"/>
    <w:rsid w:val="2CA13945"/>
    <w:rsid w:val="2CA51AF5"/>
    <w:rsid w:val="2CE20B8E"/>
    <w:rsid w:val="2D012C77"/>
    <w:rsid w:val="2D2F5C1C"/>
    <w:rsid w:val="2D5357B8"/>
    <w:rsid w:val="2D5E4CD1"/>
    <w:rsid w:val="2D5F7AEE"/>
    <w:rsid w:val="2D73490D"/>
    <w:rsid w:val="2DAB7ABA"/>
    <w:rsid w:val="2DAF6534"/>
    <w:rsid w:val="2E227124"/>
    <w:rsid w:val="2E2C723F"/>
    <w:rsid w:val="2E4439BD"/>
    <w:rsid w:val="2E5073D1"/>
    <w:rsid w:val="2E7F7CB6"/>
    <w:rsid w:val="2E86174F"/>
    <w:rsid w:val="2EBD433B"/>
    <w:rsid w:val="2EDC05D9"/>
    <w:rsid w:val="2FAC51A2"/>
    <w:rsid w:val="2FC31E25"/>
    <w:rsid w:val="2FCF2577"/>
    <w:rsid w:val="2FE9188B"/>
    <w:rsid w:val="301008A7"/>
    <w:rsid w:val="303348B4"/>
    <w:rsid w:val="303F558A"/>
    <w:rsid w:val="304C3BC8"/>
    <w:rsid w:val="306453B6"/>
    <w:rsid w:val="30662EDC"/>
    <w:rsid w:val="30FD40AA"/>
    <w:rsid w:val="311F076A"/>
    <w:rsid w:val="31411253"/>
    <w:rsid w:val="317A4765"/>
    <w:rsid w:val="31AB3776"/>
    <w:rsid w:val="31B37F78"/>
    <w:rsid w:val="31C73411"/>
    <w:rsid w:val="31D8231F"/>
    <w:rsid w:val="31F167D5"/>
    <w:rsid w:val="32313075"/>
    <w:rsid w:val="32772431"/>
    <w:rsid w:val="32C57FA5"/>
    <w:rsid w:val="32DC6FF6"/>
    <w:rsid w:val="32EC272D"/>
    <w:rsid w:val="330662B0"/>
    <w:rsid w:val="336A2CE3"/>
    <w:rsid w:val="33D740F0"/>
    <w:rsid w:val="33E5680D"/>
    <w:rsid w:val="341B5D8B"/>
    <w:rsid w:val="34666A21"/>
    <w:rsid w:val="346A16EC"/>
    <w:rsid w:val="34C3021C"/>
    <w:rsid w:val="34CB5F7E"/>
    <w:rsid w:val="34D50630"/>
    <w:rsid w:val="34E16FD5"/>
    <w:rsid w:val="34ED18B3"/>
    <w:rsid w:val="35411821"/>
    <w:rsid w:val="354C01C6"/>
    <w:rsid w:val="355E6877"/>
    <w:rsid w:val="356117B7"/>
    <w:rsid w:val="3578720D"/>
    <w:rsid w:val="35A34E37"/>
    <w:rsid w:val="35BB7F6E"/>
    <w:rsid w:val="35F34F00"/>
    <w:rsid w:val="35F5260C"/>
    <w:rsid w:val="36082CD4"/>
    <w:rsid w:val="364C63DD"/>
    <w:rsid w:val="364E2639"/>
    <w:rsid w:val="36641383"/>
    <w:rsid w:val="36791FB9"/>
    <w:rsid w:val="36A54032"/>
    <w:rsid w:val="36B94D8F"/>
    <w:rsid w:val="3708551C"/>
    <w:rsid w:val="37245AFC"/>
    <w:rsid w:val="378E4C3A"/>
    <w:rsid w:val="37CA5B2D"/>
    <w:rsid w:val="37E13657"/>
    <w:rsid w:val="38016B7B"/>
    <w:rsid w:val="38262F51"/>
    <w:rsid w:val="382D2D34"/>
    <w:rsid w:val="385E0855"/>
    <w:rsid w:val="38604DDE"/>
    <w:rsid w:val="3873469A"/>
    <w:rsid w:val="387C0DC3"/>
    <w:rsid w:val="38BB7B37"/>
    <w:rsid w:val="38D429AD"/>
    <w:rsid w:val="38EF3823"/>
    <w:rsid w:val="38F646CD"/>
    <w:rsid w:val="3962620A"/>
    <w:rsid w:val="39645F77"/>
    <w:rsid w:val="3981376E"/>
    <w:rsid w:val="39DF3CFF"/>
    <w:rsid w:val="39FF1CFC"/>
    <w:rsid w:val="3A520E53"/>
    <w:rsid w:val="3A7E52B7"/>
    <w:rsid w:val="3A9402DD"/>
    <w:rsid w:val="3A9E7716"/>
    <w:rsid w:val="3A9F226E"/>
    <w:rsid w:val="3AB1673A"/>
    <w:rsid w:val="3AC157BF"/>
    <w:rsid w:val="3ADD2E5F"/>
    <w:rsid w:val="3ADE1CEF"/>
    <w:rsid w:val="3AEC53D1"/>
    <w:rsid w:val="3B007A89"/>
    <w:rsid w:val="3B201ED9"/>
    <w:rsid w:val="3B36794F"/>
    <w:rsid w:val="3B7A3CDF"/>
    <w:rsid w:val="3B8350CC"/>
    <w:rsid w:val="3B9648E6"/>
    <w:rsid w:val="3BC61B14"/>
    <w:rsid w:val="3C2F38C7"/>
    <w:rsid w:val="3C553E04"/>
    <w:rsid w:val="3C843F60"/>
    <w:rsid w:val="3C89024E"/>
    <w:rsid w:val="3C920BB5"/>
    <w:rsid w:val="3CA134EE"/>
    <w:rsid w:val="3CA20B6B"/>
    <w:rsid w:val="3D006466"/>
    <w:rsid w:val="3D22462E"/>
    <w:rsid w:val="3D3103CE"/>
    <w:rsid w:val="3D4953D6"/>
    <w:rsid w:val="3D804EB1"/>
    <w:rsid w:val="3D9D2D2C"/>
    <w:rsid w:val="3DA7027A"/>
    <w:rsid w:val="3DBF6223"/>
    <w:rsid w:val="3DC01751"/>
    <w:rsid w:val="3DDD0555"/>
    <w:rsid w:val="3DEC14F7"/>
    <w:rsid w:val="3E1000F5"/>
    <w:rsid w:val="3E1877DF"/>
    <w:rsid w:val="3E664A2B"/>
    <w:rsid w:val="3EC93E84"/>
    <w:rsid w:val="3EE37DED"/>
    <w:rsid w:val="3F1461F9"/>
    <w:rsid w:val="3F257C2C"/>
    <w:rsid w:val="3F3142F6"/>
    <w:rsid w:val="3F620D12"/>
    <w:rsid w:val="3FB3688B"/>
    <w:rsid w:val="3FB43109"/>
    <w:rsid w:val="3FD03FAF"/>
    <w:rsid w:val="3FD13568"/>
    <w:rsid w:val="3FD67B72"/>
    <w:rsid w:val="407C71DA"/>
    <w:rsid w:val="408353E4"/>
    <w:rsid w:val="40B35C3B"/>
    <w:rsid w:val="4104473A"/>
    <w:rsid w:val="413B7A6D"/>
    <w:rsid w:val="41594914"/>
    <w:rsid w:val="419D79DA"/>
    <w:rsid w:val="41B01340"/>
    <w:rsid w:val="41D63506"/>
    <w:rsid w:val="41F145CF"/>
    <w:rsid w:val="420458D9"/>
    <w:rsid w:val="421F2EEA"/>
    <w:rsid w:val="426C3C56"/>
    <w:rsid w:val="42757E78"/>
    <w:rsid w:val="428847C7"/>
    <w:rsid w:val="42976F25"/>
    <w:rsid w:val="42C7272E"/>
    <w:rsid w:val="42EB00F8"/>
    <w:rsid w:val="42F26851"/>
    <w:rsid w:val="436B07F0"/>
    <w:rsid w:val="43D50202"/>
    <w:rsid w:val="43FF1225"/>
    <w:rsid w:val="44722751"/>
    <w:rsid w:val="44AB4F09"/>
    <w:rsid w:val="44CC6C2E"/>
    <w:rsid w:val="44F87A23"/>
    <w:rsid w:val="450C0120"/>
    <w:rsid w:val="451C1963"/>
    <w:rsid w:val="454620B1"/>
    <w:rsid w:val="45513D03"/>
    <w:rsid w:val="456C18A2"/>
    <w:rsid w:val="459D696F"/>
    <w:rsid w:val="45E76415"/>
    <w:rsid w:val="46380A1F"/>
    <w:rsid w:val="463A730F"/>
    <w:rsid w:val="46603AD2"/>
    <w:rsid w:val="467B6B5D"/>
    <w:rsid w:val="469F5AF4"/>
    <w:rsid w:val="46C21179"/>
    <w:rsid w:val="46F70E38"/>
    <w:rsid w:val="471A254F"/>
    <w:rsid w:val="4737208D"/>
    <w:rsid w:val="473A542F"/>
    <w:rsid w:val="475353E4"/>
    <w:rsid w:val="477750A8"/>
    <w:rsid w:val="477F61D9"/>
    <w:rsid w:val="478F5DE0"/>
    <w:rsid w:val="47A4115D"/>
    <w:rsid w:val="47ED38C0"/>
    <w:rsid w:val="480C3F11"/>
    <w:rsid w:val="481C49F5"/>
    <w:rsid w:val="483B7566"/>
    <w:rsid w:val="4843385D"/>
    <w:rsid w:val="484C255F"/>
    <w:rsid w:val="48625A76"/>
    <w:rsid w:val="489C27BC"/>
    <w:rsid w:val="48EE7ABB"/>
    <w:rsid w:val="48F43C50"/>
    <w:rsid w:val="4916491B"/>
    <w:rsid w:val="49302F0F"/>
    <w:rsid w:val="4933193C"/>
    <w:rsid w:val="49506EA2"/>
    <w:rsid w:val="49663B8B"/>
    <w:rsid w:val="49945A17"/>
    <w:rsid w:val="49D942C7"/>
    <w:rsid w:val="49EB2377"/>
    <w:rsid w:val="4A0D4DC1"/>
    <w:rsid w:val="4A282B58"/>
    <w:rsid w:val="4A325AB6"/>
    <w:rsid w:val="4A365830"/>
    <w:rsid w:val="4A7364C9"/>
    <w:rsid w:val="4AAD305D"/>
    <w:rsid w:val="4AAE5753"/>
    <w:rsid w:val="4ABD6EB3"/>
    <w:rsid w:val="4AD60C91"/>
    <w:rsid w:val="4AE5143A"/>
    <w:rsid w:val="4B135F2A"/>
    <w:rsid w:val="4B1942C3"/>
    <w:rsid w:val="4B6D116B"/>
    <w:rsid w:val="4B803312"/>
    <w:rsid w:val="4B931AB6"/>
    <w:rsid w:val="4B991A45"/>
    <w:rsid w:val="4BF80670"/>
    <w:rsid w:val="4C0373D9"/>
    <w:rsid w:val="4C3C3E74"/>
    <w:rsid w:val="4C451577"/>
    <w:rsid w:val="4C501508"/>
    <w:rsid w:val="4C547C35"/>
    <w:rsid w:val="4C827E66"/>
    <w:rsid w:val="4C8844D8"/>
    <w:rsid w:val="4C9073D0"/>
    <w:rsid w:val="4CC41C4C"/>
    <w:rsid w:val="4CE03BBE"/>
    <w:rsid w:val="4CE126CD"/>
    <w:rsid w:val="4CEA6032"/>
    <w:rsid w:val="4CF51CEC"/>
    <w:rsid w:val="4D023D7E"/>
    <w:rsid w:val="4D21045F"/>
    <w:rsid w:val="4D41037F"/>
    <w:rsid w:val="4D6C03E3"/>
    <w:rsid w:val="4D8F5B0B"/>
    <w:rsid w:val="4DCA35E7"/>
    <w:rsid w:val="4DCE4496"/>
    <w:rsid w:val="4DE82156"/>
    <w:rsid w:val="4DED0341"/>
    <w:rsid w:val="4DF01BDF"/>
    <w:rsid w:val="4E1601F2"/>
    <w:rsid w:val="4E546612"/>
    <w:rsid w:val="4E860C0F"/>
    <w:rsid w:val="4E9F1432"/>
    <w:rsid w:val="4EAF0E41"/>
    <w:rsid w:val="4EB943FF"/>
    <w:rsid w:val="4EFE47D1"/>
    <w:rsid w:val="4F20745B"/>
    <w:rsid w:val="4F2A1BF6"/>
    <w:rsid w:val="4F334479"/>
    <w:rsid w:val="4F7F321A"/>
    <w:rsid w:val="4FD61A84"/>
    <w:rsid w:val="4FEF595A"/>
    <w:rsid w:val="5050351A"/>
    <w:rsid w:val="50810E77"/>
    <w:rsid w:val="50C00780"/>
    <w:rsid w:val="50D70A32"/>
    <w:rsid w:val="50FC089B"/>
    <w:rsid w:val="51151096"/>
    <w:rsid w:val="5124051D"/>
    <w:rsid w:val="513756A7"/>
    <w:rsid w:val="513C37FC"/>
    <w:rsid w:val="51450494"/>
    <w:rsid w:val="51497F84"/>
    <w:rsid w:val="514E7877"/>
    <w:rsid w:val="51916DA4"/>
    <w:rsid w:val="51A27694"/>
    <w:rsid w:val="51AA3551"/>
    <w:rsid w:val="51D27626"/>
    <w:rsid w:val="51F77335"/>
    <w:rsid w:val="523A372E"/>
    <w:rsid w:val="524964C7"/>
    <w:rsid w:val="527821A3"/>
    <w:rsid w:val="52CE189B"/>
    <w:rsid w:val="52D23FA9"/>
    <w:rsid w:val="52E162BA"/>
    <w:rsid w:val="53093E80"/>
    <w:rsid w:val="53230361"/>
    <w:rsid w:val="53521B19"/>
    <w:rsid w:val="536F7A4A"/>
    <w:rsid w:val="53802D97"/>
    <w:rsid w:val="53810440"/>
    <w:rsid w:val="5392480A"/>
    <w:rsid w:val="53B9453D"/>
    <w:rsid w:val="53C0481A"/>
    <w:rsid w:val="53D23F5E"/>
    <w:rsid w:val="53DF697E"/>
    <w:rsid w:val="53E50FED"/>
    <w:rsid w:val="5413672B"/>
    <w:rsid w:val="54181A40"/>
    <w:rsid w:val="542B1BC3"/>
    <w:rsid w:val="542B3809"/>
    <w:rsid w:val="54372663"/>
    <w:rsid w:val="54A46E96"/>
    <w:rsid w:val="54B40BE7"/>
    <w:rsid w:val="54C067AF"/>
    <w:rsid w:val="54E66859"/>
    <w:rsid w:val="54F33FF1"/>
    <w:rsid w:val="55184787"/>
    <w:rsid w:val="553B4779"/>
    <w:rsid w:val="553E1482"/>
    <w:rsid w:val="554051FA"/>
    <w:rsid w:val="55653051"/>
    <w:rsid w:val="55673E47"/>
    <w:rsid w:val="558619E9"/>
    <w:rsid w:val="55A97243"/>
    <w:rsid w:val="55F93A1B"/>
    <w:rsid w:val="56015A82"/>
    <w:rsid w:val="562C1341"/>
    <w:rsid w:val="56446F0F"/>
    <w:rsid w:val="564E3505"/>
    <w:rsid w:val="56B57E6A"/>
    <w:rsid w:val="56BD0CF0"/>
    <w:rsid w:val="56D03DAD"/>
    <w:rsid w:val="5721105B"/>
    <w:rsid w:val="576D604E"/>
    <w:rsid w:val="57995095"/>
    <w:rsid w:val="57B91294"/>
    <w:rsid w:val="57B93CF2"/>
    <w:rsid w:val="57F14ED1"/>
    <w:rsid w:val="5816663A"/>
    <w:rsid w:val="581A7F84"/>
    <w:rsid w:val="582E1C82"/>
    <w:rsid w:val="58353010"/>
    <w:rsid w:val="5849678B"/>
    <w:rsid w:val="58523BC2"/>
    <w:rsid w:val="585C5E8C"/>
    <w:rsid w:val="58647451"/>
    <w:rsid w:val="58951782"/>
    <w:rsid w:val="58E10AA2"/>
    <w:rsid w:val="593863AD"/>
    <w:rsid w:val="59486761"/>
    <w:rsid w:val="599551D9"/>
    <w:rsid w:val="599B5FFB"/>
    <w:rsid w:val="59DA7F1F"/>
    <w:rsid w:val="59E20DA0"/>
    <w:rsid w:val="59EC7FAC"/>
    <w:rsid w:val="5A2B335B"/>
    <w:rsid w:val="5A596A7B"/>
    <w:rsid w:val="5A8A5953"/>
    <w:rsid w:val="5AA64677"/>
    <w:rsid w:val="5B1F728F"/>
    <w:rsid w:val="5B383A30"/>
    <w:rsid w:val="5B48005C"/>
    <w:rsid w:val="5B7E4CCE"/>
    <w:rsid w:val="5B8322E4"/>
    <w:rsid w:val="5B841BB9"/>
    <w:rsid w:val="5BB16E51"/>
    <w:rsid w:val="5BC754E8"/>
    <w:rsid w:val="5BCF1957"/>
    <w:rsid w:val="5BE07377"/>
    <w:rsid w:val="5BE30FD5"/>
    <w:rsid w:val="5BEC7E8A"/>
    <w:rsid w:val="5C1C57AA"/>
    <w:rsid w:val="5C225659"/>
    <w:rsid w:val="5C417408"/>
    <w:rsid w:val="5C503E77"/>
    <w:rsid w:val="5CB43B8B"/>
    <w:rsid w:val="5CCE57E1"/>
    <w:rsid w:val="5CD44153"/>
    <w:rsid w:val="5CE7621F"/>
    <w:rsid w:val="5D085075"/>
    <w:rsid w:val="5D4D0BA6"/>
    <w:rsid w:val="5D652C4D"/>
    <w:rsid w:val="5D9702C9"/>
    <w:rsid w:val="5DC55B33"/>
    <w:rsid w:val="5DC56BE4"/>
    <w:rsid w:val="5DC97073"/>
    <w:rsid w:val="5DEA3CF8"/>
    <w:rsid w:val="5DFD51EC"/>
    <w:rsid w:val="5E6350AA"/>
    <w:rsid w:val="5E8B1BDC"/>
    <w:rsid w:val="5EBF1885"/>
    <w:rsid w:val="5ECB647C"/>
    <w:rsid w:val="5ED22865"/>
    <w:rsid w:val="5EE72B8A"/>
    <w:rsid w:val="5F1F0D68"/>
    <w:rsid w:val="5F346F7D"/>
    <w:rsid w:val="5F466915"/>
    <w:rsid w:val="5F476710"/>
    <w:rsid w:val="5FA42829"/>
    <w:rsid w:val="5FBF7663"/>
    <w:rsid w:val="5FC50439"/>
    <w:rsid w:val="60340D28"/>
    <w:rsid w:val="603E6335"/>
    <w:rsid w:val="604D3D00"/>
    <w:rsid w:val="604F4E8B"/>
    <w:rsid w:val="6050510D"/>
    <w:rsid w:val="60583D40"/>
    <w:rsid w:val="607F121F"/>
    <w:rsid w:val="608824A6"/>
    <w:rsid w:val="60D55390"/>
    <w:rsid w:val="614222FA"/>
    <w:rsid w:val="61872F0B"/>
    <w:rsid w:val="619E1C4C"/>
    <w:rsid w:val="619F599E"/>
    <w:rsid w:val="61ED1DA6"/>
    <w:rsid w:val="628A21AA"/>
    <w:rsid w:val="62CA25A7"/>
    <w:rsid w:val="62E0626E"/>
    <w:rsid w:val="62EF64B1"/>
    <w:rsid w:val="6300421A"/>
    <w:rsid w:val="630F445E"/>
    <w:rsid w:val="631E033D"/>
    <w:rsid w:val="63734BAE"/>
    <w:rsid w:val="63B84AF5"/>
    <w:rsid w:val="63D062E3"/>
    <w:rsid w:val="6477050C"/>
    <w:rsid w:val="648317E9"/>
    <w:rsid w:val="6488096B"/>
    <w:rsid w:val="64B864B8"/>
    <w:rsid w:val="64EF306C"/>
    <w:rsid w:val="64F87BAD"/>
    <w:rsid w:val="64FD092A"/>
    <w:rsid w:val="6504073F"/>
    <w:rsid w:val="654666FA"/>
    <w:rsid w:val="656005B9"/>
    <w:rsid w:val="656767D3"/>
    <w:rsid w:val="65B71508"/>
    <w:rsid w:val="65DE4487"/>
    <w:rsid w:val="65E16585"/>
    <w:rsid w:val="661029C7"/>
    <w:rsid w:val="661C02AA"/>
    <w:rsid w:val="664B39FF"/>
    <w:rsid w:val="66506635"/>
    <w:rsid w:val="66522FDF"/>
    <w:rsid w:val="669E53DB"/>
    <w:rsid w:val="66A51361"/>
    <w:rsid w:val="66B14497"/>
    <w:rsid w:val="66FB1B80"/>
    <w:rsid w:val="66FC2F4B"/>
    <w:rsid w:val="67283DE8"/>
    <w:rsid w:val="67446DCC"/>
    <w:rsid w:val="675F7243"/>
    <w:rsid w:val="677B6565"/>
    <w:rsid w:val="67A92190"/>
    <w:rsid w:val="67AD6FA5"/>
    <w:rsid w:val="67B13F49"/>
    <w:rsid w:val="67C55A54"/>
    <w:rsid w:val="67F42079"/>
    <w:rsid w:val="68355DEF"/>
    <w:rsid w:val="683E676D"/>
    <w:rsid w:val="68612DDE"/>
    <w:rsid w:val="68832B6A"/>
    <w:rsid w:val="68946186"/>
    <w:rsid w:val="68A35D74"/>
    <w:rsid w:val="68A65864"/>
    <w:rsid w:val="68D20407"/>
    <w:rsid w:val="69032DA6"/>
    <w:rsid w:val="69136635"/>
    <w:rsid w:val="6921095D"/>
    <w:rsid w:val="69431F17"/>
    <w:rsid w:val="69940C59"/>
    <w:rsid w:val="69A956BA"/>
    <w:rsid w:val="69F43222"/>
    <w:rsid w:val="6A5515E8"/>
    <w:rsid w:val="6A747283"/>
    <w:rsid w:val="6A8D7CC5"/>
    <w:rsid w:val="6ABA73A5"/>
    <w:rsid w:val="6AC67AF8"/>
    <w:rsid w:val="6AD24675"/>
    <w:rsid w:val="6ADA6B38"/>
    <w:rsid w:val="6B27673E"/>
    <w:rsid w:val="6B457CC4"/>
    <w:rsid w:val="6B737C7F"/>
    <w:rsid w:val="6BCA7CE5"/>
    <w:rsid w:val="6BDD1D01"/>
    <w:rsid w:val="6BE20961"/>
    <w:rsid w:val="6C096490"/>
    <w:rsid w:val="6C0E4CB3"/>
    <w:rsid w:val="6C272818"/>
    <w:rsid w:val="6C337021"/>
    <w:rsid w:val="6C3D634D"/>
    <w:rsid w:val="6C417DB5"/>
    <w:rsid w:val="6C557C73"/>
    <w:rsid w:val="6C733992"/>
    <w:rsid w:val="6C783074"/>
    <w:rsid w:val="6C7B240D"/>
    <w:rsid w:val="6C7C5674"/>
    <w:rsid w:val="6C8D4D71"/>
    <w:rsid w:val="6CCB3AEB"/>
    <w:rsid w:val="6D1A5687"/>
    <w:rsid w:val="6D543E88"/>
    <w:rsid w:val="6D5B7AB4"/>
    <w:rsid w:val="6D8C06EB"/>
    <w:rsid w:val="6D901B30"/>
    <w:rsid w:val="6DA07D03"/>
    <w:rsid w:val="6DAD4B90"/>
    <w:rsid w:val="6DD51095"/>
    <w:rsid w:val="6DDA236B"/>
    <w:rsid w:val="6E1868BC"/>
    <w:rsid w:val="6E2F3C06"/>
    <w:rsid w:val="6E34121C"/>
    <w:rsid w:val="6E3659C8"/>
    <w:rsid w:val="6E433422"/>
    <w:rsid w:val="6E8403F6"/>
    <w:rsid w:val="6EA97E5C"/>
    <w:rsid w:val="6EB8529A"/>
    <w:rsid w:val="6EB9701A"/>
    <w:rsid w:val="6ECA610E"/>
    <w:rsid w:val="6ECD207E"/>
    <w:rsid w:val="6F1D1EFA"/>
    <w:rsid w:val="6F3514ED"/>
    <w:rsid w:val="6F651FD5"/>
    <w:rsid w:val="6F74157E"/>
    <w:rsid w:val="701557A9"/>
    <w:rsid w:val="70281D17"/>
    <w:rsid w:val="704A1775"/>
    <w:rsid w:val="70567B70"/>
    <w:rsid w:val="71143763"/>
    <w:rsid w:val="71381023"/>
    <w:rsid w:val="713F0604"/>
    <w:rsid w:val="719426FE"/>
    <w:rsid w:val="71A970F2"/>
    <w:rsid w:val="71D03F7D"/>
    <w:rsid w:val="72001B41"/>
    <w:rsid w:val="722872EA"/>
    <w:rsid w:val="728843A6"/>
    <w:rsid w:val="72931273"/>
    <w:rsid w:val="72AA5244"/>
    <w:rsid w:val="730E62B9"/>
    <w:rsid w:val="731004AA"/>
    <w:rsid w:val="73104006"/>
    <w:rsid w:val="734B0E16"/>
    <w:rsid w:val="735512AB"/>
    <w:rsid w:val="738E48EC"/>
    <w:rsid w:val="739369E5"/>
    <w:rsid w:val="73BA7F5C"/>
    <w:rsid w:val="73C31078"/>
    <w:rsid w:val="73E31FE5"/>
    <w:rsid w:val="746F1200"/>
    <w:rsid w:val="747D391D"/>
    <w:rsid w:val="74C87981"/>
    <w:rsid w:val="74E54B1E"/>
    <w:rsid w:val="750B06F4"/>
    <w:rsid w:val="750F268E"/>
    <w:rsid w:val="755F1275"/>
    <w:rsid w:val="756024DB"/>
    <w:rsid w:val="7566068E"/>
    <w:rsid w:val="75BF3AC1"/>
    <w:rsid w:val="75C80BC8"/>
    <w:rsid w:val="76097CC8"/>
    <w:rsid w:val="761C4CC0"/>
    <w:rsid w:val="7635472C"/>
    <w:rsid w:val="7669051F"/>
    <w:rsid w:val="767E65B4"/>
    <w:rsid w:val="769D3E02"/>
    <w:rsid w:val="76BF12EE"/>
    <w:rsid w:val="76FC7C5E"/>
    <w:rsid w:val="77170059"/>
    <w:rsid w:val="771B1C48"/>
    <w:rsid w:val="773A5AF5"/>
    <w:rsid w:val="773C5039"/>
    <w:rsid w:val="77526FC1"/>
    <w:rsid w:val="776821F4"/>
    <w:rsid w:val="778479C5"/>
    <w:rsid w:val="77BF5FFA"/>
    <w:rsid w:val="77EA0066"/>
    <w:rsid w:val="77F1253B"/>
    <w:rsid w:val="77FD1DFD"/>
    <w:rsid w:val="78217FD7"/>
    <w:rsid w:val="785515D1"/>
    <w:rsid w:val="785B1E04"/>
    <w:rsid w:val="78903663"/>
    <w:rsid w:val="78AD5FC2"/>
    <w:rsid w:val="78CF29B7"/>
    <w:rsid w:val="78DA2B64"/>
    <w:rsid w:val="78E01C9C"/>
    <w:rsid w:val="78E0447A"/>
    <w:rsid w:val="79144124"/>
    <w:rsid w:val="795C1802"/>
    <w:rsid w:val="79780EAA"/>
    <w:rsid w:val="797F5A41"/>
    <w:rsid w:val="798264DC"/>
    <w:rsid w:val="798E3ED6"/>
    <w:rsid w:val="7994524E"/>
    <w:rsid w:val="79BF22E2"/>
    <w:rsid w:val="79C478F8"/>
    <w:rsid w:val="79C93160"/>
    <w:rsid w:val="79E87EDA"/>
    <w:rsid w:val="7A0C4F50"/>
    <w:rsid w:val="7A0F5962"/>
    <w:rsid w:val="7A1F1D95"/>
    <w:rsid w:val="7A4867FC"/>
    <w:rsid w:val="7A4B626B"/>
    <w:rsid w:val="7A59570F"/>
    <w:rsid w:val="7AA06B07"/>
    <w:rsid w:val="7AA329D6"/>
    <w:rsid w:val="7AC202DC"/>
    <w:rsid w:val="7ADD0416"/>
    <w:rsid w:val="7ADF72B5"/>
    <w:rsid w:val="7B0D3CE5"/>
    <w:rsid w:val="7B152B01"/>
    <w:rsid w:val="7B2A349C"/>
    <w:rsid w:val="7B3F7B7E"/>
    <w:rsid w:val="7B553F69"/>
    <w:rsid w:val="7BBD4F47"/>
    <w:rsid w:val="7BEE3352"/>
    <w:rsid w:val="7C476ABC"/>
    <w:rsid w:val="7C4C347A"/>
    <w:rsid w:val="7C5807CC"/>
    <w:rsid w:val="7CA26617"/>
    <w:rsid w:val="7D3A25C1"/>
    <w:rsid w:val="7D7004C3"/>
    <w:rsid w:val="7DA61F6B"/>
    <w:rsid w:val="7E0A340A"/>
    <w:rsid w:val="7E1259C9"/>
    <w:rsid w:val="7E5574CE"/>
    <w:rsid w:val="7E906943"/>
    <w:rsid w:val="7EAB722B"/>
    <w:rsid w:val="7EC50EEC"/>
    <w:rsid w:val="7F1B445E"/>
    <w:rsid w:val="7F4D338D"/>
    <w:rsid w:val="7F6556D9"/>
    <w:rsid w:val="7FA2248A"/>
    <w:rsid w:val="7FA962DE"/>
    <w:rsid w:val="7FB63657"/>
    <w:rsid w:val="7FBF128D"/>
    <w:rsid w:val="7FEE56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9"/>
    <w:qFormat/>
    <w:uiPriority w:val="0"/>
    <w:pPr>
      <w:keepNext/>
      <w:jc w:val="center"/>
      <w:outlineLvl w:val="0"/>
    </w:pPr>
    <w:rPr>
      <w:rFonts w:ascii="楷体_GB2312" w:eastAsia="楷体_GB2312"/>
      <w:kern w:val="0"/>
      <w:sz w:val="28"/>
      <w:szCs w:val="28"/>
    </w:rPr>
  </w:style>
  <w:style w:type="paragraph" w:styleId="3">
    <w:name w:val="heading 2"/>
    <w:basedOn w:val="1"/>
    <w:next w:val="4"/>
    <w:link w:val="60"/>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4"/>
    <w:link w:val="62"/>
    <w:qFormat/>
    <w:uiPriority w:val="0"/>
    <w:pPr>
      <w:keepNext/>
      <w:keepLines/>
      <w:spacing w:before="260" w:after="260" w:line="416" w:lineRule="auto"/>
      <w:outlineLvl w:val="2"/>
    </w:pPr>
    <w:rPr>
      <w:b/>
      <w:bCs/>
      <w:kern w:val="0"/>
      <w:sz w:val="32"/>
      <w:szCs w:val="32"/>
    </w:rPr>
  </w:style>
  <w:style w:type="paragraph" w:styleId="6">
    <w:name w:val="heading 4"/>
    <w:basedOn w:val="1"/>
    <w:next w:val="4"/>
    <w:link w:val="63"/>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4"/>
    <w:link w:val="64"/>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65"/>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9">
    <w:name w:val="heading 7"/>
    <w:basedOn w:val="1"/>
    <w:next w:val="1"/>
    <w:link w:val="66"/>
    <w:qFormat/>
    <w:uiPriority w:val="0"/>
    <w:pPr>
      <w:keepNext/>
      <w:keepLines/>
      <w:numPr>
        <w:ilvl w:val="6"/>
        <w:numId w:val="1"/>
      </w:numPr>
      <w:spacing w:before="240" w:after="64" w:line="320" w:lineRule="auto"/>
      <w:outlineLvl w:val="6"/>
    </w:pPr>
    <w:rPr>
      <w:b/>
      <w:bCs/>
      <w:kern w:val="0"/>
      <w:sz w:val="24"/>
      <w:szCs w:val="24"/>
    </w:rPr>
  </w:style>
  <w:style w:type="paragraph" w:styleId="10">
    <w:name w:val="heading 8"/>
    <w:basedOn w:val="1"/>
    <w:next w:val="1"/>
    <w:link w:val="67"/>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1">
    <w:name w:val="heading 9"/>
    <w:basedOn w:val="1"/>
    <w:next w:val="1"/>
    <w:link w:val="68"/>
    <w:qFormat/>
    <w:uiPriority w:val="0"/>
    <w:pPr>
      <w:keepNext/>
      <w:keepLines/>
      <w:numPr>
        <w:ilvl w:val="8"/>
        <w:numId w:val="1"/>
      </w:numPr>
      <w:spacing w:before="240" w:after="64" w:line="320" w:lineRule="auto"/>
      <w:outlineLvl w:val="8"/>
    </w:pPr>
    <w:rPr>
      <w:rFonts w:ascii="Arial" w:hAnsi="Arial" w:eastAsia="黑体"/>
      <w:kern w:val="0"/>
      <w:sz w:val="2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0"/>
    <w:pPr>
      <w:ind w:firstLine="420"/>
    </w:pPr>
    <w:rPr>
      <w:kern w:val="0"/>
      <w:sz w:val="20"/>
      <w:szCs w:val="21"/>
    </w:rPr>
  </w:style>
  <w:style w:type="paragraph" w:styleId="12">
    <w:name w:val="List 3"/>
    <w:basedOn w:val="1"/>
    <w:qFormat/>
    <w:uiPriority w:val="0"/>
    <w:pPr>
      <w:ind w:left="100" w:leftChars="400" w:hanging="200" w:hangingChars="200"/>
    </w:pPr>
    <w:rPr>
      <w:szCs w:val="21"/>
    </w:rPr>
  </w:style>
  <w:style w:type="paragraph" w:styleId="13">
    <w:name w:val="toc 7"/>
    <w:basedOn w:val="1"/>
    <w:next w:val="1"/>
    <w:semiHidden/>
    <w:qFormat/>
    <w:uiPriority w:val="0"/>
    <w:pPr>
      <w:ind w:left="1260"/>
      <w:jc w:val="left"/>
    </w:pPr>
    <w:rPr>
      <w:szCs w:val="21"/>
    </w:rPr>
  </w:style>
  <w:style w:type="paragraph" w:styleId="14">
    <w:name w:val="Document Map"/>
    <w:basedOn w:val="1"/>
    <w:link w:val="69"/>
    <w:semiHidden/>
    <w:qFormat/>
    <w:uiPriority w:val="0"/>
    <w:pPr>
      <w:shd w:val="clear" w:color="auto" w:fill="000080"/>
    </w:pPr>
    <w:rPr>
      <w:kern w:val="0"/>
      <w:sz w:val="20"/>
      <w:szCs w:val="21"/>
    </w:rPr>
  </w:style>
  <w:style w:type="paragraph" w:styleId="15">
    <w:name w:val="annotation text"/>
    <w:basedOn w:val="1"/>
    <w:link w:val="70"/>
    <w:unhideWhenUsed/>
    <w:qFormat/>
    <w:uiPriority w:val="0"/>
    <w:pPr>
      <w:jc w:val="left"/>
    </w:pPr>
  </w:style>
  <w:style w:type="paragraph" w:styleId="16">
    <w:name w:val="Body Text 3"/>
    <w:basedOn w:val="1"/>
    <w:link w:val="71"/>
    <w:qFormat/>
    <w:uiPriority w:val="0"/>
    <w:rPr>
      <w:rFonts w:ascii="仿宋_GB2312" w:hAnsi="Arial" w:eastAsia="仿宋_GB2312"/>
      <w:kern w:val="0"/>
      <w:sz w:val="32"/>
      <w:szCs w:val="32"/>
    </w:rPr>
  </w:style>
  <w:style w:type="paragraph" w:styleId="17">
    <w:name w:val="Body Text"/>
    <w:basedOn w:val="1"/>
    <w:next w:val="18"/>
    <w:link w:val="72"/>
    <w:qFormat/>
    <w:uiPriority w:val="0"/>
    <w:rPr>
      <w:rFonts w:ascii="楷体_GB2312" w:hAnsi="Arial" w:eastAsia="楷体_GB2312"/>
      <w:kern w:val="0"/>
      <w:sz w:val="28"/>
      <w:szCs w:val="28"/>
    </w:rPr>
  </w:style>
  <w:style w:type="paragraph" w:customStyle="1" w:styleId="18">
    <w:name w:val="Default"/>
    <w:qFormat/>
    <w:uiPriority w:val="0"/>
    <w:pPr>
      <w:widowControl w:val="0"/>
      <w:autoSpaceDE w:val="0"/>
      <w:autoSpaceDN w:val="0"/>
      <w:adjustRightInd w:val="0"/>
    </w:pPr>
    <w:rPr>
      <w:rFonts w:hint="eastAsia" w:ascii="宋体" w:hAnsi="Calibri" w:eastAsia="宋体" w:cs="Times New Roman"/>
      <w:color w:val="000000"/>
      <w:sz w:val="24"/>
      <w:szCs w:val="24"/>
      <w:lang w:val="en-US" w:eastAsia="zh-CN" w:bidi="ar-SA"/>
    </w:rPr>
  </w:style>
  <w:style w:type="paragraph" w:styleId="19">
    <w:name w:val="Body Text Indent"/>
    <w:basedOn w:val="1"/>
    <w:link w:val="73"/>
    <w:unhideWhenUsed/>
    <w:qFormat/>
    <w:uiPriority w:val="0"/>
    <w:pPr>
      <w:spacing w:after="120"/>
      <w:ind w:left="420" w:leftChars="200"/>
    </w:pPr>
  </w:style>
  <w:style w:type="paragraph" w:styleId="20">
    <w:name w:val="List 2"/>
    <w:basedOn w:val="1"/>
    <w:qFormat/>
    <w:uiPriority w:val="0"/>
    <w:pPr>
      <w:ind w:left="100" w:leftChars="200" w:hanging="200" w:hangingChars="200"/>
    </w:pPr>
    <w:rPr>
      <w:szCs w:val="21"/>
    </w:rPr>
  </w:style>
  <w:style w:type="paragraph" w:styleId="21">
    <w:name w:val="index 4"/>
    <w:basedOn w:val="1"/>
    <w:next w:val="1"/>
    <w:autoRedefine/>
    <w:semiHidden/>
    <w:unhideWhenUsed/>
    <w:qFormat/>
    <w:uiPriority w:val="99"/>
    <w:pPr>
      <w:ind w:left="600" w:leftChars="600"/>
    </w:pPr>
  </w:style>
  <w:style w:type="paragraph" w:styleId="22">
    <w:name w:val="toc 5"/>
    <w:basedOn w:val="1"/>
    <w:next w:val="1"/>
    <w:semiHidden/>
    <w:qFormat/>
    <w:uiPriority w:val="0"/>
    <w:pPr>
      <w:ind w:left="840"/>
      <w:jc w:val="left"/>
    </w:pPr>
    <w:rPr>
      <w:szCs w:val="21"/>
    </w:rPr>
  </w:style>
  <w:style w:type="paragraph" w:styleId="23">
    <w:name w:val="toc 3"/>
    <w:basedOn w:val="1"/>
    <w:next w:val="1"/>
    <w:semiHidden/>
    <w:qFormat/>
    <w:uiPriority w:val="0"/>
    <w:pPr>
      <w:ind w:left="420"/>
      <w:jc w:val="left"/>
    </w:pPr>
    <w:rPr>
      <w:i/>
      <w:iCs/>
      <w:szCs w:val="24"/>
    </w:rPr>
  </w:style>
  <w:style w:type="paragraph" w:styleId="24">
    <w:name w:val="Plain Text"/>
    <w:basedOn w:val="1"/>
    <w:link w:val="74"/>
    <w:qFormat/>
    <w:uiPriority w:val="0"/>
    <w:rPr>
      <w:rFonts w:ascii="宋体" w:hAnsi="Courier New"/>
      <w:kern w:val="0"/>
      <w:sz w:val="20"/>
      <w:szCs w:val="21"/>
    </w:rPr>
  </w:style>
  <w:style w:type="paragraph" w:styleId="25">
    <w:name w:val="toc 8"/>
    <w:basedOn w:val="1"/>
    <w:next w:val="1"/>
    <w:semiHidden/>
    <w:qFormat/>
    <w:uiPriority w:val="0"/>
    <w:pPr>
      <w:ind w:left="1470"/>
      <w:jc w:val="left"/>
    </w:pPr>
    <w:rPr>
      <w:szCs w:val="21"/>
    </w:rPr>
  </w:style>
  <w:style w:type="paragraph" w:styleId="26">
    <w:name w:val="Date"/>
    <w:basedOn w:val="1"/>
    <w:next w:val="1"/>
    <w:link w:val="75"/>
    <w:qFormat/>
    <w:uiPriority w:val="0"/>
    <w:rPr>
      <w:kern w:val="0"/>
      <w:sz w:val="24"/>
      <w:szCs w:val="24"/>
    </w:rPr>
  </w:style>
  <w:style w:type="paragraph" w:styleId="27">
    <w:name w:val="Body Text Indent 2"/>
    <w:basedOn w:val="1"/>
    <w:link w:val="76"/>
    <w:qFormat/>
    <w:uiPriority w:val="0"/>
    <w:pPr>
      <w:ind w:left="630" w:firstLine="645"/>
    </w:pPr>
    <w:rPr>
      <w:rFonts w:ascii="Arial" w:hAnsi="Arial" w:eastAsia="仿宋_GB2312"/>
      <w:kern w:val="0"/>
      <w:sz w:val="32"/>
      <w:szCs w:val="32"/>
    </w:rPr>
  </w:style>
  <w:style w:type="paragraph" w:styleId="28">
    <w:name w:val="Balloon Text"/>
    <w:basedOn w:val="1"/>
    <w:link w:val="77"/>
    <w:semiHidden/>
    <w:qFormat/>
    <w:uiPriority w:val="0"/>
    <w:rPr>
      <w:kern w:val="0"/>
      <w:sz w:val="18"/>
      <w:szCs w:val="18"/>
    </w:rPr>
  </w:style>
  <w:style w:type="paragraph" w:styleId="29">
    <w:name w:val="footer"/>
    <w:basedOn w:val="1"/>
    <w:link w:val="78"/>
    <w:qFormat/>
    <w:uiPriority w:val="99"/>
    <w:pPr>
      <w:tabs>
        <w:tab w:val="center" w:pos="4153"/>
        <w:tab w:val="right" w:pos="8306"/>
      </w:tabs>
      <w:snapToGrid w:val="0"/>
      <w:jc w:val="left"/>
    </w:pPr>
    <w:rPr>
      <w:kern w:val="0"/>
      <w:sz w:val="18"/>
      <w:szCs w:val="18"/>
    </w:rPr>
  </w:style>
  <w:style w:type="paragraph" w:styleId="30">
    <w:name w:val="envelope return"/>
    <w:basedOn w:val="1"/>
    <w:unhideWhenUsed/>
    <w:qFormat/>
    <w:uiPriority w:val="99"/>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kern w:val="0"/>
      <w:sz w:val="18"/>
      <w:szCs w:val="18"/>
    </w:rPr>
  </w:style>
  <w:style w:type="paragraph" w:styleId="32">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3">
    <w:name w:val="toc 4"/>
    <w:basedOn w:val="1"/>
    <w:next w:val="1"/>
    <w:semiHidden/>
    <w:qFormat/>
    <w:uiPriority w:val="0"/>
    <w:pPr>
      <w:ind w:left="630"/>
      <w:jc w:val="left"/>
    </w:pPr>
    <w:rPr>
      <w:szCs w:val="21"/>
    </w:rPr>
  </w:style>
  <w:style w:type="paragraph" w:styleId="34">
    <w:name w:val="List"/>
    <w:basedOn w:val="1"/>
    <w:qFormat/>
    <w:uiPriority w:val="0"/>
    <w:pPr>
      <w:ind w:left="200" w:hanging="200" w:hangingChars="200"/>
    </w:pPr>
    <w:rPr>
      <w:szCs w:val="21"/>
    </w:rPr>
  </w:style>
  <w:style w:type="paragraph" w:styleId="35">
    <w:name w:val="toc 6"/>
    <w:basedOn w:val="1"/>
    <w:next w:val="1"/>
    <w:semiHidden/>
    <w:qFormat/>
    <w:uiPriority w:val="0"/>
    <w:pPr>
      <w:ind w:left="1050"/>
      <w:jc w:val="left"/>
    </w:pPr>
    <w:rPr>
      <w:szCs w:val="21"/>
    </w:rPr>
  </w:style>
  <w:style w:type="paragraph" w:styleId="36">
    <w:name w:val="Body Text Indent 3"/>
    <w:basedOn w:val="1"/>
    <w:link w:val="80"/>
    <w:qFormat/>
    <w:uiPriority w:val="0"/>
    <w:pPr>
      <w:ind w:left="645" w:firstLine="645"/>
    </w:pPr>
    <w:rPr>
      <w:rFonts w:ascii="Arial" w:hAnsi="Arial" w:eastAsia="仿宋_GB2312"/>
      <w:color w:val="FFFF00"/>
      <w:kern w:val="0"/>
      <w:sz w:val="32"/>
      <w:szCs w:val="32"/>
    </w:rPr>
  </w:style>
  <w:style w:type="paragraph" w:styleId="37">
    <w:name w:val="table of figures"/>
    <w:basedOn w:val="1"/>
    <w:next w:val="1"/>
    <w:semiHidden/>
    <w:qFormat/>
    <w:uiPriority w:val="0"/>
    <w:pPr>
      <w:ind w:left="840" w:hanging="420"/>
    </w:pPr>
    <w:rPr>
      <w:szCs w:val="21"/>
    </w:rPr>
  </w:style>
  <w:style w:type="paragraph" w:styleId="38">
    <w:name w:val="toc 2"/>
    <w:basedOn w:val="1"/>
    <w:next w:val="1"/>
    <w:semiHidden/>
    <w:qFormat/>
    <w:uiPriority w:val="0"/>
    <w:pPr>
      <w:ind w:left="210"/>
      <w:jc w:val="left"/>
    </w:pPr>
    <w:rPr>
      <w:smallCaps/>
      <w:szCs w:val="24"/>
    </w:rPr>
  </w:style>
  <w:style w:type="paragraph" w:styleId="39">
    <w:name w:val="toc 9"/>
    <w:basedOn w:val="1"/>
    <w:next w:val="1"/>
    <w:semiHidden/>
    <w:qFormat/>
    <w:uiPriority w:val="0"/>
    <w:pPr>
      <w:ind w:left="1680"/>
      <w:jc w:val="left"/>
    </w:pPr>
    <w:rPr>
      <w:szCs w:val="21"/>
    </w:rPr>
  </w:style>
  <w:style w:type="paragraph" w:styleId="40">
    <w:name w:val="Body Text 2"/>
    <w:basedOn w:val="1"/>
    <w:link w:val="81"/>
    <w:qFormat/>
    <w:uiPriority w:val="0"/>
    <w:pPr>
      <w:widowControl/>
      <w:jc w:val="center"/>
    </w:pPr>
    <w:rPr>
      <w:rFonts w:ascii="楷体_GB2312" w:eastAsia="楷体_GB2312"/>
      <w:kern w:val="0"/>
      <w:sz w:val="28"/>
      <w:szCs w:val="28"/>
    </w:rPr>
  </w:style>
  <w:style w:type="paragraph" w:styleId="4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semiHidden/>
    <w:qFormat/>
    <w:uiPriority w:val="0"/>
    <w:pPr>
      <w:spacing w:line="240" w:lineRule="atLeast"/>
    </w:pPr>
    <w:rPr>
      <w:b/>
      <w:bCs/>
      <w:szCs w:val="21"/>
    </w:rPr>
  </w:style>
  <w:style w:type="paragraph" w:styleId="43">
    <w:name w:val="annotation subject"/>
    <w:basedOn w:val="15"/>
    <w:next w:val="15"/>
    <w:link w:val="82"/>
    <w:semiHidden/>
    <w:qFormat/>
    <w:uiPriority w:val="0"/>
    <w:rPr>
      <w:b/>
      <w:bCs/>
      <w:kern w:val="0"/>
      <w:sz w:val="20"/>
      <w:szCs w:val="21"/>
    </w:rPr>
  </w:style>
  <w:style w:type="paragraph" w:styleId="44">
    <w:name w:val="Body Text First Indent"/>
    <w:basedOn w:val="17"/>
    <w:next w:val="45"/>
    <w:link w:val="83"/>
    <w:qFormat/>
    <w:uiPriority w:val="0"/>
    <w:pPr>
      <w:spacing w:line="360" w:lineRule="auto"/>
      <w:ind w:firstLine="200" w:firstLineChars="200"/>
    </w:pPr>
    <w:rPr>
      <w:rFonts w:ascii="仿宋_GB2312" w:eastAsia="仿宋_GB2312"/>
      <w:sz w:val="30"/>
      <w:szCs w:val="30"/>
    </w:rPr>
  </w:style>
  <w:style w:type="paragraph" w:styleId="45">
    <w:name w:val="Body Text First Indent 2"/>
    <w:basedOn w:val="19"/>
    <w:next w:val="44"/>
    <w:link w:val="84"/>
    <w:qFormat/>
    <w:uiPriority w:val="0"/>
    <w:pPr>
      <w:spacing w:after="0" w:line="360" w:lineRule="auto"/>
      <w:ind w:left="0" w:leftChars="0" w:firstLine="420" w:firstLineChars="200"/>
    </w:pPr>
    <w:rPr>
      <w:rFonts w:ascii="宋体" w:hAnsi="宋体"/>
      <w:kern w:val="0"/>
      <w:sz w:val="20"/>
      <w:szCs w:val="20"/>
    </w:rPr>
  </w:style>
  <w:style w:type="table" w:styleId="47">
    <w:name w:val="Table Grid"/>
    <w:basedOn w:val="4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Hyperlink"/>
    <w:qFormat/>
    <w:uiPriority w:val="0"/>
    <w:rPr>
      <w:color w:val="0000FF"/>
      <w:u w:val="single"/>
    </w:rPr>
  </w:style>
  <w:style w:type="character" w:styleId="53">
    <w:name w:val="annotation reference"/>
    <w:semiHidden/>
    <w:qFormat/>
    <w:uiPriority w:val="0"/>
    <w:rPr>
      <w:sz w:val="21"/>
      <w:szCs w:val="21"/>
    </w:rPr>
  </w:style>
  <w:style w:type="paragraph" w:customStyle="1" w:styleId="54">
    <w:name w:val="正文文本1"/>
    <w:basedOn w:val="1"/>
    <w:next w:val="55"/>
    <w:qFormat/>
    <w:uiPriority w:val="0"/>
    <w:rPr>
      <w:rFonts w:ascii="楷体_GB2312" w:hAnsi="Arial" w:eastAsia="楷体_GB2312"/>
      <w:sz w:val="28"/>
      <w:szCs w:val="28"/>
    </w:rPr>
  </w:style>
  <w:style w:type="paragraph" w:customStyle="1" w:styleId="55">
    <w:name w:val="目录 21"/>
    <w:basedOn w:val="1"/>
    <w:next w:val="1"/>
    <w:semiHidden/>
    <w:qFormat/>
    <w:uiPriority w:val="0"/>
    <w:pPr>
      <w:ind w:left="420"/>
    </w:pPr>
  </w:style>
  <w:style w:type="paragraph" w:customStyle="1" w:styleId="56">
    <w:name w:val="段"/>
    <w:next w:val="1"/>
    <w:qFormat/>
    <w:uiPriority w:val="0"/>
    <w:pPr>
      <w:autoSpaceDE w:val="0"/>
      <w:autoSpaceDN w:val="0"/>
      <w:ind w:firstLine="200"/>
      <w:jc w:val="both"/>
    </w:pPr>
    <w:rPr>
      <w:rFonts w:ascii="宋体" w:hAnsi="Calibri" w:eastAsia="宋体" w:cs="Times New Roman"/>
      <w:sz w:val="21"/>
      <w:lang w:val="en-US" w:eastAsia="zh-CN" w:bidi="ar-SA"/>
    </w:rPr>
  </w:style>
  <w:style w:type="paragraph" w:customStyle="1" w:styleId="57">
    <w:name w:val="列出段落1"/>
    <w:basedOn w:val="1"/>
    <w:link w:val="88"/>
    <w:qFormat/>
    <w:uiPriority w:val="0"/>
    <w:pPr>
      <w:widowControl/>
      <w:ind w:left="720"/>
      <w:contextualSpacing/>
      <w:jc w:val="left"/>
    </w:pPr>
    <w:rPr>
      <w:kern w:val="0"/>
      <w:sz w:val="24"/>
      <w:szCs w:val="24"/>
      <w:lang w:eastAsia="en-US" w:bidi="en-US"/>
    </w:rPr>
  </w:style>
  <w:style w:type="paragraph" w:customStyle="1" w:styleId="58">
    <w:name w:val="正文（缩进）"/>
    <w:basedOn w:val="1"/>
    <w:qFormat/>
    <w:uiPriority w:val="0"/>
    <w:pPr>
      <w:ind w:firstLine="480" w:firstLineChars="200"/>
    </w:pPr>
  </w:style>
  <w:style w:type="character" w:customStyle="1" w:styleId="59">
    <w:name w:val="标题 1 Char"/>
    <w:link w:val="2"/>
    <w:qFormat/>
    <w:uiPriority w:val="0"/>
    <w:rPr>
      <w:rFonts w:ascii="楷体_GB2312" w:hAnsi="Times New Roman" w:eastAsia="楷体_GB2312" w:cs="Times New Roman"/>
      <w:sz w:val="28"/>
      <w:szCs w:val="28"/>
    </w:rPr>
  </w:style>
  <w:style w:type="character" w:customStyle="1" w:styleId="60">
    <w:name w:val="标题 2 Char"/>
    <w:link w:val="3"/>
    <w:qFormat/>
    <w:uiPriority w:val="0"/>
    <w:rPr>
      <w:rFonts w:ascii="Arial" w:hAnsi="Arial" w:eastAsia="幼圆" w:cs="Arial"/>
      <w:b/>
      <w:bCs/>
      <w:sz w:val="44"/>
      <w:szCs w:val="44"/>
    </w:rPr>
  </w:style>
  <w:style w:type="character" w:customStyle="1" w:styleId="61">
    <w:name w:val="正文缩进 Char"/>
    <w:link w:val="4"/>
    <w:qFormat/>
    <w:uiPriority w:val="0"/>
    <w:rPr>
      <w:szCs w:val="21"/>
    </w:rPr>
  </w:style>
  <w:style w:type="character" w:customStyle="1" w:styleId="62">
    <w:name w:val="标题 3 Char"/>
    <w:link w:val="5"/>
    <w:qFormat/>
    <w:uiPriority w:val="0"/>
    <w:rPr>
      <w:rFonts w:ascii="Times New Roman" w:hAnsi="Times New Roman" w:eastAsia="宋体" w:cs="Times New Roman"/>
      <w:b/>
      <w:bCs/>
      <w:sz w:val="32"/>
      <w:szCs w:val="32"/>
    </w:rPr>
  </w:style>
  <w:style w:type="character" w:customStyle="1" w:styleId="63">
    <w:name w:val="标题 4 Char"/>
    <w:link w:val="6"/>
    <w:qFormat/>
    <w:uiPriority w:val="0"/>
    <w:rPr>
      <w:rFonts w:ascii="Arial" w:hAnsi="Arial" w:eastAsia="黑体" w:cs="Arial"/>
      <w:b/>
      <w:bCs/>
      <w:sz w:val="28"/>
      <w:szCs w:val="28"/>
    </w:rPr>
  </w:style>
  <w:style w:type="character" w:customStyle="1" w:styleId="64">
    <w:name w:val="标题 5 Char"/>
    <w:link w:val="7"/>
    <w:qFormat/>
    <w:uiPriority w:val="0"/>
    <w:rPr>
      <w:rFonts w:ascii="宋体" w:hAnsi="Times New Roman" w:eastAsia="宋体" w:cs="Times New Roman"/>
      <w:color w:val="000000"/>
      <w:kern w:val="0"/>
      <w:sz w:val="28"/>
      <w:szCs w:val="28"/>
    </w:rPr>
  </w:style>
  <w:style w:type="character" w:customStyle="1" w:styleId="65">
    <w:name w:val="标题 6 Char"/>
    <w:link w:val="8"/>
    <w:qFormat/>
    <w:uiPriority w:val="0"/>
    <w:rPr>
      <w:rFonts w:ascii="Arial" w:hAnsi="Arial" w:eastAsia="黑体" w:cs="Times New Roman"/>
      <w:b/>
      <w:bCs/>
      <w:sz w:val="24"/>
      <w:szCs w:val="24"/>
    </w:rPr>
  </w:style>
  <w:style w:type="character" w:customStyle="1" w:styleId="66">
    <w:name w:val="标题 7 Char"/>
    <w:link w:val="9"/>
    <w:qFormat/>
    <w:uiPriority w:val="0"/>
    <w:rPr>
      <w:rFonts w:ascii="Times New Roman" w:hAnsi="Times New Roman" w:eastAsia="宋体" w:cs="Times New Roman"/>
      <w:b/>
      <w:bCs/>
      <w:sz w:val="24"/>
      <w:szCs w:val="24"/>
    </w:rPr>
  </w:style>
  <w:style w:type="character" w:customStyle="1" w:styleId="67">
    <w:name w:val="标题 8 Char"/>
    <w:link w:val="10"/>
    <w:qFormat/>
    <w:uiPriority w:val="0"/>
    <w:rPr>
      <w:rFonts w:ascii="Arial" w:hAnsi="Arial" w:eastAsia="黑体" w:cs="Times New Roman"/>
      <w:sz w:val="24"/>
      <w:szCs w:val="24"/>
    </w:rPr>
  </w:style>
  <w:style w:type="character" w:customStyle="1" w:styleId="68">
    <w:name w:val="标题 9 Char"/>
    <w:link w:val="11"/>
    <w:qFormat/>
    <w:uiPriority w:val="0"/>
    <w:rPr>
      <w:rFonts w:ascii="Arial" w:hAnsi="Arial" w:eastAsia="黑体" w:cs="Times New Roman"/>
      <w:szCs w:val="21"/>
    </w:rPr>
  </w:style>
  <w:style w:type="character" w:customStyle="1" w:styleId="69">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70">
    <w:name w:val="批注文字 Char"/>
    <w:link w:val="15"/>
    <w:semiHidden/>
    <w:qFormat/>
    <w:uiPriority w:val="99"/>
  </w:style>
  <w:style w:type="character" w:customStyle="1" w:styleId="71">
    <w:name w:val="正文文本 3 Char"/>
    <w:link w:val="16"/>
    <w:qFormat/>
    <w:uiPriority w:val="0"/>
    <w:rPr>
      <w:rFonts w:ascii="仿宋_GB2312" w:hAnsi="Arial" w:eastAsia="仿宋_GB2312" w:cs="Times New Roman"/>
      <w:sz w:val="32"/>
      <w:szCs w:val="32"/>
    </w:rPr>
  </w:style>
  <w:style w:type="character" w:customStyle="1" w:styleId="72">
    <w:name w:val="正文文本 Char"/>
    <w:link w:val="17"/>
    <w:qFormat/>
    <w:uiPriority w:val="0"/>
    <w:rPr>
      <w:rFonts w:ascii="楷体_GB2312" w:hAnsi="Arial" w:eastAsia="楷体_GB2312" w:cs="Times New Roman"/>
      <w:sz w:val="28"/>
      <w:szCs w:val="28"/>
    </w:rPr>
  </w:style>
  <w:style w:type="character" w:customStyle="1" w:styleId="73">
    <w:name w:val="正文文本缩进 Char"/>
    <w:link w:val="19"/>
    <w:semiHidden/>
    <w:qFormat/>
    <w:uiPriority w:val="99"/>
  </w:style>
  <w:style w:type="character" w:customStyle="1" w:styleId="74">
    <w:name w:val="纯文本 Char"/>
    <w:link w:val="24"/>
    <w:qFormat/>
    <w:uiPriority w:val="0"/>
    <w:rPr>
      <w:rFonts w:ascii="宋体" w:hAnsi="Courier New" w:eastAsia="宋体" w:cs="Courier New"/>
      <w:szCs w:val="21"/>
    </w:rPr>
  </w:style>
  <w:style w:type="character" w:customStyle="1" w:styleId="75">
    <w:name w:val="日期 Char"/>
    <w:link w:val="26"/>
    <w:qFormat/>
    <w:uiPriority w:val="0"/>
    <w:rPr>
      <w:rFonts w:ascii="Times New Roman" w:hAnsi="Times New Roman" w:eastAsia="宋体" w:cs="Times New Roman"/>
      <w:sz w:val="24"/>
      <w:szCs w:val="24"/>
    </w:rPr>
  </w:style>
  <w:style w:type="character" w:customStyle="1" w:styleId="76">
    <w:name w:val="正文文本缩进 2 Char"/>
    <w:link w:val="27"/>
    <w:qFormat/>
    <w:uiPriority w:val="0"/>
    <w:rPr>
      <w:rFonts w:ascii="Arial" w:hAnsi="Arial" w:eastAsia="仿宋_GB2312" w:cs="Arial"/>
      <w:sz w:val="32"/>
      <w:szCs w:val="32"/>
    </w:rPr>
  </w:style>
  <w:style w:type="character" w:customStyle="1" w:styleId="77">
    <w:name w:val="批注框文本 Char"/>
    <w:link w:val="28"/>
    <w:semiHidden/>
    <w:qFormat/>
    <w:uiPriority w:val="0"/>
    <w:rPr>
      <w:rFonts w:ascii="Times New Roman" w:hAnsi="Times New Roman" w:eastAsia="宋体" w:cs="Times New Roman"/>
      <w:sz w:val="18"/>
      <w:szCs w:val="18"/>
    </w:rPr>
  </w:style>
  <w:style w:type="character" w:customStyle="1" w:styleId="78">
    <w:name w:val="页脚 Char"/>
    <w:link w:val="29"/>
    <w:qFormat/>
    <w:uiPriority w:val="99"/>
    <w:rPr>
      <w:rFonts w:ascii="Times New Roman" w:hAnsi="Times New Roman" w:eastAsia="宋体" w:cs="Times New Roman"/>
      <w:sz w:val="18"/>
      <w:szCs w:val="18"/>
    </w:rPr>
  </w:style>
  <w:style w:type="character" w:customStyle="1" w:styleId="79">
    <w:name w:val="页眉 Char"/>
    <w:link w:val="31"/>
    <w:qFormat/>
    <w:uiPriority w:val="0"/>
    <w:rPr>
      <w:rFonts w:ascii="Times New Roman" w:hAnsi="Times New Roman" w:eastAsia="宋体" w:cs="Times New Roman"/>
      <w:sz w:val="18"/>
      <w:szCs w:val="18"/>
    </w:rPr>
  </w:style>
  <w:style w:type="character" w:customStyle="1" w:styleId="80">
    <w:name w:val="正文文本缩进 3 Char"/>
    <w:link w:val="36"/>
    <w:qFormat/>
    <w:uiPriority w:val="0"/>
    <w:rPr>
      <w:rFonts w:ascii="Arial" w:hAnsi="Arial" w:eastAsia="仿宋_GB2312" w:cs="Arial"/>
      <w:color w:val="FFFF00"/>
      <w:sz w:val="32"/>
      <w:szCs w:val="32"/>
    </w:rPr>
  </w:style>
  <w:style w:type="character" w:customStyle="1" w:styleId="81">
    <w:name w:val="正文文本 2 Char"/>
    <w:link w:val="40"/>
    <w:qFormat/>
    <w:uiPriority w:val="0"/>
    <w:rPr>
      <w:rFonts w:ascii="楷体_GB2312" w:hAnsi="Times New Roman" w:eastAsia="楷体_GB2312" w:cs="Times New Roman"/>
      <w:sz w:val="28"/>
      <w:szCs w:val="28"/>
    </w:rPr>
  </w:style>
  <w:style w:type="character" w:customStyle="1" w:styleId="82">
    <w:name w:val="批注主题 Char"/>
    <w:link w:val="43"/>
    <w:semiHidden/>
    <w:qFormat/>
    <w:uiPriority w:val="0"/>
    <w:rPr>
      <w:rFonts w:ascii="Times New Roman" w:hAnsi="Times New Roman" w:eastAsia="宋体" w:cs="Times New Roman"/>
      <w:b/>
      <w:bCs/>
      <w:szCs w:val="21"/>
    </w:rPr>
  </w:style>
  <w:style w:type="character" w:customStyle="1" w:styleId="83">
    <w:name w:val="正文首行缩进 Char"/>
    <w:link w:val="44"/>
    <w:qFormat/>
    <w:uiPriority w:val="0"/>
    <w:rPr>
      <w:rFonts w:ascii="仿宋_GB2312" w:hAnsi="Times New Roman" w:eastAsia="仿宋_GB2312" w:cs="Times New Roman"/>
      <w:sz w:val="30"/>
      <w:szCs w:val="30"/>
    </w:rPr>
  </w:style>
  <w:style w:type="character" w:customStyle="1" w:styleId="84">
    <w:name w:val="正文首行缩进 2 Char"/>
    <w:link w:val="45"/>
    <w:qFormat/>
    <w:uiPriority w:val="0"/>
    <w:rPr>
      <w:rFonts w:ascii="宋体" w:hAnsi="宋体" w:eastAsia="宋体" w:cs="Times New Roman"/>
      <w:szCs w:val="20"/>
    </w:rPr>
  </w:style>
  <w:style w:type="character" w:customStyle="1" w:styleId="85">
    <w:name w:val="font5 Char"/>
    <w:qFormat/>
    <w:uiPriority w:val="0"/>
    <w:rPr>
      <w:rFonts w:ascii="宋体" w:hAnsi="宋体" w:eastAsia="宋体"/>
      <w:sz w:val="28"/>
      <w:szCs w:val="28"/>
      <w:lang w:val="en-US" w:eastAsia="zh-CN" w:bidi="ar-SA"/>
    </w:rPr>
  </w:style>
  <w:style w:type="character" w:customStyle="1" w:styleId="86">
    <w:name w:val="二级目录 Char"/>
    <w:link w:val="87"/>
    <w:qFormat/>
    <w:uiPriority w:val="0"/>
    <w:rPr>
      <w:b/>
      <w:kern w:val="2"/>
      <w:sz w:val="30"/>
      <w:szCs w:val="28"/>
    </w:rPr>
  </w:style>
  <w:style w:type="paragraph" w:customStyle="1" w:styleId="87">
    <w:name w:val="二级目录"/>
    <w:next w:val="1"/>
    <w:link w:val="86"/>
    <w:qFormat/>
    <w:uiPriority w:val="0"/>
    <w:pPr>
      <w:tabs>
        <w:tab w:val="left" w:pos="907"/>
        <w:tab w:val="left" w:pos="1145"/>
      </w:tabs>
      <w:ind w:left="907" w:hanging="907"/>
      <w:outlineLvl w:val="1"/>
    </w:pPr>
    <w:rPr>
      <w:rFonts w:ascii="Times New Roman" w:hAnsi="Times New Roman" w:eastAsia="宋体" w:cs="Times New Roman"/>
      <w:b/>
      <w:kern w:val="2"/>
      <w:sz w:val="30"/>
      <w:szCs w:val="28"/>
      <w:lang w:val="en-US" w:eastAsia="zh-CN" w:bidi="ar-SA"/>
    </w:rPr>
  </w:style>
  <w:style w:type="character" w:customStyle="1" w:styleId="88">
    <w:name w:val="列出段落 Char"/>
    <w:link w:val="57"/>
    <w:qFormat/>
    <w:locked/>
    <w:uiPriority w:val="0"/>
    <w:rPr>
      <w:rFonts w:ascii="Calibri" w:hAnsi="Calibri"/>
      <w:sz w:val="24"/>
      <w:szCs w:val="24"/>
      <w:lang w:eastAsia="en-US" w:bidi="en-US"/>
    </w:rPr>
  </w:style>
  <w:style w:type="paragraph" w:customStyle="1" w:styleId="89">
    <w:name w:val="Body Text(ch)"/>
    <w:basedOn w:val="1"/>
    <w:next w:val="17"/>
    <w:qFormat/>
    <w:uiPriority w:val="0"/>
    <w:pPr>
      <w:spacing w:after="120"/>
    </w:pPr>
    <w:rPr>
      <w:rFonts w:ascii="宋体" w:hAnsi="Arial"/>
      <w:bCs/>
      <w:iCs/>
      <w:szCs w:val="24"/>
    </w:rPr>
  </w:style>
  <w:style w:type="paragraph" w:customStyle="1" w:styleId="9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2">
    <w:name w:val="Char"/>
    <w:basedOn w:val="1"/>
    <w:qFormat/>
    <w:uiPriority w:val="0"/>
    <w:pPr>
      <w:tabs>
        <w:tab w:val="left" w:pos="360"/>
      </w:tabs>
      <w:ind w:firstLine="200" w:firstLineChars="200"/>
    </w:pPr>
    <w:rPr>
      <w:sz w:val="28"/>
      <w:szCs w:val="30"/>
    </w:rPr>
  </w:style>
  <w:style w:type="paragraph" w:customStyle="1" w:styleId="93">
    <w:name w:val="Char1"/>
    <w:basedOn w:val="14"/>
    <w:qFormat/>
    <w:uiPriority w:val="0"/>
    <w:rPr>
      <w:rFonts w:ascii="Tahoma" w:hAnsi="Tahoma"/>
      <w:sz w:val="24"/>
      <w:szCs w:val="24"/>
    </w:rPr>
  </w:style>
  <w:style w:type="paragraph" w:customStyle="1" w:styleId="9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5">
    <w:name w:val="table_lines"/>
    <w:basedOn w:val="1"/>
    <w:qFormat/>
    <w:uiPriority w:val="0"/>
    <w:pPr>
      <w:widowControl/>
      <w:jc w:val="left"/>
    </w:pPr>
    <w:rPr>
      <w:kern w:val="0"/>
      <w:sz w:val="20"/>
      <w:szCs w:val="20"/>
      <w:lang w:val="de-DE" w:eastAsia="de-DE"/>
    </w:rPr>
  </w:style>
  <w:style w:type="paragraph" w:customStyle="1" w:styleId="96">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7">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8">
    <w:name w:val="Char Char Char Char"/>
    <w:basedOn w:val="14"/>
    <w:qFormat/>
    <w:uiPriority w:val="0"/>
    <w:pPr>
      <w:adjustRightInd w:val="0"/>
      <w:snapToGrid w:val="0"/>
      <w:spacing w:line="360" w:lineRule="auto"/>
    </w:pPr>
    <w:rPr>
      <w:rFonts w:ascii="Tahoma" w:hAnsi="Tahoma"/>
      <w:sz w:val="24"/>
      <w:szCs w:val="24"/>
    </w:rPr>
  </w:style>
  <w:style w:type="paragraph" w:styleId="99">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100">
    <w:name w:val="4"/>
    <w:basedOn w:val="1"/>
    <w:next w:val="36"/>
    <w:qFormat/>
    <w:uiPriority w:val="0"/>
    <w:pPr>
      <w:spacing w:line="360" w:lineRule="auto"/>
      <w:ind w:firstLine="420"/>
    </w:pPr>
    <w:rPr>
      <w:color w:val="FF0000"/>
      <w:sz w:val="24"/>
      <w:szCs w:val="24"/>
    </w:rPr>
  </w:style>
  <w:style w:type="paragraph" w:customStyle="1" w:styleId="101">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Char Char Char Char Char Char Char Char Char Char"/>
    <w:basedOn w:val="1"/>
    <w:qFormat/>
    <w:uiPriority w:val="0"/>
    <w:pPr>
      <w:adjustRightInd w:val="0"/>
      <w:spacing w:line="360" w:lineRule="auto"/>
    </w:pPr>
    <w:rPr>
      <w:kern w:val="0"/>
      <w:sz w:val="24"/>
      <w:szCs w:val="20"/>
    </w:rPr>
  </w:style>
  <w:style w:type="paragraph" w:customStyle="1" w:styleId="10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104">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5">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6">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7">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8">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9">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0">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1">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2">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13">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4">
    <w:name w:val="Char Char Char Char1"/>
    <w:basedOn w:val="14"/>
    <w:qFormat/>
    <w:uiPriority w:val="0"/>
    <w:pPr>
      <w:adjustRightInd w:val="0"/>
      <w:snapToGrid w:val="0"/>
      <w:spacing w:line="360" w:lineRule="auto"/>
    </w:pPr>
    <w:rPr>
      <w:rFonts w:ascii="Tahoma" w:hAnsi="Tahoma"/>
      <w:sz w:val="24"/>
      <w:szCs w:val="24"/>
    </w:rPr>
  </w:style>
  <w:style w:type="paragraph" w:customStyle="1" w:styleId="115">
    <w:name w:val="table_1stline"/>
    <w:basedOn w:val="1"/>
    <w:qFormat/>
    <w:uiPriority w:val="0"/>
    <w:pPr>
      <w:widowControl/>
      <w:spacing w:before="120"/>
      <w:jc w:val="left"/>
    </w:pPr>
    <w:rPr>
      <w:bCs/>
      <w:kern w:val="0"/>
      <w:sz w:val="20"/>
      <w:szCs w:val="20"/>
      <w:lang w:val="de-DE" w:eastAsia="de-DE"/>
    </w:rPr>
  </w:style>
  <w:style w:type="paragraph" w:customStyle="1" w:styleId="116">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7">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8">
    <w:name w:val="修订1"/>
    <w:semiHidden/>
    <w:qFormat/>
    <w:uiPriority w:val="99"/>
    <w:rPr>
      <w:rFonts w:ascii="Times New Roman" w:hAnsi="Times New Roman" w:eastAsia="宋体" w:cs="Times New Roman"/>
      <w:kern w:val="2"/>
      <w:sz w:val="21"/>
      <w:szCs w:val="21"/>
      <w:lang w:val="en-US" w:eastAsia="zh-CN" w:bidi="ar-SA"/>
    </w:rPr>
  </w:style>
  <w:style w:type="paragraph" w:styleId="119">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20">
    <w:name w:val="NormalCharacter"/>
    <w:qFormat/>
    <w:uiPriority w:val="0"/>
  </w:style>
  <w:style w:type="paragraph" w:customStyle="1" w:styleId="121">
    <w:name w:val="文本块1"/>
    <w:basedOn w:val="1"/>
    <w:qFormat/>
    <w:uiPriority w:val="0"/>
    <w:pPr>
      <w:ind w:left="1440" w:right="700"/>
    </w:pPr>
  </w:style>
  <w:style w:type="paragraph" w:customStyle="1" w:styleId="122">
    <w:name w:val="正文首行缩进 21"/>
    <w:basedOn w:val="19"/>
    <w:unhideWhenUsed/>
    <w:qFormat/>
    <w:uiPriority w:val="99"/>
    <w:pPr>
      <w:ind w:firstLine="200"/>
    </w:pPr>
  </w:style>
  <w:style w:type="paragraph" w:customStyle="1" w:styleId="123">
    <w:name w:val="Table Paragraph"/>
    <w:basedOn w:val="1"/>
    <w:qFormat/>
    <w:uiPriority w:val="0"/>
    <w:pPr>
      <w:jc w:val="left"/>
    </w:pPr>
    <w:rPr>
      <w:rFonts w:ascii="Calibri" w:hAnsi="Calibri"/>
      <w:kern w:val="0"/>
      <w:sz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25505</Words>
  <Characters>27249</Characters>
  <Lines>257</Lines>
  <Paragraphs>72</Paragraphs>
  <TotalTime>48</TotalTime>
  <ScaleCrop>false</ScaleCrop>
  <LinksUpToDate>false</LinksUpToDate>
  <CharactersWithSpaces>27760</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2024-07-31T06:25:00Z</dcterms:created>
  <dc:creator>赵国文</dc:creator>
  <cp:lastModifiedBy>NNN.y</cp:lastModifiedBy>
  <cp:lastPrinted>2024-12-16T03:40:00Z</cp:lastPrinted>
  <dcterms:modified xsi:type="dcterms:W3CDTF">2026-05-13T06:48:27Z</dcterms:modified>
  <cp:revision>252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1B8EE31235E94EF59AA0EF839C344728_13</vt:lpwstr>
  </property>
  <property fmtid="{D5CDD505-2E9C-101B-9397-08002B2CF9AE}" pid="4" name="KSOTemplateDocerSaveRecord">
    <vt:lpwstr>eyJoZGlkIjoiZDA3ZTdlNmI2ODc4MjNhYmM0ZjE2ZjcxYjc1NDM3MzEiLCJ1c2VySWQiOiI0Mjk5MjA4NzIifQ==</vt:lpwstr>
  </property>
</Properties>
</file>