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widowControl w:val="off"/>
        <w:rPr>
          <w:color w:val="auto"/>
          <w:spacing w:val="20"/>
          <w:sz w:val="21"/>
          <w:highlight w:val="none"/>
        </w:rPr>
      </w:pPr>
      <w:r>
        <w:rPr>
          <w:color w:val="auto"/>
          <w:spacing w:val="20"/>
          <w:sz w:val="21"/>
          <w:highlight w:val="none"/>
        </w:rPr>
      </w:r>
      <w:r/>
    </w:p>
    <w:p>
      <w:pPr>
        <w:jc w:val="center"/>
        <w:widowControl w:val="off"/>
        <w:rPr>
          <w:rFonts w:eastAsia="黑体"/>
          <w:b/>
          <w:color w:val="auto"/>
          <w:sz w:val="52"/>
          <w:szCs w:val="52"/>
          <w:highlight w:val="none"/>
        </w:rPr>
      </w:pPr>
      <w:r>
        <w:rPr>
          <w:rFonts w:eastAsia="黑体"/>
          <w:b/>
          <w:color w:val="auto"/>
          <w:sz w:val="52"/>
          <w:szCs w:val="52"/>
          <w:highlight w:val="none"/>
        </w:rPr>
      </w:r>
      <w:r/>
    </w:p>
    <w:p>
      <w:pPr>
        <w:jc w:val="center"/>
        <w:widowControl w:val="off"/>
        <w:rPr>
          <w:rFonts w:eastAsia="黑体"/>
          <w:b/>
          <w:color w:val="auto"/>
          <w:sz w:val="52"/>
          <w:szCs w:val="52"/>
          <w:highlight w:val="none"/>
        </w:rPr>
      </w:pPr>
      <w:r>
        <w:rPr>
          <w:rFonts w:eastAsia="黑体"/>
          <w:b/>
          <w:color w:val="auto"/>
          <w:sz w:val="52"/>
          <w:szCs w:val="52"/>
          <w:highlight w:val="none"/>
        </w:rPr>
      </w:r>
      <w:r/>
    </w:p>
    <w:p>
      <w:pPr>
        <w:jc w:val="center"/>
        <w:widowControl w:val="off"/>
        <w:rPr>
          <w:rFonts w:eastAsia="黑体"/>
          <w:b/>
          <w:color w:val="auto"/>
          <w:sz w:val="72"/>
          <w:highlight w:val="none"/>
        </w:rPr>
      </w:pPr>
      <w:r>
        <w:rPr>
          <w:rFonts w:hint="eastAsia" w:eastAsia="黑体"/>
          <w:b/>
          <w:color w:val="auto"/>
          <w:sz w:val="52"/>
          <w:szCs w:val="52"/>
          <w:highlight w:val="none"/>
        </w:rPr>
        <w:t xml:space="preserve">苏州工业园区政府</w:t>
      </w:r>
      <w:r>
        <w:rPr>
          <w:rFonts w:eastAsia="黑体"/>
          <w:b/>
          <w:color w:val="auto"/>
          <w:sz w:val="52"/>
          <w:szCs w:val="52"/>
          <w:highlight w:val="none"/>
        </w:rPr>
        <w:t xml:space="preserve">采购竞争性磋商</w:t>
      </w:r>
      <w:r/>
    </w:p>
    <w:p>
      <w:pPr>
        <w:jc w:val="center"/>
        <w:widowControl w:val="off"/>
        <w:rPr>
          <w:rFonts w:eastAsia="黑体"/>
          <w:b/>
          <w:color w:val="auto"/>
          <w:sz w:val="72"/>
          <w:highlight w:val="none"/>
        </w:rPr>
      </w:pPr>
      <w:r>
        <w:rPr>
          <w:rFonts w:eastAsia="黑体"/>
          <w:b/>
          <w:color w:val="auto"/>
          <w:sz w:val="72"/>
          <w:highlight w:val="none"/>
        </w:rPr>
        <w:t xml:space="preserve">采购文件</w:t>
      </w:r>
      <w:r/>
    </w:p>
    <w:p>
      <w:pPr>
        <w:widowControl w:val="off"/>
        <w:rPr>
          <w:color w:val="auto"/>
          <w:highlight w:val="none"/>
        </w:rPr>
      </w:pPr>
      <w:r>
        <w:rPr>
          <w:color w:val="auto"/>
          <w:highlight w:val="none"/>
        </w:rPr>
      </w:r>
      <w:r/>
    </w:p>
    <w:p>
      <w:pPr>
        <w:widowControl w:val="off"/>
        <w:rPr>
          <w:color w:val="auto"/>
          <w:highlight w:val="none"/>
        </w:rPr>
      </w:pPr>
      <w:r>
        <w:rPr>
          <w:color w:val="auto"/>
          <w:highlight w:val="none"/>
        </w:rPr>
      </w:r>
      <w:r/>
    </w:p>
    <w:p>
      <w:pPr>
        <w:widowControl w:val="off"/>
        <w:rPr>
          <w:color w:val="auto"/>
          <w:highlight w:val="none"/>
        </w:rPr>
      </w:pPr>
      <w:r>
        <w:rPr>
          <w:color w:val="auto"/>
          <w:highlight w:val="none"/>
        </w:rPr>
      </w:r>
      <w:r/>
    </w:p>
    <w:p>
      <w:pPr>
        <w:widowControl w:val="off"/>
        <w:rPr>
          <w:color w:val="auto"/>
          <w:highlight w:val="none"/>
        </w:rPr>
      </w:pPr>
      <w:r>
        <w:rPr>
          <w:color w:val="auto"/>
          <w:highlight w:val="none"/>
        </w:rPr>
      </w:r>
      <w:r/>
    </w:p>
    <w:p>
      <w:pPr>
        <w:widowControl w:val="off"/>
        <w:rPr>
          <w:color w:val="auto"/>
          <w:highlight w:val="none"/>
        </w:rPr>
      </w:pPr>
      <w:r>
        <w:rPr>
          <w:color w:val="auto"/>
          <w:highlight w:val="none"/>
        </w:rPr>
      </w:r>
      <w:r/>
    </w:p>
    <w:p>
      <w:pPr>
        <w:ind w:firstLine="1193"/>
        <w:spacing w:line="480" w:lineRule="auto"/>
        <w:widowControl w:val="off"/>
        <w:rPr>
          <w:rFonts w:hint="eastAsia" w:eastAsia="宋体"/>
          <w:b/>
          <w:color w:val="auto"/>
          <w:sz w:val="30"/>
          <w:highlight w:val="none"/>
          <w:lang w:eastAsia="zh-CN"/>
        </w:rPr>
      </w:pPr>
      <w:r>
        <w:rPr>
          <w:rFonts w:hint="eastAsia"/>
          <w:b/>
          <w:color w:val="auto"/>
          <w:sz w:val="30"/>
          <w:highlight w:val="none"/>
        </w:rPr>
        <w:t xml:space="preserve">采购编号</w:t>
      </w:r>
      <w:r>
        <w:rPr>
          <w:rFonts w:hint="eastAsia" w:ascii="宋体" w:hAnsi="宋体" w:cs="宋体"/>
          <w:b/>
          <w:color w:val="auto"/>
          <w:sz w:val="30"/>
          <w:highlight w:val="none"/>
        </w:rPr>
        <w:t xml:space="preserve">：</w:t>
      </w:r>
      <w:r>
        <w:rPr>
          <w:rFonts w:hint="eastAsia" w:ascii="宋体" w:hAnsi="宋体" w:cs="宋体"/>
          <w:b/>
          <w:color w:val="auto"/>
          <w:sz w:val="30"/>
          <w:highlight w:val="none"/>
          <w:lang w:eastAsia="zh-CN"/>
        </w:rPr>
        <w:t xml:space="preserve">JSZC-320591-SZCD-C2026-0011</w:t>
      </w:r>
      <w:r/>
    </w:p>
    <w:p>
      <w:pPr>
        <w:ind w:firstLine="1193"/>
        <w:spacing w:line="480" w:lineRule="auto"/>
        <w:widowControl w:val="off"/>
        <w:rPr>
          <w:rFonts w:hint="eastAsia" w:ascii="宋体" w:hAnsi="宋体" w:cs="宋体"/>
          <w:b/>
          <w:color w:val="auto"/>
          <w:sz w:val="30"/>
          <w:highlight w:val="none"/>
        </w:rPr>
      </w:pPr>
      <w:r>
        <w:rPr>
          <w:rFonts w:hint="eastAsia"/>
          <w:b/>
          <w:color w:val="auto"/>
          <w:sz w:val="30"/>
          <w:highlight w:val="none"/>
        </w:rPr>
        <w:t xml:space="preserve">采购项目：</w:t>
      </w:r>
      <w:r>
        <w:rPr>
          <w:rFonts w:hint="eastAsia" w:ascii="宋体" w:hAnsi="宋体" w:cs="宋体"/>
          <w:b/>
          <w:color w:val="auto"/>
          <w:sz w:val="30"/>
          <w:highlight w:val="none"/>
        </w:rPr>
        <w:t xml:space="preserve">2026年度高贸区既有建筑网格化隐患排查</w:t>
      </w:r>
      <w:r/>
    </w:p>
    <w:p>
      <w:pPr>
        <w:ind w:firstLine="2699"/>
        <w:spacing w:line="480" w:lineRule="auto"/>
        <w:widowControl w:val="off"/>
        <w:rPr>
          <w:rFonts w:ascii="宋体" w:hAnsi="宋体" w:cs="宋体"/>
          <w:b/>
          <w:color w:val="auto"/>
          <w:sz w:val="30"/>
          <w:highlight w:val="none"/>
        </w:rPr>
      </w:pPr>
      <w:r>
        <w:rPr>
          <w:rFonts w:hint="eastAsia" w:ascii="宋体" w:hAnsi="宋体" w:cs="宋体"/>
          <w:b/>
          <w:color w:val="auto"/>
          <w:sz w:val="30"/>
          <w:highlight w:val="none"/>
        </w:rPr>
        <w:t xml:space="preserve">服务</w:t>
      </w:r>
      <w:r/>
    </w:p>
    <w:p>
      <w:pPr>
        <w:ind w:firstLine="1193"/>
        <w:spacing w:line="480" w:lineRule="auto"/>
        <w:widowControl w:val="off"/>
        <w:rPr>
          <w:rFonts w:hint="eastAsia"/>
          <w:b/>
          <w:color w:val="auto"/>
          <w:sz w:val="30"/>
          <w:highlight w:val="none"/>
        </w:rPr>
      </w:pPr>
      <w:r>
        <w:rPr>
          <w:rFonts w:hint="eastAsia"/>
          <w:b/>
          <w:color w:val="auto"/>
          <w:sz w:val="30"/>
          <w:highlight w:val="none"/>
        </w:rPr>
        <w:t xml:space="preserve">采购人：苏州工业园区高端制造与国际贸易区管理委</w:t>
      </w:r>
      <w:r/>
    </w:p>
    <w:p>
      <w:pPr>
        <w:ind w:firstLine="0"/>
        <w:spacing w:line="480" w:lineRule="auto"/>
        <w:widowControl w:val="off"/>
        <w:rPr>
          <w:b/>
          <w:color w:val="auto"/>
          <w:sz w:val="30"/>
          <w:highlight w:val="none"/>
        </w:rPr>
      </w:pPr>
      <w:r>
        <w:rPr>
          <w:rFonts w:hint="eastAsia"/>
          <w:b/>
          <w:color w:val="auto"/>
          <w:sz w:val="30"/>
          <w:highlight w:val="none"/>
        </w:rPr>
        <w:t xml:space="preserve">               员会（苏州工业园区综合保税区管理办公室）</w:t>
      </w:r>
      <w:r/>
    </w:p>
    <w:p>
      <w:pPr>
        <w:ind w:firstLine="1193"/>
        <w:spacing w:line="480" w:lineRule="auto"/>
        <w:widowControl w:val="off"/>
        <w:rPr>
          <w:b/>
          <w:color w:val="auto"/>
          <w:sz w:val="30"/>
          <w:highlight w:val="none"/>
        </w:rPr>
      </w:pPr>
      <w:r>
        <w:rPr>
          <w:rFonts w:hint="eastAsia"/>
          <w:b/>
          <w:color w:val="auto"/>
          <w:sz w:val="30"/>
          <w:highlight w:val="none"/>
        </w:rPr>
        <w:t xml:space="preserve">采购类别：服务类（专门面向中小企业采购）</w:t>
      </w:r>
      <w:r/>
    </w:p>
    <w:p>
      <w:pPr>
        <w:ind w:firstLine="1193"/>
        <w:spacing w:line="480" w:lineRule="auto"/>
        <w:widowControl w:val="off"/>
        <w:rPr>
          <w:b/>
          <w:color w:val="auto"/>
          <w:sz w:val="30"/>
          <w:highlight w:val="none"/>
        </w:rPr>
      </w:pPr>
      <w:r>
        <w:rPr>
          <w:rFonts w:hint="eastAsia"/>
          <w:b/>
          <w:color w:val="auto"/>
          <w:sz w:val="30"/>
          <w:highlight w:val="none"/>
        </w:rPr>
        <w:t xml:space="preserve">标的所属行业：（十六）其他未列明行业</w:t>
      </w:r>
      <w:r/>
    </w:p>
    <w:p>
      <w:pPr>
        <w:ind w:right="-159" w:firstLine="1440"/>
        <w:spacing w:line="300" w:lineRule="auto"/>
        <w:widowControl w:val="off"/>
        <w:rPr>
          <w:color w:val="auto"/>
          <w:sz w:val="30"/>
          <w:highlight w:val="none"/>
        </w:rPr>
      </w:pPr>
      <w:r>
        <w:rPr>
          <w:color w:val="auto"/>
          <w:sz w:val="30"/>
          <w:highlight w:val="none"/>
        </w:rPr>
      </w:r>
      <w:r/>
    </w:p>
    <w:p>
      <w:pPr>
        <w:ind w:right="-159"/>
        <w:spacing w:line="300" w:lineRule="auto"/>
        <w:widowControl w:val="off"/>
        <w:rPr>
          <w:color w:val="auto"/>
          <w:sz w:val="30"/>
          <w:highlight w:val="none"/>
        </w:rPr>
      </w:pPr>
      <w:r>
        <w:rPr>
          <w:color w:val="auto"/>
          <w:sz w:val="30"/>
          <w:highlight w:val="none"/>
        </w:rPr>
      </w:r>
      <w:r/>
    </w:p>
    <w:p>
      <w:pPr>
        <w:ind w:right="-159" w:firstLine="1440"/>
        <w:spacing w:line="300" w:lineRule="auto"/>
        <w:widowControl w:val="off"/>
        <w:rPr>
          <w:color w:val="auto"/>
          <w:sz w:val="30"/>
          <w:highlight w:val="none"/>
        </w:rPr>
      </w:pPr>
      <w:r>
        <w:rPr>
          <w:color w:val="auto"/>
          <w:sz w:val="30"/>
          <w:highlight w:val="none"/>
        </w:rPr>
      </w:r>
      <w:r/>
    </w:p>
    <w:p>
      <w:pPr>
        <w:ind w:right="-159" w:firstLine="1440"/>
        <w:spacing w:line="300" w:lineRule="auto"/>
        <w:widowControl w:val="off"/>
        <w:rPr>
          <w:color w:val="auto"/>
          <w:sz w:val="30"/>
          <w:highlight w:val="none"/>
        </w:rPr>
      </w:pPr>
      <w:r>
        <w:rPr>
          <w:color w:val="auto"/>
          <w:sz w:val="30"/>
          <w:highlight w:val="none"/>
        </w:rPr>
      </w:r>
      <w:r/>
    </w:p>
    <w:p>
      <w:pPr>
        <w:ind w:right="-159"/>
        <w:jc w:val="center"/>
        <w:spacing w:line="300" w:lineRule="auto"/>
        <w:widowControl w:val="off"/>
        <w:rPr>
          <w:b/>
          <w:color w:val="auto"/>
          <w:sz w:val="30"/>
          <w:highlight w:val="none"/>
        </w:rPr>
      </w:pPr>
      <w:r>
        <w:rPr>
          <w:rFonts w:hint="eastAsia"/>
          <w:b/>
          <w:color w:val="auto"/>
          <w:sz w:val="30"/>
          <w:highlight w:val="none"/>
        </w:rPr>
        <w:t xml:space="preserve">诚德天工建设咨询（苏州）有限公司</w:t>
      </w:r>
      <w:r/>
    </w:p>
    <w:p>
      <w:pPr>
        <w:jc w:val="center"/>
        <w:spacing w:line="360" w:lineRule="auto"/>
        <w:widowControl w:val="off"/>
        <w:rPr>
          <w:b/>
          <w:color w:val="auto"/>
          <w:sz w:val="30"/>
          <w:highlight w:val="none"/>
        </w:rPr>
      </w:pPr>
      <w:r/>
      <w:bookmarkStart w:id="0" w:name="_Hlk43416079"/>
      <w:r>
        <w:rPr>
          <w:b/>
          <w:color w:val="auto"/>
          <w:sz w:val="30"/>
          <w:highlight w:val="none"/>
        </w:rPr>
        <w:t xml:space="preserve">二〇</w:t>
      </w:r>
      <w:bookmarkEnd w:id="0"/>
      <w:r>
        <w:rPr>
          <w:b/>
          <w:color w:val="auto"/>
          <w:sz w:val="30"/>
          <w:highlight w:val="none"/>
        </w:rPr>
        <w:t xml:space="preserve">二</w:t>
      </w:r>
      <w:r>
        <w:rPr>
          <w:rFonts w:hint="eastAsia"/>
          <w:b/>
          <w:color w:val="auto"/>
          <w:sz w:val="30"/>
          <w:highlight w:val="none"/>
        </w:rPr>
        <w:t xml:space="preserve">六</w:t>
      </w:r>
      <w:r>
        <w:rPr>
          <w:b/>
          <w:color w:val="auto"/>
          <w:sz w:val="30"/>
          <w:highlight w:val="none"/>
        </w:rPr>
        <w:t xml:space="preserve">年</w:t>
      </w:r>
      <w:r>
        <w:rPr>
          <w:rFonts w:hint="eastAsia"/>
          <w:b/>
          <w:color w:val="auto"/>
          <w:sz w:val="30"/>
          <w:highlight w:val="none"/>
        </w:rPr>
        <w:t xml:space="preserve">五</w:t>
      </w:r>
      <w:r>
        <w:rPr>
          <w:b/>
          <w:color w:val="auto"/>
          <w:sz w:val="30"/>
          <w:highlight w:val="none"/>
        </w:rPr>
        <w:t xml:space="preserve">月</w:t>
      </w:r>
      <w:r/>
    </w:p>
    <w:p>
      <w:pPr>
        <w:widowControl w:val="off"/>
        <w:rPr>
          <w:rFonts w:ascii="宋体" w:hAnsi="宋体" w:cs="宋体"/>
          <w:color w:val="auto"/>
          <w:sz w:val="32"/>
          <w:szCs w:val="32"/>
          <w:highlight w:val="none"/>
        </w:rPr>
      </w:pPr>
      <w:r>
        <w:rPr>
          <w:rFonts w:ascii="宋体" w:hAnsi="宋体" w:cs="宋体"/>
          <w:color w:val="auto"/>
          <w:sz w:val="32"/>
          <w:szCs w:val="32"/>
          <w:highlight w:val="none"/>
        </w:rPr>
      </w:r>
      <w:r/>
    </w:p>
    <w:p>
      <w:pPr>
        <w:pStyle w:val="943"/>
        <w:ind w:left="480"/>
        <w:widowControl w:val="off"/>
        <w:rPr>
          <w:color w:val="auto"/>
          <w:highlight w:val="none"/>
        </w:rPr>
      </w:pPr>
      <w:r>
        <w:rPr>
          <w:color w:val="auto"/>
          <w:highlight w:val="none"/>
        </w:rPr>
      </w:r>
      <w:r/>
    </w:p>
    <w:p>
      <w:pPr>
        <w:widowControl w:val="off"/>
        <w:rPr>
          <w:color w:val="auto"/>
          <w:highlight w:val="none"/>
        </w:rPr>
      </w:pPr>
      <w:r>
        <w:rPr>
          <w:color w:val="auto"/>
          <w:highlight w:val="none"/>
        </w:rPr>
      </w:r>
      <w:r/>
    </w:p>
    <w:sdt>
      <w:sdtPr>
        <w15:appearance w15:val="boundingBox"/>
        <w15:color w:val="dbdbdb"/>
        <w:id w:val="147479987"/>
        <w:docPartObj>
          <w:docPartGallery w:val="Table of Contents"/>
          <w:docPartUnique w:val="true"/>
        </w:docPartObj>
        <w:rPr>
          <w:rFonts w:ascii="宋体" w:hAnsi="宋体"/>
          <w:b/>
          <w:bCs/>
          <w:color w:val="auto"/>
          <w:sz w:val="36"/>
          <w:szCs w:val="36"/>
          <w:highlight w:val="none"/>
        </w:rPr>
      </w:sdtPr>
      <w:sdtContent>
        <w:p>
          <w:pPr>
            <w:jc w:val="center"/>
            <w:widowControl w:val="off"/>
            <w:rPr>
              <w:b/>
              <w:bCs/>
              <w:color w:val="auto"/>
              <w:sz w:val="36"/>
              <w:szCs w:val="36"/>
              <w:highlight w:val="none"/>
            </w:rPr>
          </w:pPr>
          <w:r/>
          <w:bookmarkStart w:id="1" w:name="OLE_LINK6"/>
          <w:r/>
          <w:bookmarkEnd w:id="1"/>
          <w:r>
            <w:rPr>
              <w:rFonts w:ascii="宋体" w:hAnsi="宋体"/>
              <w:b/>
              <w:bCs/>
              <w:color w:val="auto"/>
              <w:sz w:val="36"/>
              <w:szCs w:val="36"/>
              <w:highlight w:val="none"/>
            </w:rPr>
            <w:t xml:space="preserve">目</w:t>
          </w:r>
          <w:r>
            <w:rPr>
              <w:rFonts w:hint="eastAsia" w:ascii="宋体" w:hAnsi="宋体"/>
              <w:b/>
              <w:bCs/>
              <w:color w:val="auto"/>
              <w:sz w:val="36"/>
              <w:szCs w:val="36"/>
              <w:highlight w:val="none"/>
            </w:rPr>
            <w:t xml:space="preserve"> </w:t>
          </w:r>
          <w:r>
            <w:rPr>
              <w:rFonts w:ascii="宋体" w:hAnsi="宋体"/>
              <w:b/>
              <w:bCs/>
              <w:color w:val="auto"/>
              <w:sz w:val="36"/>
              <w:szCs w:val="36"/>
              <w:highlight w:val="none"/>
            </w:rPr>
            <w:t xml:space="preserve">录</w:t>
          </w:r>
          <w:r/>
        </w:p>
        <w:p>
          <w:pPr>
            <w:pStyle w:val="761"/>
            <w:spacing w:line="480" w:lineRule="auto"/>
            <w:widowControl w:val="off"/>
            <w:tabs>
              <w:tab w:val="right" w:pos="8868" w:leader="dot"/>
            </w:tabs>
            <w:rPr>
              <w:rFonts w:ascii="宋体" w:hAnsi="宋体" w:cs="宋体"/>
              <w:b/>
              <w:bCs/>
              <w:color w:val="auto"/>
              <w:highlight w:val="none"/>
            </w:rPr>
          </w:pPr>
          <w:r>
            <w:rPr>
              <w:rFonts w:hint="eastAsia" w:ascii="宋体" w:hAnsi="宋体" w:cs="宋体"/>
              <w:b/>
              <w:bCs/>
              <w:color w:val="auto"/>
              <w:highlight w:val="none"/>
            </w:rPr>
            <w:fldChar w:fldCharType="begin"/>
          </w:r>
          <w:r>
            <w:rPr>
              <w:rFonts w:hint="eastAsia" w:ascii="宋体" w:hAnsi="宋体" w:cs="宋体"/>
              <w:b/>
              <w:bCs/>
              <w:color w:val="auto"/>
              <w:highlight w:val="none"/>
            </w:rPr>
            <w:instrText xml:space="preserve">TOC \o "1-1" \h \u </w:instrText>
          </w:r>
          <w:r>
            <w:rPr>
              <w:rFonts w:hint="eastAsia" w:ascii="宋体" w:hAnsi="宋体" w:cs="宋体"/>
              <w:b/>
              <w:bCs/>
              <w:color w:val="auto"/>
              <w:highlight w:val="none"/>
            </w:rPr>
            <w:fldChar w:fldCharType="separate"/>
          </w:r>
          <w:r>
            <w:rPr>
              <w:color w:val="auto"/>
              <w:highlight w:val="none"/>
            </w:rPr>
            <w:fldChar w:fldCharType="begin"/>
          </w:r>
          <w:r>
            <w:rPr>
              <w:color w:val="auto"/>
              <w:highlight w:val="none"/>
            </w:rPr>
            <w:instrText xml:space="preserve"> HYPERLINK \l "_Toc16747" </w:instrText>
          </w:r>
          <w:r>
            <w:rPr>
              <w:color w:val="auto"/>
              <w:highlight w:val="none"/>
            </w:rPr>
            <w:fldChar w:fldCharType="separate"/>
          </w:r>
          <w:r>
            <w:rPr>
              <w:rFonts w:hint="eastAsia" w:ascii="宋体" w:hAnsi="宋体" w:cs="宋体"/>
              <w:b/>
              <w:bCs/>
              <w:color w:val="auto"/>
              <w:szCs w:val="32"/>
              <w:highlight w:val="none"/>
            </w:rPr>
            <w:t xml:space="preserve">供应商须知前表</w:t>
          </w:r>
          <w:r>
            <w:rPr>
              <w:rFonts w:hint="eastAsia" w:ascii="宋体" w:hAnsi="宋体" w:cs="宋体"/>
              <w:b/>
              <w:bCs/>
              <w:color w:val="auto"/>
              <w:highlight w:val="none"/>
            </w:rPr>
            <w:tab/>
          </w:r>
          <w:r>
            <w:rPr>
              <w:rFonts w:hint="eastAsia" w:ascii="宋体" w:hAnsi="宋体" w:cs="宋体"/>
              <w:b/>
              <w:bCs/>
              <w:color w:val="auto"/>
              <w:highlight w:val="none"/>
            </w:rPr>
            <w:fldChar w:fldCharType="begin"/>
          </w:r>
          <w:r>
            <w:rPr>
              <w:rFonts w:hint="eastAsia" w:ascii="宋体" w:hAnsi="宋体" w:cs="宋体"/>
              <w:b/>
              <w:bCs/>
              <w:color w:val="auto"/>
              <w:highlight w:val="none"/>
            </w:rPr>
            <w:instrText xml:space="preserve"> PAGEREF _Toc16747 \h </w:instrText>
          </w:r>
          <w:r>
            <w:rPr>
              <w:rFonts w:hint="eastAsia" w:ascii="宋体" w:hAnsi="宋体" w:cs="宋体"/>
              <w:b/>
              <w:bCs/>
              <w:color w:val="auto"/>
              <w:highlight w:val="none"/>
            </w:rPr>
            <w:fldChar w:fldCharType="separate"/>
          </w:r>
          <w:r>
            <w:rPr>
              <w:rFonts w:hint="eastAsia" w:ascii="宋体" w:hAnsi="宋体" w:cs="宋体"/>
              <w:b/>
              <w:bCs/>
              <w:color w:val="auto"/>
              <w:highlight w:val="none"/>
            </w:rPr>
            <w:t xml:space="preserve">3</w:t>
          </w:r>
          <w:r>
            <w:rPr>
              <w:rFonts w:hint="eastAsia" w:ascii="宋体" w:hAnsi="宋体" w:cs="宋体"/>
              <w:b/>
              <w:bCs/>
              <w:color w:val="auto"/>
              <w:highlight w:val="none"/>
            </w:rPr>
            <w:fldChar w:fldCharType="end"/>
          </w:r>
          <w:r>
            <w:rPr>
              <w:rFonts w:hint="eastAsia" w:ascii="宋体" w:hAnsi="宋体" w:cs="宋体"/>
              <w:b/>
              <w:bCs/>
              <w:color w:val="auto"/>
              <w:highlight w:val="none"/>
            </w:rPr>
            <w:fldChar w:fldCharType="end"/>
          </w:r>
          <w:r/>
        </w:p>
        <w:p>
          <w:pPr>
            <w:pStyle w:val="761"/>
            <w:spacing w:line="480" w:lineRule="auto"/>
            <w:widowControl w:val="off"/>
            <w:tabs>
              <w:tab w:val="right" w:pos="8868" w:leader="dot"/>
            </w:tabs>
            <w:rPr>
              <w:rFonts w:ascii="宋体" w:hAnsi="宋体" w:cs="宋体"/>
              <w:b/>
              <w:bCs/>
              <w:color w:val="auto"/>
              <w:highlight w:val="none"/>
            </w:rPr>
          </w:pPr>
          <w:r>
            <w:rPr>
              <w:color w:val="auto"/>
              <w:highlight w:val="none"/>
            </w:rPr>
            <w:fldChar w:fldCharType="begin"/>
          </w:r>
          <w:r>
            <w:rPr>
              <w:color w:val="auto"/>
              <w:highlight w:val="none"/>
            </w:rPr>
            <w:instrText xml:space="preserve"> HYPERLINK \l "_Toc341" </w:instrText>
          </w:r>
          <w:r>
            <w:rPr>
              <w:color w:val="auto"/>
              <w:highlight w:val="none"/>
            </w:rPr>
            <w:fldChar w:fldCharType="separate"/>
          </w:r>
          <w:r>
            <w:rPr>
              <w:rFonts w:hint="eastAsia" w:ascii="宋体" w:hAnsi="宋体" w:cs="宋体"/>
              <w:b/>
              <w:bCs/>
              <w:color w:val="auto"/>
              <w:szCs w:val="32"/>
              <w:highlight w:val="none"/>
            </w:rPr>
            <w:t xml:space="preserve">第一章 磋商采购公告</w:t>
          </w:r>
          <w:r>
            <w:rPr>
              <w:rFonts w:hint="eastAsia" w:ascii="宋体" w:hAnsi="宋体" w:cs="宋体"/>
              <w:b/>
              <w:bCs/>
              <w:color w:val="auto"/>
              <w:highlight w:val="none"/>
            </w:rPr>
            <w:tab/>
          </w:r>
          <w:r>
            <w:rPr>
              <w:rFonts w:hint="eastAsia" w:ascii="宋体" w:hAnsi="宋体" w:cs="宋体"/>
              <w:b/>
              <w:bCs/>
              <w:color w:val="auto"/>
              <w:highlight w:val="none"/>
            </w:rPr>
            <w:fldChar w:fldCharType="begin"/>
          </w:r>
          <w:r>
            <w:rPr>
              <w:rFonts w:hint="eastAsia" w:ascii="宋体" w:hAnsi="宋体" w:cs="宋体"/>
              <w:b/>
              <w:bCs/>
              <w:color w:val="auto"/>
              <w:highlight w:val="none"/>
            </w:rPr>
            <w:instrText xml:space="preserve"> PAGEREF _Toc341 \h </w:instrText>
          </w:r>
          <w:r>
            <w:rPr>
              <w:rFonts w:hint="eastAsia" w:ascii="宋体" w:hAnsi="宋体" w:cs="宋体"/>
              <w:b/>
              <w:bCs/>
              <w:color w:val="auto"/>
              <w:highlight w:val="none"/>
            </w:rPr>
            <w:fldChar w:fldCharType="separate"/>
          </w:r>
          <w:r>
            <w:rPr>
              <w:rFonts w:hint="eastAsia" w:ascii="宋体" w:hAnsi="宋体" w:cs="宋体"/>
              <w:b/>
              <w:bCs/>
              <w:color w:val="auto"/>
              <w:highlight w:val="none"/>
            </w:rPr>
            <w:t xml:space="preserve">5</w:t>
          </w:r>
          <w:r>
            <w:rPr>
              <w:rFonts w:hint="eastAsia" w:ascii="宋体" w:hAnsi="宋体" w:cs="宋体"/>
              <w:b/>
              <w:bCs/>
              <w:color w:val="auto"/>
              <w:highlight w:val="none"/>
            </w:rPr>
            <w:fldChar w:fldCharType="end"/>
          </w:r>
          <w:r>
            <w:rPr>
              <w:rFonts w:hint="eastAsia" w:ascii="宋体" w:hAnsi="宋体" w:cs="宋体"/>
              <w:b/>
              <w:bCs/>
              <w:color w:val="auto"/>
              <w:highlight w:val="none"/>
            </w:rPr>
            <w:fldChar w:fldCharType="end"/>
          </w:r>
          <w:r/>
        </w:p>
        <w:p>
          <w:pPr>
            <w:pStyle w:val="761"/>
            <w:spacing w:line="480" w:lineRule="auto"/>
            <w:widowControl w:val="off"/>
            <w:tabs>
              <w:tab w:val="right" w:pos="8868" w:leader="dot"/>
            </w:tabs>
            <w:rPr>
              <w:rFonts w:ascii="宋体" w:hAnsi="宋体" w:cs="宋体"/>
              <w:b/>
              <w:bCs/>
              <w:color w:val="auto"/>
              <w:highlight w:val="none"/>
            </w:rPr>
          </w:pPr>
          <w:r>
            <w:rPr>
              <w:color w:val="auto"/>
              <w:highlight w:val="none"/>
            </w:rPr>
            <w:fldChar w:fldCharType="begin"/>
          </w:r>
          <w:r>
            <w:rPr>
              <w:color w:val="auto"/>
              <w:highlight w:val="none"/>
            </w:rPr>
            <w:instrText xml:space="preserve"> HYPERLINK \l "_Toc22069" </w:instrText>
          </w:r>
          <w:r>
            <w:rPr>
              <w:color w:val="auto"/>
              <w:highlight w:val="none"/>
            </w:rPr>
            <w:fldChar w:fldCharType="separate"/>
          </w:r>
          <w:r>
            <w:rPr>
              <w:rFonts w:hint="eastAsia" w:ascii="宋体" w:hAnsi="宋体" w:cs="宋体"/>
              <w:b/>
              <w:bCs/>
              <w:color w:val="auto"/>
              <w:szCs w:val="32"/>
              <w:highlight w:val="none"/>
            </w:rPr>
            <w:t xml:space="preserve">第二章 磋商须知</w:t>
          </w:r>
          <w:r>
            <w:rPr>
              <w:rFonts w:hint="eastAsia" w:ascii="宋体" w:hAnsi="宋体" w:cs="宋体"/>
              <w:b/>
              <w:bCs/>
              <w:color w:val="auto"/>
              <w:highlight w:val="none"/>
            </w:rPr>
            <w:tab/>
          </w:r>
          <w:r>
            <w:rPr>
              <w:rFonts w:hint="eastAsia" w:ascii="宋体" w:hAnsi="宋体" w:cs="宋体"/>
              <w:b/>
              <w:bCs/>
              <w:color w:val="auto"/>
              <w:highlight w:val="none"/>
            </w:rPr>
            <w:fldChar w:fldCharType="begin"/>
          </w:r>
          <w:r>
            <w:rPr>
              <w:rFonts w:hint="eastAsia" w:ascii="宋体" w:hAnsi="宋体" w:cs="宋体"/>
              <w:b/>
              <w:bCs/>
              <w:color w:val="auto"/>
              <w:highlight w:val="none"/>
            </w:rPr>
            <w:instrText xml:space="preserve"> PAGEREF _Toc22069 \h </w:instrText>
          </w:r>
          <w:r>
            <w:rPr>
              <w:rFonts w:hint="eastAsia" w:ascii="宋体" w:hAnsi="宋体" w:cs="宋体"/>
              <w:b/>
              <w:bCs/>
              <w:color w:val="auto"/>
              <w:highlight w:val="none"/>
            </w:rPr>
            <w:fldChar w:fldCharType="separate"/>
          </w:r>
          <w:r>
            <w:rPr>
              <w:rFonts w:hint="eastAsia" w:ascii="宋体" w:hAnsi="宋体" w:cs="宋体"/>
              <w:b/>
              <w:bCs/>
              <w:color w:val="auto"/>
              <w:highlight w:val="none"/>
            </w:rPr>
            <w:t xml:space="preserve">9</w:t>
          </w:r>
          <w:r>
            <w:rPr>
              <w:rFonts w:hint="eastAsia" w:ascii="宋体" w:hAnsi="宋体" w:cs="宋体"/>
              <w:b/>
              <w:bCs/>
              <w:color w:val="auto"/>
              <w:highlight w:val="none"/>
            </w:rPr>
            <w:fldChar w:fldCharType="end"/>
          </w:r>
          <w:r>
            <w:rPr>
              <w:rFonts w:hint="eastAsia" w:ascii="宋体" w:hAnsi="宋体" w:cs="宋体"/>
              <w:b/>
              <w:bCs/>
              <w:color w:val="auto"/>
              <w:highlight w:val="none"/>
            </w:rPr>
            <w:fldChar w:fldCharType="end"/>
          </w:r>
          <w:r/>
        </w:p>
        <w:p>
          <w:pPr>
            <w:pStyle w:val="761"/>
            <w:spacing w:line="480" w:lineRule="auto"/>
            <w:widowControl w:val="off"/>
            <w:tabs>
              <w:tab w:val="right" w:pos="8868" w:leader="dot"/>
            </w:tabs>
            <w:rPr>
              <w:rFonts w:ascii="宋体" w:hAnsi="宋体" w:cs="宋体"/>
              <w:b/>
              <w:bCs/>
              <w:color w:val="auto"/>
              <w:highlight w:val="none"/>
            </w:rPr>
          </w:pPr>
          <w:r>
            <w:rPr>
              <w:color w:val="auto"/>
              <w:highlight w:val="none"/>
            </w:rPr>
            <w:fldChar w:fldCharType="begin"/>
          </w:r>
          <w:r>
            <w:rPr>
              <w:color w:val="auto"/>
              <w:highlight w:val="none"/>
            </w:rPr>
            <w:instrText xml:space="preserve"> HYPERLINK \l "_Toc5170" </w:instrText>
          </w:r>
          <w:r>
            <w:rPr>
              <w:color w:val="auto"/>
              <w:highlight w:val="none"/>
            </w:rPr>
            <w:fldChar w:fldCharType="separate"/>
          </w:r>
          <w:r>
            <w:rPr>
              <w:rFonts w:hint="eastAsia" w:ascii="宋体" w:hAnsi="宋体" w:cs="宋体"/>
              <w:b/>
              <w:bCs/>
              <w:color w:val="auto"/>
              <w:szCs w:val="32"/>
              <w:highlight w:val="none"/>
            </w:rPr>
            <w:t xml:space="preserve">第三章 采购内容</w:t>
          </w:r>
          <w:r>
            <w:rPr>
              <w:rFonts w:hint="eastAsia" w:ascii="宋体" w:hAnsi="宋体" w:cs="宋体"/>
              <w:b/>
              <w:bCs/>
              <w:color w:val="auto"/>
              <w:highlight w:val="none"/>
            </w:rPr>
            <w:tab/>
          </w:r>
          <w:r>
            <w:rPr>
              <w:rFonts w:hint="eastAsia" w:ascii="宋体" w:hAnsi="宋体" w:cs="宋体"/>
              <w:b/>
              <w:bCs/>
              <w:color w:val="auto"/>
              <w:highlight w:val="none"/>
            </w:rPr>
            <w:fldChar w:fldCharType="begin"/>
          </w:r>
          <w:r>
            <w:rPr>
              <w:rFonts w:hint="eastAsia" w:ascii="宋体" w:hAnsi="宋体" w:cs="宋体"/>
              <w:b/>
              <w:bCs/>
              <w:color w:val="auto"/>
              <w:highlight w:val="none"/>
            </w:rPr>
            <w:instrText xml:space="preserve"> PAGEREF _Toc5170 \h </w:instrText>
          </w:r>
          <w:r>
            <w:rPr>
              <w:rFonts w:hint="eastAsia" w:ascii="宋体" w:hAnsi="宋体" w:cs="宋体"/>
              <w:b/>
              <w:bCs/>
              <w:color w:val="auto"/>
              <w:highlight w:val="none"/>
            </w:rPr>
            <w:fldChar w:fldCharType="separate"/>
          </w:r>
          <w:r>
            <w:rPr>
              <w:rFonts w:hint="eastAsia" w:ascii="宋体" w:hAnsi="宋体" w:cs="宋体"/>
              <w:b/>
              <w:bCs/>
              <w:color w:val="auto"/>
              <w:highlight w:val="none"/>
            </w:rPr>
            <w:t xml:space="preserve">26</w:t>
          </w:r>
          <w:r>
            <w:rPr>
              <w:rFonts w:hint="eastAsia" w:ascii="宋体" w:hAnsi="宋体" w:cs="宋体"/>
              <w:b/>
              <w:bCs/>
              <w:color w:val="auto"/>
              <w:highlight w:val="none"/>
            </w:rPr>
            <w:fldChar w:fldCharType="end"/>
          </w:r>
          <w:r>
            <w:rPr>
              <w:rFonts w:hint="eastAsia" w:ascii="宋体" w:hAnsi="宋体" w:cs="宋体"/>
              <w:b/>
              <w:bCs/>
              <w:color w:val="auto"/>
              <w:highlight w:val="none"/>
            </w:rPr>
            <w:fldChar w:fldCharType="end"/>
          </w:r>
          <w:r/>
        </w:p>
        <w:p>
          <w:pPr>
            <w:pStyle w:val="761"/>
            <w:spacing w:line="480" w:lineRule="auto"/>
            <w:widowControl w:val="off"/>
            <w:tabs>
              <w:tab w:val="right" w:pos="8868" w:leader="dot"/>
            </w:tabs>
            <w:rPr>
              <w:rFonts w:ascii="宋体" w:hAnsi="宋体" w:cs="宋体"/>
              <w:b/>
              <w:bCs/>
              <w:color w:val="auto"/>
              <w:highlight w:val="none"/>
            </w:rPr>
          </w:pPr>
          <w:r>
            <w:rPr>
              <w:color w:val="auto"/>
              <w:highlight w:val="none"/>
            </w:rPr>
            <w:fldChar w:fldCharType="begin"/>
          </w:r>
          <w:r>
            <w:rPr>
              <w:color w:val="auto"/>
              <w:highlight w:val="none"/>
            </w:rPr>
            <w:instrText xml:space="preserve"> HYPERLINK \l "_Toc29973" </w:instrText>
          </w:r>
          <w:r>
            <w:rPr>
              <w:color w:val="auto"/>
              <w:highlight w:val="none"/>
            </w:rPr>
            <w:fldChar w:fldCharType="separate"/>
          </w:r>
          <w:r>
            <w:rPr>
              <w:rFonts w:hint="eastAsia" w:ascii="宋体" w:hAnsi="宋体" w:cs="宋体"/>
              <w:b/>
              <w:bCs/>
              <w:color w:val="auto"/>
              <w:szCs w:val="32"/>
              <w:highlight w:val="none"/>
            </w:rPr>
            <w:t xml:space="preserve">第四章 磋商响应文件格式</w:t>
          </w:r>
          <w:r>
            <w:rPr>
              <w:rFonts w:hint="eastAsia" w:ascii="宋体" w:hAnsi="宋体" w:cs="宋体"/>
              <w:b/>
              <w:bCs/>
              <w:color w:val="auto"/>
              <w:highlight w:val="none"/>
            </w:rPr>
            <w:tab/>
          </w:r>
          <w:r>
            <w:rPr>
              <w:rFonts w:hint="eastAsia" w:ascii="宋体" w:hAnsi="宋体" w:cs="宋体"/>
              <w:b/>
              <w:bCs/>
              <w:color w:val="auto"/>
              <w:highlight w:val="none"/>
            </w:rPr>
            <w:fldChar w:fldCharType="begin"/>
          </w:r>
          <w:r>
            <w:rPr>
              <w:rFonts w:hint="eastAsia" w:ascii="宋体" w:hAnsi="宋体" w:cs="宋体"/>
              <w:b/>
              <w:bCs/>
              <w:color w:val="auto"/>
              <w:highlight w:val="none"/>
            </w:rPr>
            <w:instrText xml:space="preserve"> PAGEREF _Toc29973 \h </w:instrText>
          </w:r>
          <w:r>
            <w:rPr>
              <w:rFonts w:hint="eastAsia" w:ascii="宋体" w:hAnsi="宋体" w:cs="宋体"/>
              <w:b/>
              <w:bCs/>
              <w:color w:val="auto"/>
              <w:highlight w:val="none"/>
            </w:rPr>
            <w:fldChar w:fldCharType="separate"/>
          </w:r>
          <w:r>
            <w:rPr>
              <w:rFonts w:hint="eastAsia" w:ascii="宋体" w:hAnsi="宋体" w:cs="宋体"/>
              <w:b/>
              <w:bCs/>
              <w:color w:val="auto"/>
              <w:highlight w:val="none"/>
            </w:rPr>
            <w:t xml:space="preserve">30</w:t>
          </w:r>
          <w:r>
            <w:rPr>
              <w:rFonts w:hint="eastAsia" w:ascii="宋体" w:hAnsi="宋体" w:cs="宋体"/>
              <w:b/>
              <w:bCs/>
              <w:color w:val="auto"/>
              <w:highlight w:val="none"/>
            </w:rPr>
            <w:fldChar w:fldCharType="end"/>
          </w:r>
          <w:r>
            <w:rPr>
              <w:rFonts w:hint="eastAsia" w:ascii="宋体" w:hAnsi="宋体" w:cs="宋体"/>
              <w:b/>
              <w:bCs/>
              <w:color w:val="auto"/>
              <w:highlight w:val="none"/>
            </w:rPr>
            <w:fldChar w:fldCharType="end"/>
          </w:r>
          <w:r/>
        </w:p>
        <w:p>
          <w:pPr>
            <w:pStyle w:val="761"/>
            <w:spacing w:line="480" w:lineRule="auto"/>
            <w:widowControl w:val="off"/>
            <w:tabs>
              <w:tab w:val="right" w:pos="8868" w:leader="dot"/>
            </w:tabs>
            <w:rPr>
              <w:rFonts w:ascii="宋体" w:hAnsi="宋体" w:cs="宋体"/>
              <w:b/>
              <w:bCs/>
              <w:color w:val="auto"/>
              <w:highlight w:val="none"/>
            </w:rPr>
          </w:pPr>
          <w:r>
            <w:rPr>
              <w:color w:val="auto"/>
              <w:highlight w:val="none"/>
            </w:rPr>
            <w:fldChar w:fldCharType="begin"/>
          </w:r>
          <w:r>
            <w:rPr>
              <w:color w:val="auto"/>
              <w:highlight w:val="none"/>
            </w:rPr>
            <w:instrText xml:space="preserve"> HYPERLINK \l "_Toc20427" </w:instrText>
          </w:r>
          <w:r>
            <w:rPr>
              <w:color w:val="auto"/>
              <w:highlight w:val="none"/>
            </w:rPr>
            <w:fldChar w:fldCharType="separate"/>
          </w:r>
          <w:r>
            <w:rPr>
              <w:rFonts w:hint="eastAsia" w:ascii="宋体" w:hAnsi="宋体" w:cs="宋体"/>
              <w:b/>
              <w:bCs/>
              <w:color w:val="auto"/>
              <w:szCs w:val="32"/>
              <w:highlight w:val="none"/>
            </w:rPr>
            <w:t xml:space="preserve">第五章 合同主要条款</w:t>
          </w:r>
          <w:r>
            <w:rPr>
              <w:rFonts w:hint="eastAsia" w:ascii="宋体" w:hAnsi="宋体" w:cs="宋体"/>
              <w:b/>
              <w:bCs/>
              <w:color w:val="auto"/>
              <w:highlight w:val="none"/>
            </w:rPr>
            <w:tab/>
          </w:r>
          <w:r>
            <w:rPr>
              <w:rFonts w:hint="eastAsia" w:ascii="宋体" w:hAnsi="宋体" w:cs="宋体"/>
              <w:b/>
              <w:bCs/>
              <w:color w:val="auto"/>
              <w:highlight w:val="none"/>
            </w:rPr>
            <w:fldChar w:fldCharType="begin"/>
          </w:r>
          <w:r>
            <w:rPr>
              <w:rFonts w:hint="eastAsia" w:ascii="宋体" w:hAnsi="宋体" w:cs="宋体"/>
              <w:b/>
              <w:bCs/>
              <w:color w:val="auto"/>
              <w:highlight w:val="none"/>
            </w:rPr>
            <w:instrText xml:space="preserve"> PAGEREF _Toc20427 \h </w:instrText>
          </w:r>
          <w:r>
            <w:rPr>
              <w:rFonts w:hint="eastAsia" w:ascii="宋体" w:hAnsi="宋体" w:cs="宋体"/>
              <w:b/>
              <w:bCs/>
              <w:color w:val="auto"/>
              <w:highlight w:val="none"/>
            </w:rPr>
            <w:fldChar w:fldCharType="separate"/>
          </w:r>
          <w:r>
            <w:rPr>
              <w:rFonts w:hint="eastAsia" w:ascii="宋体" w:hAnsi="宋体" w:cs="宋体"/>
              <w:b/>
              <w:bCs/>
              <w:color w:val="auto"/>
              <w:highlight w:val="none"/>
            </w:rPr>
            <w:t xml:space="preserve">48</w:t>
          </w:r>
          <w:r>
            <w:rPr>
              <w:rFonts w:hint="eastAsia" w:ascii="宋体" w:hAnsi="宋体" w:cs="宋体"/>
              <w:b/>
              <w:bCs/>
              <w:color w:val="auto"/>
              <w:highlight w:val="none"/>
            </w:rPr>
            <w:fldChar w:fldCharType="end"/>
          </w:r>
          <w:r>
            <w:rPr>
              <w:rFonts w:hint="eastAsia" w:ascii="宋体" w:hAnsi="宋体" w:cs="宋体"/>
              <w:b/>
              <w:bCs/>
              <w:color w:val="auto"/>
              <w:highlight w:val="none"/>
            </w:rPr>
            <w:fldChar w:fldCharType="end"/>
          </w:r>
          <w:r/>
        </w:p>
        <w:p>
          <w:pPr>
            <w:pStyle w:val="761"/>
            <w:spacing w:line="480" w:lineRule="auto"/>
            <w:widowControl w:val="off"/>
            <w:tabs>
              <w:tab w:val="right" w:pos="8868" w:leader="dot"/>
            </w:tabs>
            <w:rPr>
              <w:rFonts w:ascii="宋体" w:hAnsi="宋体" w:cs="宋体"/>
              <w:b/>
              <w:bCs/>
              <w:color w:val="auto"/>
              <w:highlight w:val="none"/>
            </w:rPr>
          </w:pPr>
          <w:r>
            <w:rPr>
              <w:color w:val="auto"/>
              <w:highlight w:val="none"/>
            </w:rPr>
            <w:fldChar w:fldCharType="begin"/>
          </w:r>
          <w:r>
            <w:rPr>
              <w:color w:val="auto"/>
              <w:highlight w:val="none"/>
            </w:rPr>
            <w:instrText xml:space="preserve"> HYPERLINK \l "_Toc7610" </w:instrText>
          </w:r>
          <w:r>
            <w:rPr>
              <w:color w:val="auto"/>
              <w:highlight w:val="none"/>
            </w:rPr>
            <w:fldChar w:fldCharType="separate"/>
          </w:r>
          <w:r>
            <w:rPr>
              <w:rFonts w:hint="eastAsia" w:ascii="宋体" w:hAnsi="宋体" w:cs="宋体"/>
              <w:b/>
              <w:bCs/>
              <w:color w:val="auto"/>
              <w:szCs w:val="32"/>
              <w:highlight w:val="none"/>
            </w:rPr>
            <w:t xml:space="preserve">第六章 评审方法及评分标准</w:t>
          </w:r>
          <w:r>
            <w:rPr>
              <w:rFonts w:hint="eastAsia" w:ascii="宋体" w:hAnsi="宋体" w:cs="宋体"/>
              <w:b/>
              <w:bCs/>
              <w:color w:val="auto"/>
              <w:highlight w:val="none"/>
            </w:rPr>
            <w:tab/>
          </w:r>
          <w:r>
            <w:rPr>
              <w:rFonts w:hint="eastAsia" w:ascii="宋体" w:hAnsi="宋体" w:cs="宋体"/>
              <w:b/>
              <w:bCs/>
              <w:color w:val="auto"/>
              <w:highlight w:val="none"/>
            </w:rPr>
            <w:fldChar w:fldCharType="begin"/>
          </w:r>
          <w:r>
            <w:rPr>
              <w:rFonts w:hint="eastAsia" w:ascii="宋体" w:hAnsi="宋体" w:cs="宋体"/>
              <w:b/>
              <w:bCs/>
              <w:color w:val="auto"/>
              <w:highlight w:val="none"/>
            </w:rPr>
            <w:instrText xml:space="preserve"> PAGEREF _Toc7610 \h </w:instrText>
          </w:r>
          <w:r>
            <w:rPr>
              <w:rFonts w:hint="eastAsia" w:ascii="宋体" w:hAnsi="宋体" w:cs="宋体"/>
              <w:b/>
              <w:bCs/>
              <w:color w:val="auto"/>
              <w:highlight w:val="none"/>
            </w:rPr>
            <w:fldChar w:fldCharType="separate"/>
          </w:r>
          <w:r>
            <w:rPr>
              <w:rFonts w:hint="eastAsia" w:ascii="宋体" w:hAnsi="宋体" w:cs="宋体"/>
              <w:b/>
              <w:bCs/>
              <w:color w:val="auto"/>
              <w:highlight w:val="none"/>
            </w:rPr>
            <w:t xml:space="preserve">60</w:t>
          </w:r>
          <w:r>
            <w:rPr>
              <w:rFonts w:hint="eastAsia" w:ascii="宋体" w:hAnsi="宋体" w:cs="宋体"/>
              <w:b/>
              <w:bCs/>
              <w:color w:val="auto"/>
              <w:highlight w:val="none"/>
            </w:rPr>
            <w:fldChar w:fldCharType="end"/>
          </w:r>
          <w:r>
            <w:rPr>
              <w:rFonts w:hint="eastAsia" w:ascii="宋体" w:hAnsi="宋体" w:cs="宋体"/>
              <w:b/>
              <w:bCs/>
              <w:color w:val="auto"/>
              <w:highlight w:val="none"/>
            </w:rPr>
            <w:fldChar w:fldCharType="end"/>
          </w:r>
          <w:r/>
        </w:p>
        <w:p>
          <w:pPr>
            <w:jc w:val="center"/>
            <w:spacing w:line="480" w:lineRule="auto"/>
            <w:widowControl w:val="off"/>
            <w:tabs>
              <w:tab w:val="center" w:pos="5444" w:leader="none"/>
              <w:tab w:val="left" w:pos="8076" w:leader="none"/>
            </w:tabs>
            <w:rPr>
              <w:rFonts w:ascii="宋体" w:hAnsi="宋体"/>
              <w:bCs/>
              <w:color w:val="auto"/>
              <w:szCs w:val="36"/>
              <w:highlight w:val="none"/>
            </w:rPr>
          </w:pPr>
          <w:r>
            <w:rPr>
              <w:rFonts w:hint="eastAsia" w:ascii="宋体" w:hAnsi="宋体" w:cs="宋体"/>
              <w:b/>
              <w:bCs/>
              <w:color w:val="auto"/>
              <w:highlight w:val="none"/>
            </w:rPr>
            <w:fldChar w:fldCharType="end"/>
          </w:r>
          <w:r/>
        </w:p>
      </w:sdtContent>
    </w:sdt>
    <w:p>
      <w:pPr>
        <w:pStyle w:val="777"/>
        <w:widowControl w:val="off"/>
        <w:rPr>
          <w:color w:val="auto"/>
          <w:highlight w:val="none"/>
        </w:rPr>
      </w:pPr>
      <w:r>
        <w:rPr>
          <w:color w:val="auto"/>
          <w:highlight w:val="none"/>
        </w:rPr>
      </w:r>
      <w:r/>
    </w:p>
    <w:p>
      <w:pPr>
        <w:jc w:val="center"/>
        <w:widowControl w:val="off"/>
        <w:tabs>
          <w:tab w:val="center" w:pos="5444" w:leader="none"/>
          <w:tab w:val="left" w:pos="8076" w:leader="none"/>
        </w:tabs>
        <w:rPr>
          <w:rFonts w:ascii="宋体" w:hAnsi="宋体"/>
          <w:b/>
          <w:bCs/>
          <w:color w:val="auto"/>
          <w:sz w:val="36"/>
          <w:szCs w:val="36"/>
          <w:highlight w:val="none"/>
        </w:rPr>
      </w:pPr>
      <w:r>
        <w:rPr>
          <w:rFonts w:ascii="宋体" w:hAnsi="宋体"/>
          <w:b/>
          <w:bCs/>
          <w:color w:val="auto"/>
          <w:sz w:val="36"/>
          <w:szCs w:val="36"/>
          <w:highlight w:val="none"/>
        </w:rPr>
      </w:r>
      <w:r/>
    </w:p>
    <w:p>
      <w:pPr>
        <w:jc w:val="center"/>
        <w:widowControl w:val="off"/>
        <w:tabs>
          <w:tab w:val="center" w:pos="5444" w:leader="none"/>
          <w:tab w:val="left" w:pos="8076" w:leader="none"/>
        </w:tabs>
        <w:rPr>
          <w:rFonts w:ascii="宋体" w:hAnsi="宋体"/>
          <w:b/>
          <w:bCs/>
          <w:color w:val="auto"/>
          <w:sz w:val="36"/>
          <w:szCs w:val="36"/>
          <w:highlight w:val="none"/>
        </w:rPr>
      </w:pPr>
      <w:r>
        <w:rPr>
          <w:rFonts w:ascii="宋体" w:hAnsi="宋体"/>
          <w:b/>
          <w:bCs/>
          <w:color w:val="auto"/>
          <w:sz w:val="36"/>
          <w:szCs w:val="36"/>
          <w:highlight w:val="none"/>
        </w:rPr>
      </w:r>
      <w:r/>
    </w:p>
    <w:p>
      <w:pPr>
        <w:widowControl w:val="off"/>
        <w:rPr>
          <w:rFonts w:ascii="宋体" w:hAnsi="宋体" w:cs="宋体"/>
          <w:color w:val="auto"/>
          <w:highlight w:val="none"/>
        </w:rPr>
      </w:pPr>
      <w:r>
        <w:rPr>
          <w:rFonts w:ascii="宋体" w:hAnsi="宋体" w:cs="宋体"/>
          <w:color w:val="auto"/>
          <w:highlight w:val="none"/>
        </w:rPr>
      </w:r>
      <w:r/>
    </w:p>
    <w:p>
      <w:pPr>
        <w:jc w:val="center"/>
        <w:widowControl w:val="off"/>
        <w:rPr>
          <w:rStyle w:val="933"/>
          <w:rFonts w:ascii="宋体" w:hAnsi="宋体" w:cs="宋体"/>
          <w:color w:val="auto"/>
          <w:sz w:val="32"/>
          <w:szCs w:val="32"/>
          <w:highlight w:val="none"/>
        </w:rPr>
        <w:outlineLvl w:val="0"/>
      </w:pPr>
      <w:r>
        <w:rPr>
          <w:rFonts w:hint="eastAsia" w:ascii="宋体" w:hAnsi="宋体" w:cs="宋体"/>
          <w:color w:val="auto"/>
          <w:highlight w:val="none"/>
        </w:rPr>
        <w:br w:type="page" w:clear="all"/>
      </w:r>
      <w:bookmarkStart w:id="2" w:name="_Toc16747"/>
      <w:r/>
      <w:bookmarkStart w:id="3" w:name="_Toc15681"/>
      <w:r/>
      <w:bookmarkStart w:id="4" w:name="_Toc12642"/>
      <w:r/>
      <w:bookmarkStart w:id="5" w:name="_Toc16121"/>
      <w:r/>
      <w:bookmarkStart w:id="6" w:name="_Toc17003"/>
      <w:r/>
      <w:bookmarkStart w:id="7" w:name="_Toc25755"/>
      <w:r/>
      <w:bookmarkStart w:id="8" w:name="_Toc2140"/>
      <w:r>
        <w:rPr>
          <w:rStyle w:val="933"/>
          <w:rFonts w:hint="eastAsia" w:ascii="宋体" w:hAnsi="宋体" w:cs="宋体"/>
          <w:color w:val="auto"/>
          <w:sz w:val="32"/>
          <w:szCs w:val="32"/>
          <w:highlight w:val="none"/>
        </w:rPr>
        <w:t xml:space="preserve">供应商须知前附表</w:t>
      </w:r>
      <w:bookmarkEnd w:id="2"/>
      <w:r/>
      <w:bookmarkEnd w:id="3"/>
      <w:r/>
      <w:bookmarkEnd w:id="4"/>
      <w:r/>
      <w:bookmarkEnd w:id="5"/>
      <w:r/>
      <w:bookmarkEnd w:id="6"/>
      <w:r/>
      <w:bookmarkEnd w:id="7"/>
      <w:r/>
      <w:bookmarkEnd w:id="8"/>
      <w:r/>
      <w:r/>
    </w:p>
    <w:tbl>
      <w:tblPr>
        <w:tblStyle w:val="746"/>
        <w:tblW w:w="9425" w:type="dxa"/>
        <w:jc w:val="center"/>
        <w:tblLayout w:type="fixed"/>
        <w:tblCellMar>
          <w:left w:w="108" w:type="dxa"/>
          <w:top w:w="0" w:type="dxa"/>
          <w:right w:w="108" w:type="dxa"/>
          <w:bottom w:w="0" w:type="dxa"/>
        </w:tblCellMar>
        <w:tblLook w:val="04A0" w:firstRow="1" w:lastRow="0" w:firstColumn="1" w:lastColumn="0" w:noHBand="0" w:noVBand="1"/>
      </w:tblPr>
      <w:tblGrid>
        <w:gridCol w:w="675"/>
        <w:gridCol w:w="1913"/>
        <w:gridCol w:w="6837"/>
      </w:tblGrid>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44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jc w:val="center"/>
              <w:spacing w:line="44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jc w:val="center"/>
              <w:spacing w:line="44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内               容</w:t>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44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jc w:val="center"/>
              <w:spacing w:line="44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spacing w:line="440" w:lineRule="exact"/>
              <w:widowControl w:val="off"/>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JSZC-320591-SZCD-C2026-0011</w:t>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44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jc w:val="center"/>
              <w:spacing w:line="44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spacing w:line="44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2026年度高贸区既有建筑网格化隐患排查服务</w:t>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440" w:lineRule="exact"/>
              <w:widowControl w:val="off"/>
              <w:tabs>
                <w:tab w:val="left" w:pos="252"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jc w:val="center"/>
              <w:spacing w:line="44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采购代理机构名称及地址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spacing w:line="44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名称：诚德天工建设咨询（苏州）有限公司</w:t>
            </w:r>
            <w:r/>
          </w:p>
          <w:p>
            <w:pPr>
              <w:spacing w:line="44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地址：苏州市相城区元和街道阳澄湖西路御窑商业街6号楼二楼</w:t>
            </w:r>
            <w:r/>
          </w:p>
          <w:p>
            <w:pPr>
              <w:spacing w:line="44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联系人：陆玲(项目负责人)、郑钰琪、沈青青、邹雅琴、孙清武</w:t>
            </w:r>
            <w:r/>
          </w:p>
          <w:p>
            <w:pPr>
              <w:spacing w:line="44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联系电话：</w:t>
            </w:r>
            <w:r>
              <w:rPr>
                <w:rFonts w:hint="eastAsia" w:ascii="宋体" w:hAnsi="宋体" w:cs="宋体"/>
                <w:color w:val="auto"/>
                <w:sz w:val="21"/>
                <w:highlight w:val="none"/>
              </w:rPr>
              <w:t xml:space="preserve">0512-68557251</w:t>
            </w:r>
            <w:r/>
          </w:p>
        </w:tc>
      </w:tr>
      <w:tr>
        <w:trPr>
          <w:jc w:val="cente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44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jc w:val="center"/>
              <w:spacing w:line="44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采购人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spacing w:line="44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名称：苏州工业园区高端制造与国际贸易区管理委员会（苏州工业园区综合保税区管理办公室）</w:t>
            </w:r>
            <w:r/>
          </w:p>
          <w:p>
            <w:pPr>
              <w:spacing w:line="44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地址：</w:t>
            </w:r>
            <w:r>
              <w:rPr>
                <w:rFonts w:hint="eastAsia"/>
                <w:color w:val="auto"/>
                <w:sz w:val="21"/>
                <w:szCs w:val="21"/>
                <w:highlight w:val="none"/>
              </w:rPr>
              <w:t xml:space="preserve">苏州工业园区现代大道 66 号综合保税大厦</w:t>
            </w:r>
            <w:r/>
          </w:p>
          <w:p>
            <w:pPr>
              <w:spacing w:line="44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联系人：文品涵</w:t>
            </w:r>
            <w:r/>
          </w:p>
          <w:p>
            <w:pPr>
              <w:spacing w:line="44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联系电话：0512-62873207</w:t>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44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jc w:val="center"/>
              <w:spacing w:line="44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spacing w:line="44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详见采购文件第二章</w:t>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44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jc w:val="center"/>
              <w:spacing w:line="44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响应保证金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spacing w:line="440" w:lineRule="exact"/>
              <w:widowControl w:val="off"/>
              <w:rPr>
                <w:rFonts w:ascii="宋体" w:hAnsi="宋体" w:cs="宋体"/>
                <w:color w:val="auto"/>
                <w:sz w:val="21"/>
                <w:szCs w:val="21"/>
                <w:highlight w:val="none"/>
              </w:rPr>
            </w:pPr>
            <w:r>
              <w:rPr>
                <w:rFonts w:hint="eastAsia" w:ascii="宋体" w:hAnsi="宋体" w:cs="宋体"/>
                <w:b/>
                <w:bCs/>
                <w:color w:val="auto"/>
                <w:sz w:val="21"/>
                <w:szCs w:val="21"/>
                <w:highlight w:val="none"/>
              </w:rPr>
              <w:t xml:space="preserve">本项目不收取响应保证金，但须在响应文件中提供响应保证承诺书，格式见采购文件第四章。</w:t>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44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jc w:val="center"/>
              <w:spacing w:line="44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spacing w:line="44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响应文件提交截止之日起六十天（日历日）</w:t>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44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jc w:val="center"/>
              <w:spacing w:line="44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采购文件获取</w:t>
            </w:r>
            <w:r/>
          </w:p>
          <w:p>
            <w:pPr>
              <w:jc w:val="center"/>
              <w:spacing w:line="44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spacing w:line="44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2026年6月4日</w:t>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44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响应文件提交</w:t>
            </w:r>
            <w:r/>
          </w:p>
          <w:p>
            <w:pPr>
              <w:jc w:val="center"/>
              <w:spacing w:line="44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（上传）截止时间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spacing w:line="44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2026年6月8日14点00分（北京时间）</w:t>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44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jc w:val="center"/>
              <w:spacing w:line="44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开启时间</w:t>
            </w:r>
            <w:r/>
          </w:p>
          <w:p>
            <w:pPr>
              <w:jc w:val="center"/>
              <w:spacing w:line="44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spacing w:line="44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2026年</w:t>
            </w:r>
            <w:r>
              <w:rPr>
                <w:rFonts w:hint="eastAsia" w:ascii="宋体" w:hAnsi="宋体" w:cs="宋体"/>
                <w:color w:val="auto"/>
                <w:sz w:val="21"/>
                <w:szCs w:val="21"/>
                <w:highlight w:val="none"/>
              </w:rPr>
              <w:t xml:space="preserve">6月8日</w:t>
            </w:r>
            <w:r>
              <w:rPr>
                <w:rFonts w:hint="eastAsia" w:ascii="宋体" w:hAnsi="宋体" w:cs="宋体"/>
                <w:color w:val="auto"/>
                <w:sz w:val="21"/>
                <w:szCs w:val="21"/>
                <w:highlight w:val="none"/>
              </w:rPr>
              <w:t xml:space="preserve">14点00分（北京时间）</w:t>
            </w:r>
            <w:r/>
          </w:p>
          <w:p>
            <w:pPr>
              <w:spacing w:line="440" w:lineRule="exact"/>
              <w:widowControl w:val="off"/>
              <w:rPr>
                <w:color w:val="auto"/>
                <w:sz w:val="21"/>
                <w:szCs w:val="21"/>
                <w:highlight w:val="none"/>
              </w:rPr>
            </w:pPr>
            <w:r>
              <w:rPr>
                <w:rFonts w:hint="eastAsia" w:ascii="宋体" w:hAnsi="宋体"/>
                <w:color w:val="auto"/>
                <w:sz w:val="21"/>
                <w:szCs w:val="21"/>
                <w:highlight w:val="none"/>
              </w:rPr>
              <w:t xml:space="preserve">“苏采云”系统</w:t>
            </w:r>
            <w:r>
              <w:rPr>
                <w:rFonts w:hint="eastAsia" w:ascii="宋体" w:hAnsi="宋体" w:cs="宋体"/>
                <w:color w:val="auto"/>
                <w:sz w:val="21"/>
                <w:szCs w:val="21"/>
                <w:highlight w:val="none"/>
              </w:rPr>
              <w:t xml:space="preserve">（网址：</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Style w:val="976"/>
                <w:rFonts w:hint="eastAsia" w:ascii="宋体" w:hAnsi="宋体" w:cs="宋体"/>
                <w:color w:val="auto"/>
                <w:sz w:val="21"/>
                <w:szCs w:val="21"/>
                <w:highlight w:val="none"/>
                <w:u w:val="none"/>
              </w:rPr>
              <w:t xml:space="preserve">http://jszfcg.jsczt.cn/）-“开标大厅”</w:t>
            </w:r>
            <w:r>
              <w:rPr>
                <w:rStyle w:val="976"/>
                <w:rFonts w:hint="eastAsia" w:ascii="宋体" w:hAnsi="宋体" w:cs="宋体"/>
                <w:color w:val="auto"/>
                <w:sz w:val="21"/>
                <w:szCs w:val="21"/>
                <w:highlight w:val="none"/>
                <w:u w:val="none"/>
              </w:rPr>
              <w:fldChar w:fldCharType="end"/>
            </w:r>
            <w:r/>
          </w:p>
          <w:p>
            <w:pPr>
              <w:spacing w:line="440" w:lineRule="exact"/>
              <w:widowControl w:val="off"/>
              <w:rPr>
                <w:rFonts w:ascii="宋体" w:hAnsi="宋体" w:cs="宋体"/>
                <w:color w:val="auto"/>
                <w:sz w:val="21"/>
                <w:szCs w:val="21"/>
                <w:highlight w:val="none"/>
              </w:rPr>
            </w:pPr>
            <w:r>
              <w:rPr>
                <w:rFonts w:hint="eastAsia" w:ascii="宋体" w:hAnsi="宋体"/>
                <w:b/>
                <w:color w:val="auto"/>
                <w:sz w:val="21"/>
                <w:szCs w:val="21"/>
                <w:highlight w:val="none"/>
              </w:rPr>
              <w:t xml:space="preserve">本项目为不见面开标项目，开标阶段供应商在【供应商解密】环节必须使用CA证书解密电子响应文件，如在系统规定的解密时间内未能完成解密的视为放弃</w:t>
            </w:r>
            <w:r>
              <w:rPr>
                <w:rFonts w:hint="eastAsia" w:ascii="宋体" w:hAnsi="宋体" w:cs="宋体"/>
                <w:b/>
                <w:bCs/>
                <w:color w:val="auto"/>
                <w:sz w:val="21"/>
                <w:szCs w:val="21"/>
                <w:highlight w:val="none"/>
              </w:rPr>
              <w:t xml:space="preserve">参加本项目采购活动</w:t>
            </w:r>
            <w:r>
              <w:rPr>
                <w:rFonts w:hint="eastAsia" w:ascii="宋体" w:hAnsi="宋体"/>
                <w:b/>
                <w:color w:val="auto"/>
                <w:sz w:val="21"/>
                <w:szCs w:val="21"/>
                <w:highlight w:val="none"/>
              </w:rPr>
              <w:t xml:space="preserve">。</w:t>
            </w:r>
            <w:r/>
          </w:p>
        </w:tc>
      </w:tr>
      <w:tr>
        <w:trPr>
          <w:jc w:val="center"/>
          <w:trHeight w:val="17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44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jc w:val="center"/>
              <w:spacing w:line="44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评审时间</w:t>
            </w:r>
            <w:r/>
          </w:p>
          <w:p>
            <w:pPr>
              <w:jc w:val="center"/>
              <w:spacing w:line="44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spacing w:line="44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2026年</w:t>
            </w:r>
            <w:r>
              <w:rPr>
                <w:rFonts w:hint="eastAsia" w:ascii="宋体" w:hAnsi="宋体" w:cs="宋体"/>
                <w:color w:val="auto"/>
                <w:sz w:val="21"/>
                <w:szCs w:val="21"/>
                <w:highlight w:val="none"/>
              </w:rPr>
              <w:t xml:space="preserve">6月8日</w:t>
            </w:r>
            <w:r>
              <w:rPr>
                <w:rFonts w:hint="eastAsia" w:ascii="宋体" w:hAnsi="宋体" w:cs="宋体"/>
                <w:color w:val="auto"/>
                <w:sz w:val="21"/>
                <w:szCs w:val="21"/>
                <w:highlight w:val="none"/>
              </w:rPr>
              <w:t xml:space="preserve">14点00分（北京时间）</w:t>
            </w:r>
            <w:r/>
          </w:p>
          <w:p>
            <w:pPr>
              <w:spacing w:line="440" w:lineRule="exact"/>
              <w:widowControl w:val="off"/>
              <w:rPr>
                <w:rFonts w:ascii="宋体" w:hAnsi="宋体" w:cs="宋体"/>
                <w:b/>
                <w:bCs/>
                <w:color w:val="auto"/>
                <w:sz w:val="21"/>
                <w:szCs w:val="21"/>
                <w:highlight w:val="none"/>
              </w:rPr>
            </w:pPr>
            <w:r>
              <w:rPr>
                <w:rFonts w:hint="eastAsia"/>
                <w:color w:val="auto"/>
                <w:sz w:val="21"/>
                <w:szCs w:val="21"/>
                <w:highlight w:val="none"/>
              </w:rPr>
              <w:t xml:space="preserve">“苏采云”系统</w:t>
            </w:r>
            <w:r>
              <w:rPr>
                <w:rFonts w:hint="eastAsia" w:ascii="宋体" w:hAnsi="宋体" w:cs="宋体"/>
                <w:color w:val="auto"/>
                <w:sz w:val="21"/>
                <w:szCs w:val="21"/>
                <w:highlight w:val="none"/>
              </w:rPr>
              <w:t xml:space="preserve">（网址：http://jszfcg.jsczt.cn/）</w:t>
            </w:r>
            <w:r/>
          </w:p>
        </w:tc>
      </w:tr>
      <w:tr>
        <w:trPr>
          <w:jc w:val="center"/>
          <w:trHeight w:val="17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44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jc w:val="center"/>
              <w:spacing w:line="44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磋商响应</w:t>
            </w:r>
            <w:r/>
          </w:p>
          <w:p>
            <w:pPr>
              <w:jc w:val="center"/>
              <w:spacing w:line="44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文件要求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spacing w:line="44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本项目采用电子招投标形式，请供应商按照《苏采云系统供应商操作手册》（以下简称“操作手册”）进行制作、上传电子响应文件。</w:t>
            </w:r>
            <w:r/>
          </w:p>
          <w:p>
            <w:pPr>
              <w:spacing w:line="440" w:lineRule="exact"/>
              <w:widowControl w:val="off"/>
              <w:rPr>
                <w:rFonts w:ascii="宋体" w:hAnsi="宋体" w:cs="宋体"/>
                <w:color w:val="auto"/>
                <w:sz w:val="21"/>
                <w:szCs w:val="21"/>
                <w:highlight w:val="none"/>
              </w:rPr>
            </w:pPr>
            <w:r>
              <w:rPr>
                <w:rFonts w:hint="eastAsia" w:ascii="宋体" w:hAnsi="宋体" w:cs="宋体"/>
                <w:b/>
                <w:bCs/>
                <w:color w:val="auto"/>
                <w:sz w:val="21"/>
                <w:szCs w:val="21"/>
                <w:highlight w:val="none"/>
              </w:rPr>
              <w:t xml:space="preserve">电子响应文件制作完成后请于响应文件提交的截止时间前成功上传至“苏采云”系统，否则视为放弃参加本项目采购活动。</w:t>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44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评审方法及评分标准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综合评分法，响应文件满足采购文件全部实质性要求且按照评审因素的量化指标评审得分最高的供应商为排名第一的成交候选供应商的评审方法，详见采购文件第六章。</w:t>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44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本项目不收取履约保证金。</w:t>
            </w:r>
            <w:r/>
          </w:p>
          <w:p>
            <w:pP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tc>
      </w:tr>
      <w:tr>
        <w:trPr>
          <w:jc w:val="center"/>
          <w:trHeight w:val="119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44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jc w:val="center"/>
              <w:spacing w:line="44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成交（未成交）通知书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pStyle w:val="777"/>
              <w:ind w:firstLine="0"/>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确定</w:t>
            </w:r>
            <w:r>
              <w:rPr>
                <w:rFonts w:hint="eastAsia" w:ascii="宋体" w:hAnsi="宋体" w:cs="宋体"/>
                <w:color w:val="auto"/>
                <w:sz w:val="21"/>
                <w:szCs w:val="21"/>
                <w:highlight w:val="none"/>
                <w:lang w:val="en-US"/>
              </w:rPr>
              <w:t xml:space="preserve">成交供应商</w:t>
            </w:r>
            <w:r>
              <w:rPr>
                <w:rFonts w:hint="eastAsia" w:ascii="宋体" w:hAnsi="宋体" w:cs="宋体"/>
                <w:color w:val="auto"/>
                <w:sz w:val="21"/>
                <w:szCs w:val="21"/>
                <w:highlight w:val="none"/>
              </w:rPr>
              <w:t xml:space="preserve">后，采购代理机构在</w:t>
            </w:r>
            <w:r>
              <w:rPr>
                <w:rFonts w:hint="eastAsia" w:ascii="宋体" w:hAnsi="宋体" w:cs="宋体"/>
                <w:color w:val="auto"/>
                <w:sz w:val="21"/>
                <w:szCs w:val="21"/>
                <w:highlight w:val="none"/>
                <w:lang w:val="en-US"/>
              </w:rPr>
              <w:t xml:space="preserve">规定</w:t>
            </w:r>
            <w:r>
              <w:rPr>
                <w:rFonts w:hint="eastAsia" w:ascii="宋体" w:hAnsi="宋体" w:cs="宋体"/>
                <w:color w:val="auto"/>
                <w:sz w:val="21"/>
                <w:szCs w:val="21"/>
                <w:highlight w:val="none"/>
              </w:rPr>
              <w:t xml:space="preserve">时间内向</w:t>
            </w:r>
            <w:r>
              <w:rPr>
                <w:rFonts w:hint="eastAsia" w:ascii="宋体" w:hAnsi="宋体" w:cs="宋体"/>
                <w:color w:val="auto"/>
                <w:sz w:val="21"/>
                <w:szCs w:val="21"/>
                <w:highlight w:val="none"/>
                <w:lang w:val="en-US"/>
              </w:rPr>
              <w:t xml:space="preserve">成交供应商</w:t>
            </w:r>
            <w:r>
              <w:rPr>
                <w:rFonts w:hint="eastAsia" w:ascii="宋体" w:hAnsi="宋体" w:cs="宋体"/>
                <w:color w:val="auto"/>
                <w:sz w:val="21"/>
                <w:szCs w:val="21"/>
                <w:highlight w:val="none"/>
              </w:rPr>
              <w:t xml:space="preserve">发出</w:t>
            </w:r>
            <w:r>
              <w:rPr>
                <w:rFonts w:hint="eastAsia" w:ascii="宋体" w:hAnsi="宋体" w:cs="宋体"/>
                <w:color w:val="auto"/>
                <w:sz w:val="21"/>
                <w:szCs w:val="21"/>
                <w:highlight w:val="none"/>
                <w:lang w:val="en-US"/>
              </w:rPr>
              <w:t xml:space="preserve">成交</w:t>
            </w:r>
            <w:r>
              <w:rPr>
                <w:rFonts w:hint="eastAsia" w:ascii="宋体" w:hAnsi="宋体" w:cs="宋体"/>
                <w:color w:val="auto"/>
                <w:sz w:val="21"/>
                <w:szCs w:val="21"/>
                <w:highlight w:val="none"/>
              </w:rPr>
              <w:t xml:space="preserve">通知书。</w:t>
            </w:r>
            <w:r>
              <w:rPr>
                <w:rFonts w:hint="eastAsia" w:ascii="宋体" w:hAnsi="宋体" w:cs="宋体"/>
                <w:color w:val="auto"/>
                <w:sz w:val="21"/>
                <w:szCs w:val="21"/>
                <w:highlight w:val="none"/>
                <w:lang w:val="en-US"/>
              </w:rPr>
              <w:t xml:space="preserve">成交</w:t>
            </w:r>
            <w:r>
              <w:rPr>
                <w:rFonts w:hint="eastAsia" w:ascii="宋体" w:hAnsi="宋体" w:cs="宋体"/>
                <w:color w:val="auto"/>
                <w:sz w:val="21"/>
                <w:szCs w:val="21"/>
                <w:highlight w:val="none"/>
              </w:rPr>
              <w:t xml:space="preserve">通知书将成为合同的组成部分。</w:t>
            </w:r>
            <w:r/>
          </w:p>
          <w:p>
            <w:pPr>
              <w:pStyle w:val="777"/>
              <w:ind w:firstLine="0"/>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请</w:t>
            </w:r>
            <w:r>
              <w:rPr>
                <w:rFonts w:hint="eastAsia" w:ascii="宋体" w:hAnsi="宋体" w:cs="宋体"/>
                <w:color w:val="auto"/>
                <w:sz w:val="21"/>
                <w:szCs w:val="21"/>
                <w:highlight w:val="none"/>
                <w:lang w:val="en-US"/>
              </w:rPr>
              <w:t xml:space="preserve">成交供应商</w:t>
            </w:r>
            <w:r>
              <w:rPr>
                <w:rFonts w:hint="eastAsia" w:ascii="宋体" w:hAnsi="宋体" w:cs="宋体"/>
                <w:color w:val="auto"/>
                <w:sz w:val="21"/>
                <w:szCs w:val="21"/>
                <w:highlight w:val="none"/>
              </w:rPr>
              <w:t xml:space="preserve">在</w:t>
            </w:r>
            <w:r>
              <w:rPr>
                <w:rFonts w:hint="eastAsia" w:ascii="宋体" w:hAnsi="宋体" w:cs="宋体"/>
                <w:color w:val="auto"/>
                <w:sz w:val="21"/>
                <w:szCs w:val="21"/>
                <w:highlight w:val="none"/>
                <w:lang w:val="en-US"/>
              </w:rPr>
              <w:t xml:space="preserve">成交</w:t>
            </w:r>
            <w:r>
              <w:rPr>
                <w:rFonts w:hint="eastAsia" w:ascii="宋体" w:hAnsi="宋体" w:cs="宋体"/>
                <w:color w:val="auto"/>
                <w:sz w:val="21"/>
                <w:szCs w:val="21"/>
                <w:highlight w:val="none"/>
              </w:rPr>
              <w:t xml:space="preserve">结果公告届满之日起30日内，使用CA证书登录“苏采云”系统及时下载</w:t>
            </w:r>
            <w:r>
              <w:rPr>
                <w:rFonts w:hint="eastAsia" w:ascii="宋体" w:hAnsi="宋体" w:cs="宋体"/>
                <w:color w:val="auto"/>
                <w:sz w:val="21"/>
                <w:szCs w:val="21"/>
                <w:highlight w:val="none"/>
                <w:lang w:val="en-US"/>
              </w:rPr>
              <w:t xml:space="preserve">成交</w:t>
            </w:r>
            <w:r>
              <w:rPr>
                <w:rFonts w:hint="eastAsia" w:ascii="宋体" w:hAnsi="宋体" w:cs="宋体"/>
                <w:color w:val="auto"/>
                <w:sz w:val="21"/>
                <w:szCs w:val="21"/>
                <w:highlight w:val="none"/>
              </w:rPr>
              <w:t xml:space="preserve">通知书。</w:t>
            </w:r>
            <w:r/>
          </w:p>
          <w:p>
            <w:pPr>
              <w:pStyle w:val="777"/>
              <w:ind w:firstLine="0"/>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采购代理机构向未成交供应商以电子邮件形式发放未成交通知书，电子邮箱以供应商提交的磋商响应函中写明的电子邮箱为准，供应商未在磋商响应函中写明电子邮箱的，视为自动放弃获知相关信息权利并自行承担相应后果。</w:t>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widowControl w:val="off"/>
              <w:rPr>
                <w:rFonts w:ascii="宋体" w:hAnsi="宋体" w:cs="宋体"/>
                <w:color w:val="auto"/>
                <w:sz w:val="21"/>
                <w:szCs w:val="21"/>
                <w:highlight w:val="none"/>
              </w:rPr>
            </w:pPr>
            <w:r/>
            <w:bookmarkStart w:id="9" w:name="_Toc57376405"/>
            <w:r/>
            <w:bookmarkStart w:id="10" w:name="_Toc28592"/>
            <w:r/>
            <w:bookmarkStart w:id="11" w:name="_Toc58248879"/>
            <w:r/>
            <w:bookmarkStart w:id="12" w:name="_Toc7166"/>
            <w:r>
              <w:rPr>
                <w:rFonts w:hint="eastAsia" w:ascii="宋体" w:hAnsi="宋体" w:cs="宋体"/>
                <w:color w:val="auto"/>
                <w:sz w:val="21"/>
                <w:szCs w:val="21"/>
                <w:highlight w:val="none"/>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代理服务费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下载成交通知书时由成交供应商向采购代理机构支付代理服务费，具体收费以如下比例按差额定率累进法进行计算，包含在供应商响应总报价中：</w:t>
            </w:r>
            <w:r/>
          </w:p>
          <w:p>
            <w:pP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预算金额100万元以下部分按该部分预算金额的1.5%计算；</w:t>
            </w:r>
            <w:r/>
          </w:p>
          <w:p>
            <w:pP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预算金额100（含）～500万元部分按该部分预算金额的1.1%计算；</w:t>
            </w:r>
            <w:r/>
          </w:p>
          <w:p>
            <w:pP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预算金额500（含）～1000万元部分按该部分预算金额的0.8%计算；</w:t>
            </w:r>
            <w:r/>
          </w:p>
          <w:p>
            <w:pP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预算金额1000（含）～5000万元部分按该部分预算金额的0.5%计算；</w:t>
            </w:r>
            <w:r/>
          </w:p>
          <w:p>
            <w:pP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本项目代理服务费22040元。</w:t>
            </w:r>
            <w:r/>
          </w:p>
          <w:p>
            <w:pP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收款单位：诚德天工建设咨询（苏州）有限公司</w:t>
            </w:r>
            <w:r/>
          </w:p>
          <w:p>
            <w:pP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银行账号：1102170509008156875</w:t>
            </w:r>
            <w:r/>
          </w:p>
          <w:p>
            <w:pP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开户银行：中国工商银行苏州沧浪新城支行</w:t>
            </w:r>
            <w:r/>
          </w:p>
        </w:tc>
      </w:tr>
    </w:tbl>
    <w:p>
      <w:pPr>
        <w:pStyle w:val="966"/>
        <w:jc w:val="center"/>
        <w:spacing w:before="75" w:beforeAutospacing="0" w:after="75" w:afterAutospacing="0"/>
        <w:widowControl w:val="off"/>
        <w:rPr>
          <w:rStyle w:val="933"/>
          <w:rFonts w:hint="default"/>
          <w:color w:val="auto"/>
          <w:sz w:val="32"/>
          <w:szCs w:val="32"/>
          <w:highlight w:val="none"/>
        </w:rPr>
        <w:outlineLvl w:val="0"/>
      </w:pPr>
      <w:r>
        <w:rPr>
          <w:rFonts w:cs="宋体"/>
          <w:color w:val="auto"/>
          <w:szCs w:val="44"/>
          <w:highlight w:val="none"/>
        </w:rPr>
        <w:br w:type="page" w:clear="all"/>
      </w:r>
      <w:bookmarkEnd w:id="9"/>
      <w:r/>
      <w:bookmarkEnd w:id="10"/>
      <w:r/>
      <w:bookmarkEnd w:id="11"/>
      <w:r/>
      <w:bookmarkEnd w:id="12"/>
      <w:r/>
      <w:bookmarkStart w:id="13" w:name="_Toc341"/>
      <w:r/>
      <w:bookmarkStart w:id="14" w:name="_Toc31391"/>
      <w:r/>
      <w:bookmarkStart w:id="15" w:name="_Toc29357"/>
      <w:r>
        <w:rPr>
          <w:rStyle w:val="933"/>
          <w:color w:val="auto"/>
          <w:sz w:val="32"/>
          <w:szCs w:val="32"/>
          <w:highlight w:val="none"/>
        </w:rPr>
        <w:t xml:space="preserve">第一章 磋商采购公告</w:t>
      </w:r>
      <w:bookmarkEnd w:id="13"/>
      <w:r/>
      <w:bookmarkEnd w:id="14"/>
      <w:r/>
      <w:bookmarkEnd w:id="15"/>
      <w:r/>
      <w:r/>
    </w:p>
    <w:p>
      <w:pPr>
        <w:spacing w:line="400" w:lineRule="exact"/>
        <w:widowControl w:val="off"/>
        <w:rPr>
          <w:rFonts w:ascii="宋体" w:hAnsi="宋体" w:cs="宋体"/>
          <w:color w:val="auto"/>
          <w:sz w:val="21"/>
          <w:szCs w:val="21"/>
          <w:highlight w:val="none"/>
        </w:rPr>
        <w:pBdr>
          <w:top w:val="single" w:color="000000" w:sz="4" w:space="1"/>
          <w:left w:val="single" w:color="000000" w:sz="4" w:space="4"/>
          <w:bottom w:val="single" w:color="000000" w:sz="4" w:space="1"/>
          <w:right w:val="single" w:color="000000" w:sz="4" w:space="4"/>
        </w:pBdr>
      </w:pPr>
      <w:r/>
      <w:bookmarkStart w:id="16" w:name="_Hlk16005278"/>
      <w:r>
        <w:rPr>
          <w:rFonts w:hint="eastAsia" w:ascii="宋体" w:hAnsi="宋体" w:cs="宋体"/>
          <w:color w:val="auto"/>
          <w:sz w:val="21"/>
          <w:szCs w:val="21"/>
          <w:highlight w:val="none"/>
        </w:rPr>
        <w:t xml:space="preserve">项目概况</w:t>
      </w:r>
      <w:r/>
    </w:p>
    <w:p>
      <w:pPr>
        <w:ind w:firstLine="420"/>
        <w:spacing w:line="400" w:lineRule="exact"/>
        <w:widowControl w:val="off"/>
        <w:rPr>
          <w:rFonts w:ascii="宋体" w:hAnsi="宋体" w:cs="宋体"/>
          <w:color w:val="auto"/>
          <w:sz w:val="21"/>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1"/>
          <w:szCs w:val="21"/>
          <w:highlight w:val="none"/>
        </w:rPr>
        <w:t xml:space="preserve"> 2026年度高贸区既有建筑网格化隐患排查服务</w:t>
      </w:r>
      <w:r>
        <w:rPr>
          <w:rFonts w:hint="eastAsia" w:ascii="宋体" w:hAnsi="宋体" w:cs="宋体"/>
          <w:color w:val="auto"/>
          <w:sz w:val="21"/>
          <w:szCs w:val="21"/>
          <w:highlight w:val="none"/>
          <w:lang w:eastAsia="zh-CN"/>
        </w:rPr>
        <w:t xml:space="preserve">JSZC-320591-SZCD-C2026-0011</w:t>
      </w:r>
      <w:r>
        <w:rPr>
          <w:rFonts w:hint="eastAsia" w:ascii="宋体" w:hAnsi="宋体" w:cs="宋体"/>
          <w:color w:val="auto"/>
          <w:sz w:val="21"/>
          <w:szCs w:val="21"/>
          <w:highlight w:val="none"/>
        </w:rPr>
        <w:t xml:space="preserve">采购项目的潜在供应商应在</w:t>
      </w:r>
      <w:r>
        <w:rPr>
          <w:rFonts w:hint="eastAsia" w:ascii="宋体" w:hAnsi="宋体" w:cs="宋体"/>
          <w:color w:val="auto"/>
          <w:sz w:val="21"/>
          <w:szCs w:val="21"/>
          <w:highlight w:val="none"/>
          <w:shd w:val="clear" w:color="auto" w:fill="ffffff"/>
        </w:rPr>
        <w:t xml:space="preserve">“苏采云”系统（网址：http://jszfcg.jsczt.cn/）</w:t>
      </w:r>
      <w:r>
        <w:rPr>
          <w:rFonts w:hint="eastAsia" w:ascii="宋体" w:hAnsi="宋体" w:cs="宋体"/>
          <w:color w:val="auto"/>
          <w:sz w:val="21"/>
          <w:szCs w:val="21"/>
          <w:highlight w:val="none"/>
        </w:rPr>
        <w:t xml:space="preserve">获取采购文件，并于2026</w:t>
      </w:r>
      <w:r>
        <w:rPr>
          <w:rFonts w:hint="eastAsia" w:ascii="宋体" w:hAnsi="宋体" w:cs="宋体"/>
          <w:bCs/>
          <w:color w:val="auto"/>
          <w:sz w:val="21"/>
          <w:szCs w:val="21"/>
          <w:highlight w:val="none"/>
        </w:rPr>
        <w:t xml:space="preserve">-06-</w:t>
      </w:r>
      <w:r>
        <w:rPr>
          <w:rFonts w:hint="eastAsia" w:ascii="宋体" w:hAnsi="宋体" w:cs="宋体"/>
          <w:color w:val="auto"/>
          <w:sz w:val="21"/>
          <w:szCs w:val="21"/>
          <w:highlight w:val="none"/>
          <w:shd w:val="clear" w:color="auto" w:fill="ffffff"/>
        </w:rPr>
        <w:t xml:space="preserve">08 14</w:t>
      </w:r>
      <w:r>
        <w:rPr>
          <w:rFonts w:hint="eastAsia" w:ascii="宋体" w:hAnsi="宋体" w:cs="宋体"/>
          <w:bCs/>
          <w:color w:val="auto"/>
          <w:sz w:val="21"/>
          <w:szCs w:val="21"/>
          <w:highlight w:val="none"/>
        </w:rPr>
        <w:t xml:space="preserve">:00（北京时间）前提交响应文件</w:t>
      </w:r>
      <w:r>
        <w:rPr>
          <w:rFonts w:hint="eastAsia" w:ascii="宋体" w:hAnsi="宋体" w:cs="宋体"/>
          <w:color w:val="auto"/>
          <w:sz w:val="21"/>
          <w:szCs w:val="21"/>
          <w:highlight w:val="none"/>
        </w:rPr>
        <w:t xml:space="preserve">。</w:t>
      </w:r>
      <w:bookmarkEnd w:id="16"/>
      <w:r/>
      <w:r/>
    </w:p>
    <w:p>
      <w:pPr>
        <w:spacing w:line="400" w:lineRule="exact"/>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一、项目基本情况</w:t>
      </w:r>
      <w:r/>
    </w:p>
    <w:p>
      <w:pPr>
        <w:ind w:firstLine="420"/>
        <w:spacing w:line="400" w:lineRule="exact"/>
        <w:widowControl w:val="off"/>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项目编号：</w:t>
      </w:r>
      <w:r>
        <w:rPr>
          <w:rFonts w:hint="eastAsia" w:ascii="宋体" w:hAnsi="宋体" w:cs="宋体"/>
          <w:color w:val="auto"/>
          <w:sz w:val="21"/>
          <w:szCs w:val="21"/>
          <w:highlight w:val="none"/>
          <w:lang w:eastAsia="zh-CN"/>
        </w:rPr>
        <w:t xml:space="preserve">JSZC-320591-SZCD-C2026-0011</w:t>
      </w:r>
      <w:r/>
    </w:p>
    <w:p>
      <w:pPr>
        <w:ind w:firstLine="420"/>
        <w:jc w:val="both"/>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项目名称：2026年度高贸区既有建筑网格化隐患排查服务</w:t>
      </w:r>
      <w:r/>
    </w:p>
    <w:p>
      <w:pPr>
        <w:ind w:firstLine="420"/>
        <w:jc w:val="both"/>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采购方式：竞争性磋商 </w:t>
      </w:r>
      <w:r/>
    </w:p>
    <w:p>
      <w:pPr>
        <w:ind w:firstLine="42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预算金额：164.000000万元</w:t>
      </w:r>
      <w:r/>
    </w:p>
    <w:p>
      <w:pPr>
        <w:ind w:firstLine="42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最高限价（如有）：164.000000万元</w:t>
      </w:r>
      <w:r/>
    </w:p>
    <w:p>
      <w:pPr>
        <w:ind w:firstLine="420"/>
        <w:jc w:val="both"/>
        <w:spacing w:line="400" w:lineRule="exact"/>
        <w:widowControl w:val="off"/>
        <w:rPr>
          <w:rFonts w:ascii="宋体" w:hAnsi="宋体" w:cs="宋体"/>
          <w:color w:val="auto"/>
          <w:sz w:val="21"/>
          <w:szCs w:val="21"/>
          <w:highlight w:val="none"/>
        </w:rPr>
      </w:pPr>
      <w:r>
        <w:rPr>
          <w:rFonts w:hint="eastAsia" w:ascii="宋体" w:hAnsi="宋体" w:cs="宋体"/>
          <w:bCs/>
          <w:color w:val="auto"/>
          <w:sz w:val="21"/>
          <w:szCs w:val="21"/>
          <w:highlight w:val="none"/>
        </w:rPr>
        <w:t xml:space="preserve">采购需求：</w:t>
      </w:r>
      <w:bookmarkStart w:id="17" w:name="OLE_LINK17"/>
      <w:r>
        <w:rPr>
          <w:rFonts w:hint="eastAsia" w:ascii="宋体" w:hAnsi="宋体" w:cs="宋体"/>
          <w:bCs/>
          <w:color w:val="auto"/>
          <w:sz w:val="21"/>
          <w:szCs w:val="21"/>
          <w:highlight w:val="none"/>
        </w:rPr>
        <w:t xml:space="preserve">本次工作范围为高贸区辖区内约690宗地块，既有建筑约7300幢，总建筑面积约1885.11万平方米。组建高贸区既有建筑安全监管网格队伍，针对高贸区辖区内工业（集体资产工业除外）及大型商业综合体既有建筑开展安全隐患排查，每半年对辖区内既有建筑全覆盖检查一次，在重大节假日及工作节点配合开展既有建筑领域安全大检查。着力消除既有建筑领域安全隐患。涉及重大隐患建筑及时跟踪整改，确保隐患得到整改闭环。具体详见采购文件。</w:t>
      </w:r>
      <w:bookmarkEnd w:id="17"/>
      <w:r/>
      <w:bookmarkStart w:id="18" w:name="OLE_LINK41"/>
      <w:r/>
      <w:bookmarkEnd w:id="18"/>
      <w:r/>
      <w:bookmarkStart w:id="19" w:name="OLE_LINK56"/>
      <w:r/>
      <w:bookmarkEnd w:id="19"/>
      <w:r/>
      <w:r/>
    </w:p>
    <w:p>
      <w:pPr>
        <w:ind w:firstLine="420"/>
        <w:spacing w:line="400" w:lineRule="exact"/>
        <w:widowControl w:val="off"/>
        <w:rPr>
          <w:rFonts w:ascii="宋体" w:hAnsi="宋体" w:cs="宋体"/>
          <w:color w:val="auto"/>
          <w:sz w:val="21"/>
          <w:szCs w:val="21"/>
          <w:highlight w:val="none"/>
          <w:lang w:val="zh-TW"/>
        </w:rPr>
      </w:pPr>
      <w:r>
        <w:rPr>
          <w:rFonts w:hint="eastAsia" w:ascii="宋体" w:hAnsi="宋体" w:cs="宋体"/>
          <w:color w:val="auto"/>
          <w:sz w:val="21"/>
          <w:szCs w:val="21"/>
          <w:highlight w:val="none"/>
        </w:rPr>
        <w:t xml:space="preserve">合同履行期限：自合同签订生效之日起一年</w:t>
      </w:r>
      <w:r>
        <w:rPr>
          <w:rFonts w:hint="eastAsia" w:ascii="宋体" w:hAnsi="宋体" w:cs="宋体"/>
          <w:color w:val="auto"/>
          <w:sz w:val="21"/>
          <w:szCs w:val="21"/>
          <w:highlight w:val="none"/>
          <w:lang w:val="zh-TW"/>
        </w:rPr>
        <w:t xml:space="preserve"> </w:t>
      </w:r>
      <w:r/>
    </w:p>
    <w:p>
      <w:pPr>
        <w:ind w:firstLine="420"/>
        <w:spacing w:line="400" w:lineRule="exact"/>
        <w:widowControl w:val="off"/>
        <w:rPr>
          <w:rFonts w:ascii="宋体" w:hAnsi="宋体" w:cs="宋体"/>
          <w:color w:val="auto"/>
          <w:sz w:val="21"/>
          <w:szCs w:val="21"/>
          <w:highlight w:val="none"/>
        </w:rPr>
      </w:pPr>
      <w:r/>
      <w:bookmarkStart w:id="20" w:name="_Toc35393630"/>
      <w:r/>
      <w:bookmarkStart w:id="21" w:name="_Toc28359013"/>
      <w:r/>
      <w:bookmarkStart w:id="22" w:name="_Toc28359090"/>
      <w:r/>
      <w:bookmarkStart w:id="23" w:name="_Toc35393799"/>
      <w:r>
        <w:rPr>
          <w:rFonts w:hint="eastAsia" w:ascii="宋体" w:hAnsi="宋体" w:cs="宋体"/>
          <w:color w:val="auto"/>
          <w:sz w:val="21"/>
          <w:szCs w:val="21"/>
          <w:highlight w:val="none"/>
        </w:rPr>
        <w:t xml:space="preserve">本项目（是/否）接受联合体：否</w:t>
      </w:r>
      <w:r/>
    </w:p>
    <w:p>
      <w:pPr>
        <w:spacing w:line="400" w:lineRule="exact"/>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二、申请人的资格要求：</w:t>
      </w:r>
      <w:bookmarkEnd w:id="20"/>
      <w:r/>
      <w:bookmarkEnd w:id="21"/>
      <w:r/>
      <w:bookmarkEnd w:id="22"/>
      <w:r/>
      <w:bookmarkEnd w:id="23"/>
      <w:r/>
      <w:r/>
    </w:p>
    <w:p>
      <w:pPr>
        <w:ind w:firstLine="420"/>
        <w:spacing w:line="400" w:lineRule="exact"/>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（一）满足《中华人民共和国政府采购法》第二十二条规定：</w:t>
      </w:r>
      <w:r/>
    </w:p>
    <w:p>
      <w:pPr>
        <w:ind w:firstLine="42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1.具有独立承担民事责任的能力；</w:t>
      </w:r>
      <w:r/>
    </w:p>
    <w:p>
      <w:pPr>
        <w:ind w:firstLine="42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2.具有良好的商业信誉和健全的财务会计制度；</w:t>
      </w:r>
      <w:r/>
    </w:p>
    <w:p>
      <w:pPr>
        <w:ind w:firstLine="42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3.具有履行合同所必需的设备和专业技术能力；</w:t>
      </w:r>
      <w:r/>
    </w:p>
    <w:p>
      <w:pPr>
        <w:ind w:firstLine="42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4.有依法缴纳税收和社会保障资金的良好记录；</w:t>
      </w:r>
      <w:r/>
    </w:p>
    <w:p>
      <w:pPr>
        <w:ind w:firstLine="42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5.参加政府采购活动前三年内，在经营活动中没有重大违法记录；</w:t>
      </w:r>
      <w:r/>
    </w:p>
    <w:p>
      <w:pPr>
        <w:ind w:firstLine="420"/>
        <w:spacing w:line="400" w:lineRule="exact"/>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6.法律、行政法规规定的其他条件。</w:t>
      </w:r>
      <w:r/>
    </w:p>
    <w:p>
      <w:pPr>
        <w:ind w:firstLine="420"/>
        <w:spacing w:line="400" w:lineRule="exact"/>
        <w:widowControl w:val="off"/>
        <w:rPr>
          <w:rFonts w:ascii="宋体" w:hAnsi="宋体" w:cs="宋体"/>
          <w:color w:val="auto"/>
          <w:sz w:val="21"/>
          <w:szCs w:val="21"/>
          <w:highlight w:val="none"/>
          <w:shd w:val="clear" w:color="auto" w:fill="ffffff"/>
        </w:rPr>
      </w:pPr>
      <w:r>
        <w:rPr>
          <w:rFonts w:hint="eastAsia" w:ascii="宋体" w:hAnsi="宋体" w:cs="宋体"/>
          <w:bCs/>
          <w:color w:val="auto"/>
          <w:sz w:val="21"/>
          <w:szCs w:val="21"/>
          <w:highlight w:val="none"/>
        </w:rPr>
        <w:t xml:space="preserve">（二）落实政府采购政策需满足的资格要求</w:t>
      </w:r>
      <w:r>
        <w:rPr>
          <w:rFonts w:hint="eastAsia" w:ascii="宋体" w:hAnsi="宋体" w:cs="宋体"/>
          <w:bCs/>
          <w:color w:val="auto"/>
          <w:sz w:val="21"/>
          <w:szCs w:val="21"/>
          <w:highlight w:val="none"/>
          <w:lang w:eastAsia="zh-CN"/>
        </w:rPr>
        <w:t xml:space="preserve">：</w:t>
      </w:r>
      <w:bookmarkStart w:id="86" w:name="_GoBack"/>
      <w:r/>
      <w:bookmarkEnd w:id="86"/>
      <w:r>
        <w:rPr>
          <w:rFonts w:hint="eastAsia" w:ascii="宋体" w:hAnsi="宋体" w:cs="宋体"/>
          <w:bCs/>
          <w:color w:val="auto"/>
          <w:sz w:val="21"/>
          <w:szCs w:val="21"/>
          <w:highlight w:val="none"/>
        </w:rPr>
        <w:t xml:space="preserve">根据《政府采购促进中小企业发展管理办法》的相关规定，本项目专门面向中小企业，所属行业为其他未列明行业，供应商应为中小微企业或监狱企业或残疾人福利性单位。</w:t>
      </w:r>
      <w:r/>
    </w:p>
    <w:p>
      <w:pPr>
        <w:ind w:firstLine="420"/>
        <w:spacing w:line="400" w:lineRule="exact"/>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（三）本项目的特定资格要求：</w:t>
      </w:r>
      <w:bookmarkStart w:id="24" w:name="_Toc35393631"/>
      <w:r/>
      <w:bookmarkStart w:id="25" w:name="_Toc35393800"/>
      <w:r/>
      <w:r/>
    </w:p>
    <w:p>
      <w:pPr>
        <w:ind w:firstLine="420"/>
        <w:spacing w:line="400" w:lineRule="exact"/>
        <w:widowControl w:val="off"/>
        <w:rPr>
          <w:rFonts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 xml:space="preserve">1.未被“信用中国”网站（www.creditchina.gov.cn）列入失信被执行人、重大税收违法案件当事人名单、政府采购严重失信行为记录名单。</w:t>
      </w:r>
      <w:r/>
    </w:p>
    <w:p>
      <w:pPr>
        <w:spacing w:line="400" w:lineRule="exact"/>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三、获取采购文件</w:t>
      </w:r>
      <w:bookmarkEnd w:id="24"/>
      <w:r/>
      <w:bookmarkEnd w:id="25"/>
      <w:r/>
      <w:r/>
    </w:p>
    <w:p>
      <w:pPr>
        <w:ind w:firstLine="420"/>
        <w:spacing w:line="400" w:lineRule="exact"/>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时间：</w:t>
      </w:r>
      <w:r>
        <w:rPr>
          <w:rFonts w:hint="eastAsia" w:ascii="宋体" w:hAnsi="宋体" w:cs="宋体"/>
          <w:color w:val="auto"/>
          <w:sz w:val="21"/>
          <w:szCs w:val="21"/>
          <w:highlight w:val="none"/>
          <w:shd w:val="clear" w:color="auto" w:fill="ffffff"/>
        </w:rPr>
        <w:t xml:space="preserve">自磋商文件公告发布之日起5个工作日</w:t>
      </w:r>
      <w:r/>
    </w:p>
    <w:p>
      <w:pPr>
        <w:ind w:firstLine="420"/>
        <w:spacing w:line="400" w:lineRule="exact"/>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地点：“苏采云”系统（网址：http://jszfcg.jsczt.cn/） </w:t>
      </w:r>
      <w:r/>
    </w:p>
    <w:p>
      <w:pPr>
        <w:ind w:firstLine="420"/>
        <w:spacing w:line="400" w:lineRule="exact"/>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方式：供应商在</w:t>
      </w:r>
      <w:r>
        <w:rPr>
          <w:rFonts w:hint="eastAsia" w:ascii="宋体" w:hAnsi="宋体" w:cs="宋体"/>
          <w:color w:val="auto"/>
          <w:sz w:val="21"/>
          <w:szCs w:val="21"/>
          <w:highlight w:val="none"/>
          <w:shd w:val="clear" w:color="auto" w:fill="ffffff"/>
        </w:rPr>
        <w:t xml:space="preserve">“苏采云”系统（网址：http://jszfcg.jsczt.cn/）自行</w:t>
      </w:r>
      <w:r>
        <w:rPr>
          <w:rFonts w:hint="eastAsia" w:ascii="宋体" w:hAnsi="宋体" w:cs="宋体"/>
          <w:bCs/>
          <w:color w:val="auto"/>
          <w:sz w:val="21"/>
          <w:szCs w:val="21"/>
          <w:highlight w:val="none"/>
        </w:rPr>
        <w:t xml:space="preserve">下载 </w:t>
      </w:r>
      <w:r/>
    </w:p>
    <w:p>
      <w:pPr>
        <w:ind w:firstLine="420"/>
        <w:spacing w:line="400" w:lineRule="exact"/>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售价：0.00元 </w:t>
      </w:r>
      <w:r/>
    </w:p>
    <w:p>
      <w:pPr>
        <w:spacing w:line="400" w:lineRule="exact"/>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四、</w:t>
      </w:r>
      <w:bookmarkStart w:id="26" w:name="_Toc28359094"/>
      <w:r/>
      <w:bookmarkStart w:id="27" w:name="_Toc35393634"/>
      <w:r/>
      <w:bookmarkStart w:id="28" w:name="_Toc35393803"/>
      <w:r/>
      <w:bookmarkStart w:id="29" w:name="_Toc28359017"/>
      <w:r>
        <w:rPr>
          <w:rFonts w:hint="eastAsia" w:ascii="宋体" w:hAnsi="宋体" w:cs="宋体"/>
          <w:b/>
          <w:bCs/>
          <w:color w:val="auto"/>
          <w:sz w:val="21"/>
          <w:szCs w:val="21"/>
          <w:highlight w:val="none"/>
        </w:rPr>
        <w:t xml:space="preserve">响应文件提交</w:t>
      </w:r>
      <w:r/>
    </w:p>
    <w:p>
      <w:pPr>
        <w:ind w:firstLine="420"/>
        <w:spacing w:line="400" w:lineRule="exact"/>
        <w:widowControl w:val="off"/>
        <w:rPr>
          <w:rFonts w:ascii="宋体" w:hAnsi="宋体" w:cs="宋体"/>
          <w:bCs/>
          <w:color w:val="auto"/>
          <w:sz w:val="21"/>
          <w:szCs w:val="21"/>
          <w:highlight w:val="none"/>
        </w:rPr>
      </w:pPr>
      <w:r>
        <w:rPr>
          <w:rFonts w:hint="eastAsia" w:ascii="宋体" w:hAnsi="宋体" w:cs="宋体"/>
          <w:color w:val="auto"/>
          <w:sz w:val="21"/>
          <w:szCs w:val="21"/>
          <w:highlight w:val="none"/>
        </w:rPr>
        <w:t xml:space="preserve">截止时间：2026</w:t>
      </w:r>
      <w:r>
        <w:rPr>
          <w:rFonts w:hint="eastAsia" w:ascii="宋体" w:hAnsi="宋体" w:cs="宋体"/>
          <w:bCs/>
          <w:color w:val="auto"/>
          <w:sz w:val="21"/>
          <w:szCs w:val="21"/>
          <w:highlight w:val="none"/>
        </w:rPr>
        <w:t xml:space="preserve">-06</w:t>
      </w:r>
      <w:r>
        <w:rPr>
          <w:rStyle w:val="976"/>
          <w:rFonts w:hint="eastAsia" w:ascii="宋体" w:hAnsi="宋体" w:cs="宋体"/>
          <w:bCs/>
          <w:color w:val="auto"/>
          <w:sz w:val="21"/>
          <w:szCs w:val="21"/>
          <w:highlight w:val="none"/>
          <w:u w:val="none"/>
        </w:rPr>
        <w:t xml:space="preserve">-08</w:t>
      </w:r>
      <w:r>
        <w:rPr>
          <w:rFonts w:hint="eastAsia" w:ascii="宋体" w:hAnsi="宋体" w:cs="宋体"/>
          <w:color w:val="auto"/>
          <w:sz w:val="21"/>
          <w:szCs w:val="21"/>
          <w:highlight w:val="none"/>
          <w:shd w:val="clear" w:color="auto" w:fill="ffffff"/>
        </w:rPr>
        <w:t xml:space="preserve"> 14</w:t>
      </w:r>
      <w:r>
        <w:rPr>
          <w:rFonts w:hint="eastAsia" w:ascii="宋体" w:hAnsi="宋体" w:cs="宋体"/>
          <w:bCs/>
          <w:color w:val="auto"/>
          <w:sz w:val="21"/>
          <w:szCs w:val="21"/>
          <w:highlight w:val="none"/>
        </w:rPr>
        <w:t xml:space="preserve">:00（北京时间）</w:t>
      </w:r>
      <w:r/>
    </w:p>
    <w:p>
      <w:pPr>
        <w:ind w:firstLine="420"/>
        <w:jc w:val="both"/>
        <w:spacing w:line="400" w:lineRule="exact"/>
        <w:widowControl w:val="off"/>
        <w:rPr>
          <w:rFonts w:ascii="宋体" w:hAnsi="宋体" w:cs="宋体"/>
          <w:bCs/>
          <w:color w:val="auto"/>
          <w:sz w:val="21"/>
          <w:szCs w:val="21"/>
          <w:highlight w:val="none"/>
        </w:rPr>
      </w:pPr>
      <w:r>
        <w:rPr>
          <w:rFonts w:hint="eastAsia" w:ascii="宋体" w:hAnsi="宋体" w:cs="宋体"/>
          <w:color w:val="auto"/>
          <w:sz w:val="21"/>
          <w:szCs w:val="21"/>
          <w:highlight w:val="none"/>
          <w:shd w:val="clear" w:color="auto" w:fill="ffffff"/>
        </w:rPr>
        <w:t xml:space="preserve">地点：“苏采云”系统（网址：http://jszfcg.jsczt.cn/） </w:t>
      </w:r>
      <w:bookmarkEnd w:id="26"/>
      <w:r/>
      <w:bookmarkEnd w:id="27"/>
      <w:r/>
      <w:bookmarkEnd w:id="28"/>
      <w:r/>
      <w:bookmarkEnd w:id="29"/>
      <w:r/>
      <w:r/>
    </w:p>
    <w:p>
      <w:pPr>
        <w:spacing w:line="400" w:lineRule="exact"/>
        <w:widowControl w:val="off"/>
        <w:rPr>
          <w:rFonts w:ascii="宋体" w:hAnsi="宋体" w:cs="宋体"/>
          <w:b/>
          <w:bCs/>
          <w:color w:val="auto"/>
          <w:sz w:val="21"/>
          <w:szCs w:val="21"/>
          <w:highlight w:val="none"/>
        </w:rPr>
      </w:pPr>
      <w:r/>
      <w:bookmarkStart w:id="30" w:name="_Toc35393633"/>
      <w:r/>
      <w:bookmarkStart w:id="31" w:name="_Toc35393802"/>
      <w:r/>
      <w:bookmarkStart w:id="32" w:name="_Toc28359093"/>
      <w:r/>
      <w:bookmarkStart w:id="33" w:name="_Toc28359016"/>
      <w:r/>
      <w:bookmarkStart w:id="34" w:name="_Toc35393635"/>
      <w:r/>
      <w:bookmarkStart w:id="35" w:name="_Toc35393804"/>
      <w:r>
        <w:rPr>
          <w:rFonts w:hint="eastAsia" w:ascii="宋体" w:hAnsi="宋体" w:cs="宋体"/>
          <w:b/>
          <w:bCs/>
          <w:color w:val="auto"/>
          <w:sz w:val="21"/>
          <w:szCs w:val="21"/>
          <w:highlight w:val="none"/>
        </w:rPr>
        <w:t xml:space="preserve">五、开启</w:t>
      </w:r>
      <w:bookmarkEnd w:id="30"/>
      <w:r/>
      <w:bookmarkEnd w:id="31"/>
      <w:r/>
      <w:bookmarkEnd w:id="32"/>
      <w:r/>
      <w:bookmarkEnd w:id="33"/>
      <w:r/>
      <w:r/>
    </w:p>
    <w:p>
      <w:pPr>
        <w:ind w:firstLine="420"/>
        <w:spacing w:line="400" w:lineRule="exact"/>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时间：202</w:t>
      </w:r>
      <w:r>
        <w:rPr>
          <w:rFonts w:hint="eastAsia" w:ascii="宋体" w:hAnsi="宋体" w:cs="宋体"/>
          <w:color w:val="auto"/>
          <w:sz w:val="21"/>
          <w:szCs w:val="21"/>
          <w:highlight w:val="none"/>
        </w:rPr>
        <w:t xml:space="preserve">6</w:t>
      </w:r>
      <w:r>
        <w:rPr>
          <w:rFonts w:hint="eastAsia" w:ascii="宋体" w:hAnsi="宋体" w:cs="宋体"/>
          <w:bCs/>
          <w:color w:val="auto"/>
          <w:sz w:val="21"/>
          <w:szCs w:val="21"/>
          <w:highlight w:val="none"/>
        </w:rPr>
        <w:t xml:space="preserve">-06-08</w:t>
      </w:r>
      <w:r>
        <w:rPr>
          <w:rFonts w:hint="eastAsia" w:ascii="宋体" w:hAnsi="宋体" w:cs="宋体"/>
          <w:color w:val="auto"/>
          <w:sz w:val="21"/>
          <w:szCs w:val="21"/>
          <w:highlight w:val="none"/>
          <w:shd w:val="clear" w:color="auto" w:fill="ffffff"/>
        </w:rPr>
        <w:t xml:space="preserve"> 14</w:t>
      </w:r>
      <w:r>
        <w:rPr>
          <w:rFonts w:hint="eastAsia" w:ascii="宋体" w:hAnsi="宋体" w:cs="宋体"/>
          <w:bCs/>
          <w:color w:val="auto"/>
          <w:sz w:val="21"/>
          <w:szCs w:val="21"/>
          <w:highlight w:val="none"/>
        </w:rPr>
        <w:t xml:space="preserve">:00（北京时间）</w:t>
      </w:r>
      <w:r/>
    </w:p>
    <w:p>
      <w:pPr>
        <w:ind w:firstLine="420"/>
        <w:spacing w:line="400" w:lineRule="exact"/>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地点：</w:t>
      </w:r>
      <w:r>
        <w:rPr>
          <w:rFonts w:hint="eastAsia" w:ascii="宋体" w:hAnsi="宋体" w:cs="宋体"/>
          <w:color w:val="auto"/>
          <w:sz w:val="21"/>
          <w:szCs w:val="21"/>
          <w:highlight w:val="none"/>
          <w:shd w:val="clear" w:color="auto" w:fill="ffffff"/>
        </w:rPr>
        <w:t xml:space="preserve">苏州工业园区公共资源交易中心新场地－开标室（三）</w:t>
      </w:r>
      <w:bookmarkEnd w:id="34"/>
      <w:r/>
      <w:bookmarkEnd w:id="35"/>
      <w:r/>
      <w:r/>
    </w:p>
    <w:p>
      <w:pPr>
        <w:spacing w:line="400" w:lineRule="exact"/>
        <w:widowControl w:val="off"/>
        <w:rPr>
          <w:rFonts w:ascii="宋体" w:hAnsi="宋体" w:cs="宋体"/>
          <w:b/>
          <w:bCs/>
          <w:color w:val="auto"/>
          <w:sz w:val="21"/>
          <w:szCs w:val="21"/>
          <w:highlight w:val="none"/>
        </w:rPr>
      </w:pPr>
      <w:r/>
      <w:bookmarkStart w:id="36" w:name="_Toc28359096"/>
      <w:r/>
      <w:bookmarkStart w:id="37" w:name="_Toc28359019"/>
      <w:r/>
      <w:bookmarkStart w:id="38" w:name="_Toc35393806"/>
      <w:r/>
      <w:bookmarkStart w:id="39" w:name="_Toc35393637"/>
      <w:r>
        <w:rPr>
          <w:rFonts w:hint="eastAsia" w:ascii="宋体" w:hAnsi="宋体" w:cs="宋体"/>
          <w:b/>
          <w:bCs/>
          <w:color w:val="auto"/>
          <w:sz w:val="21"/>
          <w:szCs w:val="21"/>
          <w:highlight w:val="none"/>
        </w:rPr>
        <w:t xml:space="preserve">六、公告期限</w:t>
      </w:r>
      <w:r/>
    </w:p>
    <w:p>
      <w:pPr>
        <w:ind w:firstLine="42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自本公告发布之日起3个工作日。</w:t>
      </w:r>
      <w:r/>
    </w:p>
    <w:p>
      <w:pPr>
        <w:spacing w:line="400" w:lineRule="exact"/>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七、其他补充事宜</w:t>
      </w:r>
      <w:r/>
    </w:p>
    <w:p>
      <w:pPr>
        <w:ind w:firstLine="420"/>
        <w:spacing w:line="400" w:lineRule="exact"/>
        <w:widowControl w:val="off"/>
        <w:rPr>
          <w:rFonts w:ascii="宋体" w:hAnsi="宋体" w:cs="宋体"/>
          <w:color w:val="auto"/>
          <w:sz w:val="21"/>
          <w:szCs w:val="21"/>
          <w:highlight w:val="none"/>
        </w:rPr>
      </w:pPr>
      <w:r>
        <w:rPr>
          <w:rFonts w:hint="eastAsia" w:ascii="宋体" w:hAnsi="宋体" w:cs="宋体"/>
          <w:bCs/>
          <w:color w:val="auto"/>
          <w:sz w:val="21"/>
          <w:szCs w:val="21"/>
          <w:highlight w:val="none"/>
        </w:rPr>
        <w:t xml:space="preserve">1.政府采购监管部门</w:t>
      </w:r>
      <w:r>
        <w:rPr>
          <w:rFonts w:hint="eastAsia" w:ascii="宋体" w:hAnsi="宋体" w:cs="宋体"/>
          <w:color w:val="auto"/>
          <w:sz w:val="21"/>
          <w:szCs w:val="21"/>
          <w:highlight w:val="none"/>
        </w:rPr>
        <w:t xml:space="preserve">监督电话：0512-66681110。</w:t>
      </w:r>
      <w:r/>
    </w:p>
    <w:p>
      <w:pPr>
        <w:ind w:firstLine="420"/>
        <w:spacing w:line="400" w:lineRule="exact"/>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2.本次采购的有关信息将</w:t>
      </w:r>
      <w:bookmarkStart w:id="40" w:name="_Hlk162616435"/>
      <w:r>
        <w:rPr>
          <w:rFonts w:hint="eastAsia" w:ascii="宋体" w:hAnsi="宋体" w:cs="宋体"/>
          <w:bCs/>
          <w:color w:val="auto"/>
          <w:sz w:val="21"/>
          <w:szCs w:val="21"/>
          <w:highlight w:val="none"/>
        </w:rPr>
        <w:t xml:space="preserve">在中国政府采购网、江苏政府采购网、</w:t>
      </w:r>
      <w:bookmarkEnd w:id="40"/>
      <w:r>
        <w:rPr>
          <w:rFonts w:hint="eastAsia" w:ascii="宋体" w:hAnsi="宋体" w:cs="宋体"/>
          <w:bCs/>
          <w:color w:val="auto"/>
          <w:sz w:val="21"/>
          <w:szCs w:val="21"/>
          <w:highlight w:val="none"/>
        </w:rPr>
        <w:t xml:space="preserve">苏州市政府采购网上发布，敬请留意</w:t>
      </w:r>
      <w:bookmarkStart w:id="41" w:name="_Toc35393805"/>
      <w:r/>
      <w:bookmarkStart w:id="42" w:name="_Toc28359095"/>
      <w:r/>
      <w:bookmarkStart w:id="43" w:name="_Toc35393636"/>
      <w:r/>
      <w:bookmarkStart w:id="44" w:name="_Toc28359018"/>
      <w:r>
        <w:rPr>
          <w:rFonts w:hint="eastAsia" w:ascii="宋体" w:hAnsi="宋体" w:cs="宋体"/>
          <w:bCs/>
          <w:color w:val="auto"/>
          <w:sz w:val="21"/>
          <w:szCs w:val="21"/>
          <w:highlight w:val="none"/>
        </w:rPr>
        <w:t xml:space="preserve">；有关该采购项目的澄清、修正及成交等信息亦在以上网站发布，敬请留意。</w:t>
      </w:r>
      <w:r/>
    </w:p>
    <w:p>
      <w:pPr>
        <w:ind w:firstLine="420"/>
        <w:spacing w:line="400" w:lineRule="exact"/>
        <w:widowControl w:val="off"/>
        <w:rPr>
          <w:rFonts w:ascii="宋体" w:hAnsi="宋体" w:cs="宋体"/>
          <w:color w:val="auto"/>
          <w:sz w:val="21"/>
          <w:szCs w:val="21"/>
          <w:highlight w:val="none"/>
          <w:u w:val="single"/>
        </w:rPr>
      </w:pPr>
      <w:r>
        <w:rPr>
          <w:rFonts w:hint="eastAsia" w:ascii="宋体" w:hAnsi="宋体" w:cs="宋体"/>
          <w:bCs/>
          <w:color w:val="auto"/>
          <w:sz w:val="21"/>
          <w:szCs w:val="21"/>
          <w:highlight w:val="none"/>
        </w:rPr>
        <w:t xml:space="preserve">3.</w:t>
      </w:r>
      <w:r>
        <w:rPr>
          <w:rFonts w:hint="eastAsia" w:ascii="宋体" w:hAnsi="宋体" w:cs="宋体"/>
          <w:color w:val="auto"/>
          <w:sz w:val="21"/>
          <w:szCs w:val="21"/>
          <w:highlight w:val="none"/>
        </w:rPr>
        <w:t xml:space="preserve">获取采购文件方式：</w:t>
      </w:r>
      <w:r/>
    </w:p>
    <w:p>
      <w:pPr>
        <w:ind w:firstLine="420"/>
        <w:jc w:val="both"/>
        <w:spacing w:line="400" w:lineRule="exact"/>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（1）供应商通过江苏省政府采购一体化平台“苏采云”系统（以下简称“苏采云”系统，网址：http://j</w:t>
      </w:r>
      <w:r>
        <w:rPr>
          <w:rFonts w:hint="eastAsia" w:ascii="宋体" w:hAnsi="宋体" w:cs="宋体"/>
          <w:bCs/>
          <w:color w:val="auto"/>
          <w:sz w:val="21"/>
          <w:szCs w:val="21"/>
          <w:highlight w:val="none"/>
        </w:rPr>
        <w:t xml:space="preserve">szfcg.jsczt.cn/）参与政府采购活动，需办理江苏省电子政务证书认证中心CA证书和方正国际软件（北京）有限公司电子签章。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w:t>
      </w:r>
      <w:r/>
    </w:p>
    <w:p>
      <w:pPr>
        <w:ind w:firstLine="420"/>
        <w:jc w:val="both"/>
        <w:spacing w:line="400" w:lineRule="exact"/>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（2）参与采购活动</w:t>
      </w:r>
      <w:r/>
    </w:p>
    <w:p>
      <w:pPr>
        <w:ind w:firstLine="420"/>
        <w:jc w:val="both"/>
        <w:spacing w:line="400" w:lineRule="exact"/>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供应商插入CA证书登录</w:t>
      </w:r>
      <w:r>
        <w:rPr>
          <w:rFonts w:hint="eastAsia" w:ascii="宋体" w:hAnsi="宋体" w:cs="宋体"/>
          <w:bCs/>
          <w:color w:val="auto"/>
          <w:sz w:val="21"/>
          <w:szCs w:val="21"/>
          <w:highlight w:val="none"/>
          <w:cs/>
        </w:rPr>
        <w:t xml:space="preserve">“</w:t>
      </w:r>
      <w:r>
        <w:rPr>
          <w:rFonts w:hint="eastAsia" w:ascii="宋体" w:hAnsi="宋体" w:cs="宋体"/>
          <w:bCs/>
          <w:color w:val="auto"/>
          <w:sz w:val="21"/>
          <w:szCs w:val="21"/>
          <w:highlight w:val="none"/>
        </w:rPr>
        <w:t xml:space="preserve">苏采云</w:t>
      </w:r>
      <w:r>
        <w:rPr>
          <w:rFonts w:hint="eastAsia" w:ascii="宋体" w:hAnsi="宋体" w:cs="宋体"/>
          <w:bCs/>
          <w:color w:val="auto"/>
          <w:sz w:val="21"/>
          <w:szCs w:val="21"/>
          <w:highlight w:val="none"/>
          <w:cs/>
        </w:rPr>
        <w:t xml:space="preserve">”</w:t>
      </w:r>
      <w:r>
        <w:rPr>
          <w:rFonts w:hint="eastAsia" w:ascii="宋体" w:hAnsi="宋体" w:cs="宋体"/>
          <w:bCs/>
          <w:color w:val="auto"/>
          <w:sz w:val="21"/>
          <w:szCs w:val="21"/>
          <w:highlight w:val="none"/>
        </w:rPr>
        <w:t xml:space="preserve">系统后选择具体项目，点击</w:t>
      </w:r>
      <w:r>
        <w:rPr>
          <w:rFonts w:hint="eastAsia" w:ascii="宋体" w:hAnsi="宋体" w:cs="宋体"/>
          <w:bCs/>
          <w:color w:val="auto"/>
          <w:sz w:val="21"/>
          <w:szCs w:val="21"/>
          <w:highlight w:val="none"/>
          <w:cs/>
        </w:rPr>
        <w:t xml:space="preserve">“</w:t>
      </w:r>
      <w:r>
        <w:rPr>
          <w:rFonts w:hint="eastAsia" w:ascii="宋体" w:hAnsi="宋体" w:cs="宋体"/>
          <w:bCs/>
          <w:color w:val="auto"/>
          <w:sz w:val="21"/>
          <w:szCs w:val="21"/>
          <w:highlight w:val="none"/>
        </w:rPr>
        <w:t xml:space="preserve">我要参与</w:t>
      </w:r>
      <w:r>
        <w:rPr>
          <w:rFonts w:hint="eastAsia" w:ascii="宋体" w:hAnsi="宋体" w:cs="宋体"/>
          <w:bCs/>
          <w:color w:val="auto"/>
          <w:sz w:val="21"/>
          <w:szCs w:val="21"/>
          <w:highlight w:val="none"/>
          <w:cs/>
        </w:rPr>
        <w:t xml:space="preserve">”</w:t>
      </w:r>
      <w:r>
        <w:rPr>
          <w:rFonts w:hint="eastAsia" w:ascii="宋体" w:hAnsi="宋体" w:cs="宋体"/>
          <w:bCs/>
          <w:color w:val="auto"/>
          <w:sz w:val="21"/>
          <w:szCs w:val="21"/>
          <w:highlight w:val="none"/>
        </w:rPr>
        <w:t xml:space="preserve">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20"/>
        <w:jc w:val="both"/>
        <w:spacing w:line="400" w:lineRule="exact"/>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（3）电子投标准备</w:t>
      </w:r>
      <w:r/>
    </w:p>
    <w:p>
      <w:pPr>
        <w:ind w:firstLine="420"/>
        <w:jc w:val="both"/>
        <w:spacing w:line="400" w:lineRule="exact"/>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供应商在</w:t>
      </w:r>
      <w:r>
        <w:rPr>
          <w:rFonts w:hint="eastAsia" w:ascii="宋体" w:hAnsi="宋体" w:cs="宋体"/>
          <w:bCs/>
          <w:color w:val="auto"/>
          <w:sz w:val="21"/>
          <w:szCs w:val="21"/>
          <w:highlight w:val="none"/>
          <w:cs/>
        </w:rPr>
        <w:t xml:space="preserve">“</w:t>
      </w:r>
      <w:r>
        <w:rPr>
          <w:rFonts w:hint="eastAsia" w:ascii="宋体" w:hAnsi="宋体" w:cs="宋体"/>
          <w:bCs/>
          <w:color w:val="auto"/>
          <w:sz w:val="21"/>
          <w:szCs w:val="21"/>
          <w:highlight w:val="none"/>
        </w:rPr>
        <w:t xml:space="preserve">苏采云</w:t>
      </w:r>
      <w:r>
        <w:rPr>
          <w:rFonts w:hint="eastAsia" w:ascii="宋体" w:hAnsi="宋体" w:cs="宋体"/>
          <w:bCs/>
          <w:color w:val="auto"/>
          <w:sz w:val="21"/>
          <w:szCs w:val="21"/>
          <w:highlight w:val="none"/>
          <w:cs/>
        </w:rPr>
        <w:t xml:space="preserve">”</w:t>
      </w:r>
      <w:r>
        <w:rPr>
          <w:rFonts w:hint="eastAsia" w:ascii="宋体" w:hAnsi="宋体" w:cs="宋体"/>
          <w:bCs/>
          <w:color w:val="auto"/>
          <w:sz w:val="21"/>
          <w:szCs w:val="21"/>
          <w:highlight w:val="none"/>
        </w:rPr>
        <w:t xml:space="preserve">系统中操作成功参与项目后，必须在</w:t>
      </w:r>
      <w:r>
        <w:rPr>
          <w:rFonts w:hint="eastAsia" w:ascii="宋体" w:hAnsi="宋体" w:cs="宋体"/>
          <w:bCs/>
          <w:color w:val="auto"/>
          <w:sz w:val="21"/>
          <w:szCs w:val="21"/>
          <w:highlight w:val="none"/>
          <w:cs/>
        </w:rPr>
        <w:t xml:space="preserve">“</w:t>
      </w:r>
      <w:r>
        <w:rPr>
          <w:rFonts w:hint="eastAsia" w:ascii="宋体" w:hAnsi="宋体" w:cs="宋体"/>
          <w:bCs/>
          <w:color w:val="auto"/>
          <w:sz w:val="21"/>
          <w:szCs w:val="21"/>
          <w:highlight w:val="none"/>
        </w:rPr>
        <w:t xml:space="preserve">已参与项目</w:t>
      </w:r>
      <w:r>
        <w:rPr>
          <w:rFonts w:hint="eastAsia" w:ascii="宋体" w:hAnsi="宋体" w:cs="宋体"/>
          <w:bCs/>
          <w:color w:val="auto"/>
          <w:sz w:val="21"/>
          <w:szCs w:val="21"/>
          <w:highlight w:val="none"/>
          <w:cs/>
        </w:rPr>
        <w:t xml:space="preserve">”</w:t>
      </w:r>
      <w:r>
        <w:rPr>
          <w:rFonts w:hint="eastAsia" w:ascii="宋体" w:hAnsi="宋体" w:cs="宋体"/>
          <w:bCs/>
          <w:color w:val="auto"/>
          <w:sz w:val="21"/>
          <w:szCs w:val="21"/>
          <w:highlight w:val="none"/>
        </w:rPr>
        <w:t xml:space="preserve">界面中下载电子采购文件（后缀名为</w:t>
      </w:r>
      <w:r>
        <w:rPr>
          <w:rFonts w:hint="eastAsia" w:ascii="宋体" w:hAnsi="宋体" w:cs="宋体"/>
          <w:bCs/>
          <w:color w:val="auto"/>
          <w:sz w:val="21"/>
          <w:szCs w:val="21"/>
          <w:highlight w:val="none"/>
          <w:cs/>
        </w:rPr>
        <w:t xml:space="preserve">“</w:t>
      </w:r>
      <w:r>
        <w:rPr>
          <w:rFonts w:hint="eastAsia" w:ascii="宋体" w:hAnsi="宋体" w:cs="宋体"/>
          <w:bCs/>
          <w:color w:val="auto"/>
          <w:sz w:val="21"/>
          <w:szCs w:val="21"/>
          <w:highlight w:val="none"/>
        </w:rPr>
        <w:t xml:space="preserve">.kedt”）并导入政府采购客户端工具后方可进行响应文件制作和提交（具体详见《苏采云系统供应商操作手册》，网址链接https://czju.suzhou.gov.cn/zfcg/html/content/20231220161910031.shtml）</w:t>
      </w:r>
      <w:r/>
    </w:p>
    <w:p>
      <w:pPr>
        <w:ind w:firstLine="420"/>
        <w:jc w:val="both"/>
        <w:spacing w:line="400" w:lineRule="exact"/>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在系统操作过程中如有疑问，请按以下方式联系：</w:t>
      </w:r>
      <w:r/>
    </w:p>
    <w:p>
      <w:pPr>
        <w:ind w:firstLine="420"/>
        <w:jc w:val="both"/>
        <w:spacing w:line="400" w:lineRule="exact"/>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注册咨询：18261002950；</w:t>
      </w:r>
      <w:r/>
    </w:p>
    <w:p>
      <w:pPr>
        <w:ind w:firstLine="420"/>
        <w:jc w:val="both"/>
        <w:spacing w:line="400" w:lineRule="exact"/>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政务CA技术咨询服务电话：400-608-6099</w:t>
      </w:r>
      <w:r/>
    </w:p>
    <w:p>
      <w:pPr>
        <w:ind w:firstLine="420"/>
        <w:jc w:val="both"/>
        <w:spacing w:line="400" w:lineRule="exact"/>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方正电子签章使用问题：025-83633811、025-83633812、15380932027、13675197356；</w:t>
      </w:r>
      <w:r/>
    </w:p>
    <w:p>
      <w:pPr>
        <w:ind w:firstLine="420"/>
        <w:jc w:val="both"/>
        <w:spacing w:line="400" w:lineRule="exact"/>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“苏采云”系统使用指导与咨询：联系电话：13914088964、18261002950、0519-86722802；QQ：3048755361、1315179389、895706745；智能客服：登录苏采云系统后，联系系统右下方智能客服图标进行咨询。</w:t>
      </w:r>
      <w:r/>
    </w:p>
    <w:p>
      <w:pPr>
        <w:ind w:firstLine="420"/>
        <w:jc w:val="both"/>
        <w:spacing w:line="400" w:lineRule="exact"/>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4.拒绝下述供应商参加本次采购活动：</w:t>
      </w:r>
      <w:r/>
    </w:p>
    <w:p>
      <w:pPr>
        <w:ind w:firstLine="420"/>
        <w:jc w:val="both"/>
        <w:spacing w:line="400" w:lineRule="exact"/>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（1）供应商单位负责人为同一人或者存在直接控股、管理关系的不同供应商（包含法定代表人为同一个人的两个及两个以上法人，母公司、全资子公司及其控股公司），不得参加同一合同项下的采购活动。</w:t>
      </w:r>
      <w:r/>
    </w:p>
    <w:p>
      <w:pPr>
        <w:ind w:firstLine="420"/>
        <w:jc w:val="both"/>
        <w:spacing w:line="400" w:lineRule="exact"/>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（2）凡为采购项目提供整体设计、规范编制或者项目管理、监理、检测等服务的供应商，不得再参加本项目的采购活动。</w:t>
      </w:r>
      <w:r/>
    </w:p>
    <w:p>
      <w:pPr>
        <w:ind w:firstLine="420"/>
        <w:jc w:val="both"/>
        <w:spacing w:line="400" w:lineRule="exact"/>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（3）拒绝签订本政府采购合同的成交供应商不得参加对该项目重新开展的采购活动。</w:t>
      </w:r>
      <w:r/>
    </w:p>
    <w:p>
      <w:pPr>
        <w:ind w:firstLine="420"/>
        <w:jc w:val="both"/>
        <w:spacing w:line="400" w:lineRule="exact"/>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4）根据政府采购法及相关法规，以及苏州市财政局《关于印发苏州市市级政府采购信用记录查询和使用工作试行办法的通知》（苏财购〔2017〕11号）、〈财政部关于《中华人民共和国政府采购法实施条例》第十九条第一款“较大数额罚款”具体适用问题的意见〉（财库〔2022〕3号）文件的规定，采购代理机构将对供应商进行信用查询。对列入失信被执行人名单、重大税收违法案件当事人名单、政府采购严重违法失信行为记录名单以及其他有关部门、单位认定的不良信用记录的供应商，拒绝其参与政府采购活动。</w:t>
      </w:r>
      <w:r/>
    </w:p>
    <w:p>
      <w:pPr>
        <w:ind w:firstLine="420"/>
        <w:jc w:val="both"/>
        <w:spacing w:line="400" w:lineRule="exact"/>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5.本项目采用电子招投标形式，响应文件网上递交，供应商不需要现场参加采购活动，请供应商按照《苏采云系统供应商操作手册》进行制作、上传电子响应文件。电子响应文件制作完成后请于响应文件提交截止时间前成功上传至</w:t>
      </w:r>
      <w:r>
        <w:rPr>
          <w:rFonts w:hint="eastAsia" w:ascii="宋体" w:hAnsi="宋体" w:cs="宋体"/>
          <w:bCs/>
          <w:color w:val="auto"/>
          <w:sz w:val="21"/>
          <w:szCs w:val="21"/>
          <w:highlight w:val="none"/>
          <w:cs/>
        </w:rPr>
        <w:t xml:space="preserve">“</w:t>
      </w:r>
      <w:r>
        <w:rPr>
          <w:rFonts w:hint="eastAsia" w:ascii="宋体" w:hAnsi="宋体" w:cs="宋体"/>
          <w:bCs/>
          <w:color w:val="auto"/>
          <w:sz w:val="21"/>
          <w:szCs w:val="21"/>
          <w:highlight w:val="none"/>
        </w:rPr>
        <w:t xml:space="preserve">苏采云</w:t>
      </w:r>
      <w:r>
        <w:rPr>
          <w:rFonts w:hint="eastAsia" w:ascii="宋体" w:hAnsi="宋体" w:cs="宋体"/>
          <w:bCs/>
          <w:color w:val="auto"/>
          <w:sz w:val="21"/>
          <w:szCs w:val="21"/>
          <w:highlight w:val="none"/>
          <w:cs/>
        </w:rPr>
        <w:t xml:space="preserve">”</w:t>
      </w:r>
      <w:r>
        <w:rPr>
          <w:rFonts w:hint="eastAsia" w:ascii="宋体" w:hAnsi="宋体" w:cs="宋体"/>
          <w:bCs/>
          <w:color w:val="auto"/>
          <w:sz w:val="21"/>
          <w:szCs w:val="21"/>
          <w:highlight w:val="none"/>
        </w:rPr>
        <w:t xml:space="preserve">系统，否则视为放弃参加该采购项目。</w:t>
      </w:r>
      <w:r>
        <w:rPr>
          <w:rFonts w:hint="eastAsia" w:ascii="宋体" w:hAnsi="宋体" w:cs="宋体"/>
          <w:b/>
          <w:bCs/>
          <w:color w:val="auto"/>
          <w:sz w:val="21"/>
          <w:szCs w:val="21"/>
          <w:highlight w:val="none"/>
        </w:rPr>
        <w:t xml:space="preserve">供应商应充分考虑网络环境、网络带宽等风险因素，如因供应商自身原因造成的电子响应文件上传不成功由供应商自行承担全部责任。</w:t>
      </w:r>
      <w:r/>
    </w:p>
    <w:p>
      <w:pPr>
        <w:ind w:firstLine="420"/>
        <w:jc w:val="both"/>
        <w:spacing w:line="400" w:lineRule="exact"/>
        <w:widowControl w:val="off"/>
        <w:rPr>
          <w:rFonts w:ascii="宋体" w:hAnsi="宋体" w:cs="宋体"/>
          <w:b/>
          <w:bCs/>
          <w:color w:val="auto"/>
          <w:sz w:val="21"/>
          <w:szCs w:val="21"/>
          <w:highlight w:val="none"/>
        </w:rPr>
      </w:pPr>
      <w:r>
        <w:rPr>
          <w:rFonts w:hint="eastAsia" w:ascii="宋体" w:hAnsi="宋体" w:cs="宋体"/>
          <w:bCs/>
          <w:color w:val="auto"/>
          <w:sz w:val="21"/>
          <w:szCs w:val="21"/>
          <w:highlight w:val="none"/>
        </w:rPr>
        <w:t xml:space="preserve">6.线上参加开标（开启）会方式：供应商登录</w:t>
      </w:r>
      <w:r>
        <w:rPr>
          <w:rFonts w:hint="eastAsia" w:ascii="宋体" w:hAnsi="宋体" w:cs="宋体"/>
          <w:bCs/>
          <w:color w:val="auto"/>
          <w:sz w:val="21"/>
          <w:szCs w:val="21"/>
          <w:highlight w:val="none"/>
          <w:cs/>
        </w:rPr>
        <w:t xml:space="preserve">“</w:t>
      </w:r>
      <w:r>
        <w:rPr>
          <w:rFonts w:hint="eastAsia" w:ascii="宋体" w:hAnsi="宋体" w:cs="宋体"/>
          <w:bCs/>
          <w:color w:val="auto"/>
          <w:sz w:val="21"/>
          <w:szCs w:val="21"/>
          <w:highlight w:val="none"/>
        </w:rPr>
        <w:t xml:space="preserve">苏采云</w:t>
      </w:r>
      <w:r>
        <w:rPr>
          <w:rFonts w:hint="eastAsia" w:ascii="宋体" w:hAnsi="宋体" w:cs="宋体"/>
          <w:bCs/>
          <w:color w:val="auto"/>
          <w:sz w:val="21"/>
          <w:szCs w:val="21"/>
          <w:highlight w:val="none"/>
          <w:cs/>
        </w:rPr>
        <w:t xml:space="preserve">”</w:t>
      </w:r>
      <w:r>
        <w:rPr>
          <w:rFonts w:hint="eastAsia" w:ascii="宋体" w:hAnsi="宋体" w:cs="宋体"/>
          <w:bCs/>
          <w:color w:val="auto"/>
          <w:sz w:val="21"/>
          <w:szCs w:val="21"/>
          <w:highlight w:val="none"/>
        </w:rPr>
        <w:t xml:space="preserve">系统在平台首页点击</w:t>
      </w:r>
      <w:r>
        <w:rPr>
          <w:rFonts w:hint="eastAsia" w:ascii="宋体" w:hAnsi="宋体" w:cs="宋体"/>
          <w:bCs/>
          <w:color w:val="auto"/>
          <w:sz w:val="21"/>
          <w:szCs w:val="21"/>
          <w:highlight w:val="none"/>
          <w:cs/>
        </w:rPr>
        <w:t xml:space="preserve">“</w:t>
      </w:r>
      <w:r>
        <w:rPr>
          <w:rFonts w:hint="eastAsia" w:ascii="宋体" w:hAnsi="宋体" w:cs="宋体"/>
          <w:bCs/>
          <w:color w:val="auto"/>
          <w:sz w:val="21"/>
          <w:szCs w:val="21"/>
          <w:highlight w:val="none"/>
        </w:rPr>
        <w:t xml:space="preserve">开标大厅</w:t>
      </w:r>
      <w:r>
        <w:rPr>
          <w:rFonts w:hint="eastAsia" w:ascii="宋体" w:hAnsi="宋体" w:cs="宋体"/>
          <w:bCs/>
          <w:color w:val="auto"/>
          <w:sz w:val="21"/>
          <w:szCs w:val="21"/>
          <w:highlight w:val="none"/>
          <w:cs/>
        </w:rPr>
        <w:t xml:space="preserve">”</w:t>
      </w:r>
      <w:r>
        <w:rPr>
          <w:rFonts w:hint="eastAsia" w:ascii="宋体" w:hAnsi="宋体" w:cs="宋体"/>
          <w:bCs/>
          <w:color w:val="auto"/>
          <w:sz w:val="21"/>
          <w:szCs w:val="21"/>
          <w:highlight w:val="none"/>
        </w:rPr>
        <w:t xml:space="preserve">，进入江苏省政府采购一体化不见面开标（采购）大厅，在今日项目列表，点击项目，进入不见面开标系统。</w:t>
      </w:r>
      <w:r>
        <w:rPr>
          <w:rFonts w:hint="eastAsia" w:ascii="宋体" w:hAnsi="宋体" w:cs="宋体"/>
          <w:b/>
          <w:bCs/>
          <w:color w:val="auto"/>
          <w:sz w:val="21"/>
          <w:szCs w:val="21"/>
          <w:highlight w:val="none"/>
        </w:rPr>
        <w:t xml:space="preserve">本项目为不见面开标项目，开标阶段供应商在【供应商解密】环节必须使用 CA证书解密电子响应文件，如在系统规定的解密时间内（响应文件提交截止时间后30分钟）未能完成解密的视为放弃投标。</w:t>
      </w:r>
      <w:r/>
    </w:p>
    <w:p>
      <w:pPr>
        <w:ind w:firstLine="422"/>
        <w:spacing w:line="400" w:lineRule="exact"/>
        <w:widowControl w:val="off"/>
        <w:rPr>
          <w:rFonts w:ascii="宋体" w:hAnsi="宋体" w:cs="宋体"/>
          <w:bCs/>
          <w:color w:val="auto"/>
          <w:sz w:val="21"/>
          <w:szCs w:val="21"/>
          <w:highlight w:val="none"/>
        </w:rPr>
      </w:pPr>
      <w:r>
        <w:rPr>
          <w:rFonts w:hint="eastAsia" w:ascii="宋体" w:hAnsi="宋体" w:cs="宋体"/>
          <w:b/>
          <w:bCs/>
          <w:color w:val="auto"/>
          <w:sz w:val="21"/>
          <w:szCs w:val="21"/>
          <w:highlight w:val="none"/>
        </w:rPr>
        <w:t xml:space="preserve">请供应商确保电脑、系统及其他设备（视频输入输出设备等）无误，且开标直至项目结束始终保持系统在线状态。</w:t>
      </w:r>
      <w:r/>
    </w:p>
    <w:p>
      <w:pPr>
        <w:pStyle w:val="970"/>
        <w:ind w:left="0" w:firstLine="480"/>
        <w:spacing w:after="0" w:line="400" w:lineRule="exact"/>
        <w:rPr>
          <w:rFonts w:ascii="宋体" w:hAnsi="宋体" w:eastAsia="宋体" w:cs="宋体"/>
          <w:b/>
          <w:color w:val="auto"/>
          <w:sz w:val="21"/>
          <w:szCs w:val="21"/>
          <w:highlight w:val="none"/>
        </w:rPr>
      </w:pPr>
      <w:r>
        <w:rPr>
          <w:rFonts w:hint="eastAsia" w:ascii="宋体" w:hAnsi="宋体" w:eastAsia="宋体" w:cs="宋体"/>
          <w:bCs/>
          <w:color w:val="auto"/>
          <w:sz w:val="21"/>
          <w:szCs w:val="21"/>
          <w:highlight w:val="none"/>
        </w:rPr>
        <w:t xml:space="preserve">7.磋商过程中如有问题采购代理机构工作人员会及时通过在投标确认函模块留存的手机号或磋商响应函留存的手机号（如有）与供应商联系。</w:t>
      </w:r>
      <w:r>
        <w:rPr>
          <w:rFonts w:hint="eastAsia" w:ascii="宋体" w:hAnsi="宋体" w:eastAsia="宋体" w:cs="宋体"/>
          <w:b/>
          <w:color w:val="auto"/>
          <w:sz w:val="21"/>
          <w:szCs w:val="21"/>
          <w:highlight w:val="none"/>
        </w:rPr>
        <w:t xml:space="preserve">请供应商确保系统在线状态且该手机号磋商当日通信畅通，否则导致的不利后果由供应商自行承担。</w:t>
      </w:r>
      <w:r/>
    </w:p>
    <w:p>
      <w:pPr>
        <w:ind w:firstLine="420"/>
        <w:spacing w:line="400" w:lineRule="exact"/>
        <w:widowControl w:val="off"/>
        <w:rPr>
          <w:rFonts w:ascii="宋体" w:hAnsi="宋体" w:cs="宋体"/>
          <w:color w:val="auto"/>
          <w:sz w:val="21"/>
          <w:szCs w:val="21"/>
          <w:highlight w:val="none"/>
          <w:lang w:val="zh-CN"/>
        </w:rPr>
      </w:pPr>
      <w:r>
        <w:rPr>
          <w:rFonts w:hint="eastAsia" w:ascii="宋体" w:hAnsi="宋体" w:cs="宋体"/>
          <w:bCs/>
          <w:color w:val="auto"/>
          <w:sz w:val="21"/>
          <w:szCs w:val="21"/>
          <w:highlight w:val="none"/>
        </w:rPr>
        <w:t xml:space="preserve">8.</w:t>
      </w:r>
      <w:r>
        <w:rPr>
          <w:rFonts w:hint="eastAsia" w:ascii="宋体" w:hAnsi="宋体" w:cs="宋体"/>
          <w:color w:val="auto"/>
          <w:sz w:val="21"/>
          <w:szCs w:val="21"/>
          <w:highlight w:val="none"/>
          <w:lang w:val="zh-CN"/>
        </w:rPr>
        <w:t xml:space="preserve">本项目获取采购文件截止日期之后仍可以下载采购文件，但截止日期之后下载的采购文件，视为非有效方式且不作为供应商权益受到损害的证明材料和依据。</w:t>
      </w:r>
      <w:r/>
    </w:p>
    <w:p>
      <w:pPr>
        <w:spacing w:line="400" w:lineRule="exact"/>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八、凡对本次采购提出询问，请按以下方式联系</w:t>
      </w:r>
      <w:bookmarkEnd w:id="41"/>
      <w:r/>
      <w:bookmarkEnd w:id="42"/>
      <w:r/>
      <w:bookmarkEnd w:id="43"/>
      <w:r/>
      <w:bookmarkEnd w:id="44"/>
      <w:r>
        <w:rPr>
          <w:rFonts w:hint="eastAsia" w:ascii="宋体" w:hAnsi="宋体" w:cs="宋体"/>
          <w:b/>
          <w:bCs/>
          <w:color w:val="auto"/>
          <w:sz w:val="21"/>
          <w:szCs w:val="21"/>
          <w:highlight w:val="none"/>
        </w:rPr>
        <w:t xml:space="preserve">。</w:t>
      </w:r>
      <w:r/>
    </w:p>
    <w:p>
      <w:pPr>
        <w:ind w:firstLine="420"/>
        <w:spacing w:line="400" w:lineRule="exact"/>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1.采购人信息</w:t>
      </w:r>
      <w:bookmarkEnd w:id="36"/>
      <w:r/>
      <w:bookmarkEnd w:id="37"/>
      <w:r/>
      <w:bookmarkEnd w:id="38"/>
      <w:r/>
      <w:bookmarkEnd w:id="39"/>
      <w:r/>
      <w:bookmarkStart w:id="45" w:name="_Toc35393638"/>
      <w:r/>
      <w:bookmarkStart w:id="46" w:name="_Toc35393807"/>
      <w:r/>
      <w:bookmarkStart w:id="47" w:name="_Toc28359020"/>
      <w:r/>
      <w:bookmarkStart w:id="48" w:name="_Toc28359097"/>
      <w:r/>
      <w:r/>
    </w:p>
    <w:p>
      <w:pPr>
        <w:ind w:left="1320" w:hanging="840"/>
        <w:spacing w:line="400" w:lineRule="exact"/>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单位名称：苏州工业园区高端制造与国际贸易区管理委员会（苏州工业园区综合保税区管理办公室）</w:t>
      </w:r>
      <w:r/>
    </w:p>
    <w:p>
      <w:pPr>
        <w:ind w:firstLine="420"/>
        <w:spacing w:line="400" w:lineRule="exact"/>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单位地址：苏州工业园区现代大道 66 号综合保税大厦</w:t>
      </w:r>
      <w:r/>
    </w:p>
    <w:p>
      <w:pPr>
        <w:ind w:firstLine="420"/>
        <w:spacing w:line="400" w:lineRule="exact"/>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联 系 人：文品涵</w:t>
      </w:r>
      <w:r/>
    </w:p>
    <w:p>
      <w:pPr>
        <w:ind w:firstLine="420"/>
        <w:spacing w:line="400" w:lineRule="exact"/>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联系电话：0512-62873207</w:t>
      </w:r>
      <w:r/>
    </w:p>
    <w:p>
      <w:pPr>
        <w:ind w:firstLine="420"/>
        <w:spacing w:line="400" w:lineRule="exact"/>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2.采购代理机构信息</w:t>
      </w:r>
      <w:bookmarkEnd w:id="45"/>
      <w:r/>
      <w:bookmarkEnd w:id="46"/>
      <w:r/>
      <w:bookmarkEnd w:id="47"/>
      <w:r/>
      <w:bookmarkEnd w:id="48"/>
      <w:r/>
      <w:r/>
    </w:p>
    <w:p>
      <w:pPr>
        <w:ind w:firstLine="420"/>
        <w:spacing w:line="400" w:lineRule="exact"/>
        <w:widowControl w:val="off"/>
        <w:rPr>
          <w:rFonts w:ascii="宋体" w:hAnsi="宋体" w:cs="宋体"/>
          <w:bCs/>
          <w:color w:val="auto"/>
          <w:sz w:val="21"/>
          <w:szCs w:val="21"/>
          <w:highlight w:val="none"/>
        </w:rPr>
      </w:pPr>
      <w:r/>
      <w:bookmarkStart w:id="49" w:name="_Toc35393808"/>
      <w:r/>
      <w:bookmarkStart w:id="50" w:name="_Toc28359021"/>
      <w:r/>
      <w:bookmarkStart w:id="51" w:name="_Toc35393639"/>
      <w:r/>
      <w:bookmarkStart w:id="52" w:name="_Toc28359098"/>
      <w:r>
        <w:rPr>
          <w:rFonts w:hint="eastAsia" w:ascii="宋体" w:hAnsi="宋体" w:cs="宋体"/>
          <w:bCs/>
          <w:color w:val="auto"/>
          <w:sz w:val="21"/>
          <w:szCs w:val="21"/>
          <w:highlight w:val="none"/>
        </w:rPr>
        <w:t xml:space="preserve">单位名称：诚德天工建设咨询（苏州）有限公司</w:t>
      </w:r>
      <w:r/>
    </w:p>
    <w:p>
      <w:pPr>
        <w:ind w:firstLine="420"/>
        <w:spacing w:line="400" w:lineRule="exact"/>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单位地址：苏州市相城区元和街道御窑商业街6号楼二楼</w:t>
      </w:r>
      <w:r/>
    </w:p>
    <w:p>
      <w:pPr>
        <w:ind w:firstLine="420"/>
        <w:spacing w:line="400" w:lineRule="exact"/>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联 系 人：陆玲(项目负责人)、郑钰琪、沈青青、邹雅琴、孙清武</w:t>
      </w:r>
      <w:r/>
    </w:p>
    <w:p>
      <w:pPr>
        <w:ind w:firstLine="420"/>
        <w:spacing w:line="400" w:lineRule="exact"/>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联系电话：0512-68557251</w:t>
      </w:r>
      <w:r/>
    </w:p>
    <w:p>
      <w:pPr>
        <w:ind w:firstLine="420"/>
        <w:spacing w:line="400" w:lineRule="exact"/>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3.项目联系方式</w:t>
      </w:r>
      <w:bookmarkEnd w:id="49"/>
      <w:r/>
      <w:bookmarkEnd w:id="50"/>
      <w:r/>
      <w:bookmarkEnd w:id="51"/>
      <w:r/>
      <w:bookmarkEnd w:id="52"/>
      <w:r/>
      <w:r/>
    </w:p>
    <w:p>
      <w:pPr>
        <w:ind w:firstLine="420"/>
        <w:spacing w:line="400" w:lineRule="exact"/>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项目联系人：陆玲(项目负责人)、郑钰琪、沈青青、邹雅琴、孙清武</w:t>
      </w:r>
      <w:r/>
    </w:p>
    <w:p>
      <w:pPr>
        <w:ind w:firstLine="420"/>
        <w:spacing w:line="400" w:lineRule="exact"/>
        <w:widowControl w:val="off"/>
        <w:rPr>
          <w:rFonts w:ascii="宋体" w:hAnsi="宋体" w:cs="宋体"/>
          <w:bCs/>
          <w:color w:val="auto"/>
          <w:sz w:val="21"/>
          <w:szCs w:val="21"/>
          <w:highlight w:val="none"/>
        </w:rPr>
      </w:pPr>
      <w:r>
        <w:rPr>
          <w:rFonts w:hint="eastAsia" w:ascii="宋体" w:hAnsi="宋体" w:cs="宋体"/>
          <w:color w:val="auto"/>
          <w:sz w:val="21"/>
          <w:szCs w:val="21"/>
          <w:highlight w:val="none"/>
        </w:rPr>
        <w:t xml:space="preserve">电　　 话：</w:t>
      </w:r>
      <w:r>
        <w:rPr>
          <w:rFonts w:hint="eastAsia" w:ascii="宋体" w:hAnsi="宋体" w:cs="宋体"/>
          <w:bCs/>
          <w:color w:val="auto"/>
          <w:sz w:val="21"/>
          <w:szCs w:val="21"/>
          <w:highlight w:val="none"/>
        </w:rPr>
        <w:t xml:space="preserve">0512-68557251</w:t>
      </w:r>
      <w:r/>
    </w:p>
    <w:p>
      <w:pPr>
        <w:pStyle w:val="777"/>
        <w:widowControl w:val="off"/>
        <w:rPr>
          <w:rFonts w:ascii="宋体" w:hAnsi="宋体" w:cs="宋体"/>
          <w:bCs/>
          <w:color w:val="auto"/>
          <w:sz w:val="21"/>
          <w:szCs w:val="21"/>
          <w:highlight w:val="none"/>
        </w:rPr>
      </w:pPr>
      <w:r>
        <w:rPr>
          <w:rFonts w:ascii="宋体" w:hAnsi="宋体" w:cs="宋体"/>
          <w:bCs/>
          <w:color w:val="auto"/>
          <w:sz w:val="21"/>
          <w:szCs w:val="21"/>
          <w:highlight w:val="none"/>
        </w:rPr>
      </w:r>
      <w:r/>
    </w:p>
    <w:p>
      <w:pPr>
        <w:pStyle w:val="777"/>
        <w:widowControl w:val="off"/>
        <w:rPr>
          <w:rFonts w:ascii="宋体" w:hAnsi="宋体" w:cs="宋体"/>
          <w:bCs/>
          <w:color w:val="auto"/>
          <w:sz w:val="21"/>
          <w:szCs w:val="21"/>
          <w:highlight w:val="none"/>
        </w:rPr>
      </w:pPr>
      <w:r>
        <w:rPr>
          <w:rFonts w:ascii="宋体" w:hAnsi="宋体" w:cs="宋体"/>
          <w:bCs/>
          <w:color w:val="auto"/>
          <w:sz w:val="21"/>
          <w:szCs w:val="21"/>
          <w:highlight w:val="none"/>
        </w:rPr>
      </w:r>
      <w:r/>
    </w:p>
    <w:p>
      <w:pPr>
        <w:pStyle w:val="777"/>
        <w:widowControl w:val="off"/>
        <w:rPr>
          <w:rFonts w:ascii="宋体" w:hAnsi="宋体" w:cs="宋体"/>
          <w:bCs/>
          <w:color w:val="auto"/>
          <w:sz w:val="21"/>
          <w:szCs w:val="21"/>
          <w:highlight w:val="none"/>
        </w:rPr>
      </w:pPr>
      <w:r>
        <w:rPr>
          <w:rFonts w:ascii="宋体" w:hAnsi="宋体" w:cs="宋体"/>
          <w:bCs/>
          <w:color w:val="auto"/>
          <w:sz w:val="21"/>
          <w:szCs w:val="21"/>
          <w:highlight w:val="none"/>
        </w:rPr>
      </w:r>
      <w:r/>
    </w:p>
    <w:p>
      <w:pPr>
        <w:pStyle w:val="966"/>
        <w:jc w:val="center"/>
        <w:spacing w:before="0" w:beforeAutospacing="0" w:after="0" w:afterAutospacing="0" w:line="400" w:lineRule="exact"/>
        <w:widowControl w:val="off"/>
        <w:rPr>
          <w:rStyle w:val="933"/>
          <w:rFonts w:hint="default"/>
          <w:bCs/>
          <w:color w:val="auto"/>
          <w:sz w:val="32"/>
          <w:szCs w:val="32"/>
          <w:highlight w:val="none"/>
        </w:rPr>
        <w:outlineLvl w:val="0"/>
      </w:pPr>
      <w:r>
        <w:rPr>
          <w:rFonts w:cs="宋体"/>
          <w:b/>
          <w:bCs/>
          <w:color w:val="auto"/>
          <w:sz w:val="21"/>
          <w:szCs w:val="21"/>
          <w:highlight w:val="none"/>
        </w:rPr>
        <w:br w:type="page" w:clear="all"/>
      </w:r>
      <w:bookmarkStart w:id="53" w:name="_Toc19408"/>
      <w:r/>
      <w:bookmarkStart w:id="54" w:name="_Toc22069"/>
      <w:r/>
      <w:bookmarkStart w:id="55" w:name="_Toc32101"/>
      <w:r>
        <w:rPr>
          <w:rStyle w:val="933"/>
          <w:color w:val="auto"/>
          <w:sz w:val="32"/>
          <w:szCs w:val="32"/>
          <w:highlight w:val="none"/>
        </w:rPr>
        <w:t xml:space="preserve">第二章 磋商须知</w:t>
      </w:r>
      <w:bookmarkEnd w:id="53"/>
      <w:r/>
      <w:bookmarkEnd w:id="54"/>
      <w:r/>
      <w:bookmarkEnd w:id="55"/>
      <w:r/>
      <w:r/>
    </w:p>
    <w:p>
      <w:pPr>
        <w:jc w:val="both"/>
        <w:spacing w:line="400" w:lineRule="exact"/>
        <w:widowControl w:val="off"/>
        <w:tabs>
          <w:tab w:val="left" w:pos="8930" w:leader="none"/>
          <w:tab w:val="left" w:pos="9306"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一、说明和释义</w:t>
      </w:r>
      <w:r/>
    </w:p>
    <w:p>
      <w:pPr>
        <w:ind w:firstLine="422"/>
        <w:jc w:val="both"/>
        <w:spacing w:line="400" w:lineRule="exact"/>
        <w:widowControl w:val="off"/>
        <w:tabs>
          <w:tab w:val="left" w:pos="8930" w:leader="none"/>
          <w:tab w:val="left" w:pos="9306"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1.说明</w:t>
      </w:r>
      <w:r/>
    </w:p>
    <w:p>
      <w:pPr>
        <w:ind w:firstLine="420"/>
        <w:jc w:val="both"/>
        <w:spacing w:line="400" w:lineRule="exact"/>
        <w:widowControl w:val="off"/>
        <w:tabs>
          <w:tab w:val="left" w:pos="8930" w:leader="none"/>
          <w:tab w:val="left" w:pos="9306"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1.1本采购文件仅适用于诚德天工建设咨询（苏州）有限公司组织的采购活动。</w:t>
      </w:r>
      <w:r/>
    </w:p>
    <w:p>
      <w:pPr>
        <w:ind w:firstLine="420"/>
        <w:jc w:val="both"/>
        <w:spacing w:line="400" w:lineRule="exact"/>
        <w:widowControl w:val="off"/>
        <w:tabs>
          <w:tab w:val="left" w:pos="8930" w:leader="none"/>
          <w:tab w:val="left" w:pos="9306"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1.2本次采购活动及因本次采购产生的合同受中国法律制约和保护。</w:t>
      </w:r>
      <w:r/>
    </w:p>
    <w:p>
      <w:pPr>
        <w:ind w:firstLine="420"/>
        <w:jc w:val="both"/>
        <w:spacing w:line="400" w:lineRule="exact"/>
        <w:widowControl w:val="off"/>
        <w:tabs>
          <w:tab w:val="left" w:pos="8930" w:leader="none"/>
          <w:tab w:val="left" w:pos="9306"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1.3本采购文件的解释权属于诚德天工建设咨询（苏州）有限公司。</w:t>
      </w:r>
      <w:r/>
    </w:p>
    <w:p>
      <w:pPr>
        <w:ind w:firstLine="422"/>
        <w:jc w:val="both"/>
        <w:spacing w:line="400" w:lineRule="exact"/>
        <w:widowControl w:val="off"/>
        <w:tabs>
          <w:tab w:val="left" w:pos="8930" w:leader="none"/>
          <w:tab w:val="left" w:pos="9306"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2.词语释义</w:t>
      </w:r>
      <w:r/>
    </w:p>
    <w:p>
      <w:pPr>
        <w:ind w:firstLine="420"/>
        <w:jc w:val="both"/>
        <w:spacing w:line="400" w:lineRule="exact"/>
        <w:widowControl w:val="off"/>
        <w:tabs>
          <w:tab w:val="left" w:pos="8930" w:leader="none"/>
          <w:tab w:val="left" w:pos="9306"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2.1采购人：依法进行政府采购的国家机关、事业单位、团体组织。</w:t>
      </w:r>
      <w:r/>
    </w:p>
    <w:p>
      <w:pPr>
        <w:ind w:firstLine="420"/>
        <w:jc w:val="both"/>
        <w:spacing w:line="400" w:lineRule="exact"/>
        <w:widowControl w:val="off"/>
        <w:tabs>
          <w:tab w:val="left" w:pos="8930" w:leader="none"/>
          <w:tab w:val="left" w:pos="9306"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2.2</w:t>
      </w:r>
      <w:r>
        <w:rPr>
          <w:rFonts w:hint="eastAsia" w:ascii="宋体" w:hAnsi="宋体"/>
          <w:color w:val="auto"/>
          <w:sz w:val="21"/>
          <w:szCs w:val="21"/>
          <w:highlight w:val="none"/>
        </w:rPr>
        <w:t xml:space="preserve">采购代理机构：指依法接受采购人委托，从事货物、工程和服务等政府采购代理业务的社会中介机构；本项目的采购代理机构为诚德天工建设咨询（苏州）有限公司。</w:t>
      </w:r>
      <w:r/>
    </w:p>
    <w:p>
      <w:pPr>
        <w:ind w:firstLine="420"/>
        <w:jc w:val="both"/>
        <w:spacing w:line="400" w:lineRule="exact"/>
        <w:widowControl w:val="off"/>
        <w:tabs>
          <w:tab w:val="left" w:pos="8930" w:leader="none"/>
          <w:tab w:val="left" w:pos="9306"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供应商：响应磋商、参加磋商竞争的法人、其他组织或者自然人。</w:t>
      </w:r>
      <w:r/>
    </w:p>
    <w:p>
      <w:pPr>
        <w:ind w:firstLine="420"/>
        <w:jc w:val="both"/>
        <w:spacing w:line="400" w:lineRule="exact"/>
        <w:widowControl w:val="off"/>
        <w:tabs>
          <w:tab w:val="left" w:pos="8930" w:leader="none"/>
          <w:tab w:val="left" w:pos="9306" w:leader="none"/>
        </w:tabs>
        <w:rPr>
          <w:rFonts w:ascii="宋体" w:hAnsi="宋体" w:cs="宋体"/>
          <w:color w:val="auto"/>
          <w:sz w:val="21"/>
          <w:szCs w:val="21"/>
          <w:highlight w:val="none"/>
          <w:shd w:val="clear" w:color="auto" w:fill="ffffff"/>
        </w:rPr>
      </w:pPr>
      <w:r>
        <w:rPr>
          <w:rFonts w:hint="eastAsia" w:ascii="宋体" w:hAnsi="宋体" w:cs="宋体"/>
          <w:color w:val="auto"/>
          <w:sz w:val="21"/>
          <w:szCs w:val="21"/>
          <w:highlight w:val="none"/>
        </w:rPr>
        <w:t xml:space="preserve">2.4</w:t>
      </w:r>
      <w:r>
        <w:rPr>
          <w:rFonts w:hint="eastAsia" w:ascii="宋体" w:hAnsi="宋体" w:cs="宋体"/>
          <w:color w:val="auto"/>
          <w:sz w:val="21"/>
          <w:szCs w:val="21"/>
          <w:highlight w:val="none"/>
          <w:shd w:val="clear" w:color="auto" w:fill="ffffff"/>
        </w:rPr>
        <w:t xml:space="preserve">采购：是指以合同方式有偿取得货物、工程和服务的行为，包括购买、租赁、委托、雇用等。</w:t>
      </w:r>
      <w:r/>
    </w:p>
    <w:p>
      <w:pPr>
        <w:ind w:firstLine="420"/>
        <w:jc w:val="both"/>
        <w:spacing w:line="400" w:lineRule="exact"/>
        <w:widowControl w:val="off"/>
        <w:tabs>
          <w:tab w:val="left" w:pos="8930" w:leader="none"/>
          <w:tab w:val="left" w:pos="9306" w:leader="none"/>
        </w:tabs>
        <w:rPr>
          <w:rFonts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2.5</w:t>
      </w:r>
      <w:r>
        <w:rPr>
          <w:rFonts w:hint="eastAsia" w:ascii="宋体" w:hAnsi="宋体" w:cs="宋体"/>
          <w:color w:val="auto"/>
          <w:sz w:val="21"/>
          <w:szCs w:val="21"/>
          <w:highlight w:val="none"/>
        </w:rPr>
        <w:t xml:space="preserve">响应：供应商根据采购人或采购代理机构发布的采购文件，编制响应文件并按规定参与磋商的行为。</w:t>
      </w:r>
      <w:r/>
    </w:p>
    <w:p>
      <w:pPr>
        <w:ind w:firstLine="420"/>
        <w:jc w:val="both"/>
        <w:spacing w:line="400" w:lineRule="exact"/>
        <w:widowControl w:val="off"/>
        <w:tabs>
          <w:tab w:val="left" w:pos="8930" w:leader="none"/>
          <w:tab w:val="left" w:pos="9306"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2.6合同：采供双方根据采购文件和成交的响应文件及成交通知书规定的内容签署的以书面形式所达成的协议，包括所有的附件、附录和构成协议的所有文件。</w:t>
      </w:r>
      <w:r/>
    </w:p>
    <w:p>
      <w:pPr>
        <w:ind w:firstLine="420"/>
        <w:jc w:val="both"/>
        <w:spacing w:line="400" w:lineRule="exact"/>
        <w:widowControl w:val="off"/>
        <w:tabs>
          <w:tab w:val="left" w:pos="8930" w:leader="none"/>
          <w:tab w:val="left" w:pos="9306" w:leader="none"/>
        </w:tabs>
        <w:rPr>
          <w:rFonts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 xml:space="preserve">2.7甲方（采购人）：合同中明确规定的实际购买货物和服务的法人或其他组织和自然人。</w:t>
      </w:r>
      <w:r/>
    </w:p>
    <w:p>
      <w:pPr>
        <w:ind w:firstLine="420"/>
        <w:jc w:val="both"/>
        <w:spacing w:line="400" w:lineRule="exact"/>
        <w:widowControl w:val="off"/>
        <w:tabs>
          <w:tab w:val="left" w:pos="8930" w:leader="none"/>
          <w:tab w:val="left" w:pos="9306" w:leader="none"/>
        </w:tabs>
        <w:rPr>
          <w:rFonts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 xml:space="preserve">2.8乙方（供应商）：合同中规定的向采购人提供服务的法人或其他组织和自然人。</w:t>
      </w:r>
      <w:r/>
    </w:p>
    <w:p>
      <w:pPr>
        <w:ind w:firstLine="420"/>
        <w:jc w:val="both"/>
        <w:spacing w:line="400" w:lineRule="exact"/>
        <w:widowControl w:val="off"/>
        <w:tabs>
          <w:tab w:val="left" w:pos="8930" w:leader="none"/>
          <w:tab w:val="left" w:pos="9306" w:leader="none"/>
        </w:tabs>
        <w:rPr>
          <w:rFonts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 xml:space="preserve">2.9服务：系指本采购文件规定乙方应承担的合同中规定成交供应商应承担的专业服务等相关义务。</w:t>
      </w:r>
      <w:r/>
    </w:p>
    <w:p>
      <w:pPr>
        <w:ind w:firstLine="420"/>
        <w:jc w:val="both"/>
        <w:spacing w:line="400" w:lineRule="exact"/>
        <w:widowControl w:val="off"/>
        <w:tabs>
          <w:tab w:val="left" w:pos="8930" w:leader="none"/>
          <w:tab w:val="left" w:pos="9306" w:leader="none"/>
        </w:tabs>
        <w:rPr>
          <w:rFonts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 xml:space="preserve">2.10知识产权：指专利权、商标权、著作权等无形财产专有权的统称。</w:t>
      </w:r>
      <w:r/>
    </w:p>
    <w:p>
      <w:pPr>
        <w:ind w:firstLine="420"/>
        <w:jc w:val="both"/>
        <w:spacing w:line="400" w:lineRule="exact"/>
        <w:widowControl w:val="off"/>
        <w:tabs>
          <w:tab w:val="left" w:pos="8930" w:leader="none"/>
          <w:tab w:val="left" w:pos="9306" w:leader="none"/>
        </w:tabs>
        <w:rPr>
          <w:rFonts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 xml:space="preserve">2.11天：日历天。</w:t>
      </w:r>
      <w:r/>
    </w:p>
    <w:p>
      <w:pPr>
        <w:ind w:firstLine="420"/>
        <w:jc w:val="both"/>
        <w:spacing w:line="400" w:lineRule="exact"/>
        <w:widowControl w:val="off"/>
        <w:tabs>
          <w:tab w:val="left" w:pos="8930" w:leader="none"/>
          <w:tab w:val="left" w:pos="9306" w:leader="none"/>
        </w:tabs>
        <w:rPr>
          <w:rFonts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 xml:space="preserve">2.12时间：除特别说明，均指北京时间。</w:t>
      </w:r>
      <w:r/>
    </w:p>
    <w:p>
      <w:pPr>
        <w:ind w:firstLine="420"/>
        <w:jc w:val="both"/>
        <w:spacing w:line="400" w:lineRule="exact"/>
        <w:widowControl w:val="off"/>
        <w:tabs>
          <w:tab w:val="left" w:pos="8930" w:leader="none"/>
          <w:tab w:val="left" w:pos="9306" w:leader="none"/>
        </w:tabs>
        <w:rPr>
          <w:rFonts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 xml:space="preserve">2.13履行地点：合同中明确约定的乙方履行服务的地点。</w:t>
      </w:r>
      <w:r/>
    </w:p>
    <w:p>
      <w:pPr>
        <w:ind w:firstLine="420"/>
        <w:jc w:val="both"/>
        <w:spacing w:line="400" w:lineRule="exact"/>
        <w:widowControl w:val="off"/>
        <w:tabs>
          <w:tab w:val="left" w:pos="8930" w:leader="none"/>
          <w:tab w:val="left" w:pos="9306" w:leader="none"/>
        </w:tabs>
        <w:rPr>
          <w:rFonts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 xml:space="preserve">2.14合同价款：根据合同规定，乙方在正确地履行合同义务后甲方应支付乙方的价款。</w:t>
      </w:r>
      <w:r/>
    </w:p>
    <w:p>
      <w:pPr>
        <w:ind w:firstLine="420"/>
        <w:jc w:val="both"/>
        <w:spacing w:line="400" w:lineRule="exact"/>
        <w:widowControl w:val="off"/>
        <w:tabs>
          <w:tab w:val="left" w:pos="8930" w:leader="none"/>
          <w:tab w:val="left" w:pos="9306" w:leader="none"/>
        </w:tabs>
        <w:rPr>
          <w:rFonts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 xml:space="preserve">2.15不可抗力：不能预见、不能避免并且不能克服的客观情况。</w:t>
      </w:r>
      <w:r/>
    </w:p>
    <w:p>
      <w:pPr>
        <w:ind w:firstLine="420"/>
        <w:jc w:val="both"/>
        <w:spacing w:line="400" w:lineRule="exact"/>
        <w:widowControl w:val="off"/>
        <w:tabs>
          <w:tab w:val="left" w:pos="8930" w:leader="none"/>
          <w:tab w:val="left" w:pos="9306" w:leader="none"/>
        </w:tabs>
        <w:rPr>
          <w:rFonts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 xml:space="preserve">2.16实质响应：满足有关本次采购标的、数量、服务质量、价款或者报酬、履行期限、履行地点和方式、违约责任和解决争议方法等要求。</w:t>
      </w:r>
      <w:r/>
    </w:p>
    <w:p>
      <w:pPr>
        <w:ind w:firstLine="420"/>
        <w:jc w:val="both"/>
        <w:spacing w:line="400" w:lineRule="exact"/>
        <w:widowControl w:val="off"/>
        <w:tabs>
          <w:tab w:val="left" w:pos="8930" w:leader="none"/>
          <w:tab w:val="left" w:pos="9306" w:leader="none"/>
        </w:tabs>
        <w:rPr>
          <w:rFonts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 xml:space="preserve">2.17书面形式：指书面文字、合同书、信件和传真等可以有形地表现所载内容的形式。</w:t>
      </w:r>
      <w:r/>
    </w:p>
    <w:p>
      <w:pPr>
        <w:jc w:val="both"/>
        <w:spacing w:line="400" w:lineRule="exact"/>
        <w:widowControl w:val="off"/>
        <w:tabs>
          <w:tab w:val="left" w:pos="8930" w:leader="none"/>
          <w:tab w:val="left" w:pos="9306"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二、供应商</w:t>
      </w:r>
      <w:r/>
    </w:p>
    <w:p>
      <w:pPr>
        <w:ind w:firstLine="422"/>
        <w:jc w:val="both"/>
        <w:spacing w:line="400" w:lineRule="exact"/>
        <w:widowControl w:val="off"/>
        <w:tabs>
          <w:tab w:val="left" w:pos="8930" w:leader="none"/>
          <w:tab w:val="left" w:pos="9306"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3.合格供应商的资格条件</w:t>
      </w:r>
      <w:r/>
    </w:p>
    <w:p>
      <w:pPr>
        <w:ind w:firstLine="420"/>
        <w:jc w:val="both"/>
        <w:spacing w:line="400" w:lineRule="exact"/>
        <w:widowControl w:val="off"/>
        <w:tabs>
          <w:tab w:val="left" w:pos="8930" w:leader="none"/>
          <w:tab w:val="left" w:pos="9306"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3.1满足《中华人民共和国政府采购法》第二十二条规定：</w:t>
      </w:r>
      <w:r/>
    </w:p>
    <w:p>
      <w:pPr>
        <w:ind w:firstLine="420"/>
        <w:jc w:val="both"/>
        <w:spacing w:line="400" w:lineRule="exact"/>
        <w:widowControl w:val="off"/>
        <w:tabs>
          <w:tab w:val="left" w:pos="8930" w:leader="none"/>
          <w:tab w:val="left" w:pos="9306"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（1）具有独立承担民事责任的能力；</w:t>
      </w:r>
      <w:r/>
    </w:p>
    <w:p>
      <w:pPr>
        <w:ind w:firstLine="420"/>
        <w:jc w:val="both"/>
        <w:spacing w:line="400" w:lineRule="exact"/>
        <w:widowControl w:val="off"/>
        <w:tabs>
          <w:tab w:val="left" w:pos="8930" w:leader="none"/>
          <w:tab w:val="left" w:pos="9306"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（2）具有良好的商业信誉和健全的财务会计制度；</w:t>
      </w:r>
      <w:r/>
    </w:p>
    <w:p>
      <w:pPr>
        <w:ind w:firstLine="420"/>
        <w:jc w:val="both"/>
        <w:spacing w:line="400" w:lineRule="exact"/>
        <w:widowControl w:val="off"/>
        <w:tabs>
          <w:tab w:val="left" w:pos="8930" w:leader="none"/>
          <w:tab w:val="left" w:pos="9306"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（3）具有履行合同所必需的设备和专业技术能力；</w:t>
      </w:r>
      <w:r/>
    </w:p>
    <w:p>
      <w:pPr>
        <w:ind w:firstLine="420"/>
        <w:jc w:val="both"/>
        <w:spacing w:line="400" w:lineRule="exact"/>
        <w:widowControl w:val="off"/>
        <w:tabs>
          <w:tab w:val="left" w:pos="8930" w:leader="none"/>
          <w:tab w:val="left" w:pos="9306"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（4）有依法缴纳税收和社会保障资金的良好记录；</w:t>
      </w:r>
      <w:r/>
    </w:p>
    <w:p>
      <w:pPr>
        <w:ind w:firstLine="420"/>
        <w:jc w:val="both"/>
        <w:spacing w:line="400" w:lineRule="exact"/>
        <w:widowControl w:val="off"/>
        <w:tabs>
          <w:tab w:val="left" w:pos="8930" w:leader="none"/>
          <w:tab w:val="left" w:pos="9306"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（5）参加政府采购活动前三年内，在经营活动中没有重大违法记录；</w:t>
      </w:r>
      <w:r/>
    </w:p>
    <w:p>
      <w:pPr>
        <w:ind w:firstLine="420"/>
        <w:jc w:val="both"/>
        <w:spacing w:line="400" w:lineRule="exact"/>
        <w:widowControl w:val="off"/>
        <w:tabs>
          <w:tab w:val="left" w:pos="8930" w:leader="none"/>
          <w:tab w:val="left" w:pos="9306"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（6）法律、行政法规规定的其他条件。</w:t>
      </w:r>
      <w:r/>
    </w:p>
    <w:p>
      <w:pPr>
        <w:ind w:firstLine="420"/>
        <w:jc w:val="both"/>
        <w:spacing w:line="400" w:lineRule="exact"/>
        <w:widowControl w:val="off"/>
        <w:tabs>
          <w:tab w:val="left" w:pos="8930" w:leader="none"/>
          <w:tab w:val="left" w:pos="9306"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3.2落实政府采购政策需满足的资格要求：根据《政府采购促进中小企业发展管理办法》的相关规定，本项目专门面向中小企业，所属行业为其他未列明行业，供应商应为中小微企业或监狱企业或残疾人福利性单位。</w:t>
      </w:r>
      <w:r/>
    </w:p>
    <w:p>
      <w:pPr>
        <w:ind w:firstLine="420"/>
        <w:jc w:val="both"/>
        <w:spacing w:line="400" w:lineRule="exact"/>
        <w:widowControl w:val="off"/>
        <w:tabs>
          <w:tab w:val="left" w:pos="8930" w:leader="none"/>
          <w:tab w:val="left" w:pos="9306"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3.3本项目的特定资格要求：</w:t>
      </w:r>
      <w:r/>
    </w:p>
    <w:p>
      <w:pPr>
        <w:ind w:firstLine="420"/>
        <w:jc w:val="both"/>
        <w:spacing w:line="400" w:lineRule="exact"/>
        <w:widowControl w:val="off"/>
        <w:tabs>
          <w:tab w:val="left" w:pos="8930" w:leader="none"/>
          <w:tab w:val="left" w:pos="9306"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（1）未被“信用中国”网站（www.creditchina.gov.cn）列入失信被执行人、重大税收违法案件当事人名单、政府采购严重失信行为记录名单。</w:t>
      </w:r>
      <w:r/>
    </w:p>
    <w:p>
      <w:pPr>
        <w:ind w:firstLine="420"/>
        <w:jc w:val="both"/>
        <w:spacing w:line="400" w:lineRule="exact"/>
        <w:widowControl w:val="off"/>
        <w:tabs>
          <w:tab w:val="left" w:pos="8930" w:leader="none"/>
          <w:tab w:val="left" w:pos="9306"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3.4拒绝下述供应商参加本次采购活动：</w:t>
      </w:r>
      <w:r/>
    </w:p>
    <w:p>
      <w:pPr>
        <w:ind w:firstLine="420"/>
        <w:jc w:val="both"/>
        <w:spacing w:line="400" w:lineRule="exact"/>
        <w:widowControl w:val="off"/>
        <w:tabs>
          <w:tab w:val="left" w:pos="8930" w:leader="none"/>
          <w:tab w:val="left" w:pos="9306"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（1）供应商单位负责人为同一人或者存在直接控股、管理关系的不同供应商，不得参加同一合同项下的政府采购活动。</w:t>
      </w:r>
      <w:r/>
    </w:p>
    <w:p>
      <w:pPr>
        <w:ind w:firstLine="420"/>
        <w:jc w:val="both"/>
        <w:spacing w:line="400" w:lineRule="exact"/>
        <w:widowControl w:val="off"/>
        <w:tabs>
          <w:tab w:val="left" w:pos="8930" w:leader="none"/>
          <w:tab w:val="left" w:pos="9306"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（2）凡为采购项目提供整体设计、规范编制或者项目管理、监理、检测等服务的供应商，不得再参加本项目的采购活动。</w:t>
      </w:r>
      <w:r/>
    </w:p>
    <w:p>
      <w:pPr>
        <w:ind w:firstLine="420"/>
        <w:jc w:val="both"/>
        <w:spacing w:line="400" w:lineRule="exact"/>
        <w:widowControl w:val="off"/>
        <w:tabs>
          <w:tab w:val="left" w:pos="8930" w:leader="none"/>
          <w:tab w:val="left" w:pos="9306"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（3）拒绝签订本政府采购合同的成交供应商不得参加对该项目重新开展的采购活动。</w:t>
      </w:r>
      <w:r/>
    </w:p>
    <w:p>
      <w:pPr>
        <w:ind w:firstLine="420"/>
        <w:jc w:val="both"/>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4）根据政府采购法及相关法规，以及苏州市财政局《关于印发苏州市市级政府采购信用记录查询和使用工作试行办法的通知》（苏财购〔2017〕11号）、〈财政部关于《中华人民共和国政府采购法实施条例》第十九条第一款“较大数额罚款”具体适用问题的意见〉（财库〔2022〕3号）文件的规定，采购代理机构将对供应商进行信用查询。对列入失信被执行人名单、重大税收违法案件当事人名单、政府采购严重违法失信行为记录名单以及其他有关部门、单位认定的不良信用记录的供应商，拒绝其参与政府采购活动。</w:t>
      </w:r>
      <w:r/>
    </w:p>
    <w:p>
      <w:pPr>
        <w:ind w:firstLine="422"/>
        <w:jc w:val="both"/>
        <w:spacing w:line="400" w:lineRule="exact"/>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4.供应商代表</w:t>
      </w:r>
      <w:r/>
    </w:p>
    <w:p>
      <w:pPr>
        <w:ind w:firstLine="420"/>
        <w:jc w:val="both"/>
        <w:spacing w:line="400" w:lineRule="exact"/>
        <w:widowControl w:val="off"/>
        <w:tabs>
          <w:tab w:val="left" w:pos="8930" w:leader="none"/>
          <w:tab w:val="left" w:pos="9306"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4.1指全权代表供应商参加磋商采购活动并签署响应文件的人，如果供应商代表不是法定代表人，须持有《法定代表人授权委托书》（详见格式）。 </w:t>
      </w:r>
      <w:r/>
    </w:p>
    <w:p>
      <w:pPr>
        <w:ind w:firstLine="422"/>
        <w:jc w:val="both"/>
        <w:spacing w:line="400" w:lineRule="exact"/>
        <w:widowControl w:val="off"/>
        <w:tabs>
          <w:tab w:val="left" w:pos="8930" w:leader="none"/>
          <w:tab w:val="left" w:pos="9306"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5.磋商费用</w:t>
      </w:r>
      <w:r/>
    </w:p>
    <w:p>
      <w:pPr>
        <w:ind w:firstLine="420"/>
        <w:jc w:val="both"/>
        <w:spacing w:line="400" w:lineRule="exact"/>
        <w:widowControl w:val="off"/>
        <w:tabs>
          <w:tab w:val="left" w:pos="8930" w:leader="none"/>
          <w:tab w:val="left" w:pos="9306"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5.1无论磋商过程中的做法和结果如何，供应商自行承担所有与参加磋商有关的全部费用。</w:t>
      </w:r>
      <w:r/>
    </w:p>
    <w:p>
      <w:pPr>
        <w:jc w:val="both"/>
        <w:spacing w:line="400" w:lineRule="exact"/>
        <w:widowControl w:val="off"/>
        <w:tabs>
          <w:tab w:val="left" w:pos="8930" w:leader="none"/>
          <w:tab w:val="left" w:pos="9306" w:leader="none"/>
        </w:tabs>
        <w:rPr>
          <w:rFonts w:ascii="宋体" w:hAnsi="宋体" w:cs="宋体"/>
          <w:b/>
          <w:color w:val="auto"/>
          <w:sz w:val="21"/>
          <w:szCs w:val="21"/>
          <w:highlight w:val="none"/>
        </w:rPr>
      </w:pPr>
      <w:r>
        <w:rPr>
          <w:rFonts w:hint="eastAsia" w:ascii="宋体" w:hAnsi="宋体" w:cs="宋体"/>
          <w:b/>
          <w:color w:val="auto"/>
          <w:sz w:val="21"/>
          <w:szCs w:val="21"/>
          <w:highlight w:val="none"/>
        </w:rPr>
        <w:t xml:space="preserve">6.联合响应及转包、分包</w:t>
      </w:r>
      <w:r/>
    </w:p>
    <w:p>
      <w:pPr>
        <w:ind w:firstLine="420"/>
        <w:jc w:val="both"/>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6.1本项目不接受联合体响应。</w:t>
      </w:r>
      <w:r/>
    </w:p>
    <w:p>
      <w:pPr>
        <w:ind w:firstLine="420"/>
        <w:jc w:val="both"/>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6.2本项目不接受转包。</w:t>
      </w:r>
      <w:r/>
    </w:p>
    <w:p>
      <w:pPr>
        <w:ind w:firstLine="420"/>
        <w:jc w:val="both"/>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6.3供应商根据采购文件的规定和采购项目的实际情况，拟在成交后将成交项目的非主体、非关键性工作分包的，应当在响应文件中载明分包承担主体，分包承担主体应当具备相应资质条件且不得再次分包。</w:t>
      </w:r>
      <w:r/>
    </w:p>
    <w:p>
      <w:pPr>
        <w:jc w:val="both"/>
        <w:spacing w:line="400" w:lineRule="exact"/>
        <w:widowControl w:val="off"/>
        <w:tabs>
          <w:tab w:val="left" w:pos="8930" w:leader="none"/>
          <w:tab w:val="left" w:pos="9306"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三、采购文件的说明</w:t>
      </w:r>
      <w:r/>
    </w:p>
    <w:p>
      <w:pPr>
        <w:ind w:firstLine="422"/>
        <w:jc w:val="both"/>
        <w:spacing w:line="400" w:lineRule="exact"/>
        <w:widowControl w:val="off"/>
        <w:tabs>
          <w:tab w:val="left" w:pos="8930" w:leader="none"/>
          <w:tab w:val="left" w:pos="9306"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7.采购文件</w:t>
      </w:r>
      <w:r/>
    </w:p>
    <w:p>
      <w:pPr>
        <w:ind w:firstLine="420"/>
        <w:jc w:val="both"/>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7.1供应商获取采购文件后，应仔细检查采购文件的所有内容。供应商同时应认真审阅采购文件中所有的事项、格式、条款和规范要求等，若供应商的响应文件没有按采购文件要求提交全部资料，或响应文件没有对采购文件做出实质性响应，其风险由供应商自行承担，并根据有关条款规定，</w:t>
      </w:r>
      <w:r>
        <w:rPr>
          <w:rFonts w:hint="eastAsia" w:ascii="宋体" w:hAnsi="宋体" w:cs="宋体"/>
          <w:b/>
          <w:bCs/>
          <w:color w:val="auto"/>
          <w:sz w:val="21"/>
          <w:szCs w:val="21"/>
          <w:highlight w:val="none"/>
        </w:rPr>
        <w:t xml:space="preserve">该电子响应文件将被视为未实质性响应采购文件，作无效处理</w:t>
      </w:r>
      <w:r>
        <w:rPr>
          <w:rFonts w:hint="eastAsia" w:ascii="宋体" w:hAnsi="宋体" w:cs="宋体"/>
          <w:color w:val="auto"/>
          <w:sz w:val="21"/>
          <w:szCs w:val="21"/>
          <w:highlight w:val="none"/>
        </w:rPr>
        <w:t xml:space="preserve">。</w:t>
      </w:r>
      <w:r/>
    </w:p>
    <w:p>
      <w:pPr>
        <w:ind w:firstLine="420"/>
        <w:jc w:val="both"/>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7.2采购文件及其补充通知（更正公告）不是直接从财政部门指定的政府采购信息发布媒体上下载获得的，采购人或采购代理机构对采购文件及其补充通知（更正公告）的真实性、完整性不承担任何责任。</w:t>
      </w:r>
      <w:r/>
    </w:p>
    <w:p>
      <w:pPr>
        <w:ind w:firstLine="422"/>
        <w:jc w:val="both"/>
        <w:spacing w:line="400" w:lineRule="exact"/>
        <w:widowControl w:val="off"/>
        <w:rPr>
          <w:rFonts w:ascii="宋体" w:hAnsi="宋体" w:cs="宋体"/>
          <w:b/>
          <w:color w:val="auto"/>
          <w:sz w:val="21"/>
          <w:szCs w:val="21"/>
          <w:highlight w:val="none"/>
        </w:rPr>
      </w:pPr>
      <w:r>
        <w:rPr>
          <w:rFonts w:hint="eastAsia" w:ascii="宋体" w:hAnsi="宋体" w:cs="宋体"/>
          <w:b/>
          <w:color w:val="auto"/>
          <w:sz w:val="21"/>
          <w:szCs w:val="21"/>
          <w:highlight w:val="none"/>
        </w:rPr>
        <w:t xml:space="preserve">8.采购文件的询问、澄清和修改</w:t>
      </w:r>
      <w:r/>
    </w:p>
    <w:p>
      <w:pPr>
        <w:ind w:firstLine="420"/>
        <w:jc w:val="both"/>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8.1采购人或采购代理机构无论出于自己的考虑，还是出于对供应商提问的澄清，均可对采购文件用补充通知（更正公告）的方式进行澄清或者修改，并通过财政部门指定的政府采购信息发布媒体对外进行发布。</w:t>
      </w:r>
      <w:r/>
    </w:p>
    <w:p>
      <w:pPr>
        <w:ind w:firstLine="420"/>
        <w:jc w:val="both"/>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8.2供应商通过“苏采云”系统自行查看拟参加项目的补充通知（更正公告）。补充通知（更正公告）将作为采购文件的组成部分，对所有供应商均具有约束力。</w:t>
      </w:r>
      <w:r/>
    </w:p>
    <w:p>
      <w:pPr>
        <w:ind w:firstLine="420"/>
        <w:jc w:val="both"/>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8.3为使供应商有足够的时间按采购文件的修改要求考虑修正响应文件，或出于其他原因，采购人或采购代理机构有权推迟截止时间和评审时间，并将此变更通知以补充通知（更正公告）的形式对外发布。</w:t>
      </w:r>
      <w:r/>
    </w:p>
    <w:p>
      <w:pPr>
        <w:ind w:firstLine="420"/>
        <w:jc w:val="both"/>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8.4采购文件的澄清、修改、补充等内容均以财政部门指定的政府采购信息发布媒体发布的内容为准。</w:t>
      </w:r>
      <w:r/>
    </w:p>
    <w:p>
      <w:pPr>
        <w:ind w:firstLine="422"/>
        <w:jc w:val="both"/>
        <w:spacing w:line="400" w:lineRule="exact"/>
        <w:widowControl w:val="off"/>
        <w:rPr>
          <w:rFonts w:ascii="宋体" w:hAnsi="宋体" w:cs="宋体"/>
          <w:b/>
          <w:color w:val="auto"/>
          <w:sz w:val="21"/>
          <w:szCs w:val="21"/>
          <w:highlight w:val="none"/>
        </w:rPr>
      </w:pPr>
      <w:r/>
      <w:bookmarkStart w:id="56" w:name="_Toc492294176"/>
      <w:r>
        <w:rPr>
          <w:rFonts w:hint="eastAsia" w:ascii="宋体" w:hAnsi="宋体" w:cs="宋体"/>
          <w:b/>
          <w:color w:val="auto"/>
          <w:sz w:val="21"/>
          <w:szCs w:val="21"/>
          <w:highlight w:val="none"/>
        </w:rPr>
        <w:t xml:space="preserve">9.答疑</w:t>
      </w:r>
      <w:bookmarkEnd w:id="56"/>
      <w:r/>
      <w:r/>
    </w:p>
    <w:p>
      <w:pPr>
        <w:ind w:firstLine="420"/>
        <w:jc w:val="both"/>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9.1勘查现场</w:t>
      </w:r>
      <w:r/>
    </w:p>
    <w:p>
      <w:pPr>
        <w:ind w:firstLine="420"/>
        <w:jc w:val="both"/>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9.1.1根据自身需要，供应商可对有关现场和周围环境进行勘察，以获取编制响应文件和签署合同所需的信息。勘查现场所发生的费用由供应商自己承担。</w:t>
      </w:r>
      <w:r/>
    </w:p>
    <w:p>
      <w:pPr>
        <w:ind w:firstLine="420"/>
        <w:jc w:val="both"/>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9.1.2采购人或采购代理机构向供应商提供的有关现场的资料和数据，是采购人或采购代理机构现有的并认为有可能会被供应商使用的资料。供应商由此而做出的推论、理解和结论，采购人或采购代理机构概不负责。</w:t>
      </w:r>
      <w:r/>
    </w:p>
    <w:p>
      <w:pPr>
        <w:ind w:firstLine="420"/>
        <w:jc w:val="both"/>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9.1.3经采购人允许，供应商可以勘查现场目的进入采购人的项目现场。供应商应自行承担勘查现场所引起的所有风险与责任。供应商不得因勘查现场使采购人承担因他人勘查现场所引起的任何风险与责任，同时不得使采购人、现场设施及附着物蒙受损失，否则须向采购人进行全额赔偿。</w:t>
      </w:r>
      <w:r/>
    </w:p>
    <w:p>
      <w:pPr>
        <w:ind w:firstLine="420"/>
        <w:jc w:val="both"/>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9.1.4供应商应在现场勘查时，熟悉现场及周围交通道路等情况，以获得一切可能影响其参加采购活动的直接资料。供应商成交后，不得以不完全了解现场情况为理由而向采购人或采购代理机构提出任何索赔的要求，对此采购人或采购代理机构不承担任何责任并将不作任何答复与考虑。</w:t>
      </w:r>
      <w:r/>
    </w:p>
    <w:p>
      <w:pPr>
        <w:ind w:firstLine="420"/>
        <w:jc w:val="both"/>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9.2答疑包括采购人或采购代理机构认为可以回答且不会引起供应商误解的相关问题和答复，由于答疑而产生的对采购文件内容的修改，由采购人或采购代理机构按照本须知有关规定，以补充通知（更正公告）的方式发出。</w:t>
      </w:r>
      <w:r/>
    </w:p>
    <w:p>
      <w:pPr>
        <w:pStyle w:val="935"/>
        <w:ind w:firstLine="0"/>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四、响应文件的说明</w:t>
      </w:r>
      <w:r/>
    </w:p>
    <w:p>
      <w:pPr>
        <w:ind w:firstLine="422"/>
        <w:jc w:val="both"/>
        <w:spacing w:line="400" w:lineRule="exact"/>
        <w:widowControl w:val="off"/>
        <w:tabs>
          <w:tab w:val="left" w:pos="8930" w:leader="none"/>
          <w:tab w:val="left" w:pos="9306"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10.提示与要求</w:t>
      </w:r>
      <w:r/>
    </w:p>
    <w:p>
      <w:pPr>
        <w:ind w:firstLine="420"/>
        <w:jc w:val="both"/>
        <w:spacing w:line="400" w:lineRule="exact"/>
        <w:widowControl w:val="off"/>
        <w:tabs>
          <w:tab w:val="left" w:pos="8930" w:leader="none"/>
          <w:tab w:val="left" w:pos="9306"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10.1供应商应仔细阅读采购文件的所有内容，按采购文件的要求提交（上传）响应文件，并保证所提供的全部资料的真实性，以使其对采购文件作出实质性响应，否则，其响应文件可能被作无效处理。</w:t>
      </w:r>
      <w:r/>
    </w:p>
    <w:p>
      <w:pPr>
        <w:ind w:firstLine="420"/>
        <w:jc w:val="both"/>
        <w:spacing w:line="400" w:lineRule="exact"/>
        <w:widowControl w:val="off"/>
        <w:tabs>
          <w:tab w:val="left" w:pos="8930" w:leader="none"/>
          <w:tab w:val="left" w:pos="9306"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10.2无论是否提交（上传）响应文件，供应商都应将采购文件及以后的所有通知、文件等视为保密文件。</w:t>
      </w:r>
      <w:r/>
    </w:p>
    <w:p>
      <w:pPr>
        <w:ind w:firstLine="422"/>
        <w:jc w:val="both"/>
        <w:spacing w:line="400" w:lineRule="exact"/>
        <w:widowControl w:val="off"/>
        <w:tabs>
          <w:tab w:val="left" w:pos="8930" w:leader="none"/>
          <w:tab w:val="left" w:pos="9306"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11.响应文件计量单位和使用文字</w:t>
      </w:r>
      <w:r/>
    </w:p>
    <w:p>
      <w:pPr>
        <w:ind w:firstLine="420"/>
        <w:jc w:val="both"/>
        <w:spacing w:line="400" w:lineRule="exact"/>
        <w:widowControl w:val="off"/>
        <w:tabs>
          <w:tab w:val="left" w:pos="8930" w:leader="none"/>
          <w:tab w:val="left" w:pos="9306"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11.1响应文件中所使用的计量单位，除采购文件中有特殊要求外，均应使用中华人民共和国法定计量单位。</w:t>
      </w:r>
      <w:r/>
    </w:p>
    <w:p>
      <w:pPr>
        <w:pStyle w:val="935"/>
        <w:spacing w:line="400" w:lineRule="exact"/>
        <w:rPr>
          <w:rFonts w:ascii="宋体" w:hAnsi="宋体" w:cs="宋体"/>
          <w:b/>
          <w:color w:val="auto"/>
          <w:szCs w:val="21"/>
          <w:highlight w:val="none"/>
        </w:rPr>
      </w:pPr>
      <w:r>
        <w:rPr>
          <w:rFonts w:hint="eastAsia" w:ascii="宋体" w:hAnsi="宋体" w:cs="宋体"/>
          <w:color w:val="auto"/>
          <w:szCs w:val="21"/>
          <w:highlight w:val="none"/>
        </w:rPr>
        <w:t xml:space="preserve">11.2响应文件应使用中文编制，响应文件中必须使用其他文字的，必须附有中文译本。对于未附有中文译本和中文译本不准确的响应文件可能引起对供应商不利的后果，采购人概不负责。</w:t>
      </w:r>
      <w:r/>
    </w:p>
    <w:p>
      <w:pPr>
        <w:pStyle w:val="935"/>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1</w:t>
      </w:r>
      <w:r>
        <w:rPr>
          <w:rFonts w:ascii="宋体" w:hAnsi="宋体" w:cs="宋体"/>
          <w:b/>
          <w:color w:val="auto"/>
          <w:szCs w:val="21"/>
          <w:highlight w:val="none"/>
        </w:rPr>
        <w:t xml:space="preserve">2.</w:t>
      </w:r>
      <w:r>
        <w:rPr>
          <w:rFonts w:hint="eastAsia" w:ascii="宋体" w:hAnsi="宋体" w:cs="宋体"/>
          <w:b/>
          <w:color w:val="auto"/>
          <w:szCs w:val="21"/>
          <w:highlight w:val="none"/>
        </w:rPr>
        <w:t xml:space="preserve">响应文件的组成（部分格式见第四章，无格式自拟）</w:t>
      </w:r>
      <w:r/>
    </w:p>
    <w:p>
      <w:pPr>
        <w:ind w:firstLine="420"/>
        <w:spacing w:line="400" w:lineRule="exact"/>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12.1封面</w:t>
      </w:r>
      <w:r/>
    </w:p>
    <w:p>
      <w:pPr>
        <w:ind w:firstLine="21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★12.2开标一览表（按苏采云系统要求填报）</w:t>
      </w:r>
      <w:r/>
    </w:p>
    <w:p>
      <w:pPr>
        <w:ind w:firstLine="21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★12.3</w:t>
      </w:r>
      <w:bookmarkStart w:id="57" w:name="OLE_LINK13"/>
      <w:r>
        <w:rPr>
          <w:rFonts w:hint="eastAsia" w:ascii="宋体" w:hAnsi="宋体" w:cs="宋体"/>
          <w:color w:val="auto"/>
          <w:sz w:val="21"/>
          <w:szCs w:val="21"/>
          <w:highlight w:val="none"/>
        </w:rPr>
        <w:t xml:space="preserve">报价明细表</w:t>
      </w:r>
      <w:bookmarkEnd w:id="57"/>
      <w:r/>
      <w:r/>
    </w:p>
    <w:p>
      <w:pPr>
        <w:ind w:firstLine="210"/>
        <w:spacing w:line="400" w:lineRule="exact"/>
        <w:widowControl w:val="off"/>
        <w:rPr>
          <w:rFonts w:ascii="宋体" w:hAnsi="宋体" w:cs="宋体"/>
          <w:b/>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b/>
          <w:color w:val="auto"/>
          <w:sz w:val="21"/>
          <w:szCs w:val="21"/>
          <w:highlight w:val="none"/>
        </w:rPr>
        <w:t xml:space="preserve">12.4资格审查响应文件</w:t>
      </w:r>
      <w:r/>
    </w:p>
    <w:p>
      <w:pPr>
        <w:pStyle w:val="935"/>
        <w:spacing w:line="400" w:lineRule="exact"/>
        <w:tabs>
          <w:tab w:val="left" w:pos="0"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12.4.1满足《中华人民共和国政府采购法》第二十二条规定的证明材料：</w:t>
      </w:r>
      <w:r/>
    </w:p>
    <w:p>
      <w:pPr>
        <w:pStyle w:val="966"/>
        <w:ind w:firstLine="420"/>
        <w:spacing w:before="0" w:beforeAutospacing="0" w:after="0" w:afterAutospacing="0" w:line="400" w:lineRule="exact"/>
        <w:widowControl w:val="off"/>
        <w:rPr>
          <w:rFonts w:hint="default" w:cs="宋体"/>
          <w:color w:val="auto"/>
          <w:sz w:val="21"/>
          <w:szCs w:val="21"/>
          <w:highlight w:val="none"/>
        </w:rPr>
      </w:pPr>
      <w:r>
        <w:rPr>
          <w:rFonts w:cs="宋体"/>
          <w:color w:val="auto"/>
          <w:sz w:val="21"/>
          <w:szCs w:val="21"/>
          <w:highlight w:val="none"/>
        </w:rPr>
        <w:t xml:space="preserve">（1）具有独立承担民事责任的能力证明：提供法人或者其他组织的营业执照等证明文件，自然人的身份证明；</w:t>
      </w:r>
      <w:r/>
    </w:p>
    <w:p>
      <w:pPr>
        <w:pStyle w:val="966"/>
        <w:ind w:firstLine="420"/>
        <w:spacing w:before="0" w:beforeAutospacing="0" w:after="0" w:afterAutospacing="0" w:line="400" w:lineRule="exact"/>
        <w:widowControl w:val="off"/>
        <w:rPr>
          <w:rFonts w:hint="default" w:cs="宋体"/>
          <w:color w:val="auto"/>
          <w:sz w:val="21"/>
          <w:szCs w:val="21"/>
          <w:highlight w:val="none"/>
        </w:rPr>
      </w:pPr>
      <w:r>
        <w:rPr>
          <w:rFonts w:cs="宋体"/>
          <w:color w:val="auto"/>
          <w:sz w:val="21"/>
          <w:szCs w:val="21"/>
          <w:highlight w:val="none"/>
        </w:rPr>
        <w:t xml:space="preserve">（2）具有良好的商业信誉和健全的财务会计制度证明</w:t>
      </w:r>
      <w:r>
        <w:rPr>
          <w:rFonts w:cs="宋体"/>
          <w:b/>
          <w:color w:val="auto"/>
          <w:sz w:val="21"/>
          <w:szCs w:val="21"/>
          <w:highlight w:val="none"/>
        </w:rPr>
        <w:t xml:space="preserve">：</w:t>
      </w:r>
      <w:r>
        <w:rPr>
          <w:rFonts w:cs="宋体"/>
          <w:color w:val="auto"/>
          <w:sz w:val="21"/>
          <w:szCs w:val="21"/>
          <w:highlight w:val="none"/>
        </w:rPr>
        <w:t xml:space="preserve">提供最近一期经审计的财务报告，其他组织、自然人及成立未满一年的法人应提供银行出具的资信证明；</w:t>
      </w:r>
      <w:r/>
    </w:p>
    <w:p>
      <w:pPr>
        <w:pStyle w:val="966"/>
        <w:ind w:firstLine="420"/>
        <w:spacing w:before="0" w:beforeAutospacing="0" w:after="0" w:afterAutospacing="0" w:line="400" w:lineRule="exact"/>
        <w:widowControl w:val="off"/>
        <w:rPr>
          <w:rFonts w:hint="default" w:cs="宋体"/>
          <w:color w:val="auto"/>
          <w:sz w:val="21"/>
          <w:szCs w:val="21"/>
          <w:highlight w:val="none"/>
        </w:rPr>
      </w:pPr>
      <w:r>
        <w:rPr>
          <w:rFonts w:cs="宋体"/>
          <w:color w:val="auto"/>
          <w:sz w:val="21"/>
          <w:szCs w:val="21"/>
          <w:highlight w:val="none"/>
        </w:rPr>
        <w:t xml:space="preserve">（3）履行合同所必需的设备和专业技术能力的证明材料：根据供应商的实际情况提供明细清单或承诺书；</w:t>
      </w:r>
      <w:r/>
    </w:p>
    <w:p>
      <w:pPr>
        <w:pStyle w:val="935"/>
        <w:spacing w:line="40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（4）有依法缴纳税收和社会保障资金的良好记录：提供近期任意一个月内依法缴纳税收的凭据（</w:t>
      </w:r>
      <w:r>
        <w:rPr>
          <w:rFonts w:hint="eastAsia" w:ascii="宋体" w:hAnsi="宋体" w:cs="宋体"/>
          <w:color w:val="auto"/>
          <w:szCs w:val="21"/>
          <w:highlight w:val="none"/>
        </w:rPr>
        <w:t xml:space="preserve">专用收据或银行对账单</w:t>
      </w:r>
      <w:r>
        <w:rPr>
          <w:rFonts w:hint="eastAsia" w:ascii="宋体" w:hAnsi="宋体" w:cs="宋体"/>
          <w:color w:val="auto"/>
          <w:szCs w:val="21"/>
          <w:highlight w:val="none"/>
        </w:rPr>
        <w:t xml:space="preserve">）和社会保险的凭据（专用收据或社会保险缴纳清单）。依法享受缓缴、免缴税收、社会保障资金的供应商，应提供相关主管部门出具的证明材料；</w:t>
      </w:r>
      <w:r/>
    </w:p>
    <w:p>
      <w:pPr>
        <w:pStyle w:val="935"/>
        <w:spacing w:line="40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（5）参加政府采购活动前三年内在经营活动中没有重大违法记录：提供书面声明函；</w:t>
      </w:r>
      <w:r/>
    </w:p>
    <w:p>
      <w:pPr>
        <w:pStyle w:val="935"/>
        <w:spacing w:line="40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（6）法律、行政法规规定的其他条件：</w:t>
      </w:r>
      <w:r>
        <w:rPr>
          <w:rFonts w:ascii="宋体" w:hAnsi="宋体" w:cs="宋体"/>
          <w:color w:val="auto"/>
          <w:szCs w:val="21"/>
          <w:highlight w:val="none"/>
        </w:rPr>
        <w:t xml:space="preserve">符合法律、行政法规规定的其他条件的证明材料或书面声明</w:t>
      </w:r>
      <w:r>
        <w:rPr>
          <w:rFonts w:hint="eastAsia" w:ascii="宋体" w:hAnsi="宋体" w:cs="宋体"/>
          <w:color w:val="auto"/>
          <w:szCs w:val="21"/>
          <w:highlight w:val="none"/>
        </w:rPr>
        <w:t xml:space="preserve">。</w:t>
      </w:r>
      <w:r/>
    </w:p>
    <w:p>
      <w:pPr>
        <w:pStyle w:val="935"/>
        <w:spacing w:line="400" w:lineRule="exact"/>
        <w:tabs>
          <w:tab w:val="left" w:pos="0" w:leader="none"/>
        </w:tabs>
        <w:rPr>
          <w:rFonts w:ascii="宋体" w:hAnsi="宋体" w:cs="宋体"/>
          <w:color w:val="auto"/>
          <w:szCs w:val="21"/>
          <w:highlight w:val="none"/>
        </w:rPr>
      </w:pPr>
      <w:r>
        <w:rPr>
          <w:rFonts w:hint="eastAsia" w:ascii="宋体" w:hAnsi="宋体" w:cs="宋体"/>
          <w:b/>
          <w:bCs/>
          <w:color w:val="auto"/>
          <w:szCs w:val="21"/>
          <w:highlight w:val="none"/>
        </w:rPr>
        <w:t xml:space="preserve">12.4.2落</w:t>
      </w:r>
      <w:bookmarkStart w:id="58" w:name="OLE_LINK14"/>
      <w:r>
        <w:rPr>
          <w:rFonts w:hint="eastAsia" w:ascii="宋体" w:hAnsi="宋体" w:cs="宋体"/>
          <w:b/>
          <w:bCs/>
          <w:color w:val="auto"/>
          <w:szCs w:val="21"/>
          <w:highlight w:val="none"/>
        </w:rPr>
        <w:t xml:space="preserve">实政府采购政策需满足的资格要求的证明材料</w:t>
      </w:r>
      <w:bookmarkEnd w:id="58"/>
      <w:r>
        <w:rPr>
          <w:rFonts w:hint="eastAsia" w:ascii="宋体" w:hAnsi="宋体" w:cs="宋体"/>
          <w:b/>
          <w:bCs/>
          <w:color w:val="auto"/>
          <w:szCs w:val="21"/>
          <w:highlight w:val="none"/>
        </w:rPr>
        <w:t xml:space="preserve">：</w:t>
      </w:r>
      <w:r>
        <w:rPr>
          <w:rFonts w:hint="eastAsia" w:ascii="宋体" w:hAnsi="宋体" w:cs="宋体"/>
          <w:color w:val="auto"/>
          <w:szCs w:val="21"/>
          <w:highlight w:val="none"/>
        </w:rPr>
        <w:t xml:space="preserve">《中小企业声明函》或《残疾人福利性单位声明函》或由省级以上监狱管理局、戒毒管理局（含新疆生产建设兵团）出具的属于监狱企业的证明文件。</w:t>
      </w:r>
      <w:r/>
    </w:p>
    <w:p>
      <w:pPr>
        <w:pStyle w:val="935"/>
        <w:spacing w:line="400" w:lineRule="exact"/>
        <w:tabs>
          <w:tab w:val="left" w:pos="0" w:leader="none"/>
        </w:tabs>
        <w:rPr>
          <w:rFonts w:ascii="宋体" w:hAnsi="宋体" w:cs="宋体"/>
          <w:b/>
          <w:bCs/>
          <w:color w:val="auto"/>
          <w:szCs w:val="21"/>
          <w:highlight w:val="none"/>
          <w:u w:val="single"/>
        </w:rPr>
      </w:pPr>
      <w:r>
        <w:rPr>
          <w:rFonts w:hint="eastAsia" w:ascii="宋体" w:hAnsi="宋体" w:cs="宋体"/>
          <w:b/>
          <w:bCs/>
          <w:color w:val="auto"/>
          <w:szCs w:val="21"/>
          <w:highlight w:val="none"/>
        </w:rPr>
        <w:t xml:space="preserve">12.4.3本项目的特定资格要求的证明材料：</w:t>
      </w:r>
      <w:r/>
    </w:p>
    <w:p>
      <w:pPr>
        <w:pStyle w:val="935"/>
        <w:spacing w:line="40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（1）未被“信用中国”（www.creditchina.gov.cn）等相关网站列入失信被执行人、重大税收违法案件当事人名</w:t>
      </w:r>
      <w:r>
        <w:rPr>
          <w:rFonts w:hint="eastAsia" w:ascii="宋体" w:hAnsi="宋体" w:cs="宋体"/>
          <w:bCs/>
          <w:color w:val="auto"/>
          <w:szCs w:val="21"/>
          <w:highlight w:val="none"/>
        </w:rPr>
        <w:t xml:space="preserve">单、政府采购严重失信行为记录名单：供应商无需提供相关证明资料，由采购代理机构按照采购文件</w:t>
      </w:r>
      <w:r>
        <w:rPr>
          <w:rFonts w:hint="eastAsia" w:ascii="宋体" w:hAnsi="宋体" w:cs="宋体"/>
          <w:b/>
          <w:color w:val="auto"/>
          <w:szCs w:val="21"/>
          <w:highlight w:val="none"/>
        </w:rPr>
        <w:t xml:space="preserve">第二章“</w:t>
      </w:r>
      <w:bookmarkStart w:id="59" w:name="OLE_LINK15"/>
      <w:r>
        <w:rPr>
          <w:rFonts w:hint="eastAsia" w:ascii="宋体" w:hAnsi="宋体" w:cs="宋体"/>
          <w:b/>
          <w:color w:val="auto"/>
          <w:szCs w:val="21"/>
          <w:highlight w:val="none"/>
        </w:rPr>
        <w:t xml:space="preserve">32.3</w:t>
      </w:r>
      <w:bookmarkEnd w:id="59"/>
      <w:r>
        <w:rPr>
          <w:rFonts w:hint="eastAsia" w:ascii="宋体" w:hAnsi="宋体" w:cs="宋体"/>
          <w:b/>
          <w:color w:val="auto"/>
          <w:szCs w:val="21"/>
          <w:highlight w:val="none"/>
        </w:rPr>
        <w:t xml:space="preserve">信用记录评审”</w:t>
      </w:r>
      <w:r>
        <w:rPr>
          <w:rFonts w:hint="eastAsia" w:ascii="宋体" w:hAnsi="宋体" w:cs="宋体"/>
          <w:bCs/>
          <w:color w:val="auto"/>
          <w:szCs w:val="21"/>
          <w:highlight w:val="none"/>
        </w:rPr>
        <w:t xml:space="preserve">要求执行；</w:t>
      </w:r>
      <w:r/>
    </w:p>
    <w:p>
      <w:pPr>
        <w:ind w:firstLine="420"/>
        <w:spacing w:line="400" w:lineRule="exact"/>
        <w:widowControl w:val="off"/>
        <w:rPr>
          <w:rFonts w:ascii="宋体" w:hAnsi="宋体" w:cs="宋体"/>
          <w:b/>
          <w:bCs/>
          <w:color w:val="auto"/>
          <w:sz w:val="21"/>
          <w:szCs w:val="21"/>
          <w:highlight w:val="none"/>
          <w:u w:val="single"/>
        </w:rPr>
      </w:pPr>
      <w:r>
        <w:rPr>
          <w:rFonts w:hint="eastAsia" w:ascii="宋体" w:hAnsi="宋体" w:cs="宋体"/>
          <w:b/>
          <w:bCs/>
          <w:color w:val="auto"/>
          <w:sz w:val="21"/>
          <w:szCs w:val="21"/>
          <w:highlight w:val="none"/>
          <w:u w:val="single"/>
        </w:rPr>
        <w:t xml:space="preserve">以上是资格性审查的要求和必须提供的材料，未按要求提供的，响应无效。</w:t>
      </w:r>
      <w:r/>
    </w:p>
    <w:p>
      <w:pPr>
        <w:ind w:firstLine="21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b/>
          <w:color w:val="auto"/>
          <w:sz w:val="21"/>
          <w:szCs w:val="21"/>
          <w:highlight w:val="none"/>
        </w:rPr>
        <w:t xml:space="preserve">12.5</w:t>
      </w:r>
      <w:r>
        <w:rPr>
          <w:rFonts w:hint="eastAsia" w:ascii="宋体" w:hAnsi="宋体" w:cs="宋体"/>
          <w:b/>
          <w:color w:val="auto"/>
          <w:sz w:val="21"/>
          <w:szCs w:val="21"/>
          <w:highlight w:val="none"/>
          <w:lang w:val="zh-CN"/>
        </w:rPr>
        <w:t xml:space="preserve">符合性审查响应文件</w:t>
      </w:r>
      <w:r/>
    </w:p>
    <w:p>
      <w:pPr>
        <w:ind w:firstLine="420"/>
        <w:spacing w:line="400" w:lineRule="exact"/>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12.5.1报价要求</w:t>
      </w:r>
      <w:r/>
    </w:p>
    <w:p>
      <w:pPr>
        <w:ind w:firstLine="420"/>
        <w:spacing w:line="400" w:lineRule="exact"/>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12.5.1.1供应商报价不得超出采购预算及最高限价：</w:t>
      </w:r>
      <w:r/>
    </w:p>
    <w:p>
      <w:pPr>
        <w:ind w:firstLine="42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以响应文件报价为准(供应商无需单独提供资料)。</w:t>
      </w:r>
      <w:r/>
    </w:p>
    <w:p>
      <w:pPr>
        <w:ind w:firstLine="420"/>
        <w:spacing w:line="400" w:lineRule="exact"/>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12.5.2商务要求</w:t>
      </w:r>
      <w:r/>
    </w:p>
    <w:p>
      <w:pPr>
        <w:ind w:firstLine="420"/>
        <w:spacing w:line="400" w:lineRule="exact"/>
        <w:widowControl w:val="off"/>
        <w:rPr>
          <w:rFonts w:ascii="宋体" w:hAnsi="宋体" w:cs="宋体"/>
          <w:b/>
          <w:bCs/>
          <w:color w:val="auto"/>
          <w:sz w:val="21"/>
          <w:szCs w:val="21"/>
          <w:highlight w:val="none"/>
        </w:rPr>
      </w:pPr>
      <w:r>
        <w:rPr>
          <w:rFonts w:hint="eastAsia" w:ascii="宋体" w:hAnsi="宋体" w:cs="宋体"/>
          <w:color w:val="auto"/>
          <w:sz w:val="21"/>
          <w:szCs w:val="21"/>
          <w:highlight w:val="none"/>
        </w:rPr>
        <w:t xml:space="preserve">12.5.2.1磋商响应函；</w:t>
      </w:r>
      <w:r/>
    </w:p>
    <w:p>
      <w:pPr>
        <w:ind w:firstLine="420"/>
        <w:spacing w:line="400" w:lineRule="exact"/>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12.5.2.2法定代表人授权委托书（如有授权）；</w:t>
      </w:r>
      <w:r/>
    </w:p>
    <w:p>
      <w:pPr>
        <w:ind w:firstLine="420"/>
        <w:spacing w:line="400" w:lineRule="exact"/>
        <w:widowControl w:val="off"/>
        <w:rPr>
          <w:rFonts w:ascii="宋体" w:hAnsi="宋体" w:cs="宋体"/>
          <w:bCs/>
          <w:color w:val="auto"/>
          <w:sz w:val="21"/>
          <w:szCs w:val="21"/>
          <w:highlight w:val="none"/>
        </w:rPr>
      </w:pPr>
      <w:r>
        <w:rPr>
          <w:rFonts w:hint="eastAsia" w:ascii="宋体" w:hAnsi="宋体" w:cs="宋体"/>
          <w:color w:val="auto"/>
          <w:sz w:val="21"/>
          <w:szCs w:val="21"/>
          <w:highlight w:val="none"/>
        </w:rPr>
        <w:t xml:space="preserve">12.5.2.3供应商法定代表人身份证扫描件及代理人身份证扫描件（如有授权）；</w:t>
      </w:r>
      <w:r/>
    </w:p>
    <w:p>
      <w:pPr>
        <w:pStyle w:val="935"/>
        <w:spacing w:line="40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12.5.2.4资格文件的声明函；</w:t>
      </w:r>
      <w:r/>
    </w:p>
    <w:p>
      <w:pPr>
        <w:ind w:firstLine="420"/>
        <w:spacing w:line="400" w:lineRule="exact"/>
        <w:widowControl w:val="off"/>
        <w:rPr>
          <w:rFonts w:ascii="宋体" w:hAnsi="宋体" w:cs="宋体"/>
          <w:bCs/>
          <w:color w:val="auto"/>
          <w:sz w:val="21"/>
          <w:szCs w:val="21"/>
          <w:highlight w:val="none"/>
        </w:rPr>
      </w:pPr>
      <w:r>
        <w:rPr>
          <w:rFonts w:hint="eastAsia" w:ascii="宋体" w:hAnsi="宋体" w:cs="宋体"/>
          <w:color w:val="auto"/>
          <w:sz w:val="21"/>
          <w:szCs w:val="21"/>
          <w:highlight w:val="none"/>
        </w:rPr>
        <w:t xml:space="preserve">12.5.2.5</w:t>
      </w:r>
      <w:r>
        <w:rPr>
          <w:rFonts w:hint="eastAsia" w:ascii="宋体" w:hAnsi="宋体" w:cs="宋体"/>
          <w:bCs/>
          <w:color w:val="auto"/>
          <w:sz w:val="21"/>
          <w:szCs w:val="21"/>
          <w:highlight w:val="none"/>
        </w:rPr>
        <w:t xml:space="preserve">供应商情况表；</w:t>
      </w:r>
      <w:r/>
    </w:p>
    <w:p>
      <w:pPr>
        <w:ind w:firstLine="420"/>
        <w:spacing w:line="400" w:lineRule="exact"/>
        <w:widowControl w:val="off"/>
        <w:rPr>
          <w:rFonts w:ascii="宋体" w:hAnsi="宋体" w:cs="宋体"/>
          <w:bCs/>
          <w:color w:val="auto"/>
          <w:sz w:val="21"/>
          <w:szCs w:val="21"/>
          <w:highlight w:val="none"/>
        </w:rPr>
      </w:pPr>
      <w:r>
        <w:rPr>
          <w:rFonts w:hint="eastAsia" w:ascii="宋体" w:hAnsi="宋体" w:cs="宋体"/>
          <w:color w:val="auto"/>
          <w:sz w:val="21"/>
          <w:szCs w:val="21"/>
          <w:highlight w:val="none"/>
        </w:rPr>
        <w:t xml:space="preserve">12.5.2.6</w:t>
      </w:r>
      <w:r>
        <w:rPr>
          <w:rFonts w:hint="eastAsia" w:ascii="宋体" w:hAnsi="宋体" w:cs="宋体"/>
          <w:bCs/>
          <w:color w:val="auto"/>
          <w:sz w:val="21"/>
          <w:szCs w:val="21"/>
          <w:highlight w:val="none"/>
        </w:rPr>
        <w:t xml:space="preserve">供应商与其他单位存在直接控股、管理关系情况表；</w:t>
      </w:r>
      <w:r/>
    </w:p>
    <w:p>
      <w:pPr>
        <w:ind w:firstLine="42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12.5.2.7</w:t>
      </w:r>
      <w:r>
        <w:rPr>
          <w:rFonts w:hint="eastAsia" w:ascii="宋体" w:hAnsi="宋体" w:cs="宋体"/>
          <w:bCs/>
          <w:color w:val="auto"/>
          <w:sz w:val="21"/>
          <w:szCs w:val="21"/>
          <w:highlight w:val="none"/>
        </w:rPr>
        <w:t xml:space="preserve">响应保证承诺书；</w:t>
      </w:r>
      <w:r/>
    </w:p>
    <w:p>
      <w:pPr>
        <w:ind w:firstLine="42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12.5.2.8商务要求偏离表；</w:t>
      </w:r>
      <w:r/>
    </w:p>
    <w:p>
      <w:pPr>
        <w:ind w:firstLine="42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12.5.2.9拟投入本项目技术人员汇总表。</w:t>
      </w:r>
      <w:r/>
    </w:p>
    <w:p>
      <w:pPr>
        <w:ind w:firstLine="420"/>
        <w:spacing w:line="400" w:lineRule="exact"/>
        <w:widowControl w:val="off"/>
        <w:rPr>
          <w:rFonts w:ascii="宋体" w:hAnsi="宋体" w:cs="宋体"/>
          <w:bCs/>
          <w:color w:val="auto"/>
          <w:sz w:val="21"/>
          <w:szCs w:val="21"/>
          <w:highlight w:val="none"/>
        </w:rPr>
      </w:pPr>
      <w:r>
        <w:rPr>
          <w:rFonts w:hint="eastAsia" w:ascii="宋体" w:hAnsi="宋体" w:cs="宋体"/>
          <w:b/>
          <w:bCs/>
          <w:color w:val="auto"/>
          <w:sz w:val="21"/>
          <w:szCs w:val="21"/>
          <w:highlight w:val="none"/>
        </w:rPr>
        <w:t xml:space="preserve">12.5.3技术要求</w:t>
      </w:r>
      <w:r/>
    </w:p>
    <w:p>
      <w:pPr>
        <w:ind w:firstLine="42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12.5.3.1服务要求偏离表；</w:t>
      </w:r>
      <w:r/>
    </w:p>
    <w:p>
      <w:pPr>
        <w:ind w:firstLine="42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12.5.3.2采购需求中所涉及到的或供应商认为需加以说明或证明的其他有关符合性证明材料、证明（如有）。</w:t>
      </w:r>
      <w:r/>
    </w:p>
    <w:p>
      <w:pPr>
        <w:ind w:firstLine="422"/>
        <w:spacing w:line="400" w:lineRule="exact"/>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12.6综合评审响应文件</w:t>
      </w:r>
      <w:r/>
    </w:p>
    <w:p>
      <w:pPr>
        <w:ind w:firstLine="420"/>
        <w:spacing w:line="400" w:lineRule="exact"/>
        <w:widowControl w:val="off"/>
        <w:rPr>
          <w:rFonts w:ascii="宋体" w:hAnsi="宋体" w:cs="宋体"/>
          <w:bCs/>
          <w:color w:val="auto"/>
          <w:sz w:val="21"/>
          <w:szCs w:val="21"/>
          <w:highlight w:val="none"/>
        </w:rPr>
      </w:pPr>
      <w:r>
        <w:rPr>
          <w:rFonts w:hint="eastAsia" w:ascii="宋体" w:hAnsi="宋体" w:cs="宋体"/>
          <w:color w:val="auto"/>
          <w:sz w:val="21"/>
          <w:szCs w:val="21"/>
          <w:highlight w:val="none"/>
        </w:rPr>
        <w:t xml:space="preserve">相关要求详见采购文件第六章 评审方法及评分标准</w:t>
      </w:r>
      <w:r>
        <w:rPr>
          <w:rFonts w:hint="eastAsia" w:ascii="宋体" w:hAnsi="宋体" w:cs="宋体"/>
          <w:bCs/>
          <w:color w:val="auto"/>
          <w:sz w:val="21"/>
          <w:szCs w:val="21"/>
          <w:highlight w:val="none"/>
        </w:rPr>
        <w:t xml:space="preserve">。</w:t>
      </w:r>
      <w:r/>
    </w:p>
    <w:p>
      <w:pPr>
        <w:ind w:firstLine="422"/>
        <w:spacing w:line="400" w:lineRule="exact"/>
        <w:widowControl w:val="off"/>
        <w:rPr>
          <w:rFonts w:ascii="宋体" w:hAnsi="宋体" w:cs="宋体"/>
          <w:b/>
          <w:color w:val="auto"/>
          <w:sz w:val="21"/>
          <w:szCs w:val="21"/>
          <w:highlight w:val="none"/>
        </w:rPr>
      </w:pPr>
      <w:r>
        <w:rPr>
          <w:rFonts w:hint="eastAsia" w:ascii="宋体" w:hAnsi="宋体" w:cs="宋体"/>
          <w:b/>
          <w:color w:val="auto"/>
          <w:sz w:val="21"/>
          <w:szCs w:val="21"/>
          <w:highlight w:val="none"/>
        </w:rPr>
        <w:t xml:space="preserve">12.7企业报价折扣证明</w:t>
      </w:r>
      <w:r/>
    </w:p>
    <w:p>
      <w:pPr>
        <w:ind w:firstLine="420"/>
        <w:spacing w:line="400" w:lineRule="exact"/>
        <w:widowControl w:val="off"/>
        <w:rPr>
          <w:rFonts w:ascii="宋体" w:hAnsi="宋体" w:cs="宋体"/>
          <w:b/>
          <w:bCs/>
          <w:color w:val="auto"/>
          <w:sz w:val="21"/>
          <w:szCs w:val="21"/>
          <w:highlight w:val="none"/>
        </w:rPr>
      </w:pPr>
      <w:r>
        <w:rPr>
          <w:rFonts w:hint="eastAsia" w:ascii="宋体" w:hAnsi="宋体" w:cs="宋体"/>
          <w:color w:val="auto"/>
          <w:sz w:val="21"/>
          <w:szCs w:val="21"/>
          <w:highlight w:val="none"/>
        </w:rPr>
        <w:t xml:space="preserve">12.7.1《中小企业声明函》或《残疾人福利性单位声明函》或由省级以上监狱管理局、戒毒管理局（含新疆生产建设兵团）出具的属于监狱企业的证明文件。</w:t>
      </w:r>
      <w:r/>
    </w:p>
    <w:p>
      <w:pPr>
        <w:ind w:firstLine="422"/>
        <w:spacing w:line="400" w:lineRule="exact"/>
        <w:widowControl w:val="off"/>
        <w:rPr>
          <w:rFonts w:ascii="宋体" w:hAnsi="宋体"/>
          <w:color w:val="auto"/>
          <w:sz w:val="21"/>
          <w:szCs w:val="21"/>
          <w:highlight w:val="none"/>
        </w:rPr>
      </w:pPr>
      <w:r>
        <w:rPr>
          <w:rFonts w:hint="eastAsia" w:ascii="宋体" w:hAnsi="宋体" w:cs="宋体"/>
          <w:b/>
          <w:color w:val="auto"/>
          <w:sz w:val="21"/>
          <w:szCs w:val="21"/>
          <w:highlight w:val="none"/>
        </w:rPr>
        <w:t xml:space="preserve">注</w:t>
      </w:r>
      <w:r>
        <w:rPr>
          <w:rFonts w:hint="eastAsia" w:ascii="宋体" w:hAnsi="宋体" w:cs="宋体"/>
          <w:b/>
          <w:bCs/>
          <w:color w:val="auto"/>
          <w:sz w:val="21"/>
          <w:szCs w:val="21"/>
          <w:highlight w:val="none"/>
        </w:rPr>
        <w:t xml:space="preserve">1</w:t>
      </w:r>
      <w:r>
        <w:rPr>
          <w:rFonts w:hint="eastAsia" w:ascii="宋体" w:hAnsi="宋体" w:cs="宋体"/>
          <w:b/>
          <w:color w:val="auto"/>
          <w:sz w:val="21"/>
          <w:szCs w:val="21"/>
          <w:highlight w:val="none"/>
        </w:rPr>
        <w:t xml:space="preserve">：</w:t>
      </w:r>
      <w:r>
        <w:rPr>
          <w:rFonts w:hint="eastAsia" w:ascii="宋体" w:hAnsi="宋体" w:cs="宋体"/>
          <w:b/>
          <w:bCs/>
          <w:color w:val="auto"/>
          <w:sz w:val="21"/>
          <w:szCs w:val="21"/>
          <w:highlight w:val="none"/>
        </w:rPr>
        <w:t xml:space="preserve">以上12.4为资格审查要求提供的材料，作为对供应商资格审查、质疑身份认定的依据，响应供应商必须提供并加盖电子公章。</w:t>
      </w:r>
      <w:r/>
    </w:p>
    <w:p>
      <w:pPr>
        <w:ind w:firstLine="422"/>
        <w:spacing w:line="400" w:lineRule="exact"/>
        <w:widowControl w:val="off"/>
        <w:rPr>
          <w:rFonts w:ascii="宋体" w:hAnsi="宋体" w:cs="宋体"/>
          <w:b/>
          <w:bCs/>
          <w:color w:val="auto"/>
          <w:sz w:val="21"/>
          <w:szCs w:val="21"/>
          <w:highlight w:val="none"/>
          <w:lang w:val="zh-CN"/>
        </w:rPr>
      </w:pPr>
      <w:r>
        <w:rPr>
          <w:rFonts w:hint="eastAsia" w:ascii="宋体" w:hAnsi="宋体" w:cs="宋体"/>
          <w:b/>
          <w:color w:val="auto"/>
          <w:sz w:val="21"/>
          <w:szCs w:val="21"/>
          <w:highlight w:val="none"/>
        </w:rPr>
        <w:t xml:space="preserve">注</w:t>
      </w:r>
      <w:r>
        <w:rPr>
          <w:rFonts w:ascii="宋体" w:hAnsi="宋体" w:cs="宋体"/>
          <w:b/>
          <w:bCs/>
          <w:color w:val="auto"/>
          <w:sz w:val="21"/>
          <w:szCs w:val="21"/>
          <w:highlight w:val="none"/>
        </w:rPr>
        <w:t xml:space="preserve">2</w:t>
      </w:r>
      <w:r>
        <w:rPr>
          <w:rFonts w:hint="eastAsia" w:ascii="宋体" w:hAnsi="宋体" w:cs="宋体"/>
          <w:b/>
          <w:color w:val="auto"/>
          <w:sz w:val="21"/>
          <w:szCs w:val="21"/>
          <w:highlight w:val="none"/>
        </w:rPr>
        <w:t xml:space="preserve">：</w:t>
      </w:r>
      <w:r>
        <w:rPr>
          <w:rFonts w:hint="eastAsia" w:ascii="宋体" w:hAnsi="宋体" w:cs="宋体"/>
          <w:b/>
          <w:bCs/>
          <w:color w:val="auto"/>
          <w:sz w:val="21"/>
          <w:szCs w:val="21"/>
          <w:highlight w:val="none"/>
          <w:lang w:val="zh-CN"/>
        </w:rPr>
        <w:t xml:space="preserve">以上</w:t>
      </w:r>
      <w:r>
        <w:rPr>
          <w:rFonts w:hint="eastAsia" w:ascii="宋体" w:hAnsi="宋体" w:cs="宋体"/>
          <w:b/>
          <w:bCs/>
          <w:color w:val="auto"/>
          <w:sz w:val="21"/>
          <w:szCs w:val="21"/>
          <w:highlight w:val="none"/>
        </w:rPr>
        <w:t xml:space="preserve">12.5</w:t>
      </w:r>
      <w:r>
        <w:rPr>
          <w:rFonts w:hint="eastAsia" w:ascii="宋体" w:hAnsi="宋体" w:cs="宋体"/>
          <w:b/>
          <w:bCs/>
          <w:color w:val="auto"/>
          <w:sz w:val="21"/>
          <w:szCs w:val="21"/>
          <w:highlight w:val="none"/>
          <w:lang w:val="zh-CN"/>
        </w:rPr>
        <w:t xml:space="preserve">为符合性审查须提供的资料，响应供应商必须提供并加盖电子公章。</w:t>
      </w:r>
      <w:r/>
    </w:p>
    <w:p>
      <w:pPr>
        <w:ind w:firstLine="422"/>
        <w:spacing w:line="400" w:lineRule="exact"/>
        <w:widowControl w:val="off"/>
        <w:rPr>
          <w:rFonts w:ascii="宋体" w:hAnsi="宋体" w:cs="宋体"/>
          <w:b/>
          <w:color w:val="auto"/>
          <w:sz w:val="21"/>
          <w:szCs w:val="21"/>
          <w:highlight w:val="none"/>
        </w:rPr>
      </w:pPr>
      <w:r>
        <w:rPr>
          <w:rFonts w:hint="eastAsia" w:ascii="宋体" w:hAnsi="宋体" w:cs="宋体"/>
          <w:b/>
          <w:color w:val="auto"/>
          <w:sz w:val="21"/>
          <w:szCs w:val="21"/>
          <w:highlight w:val="none"/>
        </w:rPr>
        <w:t xml:space="preserve">注3：磋商过程中如有问题采购代理机构工作人员会及时通过《投标供应商确认函》留存的手机号或磋商响应函留存的手机号（如有）与供应商联系。请供应商确保系统在线状态且该手机号磋商当日通信畅通，否则导致对供应商不利的后果由供应商自行承担。</w:t>
      </w:r>
      <w:r/>
    </w:p>
    <w:p>
      <w:pPr>
        <w:ind w:firstLine="422"/>
        <w:spacing w:line="400" w:lineRule="exact"/>
        <w:widowControl w:val="off"/>
        <w:rPr>
          <w:rFonts w:ascii="宋体" w:hAnsi="宋体" w:cs="宋体"/>
          <w:b/>
          <w:color w:val="auto"/>
          <w:sz w:val="21"/>
          <w:szCs w:val="21"/>
          <w:highlight w:val="none"/>
        </w:rPr>
      </w:pPr>
      <w:r>
        <w:rPr>
          <w:rFonts w:hint="eastAsia" w:ascii="宋体" w:hAnsi="宋体" w:cs="宋体"/>
          <w:b/>
          <w:bCs/>
          <w:color w:val="auto"/>
          <w:sz w:val="21"/>
          <w:szCs w:val="21"/>
          <w:highlight w:val="none"/>
        </w:rPr>
        <w:t xml:space="preserve">13.响应文件的</w:t>
      </w:r>
      <w:r>
        <w:rPr>
          <w:rFonts w:hint="eastAsia" w:ascii="宋体" w:hAnsi="宋体" w:cs="宋体"/>
          <w:b/>
          <w:color w:val="auto"/>
          <w:sz w:val="21"/>
          <w:szCs w:val="21"/>
          <w:highlight w:val="none"/>
        </w:rPr>
        <w:t xml:space="preserve">编制与提交</w:t>
      </w:r>
      <w:r/>
    </w:p>
    <w:p>
      <w:pPr>
        <w:ind w:firstLine="420"/>
        <w:spacing w:line="400" w:lineRule="exact"/>
        <w:widowControl w:val="off"/>
        <w:rPr>
          <w:rFonts w:ascii="宋体" w:hAnsi="宋体" w:cs="宋体"/>
          <w:b/>
          <w:bCs/>
          <w:color w:val="auto"/>
          <w:sz w:val="21"/>
          <w:szCs w:val="21"/>
          <w:highlight w:val="none"/>
          <w:shd w:val="clear" w:color="auto" w:fill="ffffff"/>
        </w:rPr>
      </w:pPr>
      <w:r>
        <w:rPr>
          <w:rFonts w:hint="eastAsia" w:ascii="宋体" w:hAnsi="宋体" w:cs="宋体"/>
          <w:color w:val="auto"/>
          <w:sz w:val="21"/>
          <w:szCs w:val="21"/>
          <w:highlight w:val="none"/>
        </w:rPr>
        <w:t xml:space="preserve">13.1本项目为网上采购项目，供应商应使用CA证书登录“苏采云”获取采购文件，在财政部门指定的政府采购信息发布媒体获取补充（更正）文件，对响应文件进行电子签章、线上提交响应文件；供应商按照《苏采云系统供应商操作手册》进行制作、上传电子响应文件。</w:t>
      </w:r>
      <w:r>
        <w:rPr>
          <w:rFonts w:hint="eastAsia" w:ascii="宋体" w:hAnsi="宋体" w:cs="宋体"/>
          <w:b/>
          <w:bCs/>
          <w:color w:val="auto"/>
          <w:sz w:val="21"/>
          <w:szCs w:val="21"/>
          <w:highlight w:val="none"/>
          <w:shd w:val="clear" w:color="auto" w:fill="ffffff"/>
        </w:rPr>
        <w:t xml:space="preserve">电子响应文件制作完成后请于响应文件递交截止时间前成功上传至“苏采云”系统，否则视为放弃参加该采购项目。供应商提交响应文件的时间以系统收到上传的电子响应文件时间为准，供应商应充分考虑到网络环境、网络带宽等风险因素，如因供应商自身原因造成的电子响应文件上传不成功由供应商自行承担全部责任。</w:t>
      </w:r>
      <w:r/>
    </w:p>
    <w:p>
      <w:pPr>
        <w:ind w:firstLine="420"/>
        <w:jc w:val="both"/>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注：（1）请供应商务必保管好编制递交电子响应文件时使用的CA，如因丢失、损坏等原因更换CA锁时，需重新制作电子响应文件并递交，否则可能无法解密，因此导致的响应失败等不利后果由供应商自行承担。</w:t>
      </w:r>
      <w:r/>
    </w:p>
    <w:p>
      <w:pPr>
        <w:ind w:firstLine="420"/>
        <w:jc w:val="both"/>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如本项目在政府采购信息发布媒体上发布了更正（补充）公告，请供应商务必在“苏采云”系统中下载更正（补充）资料，根据更正后的采购文件重新编制电子响应文件并递交，否则可能无法解密，因此导致的响应失败等不利后果由供应商自行承担。</w:t>
      </w:r>
      <w:r/>
    </w:p>
    <w:p>
      <w:pPr>
        <w:pStyle w:val="970"/>
        <w:ind w:left="0" w:firstLine="422"/>
        <w:spacing w:after="0" w:line="400" w:lineRule="exact"/>
        <w:rPr>
          <w:rFonts w:ascii="宋体" w:hAnsi="宋体" w:eastAsia="宋体" w:cs="宋体"/>
          <w:b/>
          <w:bCs/>
          <w:color w:val="auto"/>
          <w:sz w:val="21"/>
          <w:szCs w:val="21"/>
          <w:highlight w:val="none"/>
          <w:shd w:val="clear" w:color="auto" w:fill="ffffff"/>
        </w:rPr>
      </w:pPr>
      <w:r>
        <w:rPr>
          <w:rFonts w:hint="eastAsia" w:ascii="宋体" w:hAnsi="宋体" w:eastAsia="宋体" w:cs="宋体"/>
          <w:b/>
          <w:bCs/>
          <w:color w:val="auto"/>
          <w:sz w:val="21"/>
          <w:szCs w:val="21"/>
          <w:highlight w:val="none"/>
          <w:shd w:val="clear" w:color="auto" w:fill="ffffff"/>
        </w:rPr>
        <w:t xml:space="preserve">13.2本采购文件中用带星号（“★”）、“须（必须）”或“应（应当）”等其他文字说明的服务和商务要求为实质性条款要求，供应商对相关内容不得有任何偏离，否则作无效响应处理。</w:t>
      </w:r>
      <w:r/>
    </w:p>
    <w:p>
      <w:pPr>
        <w:pStyle w:val="970"/>
        <w:ind w:left="0" w:firstLine="422"/>
        <w:spacing w:after="0" w:line="400" w:lineRule="exact"/>
        <w:rPr>
          <w:rFonts w:ascii="宋体" w:hAnsi="宋体" w:eastAsia="宋体" w:cs="宋体"/>
          <w:b/>
          <w:bCs/>
          <w:color w:val="auto"/>
          <w:sz w:val="21"/>
          <w:szCs w:val="21"/>
          <w:highlight w:val="none"/>
          <w:shd w:val="clear" w:color="auto" w:fill="ffffff"/>
        </w:rPr>
      </w:pPr>
      <w:r>
        <w:rPr>
          <w:rFonts w:hint="eastAsia" w:ascii="宋体" w:hAnsi="宋体" w:eastAsia="宋体" w:cs="宋体"/>
          <w:b/>
          <w:bCs/>
          <w:color w:val="auto"/>
          <w:sz w:val="21"/>
          <w:szCs w:val="21"/>
          <w:highlight w:val="none"/>
          <w:shd w:val="clear" w:color="auto" w:fill="ffffff"/>
        </w:rPr>
        <w:t xml:space="preserve">13.3制作电子响应文件时必须与响应文件制作软件目录一一对应，将相关资料上传至相应模块。</w:t>
      </w:r>
      <w:r/>
    </w:p>
    <w:p>
      <w:pPr>
        <w:ind w:firstLine="420"/>
        <w:jc w:val="both"/>
        <w:spacing w:line="400" w:lineRule="exact"/>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13.4响应文件未按照采购文件要求加盖CA电子公章的，响应无效。</w:t>
      </w:r>
      <w:r/>
    </w:p>
    <w:p>
      <w:pPr>
        <w:pStyle w:val="970"/>
        <w:ind w:left="0" w:firstLine="422"/>
        <w:spacing w:after="0" w:line="400" w:lineRule="exact"/>
        <w:rPr>
          <w:rFonts w:ascii="宋体" w:hAnsi="宋体" w:eastAsia="宋体" w:cs="宋体"/>
          <w:b/>
          <w:bCs/>
          <w:color w:val="auto"/>
          <w:sz w:val="21"/>
          <w:szCs w:val="21"/>
          <w:highlight w:val="none"/>
          <w:shd w:val="clear" w:color="auto" w:fill="ffffff"/>
        </w:rPr>
      </w:pPr>
      <w:r>
        <w:rPr>
          <w:rFonts w:hint="eastAsia" w:ascii="宋体" w:hAnsi="宋体" w:eastAsia="宋体" w:cs="宋体"/>
          <w:b/>
          <w:color w:val="auto"/>
          <w:sz w:val="21"/>
          <w:szCs w:val="21"/>
          <w:highlight w:val="none"/>
        </w:rPr>
        <w:t xml:space="preserve">14.响应文件提交（上传）截止时间</w:t>
      </w:r>
      <w:r/>
    </w:p>
    <w:p>
      <w:pPr>
        <w:pStyle w:val="970"/>
        <w:ind w:left="0"/>
        <w:spacing w:after="0" w:line="400" w:lineRule="exact"/>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14.1</w:t>
      </w:r>
      <w:r>
        <w:rPr>
          <w:rFonts w:hint="eastAsia" w:ascii="宋体" w:hAnsi="宋体" w:eastAsia="宋体" w:cs="宋体"/>
          <w:color w:val="auto"/>
          <w:sz w:val="21"/>
          <w:szCs w:val="21"/>
          <w:highlight w:val="none"/>
        </w:rPr>
        <w:t xml:space="preserve">响应文件必须在采购文件规定的提交（上传）截止时间前上传“苏采云”系统</w:t>
      </w:r>
      <w:r>
        <w:rPr>
          <w:rFonts w:hint="eastAsia" w:ascii="宋体" w:hAnsi="宋体" w:eastAsia="宋体" w:cs="宋体"/>
          <w:bCs/>
          <w:color w:val="auto"/>
          <w:sz w:val="21"/>
          <w:szCs w:val="21"/>
          <w:highlight w:val="none"/>
        </w:rPr>
        <w:t xml:space="preserve">。</w:t>
      </w:r>
      <w:r/>
    </w:p>
    <w:p>
      <w:pPr>
        <w:pStyle w:val="970"/>
        <w:ind w:left="0"/>
        <w:spacing w:after="0" w:line="400" w:lineRule="exact"/>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14.2</w:t>
      </w:r>
      <w:r>
        <w:rPr>
          <w:rFonts w:hint="eastAsia" w:ascii="宋体" w:hAnsi="宋体" w:eastAsia="宋体" w:cs="宋体"/>
          <w:color w:val="auto"/>
          <w:sz w:val="21"/>
          <w:szCs w:val="21"/>
          <w:highlight w:val="none"/>
        </w:rPr>
        <w:t xml:space="preserve">采购人或采购代理机构推迟响应文件提交截止时间时，</w:t>
      </w:r>
      <w:r>
        <w:rPr>
          <w:rFonts w:hint="eastAsia" w:ascii="宋体" w:hAnsi="宋体" w:eastAsia="宋体" w:cs="宋体"/>
          <w:bCs/>
          <w:color w:val="auto"/>
          <w:sz w:val="21"/>
          <w:szCs w:val="21"/>
          <w:highlight w:val="none"/>
        </w:rPr>
        <w:t xml:space="preserve">将在财政部门指定的政府采购信息发布媒体发布通知，</w:t>
      </w:r>
      <w:r>
        <w:rPr>
          <w:rFonts w:hint="eastAsia" w:ascii="宋体" w:hAnsi="宋体" w:eastAsia="宋体" w:cs="宋体"/>
          <w:color w:val="auto"/>
          <w:sz w:val="21"/>
          <w:szCs w:val="21"/>
          <w:highlight w:val="none"/>
        </w:rPr>
        <w:t xml:space="preserve">供应商</w:t>
      </w:r>
      <w:r>
        <w:rPr>
          <w:rFonts w:hint="eastAsia" w:ascii="宋体" w:hAnsi="宋体" w:eastAsia="宋体" w:cs="宋体"/>
          <w:bCs/>
          <w:color w:val="auto"/>
          <w:sz w:val="21"/>
          <w:szCs w:val="21"/>
          <w:highlight w:val="none"/>
        </w:rPr>
        <w:t xml:space="preserve">通过财政部门指定的政府采购信息发布媒体自行查看</w:t>
      </w:r>
      <w:r>
        <w:rPr>
          <w:rFonts w:hint="eastAsia" w:ascii="宋体" w:hAnsi="宋体" w:eastAsia="宋体" w:cs="宋体"/>
          <w:color w:val="auto"/>
          <w:sz w:val="21"/>
          <w:szCs w:val="21"/>
          <w:highlight w:val="none"/>
        </w:rPr>
        <w:t xml:space="preserve">。在这种情况下，采购人或采购代理机构和供应商的权利和义务将受到新的截止时间的约束</w:t>
      </w:r>
      <w:r>
        <w:rPr>
          <w:rFonts w:hint="eastAsia" w:ascii="宋体" w:hAnsi="宋体" w:eastAsia="宋体" w:cs="宋体"/>
          <w:bCs/>
          <w:color w:val="auto"/>
          <w:sz w:val="21"/>
          <w:szCs w:val="21"/>
          <w:highlight w:val="none"/>
        </w:rPr>
        <w:t xml:space="preserve">。</w:t>
      </w:r>
      <w:r/>
    </w:p>
    <w:p>
      <w:pPr>
        <w:pStyle w:val="970"/>
        <w:ind w:left="0" w:firstLine="422"/>
        <w:spacing w:after="0" w:line="400" w:lineRule="exact"/>
        <w:rPr>
          <w:rFonts w:ascii="宋体" w:hAnsi="宋体" w:eastAsia="宋体" w:cs="宋体"/>
          <w:b/>
          <w:bCs/>
          <w:color w:val="auto"/>
          <w:sz w:val="21"/>
          <w:szCs w:val="21"/>
          <w:highlight w:val="none"/>
          <w:shd w:val="clear" w:color="auto" w:fill="ffffff"/>
        </w:rPr>
      </w:pPr>
      <w:r>
        <w:rPr>
          <w:rFonts w:hint="eastAsia" w:ascii="宋体" w:hAnsi="宋体" w:eastAsia="宋体" w:cs="宋体"/>
          <w:b/>
          <w:color w:val="auto"/>
          <w:sz w:val="21"/>
          <w:szCs w:val="21"/>
          <w:highlight w:val="none"/>
        </w:rPr>
        <w:t xml:space="preserve">15.响应文件的修改和撤回</w:t>
      </w:r>
      <w:r/>
    </w:p>
    <w:p>
      <w:pPr>
        <w:ind w:firstLine="420"/>
        <w:jc w:val="both"/>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15.1</w:t>
      </w:r>
      <w:r>
        <w:rPr>
          <w:rFonts w:hint="eastAsia" w:ascii="宋体" w:hAnsi="宋体" w:cs="宋体"/>
          <w:bCs/>
          <w:color w:val="auto"/>
          <w:sz w:val="21"/>
          <w:szCs w:val="21"/>
          <w:highlight w:val="none"/>
        </w:rPr>
        <w:t xml:space="preserve">供应商</w:t>
      </w:r>
      <w:r>
        <w:rPr>
          <w:rFonts w:hint="eastAsia" w:ascii="宋体" w:hAnsi="宋体" w:cs="宋体"/>
          <w:color w:val="auto"/>
          <w:sz w:val="21"/>
          <w:szCs w:val="21"/>
          <w:highlight w:val="none"/>
        </w:rPr>
        <w:t xml:space="preserve">在响应文件网上提交截止时间前，可以对其电子文件进行补充、修改，具体操作方法见《苏采云系统供应商操作手册》。在响应文件网上提交截止时间之后，</w:t>
      </w:r>
      <w:r>
        <w:rPr>
          <w:rFonts w:hint="eastAsia" w:ascii="宋体" w:hAnsi="宋体" w:cs="宋体"/>
          <w:bCs/>
          <w:color w:val="auto"/>
          <w:sz w:val="21"/>
          <w:szCs w:val="21"/>
          <w:highlight w:val="none"/>
        </w:rPr>
        <w:t xml:space="preserve">供应商</w:t>
      </w:r>
      <w:r>
        <w:rPr>
          <w:rFonts w:hint="eastAsia" w:ascii="宋体" w:hAnsi="宋体" w:cs="宋体"/>
          <w:color w:val="auto"/>
          <w:sz w:val="21"/>
          <w:szCs w:val="21"/>
          <w:highlight w:val="none"/>
        </w:rPr>
        <w:t xml:space="preserve">不得对其电子响应文件作任何修改。</w:t>
      </w:r>
      <w:r/>
    </w:p>
    <w:p>
      <w:pPr>
        <w:ind w:firstLine="480"/>
        <w:jc w:val="both"/>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15.2供应商在响应文件网上提交截止时间前，可以撤回其电子响应文件，具体操作方法见《苏采云系统供应商操作手册》。供应商撤回电子响应文件，则认为其不再参与本项目采购活动。在截止时间至采购文件中规定的响应文件有效期满之间的这段时间内，供应商不得撤回其响应。</w:t>
      </w:r>
      <w:r/>
    </w:p>
    <w:p>
      <w:pPr>
        <w:pStyle w:val="777"/>
        <w:ind w:firstLine="422"/>
        <w:spacing w:line="400" w:lineRule="exact"/>
        <w:widowControl w:val="off"/>
        <w:rPr>
          <w:rFonts w:ascii="宋体" w:hAnsi="宋体" w:cs="宋体"/>
          <w:b/>
          <w:color w:val="auto"/>
          <w:sz w:val="21"/>
          <w:szCs w:val="21"/>
          <w:highlight w:val="none"/>
        </w:rPr>
      </w:pPr>
      <w:r>
        <w:rPr>
          <w:rFonts w:hint="eastAsia" w:ascii="宋体" w:hAnsi="宋体" w:cs="宋体"/>
          <w:b/>
          <w:color w:val="auto"/>
          <w:sz w:val="21"/>
          <w:szCs w:val="21"/>
          <w:highlight w:val="none"/>
          <w:lang w:val="en-US"/>
        </w:rPr>
        <w:t xml:space="preserve">16.</w:t>
      </w:r>
      <w:r>
        <w:rPr>
          <w:rFonts w:hint="eastAsia" w:ascii="宋体" w:hAnsi="宋体" w:cs="宋体"/>
          <w:b/>
          <w:color w:val="auto"/>
          <w:sz w:val="21"/>
          <w:szCs w:val="21"/>
          <w:highlight w:val="none"/>
        </w:rPr>
        <w:t xml:space="preserve">报价（编制）要求的说明</w:t>
      </w:r>
      <w:r/>
    </w:p>
    <w:p>
      <w:pPr>
        <w:pStyle w:val="777"/>
        <w:ind w:firstLine="420"/>
        <w:spacing w:line="400" w:lineRule="exact"/>
        <w:widowControl w:val="off"/>
        <w:rPr>
          <w:rFonts w:ascii="宋体" w:hAnsi="宋体"/>
          <w:color w:val="auto"/>
          <w:sz w:val="21"/>
          <w:szCs w:val="21"/>
          <w:highlight w:val="none"/>
        </w:rPr>
      </w:pPr>
      <w:r>
        <w:rPr>
          <w:rFonts w:hint="eastAsia" w:ascii="宋体" w:hAnsi="宋体"/>
          <w:color w:val="auto"/>
          <w:sz w:val="21"/>
          <w:szCs w:val="21"/>
          <w:highlight w:val="none"/>
          <w:lang w:val="en-US"/>
        </w:rPr>
        <w:t xml:space="preserve">16.</w:t>
      </w:r>
      <w:r>
        <w:rPr>
          <w:rFonts w:hint="eastAsia" w:ascii="宋体" w:hAnsi="宋体"/>
          <w:color w:val="auto"/>
          <w:sz w:val="21"/>
          <w:szCs w:val="21"/>
          <w:highlight w:val="none"/>
        </w:rPr>
        <w:t xml:space="preserve">1除非合同中另有规定，</w:t>
      </w:r>
      <w:r>
        <w:rPr>
          <w:rFonts w:hint="eastAsia" w:ascii="宋体" w:hAnsi="宋体"/>
          <w:color w:val="auto"/>
          <w:sz w:val="21"/>
          <w:szCs w:val="21"/>
          <w:highlight w:val="none"/>
          <w:lang w:val="en-US"/>
        </w:rPr>
        <w:t xml:space="preserve">供应商</w:t>
      </w:r>
      <w:r>
        <w:rPr>
          <w:rFonts w:hint="eastAsia" w:ascii="宋体" w:hAnsi="宋体"/>
          <w:color w:val="auto"/>
          <w:sz w:val="21"/>
          <w:szCs w:val="21"/>
          <w:highlight w:val="none"/>
        </w:rPr>
        <w:t xml:space="preserve">对《开标一览表》中的报价应包括完成本项目全部服务内容所需的人工（包括人员劳务费、法定节假日加班费、福利费、社保等）、交通费用、餐费住宿、耗材、通讯、办公设备、验收费用、各种税费、保险、劳保、维护、代理服务费、利润、税金、政策性文件规定及合同包含的所有风险、责任等各项应有费用。同时，除非合同条款中另有规定，否则，供应商所报价格在合同实施期间不因市场变化因素而变动。</w:t>
      </w:r>
      <w:r/>
    </w:p>
    <w:p>
      <w:pPr>
        <w:pStyle w:val="777"/>
        <w:ind w:firstLine="42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lang w:val="en-US"/>
        </w:rPr>
        <w:t xml:space="preserve">16</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rPr>
        <w:t xml:space="preserve">2</w:t>
      </w:r>
      <w:r>
        <w:rPr>
          <w:rFonts w:hint="eastAsia" w:ascii="宋体" w:hAnsi="宋体" w:cs="宋体"/>
          <w:b/>
          <w:bCs/>
          <w:color w:val="auto"/>
          <w:sz w:val="21"/>
          <w:szCs w:val="21"/>
          <w:highlight w:val="none"/>
          <w:lang w:val="en-US"/>
        </w:rPr>
        <w:t xml:space="preserve">供应商</w:t>
      </w:r>
      <w:r>
        <w:rPr>
          <w:rFonts w:hint="eastAsia" w:ascii="宋体" w:hAnsi="宋体" w:cs="宋体"/>
          <w:b/>
          <w:bCs/>
          <w:color w:val="auto"/>
          <w:sz w:val="21"/>
          <w:szCs w:val="21"/>
          <w:highlight w:val="none"/>
        </w:rPr>
        <w:t xml:space="preserve">应对</w:t>
      </w:r>
      <w:r>
        <w:rPr>
          <w:rFonts w:hint="eastAsia" w:ascii="宋体" w:hAnsi="宋体" w:cs="宋体"/>
          <w:b/>
          <w:bCs/>
          <w:color w:val="auto"/>
          <w:sz w:val="21"/>
          <w:szCs w:val="21"/>
          <w:highlight w:val="none"/>
          <w:lang w:val="en-US"/>
        </w:rPr>
        <w:t xml:space="preserve">采购</w:t>
      </w:r>
      <w:r>
        <w:rPr>
          <w:rFonts w:hint="eastAsia" w:ascii="宋体" w:hAnsi="宋体" w:cs="宋体"/>
          <w:b/>
          <w:bCs/>
          <w:color w:val="auto"/>
          <w:sz w:val="21"/>
          <w:szCs w:val="21"/>
          <w:highlight w:val="none"/>
        </w:rPr>
        <w:t xml:space="preserve">文件内所要采购的全部内容进行报价，只投其中部分内容者，其</w:t>
      </w:r>
      <w:r>
        <w:rPr>
          <w:rFonts w:hint="eastAsia" w:ascii="宋体" w:hAnsi="宋体" w:cs="宋体"/>
          <w:b/>
          <w:bCs/>
          <w:color w:val="auto"/>
          <w:sz w:val="21"/>
          <w:szCs w:val="21"/>
          <w:highlight w:val="none"/>
          <w:lang w:val="en-US"/>
        </w:rPr>
        <w:t xml:space="preserve">响应文件将作无效处理</w:t>
      </w:r>
      <w:r>
        <w:rPr>
          <w:rFonts w:hint="eastAsia" w:ascii="宋体" w:hAnsi="宋体" w:cs="宋体"/>
          <w:color w:val="auto"/>
          <w:sz w:val="21"/>
          <w:szCs w:val="21"/>
          <w:highlight w:val="none"/>
        </w:rPr>
        <w:t xml:space="preserve">。但如果采购文件划分标段的，则供应商可以有选择地只参加其中一个或几个标段，也可以参加全部标段，但各标段应分别计算填写单价和总价。</w:t>
      </w:r>
      <w:r/>
    </w:p>
    <w:p>
      <w:pPr>
        <w:pStyle w:val="777"/>
        <w:ind w:firstLine="42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lang w:val="en-US"/>
        </w:rPr>
        <w:t xml:space="preserve">16</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rPr>
        <w:t xml:space="preserve">3</w:t>
      </w:r>
      <w:r>
        <w:rPr>
          <w:rFonts w:hint="eastAsia" w:ascii="宋体" w:hAnsi="宋体" w:cs="宋体"/>
          <w:color w:val="auto"/>
          <w:sz w:val="21"/>
          <w:szCs w:val="21"/>
          <w:highlight w:val="none"/>
        </w:rPr>
        <w:t xml:space="preserve">一项内容只允许一个报价，不接受任何有选择性</w:t>
      </w:r>
      <w:r>
        <w:rPr>
          <w:rFonts w:hint="eastAsia" w:ascii="宋体" w:hAnsi="宋体" w:cs="宋体"/>
          <w:color w:val="auto"/>
          <w:sz w:val="21"/>
          <w:szCs w:val="21"/>
          <w:highlight w:val="none"/>
          <w:lang w:val="en-US"/>
        </w:rPr>
        <w:t xml:space="preserve">的</w:t>
      </w:r>
      <w:r>
        <w:rPr>
          <w:rFonts w:hint="eastAsia" w:ascii="宋体" w:hAnsi="宋体" w:cs="宋体"/>
          <w:color w:val="auto"/>
          <w:sz w:val="21"/>
          <w:szCs w:val="21"/>
          <w:highlight w:val="none"/>
        </w:rPr>
        <w:t xml:space="preserve">报价。</w:t>
      </w:r>
      <w:r/>
    </w:p>
    <w:p>
      <w:pPr>
        <w:pStyle w:val="777"/>
        <w:ind w:firstLine="42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lang w:val="en-US"/>
        </w:rPr>
        <w:t xml:space="preserve">16.4响应</w:t>
      </w:r>
      <w:r>
        <w:rPr>
          <w:rFonts w:hint="eastAsia" w:ascii="宋体" w:hAnsi="宋体" w:cs="宋体"/>
          <w:color w:val="auto"/>
          <w:sz w:val="21"/>
          <w:szCs w:val="21"/>
          <w:highlight w:val="none"/>
        </w:rPr>
        <w:t xml:space="preserve">文件报价</w:t>
      </w:r>
      <w:r>
        <w:rPr>
          <w:rFonts w:hint="eastAsia" w:ascii="宋体" w:hAnsi="宋体" w:cs="宋体"/>
          <w:color w:val="auto"/>
          <w:sz w:val="21"/>
          <w:szCs w:val="21"/>
          <w:highlight w:val="none"/>
          <w:lang w:val="en-US"/>
        </w:rPr>
        <w:t xml:space="preserve">中的</w:t>
      </w:r>
      <w:r>
        <w:rPr>
          <w:rFonts w:hint="eastAsia" w:ascii="宋体" w:hAnsi="宋体" w:cs="宋体"/>
          <w:color w:val="auto"/>
          <w:sz w:val="21"/>
          <w:szCs w:val="21"/>
          <w:highlight w:val="none"/>
        </w:rPr>
        <w:t xml:space="preserve">单价和总价采用人民币表示。</w:t>
      </w:r>
      <w:r/>
    </w:p>
    <w:p>
      <w:pPr>
        <w:ind w:firstLine="422"/>
        <w:jc w:val="both"/>
        <w:spacing w:line="400" w:lineRule="exact"/>
        <w:widowControl w:val="off"/>
        <w:tabs>
          <w:tab w:val="left" w:pos="8930" w:leader="none"/>
          <w:tab w:val="left" w:pos="9306" w:leader="none"/>
        </w:tabs>
        <w:rPr>
          <w:rFonts w:ascii="宋体" w:hAnsi="宋体" w:cs="宋体"/>
          <w:b/>
          <w:color w:val="auto"/>
          <w:sz w:val="21"/>
          <w:szCs w:val="21"/>
          <w:highlight w:val="none"/>
        </w:rPr>
      </w:pPr>
      <w:r>
        <w:rPr>
          <w:rFonts w:hint="eastAsia" w:ascii="宋体" w:hAnsi="宋体" w:cs="宋体"/>
          <w:b/>
          <w:color w:val="auto"/>
          <w:sz w:val="21"/>
          <w:szCs w:val="21"/>
          <w:highlight w:val="none"/>
        </w:rPr>
        <w:t xml:space="preserve">1</w:t>
      </w:r>
      <w:r>
        <w:rPr>
          <w:rFonts w:ascii="宋体" w:hAnsi="宋体" w:cs="宋体"/>
          <w:b/>
          <w:color w:val="auto"/>
          <w:sz w:val="21"/>
          <w:szCs w:val="21"/>
          <w:highlight w:val="none"/>
        </w:rPr>
        <w:t xml:space="preserve">7</w:t>
      </w:r>
      <w:r>
        <w:rPr>
          <w:rFonts w:hint="eastAsia" w:ascii="宋体" w:hAnsi="宋体" w:cs="宋体"/>
          <w:b/>
          <w:color w:val="auto"/>
          <w:sz w:val="21"/>
          <w:szCs w:val="21"/>
          <w:highlight w:val="none"/>
        </w:rPr>
        <w:t xml:space="preserve">.响应保证金</w:t>
      </w:r>
      <w:r/>
    </w:p>
    <w:p>
      <w:pPr>
        <w:ind w:firstLine="420"/>
        <w:jc w:val="both"/>
        <w:spacing w:line="400" w:lineRule="exact"/>
        <w:widowControl w:val="off"/>
        <w:tabs>
          <w:tab w:val="left" w:pos="8930" w:leader="none"/>
          <w:tab w:val="left" w:pos="9306"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根据《关于做好政府采购支持企业发展有关事项的通知》（苏财购〔2020〕52号）及《关于明确投标（响应）保证金有关事项的通知》（苏财购〔2020〕7号），本项目不收取响应保证金，供应商应在响应文件中提交《响应保证承诺书》（详见格式）。</w:t>
      </w:r>
      <w:r/>
    </w:p>
    <w:p>
      <w:pPr>
        <w:ind w:firstLine="422"/>
        <w:jc w:val="both"/>
        <w:spacing w:line="400" w:lineRule="exact"/>
        <w:widowControl w:val="off"/>
        <w:tabs>
          <w:tab w:val="left" w:pos="8930" w:leader="none"/>
          <w:tab w:val="left" w:pos="9306" w:leader="none"/>
        </w:tabs>
        <w:rPr>
          <w:rFonts w:ascii="宋体" w:hAnsi="宋体" w:cs="宋体"/>
          <w:b/>
          <w:color w:val="auto"/>
          <w:sz w:val="21"/>
          <w:szCs w:val="21"/>
          <w:highlight w:val="none"/>
        </w:rPr>
      </w:pPr>
      <w:r>
        <w:rPr>
          <w:rFonts w:hint="eastAsia" w:ascii="宋体" w:hAnsi="宋体" w:cs="宋体"/>
          <w:b/>
          <w:color w:val="auto"/>
          <w:sz w:val="21"/>
          <w:szCs w:val="21"/>
          <w:highlight w:val="none"/>
        </w:rPr>
        <w:t xml:space="preserve">1</w:t>
      </w:r>
      <w:r>
        <w:rPr>
          <w:rFonts w:ascii="宋体" w:hAnsi="宋体" w:cs="宋体"/>
          <w:b/>
          <w:color w:val="auto"/>
          <w:sz w:val="21"/>
          <w:szCs w:val="21"/>
          <w:highlight w:val="none"/>
        </w:rPr>
        <w:t xml:space="preserve">8</w:t>
      </w:r>
      <w:r>
        <w:rPr>
          <w:rFonts w:hint="eastAsia" w:ascii="宋体" w:hAnsi="宋体" w:cs="宋体"/>
          <w:b/>
          <w:color w:val="auto"/>
          <w:sz w:val="21"/>
          <w:szCs w:val="21"/>
          <w:highlight w:val="none"/>
        </w:rPr>
        <w:t xml:space="preserve">.响应文件的有效期</w:t>
      </w:r>
      <w:r/>
    </w:p>
    <w:p>
      <w:pPr>
        <w:ind w:firstLine="420"/>
        <w:jc w:val="both"/>
        <w:spacing w:line="400" w:lineRule="exact"/>
        <w:widowControl w:val="off"/>
        <w:tabs>
          <w:tab w:val="left" w:pos="8930" w:leader="none"/>
          <w:tab w:val="left" w:pos="9306"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18.1自响应文件提交（上传）截止之日起</w:t>
      </w:r>
      <w:r>
        <w:rPr>
          <w:rFonts w:hint="eastAsia" w:ascii="宋体" w:hAnsi="宋体" w:cs="宋体"/>
          <w:color w:val="auto"/>
          <w:sz w:val="21"/>
          <w:szCs w:val="21"/>
          <w:highlight w:val="none"/>
          <w:u w:val="single"/>
        </w:rPr>
        <w:t xml:space="preserve">60</w:t>
      </w:r>
      <w:r>
        <w:rPr>
          <w:rFonts w:hint="eastAsia" w:ascii="宋体" w:hAnsi="宋体" w:cs="宋体"/>
          <w:color w:val="auto"/>
          <w:sz w:val="21"/>
          <w:szCs w:val="21"/>
          <w:highlight w:val="none"/>
        </w:rPr>
        <w:t xml:space="preserve">天内，响应文件应保持有效。</w:t>
      </w:r>
      <w:r>
        <w:rPr>
          <w:rFonts w:hint="eastAsia" w:ascii="宋体" w:hAnsi="宋体" w:cs="宋体"/>
          <w:b/>
          <w:bCs/>
          <w:color w:val="auto"/>
          <w:sz w:val="21"/>
          <w:szCs w:val="21"/>
          <w:highlight w:val="none"/>
        </w:rPr>
        <w:t xml:space="preserve">有效期短于这个规定期限的响应文件，将被作无效处理。</w:t>
      </w:r>
      <w:r/>
    </w:p>
    <w:p>
      <w:pPr>
        <w:ind w:firstLine="420"/>
        <w:jc w:val="both"/>
        <w:spacing w:line="400" w:lineRule="exact"/>
        <w:widowControl w:val="off"/>
        <w:tabs>
          <w:tab w:val="left" w:pos="8930" w:leader="none"/>
          <w:tab w:val="left" w:pos="9306"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18.2在特殊情况下，采购人可与供应商协商延长响应文件的有效期。这种要求和答复都应以书面形式进行。同意延长有效期的供应商不能修改响应文件。</w:t>
      </w:r>
      <w:r>
        <w:rPr>
          <w:rFonts w:hint="eastAsia" w:ascii="宋体" w:hAnsi="宋体" w:cs="宋体"/>
          <w:b/>
          <w:bCs/>
          <w:color w:val="auto"/>
          <w:sz w:val="21"/>
          <w:szCs w:val="21"/>
          <w:highlight w:val="none"/>
        </w:rPr>
        <w:t xml:space="preserve">拒绝接受延期要求的供应商的响应文件将被作无效处理</w:t>
      </w:r>
      <w:r>
        <w:rPr>
          <w:rFonts w:hint="eastAsia" w:ascii="宋体" w:hAnsi="宋体" w:cs="宋体"/>
          <w:color w:val="auto"/>
          <w:sz w:val="21"/>
          <w:szCs w:val="21"/>
          <w:highlight w:val="none"/>
        </w:rPr>
        <w:t xml:space="preserve">。</w:t>
      </w:r>
      <w:r/>
    </w:p>
    <w:p>
      <w:pPr>
        <w:jc w:val="both"/>
        <w:spacing w:line="400" w:lineRule="exact"/>
        <w:widowControl w:val="off"/>
        <w:tabs>
          <w:tab w:val="left" w:pos="8930" w:leader="none"/>
          <w:tab w:val="left" w:pos="9306"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五、磋商与评审</w:t>
      </w:r>
      <w:r/>
    </w:p>
    <w:p>
      <w:pPr>
        <w:ind w:firstLine="422"/>
        <w:jc w:val="both"/>
        <w:spacing w:line="400" w:lineRule="exact"/>
        <w:widowControl w:val="off"/>
        <w:tabs>
          <w:tab w:val="left" w:pos="8930" w:leader="none"/>
          <w:tab w:val="left" w:pos="9306"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19.磋商程序</w:t>
      </w:r>
      <w:r/>
    </w:p>
    <w:p>
      <w:pPr>
        <w:pStyle w:val="935"/>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19.1采购代理机构按本须知规定的时间、地点主持磋商采购活动。</w:t>
      </w:r>
      <w:r/>
    </w:p>
    <w:p>
      <w:pPr>
        <w:pStyle w:val="935"/>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19.2供应商通过“苏采云”系统在线参与磋商活动。供应商应当按照《苏采云系统供应商操作手册》规定在 “苏采云”系统规定的时间内对响应文件进行解密。</w:t>
      </w:r>
      <w:r/>
    </w:p>
    <w:p>
      <w:pPr>
        <w:pStyle w:val="935"/>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19.3在磋商响应文件网上递交截止时间止成功解密的磋商供应商少于三家，则本次采购失败。</w:t>
      </w:r>
      <w:r/>
    </w:p>
    <w:p>
      <w:pPr>
        <w:pStyle w:val="935"/>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19.4由磋商小组审查供应商解密的响应文件。</w:t>
      </w:r>
      <w:r/>
    </w:p>
    <w:p>
      <w:pPr>
        <w:pStyle w:val="935"/>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19.5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935"/>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19.6磋商小组要求供应商澄清、说明或者更正响应文件应当以书面形式做出。供应商的澄清、说明或者更正应当由其单位加盖电子公章。</w:t>
      </w:r>
      <w:r/>
    </w:p>
    <w:p>
      <w:pPr>
        <w:pStyle w:val="777"/>
        <w:ind w:firstLine="422"/>
        <w:spacing w:line="400" w:lineRule="exact"/>
        <w:widowControl w:val="off"/>
        <w:rPr>
          <w:rFonts w:ascii="宋体" w:hAnsi="宋体" w:cs="宋体"/>
          <w:b/>
          <w:bCs/>
          <w:color w:val="auto"/>
          <w:sz w:val="21"/>
          <w:szCs w:val="21"/>
          <w:highlight w:val="none"/>
        </w:rPr>
      </w:pPr>
      <w:r>
        <w:rPr>
          <w:rFonts w:hint="eastAsia" w:ascii="宋体" w:hAnsi="宋体" w:cs="宋体"/>
          <w:b/>
          <w:color w:val="auto"/>
          <w:sz w:val="21"/>
          <w:szCs w:val="21"/>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b/>
          <w:bCs/>
          <w:color w:val="auto"/>
          <w:sz w:val="21"/>
          <w:szCs w:val="21"/>
          <w:highlight w:val="none"/>
        </w:rPr>
        <w:t xml:space="preserve">此处规定时间的计算以系统中的倒计时间为准，供应商应随时保持系统在线，如因供应商自身原因未在规定时间内提交澄清确认资料的，导致的不利后果由供应商自行承担。）</w:t>
      </w:r>
      <w:r/>
    </w:p>
    <w:p>
      <w:pPr>
        <w:pStyle w:val="935"/>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19.7对于通过资格审查和符合性审查的供应商，磋商小组所有成员集中与单一供应商分别进行磋商，并给予所有参加磋商的供应商平等的磋商机会。</w:t>
      </w:r>
      <w:r>
        <w:rPr>
          <w:rFonts w:hint="eastAsia" w:ascii="宋体" w:hAnsi="宋体" w:cs="宋体"/>
          <w:b/>
          <w:color w:val="auto"/>
          <w:szCs w:val="21"/>
          <w:highlight w:val="none"/>
        </w:rPr>
        <w:t xml:space="preserve">磋商小组通过“苏采云”系统向供应商发布“磋商函”，供应商应当按照要求在“苏采云”系统提交“磋商响应函”并加盖CA电子公章。</w:t>
      </w:r>
      <w:r/>
    </w:p>
    <w:p>
      <w:pPr>
        <w:pStyle w:val="935"/>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19.8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935"/>
        <w:ind w:firstLine="422"/>
        <w:spacing w:line="40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19.9磋商结束后，磋商小组将在“苏采云”系统向所有实质性响应的供应商发布“最后报价要求函”及最后报价格式表，要求所有实质性响应的供应商在规定时间内提交最后报价。</w:t>
      </w:r>
      <w:r/>
    </w:p>
    <w:p>
      <w:pPr>
        <w:pStyle w:val="935"/>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19.10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pStyle w:val="935"/>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已提交响应文件的供应商，在提交最后报价之前，可以根据磋商情况退出磋商，并在“苏采云”系统中提交“退出磋商函”并加盖CA电子公章。</w:t>
      </w:r>
      <w:r/>
    </w:p>
    <w:p>
      <w:pPr>
        <w:ind w:firstLine="422"/>
        <w:jc w:val="both"/>
        <w:spacing w:line="400" w:lineRule="exact"/>
        <w:widowControl w:val="off"/>
        <w:rPr>
          <w:rFonts w:ascii="宋体" w:hAnsi="宋体" w:cs="宋体"/>
          <w:b/>
          <w:color w:val="auto"/>
          <w:sz w:val="21"/>
          <w:szCs w:val="21"/>
          <w:highlight w:val="none"/>
          <w:lang w:val="zh-CN"/>
        </w:rPr>
      </w:pPr>
      <w:r>
        <w:rPr>
          <w:rFonts w:hint="eastAsia" w:ascii="宋体" w:hAnsi="宋体" w:cs="宋体"/>
          <w:b/>
          <w:color w:val="auto"/>
          <w:sz w:val="21"/>
          <w:szCs w:val="21"/>
          <w:highlight w:val="none"/>
          <w:lang w:val="zh-CN"/>
        </w:rPr>
        <w:t xml:space="preserve">注：</w:t>
      </w:r>
      <w:r>
        <w:rPr>
          <w:rFonts w:hint="eastAsia" w:ascii="宋体" w:hAnsi="宋体" w:cs="宋体"/>
          <w:b/>
          <w:color w:val="auto"/>
          <w:sz w:val="21"/>
          <w:szCs w:val="21"/>
          <w:highlight w:val="none"/>
        </w:rPr>
        <w:t xml:space="preserve">磋商过程中如有问题采购代理机构工作人员会及时通过《投标供应商确认函》留存的手机号或磋商响应函留存的手机号（如有）与供应商联系。请供应商确保系统在线状态且该手机号磋商当日通信畅通，否则导致对供应商不利的后果由供应商自行承担</w:t>
      </w:r>
      <w:r>
        <w:rPr>
          <w:rFonts w:hint="eastAsia" w:ascii="宋体" w:hAnsi="宋体" w:cs="宋体"/>
          <w:b/>
          <w:color w:val="auto"/>
          <w:sz w:val="21"/>
          <w:szCs w:val="21"/>
          <w:highlight w:val="none"/>
          <w:lang w:val="zh-CN"/>
        </w:rPr>
        <w:t xml:space="preserve">。</w:t>
      </w:r>
      <w:r/>
    </w:p>
    <w:p>
      <w:pPr>
        <w:pStyle w:val="935"/>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19.11经磋商确定最终采购需求和提交最后报价的供应商后，由磋商小组采用综合评分法对提交最后报价的供应商的响应文件和最后报价进行综合评分。</w:t>
      </w:r>
      <w:r/>
    </w:p>
    <w:p>
      <w:pPr>
        <w:pStyle w:val="935"/>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19.12磋商小组根据磋商成交原则确定成交供应商。</w:t>
      </w:r>
      <w:r/>
    </w:p>
    <w:p>
      <w:pPr>
        <w:pStyle w:val="935"/>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19.13如磋商过程中出现本采购文件未尽事宜，由磋商小组根据政府采购有关法律法规讨论决定。</w:t>
      </w:r>
      <w:r/>
    </w:p>
    <w:p>
      <w:pPr>
        <w:ind w:firstLine="422"/>
        <w:jc w:val="both"/>
        <w:spacing w:line="400" w:lineRule="exact"/>
        <w:widowControl w:val="off"/>
        <w:tabs>
          <w:tab w:val="left" w:pos="8930" w:leader="none"/>
          <w:tab w:val="left" w:pos="9306" w:leader="none"/>
        </w:tabs>
        <w:rPr>
          <w:rFonts w:ascii="宋体" w:hAnsi="宋体" w:cs="宋体"/>
          <w:b/>
          <w:color w:val="auto"/>
          <w:sz w:val="21"/>
          <w:szCs w:val="21"/>
          <w:highlight w:val="none"/>
        </w:rPr>
      </w:pPr>
      <w:r>
        <w:rPr>
          <w:rFonts w:hint="eastAsia" w:ascii="宋体" w:hAnsi="宋体" w:cs="宋体"/>
          <w:b/>
          <w:color w:val="auto"/>
          <w:sz w:val="21"/>
          <w:szCs w:val="21"/>
          <w:highlight w:val="none"/>
        </w:rPr>
        <w:t xml:space="preserve">20.磋商小组</w:t>
      </w:r>
      <w:r/>
    </w:p>
    <w:p>
      <w:pPr>
        <w:ind w:firstLine="422"/>
        <w:jc w:val="both"/>
        <w:spacing w:line="400" w:lineRule="exact"/>
        <w:widowControl w:val="off"/>
        <w:tabs>
          <w:tab w:val="left" w:pos="8930" w:leader="none"/>
          <w:tab w:val="left" w:pos="9306" w:leader="none"/>
        </w:tabs>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20.1磋商小组由采购人依法组建，由采购人代表、专家评委组成。</w:t>
      </w:r>
      <w:r/>
    </w:p>
    <w:p>
      <w:pPr>
        <w:ind w:firstLine="422"/>
        <w:jc w:val="both"/>
        <w:spacing w:line="400" w:lineRule="exact"/>
        <w:widowControl w:val="off"/>
        <w:tabs>
          <w:tab w:val="left" w:pos="8930" w:leader="none"/>
          <w:tab w:val="left" w:pos="9306" w:leader="none"/>
        </w:tabs>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20.2磋商小组负责具体的磋商事务，并独立履行以下职责：</w:t>
      </w:r>
      <w:r/>
    </w:p>
    <w:p>
      <w:pPr>
        <w:ind w:firstLine="422"/>
        <w:jc w:val="both"/>
        <w:spacing w:line="400" w:lineRule="exact"/>
        <w:widowControl w:val="off"/>
        <w:tabs>
          <w:tab w:val="left" w:pos="8930" w:leader="none"/>
          <w:tab w:val="left" w:pos="9306" w:leader="none"/>
        </w:tabs>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20.2.1审查响应文件是否符合采购文件的要求，并做出评价；</w:t>
      </w:r>
      <w:r/>
    </w:p>
    <w:p>
      <w:pPr>
        <w:ind w:firstLine="422"/>
        <w:jc w:val="both"/>
        <w:spacing w:line="400" w:lineRule="exact"/>
        <w:widowControl w:val="off"/>
        <w:tabs>
          <w:tab w:val="left" w:pos="8930" w:leader="none"/>
          <w:tab w:val="left" w:pos="9306" w:leader="none"/>
        </w:tabs>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20.2.2可以要求供应商对响应文件有关事项做出解释或澄清；</w:t>
      </w:r>
      <w:r/>
    </w:p>
    <w:p>
      <w:pPr>
        <w:ind w:firstLine="422"/>
        <w:jc w:val="both"/>
        <w:spacing w:line="400" w:lineRule="exact"/>
        <w:widowControl w:val="off"/>
        <w:tabs>
          <w:tab w:val="left" w:pos="8930" w:leader="none"/>
          <w:tab w:val="left" w:pos="9306" w:leader="none"/>
        </w:tabs>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20.2.3推荐成交候选供应商名单；</w:t>
      </w:r>
      <w:r/>
    </w:p>
    <w:p>
      <w:pPr>
        <w:ind w:firstLine="422"/>
        <w:jc w:val="both"/>
        <w:spacing w:line="400" w:lineRule="exact"/>
        <w:widowControl w:val="off"/>
        <w:tabs>
          <w:tab w:val="left" w:pos="8930" w:leader="none"/>
          <w:tab w:val="left" w:pos="9306" w:leader="none"/>
        </w:tabs>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20.2.4向采购人或者有关部门报告非法干预磋商工作的行为。</w:t>
      </w:r>
      <w:r/>
    </w:p>
    <w:p>
      <w:pPr>
        <w:ind w:firstLine="422"/>
        <w:jc w:val="both"/>
        <w:spacing w:line="400" w:lineRule="exact"/>
        <w:widowControl w:val="off"/>
        <w:tabs>
          <w:tab w:val="left" w:pos="8930" w:leader="none"/>
          <w:tab w:val="left" w:pos="9306" w:leader="none"/>
        </w:tabs>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20.3磋商小组成员应当履行下列义务：</w:t>
      </w:r>
      <w:r/>
    </w:p>
    <w:p>
      <w:pPr>
        <w:ind w:firstLine="422"/>
        <w:jc w:val="both"/>
        <w:spacing w:line="400" w:lineRule="exact"/>
        <w:widowControl w:val="off"/>
        <w:tabs>
          <w:tab w:val="left" w:pos="8930" w:leader="none"/>
          <w:tab w:val="left" w:pos="9306" w:leader="none"/>
        </w:tabs>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20.3.1遵纪守法，客观、公正、廉洁地履行职责；</w:t>
      </w:r>
      <w:r/>
    </w:p>
    <w:p>
      <w:pPr>
        <w:ind w:firstLine="422"/>
        <w:jc w:val="both"/>
        <w:spacing w:line="400" w:lineRule="exact"/>
        <w:widowControl w:val="off"/>
        <w:tabs>
          <w:tab w:val="left" w:pos="8930" w:leader="none"/>
          <w:tab w:val="left" w:pos="9306" w:leader="none"/>
        </w:tabs>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20.3.2按照采购文件规定的评审办法和评分标准进行评审，对评审意见承担个人责任；</w:t>
      </w:r>
      <w:r/>
    </w:p>
    <w:p>
      <w:pPr>
        <w:ind w:firstLine="422"/>
        <w:jc w:val="both"/>
        <w:spacing w:line="400" w:lineRule="exact"/>
        <w:widowControl w:val="off"/>
        <w:tabs>
          <w:tab w:val="left" w:pos="8930" w:leader="none"/>
          <w:tab w:val="left" w:pos="9306" w:leader="none"/>
        </w:tabs>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20.3.3对磋商过程和结果，以及供应商的商业秘密保密；</w:t>
      </w:r>
      <w:r/>
    </w:p>
    <w:p>
      <w:pPr>
        <w:ind w:firstLine="422"/>
        <w:jc w:val="both"/>
        <w:spacing w:line="400" w:lineRule="exact"/>
        <w:widowControl w:val="off"/>
        <w:tabs>
          <w:tab w:val="left" w:pos="8930" w:leader="none"/>
          <w:tab w:val="left" w:pos="9306" w:leader="none"/>
        </w:tabs>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20.3.4参与评审报告的起草；</w:t>
      </w:r>
      <w:r/>
    </w:p>
    <w:p>
      <w:pPr>
        <w:ind w:firstLine="422"/>
        <w:jc w:val="both"/>
        <w:spacing w:line="400" w:lineRule="exact"/>
        <w:widowControl w:val="off"/>
        <w:tabs>
          <w:tab w:val="left" w:pos="8930" w:leader="none"/>
          <w:tab w:val="left" w:pos="9306" w:leader="none"/>
        </w:tabs>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20.3.5配合相关部门的投诉处理工作；</w:t>
      </w:r>
      <w:r/>
    </w:p>
    <w:p>
      <w:pPr>
        <w:ind w:firstLine="422"/>
        <w:jc w:val="both"/>
        <w:spacing w:line="400" w:lineRule="exact"/>
        <w:widowControl w:val="off"/>
        <w:tabs>
          <w:tab w:val="left" w:pos="8930" w:leader="none"/>
          <w:tab w:val="left" w:pos="9306" w:leader="none"/>
        </w:tabs>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20.3.6配合采购人答复供应商提出的质疑。</w:t>
      </w:r>
      <w:r/>
    </w:p>
    <w:p>
      <w:pPr>
        <w:ind w:firstLine="422"/>
        <w:jc w:val="both"/>
        <w:spacing w:line="400" w:lineRule="exact"/>
        <w:widowControl w:val="off"/>
        <w:tabs>
          <w:tab w:val="left" w:pos="8930" w:leader="none"/>
          <w:tab w:val="left" w:pos="9306" w:leader="none"/>
        </w:tabs>
        <w:rPr>
          <w:rFonts w:ascii="宋体" w:hAnsi="宋体" w:cs="宋体"/>
          <w:b/>
          <w:color w:val="auto"/>
          <w:sz w:val="21"/>
          <w:szCs w:val="21"/>
          <w:highlight w:val="none"/>
        </w:rPr>
      </w:pPr>
      <w:r>
        <w:rPr>
          <w:rFonts w:hint="eastAsia" w:ascii="宋体" w:hAnsi="宋体" w:cs="宋体"/>
          <w:b/>
          <w:color w:val="auto"/>
          <w:sz w:val="21"/>
          <w:szCs w:val="21"/>
          <w:highlight w:val="none"/>
        </w:rPr>
        <w:t xml:space="preserve">21.评审内容的保密</w:t>
      </w:r>
      <w:r/>
    </w:p>
    <w:p>
      <w:pPr>
        <w:ind w:firstLine="420"/>
        <w:jc w:val="both"/>
        <w:spacing w:line="400" w:lineRule="exact"/>
        <w:widowControl w:val="off"/>
        <w:tabs>
          <w:tab w:val="left" w:pos="8930" w:leader="none"/>
          <w:tab w:val="left" w:pos="9306"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21.1评审开始后，直到宣布授予成交供应商合同为止，凡属于审查、澄清、评价和比较响应文件的所有资料，有关授予合同的信息都不应向供应商或与评审无关的其他人泄露。</w:t>
      </w:r>
      <w:r/>
    </w:p>
    <w:p>
      <w:pPr>
        <w:ind w:firstLine="420"/>
        <w:jc w:val="both"/>
        <w:spacing w:line="400" w:lineRule="exact"/>
        <w:widowControl w:val="off"/>
        <w:tabs>
          <w:tab w:val="left" w:pos="8930" w:leader="none"/>
          <w:tab w:val="left" w:pos="9306"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21.2在响应文件的审查、澄清、评价和比较以及授予合同的过程中，供应商对采购人和磋商小组施加影响的任何行为，都将取消其成交资格。</w:t>
      </w:r>
      <w:r/>
    </w:p>
    <w:p>
      <w:pPr>
        <w:ind w:firstLine="420"/>
        <w:jc w:val="both"/>
        <w:spacing w:line="400" w:lineRule="exact"/>
        <w:widowControl w:val="off"/>
        <w:tabs>
          <w:tab w:val="left" w:pos="8930" w:leader="none"/>
          <w:tab w:val="left" w:pos="9306"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21.3在评审期间，采购人或采购代理机构将通过指定联络人与供应商进行联系，供应商授权代表须保证联系电话通畅，否则导致的对供应商不利的后果由供应商自行承担。</w:t>
      </w:r>
      <w:r/>
    </w:p>
    <w:p>
      <w:pPr>
        <w:ind w:firstLine="422"/>
        <w:jc w:val="both"/>
        <w:spacing w:line="400" w:lineRule="exact"/>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22.对响应文件的初审</w:t>
      </w:r>
      <w:r/>
    </w:p>
    <w:p>
      <w:pPr>
        <w:pStyle w:val="982"/>
        <w:ind w:firstLine="420"/>
        <w:spacing w:line="400" w:lineRule="exact"/>
        <w:widowControl w:val="off"/>
        <w:rPr>
          <w:rFonts w:hAnsi="宋体" w:cs="宋体"/>
          <w:color w:val="auto"/>
          <w:sz w:val="21"/>
          <w:szCs w:val="21"/>
          <w:highlight w:val="none"/>
        </w:rPr>
      </w:pPr>
      <w:r>
        <w:rPr>
          <w:rFonts w:hint="eastAsia" w:hAnsi="宋体" w:cs="宋体"/>
          <w:bCs/>
          <w:color w:val="auto"/>
          <w:sz w:val="21"/>
          <w:szCs w:val="21"/>
          <w:highlight w:val="none"/>
        </w:rPr>
        <w:t xml:space="preserve">22</w:t>
      </w:r>
      <w:r>
        <w:rPr>
          <w:rFonts w:hint="eastAsia" w:hAnsi="宋体" w:cs="宋体"/>
          <w:color w:val="auto"/>
          <w:sz w:val="21"/>
          <w:szCs w:val="21"/>
          <w:highlight w:val="none"/>
        </w:rPr>
        <w:t xml:space="preserve">.1开始磋商后，磋商小组将依法对响应供应商的资格进行审查。合格供应商不足3家的，本项目采购失败。</w:t>
      </w:r>
      <w:r/>
    </w:p>
    <w:p>
      <w:pPr>
        <w:ind w:firstLine="420"/>
        <w:jc w:val="both"/>
        <w:spacing w:line="400" w:lineRule="exact"/>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22.2磋商小组将审查响应文件是否实质性响应采购文件的要求、内容是否完整、价格构成有无计算错误、文件签署是否齐全等，响应文件有下列情况之一者，且磋商小组认为在磋商承诺函中无法修正的则有权将其作无效响应处理：</w:t>
      </w:r>
      <w:r/>
    </w:p>
    <w:p>
      <w:pPr>
        <w:ind w:firstLine="420"/>
        <w:jc w:val="both"/>
        <w:spacing w:line="400" w:lineRule="exact"/>
        <w:widowControl w:val="off"/>
        <w:rPr>
          <w:rFonts w:ascii="宋体" w:hAnsi="宋体" w:cs="宋体"/>
          <w:color w:val="auto"/>
          <w:sz w:val="21"/>
          <w:szCs w:val="21"/>
          <w:highlight w:val="none"/>
        </w:rPr>
      </w:pPr>
      <w:r>
        <w:rPr>
          <w:rFonts w:hint="eastAsia" w:ascii="宋体" w:hAnsi="宋体" w:cs="宋体"/>
          <w:bCs/>
          <w:color w:val="auto"/>
          <w:sz w:val="21"/>
          <w:szCs w:val="21"/>
          <w:highlight w:val="none"/>
        </w:rPr>
        <w:t xml:space="preserve">22</w:t>
      </w:r>
      <w:r>
        <w:rPr>
          <w:rFonts w:hint="eastAsia" w:ascii="宋体" w:hAnsi="宋体" w:cs="宋体"/>
          <w:color w:val="auto"/>
          <w:sz w:val="21"/>
          <w:szCs w:val="21"/>
          <w:highlight w:val="none"/>
        </w:rPr>
        <w:t xml:space="preserve">.2.1响应文件未按照本须知规定制作的；</w:t>
      </w:r>
      <w:r/>
    </w:p>
    <w:p>
      <w:pPr>
        <w:ind w:firstLine="420"/>
        <w:jc w:val="both"/>
        <w:spacing w:line="400" w:lineRule="exact"/>
        <w:widowControl w:val="off"/>
        <w:rPr>
          <w:rFonts w:ascii="宋体" w:hAnsi="宋体" w:cs="宋体"/>
          <w:color w:val="auto"/>
          <w:sz w:val="21"/>
          <w:szCs w:val="21"/>
          <w:highlight w:val="none"/>
        </w:rPr>
      </w:pPr>
      <w:r>
        <w:rPr>
          <w:rFonts w:hint="eastAsia" w:ascii="宋体" w:hAnsi="宋体" w:cs="宋体"/>
          <w:bCs/>
          <w:color w:val="auto"/>
          <w:sz w:val="21"/>
          <w:szCs w:val="21"/>
          <w:highlight w:val="none"/>
        </w:rPr>
        <w:t xml:space="preserve">22</w:t>
      </w:r>
      <w:r>
        <w:rPr>
          <w:rFonts w:hint="eastAsia" w:ascii="宋体" w:hAnsi="宋体" w:cs="宋体"/>
          <w:color w:val="auto"/>
          <w:sz w:val="21"/>
          <w:szCs w:val="21"/>
          <w:highlight w:val="none"/>
        </w:rPr>
        <w:t xml:space="preserve">.2.2与采购文件有重大偏离；</w:t>
      </w:r>
      <w:r/>
    </w:p>
    <w:p>
      <w:pPr>
        <w:ind w:firstLine="420"/>
        <w:jc w:val="both"/>
        <w:spacing w:line="400" w:lineRule="exact"/>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22.2.3报价超过采购文件中规定的预算金额或最高限价金额的；</w:t>
      </w:r>
      <w:r/>
    </w:p>
    <w:p>
      <w:pPr>
        <w:ind w:firstLine="420"/>
        <w:jc w:val="both"/>
        <w:spacing w:line="400" w:lineRule="exact"/>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22.2.4磋商小组认为供应商的报价明显低于其他供应商的报价，有可能影响服务质量或者不能诚信履约的，未在磋商现场合理的时间内提供书面说明或相关证明材料，不能证明其报价合理的；</w:t>
      </w:r>
      <w:r/>
    </w:p>
    <w:p>
      <w:pPr>
        <w:ind w:firstLine="420"/>
        <w:jc w:val="both"/>
        <w:spacing w:line="400" w:lineRule="exact"/>
        <w:widowControl w:val="off"/>
        <w:rPr>
          <w:rFonts w:ascii="宋体" w:hAnsi="宋体" w:cs="宋体"/>
          <w:color w:val="auto"/>
          <w:sz w:val="21"/>
          <w:szCs w:val="21"/>
          <w:highlight w:val="none"/>
        </w:rPr>
      </w:pPr>
      <w:r>
        <w:rPr>
          <w:rFonts w:hint="eastAsia" w:ascii="宋体" w:hAnsi="宋体" w:cs="宋体"/>
          <w:bCs/>
          <w:color w:val="auto"/>
          <w:sz w:val="21"/>
          <w:szCs w:val="21"/>
          <w:highlight w:val="none"/>
        </w:rPr>
        <w:t xml:space="preserve">22</w:t>
      </w:r>
      <w:r>
        <w:rPr>
          <w:rFonts w:hint="eastAsia" w:ascii="宋体" w:hAnsi="宋体" w:cs="宋体"/>
          <w:color w:val="auto"/>
          <w:sz w:val="21"/>
          <w:szCs w:val="21"/>
          <w:highlight w:val="none"/>
        </w:rPr>
        <w:t xml:space="preserve">.2.5供应商拒绝修正错误；</w:t>
      </w:r>
      <w:r/>
    </w:p>
    <w:p>
      <w:pPr>
        <w:ind w:firstLine="420"/>
        <w:jc w:val="both"/>
        <w:spacing w:line="400" w:lineRule="exact"/>
        <w:widowControl w:val="off"/>
        <w:rPr>
          <w:rFonts w:ascii="宋体" w:hAnsi="宋体" w:cs="宋体"/>
          <w:color w:val="auto"/>
          <w:sz w:val="21"/>
          <w:szCs w:val="21"/>
          <w:highlight w:val="none"/>
        </w:rPr>
      </w:pPr>
      <w:r>
        <w:rPr>
          <w:rFonts w:hint="eastAsia" w:ascii="宋体" w:hAnsi="宋体" w:cs="宋体"/>
          <w:bCs/>
          <w:color w:val="auto"/>
          <w:sz w:val="21"/>
          <w:szCs w:val="21"/>
          <w:highlight w:val="none"/>
        </w:rPr>
        <w:t xml:space="preserve">22</w:t>
      </w:r>
      <w:r>
        <w:rPr>
          <w:rFonts w:hint="eastAsia" w:ascii="宋体" w:hAnsi="宋体" w:cs="宋体"/>
          <w:color w:val="auto"/>
          <w:sz w:val="21"/>
          <w:szCs w:val="21"/>
          <w:highlight w:val="none"/>
        </w:rPr>
        <w:t xml:space="preserve">.2.6供应商的报价是选择性的；</w:t>
      </w:r>
      <w:r/>
    </w:p>
    <w:p>
      <w:pPr>
        <w:ind w:firstLine="420"/>
        <w:jc w:val="both"/>
        <w:spacing w:line="400" w:lineRule="exact"/>
        <w:widowControl w:val="off"/>
        <w:rPr>
          <w:rFonts w:ascii="宋体" w:hAnsi="宋体" w:cs="宋体"/>
          <w:color w:val="auto"/>
          <w:sz w:val="21"/>
          <w:szCs w:val="21"/>
          <w:highlight w:val="none"/>
        </w:rPr>
      </w:pPr>
      <w:r>
        <w:rPr>
          <w:rFonts w:hint="eastAsia" w:ascii="宋体" w:hAnsi="宋体" w:cs="宋体"/>
          <w:bCs/>
          <w:color w:val="auto"/>
          <w:sz w:val="21"/>
          <w:szCs w:val="21"/>
          <w:highlight w:val="none"/>
        </w:rPr>
        <w:t xml:space="preserve">22</w:t>
      </w:r>
      <w:r>
        <w:rPr>
          <w:rFonts w:hint="eastAsia" w:ascii="宋体" w:hAnsi="宋体" w:cs="宋体"/>
          <w:color w:val="auto"/>
          <w:sz w:val="21"/>
          <w:szCs w:val="21"/>
          <w:highlight w:val="none"/>
        </w:rPr>
        <w:t xml:space="preserve">.2.7供应商的报价只投了部分内容；</w:t>
      </w:r>
      <w:r/>
    </w:p>
    <w:p>
      <w:pPr>
        <w:ind w:firstLine="420"/>
        <w:jc w:val="both"/>
        <w:spacing w:line="400" w:lineRule="exact"/>
        <w:widowControl w:val="off"/>
        <w:rPr>
          <w:rFonts w:ascii="宋体" w:hAnsi="宋体" w:cs="宋体"/>
          <w:color w:val="auto"/>
          <w:sz w:val="21"/>
          <w:szCs w:val="21"/>
          <w:highlight w:val="none"/>
        </w:rPr>
      </w:pPr>
      <w:r>
        <w:rPr>
          <w:rFonts w:hint="eastAsia" w:ascii="宋体" w:hAnsi="宋体" w:cs="宋体"/>
          <w:bCs/>
          <w:color w:val="auto"/>
          <w:sz w:val="21"/>
          <w:szCs w:val="21"/>
          <w:highlight w:val="none"/>
        </w:rPr>
        <w:t xml:space="preserve">22</w:t>
      </w:r>
      <w:r>
        <w:rPr>
          <w:rFonts w:hint="eastAsia" w:ascii="宋体" w:hAnsi="宋体" w:cs="宋体"/>
          <w:color w:val="auto"/>
          <w:sz w:val="21"/>
          <w:szCs w:val="21"/>
          <w:highlight w:val="none"/>
        </w:rPr>
        <w:t xml:space="preserve">.2.8供应商的响应文件出现了磋商小组认为不应当雷同的情况；</w:t>
      </w:r>
      <w:r/>
    </w:p>
    <w:p>
      <w:pPr>
        <w:ind w:firstLine="420"/>
        <w:jc w:val="both"/>
        <w:spacing w:line="400" w:lineRule="exact"/>
        <w:widowControl w:val="off"/>
        <w:rPr>
          <w:rFonts w:ascii="宋体" w:hAnsi="宋体" w:cs="宋体"/>
          <w:b/>
          <w:bCs/>
          <w:color w:val="auto"/>
          <w:sz w:val="21"/>
          <w:szCs w:val="21"/>
          <w:highlight w:val="none"/>
          <w:lang w:val="zh-CN"/>
        </w:rPr>
      </w:pPr>
      <w:r>
        <w:rPr>
          <w:rFonts w:hint="eastAsia" w:ascii="宋体" w:hAnsi="宋体" w:cs="宋体"/>
          <w:bCs/>
          <w:color w:val="auto"/>
          <w:sz w:val="21"/>
          <w:szCs w:val="21"/>
          <w:highlight w:val="none"/>
        </w:rPr>
        <w:t xml:space="preserve">22</w:t>
      </w:r>
      <w:r>
        <w:rPr>
          <w:rFonts w:hint="eastAsia" w:ascii="宋体" w:hAnsi="宋体" w:cs="宋体"/>
          <w:color w:val="auto"/>
          <w:sz w:val="21"/>
          <w:szCs w:val="21"/>
          <w:highlight w:val="none"/>
        </w:rPr>
        <w:t xml:space="preserve">.2.9</w:t>
      </w:r>
      <w:r>
        <w:rPr>
          <w:rFonts w:hint="eastAsia" w:ascii="宋体" w:hAnsi="宋体" w:cs="宋体"/>
          <w:b/>
          <w:bCs/>
          <w:color w:val="auto"/>
          <w:sz w:val="21"/>
          <w:szCs w:val="21"/>
          <w:highlight w:val="none"/>
          <w:lang w:val="zh-CN"/>
        </w:rPr>
        <w:t xml:space="preserve">不同供应商响应文件“机器码一致”；</w:t>
      </w:r>
      <w:r/>
    </w:p>
    <w:p>
      <w:pPr>
        <w:ind w:firstLine="420"/>
        <w:jc w:val="both"/>
        <w:spacing w:line="400" w:lineRule="exact"/>
        <w:widowControl w:val="off"/>
        <w:rPr>
          <w:rFonts w:ascii="宋体" w:hAnsi="宋体" w:cs="宋体"/>
          <w:color w:val="auto"/>
          <w:sz w:val="21"/>
          <w:szCs w:val="21"/>
          <w:highlight w:val="none"/>
        </w:rPr>
      </w:pPr>
      <w:r>
        <w:rPr>
          <w:rFonts w:hint="eastAsia" w:ascii="宋体" w:hAnsi="宋体" w:cs="宋体"/>
          <w:bCs/>
          <w:color w:val="auto"/>
          <w:sz w:val="21"/>
          <w:szCs w:val="21"/>
          <w:highlight w:val="none"/>
        </w:rPr>
        <w:t xml:space="preserve">22</w:t>
      </w:r>
      <w:r>
        <w:rPr>
          <w:rFonts w:hint="eastAsia" w:ascii="宋体" w:hAnsi="宋体" w:cs="宋体"/>
          <w:color w:val="auto"/>
          <w:sz w:val="21"/>
          <w:szCs w:val="21"/>
          <w:highlight w:val="none"/>
        </w:rPr>
        <w:t xml:space="preserve">.2.10其他磋商小组认定无效的情况。</w:t>
      </w:r>
      <w:r/>
    </w:p>
    <w:p>
      <w:pPr>
        <w:ind w:firstLine="420"/>
        <w:jc w:val="both"/>
        <w:spacing w:line="400" w:lineRule="exact"/>
        <w:widowControl w:val="off"/>
        <w:rPr>
          <w:rFonts w:ascii="宋体" w:hAnsi="宋体" w:cs="宋体"/>
          <w:color w:val="auto"/>
          <w:sz w:val="21"/>
          <w:szCs w:val="21"/>
          <w:highlight w:val="none"/>
          <w:lang w:val="zh-TW"/>
        </w:rPr>
      </w:pPr>
      <w:r>
        <w:rPr>
          <w:rFonts w:hint="eastAsia" w:ascii="宋体" w:hAnsi="宋体" w:cs="宋体"/>
          <w:bCs/>
          <w:color w:val="auto"/>
          <w:sz w:val="21"/>
          <w:szCs w:val="21"/>
          <w:highlight w:val="none"/>
        </w:rPr>
        <w:t xml:space="preserve">22</w:t>
      </w: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val="zh-TW" w:eastAsia="zh-TW"/>
        </w:rPr>
        <w:t xml:space="preserve">在详细</w:t>
      </w:r>
      <w:r>
        <w:rPr>
          <w:rFonts w:hint="eastAsia" w:ascii="宋体" w:hAnsi="宋体" w:cs="宋体"/>
          <w:color w:val="auto"/>
          <w:sz w:val="21"/>
          <w:szCs w:val="21"/>
          <w:highlight w:val="none"/>
          <w:lang w:val="zh-TW"/>
        </w:rPr>
        <w:t xml:space="preserve">评审</w:t>
      </w:r>
      <w:r>
        <w:rPr>
          <w:rFonts w:hint="eastAsia" w:ascii="宋体" w:hAnsi="宋体" w:cs="宋体"/>
          <w:color w:val="auto"/>
          <w:sz w:val="21"/>
          <w:szCs w:val="21"/>
          <w:highlight w:val="none"/>
          <w:lang w:val="zh-TW" w:eastAsia="zh-TW"/>
        </w:rPr>
        <w:t xml:space="preserve">之前，</w:t>
      </w:r>
      <w:r>
        <w:rPr>
          <w:rFonts w:hint="eastAsia" w:ascii="宋体" w:hAnsi="宋体" w:cs="宋体"/>
          <w:color w:val="auto"/>
          <w:sz w:val="21"/>
          <w:szCs w:val="21"/>
          <w:highlight w:val="none"/>
          <w:lang w:val="zh-TW"/>
        </w:rPr>
        <w:t xml:space="preserve">磋商小组</w:t>
      </w:r>
      <w:r>
        <w:rPr>
          <w:rFonts w:hint="eastAsia" w:ascii="宋体" w:hAnsi="宋体" w:cs="宋体"/>
          <w:color w:val="auto"/>
          <w:sz w:val="21"/>
          <w:szCs w:val="21"/>
          <w:highlight w:val="none"/>
          <w:lang w:val="zh-TW" w:eastAsia="zh-TW"/>
        </w:rPr>
        <w:t xml:space="preserve">将首先审查每份</w:t>
      </w:r>
      <w:r>
        <w:rPr>
          <w:rFonts w:hint="eastAsia" w:ascii="宋体" w:hAnsi="宋体" w:cs="宋体"/>
          <w:color w:val="auto"/>
          <w:sz w:val="21"/>
          <w:szCs w:val="21"/>
          <w:highlight w:val="none"/>
          <w:lang w:val="zh-TW"/>
        </w:rPr>
        <w:t xml:space="preserve">响应文件</w:t>
      </w:r>
      <w:r>
        <w:rPr>
          <w:rFonts w:hint="eastAsia" w:ascii="宋体" w:hAnsi="宋体" w:cs="宋体"/>
          <w:color w:val="auto"/>
          <w:sz w:val="21"/>
          <w:szCs w:val="21"/>
          <w:highlight w:val="none"/>
          <w:lang w:val="zh-TW" w:eastAsia="zh-TW"/>
        </w:rPr>
        <w:t xml:space="preserve">是否实质响应了</w:t>
      </w:r>
      <w:r>
        <w:rPr>
          <w:rFonts w:hint="eastAsia" w:ascii="宋体" w:hAnsi="宋体" w:cs="宋体"/>
          <w:color w:val="auto"/>
          <w:sz w:val="21"/>
          <w:szCs w:val="21"/>
          <w:highlight w:val="none"/>
          <w:lang w:val="zh-TW"/>
        </w:rPr>
        <w:t xml:space="preserve">采购</w:t>
      </w:r>
      <w:r>
        <w:rPr>
          <w:rFonts w:hint="eastAsia" w:ascii="宋体" w:hAnsi="宋体" w:cs="宋体"/>
          <w:color w:val="auto"/>
          <w:sz w:val="21"/>
          <w:szCs w:val="21"/>
          <w:highlight w:val="none"/>
          <w:lang w:val="zh-TW" w:eastAsia="zh-TW"/>
        </w:rPr>
        <w:t xml:space="preserve">文件的要求。实质</w:t>
      </w:r>
      <w:r>
        <w:rPr>
          <w:rFonts w:hint="eastAsia" w:ascii="宋体" w:hAnsi="宋体" w:cs="宋体"/>
          <w:color w:val="auto"/>
          <w:sz w:val="21"/>
          <w:szCs w:val="21"/>
          <w:highlight w:val="none"/>
          <w:lang w:val="zh-TW"/>
        </w:rPr>
        <w:t xml:space="preserve">上</w:t>
      </w:r>
      <w:r>
        <w:rPr>
          <w:rFonts w:hint="eastAsia" w:ascii="宋体" w:hAnsi="宋体" w:cs="宋体"/>
          <w:color w:val="auto"/>
          <w:sz w:val="21"/>
          <w:szCs w:val="21"/>
          <w:highlight w:val="none"/>
          <w:lang w:val="zh-TW" w:eastAsia="zh-TW"/>
        </w:rPr>
        <w:t xml:space="preserve">响应的</w:t>
      </w:r>
      <w:r>
        <w:rPr>
          <w:rFonts w:hint="eastAsia" w:ascii="宋体" w:hAnsi="宋体" w:cs="宋体"/>
          <w:color w:val="auto"/>
          <w:sz w:val="21"/>
          <w:szCs w:val="21"/>
          <w:highlight w:val="none"/>
          <w:lang w:val="zh-TW"/>
        </w:rPr>
        <w:t xml:space="preserve">文件应该</w:t>
      </w:r>
      <w:r>
        <w:rPr>
          <w:rFonts w:hint="eastAsia" w:ascii="宋体" w:hAnsi="宋体" w:cs="宋体"/>
          <w:color w:val="auto"/>
          <w:sz w:val="21"/>
          <w:szCs w:val="21"/>
          <w:highlight w:val="none"/>
          <w:lang w:val="zh-TW" w:eastAsia="zh-TW"/>
        </w:rPr>
        <w:t xml:space="preserve">与</w:t>
      </w:r>
      <w:r>
        <w:rPr>
          <w:rFonts w:hint="eastAsia" w:ascii="宋体" w:hAnsi="宋体" w:cs="宋体"/>
          <w:color w:val="auto"/>
          <w:sz w:val="21"/>
          <w:szCs w:val="21"/>
          <w:highlight w:val="none"/>
          <w:lang w:val="zh-TW"/>
        </w:rPr>
        <w:t xml:space="preserve">采购</w:t>
      </w:r>
      <w:r>
        <w:rPr>
          <w:rFonts w:hint="eastAsia" w:ascii="宋体" w:hAnsi="宋体" w:cs="宋体"/>
          <w:color w:val="auto"/>
          <w:sz w:val="21"/>
          <w:szCs w:val="21"/>
          <w:highlight w:val="none"/>
          <w:lang w:val="zh-TW" w:eastAsia="zh-TW"/>
        </w:rPr>
        <w:t xml:space="preserve">文件的条款、条件和规格相符，没有重大偏离或保留。所谓重大偏离或保留是指在实质上与</w:t>
      </w:r>
      <w:r>
        <w:rPr>
          <w:rFonts w:hint="eastAsia" w:ascii="宋体" w:hAnsi="宋体" w:cs="宋体"/>
          <w:color w:val="auto"/>
          <w:sz w:val="21"/>
          <w:szCs w:val="21"/>
          <w:highlight w:val="none"/>
          <w:lang w:val="zh-TW"/>
        </w:rPr>
        <w:t xml:space="preserve">采购</w:t>
      </w:r>
      <w:r>
        <w:rPr>
          <w:rFonts w:hint="eastAsia" w:ascii="宋体" w:hAnsi="宋体" w:cs="宋体"/>
          <w:color w:val="auto"/>
          <w:sz w:val="21"/>
          <w:szCs w:val="21"/>
          <w:highlight w:val="none"/>
          <w:lang w:val="zh-TW" w:eastAsia="zh-TW"/>
        </w:rPr>
        <w:t xml:space="preserve">文件不一致，而且限制了合同中买方的权利或</w:t>
      </w:r>
      <w:r>
        <w:rPr>
          <w:rFonts w:hint="eastAsia" w:ascii="宋体" w:hAnsi="宋体" w:cs="宋体"/>
          <w:color w:val="auto"/>
          <w:sz w:val="21"/>
          <w:szCs w:val="21"/>
          <w:highlight w:val="none"/>
          <w:lang w:val="zh-TW"/>
        </w:rPr>
        <w:t xml:space="preserve">供应商</w:t>
      </w:r>
      <w:r>
        <w:rPr>
          <w:rFonts w:hint="eastAsia" w:ascii="宋体" w:hAnsi="宋体" w:cs="宋体"/>
          <w:color w:val="auto"/>
          <w:sz w:val="21"/>
          <w:szCs w:val="21"/>
          <w:highlight w:val="none"/>
          <w:lang w:val="zh-TW" w:eastAsia="zh-TW"/>
        </w:rPr>
        <w:t xml:space="preserve">的义务。这些偏离或保留将会对其他实质上响应要求的</w:t>
      </w:r>
      <w:r>
        <w:rPr>
          <w:rFonts w:hint="eastAsia" w:ascii="宋体" w:hAnsi="宋体" w:cs="宋体"/>
          <w:color w:val="auto"/>
          <w:sz w:val="21"/>
          <w:szCs w:val="21"/>
          <w:highlight w:val="none"/>
          <w:lang w:val="zh-TW"/>
        </w:rPr>
        <w:t xml:space="preserve">供应商</w:t>
      </w:r>
      <w:r>
        <w:rPr>
          <w:rFonts w:hint="eastAsia" w:ascii="宋体" w:hAnsi="宋体" w:cs="宋体"/>
          <w:color w:val="auto"/>
          <w:sz w:val="21"/>
          <w:szCs w:val="21"/>
          <w:highlight w:val="none"/>
          <w:lang w:val="zh-TW" w:eastAsia="zh-TW"/>
        </w:rPr>
        <w:t xml:space="preserve">的竞争地位产生不公正的影响</w:t>
      </w:r>
      <w:r>
        <w:rPr>
          <w:rFonts w:hint="eastAsia" w:ascii="宋体" w:hAnsi="宋体" w:cs="宋体"/>
          <w:color w:val="auto"/>
          <w:sz w:val="21"/>
          <w:szCs w:val="21"/>
          <w:highlight w:val="none"/>
          <w:lang w:val="zh-TW"/>
        </w:rPr>
        <w:t xml:space="preserve">。</w:t>
      </w:r>
      <w:r/>
    </w:p>
    <w:p>
      <w:pPr>
        <w:ind w:firstLine="420"/>
        <w:jc w:val="both"/>
        <w:spacing w:line="400" w:lineRule="exact"/>
        <w:widowControl w:val="off"/>
        <w:rPr>
          <w:rFonts w:ascii="宋体" w:hAnsi="宋体" w:cs="宋体"/>
          <w:b/>
          <w:bCs/>
          <w:color w:val="auto"/>
          <w:sz w:val="21"/>
          <w:szCs w:val="21"/>
          <w:highlight w:val="none"/>
          <w:lang w:val="zh-TW"/>
        </w:rPr>
      </w:pPr>
      <w:r>
        <w:rPr>
          <w:rFonts w:hint="eastAsia" w:ascii="宋体" w:hAnsi="宋体" w:cs="宋体"/>
          <w:bCs/>
          <w:color w:val="auto"/>
          <w:sz w:val="21"/>
          <w:szCs w:val="21"/>
          <w:highlight w:val="none"/>
        </w:rPr>
        <w:t xml:space="preserve">22</w:t>
      </w:r>
      <w:r>
        <w:rPr>
          <w:rFonts w:hint="eastAsia" w:ascii="宋体" w:hAnsi="宋体" w:cs="宋体"/>
          <w:color w:val="auto"/>
          <w:sz w:val="21"/>
          <w:szCs w:val="21"/>
          <w:highlight w:val="none"/>
          <w:lang w:val="zh-TW" w:eastAsia="zh-TW"/>
        </w:rPr>
        <w:t xml:space="preserve">.4磋商小组将允许修改</w:t>
      </w:r>
      <w:r>
        <w:rPr>
          <w:rFonts w:hint="eastAsia" w:ascii="宋体" w:hAnsi="宋体" w:cs="宋体"/>
          <w:color w:val="auto"/>
          <w:sz w:val="21"/>
          <w:szCs w:val="21"/>
          <w:highlight w:val="none"/>
          <w:lang w:val="zh-TW"/>
        </w:rPr>
        <w:t xml:space="preserve">响应</w:t>
      </w:r>
      <w:r>
        <w:rPr>
          <w:rFonts w:hint="eastAsia" w:ascii="宋体" w:hAnsi="宋体" w:cs="宋体"/>
          <w:color w:val="auto"/>
          <w:sz w:val="21"/>
          <w:szCs w:val="21"/>
          <w:highlight w:val="none"/>
          <w:lang w:val="zh-TW" w:eastAsia="zh-TW"/>
        </w:rPr>
        <w:t xml:space="preserve">中不构成重大偏离的微小的、非正规、不一致或不规则的地方，但这些修改不能影响任何</w:t>
      </w:r>
      <w:r>
        <w:rPr>
          <w:rFonts w:hint="eastAsia" w:ascii="宋体" w:hAnsi="宋体" w:cs="宋体"/>
          <w:color w:val="auto"/>
          <w:sz w:val="21"/>
          <w:szCs w:val="21"/>
          <w:highlight w:val="none"/>
          <w:lang w:val="zh-TW"/>
        </w:rPr>
        <w:t xml:space="preserve">响应供应商</w:t>
      </w:r>
      <w:r>
        <w:rPr>
          <w:rFonts w:hint="eastAsia" w:ascii="宋体" w:hAnsi="宋体" w:cs="宋体"/>
          <w:color w:val="auto"/>
          <w:sz w:val="21"/>
          <w:szCs w:val="21"/>
          <w:highlight w:val="none"/>
          <w:lang w:val="zh-TW" w:eastAsia="zh-TW"/>
        </w:rPr>
        <w:t xml:space="preserve">的名次相应排列。</w:t>
      </w:r>
      <w:r>
        <w:rPr>
          <w:rFonts w:hint="eastAsia" w:ascii="宋体" w:hAnsi="宋体" w:cs="宋体"/>
          <w:b/>
          <w:bCs/>
          <w:color w:val="auto"/>
          <w:sz w:val="21"/>
          <w:szCs w:val="21"/>
          <w:highlight w:val="none"/>
          <w:lang w:val="zh-TW"/>
        </w:rPr>
        <w:t xml:space="preserve">供应商</w:t>
      </w:r>
      <w:r>
        <w:rPr>
          <w:rFonts w:hint="eastAsia" w:ascii="宋体" w:hAnsi="宋体" w:cs="宋体"/>
          <w:b/>
          <w:bCs/>
          <w:color w:val="auto"/>
          <w:sz w:val="21"/>
          <w:szCs w:val="21"/>
          <w:highlight w:val="none"/>
          <w:lang w:val="zh-TW" w:eastAsia="zh-TW"/>
        </w:rPr>
        <w:t xml:space="preserve">不得对</w:t>
      </w:r>
      <w:r>
        <w:rPr>
          <w:rFonts w:hint="eastAsia" w:ascii="宋体" w:hAnsi="宋体" w:cs="宋体"/>
          <w:b/>
          <w:bCs/>
          <w:color w:val="auto"/>
          <w:sz w:val="21"/>
          <w:szCs w:val="21"/>
          <w:highlight w:val="none"/>
        </w:rPr>
        <w:t xml:space="preserve">响应</w:t>
      </w:r>
      <w:r>
        <w:rPr>
          <w:rFonts w:hint="eastAsia" w:ascii="宋体" w:hAnsi="宋体" w:cs="宋体"/>
          <w:b/>
          <w:bCs/>
          <w:color w:val="auto"/>
          <w:sz w:val="21"/>
          <w:szCs w:val="21"/>
          <w:highlight w:val="none"/>
          <w:lang w:val="zh-TW" w:eastAsia="zh-TW"/>
        </w:rPr>
        <w:t xml:space="preserve">文件进行实质性修改，包括但不限于付款方式、付款条件等条款，否则</w:t>
      </w:r>
      <w:r>
        <w:rPr>
          <w:rFonts w:hint="eastAsia" w:ascii="宋体" w:hAnsi="宋体" w:cs="宋体"/>
          <w:b/>
          <w:bCs/>
          <w:color w:val="auto"/>
          <w:sz w:val="21"/>
          <w:szCs w:val="21"/>
          <w:highlight w:val="none"/>
        </w:rPr>
        <w:t xml:space="preserve">响应</w:t>
      </w:r>
      <w:r>
        <w:rPr>
          <w:rFonts w:hint="eastAsia" w:ascii="宋体" w:hAnsi="宋体" w:cs="宋体"/>
          <w:b/>
          <w:bCs/>
          <w:color w:val="auto"/>
          <w:sz w:val="21"/>
          <w:szCs w:val="21"/>
          <w:highlight w:val="none"/>
          <w:lang w:val="zh-TW" w:eastAsia="zh-TW"/>
        </w:rPr>
        <w:t xml:space="preserve">文件</w:t>
      </w:r>
      <w:r>
        <w:rPr>
          <w:rFonts w:hint="eastAsia" w:ascii="宋体" w:hAnsi="宋体" w:cs="宋体"/>
          <w:b/>
          <w:bCs/>
          <w:color w:val="auto"/>
          <w:sz w:val="21"/>
          <w:szCs w:val="21"/>
          <w:highlight w:val="none"/>
          <w:lang w:val="zh-TW"/>
        </w:rPr>
        <w:t xml:space="preserve">将</w:t>
      </w:r>
      <w:r>
        <w:rPr>
          <w:rFonts w:hint="eastAsia" w:ascii="宋体" w:hAnsi="宋体" w:cs="宋体"/>
          <w:b/>
          <w:bCs/>
          <w:color w:val="auto"/>
          <w:sz w:val="21"/>
          <w:szCs w:val="21"/>
          <w:highlight w:val="none"/>
        </w:rPr>
        <w:t xml:space="preserve">作无效处理</w:t>
      </w:r>
      <w:r>
        <w:rPr>
          <w:rFonts w:hint="eastAsia" w:ascii="宋体" w:hAnsi="宋体" w:cs="宋体"/>
          <w:b/>
          <w:bCs/>
          <w:color w:val="auto"/>
          <w:sz w:val="21"/>
          <w:szCs w:val="21"/>
          <w:highlight w:val="none"/>
          <w:lang w:val="zh-TW"/>
        </w:rPr>
        <w:t xml:space="preserve">。</w:t>
      </w:r>
      <w:r/>
    </w:p>
    <w:p>
      <w:pPr>
        <w:ind w:firstLine="420"/>
        <w:jc w:val="both"/>
        <w:spacing w:line="400" w:lineRule="exact"/>
        <w:widowControl w:val="off"/>
        <w:rPr>
          <w:rFonts w:ascii="宋体" w:hAnsi="宋体" w:cs="宋体"/>
          <w:color w:val="auto"/>
          <w:sz w:val="21"/>
          <w:szCs w:val="21"/>
          <w:highlight w:val="none"/>
          <w:lang w:val="zh-TW" w:eastAsia="zh-TW"/>
        </w:rPr>
      </w:pPr>
      <w:r>
        <w:rPr>
          <w:rFonts w:hint="eastAsia" w:ascii="宋体" w:hAnsi="宋体" w:cs="宋体"/>
          <w:bCs/>
          <w:color w:val="auto"/>
          <w:sz w:val="21"/>
          <w:szCs w:val="21"/>
          <w:highlight w:val="none"/>
        </w:rPr>
        <w:t xml:space="preserve">22</w:t>
      </w:r>
      <w:r>
        <w:rPr>
          <w:rFonts w:hint="eastAsia" w:ascii="宋体" w:hAnsi="宋体" w:cs="宋体"/>
          <w:color w:val="auto"/>
          <w:sz w:val="21"/>
          <w:szCs w:val="21"/>
          <w:highlight w:val="none"/>
          <w:lang w:val="zh-TW" w:eastAsia="zh-TW"/>
        </w:rPr>
        <w:t xml:space="preserve">.5磋商小组</w:t>
      </w:r>
      <w:r>
        <w:rPr>
          <w:rFonts w:hint="eastAsia" w:ascii="宋体" w:hAnsi="宋体" w:cs="宋体"/>
          <w:color w:val="auto"/>
          <w:sz w:val="21"/>
          <w:szCs w:val="21"/>
          <w:highlight w:val="none"/>
        </w:rPr>
        <w:t xml:space="preserve">将无效处理被确定为非实质性响应的文件，供应商不能通过修正或撤销不符之处而使其实质性响应。</w:t>
      </w:r>
      <w:r/>
    </w:p>
    <w:p>
      <w:pPr>
        <w:ind w:firstLine="420"/>
        <w:jc w:val="both"/>
        <w:spacing w:line="400" w:lineRule="exact"/>
        <w:widowControl w:val="off"/>
        <w:rPr>
          <w:rFonts w:ascii="宋体" w:hAnsi="宋体" w:cs="宋体"/>
          <w:color w:val="auto"/>
          <w:sz w:val="21"/>
          <w:szCs w:val="21"/>
          <w:highlight w:val="none"/>
          <w:lang w:val="zh-TW" w:eastAsia="zh-TW"/>
        </w:rPr>
      </w:pPr>
      <w:r>
        <w:rPr>
          <w:rFonts w:hint="eastAsia" w:ascii="宋体" w:hAnsi="宋体" w:cs="宋体"/>
          <w:bCs/>
          <w:color w:val="auto"/>
          <w:sz w:val="21"/>
          <w:szCs w:val="21"/>
          <w:highlight w:val="none"/>
        </w:rPr>
        <w:t xml:space="preserve">22</w:t>
      </w:r>
      <w:r>
        <w:rPr>
          <w:rFonts w:hint="eastAsia" w:ascii="宋体" w:hAnsi="宋体" w:cs="宋体"/>
          <w:color w:val="auto"/>
          <w:sz w:val="21"/>
          <w:szCs w:val="21"/>
          <w:highlight w:val="none"/>
          <w:lang w:val="zh-TW" w:eastAsia="zh-TW"/>
        </w:rPr>
        <w:t xml:space="preserve">.6磋商小组将对确定为实质上响应的</w:t>
      </w:r>
      <w:r>
        <w:rPr>
          <w:rFonts w:hint="eastAsia" w:ascii="宋体" w:hAnsi="宋体" w:cs="宋体"/>
          <w:color w:val="auto"/>
          <w:sz w:val="21"/>
          <w:szCs w:val="21"/>
          <w:highlight w:val="none"/>
          <w:lang w:val="zh-TW"/>
        </w:rPr>
        <w:t xml:space="preserve">文件</w:t>
      </w:r>
      <w:r>
        <w:rPr>
          <w:rFonts w:hint="eastAsia" w:ascii="宋体" w:hAnsi="宋体" w:cs="宋体"/>
          <w:color w:val="auto"/>
          <w:sz w:val="21"/>
          <w:szCs w:val="21"/>
          <w:highlight w:val="none"/>
          <w:lang w:val="zh-TW" w:eastAsia="zh-TW"/>
        </w:rPr>
        <w:t xml:space="preserve">进行审核，看其是否有计算上或累加上的算术错误</w:t>
      </w:r>
      <w:r>
        <w:rPr>
          <w:rFonts w:hint="eastAsia" w:ascii="宋体" w:hAnsi="宋体" w:cs="宋体"/>
          <w:color w:val="auto"/>
          <w:sz w:val="21"/>
          <w:szCs w:val="21"/>
          <w:highlight w:val="none"/>
          <w:lang w:val="zh-TW"/>
        </w:rPr>
        <w:t xml:space="preserve">。</w:t>
      </w:r>
      <w:r>
        <w:rPr>
          <w:rFonts w:hint="eastAsia" w:ascii="宋体" w:hAnsi="宋体" w:cs="宋体"/>
          <w:color w:val="auto"/>
          <w:sz w:val="21"/>
          <w:szCs w:val="21"/>
          <w:highlight w:val="none"/>
        </w:rPr>
        <w:t xml:space="preserve">响应</w:t>
      </w:r>
      <w:r>
        <w:rPr>
          <w:rFonts w:hint="eastAsia" w:ascii="宋体" w:hAnsi="宋体" w:cs="宋体"/>
          <w:color w:val="auto"/>
          <w:sz w:val="21"/>
          <w:szCs w:val="21"/>
          <w:highlight w:val="none"/>
          <w:lang w:val="zh-TW" w:eastAsia="zh-TW"/>
        </w:rPr>
        <w:t xml:space="preserve">文件报价出现前后不一致的，除</w:t>
      </w:r>
      <w:r>
        <w:rPr>
          <w:rFonts w:hint="eastAsia" w:ascii="宋体" w:hAnsi="宋体" w:cs="宋体"/>
          <w:color w:val="auto"/>
          <w:sz w:val="21"/>
          <w:szCs w:val="21"/>
          <w:highlight w:val="none"/>
          <w:lang w:val="zh-TW"/>
        </w:rPr>
        <w:t xml:space="preserve">采购</w:t>
      </w:r>
      <w:r>
        <w:rPr>
          <w:rFonts w:hint="eastAsia" w:ascii="宋体" w:hAnsi="宋体" w:cs="宋体"/>
          <w:color w:val="auto"/>
          <w:sz w:val="21"/>
          <w:szCs w:val="21"/>
          <w:highlight w:val="none"/>
          <w:lang w:val="zh-TW" w:eastAsia="zh-TW"/>
        </w:rPr>
        <w:t xml:space="preserve">文件另有规定外，按照下列规定</w:t>
      </w:r>
      <w:r>
        <w:rPr>
          <w:rFonts w:hint="eastAsia" w:ascii="宋体" w:hAnsi="宋体" w:cs="宋体"/>
          <w:color w:val="auto"/>
          <w:sz w:val="21"/>
          <w:szCs w:val="21"/>
          <w:highlight w:val="none"/>
          <w:lang w:val="zh-TW"/>
        </w:rPr>
        <w:t xml:space="preserve">进行</w:t>
      </w:r>
      <w:r>
        <w:rPr>
          <w:rFonts w:hint="eastAsia" w:ascii="宋体" w:hAnsi="宋体" w:cs="宋体"/>
          <w:color w:val="auto"/>
          <w:sz w:val="21"/>
          <w:szCs w:val="21"/>
          <w:highlight w:val="none"/>
          <w:lang w:val="zh-TW" w:eastAsia="zh-TW"/>
        </w:rPr>
        <w:t xml:space="preserve">修正：</w:t>
      </w:r>
      <w:r/>
    </w:p>
    <w:p>
      <w:pPr>
        <w:ind w:firstLine="420"/>
        <w:jc w:val="both"/>
        <w:spacing w:line="400" w:lineRule="exact"/>
        <w:widowControl w:val="off"/>
        <w:rPr>
          <w:rFonts w:ascii="宋体" w:hAnsi="宋体" w:cs="宋体"/>
          <w:color w:val="auto"/>
          <w:sz w:val="21"/>
          <w:szCs w:val="21"/>
          <w:highlight w:val="none"/>
          <w:lang w:val="zh-TW"/>
        </w:rPr>
      </w:pPr>
      <w:r>
        <w:rPr>
          <w:rFonts w:hint="eastAsia" w:ascii="宋体" w:hAnsi="宋体" w:cs="宋体"/>
          <w:bCs/>
          <w:color w:val="auto"/>
          <w:sz w:val="21"/>
          <w:szCs w:val="21"/>
          <w:highlight w:val="none"/>
        </w:rPr>
        <w:t xml:space="preserve">22</w:t>
      </w:r>
      <w:r>
        <w:rPr>
          <w:rFonts w:hint="eastAsia" w:ascii="宋体" w:hAnsi="宋体" w:cs="宋体"/>
          <w:color w:val="auto"/>
          <w:sz w:val="21"/>
          <w:szCs w:val="21"/>
          <w:highlight w:val="none"/>
          <w:lang w:val="zh-TW" w:eastAsia="zh-TW"/>
        </w:rPr>
        <w:t xml:space="preserve">.6.1</w:t>
      </w:r>
      <w:r>
        <w:rPr>
          <w:rFonts w:hint="eastAsia" w:ascii="宋体" w:hAnsi="宋体" w:cs="宋体"/>
          <w:color w:val="auto"/>
          <w:sz w:val="21"/>
          <w:szCs w:val="21"/>
          <w:highlight w:val="none"/>
          <w:lang w:val="zh-TW"/>
        </w:rPr>
        <w:t xml:space="preserve">响应文件的</w:t>
      </w:r>
      <w:r>
        <w:rPr>
          <w:rFonts w:hint="eastAsia" w:ascii="宋体" w:hAnsi="宋体" w:cs="宋体"/>
          <w:color w:val="auto"/>
          <w:sz w:val="21"/>
          <w:szCs w:val="21"/>
          <w:highlight w:val="none"/>
          <w:lang w:val="zh-TW" w:eastAsia="zh-TW"/>
        </w:rPr>
        <w:t xml:space="preserve">大写金额与小写金额不一致的，以大写金额为准</w:t>
      </w:r>
      <w:r>
        <w:rPr>
          <w:rFonts w:hint="eastAsia" w:ascii="宋体" w:hAnsi="宋体" w:cs="宋体"/>
          <w:color w:val="auto"/>
          <w:sz w:val="21"/>
          <w:szCs w:val="21"/>
          <w:highlight w:val="none"/>
          <w:lang w:val="zh-TW"/>
        </w:rPr>
        <w:t xml:space="preserve">；</w:t>
      </w:r>
      <w:r/>
    </w:p>
    <w:p>
      <w:pPr>
        <w:ind w:firstLine="420"/>
        <w:jc w:val="both"/>
        <w:spacing w:line="400" w:lineRule="exact"/>
        <w:widowControl w:val="off"/>
        <w:rPr>
          <w:rFonts w:ascii="宋体" w:hAnsi="宋体" w:cs="宋体"/>
          <w:color w:val="auto"/>
          <w:sz w:val="21"/>
          <w:szCs w:val="21"/>
          <w:highlight w:val="none"/>
          <w:lang w:val="zh-TW"/>
        </w:rPr>
      </w:pPr>
      <w:r>
        <w:rPr>
          <w:rFonts w:hint="eastAsia" w:ascii="宋体" w:hAnsi="宋体" w:cs="宋体"/>
          <w:bCs/>
          <w:color w:val="auto"/>
          <w:sz w:val="21"/>
          <w:szCs w:val="21"/>
          <w:highlight w:val="none"/>
        </w:rPr>
        <w:t xml:space="preserve">22</w:t>
      </w:r>
      <w:r>
        <w:rPr>
          <w:rFonts w:hint="eastAsia" w:ascii="宋体" w:hAnsi="宋体" w:cs="宋体"/>
          <w:color w:val="auto"/>
          <w:sz w:val="21"/>
          <w:szCs w:val="21"/>
          <w:highlight w:val="none"/>
          <w:lang w:val="zh-TW" w:eastAsia="zh-TW"/>
        </w:rPr>
        <w:t xml:space="preserve">.6.2单价金额小数点</w:t>
      </w:r>
      <w:r>
        <w:rPr>
          <w:rFonts w:hint="eastAsia" w:ascii="宋体" w:hAnsi="宋体" w:cs="宋体"/>
          <w:color w:val="auto"/>
          <w:sz w:val="21"/>
          <w:szCs w:val="21"/>
          <w:highlight w:val="none"/>
          <w:lang w:val="zh-TW"/>
        </w:rPr>
        <w:t xml:space="preserve">或百分比</w:t>
      </w:r>
      <w:r>
        <w:rPr>
          <w:rFonts w:hint="eastAsia" w:ascii="宋体" w:hAnsi="宋体" w:cs="宋体"/>
          <w:color w:val="auto"/>
          <w:sz w:val="21"/>
          <w:szCs w:val="21"/>
          <w:highlight w:val="none"/>
          <w:lang w:val="zh-TW" w:eastAsia="zh-TW"/>
        </w:rPr>
        <w:t xml:space="preserve">有</w:t>
      </w:r>
      <w:r>
        <w:rPr>
          <w:rFonts w:hint="eastAsia" w:ascii="宋体" w:hAnsi="宋体" w:cs="宋体"/>
          <w:color w:val="auto"/>
          <w:sz w:val="21"/>
          <w:szCs w:val="21"/>
          <w:highlight w:val="none"/>
          <w:lang w:val="zh-TW"/>
        </w:rPr>
        <w:t xml:space="preserve">明显</w:t>
      </w:r>
      <w:r>
        <w:rPr>
          <w:rFonts w:hint="eastAsia" w:ascii="宋体" w:hAnsi="宋体" w:cs="宋体"/>
          <w:color w:val="auto"/>
          <w:sz w:val="21"/>
          <w:szCs w:val="21"/>
          <w:highlight w:val="none"/>
          <w:lang w:val="zh-TW" w:eastAsia="zh-TW"/>
        </w:rPr>
        <w:t xml:space="preserve">错位的，应以</w:t>
      </w:r>
      <w:r>
        <w:rPr>
          <w:rFonts w:hint="eastAsia" w:ascii="宋体" w:hAnsi="宋体" w:cs="宋体"/>
          <w:color w:val="auto"/>
          <w:sz w:val="21"/>
          <w:szCs w:val="21"/>
          <w:highlight w:val="none"/>
        </w:rPr>
        <w:t xml:space="preserve">开标一览</w:t>
      </w:r>
      <w:r>
        <w:rPr>
          <w:rFonts w:hint="eastAsia" w:ascii="宋体" w:hAnsi="宋体" w:cs="宋体"/>
          <w:color w:val="auto"/>
          <w:sz w:val="21"/>
          <w:szCs w:val="21"/>
          <w:highlight w:val="none"/>
          <w:lang w:val="zh-TW" w:eastAsia="zh-TW"/>
        </w:rPr>
        <w:t xml:space="preserve">表的总价为准，并修改单价</w:t>
      </w:r>
      <w:r>
        <w:rPr>
          <w:rFonts w:hint="eastAsia" w:ascii="宋体" w:hAnsi="宋体" w:cs="宋体"/>
          <w:color w:val="auto"/>
          <w:sz w:val="21"/>
          <w:szCs w:val="21"/>
          <w:highlight w:val="none"/>
          <w:lang w:val="zh-TW"/>
        </w:rPr>
        <w:t xml:space="preserve">；</w:t>
      </w:r>
      <w:r/>
    </w:p>
    <w:p>
      <w:pPr>
        <w:ind w:firstLine="420"/>
        <w:jc w:val="both"/>
        <w:spacing w:line="400" w:lineRule="exact"/>
        <w:widowControl w:val="off"/>
        <w:rPr>
          <w:rFonts w:ascii="宋体" w:hAnsi="宋体" w:cs="宋体"/>
          <w:color w:val="auto"/>
          <w:sz w:val="21"/>
          <w:szCs w:val="21"/>
          <w:highlight w:val="none"/>
          <w:lang w:val="zh-TW" w:eastAsia="zh-TW"/>
        </w:rPr>
      </w:pPr>
      <w:r>
        <w:rPr>
          <w:rFonts w:hint="eastAsia" w:ascii="宋体" w:hAnsi="宋体" w:cs="宋体"/>
          <w:bCs/>
          <w:color w:val="auto"/>
          <w:sz w:val="21"/>
          <w:szCs w:val="21"/>
          <w:highlight w:val="none"/>
        </w:rPr>
        <w:t xml:space="preserve">22</w:t>
      </w:r>
      <w:r>
        <w:rPr>
          <w:rFonts w:hint="eastAsia" w:ascii="宋体" w:hAnsi="宋体" w:cs="宋体"/>
          <w:color w:val="auto"/>
          <w:sz w:val="21"/>
          <w:szCs w:val="21"/>
          <w:highlight w:val="none"/>
          <w:lang w:val="zh-TW" w:eastAsia="zh-TW"/>
        </w:rPr>
        <w:t xml:space="preserve">.6.3</w:t>
      </w:r>
      <w:r>
        <w:rPr>
          <w:rFonts w:hint="eastAsia" w:ascii="宋体" w:hAnsi="宋体" w:cs="宋体"/>
          <w:color w:val="auto"/>
          <w:sz w:val="21"/>
          <w:szCs w:val="21"/>
          <w:highlight w:val="none"/>
          <w:lang w:val="zh-TW"/>
        </w:rPr>
        <w:t xml:space="preserve">总价金额与按单价汇总金额不一致的，以单价金额计算结果为准；</w:t>
      </w:r>
      <w:r/>
    </w:p>
    <w:p>
      <w:pPr>
        <w:ind w:firstLine="420"/>
        <w:jc w:val="both"/>
        <w:spacing w:line="400" w:lineRule="exact"/>
        <w:widowControl w:val="off"/>
        <w:rPr>
          <w:rFonts w:ascii="宋体" w:hAnsi="宋体" w:cs="宋体"/>
          <w:color w:val="auto"/>
          <w:sz w:val="21"/>
          <w:szCs w:val="21"/>
          <w:highlight w:val="none"/>
          <w:lang w:val="zh-TW"/>
        </w:rPr>
      </w:pPr>
      <w:r>
        <w:rPr>
          <w:rFonts w:hint="eastAsia" w:ascii="宋体" w:hAnsi="宋体" w:cs="宋体"/>
          <w:bCs/>
          <w:color w:val="auto"/>
          <w:sz w:val="21"/>
          <w:szCs w:val="21"/>
          <w:highlight w:val="none"/>
        </w:rPr>
        <w:t xml:space="preserve">22</w:t>
      </w:r>
      <w:r>
        <w:rPr>
          <w:rFonts w:hint="eastAsia" w:ascii="宋体" w:hAnsi="宋体" w:cs="宋体"/>
          <w:color w:val="auto"/>
          <w:sz w:val="21"/>
          <w:szCs w:val="21"/>
          <w:highlight w:val="none"/>
          <w:lang w:val="zh-TW" w:eastAsia="zh-TW"/>
        </w:rPr>
        <w:t xml:space="preserve">.6.4对不同文字文本</w:t>
      </w:r>
      <w:r>
        <w:rPr>
          <w:rFonts w:hint="eastAsia" w:ascii="宋体" w:hAnsi="宋体" w:cs="宋体"/>
          <w:color w:val="auto"/>
          <w:sz w:val="21"/>
          <w:szCs w:val="21"/>
          <w:highlight w:val="none"/>
        </w:rPr>
        <w:t xml:space="preserve">响应</w:t>
      </w:r>
      <w:r>
        <w:rPr>
          <w:rFonts w:hint="eastAsia" w:ascii="宋体" w:hAnsi="宋体" w:cs="宋体"/>
          <w:color w:val="auto"/>
          <w:sz w:val="21"/>
          <w:szCs w:val="21"/>
          <w:highlight w:val="none"/>
          <w:lang w:val="zh-TW" w:eastAsia="zh-TW"/>
        </w:rPr>
        <w:t xml:space="preserve">文件的解释发生异议的，以中文文本为准</w:t>
      </w:r>
      <w:r>
        <w:rPr>
          <w:rFonts w:hint="eastAsia" w:ascii="宋体" w:hAnsi="宋体" w:cs="宋体"/>
          <w:color w:val="auto"/>
          <w:sz w:val="21"/>
          <w:szCs w:val="21"/>
          <w:highlight w:val="none"/>
          <w:lang w:val="zh-TW"/>
        </w:rPr>
        <w:t xml:space="preserve">；</w:t>
      </w:r>
      <w:r/>
    </w:p>
    <w:p>
      <w:pPr>
        <w:ind w:firstLine="420"/>
        <w:jc w:val="both"/>
        <w:spacing w:line="400" w:lineRule="exact"/>
        <w:widowControl w:val="off"/>
        <w:rPr>
          <w:rFonts w:ascii="宋体" w:hAnsi="宋体" w:cs="宋体"/>
          <w:b/>
          <w:color w:val="auto"/>
          <w:sz w:val="21"/>
          <w:szCs w:val="21"/>
          <w:highlight w:val="none"/>
          <w:lang w:val="zh-TW" w:eastAsia="zh-TW"/>
        </w:rPr>
      </w:pPr>
      <w:r>
        <w:rPr>
          <w:rFonts w:hint="eastAsia" w:ascii="宋体" w:hAnsi="宋体" w:cs="宋体"/>
          <w:b/>
          <w:color w:val="auto"/>
          <w:sz w:val="21"/>
          <w:szCs w:val="21"/>
          <w:highlight w:val="none"/>
        </w:rPr>
        <w:t xml:space="preserve">22</w:t>
      </w:r>
      <w:r>
        <w:rPr>
          <w:rFonts w:hint="eastAsia" w:ascii="宋体" w:hAnsi="宋体" w:cs="宋体"/>
          <w:b/>
          <w:color w:val="auto"/>
          <w:sz w:val="21"/>
          <w:szCs w:val="21"/>
          <w:highlight w:val="none"/>
          <w:lang w:val="zh-TW" w:eastAsia="zh-TW"/>
        </w:rPr>
        <w:t xml:space="preserve">.6.5供应商不同意以上修正，则其响应文件将被</w:t>
      </w:r>
      <w:r>
        <w:rPr>
          <w:rFonts w:hint="eastAsia" w:ascii="宋体" w:hAnsi="宋体" w:cs="宋体"/>
          <w:b/>
          <w:color w:val="auto"/>
          <w:sz w:val="21"/>
          <w:szCs w:val="21"/>
          <w:highlight w:val="none"/>
        </w:rPr>
        <w:t xml:space="preserve">作无效处理</w:t>
      </w:r>
      <w:r>
        <w:rPr>
          <w:rFonts w:hint="eastAsia" w:ascii="宋体" w:hAnsi="宋体" w:cs="宋体"/>
          <w:b/>
          <w:color w:val="auto"/>
          <w:sz w:val="21"/>
          <w:szCs w:val="21"/>
          <w:highlight w:val="none"/>
          <w:lang w:val="zh-TW" w:eastAsia="zh-TW"/>
        </w:rPr>
        <w:t xml:space="preserve">。</w:t>
      </w:r>
      <w:r/>
    </w:p>
    <w:p>
      <w:pPr>
        <w:ind w:firstLine="422"/>
        <w:jc w:val="both"/>
        <w:spacing w:line="400" w:lineRule="exact"/>
        <w:widowControl w:val="off"/>
        <w:rPr>
          <w:rFonts w:ascii="宋体" w:hAnsi="宋体" w:cs="宋体"/>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1"/>
          <w:szCs w:val="21"/>
          <w:highlight w:val="none"/>
        </w:rPr>
        <w:t xml:space="preserve">22.7政府采购异常低价审查</w:t>
      </w:r>
      <w:r/>
    </w:p>
    <w:p>
      <w:pPr>
        <w:ind w:firstLine="422"/>
        <w:jc w:val="both"/>
        <w:spacing w:line="400" w:lineRule="exact"/>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（一）政府采购评审中出现下列情形之一的，评审委员会应当启动异常低价响应审查程序：</w:t>
      </w:r>
      <w:r/>
    </w:p>
    <w:p>
      <w:pPr>
        <w:ind w:firstLine="422"/>
        <w:jc w:val="both"/>
        <w:spacing w:line="400" w:lineRule="exact"/>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1.响应报价低于全部通过符合性审查供应商响应报价平均值50%的，即响应报价&lt;全部通过符合性审查供应商响应报价平均值×50%；</w:t>
      </w:r>
      <w:r/>
    </w:p>
    <w:p>
      <w:pPr>
        <w:ind w:firstLine="422"/>
        <w:jc w:val="both"/>
        <w:spacing w:line="400" w:lineRule="exact"/>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2.响应报价低于通过符合性审查的次低报价供应商响应报价50%的，即响应报价&lt;通过符合性审查的次低报价供应商响应报价×50%；</w:t>
      </w:r>
      <w:r/>
    </w:p>
    <w:p>
      <w:pPr>
        <w:ind w:firstLine="422"/>
        <w:jc w:val="both"/>
        <w:spacing w:line="400" w:lineRule="exact"/>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3.响应报价低于采购项目最高限价45%的，即响应报价&lt;采购项目最高限价×45%；</w:t>
      </w:r>
      <w:r/>
    </w:p>
    <w:p>
      <w:pPr>
        <w:ind w:firstLine="422"/>
        <w:jc w:val="both"/>
        <w:spacing w:line="400" w:lineRule="exact"/>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4.评审委员会基于专业判断，认为供应商报价过低，有可能影响产品质量或者不能诚信履约的其他情形。</w:t>
      </w:r>
      <w:r/>
    </w:p>
    <w:p>
      <w:pPr>
        <w:ind w:firstLine="422"/>
        <w:jc w:val="both"/>
        <w:spacing w:line="400" w:lineRule="exact"/>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二）评审委员会启动异常低价响应审查后，属于前述第1项至第4项情形的，将要求相关供应商在评审现场合理的时间内（30分钟）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p>
    <w:p>
      <w:pPr>
        <w:ind w:firstLine="422"/>
        <w:jc w:val="both"/>
        <w:spacing w:line="400" w:lineRule="exact"/>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评审委员会依据专业经验，参考同类项目成交价格、类似产品市场价格水平、行业人工费用标准、国家有关部门指导行业协会发布的行业平均成本等情况，对报价合理性进行判断。</w:t>
      </w:r>
      <w:r>
        <w:rPr>
          <w:rFonts w:hint="eastAsia" w:ascii="宋体" w:hAnsi="宋体" w:cs="宋体"/>
          <w:b/>
          <w:color w:val="auto"/>
          <w:sz w:val="21"/>
          <w:szCs w:val="21"/>
          <w:highlight w:val="none"/>
        </w:rPr>
        <w:t xml:space="preserve">供应商不能提供书面说明、证明材料，或者提供的书面说明、证明材料不能证明其报价合理性的，评审委员会应当将其作为无效响应处理。</w:t>
      </w:r>
      <w:r/>
    </w:p>
    <w:p>
      <w:pPr>
        <w:ind w:firstLine="422"/>
        <w:jc w:val="both"/>
        <w:spacing w:line="400" w:lineRule="exact"/>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异常低价响应审查的启动原因、审查意见和审查结果应当在评审报告中记录，并随供应商提供的相关书面说明及证明材料，以及磋商小组有关互联网浏览、查询历史一并归档。</w:t>
      </w:r>
      <w:r/>
    </w:p>
    <w:p>
      <w:pPr>
        <w:ind w:firstLine="422"/>
        <w:jc w:val="both"/>
        <w:spacing w:line="400" w:lineRule="exact"/>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22.8除上述情形外，对响应文件的判定，只依据响应文件本身，不依靠开标后的任何外来证明。</w:t>
      </w:r>
      <w:r/>
    </w:p>
    <w:p>
      <w:pPr>
        <w:ind w:firstLine="422"/>
        <w:jc w:val="both"/>
        <w:spacing w:line="400" w:lineRule="exact"/>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23</w:t>
      </w:r>
      <w:r>
        <w:rPr>
          <w:rFonts w:ascii="宋体" w:hAnsi="宋体" w:cs="宋体"/>
          <w:b/>
          <w:bCs/>
          <w:color w:val="auto"/>
          <w:sz w:val="21"/>
          <w:szCs w:val="21"/>
          <w:highlight w:val="none"/>
        </w:rPr>
        <w:t xml:space="preserve">.</w:t>
      </w:r>
      <w:r>
        <w:rPr>
          <w:rFonts w:hint="eastAsia" w:ascii="宋体" w:hAnsi="宋体" w:cs="宋体"/>
          <w:b/>
          <w:bCs/>
          <w:color w:val="auto"/>
          <w:sz w:val="21"/>
          <w:szCs w:val="21"/>
          <w:highlight w:val="none"/>
        </w:rPr>
        <w:t xml:space="preserve">响应文件的评价和比较</w:t>
      </w:r>
      <w:r/>
    </w:p>
    <w:p>
      <w:pPr>
        <w:ind w:firstLine="420"/>
        <w:jc w:val="both"/>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23.1磋商小组仅对按照本须知有关规定确定为实质上响应采购文件要求的响应文件进行评价和比较。</w:t>
      </w:r>
      <w:r/>
    </w:p>
    <w:p>
      <w:pPr>
        <w:ind w:firstLine="420"/>
        <w:jc w:val="both"/>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23.2评价和比较采用</w:t>
      </w:r>
      <w:r>
        <w:rPr>
          <w:rFonts w:hint="eastAsia" w:ascii="宋体" w:hAnsi="宋体" w:cs="宋体"/>
          <w:b/>
          <w:color w:val="auto"/>
          <w:sz w:val="21"/>
          <w:szCs w:val="21"/>
          <w:highlight w:val="none"/>
        </w:rPr>
        <w:t xml:space="preserve">综合评分法</w:t>
      </w:r>
      <w:r>
        <w:rPr>
          <w:rFonts w:hint="eastAsia" w:ascii="宋体" w:hAnsi="宋体" w:cs="宋体"/>
          <w:color w:val="auto"/>
          <w:sz w:val="21"/>
          <w:szCs w:val="21"/>
          <w:highlight w:val="none"/>
        </w:rPr>
        <w:t xml:space="preserve">，即指响应文件满足采购文件全部实质性要求，且按照评审因素的量化指标评审得分最高的供应商为排名第一的成交候选供应商的评审方法。磋商小组严格按照采购文件的要求、条件、评分标准，对供应商所提供的服务进行评价。</w:t>
      </w:r>
      <w:r/>
    </w:p>
    <w:p>
      <w:pPr>
        <w:ind w:firstLine="420"/>
        <w:jc w:val="both"/>
        <w:spacing w:line="400" w:lineRule="exact"/>
        <w:widowControl w:val="off"/>
        <w:rPr>
          <w:color w:val="auto"/>
          <w:highlight w:val="none"/>
          <w:lang w:val="zh-TW" w:eastAsia="zh-TW"/>
        </w:rPr>
      </w:pPr>
      <w:r>
        <w:rPr>
          <w:rFonts w:hint="eastAsia" w:ascii="宋体" w:hAnsi="宋体" w:cs="宋体"/>
          <w:color w:val="auto"/>
          <w:sz w:val="21"/>
          <w:szCs w:val="21"/>
          <w:highlight w:val="none"/>
        </w:rPr>
        <w:t xml:space="preserve">23.3最低的响应报是成交的重要条件，但不是唯一条件。</w:t>
      </w:r>
      <w:r/>
    </w:p>
    <w:p>
      <w:pPr>
        <w:ind w:firstLine="422"/>
        <w:jc w:val="both"/>
        <w:spacing w:line="400" w:lineRule="exact"/>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24</w:t>
      </w:r>
      <w:r>
        <w:rPr>
          <w:rFonts w:ascii="宋体" w:hAnsi="宋体" w:cs="宋体"/>
          <w:b/>
          <w:bCs/>
          <w:color w:val="auto"/>
          <w:sz w:val="21"/>
          <w:szCs w:val="21"/>
          <w:highlight w:val="none"/>
        </w:rPr>
        <w:t xml:space="preserve">.</w:t>
      </w:r>
      <w:r>
        <w:rPr>
          <w:rFonts w:hint="eastAsia" w:ascii="宋体" w:hAnsi="宋体" w:cs="宋体"/>
          <w:b/>
          <w:bCs/>
          <w:color w:val="auto"/>
          <w:sz w:val="21"/>
          <w:szCs w:val="21"/>
          <w:highlight w:val="none"/>
        </w:rPr>
        <w:t xml:space="preserve">项目的终止</w:t>
      </w:r>
      <w:r/>
    </w:p>
    <w:p>
      <w:pPr>
        <w:ind w:firstLine="420"/>
        <w:jc w:val="both"/>
        <w:spacing w:line="400" w:lineRule="exact"/>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24.1出现下列情形之一的，将终止竞争性磋商采购活动：</w:t>
      </w:r>
      <w:r/>
    </w:p>
    <w:p>
      <w:pPr>
        <w:ind w:firstLine="420"/>
        <w:jc w:val="both"/>
        <w:spacing w:line="400" w:lineRule="exact"/>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24.1.1因情况变化，不再符合规定的竞争性磋商采购方式适用情形的；</w:t>
      </w:r>
      <w:r/>
    </w:p>
    <w:p>
      <w:pPr>
        <w:ind w:firstLine="420"/>
        <w:jc w:val="both"/>
        <w:spacing w:line="400" w:lineRule="exact"/>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24.1.2出现影响采购公正的违法、违规行为的；</w:t>
      </w:r>
      <w:r/>
    </w:p>
    <w:p>
      <w:pPr>
        <w:ind w:firstLine="420"/>
        <w:jc w:val="both"/>
        <w:spacing w:line="400" w:lineRule="exact"/>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24.1.3除《政府采购竞争性磋商采购方式管理暂行办法》第二十一条第三款规定的情形外，在采购过程中符合要求的供应商或者报价未超过采购预算的供应商不足3家的；</w:t>
      </w:r>
      <w:r/>
    </w:p>
    <w:p>
      <w:pPr>
        <w:ind w:firstLine="422"/>
        <w:spacing w:line="400" w:lineRule="exact"/>
        <w:widowControl w:val="off"/>
        <w:tabs>
          <w:tab w:val="left" w:pos="567"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注：采用竞争性磋商采购方式采购的政府购买服务项目，在采购过程中符合要求的供应商只有2家，竞争性磋商采购活动可以继续进行。</w:t>
      </w:r>
      <w:r/>
    </w:p>
    <w:p>
      <w:pPr>
        <w:pStyle w:val="982"/>
        <w:ind w:firstLine="420"/>
        <w:spacing w:line="400" w:lineRule="exact"/>
        <w:widowControl w:val="off"/>
        <w:rPr>
          <w:color w:val="auto"/>
          <w:highlight w:val="none"/>
        </w:rPr>
      </w:pPr>
      <w:r>
        <w:rPr>
          <w:rFonts w:hint="eastAsia" w:hAnsi="宋体" w:cs="宋体"/>
          <w:color w:val="auto"/>
          <w:sz w:val="21"/>
          <w:szCs w:val="21"/>
          <w:highlight w:val="none"/>
        </w:rPr>
        <w:t xml:space="preserve">24.1.4在采购活动中因重大变故，采购任务取消的。</w:t>
      </w:r>
      <w:r/>
    </w:p>
    <w:p>
      <w:pPr>
        <w:jc w:val="both"/>
        <w:spacing w:line="400" w:lineRule="exact"/>
        <w:widowControl w:val="off"/>
        <w:rPr>
          <w:rFonts w:ascii="宋体" w:hAnsi="宋体" w:cs="宋体"/>
          <w:color w:val="auto"/>
          <w:sz w:val="21"/>
          <w:szCs w:val="21"/>
          <w:highlight w:val="none"/>
        </w:rPr>
      </w:pPr>
      <w:r>
        <w:rPr>
          <w:rFonts w:hint="eastAsia" w:ascii="宋体" w:hAnsi="宋体" w:cs="宋体"/>
          <w:b/>
          <w:bCs/>
          <w:color w:val="auto"/>
          <w:sz w:val="21"/>
          <w:szCs w:val="21"/>
          <w:highlight w:val="none"/>
        </w:rPr>
        <w:t xml:space="preserve">六、授予</w:t>
      </w:r>
      <w:r>
        <w:rPr>
          <w:rFonts w:hint="eastAsia" w:ascii="宋体" w:hAnsi="宋体" w:cs="宋体"/>
          <w:b/>
          <w:color w:val="auto"/>
          <w:sz w:val="21"/>
          <w:szCs w:val="21"/>
          <w:highlight w:val="none"/>
        </w:rPr>
        <w:t xml:space="preserve">合同</w:t>
      </w:r>
      <w:r/>
    </w:p>
    <w:p>
      <w:pPr>
        <w:ind w:firstLine="422"/>
        <w:jc w:val="both"/>
        <w:spacing w:line="400" w:lineRule="exact"/>
        <w:widowControl w:val="off"/>
        <w:tabs>
          <w:tab w:val="left" w:pos="8930" w:leader="none"/>
          <w:tab w:val="left" w:pos="9306" w:leader="none"/>
        </w:tabs>
        <w:rPr>
          <w:rFonts w:ascii="宋体" w:hAnsi="宋体" w:cs="宋体"/>
          <w:b/>
          <w:color w:val="auto"/>
          <w:sz w:val="21"/>
          <w:szCs w:val="21"/>
          <w:highlight w:val="none"/>
        </w:rPr>
      </w:pPr>
      <w:r>
        <w:rPr>
          <w:rFonts w:hint="eastAsia" w:ascii="宋体" w:hAnsi="宋体" w:cs="宋体"/>
          <w:b/>
          <w:color w:val="auto"/>
          <w:sz w:val="21"/>
          <w:szCs w:val="21"/>
          <w:highlight w:val="none"/>
        </w:rPr>
        <w:t xml:space="preserve">25.成交供应商的确认</w:t>
      </w:r>
      <w:r/>
    </w:p>
    <w:p>
      <w:pPr>
        <w:ind w:firstLine="420"/>
        <w:jc w:val="both"/>
        <w:spacing w:line="400" w:lineRule="exact"/>
        <w:widowControl w:val="off"/>
        <w:tabs>
          <w:tab w:val="left" w:pos="8930" w:leader="none"/>
          <w:tab w:val="left" w:pos="9306"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25.1磋商小组根据供应商资格审查情况，对其响应文件进行评价和比较，按照评审办法和标准进行评审，并按照评审得分由高到低顺序推荐3名成交候选供应商。</w:t>
      </w:r>
      <w:r/>
    </w:p>
    <w:p>
      <w:pPr>
        <w:ind w:firstLine="420"/>
        <w:jc w:val="both"/>
        <w:spacing w:line="400" w:lineRule="exact"/>
        <w:widowControl w:val="off"/>
        <w:tabs>
          <w:tab w:val="left" w:pos="8930" w:leader="none"/>
          <w:tab w:val="left" w:pos="9306"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25.2采购人在评审报告确定的成交候选供应商名单中确定成交供应商</w:t>
      </w:r>
      <w:r>
        <w:rPr>
          <w:rFonts w:hint="eastAsia" w:ascii="宋体" w:hAnsi="宋体" w:cs="宋体"/>
          <w:bCs/>
          <w:color w:val="auto"/>
          <w:sz w:val="21"/>
          <w:szCs w:val="21"/>
          <w:highlight w:val="none"/>
        </w:rPr>
        <w:t xml:space="preserve">。</w:t>
      </w:r>
      <w:r/>
    </w:p>
    <w:p>
      <w:pPr>
        <w:ind w:firstLine="420"/>
        <w:jc w:val="both"/>
        <w:spacing w:line="400" w:lineRule="exact"/>
        <w:widowControl w:val="off"/>
        <w:tabs>
          <w:tab w:val="left" w:pos="8930" w:leader="none"/>
          <w:tab w:val="left" w:pos="9306"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25.3</w:t>
      </w:r>
      <w:r>
        <w:rPr>
          <w:rFonts w:hint="eastAsia" w:ascii="宋体" w:hAnsi="宋体" w:cs="宋体"/>
          <w:color w:val="auto"/>
          <w:sz w:val="21"/>
          <w:szCs w:val="21"/>
          <w:highlight w:val="none"/>
        </w:rPr>
        <w:t xml:space="preserve">确定成交供应商后，采购代理机构将在规定的时间内将成交结果在相关媒体上予以公告，公告期为一个工作日。各参加磋商的供应商如对成交结果有异议，应在成交结果公告期满后七个工作日内，以书面形式向采购代理机构提出质疑，同时该质疑应有供应商法定代表人或其授权代表签署。采购代理机构将在收到经供应商法定代表人或其授权代表签署的书面质疑后七个工作日内，对质疑内容作出答复。如供应商未在成交结果公告期满后七个工作日内向采购人或采购代理机构提出质疑或质疑未经供应商法定代表人或其授权代表签署，采购人或采购代理机构有权对该质疑不予答复。</w:t>
      </w:r>
      <w:r/>
    </w:p>
    <w:p>
      <w:pPr>
        <w:ind w:firstLine="422"/>
        <w:jc w:val="both"/>
        <w:spacing w:line="400" w:lineRule="exact"/>
        <w:widowControl w:val="off"/>
        <w:tabs>
          <w:tab w:val="left" w:pos="8930" w:leader="none"/>
          <w:tab w:val="left" w:pos="9306" w:leader="none"/>
        </w:tabs>
        <w:rPr>
          <w:rFonts w:ascii="宋体" w:hAnsi="宋体" w:cs="宋体"/>
          <w:b/>
          <w:color w:val="auto"/>
          <w:sz w:val="21"/>
          <w:szCs w:val="21"/>
          <w:highlight w:val="none"/>
        </w:rPr>
      </w:pPr>
      <w:r>
        <w:rPr>
          <w:rFonts w:hint="eastAsia" w:ascii="宋体" w:hAnsi="宋体" w:cs="宋体"/>
          <w:b/>
          <w:color w:val="auto"/>
          <w:sz w:val="21"/>
          <w:szCs w:val="21"/>
          <w:highlight w:val="none"/>
        </w:rPr>
        <w:t xml:space="preserve">26.合同授予标准</w:t>
      </w:r>
      <w:r/>
    </w:p>
    <w:p>
      <w:pPr>
        <w:ind w:firstLine="420"/>
        <w:jc w:val="both"/>
        <w:spacing w:line="400" w:lineRule="exact"/>
        <w:widowControl w:val="off"/>
        <w:tabs>
          <w:tab w:val="left" w:pos="8930" w:leader="none"/>
          <w:tab w:val="left" w:pos="9306"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26.1采购人将把合同授予其响应文件在实质上响应采购文件要求和按本须知规定评选出的供应商。确定成交的供应商必须具有实施本合同的能力和资源。</w:t>
      </w:r>
      <w:r/>
    </w:p>
    <w:p>
      <w:pPr>
        <w:ind w:firstLine="420"/>
        <w:jc w:val="both"/>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26.2政府采购合同履行中，采购人需追加与合同标的物相同的服务的，在不改变合同其他条款的前提下，可以与成交供应商签订补充合同，但所有补充合同的采购金额不得超过原合同采购金额的百分之十。</w:t>
      </w:r>
      <w:r/>
    </w:p>
    <w:p>
      <w:pPr>
        <w:ind w:firstLine="422"/>
        <w:jc w:val="both"/>
        <w:spacing w:line="400" w:lineRule="exact"/>
        <w:widowControl w:val="off"/>
        <w:tabs>
          <w:tab w:val="left" w:pos="8930" w:leader="none"/>
          <w:tab w:val="left" w:pos="9306" w:leader="none"/>
        </w:tabs>
        <w:rPr>
          <w:rFonts w:ascii="宋体" w:hAnsi="宋体" w:cs="宋体"/>
          <w:b/>
          <w:color w:val="auto"/>
          <w:sz w:val="21"/>
          <w:szCs w:val="21"/>
          <w:highlight w:val="none"/>
        </w:rPr>
      </w:pPr>
      <w:r>
        <w:rPr>
          <w:rFonts w:hint="eastAsia" w:ascii="宋体" w:hAnsi="宋体" w:cs="宋体"/>
          <w:b/>
          <w:color w:val="auto"/>
          <w:sz w:val="21"/>
          <w:szCs w:val="21"/>
          <w:highlight w:val="none"/>
        </w:rPr>
        <w:t xml:space="preserve">27.成交（未成交）通知书</w:t>
      </w:r>
      <w:r/>
    </w:p>
    <w:p>
      <w:pPr>
        <w:ind w:firstLine="420"/>
        <w:jc w:val="both"/>
        <w:spacing w:line="400" w:lineRule="exact"/>
        <w:widowControl w:val="off"/>
        <w:tabs>
          <w:tab w:val="left" w:pos="8930" w:leader="none"/>
          <w:tab w:val="left" w:pos="9306"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27.1确定成交供应商后，采购代理机构在法定时间内向成交供应商发出成交通知书。</w:t>
      </w:r>
      <w:r>
        <w:rPr>
          <w:rFonts w:hint="eastAsia" w:ascii="宋体" w:hAnsi="宋体" w:cs="宋体"/>
          <w:b/>
          <w:color w:val="auto"/>
          <w:sz w:val="21"/>
          <w:szCs w:val="21"/>
          <w:highlight w:val="none"/>
        </w:rPr>
        <w:t xml:space="preserve">请成交供应商在成交结果公告届满之日起30日内，使用CA证书登录“苏采云”系统及时下载成交通知书。</w:t>
      </w:r>
      <w:r>
        <w:rPr>
          <w:rFonts w:hint="eastAsia" w:ascii="宋体" w:hAnsi="宋体" w:cs="宋体"/>
          <w:color w:val="auto"/>
          <w:sz w:val="21"/>
          <w:szCs w:val="21"/>
          <w:highlight w:val="none"/>
        </w:rPr>
        <w:t xml:space="preserve">因系统存储空间有限，自成交结果公告届满之日起30日后，“苏采云”系统不再保证提供下载成交通知书服务，因未及时下载而造成的不利后果由成交供应商自行承担。</w:t>
      </w:r>
      <w:r/>
    </w:p>
    <w:p>
      <w:pPr>
        <w:ind w:firstLine="420"/>
        <w:jc w:val="both"/>
        <w:spacing w:line="400" w:lineRule="exact"/>
        <w:widowControl w:val="off"/>
        <w:tabs>
          <w:tab w:val="left" w:pos="8930" w:leader="none"/>
          <w:tab w:val="left" w:pos="9306"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27.2成交通知书将成为合同的组成部分。</w:t>
      </w:r>
      <w:r/>
    </w:p>
    <w:p>
      <w:pPr>
        <w:ind w:firstLine="420"/>
        <w:jc w:val="both"/>
        <w:spacing w:line="400" w:lineRule="exact"/>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27.3在发放《成交通知书》的同时，向参与项目评审的未成交供应商发放《未成交通知书》，以电子邮件的方式告知该未成交供应商的评审得分与排名，电子邮箱以供应商提交的磋商响应函中写明的电子邮箱为准</w:t>
      </w: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供应商未在磋商响应函中写明电</w:t>
      </w:r>
      <w:r>
        <w:rPr>
          <w:rFonts w:hint="eastAsia" w:ascii="宋体" w:hAnsi="宋体" w:cs="宋体"/>
          <w:color w:val="auto"/>
          <w:sz w:val="21"/>
          <w:szCs w:val="21"/>
          <w:highlight w:val="none"/>
          <w:lang w:val="zh-CN"/>
        </w:rPr>
        <w:t xml:space="preserve">子邮箱的，</w:t>
      </w:r>
      <w:r>
        <w:rPr>
          <w:rFonts w:hint="eastAsia" w:ascii="宋体" w:hAnsi="宋体" w:cs="宋体"/>
          <w:color w:val="auto"/>
          <w:sz w:val="21"/>
          <w:szCs w:val="21"/>
          <w:highlight w:val="none"/>
        </w:rPr>
        <w:t xml:space="preserve">视为自动放弃获知相关信息权利并自行承担相应后果</w:t>
      </w:r>
      <w:r>
        <w:rPr>
          <w:rFonts w:hint="eastAsia" w:ascii="宋体" w:hAnsi="宋体" w:cs="宋体"/>
          <w:color w:val="auto"/>
          <w:sz w:val="21"/>
          <w:szCs w:val="21"/>
          <w:highlight w:val="none"/>
          <w:lang w:val="zh-CN"/>
        </w:rPr>
        <w:t xml:space="preserve">。</w:t>
      </w:r>
      <w:r/>
    </w:p>
    <w:p>
      <w:pPr>
        <w:ind w:firstLine="422"/>
        <w:spacing w:line="400" w:lineRule="exact"/>
        <w:widowControl w:val="off"/>
        <w:tabs>
          <w:tab w:val="left" w:pos="8930" w:leader="none"/>
          <w:tab w:val="left" w:pos="9306"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28.合同的签订</w:t>
      </w:r>
      <w:r>
        <w:rPr>
          <w:rFonts w:hint="eastAsia" w:ascii="宋体" w:hAnsi="宋体" w:cs="宋体"/>
          <w:b/>
          <w:color w:val="auto"/>
          <w:sz w:val="21"/>
          <w:szCs w:val="21"/>
          <w:highlight w:val="none"/>
        </w:rPr>
        <w:t xml:space="preserve">及履行</w:t>
      </w:r>
      <w:r/>
    </w:p>
    <w:p>
      <w:pPr>
        <w:ind w:firstLine="420"/>
        <w:jc w:val="both"/>
        <w:spacing w:line="400" w:lineRule="exact"/>
        <w:widowControl w:val="off"/>
        <w:tabs>
          <w:tab w:val="left" w:pos="8930" w:leader="none"/>
          <w:tab w:val="left" w:pos="9306"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28.1成交供应商应按成交通知书中规定的时间和地点，由法定代表人或其授权代表与采购人签订合同。</w:t>
      </w:r>
      <w:r/>
    </w:p>
    <w:p>
      <w:pPr>
        <w:ind w:firstLine="420"/>
        <w:jc w:val="both"/>
        <w:spacing w:line="400" w:lineRule="exact"/>
        <w:widowControl w:val="off"/>
        <w:tabs>
          <w:tab w:val="left" w:pos="8930" w:leader="none"/>
          <w:tab w:val="left" w:pos="9306"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28.2采购人与成交供应商应当在成交通知书发出之日起三十日内，按照采购文件及响应文件确定的事项签订政府采购合同。</w:t>
      </w:r>
      <w:r/>
    </w:p>
    <w:p>
      <w:pPr>
        <w:ind w:firstLine="420"/>
        <w:jc w:val="both"/>
        <w:spacing w:line="400" w:lineRule="exact"/>
        <w:widowControl w:val="off"/>
        <w:tabs>
          <w:tab w:val="left" w:pos="8930" w:leader="none"/>
          <w:tab w:val="left" w:pos="9306"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28.3签订合同及合同条款应以采购文件和成交供应商的响应文件及其澄清文件为依据。</w:t>
      </w:r>
      <w:r/>
    </w:p>
    <w:p>
      <w:pPr>
        <w:ind w:firstLine="420"/>
        <w:jc w:val="both"/>
        <w:spacing w:line="400" w:lineRule="exact"/>
        <w:widowControl w:val="off"/>
        <w:tabs>
          <w:tab w:val="left" w:pos="8930" w:leader="none"/>
          <w:tab w:val="left" w:pos="9306"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28.4本项目将根据政府采购法及相关法规，《江苏省政府采购履约验收管理办法》以及苏州工业园区财政审计局《关于进一步加强履约验收管理的通知》等文件的规定，对供应商进行履约验收，确认验收合格的，将出具《政府采购履约验收书》。《政府采购履约验收书》、合同是申请支付政府采购合同价款的必备资料。</w:t>
      </w:r>
      <w:r/>
    </w:p>
    <w:p>
      <w:pPr>
        <w:ind w:firstLine="420"/>
        <w:jc w:val="both"/>
        <w:spacing w:line="400" w:lineRule="exact"/>
        <w:widowControl w:val="off"/>
        <w:tabs>
          <w:tab w:val="left" w:pos="8930" w:leader="none"/>
          <w:tab w:val="left" w:pos="9306"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29.代理服务费</w:t>
      </w:r>
      <w:r/>
    </w:p>
    <w:p>
      <w:pPr>
        <w:ind w:firstLine="420"/>
        <w:jc w:val="both"/>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29.1成交供应商须按供应商须知前附表的规定按预算金额计算并支付服务费，该费用应在领取成交通知书时付清。</w:t>
      </w:r>
      <w:r/>
    </w:p>
    <w:p>
      <w:pPr>
        <w:ind w:firstLine="42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29.2代理服务费具体收费依据2023年苏州市级政府采购代理服务收费公告信息变更表（第一批）https://czju.suzhou.gov.cn/zfcg/html/content/20230215130819730.shtml及苏财购字〔2016〕18号执行。</w:t>
      </w:r>
      <w:r/>
    </w:p>
    <w:p>
      <w:pPr>
        <w:ind w:firstLine="420"/>
        <w:jc w:val="both"/>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29.3成交供应商如果未按规定缴纳代理服务费，须向采购代理机构支付本采购文件公布的预算金额的2%作为违约赔偿金，同时采购代理机构保留诉讼权利。</w:t>
      </w:r>
      <w:r/>
    </w:p>
    <w:p>
      <w:pPr>
        <w:ind w:firstLine="420"/>
        <w:jc w:val="both"/>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29.4因</w:t>
      </w:r>
      <w:r>
        <w:rPr>
          <w:rFonts w:hint="eastAsia" w:ascii="宋体" w:hAnsi="宋体" w:cs="宋体"/>
          <w:color w:val="auto"/>
          <w:sz w:val="21"/>
          <w:szCs w:val="21"/>
          <w:highlight w:val="none"/>
          <w:lang w:eastAsia="zh-CN"/>
        </w:rPr>
        <w:t xml:space="preserve">成交供应商</w:t>
      </w:r>
      <w:r>
        <w:rPr>
          <w:rFonts w:hint="eastAsia" w:ascii="宋体" w:hAnsi="宋体" w:cs="宋体"/>
          <w:color w:val="auto"/>
          <w:sz w:val="21"/>
          <w:szCs w:val="21"/>
          <w:highlight w:val="none"/>
        </w:rPr>
        <w:t xml:space="preserve">自身违法、违约等行为致使成交结果无效的，代理服务费须按本项目采购的要求正常交纳，已交的代理服务费不予退还。</w:t>
      </w:r>
      <w:r/>
    </w:p>
    <w:p>
      <w:pPr>
        <w:ind w:firstLine="420"/>
        <w:jc w:val="both"/>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29.5采购人在编制本项目采购预算时已综合考虑采购代理服务费，供应商在报价时须将代理服务综合考虑在响应报价中。</w:t>
      </w:r>
      <w:r/>
    </w:p>
    <w:p>
      <w:pPr>
        <w:ind w:firstLine="420"/>
        <w:jc w:val="both"/>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29.6签订委托代理协议时，已约定本项目的代理服务费由</w:t>
      </w:r>
      <w:r>
        <w:rPr>
          <w:rFonts w:hint="eastAsia" w:ascii="宋体" w:hAnsi="宋体" w:cs="宋体"/>
          <w:color w:val="auto"/>
          <w:sz w:val="21"/>
          <w:szCs w:val="21"/>
          <w:highlight w:val="none"/>
          <w:lang w:eastAsia="zh-CN"/>
        </w:rPr>
        <w:t xml:space="preserve">成交供应商</w:t>
      </w:r>
      <w:r>
        <w:rPr>
          <w:rFonts w:hint="eastAsia" w:ascii="宋体" w:hAnsi="宋体" w:cs="宋体"/>
          <w:color w:val="auto"/>
          <w:sz w:val="21"/>
          <w:szCs w:val="21"/>
          <w:highlight w:val="none"/>
        </w:rPr>
        <w:t xml:space="preserve">支付。</w:t>
      </w:r>
      <w:r/>
    </w:p>
    <w:p>
      <w:pPr>
        <w:jc w:val="both"/>
        <w:spacing w:line="400" w:lineRule="exact"/>
        <w:widowControl w:val="off"/>
        <w:tabs>
          <w:tab w:val="left" w:pos="8930" w:leader="none"/>
          <w:tab w:val="left" w:pos="9306" w:leader="none"/>
        </w:tabs>
        <w:rPr>
          <w:rFonts w:ascii="宋体" w:hAnsi="宋体" w:cs="宋体"/>
          <w:b/>
          <w:color w:val="auto"/>
          <w:sz w:val="21"/>
          <w:szCs w:val="21"/>
          <w:highlight w:val="none"/>
        </w:rPr>
      </w:pPr>
      <w:r>
        <w:rPr>
          <w:rFonts w:hint="eastAsia" w:ascii="宋体" w:hAnsi="宋体" w:cs="宋体"/>
          <w:b/>
          <w:color w:val="auto"/>
          <w:sz w:val="21"/>
          <w:szCs w:val="21"/>
          <w:highlight w:val="none"/>
        </w:rPr>
        <w:t xml:space="preserve">七、质疑</w:t>
      </w:r>
      <w:r/>
    </w:p>
    <w:p>
      <w:pPr>
        <w:ind w:firstLine="420"/>
        <w:jc w:val="both"/>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质疑的提出和答复、投诉的提起和处理须按</w:t>
      </w:r>
      <w:bookmarkStart w:id="60" w:name="_Hlk100855140"/>
      <w:r>
        <w:rPr>
          <w:rFonts w:hint="eastAsia" w:ascii="宋体" w:hAnsi="宋体" w:cs="宋体"/>
          <w:color w:val="auto"/>
          <w:sz w:val="21"/>
          <w:szCs w:val="21"/>
          <w:highlight w:val="none"/>
        </w:rPr>
        <w:t xml:space="preserve">《政府采购质疑和投诉办法》</w:t>
      </w:r>
      <w:bookmarkEnd w:id="60"/>
      <w:r>
        <w:rPr>
          <w:rFonts w:hint="eastAsia" w:ascii="宋体" w:hAnsi="宋体" w:cs="宋体"/>
          <w:color w:val="auto"/>
          <w:sz w:val="21"/>
          <w:szCs w:val="21"/>
          <w:highlight w:val="none"/>
        </w:rPr>
        <w:t xml:space="preserve">（中华人民共和国财政部令第94号）相关规定执行。</w:t>
      </w:r>
      <w:r/>
    </w:p>
    <w:p>
      <w:pPr>
        <w:ind w:firstLine="422"/>
        <w:jc w:val="both"/>
        <w:spacing w:line="400" w:lineRule="exact"/>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30.质疑的提出</w:t>
      </w:r>
      <w:r/>
    </w:p>
    <w:p>
      <w:pPr>
        <w:ind w:firstLine="420"/>
        <w:jc w:val="both"/>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30.1根据《政府采购质疑和投诉办法》（中华人民共和国财政部令第94号）的规定，供应商认为采购文件、采购过程、成交结果使自己的权益受到损害的，可以在知道或者应知其权益受到损害之日起7个工作日内，以书面形式向采购人、采购代理机构提出质疑。</w:t>
      </w:r>
      <w:r/>
    </w:p>
    <w:p>
      <w:pPr>
        <w:ind w:firstLine="420"/>
        <w:jc w:val="both"/>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30.2提出质疑的供应商应当是参与所质疑项目采购活动的供应商。供应商必须在法定质疑期内一次性提出针对同一采购程序环节的质疑，两次或多次对同一采购程序环节提出的质疑将拒收。</w:t>
      </w:r>
      <w:r/>
    </w:p>
    <w:p>
      <w:pPr>
        <w:ind w:firstLine="420"/>
        <w:jc w:val="both"/>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30.3潜在供应商已依法获取其可质疑的采购文件的，可以对该文件提出质疑（未按本项目采购公告规定获取采购文件的供应商提出的质疑将不予受理）。对采购文件提出质疑的，应当在获取采购文件或者采购文件公告期限届满之日起7个工作日内提出。</w:t>
      </w:r>
      <w:r/>
    </w:p>
    <w:p>
      <w:pPr>
        <w:ind w:firstLine="420"/>
        <w:jc w:val="both"/>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30.4供应商提出质疑应当提交质疑函、供应商参加投标确认函和必要的证明材料。质疑函应当包括下列内容：</w:t>
      </w:r>
      <w:r/>
    </w:p>
    <w:p>
      <w:pPr>
        <w:ind w:firstLine="420"/>
        <w:jc w:val="both"/>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（1）供应商的姓名或者名称、地址、邮编、联系人及联系电话；</w:t>
      </w:r>
      <w:r/>
    </w:p>
    <w:p>
      <w:pPr>
        <w:ind w:firstLine="420"/>
        <w:jc w:val="both"/>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（2）质疑项目的名称、编号；</w:t>
      </w:r>
      <w:r/>
    </w:p>
    <w:p>
      <w:pPr>
        <w:ind w:firstLine="420"/>
        <w:jc w:val="both"/>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（3）具体、明确的质疑事项和与质疑事项相关的请求；</w:t>
      </w:r>
      <w:r/>
    </w:p>
    <w:p>
      <w:pPr>
        <w:ind w:firstLine="420"/>
        <w:jc w:val="both"/>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（4）事实依据；</w:t>
      </w:r>
      <w:r/>
    </w:p>
    <w:p>
      <w:pPr>
        <w:ind w:firstLine="420"/>
        <w:jc w:val="both"/>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（5）必要的法律依据；</w:t>
      </w:r>
      <w:r/>
    </w:p>
    <w:p>
      <w:pPr>
        <w:ind w:firstLine="420"/>
        <w:jc w:val="both"/>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（6）提出质疑的日期。</w:t>
      </w:r>
      <w:r/>
    </w:p>
    <w:p>
      <w:pPr>
        <w:ind w:firstLine="420"/>
        <w:jc w:val="both"/>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30.5供应商为自然人的，质疑函应当由本人签字；供应商为法人或者其他组织的，应当由法定代表人、主要负责人，或者其授权代表签字或者盖章，并加盖公章。以联合体形式参加政府采购活动的，其质疑应当由组成联合体的所有供应商共同提出。质疑函须提供原件。</w:t>
      </w:r>
      <w:r/>
    </w:p>
    <w:p>
      <w:pPr>
        <w:ind w:firstLine="420"/>
        <w:jc w:val="both"/>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30.6供应商可以委托代理人进行质疑。其授权委托书应当载明代理人的姓名或者名称、代理事项、具体权限、期限和相关事项。供应商为自然人的，授权委托书应当由本人签字，同时提供自然人及代理人身份证复印件；供应商为法人或者其他组织的，授权委托书应当由法定代表人、主要负责人签字或者盖章，并加盖公章，同时提供法定代表人、主要负责人及代理人身份证复印件。</w:t>
      </w:r>
      <w:r/>
    </w:p>
    <w:p>
      <w:pPr>
        <w:ind w:firstLine="422"/>
        <w:jc w:val="both"/>
        <w:spacing w:line="400" w:lineRule="exact"/>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31.质疑的受理与答复</w:t>
      </w:r>
      <w:r/>
    </w:p>
    <w:p>
      <w:pPr>
        <w:ind w:firstLine="420"/>
        <w:jc w:val="both"/>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31.1采购人负责供应商质疑答复。采购人委托采购代理机构采购的，采购代理机构在委托授权范围内作出答复。</w:t>
      </w:r>
      <w:r/>
    </w:p>
    <w:p>
      <w:pPr>
        <w:ind w:firstLine="420"/>
        <w:jc w:val="both"/>
        <w:spacing w:line="400" w:lineRule="exact"/>
        <w:widowControl w:val="off"/>
        <w:rPr>
          <w:rFonts w:ascii="宋体" w:hAnsi="宋体" w:cs="宋体"/>
          <w:color w:val="auto"/>
          <w:sz w:val="21"/>
          <w:szCs w:val="21"/>
          <w:highlight w:val="none"/>
        </w:rPr>
      </w:pP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1.2接收质疑函的方式及联系方式：</w:t>
      </w:r>
      <w:r/>
    </w:p>
    <w:p>
      <w:pPr>
        <w:ind w:firstLine="420"/>
        <w:jc w:val="both"/>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接收质疑函的方式为当场送达或邮寄。</w:t>
      </w:r>
      <w:r/>
    </w:p>
    <w:p>
      <w:pPr>
        <w:ind w:firstLine="420"/>
        <w:jc w:val="both"/>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质疑联系人：陆玲</w:t>
      </w:r>
      <w:r/>
    </w:p>
    <w:p>
      <w:pPr>
        <w:ind w:firstLine="420"/>
        <w:jc w:val="both"/>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联系电话：0512-68557251</w:t>
      </w:r>
      <w:r/>
    </w:p>
    <w:p>
      <w:pPr>
        <w:ind w:firstLine="420"/>
        <w:jc w:val="both"/>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通讯地址：苏州市相城区元和街道阳澄湖西路御窑商业街6号楼二楼。</w:t>
      </w:r>
      <w:r/>
    </w:p>
    <w:p>
      <w:pPr>
        <w:ind w:firstLine="420"/>
        <w:jc w:val="both"/>
        <w:spacing w:line="400" w:lineRule="exact"/>
        <w:widowControl w:val="off"/>
        <w:rPr>
          <w:rFonts w:ascii="宋体" w:hAnsi="宋体" w:cs="宋体"/>
          <w:color w:val="auto"/>
          <w:sz w:val="21"/>
          <w:szCs w:val="21"/>
          <w:highlight w:val="none"/>
        </w:rPr>
      </w:pP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1.3采购人、采购代理机构应当在收到质疑函后7个工作日内作出答复，并以书面形式通知质疑供应商和其他有关供应商。</w:t>
      </w:r>
      <w:r/>
    </w:p>
    <w:p>
      <w:pPr>
        <w:ind w:firstLine="420"/>
        <w:jc w:val="both"/>
        <w:spacing w:line="400" w:lineRule="exact"/>
        <w:widowControl w:val="off"/>
        <w:tabs>
          <w:tab w:val="left" w:pos="3600" w:leader="none"/>
        </w:tabs>
        <w:rPr>
          <w:rFonts w:ascii="宋体" w:hAnsi="宋体" w:cs="宋体"/>
          <w:color w:val="auto"/>
          <w:sz w:val="21"/>
          <w:szCs w:val="21"/>
          <w:highlight w:val="none"/>
        </w:rPr>
      </w:pP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1.4采购人、采购代理机构处理质疑的其他要求按《政府采购质疑和投诉办法》（中华人民共和国财政部令第94号）相关规定执行。</w:t>
      </w:r>
      <w:r/>
    </w:p>
    <w:p>
      <w:pPr>
        <w:jc w:val="both"/>
        <w:spacing w:line="400" w:lineRule="exact"/>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八、政府采购政策</w:t>
      </w:r>
      <w:r/>
    </w:p>
    <w:p>
      <w:pPr>
        <w:ind w:firstLine="420"/>
        <w:jc w:val="both"/>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32.1根据苏州市财政局《关于贯彻执行绿色采购、促进残疾人就业和支持监狱企业发展有关政策的通知》（苏财购〔2019〕10号）文件的规定：</w:t>
      </w:r>
      <w:r/>
    </w:p>
    <w:p>
      <w:pPr>
        <w:ind w:firstLine="420"/>
        <w:jc w:val="both"/>
        <w:spacing w:line="400" w:lineRule="exact"/>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（1）节能产品和环境标志产品</w:t>
      </w:r>
      <w:r/>
    </w:p>
    <w:p>
      <w:pPr>
        <w:ind w:firstLine="420"/>
        <w:jc w:val="both"/>
        <w:spacing w:line="400" w:lineRule="exact"/>
        <w:widowControl w:val="off"/>
        <w:rPr>
          <w:rFonts w:ascii="宋体" w:hAnsi="宋体" w:cs="宋体"/>
          <w:b/>
          <w:bCs/>
          <w:color w:val="auto"/>
          <w:sz w:val="21"/>
          <w:szCs w:val="21"/>
          <w:highlight w:val="none"/>
        </w:rPr>
      </w:pPr>
      <w:r>
        <w:rPr>
          <w:rFonts w:hint="eastAsia" w:ascii="宋体" w:hAnsi="宋体" w:cs="宋体"/>
          <w:color w:val="auto"/>
          <w:sz w:val="21"/>
          <w:szCs w:val="21"/>
          <w:highlight w:val="none"/>
        </w:rPr>
        <w:t xml:space="preserve">根据《关于调整优化节能产品、环境标志产品政府采购执行机制的通知》（财库〔2019〕9号）、《关于贯彻执行绿色采购、促进残疾人就业和支持监狱企业发展有关政策的通知》（苏财购〔2019〕10号）的文件规定，</w:t>
      </w:r>
      <w:r>
        <w:rPr>
          <w:rFonts w:hint="eastAsia" w:ascii="宋体" w:hAnsi="宋体" w:cs="宋体"/>
          <w:b/>
          <w:bCs/>
          <w:color w:val="auto"/>
          <w:sz w:val="21"/>
          <w:szCs w:val="21"/>
          <w:highlight w:val="none"/>
        </w:rPr>
        <w:t xml:space="preserve">采购清单产品如属于国家节能或环保品目清单的强制采购产品的，响应供应商应当选择强制采购产品，并提供由国家确定的认证机构出具的、处于有效期之内的节能产品或环境标志产品认证证书，否则视为未实质响应。</w:t>
      </w:r>
      <w:r/>
    </w:p>
    <w:p>
      <w:pPr>
        <w:ind w:firstLine="420"/>
        <w:jc w:val="both"/>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注：本次采购的产品不属于财政部、国家发展改革委、生态环境部、市场监管总局等部门发布的节能产品政府强制采购品目清单范围内的产品，响应文件中无须提供认证机构出具的、处于有效期之内的节能产品认证证书扫描件。对环境标志产品政府优先采购品目清单内的产品实行优先采购。具体节能产品、环境标志产品政府优先采购和强制采购品目清单请通过中国政府采购网（www.ccgp.gov.cn）查询、了解国家确定的认证机构和获证产品相关情况。</w:t>
      </w:r>
      <w:r/>
    </w:p>
    <w:p>
      <w:pPr>
        <w:ind w:firstLine="422"/>
        <w:jc w:val="both"/>
        <w:spacing w:line="400" w:lineRule="exact"/>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本次为服务类项目，不涉及节能和环境标志产品。</w:t>
      </w:r>
      <w:r/>
    </w:p>
    <w:p>
      <w:pPr>
        <w:ind w:firstLine="420"/>
        <w:jc w:val="both"/>
        <w:spacing w:line="400" w:lineRule="exact"/>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（2）促进残疾人就业</w:t>
      </w:r>
      <w:r/>
    </w:p>
    <w:p>
      <w:pPr>
        <w:ind w:firstLine="420"/>
        <w:jc w:val="both"/>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残疾人福利单位定义：享受政府采购支持政策的残疾人福利性单位应当同时满足以下条件：</w:t>
      </w:r>
      <w:r/>
    </w:p>
    <w:p>
      <w:pPr>
        <w:ind w:firstLine="420"/>
        <w:jc w:val="both"/>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（1）安置的残疾人占本单位在职职工人数的比例不低于25%（含25%），并且安置的残疾人人数不少于10 人（含10 人）；</w:t>
      </w:r>
      <w:r/>
    </w:p>
    <w:p>
      <w:pPr>
        <w:ind w:firstLine="420"/>
        <w:jc w:val="both"/>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（2）依法与安置的每位残疾人签订了一年以上（含一年）的劳动合同或服务协议；</w:t>
      </w:r>
      <w:r/>
    </w:p>
    <w:p>
      <w:pPr>
        <w:ind w:firstLine="420"/>
        <w:jc w:val="both"/>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（3）为安置的每位残疾人按月足额缴纳了基本养老保险、基本医疗保险、失业保险、工伤保险和生育保险等社会保险费；</w:t>
      </w:r>
      <w:r/>
    </w:p>
    <w:p>
      <w:pPr>
        <w:ind w:firstLine="420"/>
        <w:jc w:val="both"/>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（4）通过银行等金融机构向安置的每位残疾人，按月支付了不低于单位所在区县适用的经省级人民政府批准的月最低工资标准的工资；</w:t>
      </w:r>
      <w:r/>
    </w:p>
    <w:p>
      <w:pPr>
        <w:ind w:firstLine="420"/>
        <w:jc w:val="both"/>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（5）提供本单位制造的货物、承担的工程或者服务（以下简称产品），或者提供其他残疾人福利性单位制造的货物（不包括使用非残疾人福利性单位注册商标的货物）；</w:t>
      </w:r>
      <w:r/>
    </w:p>
    <w:p>
      <w:pPr>
        <w:ind w:firstLine="420"/>
        <w:jc w:val="both"/>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20"/>
        <w:jc w:val="both"/>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在政府采购活动中，残疾人福利性单位视同小型、微型企业，享受评审中价格扣除等促进中小企业发展的政府采购政策，残疾人福利性单位属于小型、微型企业的，不重复享受政策。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中华人民共和国政府采购法》第七十七条第一款的规定追究法律责任。</w:t>
      </w:r>
      <w:r/>
    </w:p>
    <w:p>
      <w:pPr>
        <w:ind w:firstLine="420"/>
        <w:jc w:val="both"/>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成交供应商为残疾人福利性单位的，采购人或者其委托的采购代理机构随成交结果同时公告其《残疾人福利性单位声明函》，接受社会监督。</w:t>
      </w:r>
      <w:r/>
    </w:p>
    <w:p>
      <w:pPr>
        <w:ind w:firstLine="420"/>
        <w:jc w:val="both"/>
        <w:spacing w:line="400" w:lineRule="exact"/>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（3）监狱企业</w:t>
      </w:r>
      <w:r/>
    </w:p>
    <w:p>
      <w:pPr>
        <w:ind w:firstLine="42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jc w:val="both"/>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在政府采购活动中，监狱企业视同小型、微型企业，享受评审中价格扣除等政府采购促进中小企业发展的政府采购政策。</w:t>
      </w:r>
      <w:r/>
    </w:p>
    <w:p>
      <w:pPr>
        <w:ind w:firstLine="42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20"/>
        <w:spacing w:line="400" w:lineRule="exact"/>
        <w:widowControl w:val="off"/>
        <w:rPr>
          <w:rFonts w:ascii="宋体" w:hAnsi="宋体" w:cs="宋体"/>
          <w:b/>
          <w:bCs/>
          <w:color w:val="auto"/>
          <w:sz w:val="21"/>
          <w:szCs w:val="21"/>
          <w:highlight w:val="none"/>
        </w:rPr>
      </w:pPr>
      <w:r>
        <w:rPr>
          <w:rFonts w:ascii="宋体" w:hAnsi="宋体" w:cs="宋体"/>
          <w:b/>
          <w:bCs/>
          <w:color w:val="auto"/>
          <w:sz w:val="21"/>
          <w:szCs w:val="21"/>
          <w:highlight w:val="none"/>
        </w:rPr>
        <w:t xml:space="preserve">3</w:t>
      </w:r>
      <w:r>
        <w:rPr>
          <w:rFonts w:hint="eastAsia" w:ascii="宋体" w:hAnsi="宋体" w:cs="宋体"/>
          <w:b/>
          <w:bCs/>
          <w:color w:val="auto"/>
          <w:sz w:val="21"/>
          <w:szCs w:val="21"/>
          <w:highlight w:val="none"/>
        </w:rPr>
        <w:t xml:space="preserve">2.2小微企业相关政策</w:t>
      </w:r>
      <w:r/>
    </w:p>
    <w:p>
      <w:pPr>
        <w:ind w:firstLine="420"/>
        <w:spacing w:line="400" w:lineRule="exact"/>
        <w:widowControl w:val="off"/>
        <w:rPr>
          <w:rFonts w:ascii="宋体" w:hAnsi="宋体" w:cs="宋体"/>
          <w:b/>
          <w:color w:val="auto"/>
          <w:sz w:val="21"/>
          <w:szCs w:val="21"/>
          <w:highlight w:val="none"/>
          <w:lang w:bidi="ar"/>
        </w:rPr>
      </w:pPr>
      <w:r>
        <w:rPr>
          <w:rFonts w:hint="eastAsia" w:ascii="宋体" w:hAnsi="宋体"/>
          <w:color w:val="auto"/>
          <w:sz w:val="21"/>
          <w:szCs w:val="20"/>
          <w:highlight w:val="none"/>
        </w:rPr>
        <w:t xml:space="preserve">（1）本项目专门面向中小企业，</w:t>
      </w:r>
      <w:r>
        <w:rPr>
          <w:rFonts w:hint="eastAsia" w:ascii="宋体" w:hAnsi="宋体" w:cs="宋体"/>
          <w:b/>
          <w:bCs/>
          <w:color w:val="auto"/>
          <w:sz w:val="21"/>
          <w:szCs w:val="21"/>
          <w:highlight w:val="none"/>
        </w:rPr>
        <w:t xml:space="preserve">根据《政府采购促进中小企业发展管理办法》（财库〔2020〕46号）及《中小企业划型标准规定》（工信部联企业〔2011〕300号），</w:t>
      </w:r>
      <w:r>
        <w:rPr>
          <w:rFonts w:hint="eastAsia" w:ascii="宋体" w:hAnsi="宋体" w:cs="宋体"/>
          <w:b/>
          <w:bCs/>
          <w:color w:val="auto"/>
          <w:sz w:val="21"/>
          <w:szCs w:val="22"/>
          <w:highlight w:val="none"/>
        </w:rPr>
        <w:t xml:space="preserve">本采购项目对应的中小企业划分标准所属行业为：</w:t>
      </w:r>
      <w:r>
        <w:rPr>
          <w:rFonts w:hint="eastAsia" w:ascii="宋体" w:hAnsi="宋体" w:cs="宋体"/>
          <w:b/>
          <w:color w:val="auto"/>
          <w:sz w:val="21"/>
          <w:szCs w:val="21"/>
          <w:highlight w:val="none"/>
          <w:u w:val="single"/>
          <w:lang w:bidi="ar"/>
        </w:rPr>
        <w:t xml:space="preserve">其他未列明行业</w:t>
      </w:r>
      <w:r>
        <w:rPr>
          <w:rFonts w:hint="eastAsia" w:ascii="宋体" w:hAnsi="宋体" w:cs="宋体"/>
          <w:b/>
          <w:bCs/>
          <w:color w:val="auto"/>
          <w:sz w:val="21"/>
          <w:szCs w:val="21"/>
          <w:highlight w:val="none"/>
        </w:rPr>
        <w:t xml:space="preserve">，</w:t>
      </w:r>
      <w:r>
        <w:rPr>
          <w:rFonts w:hint="eastAsia" w:ascii="宋体" w:hAnsi="宋体" w:cs="宋体"/>
          <w:b/>
          <w:color w:val="auto"/>
          <w:sz w:val="21"/>
          <w:szCs w:val="21"/>
          <w:highlight w:val="none"/>
          <w:lang w:bidi="ar"/>
        </w:rPr>
        <w:t xml:space="preserve">供应商应为中小微企业或监狱企业或残疾人福利性单位。</w:t>
      </w:r>
      <w:r/>
    </w:p>
    <w:p>
      <w:pPr>
        <w:ind w:firstLine="420"/>
        <w:spacing w:line="400" w:lineRule="exact"/>
        <w:widowControl w:val="off"/>
        <w:rPr>
          <w:rFonts w:ascii="宋体" w:hAnsi="宋体"/>
          <w:color w:val="auto"/>
          <w:sz w:val="21"/>
          <w:szCs w:val="20"/>
          <w:highlight w:val="none"/>
        </w:rPr>
      </w:pPr>
      <w:r>
        <w:rPr>
          <w:rFonts w:hint="eastAsia" w:ascii="宋体" w:hAnsi="宋体" w:cs="宋体"/>
          <w:bCs/>
          <w:color w:val="auto"/>
          <w:sz w:val="21"/>
          <w:szCs w:val="21"/>
          <w:highlight w:val="none"/>
          <w:lang w:bidi="ar"/>
        </w:rPr>
        <w:t xml:space="preserve">（2）根据</w:t>
      </w:r>
      <w:r>
        <w:rPr>
          <w:rFonts w:hint="eastAsia" w:ascii="宋体" w:hAnsi="宋体"/>
          <w:color w:val="auto"/>
          <w:sz w:val="21"/>
          <w:szCs w:val="20"/>
          <w:highlight w:val="none"/>
        </w:rPr>
        <w:t xml:space="preserve">《政府采购促进中小企业发展管理办法》规定，享受扶持政策获得政府采购合同的，小微企业不得将合同转包给大中型企业，中小企业不得将合同分包给大型企业。</w:t>
      </w:r>
      <w:r/>
    </w:p>
    <w:p>
      <w:pPr>
        <w:ind w:firstLine="420"/>
        <w:spacing w:line="400" w:lineRule="exact"/>
        <w:widowControl w:val="off"/>
        <w:rPr>
          <w:rFonts w:ascii="宋体" w:hAnsi="宋体"/>
          <w:color w:val="auto"/>
          <w:sz w:val="21"/>
          <w:szCs w:val="20"/>
          <w:highlight w:val="none"/>
        </w:rPr>
      </w:pPr>
      <w:r>
        <w:rPr>
          <w:rFonts w:hint="eastAsia" w:ascii="宋体" w:hAnsi="宋体" w:cs="宋体"/>
          <w:bCs/>
          <w:color w:val="auto"/>
          <w:sz w:val="21"/>
          <w:szCs w:val="21"/>
          <w:highlight w:val="none"/>
          <w:lang w:bidi="ar"/>
        </w:rPr>
        <w:t xml:space="preserve">（3）中小企业参加政府采购活动，须在响应文件中提供</w:t>
      </w:r>
      <w:r>
        <w:rPr>
          <w:rFonts w:hint="eastAsia" w:ascii="宋体" w:hAnsi="宋体"/>
          <w:bCs/>
          <w:color w:val="auto"/>
          <w:sz w:val="21"/>
          <w:szCs w:val="20"/>
          <w:highlight w:val="none"/>
        </w:rPr>
        <w:t xml:space="preserve">《</w:t>
      </w:r>
      <w:r>
        <w:rPr>
          <w:rFonts w:hint="eastAsia" w:ascii="宋体" w:hAnsi="宋体"/>
          <w:color w:val="auto"/>
          <w:sz w:val="21"/>
          <w:szCs w:val="20"/>
          <w:highlight w:val="none"/>
        </w:rPr>
        <w:t xml:space="preserve">中小企业声明函》，未在响应文件中提供《中小企业声明函》的，不享受促进中小企业发展的相关政府采购政策。</w:t>
      </w:r>
      <w:r/>
    </w:p>
    <w:p>
      <w:pPr>
        <w:ind w:firstLine="420"/>
        <w:spacing w:line="400" w:lineRule="exact"/>
        <w:widowControl w:val="off"/>
        <w:rPr>
          <w:rFonts w:ascii="宋体" w:hAnsi="宋体"/>
          <w:b/>
          <w:color w:val="auto"/>
          <w:sz w:val="21"/>
          <w:szCs w:val="20"/>
          <w:highlight w:val="none"/>
        </w:rPr>
      </w:pPr>
      <w:r>
        <w:rPr>
          <w:rFonts w:hint="eastAsia" w:ascii="宋体" w:hAnsi="宋体"/>
          <w:color w:val="auto"/>
          <w:sz w:val="21"/>
          <w:szCs w:val="20"/>
          <w:highlight w:val="none"/>
        </w:rPr>
        <w:t xml:space="preserve">（4）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color w:val="auto"/>
          <w:sz w:val="21"/>
          <w:szCs w:val="20"/>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400" w:lineRule="exact"/>
        <w:widowControl w:val="off"/>
        <w:rPr>
          <w:rFonts w:ascii="宋体" w:hAnsi="宋体" w:cs="宋体"/>
          <w:b/>
          <w:color w:val="auto"/>
          <w:sz w:val="21"/>
          <w:szCs w:val="21"/>
          <w:highlight w:val="none"/>
          <w:lang w:bidi="ar"/>
        </w:rPr>
      </w:pPr>
      <w:r>
        <w:rPr>
          <w:rFonts w:hint="eastAsia" w:ascii="宋体" w:hAnsi="宋体"/>
          <w:color w:val="auto"/>
          <w:sz w:val="21"/>
          <w:szCs w:val="20"/>
          <w:highlight w:val="none"/>
        </w:rPr>
        <w:t xml:space="preserve">（5）在政府采购活动中，供应商提供的服务符合下列情形的，享受《政府采购促进中小企业发展管理办法》</w:t>
      </w:r>
      <w:r>
        <w:rPr>
          <w:rFonts w:hint="eastAsia"/>
          <w:color w:val="auto"/>
          <w:sz w:val="21"/>
          <w:szCs w:val="21"/>
          <w:highlight w:val="none"/>
        </w:rPr>
        <w:t xml:space="preserve">规定的中小企业扶持政策：在服务采购项目中，服务由中小企业承接，即提供服务的人员为中小企业依照《中华人民共和国劳动合同法》订立劳动合同的从业人员。</w:t>
      </w:r>
      <w:r>
        <w:rPr>
          <w:rFonts w:hint="eastAsia"/>
          <w:b/>
          <w:color w:val="auto"/>
          <w:sz w:val="21"/>
          <w:szCs w:val="21"/>
          <w:highlight w:val="none"/>
        </w:rPr>
        <w:t xml:space="preserve">服务类项目中供应商若使用退休人员，将不享受相关扶持政策。</w:t>
      </w:r>
      <w:r/>
    </w:p>
    <w:p>
      <w:pPr>
        <w:ind w:firstLine="420"/>
        <w:spacing w:line="400" w:lineRule="exact"/>
        <w:widowControl w:val="off"/>
        <w:rPr>
          <w:rFonts w:ascii="宋体" w:hAnsi="宋体" w:cs="宋体"/>
          <w:color w:val="auto"/>
          <w:sz w:val="21"/>
          <w:szCs w:val="21"/>
          <w:highlight w:val="none"/>
        </w:rPr>
      </w:pP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2.3信用记录评审：</w:t>
      </w:r>
      <w:r/>
    </w:p>
    <w:p>
      <w:pPr>
        <w:ind w:firstLine="420"/>
        <w:jc w:val="both"/>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采购代理机构会在接收响应文件截止时间后，登录信用中国网站（www.creditchina.gov.cn/）或中国政府采购网（www.ccgp.gov.cn/）查询供应商的信用记录。</w:t>
      </w:r>
      <w:r/>
    </w:p>
    <w:p>
      <w:pPr>
        <w:ind w:firstLine="420"/>
        <w:jc w:val="both"/>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磋商小组对供应商的不良信用记录逐项甄别确认。按照《中华人民共和国政府采购法》第二十二条规定，下列信用记录属于应依法拒绝供应商参加政府采购的失信信息：</w:t>
      </w:r>
      <w:r/>
    </w:p>
    <w:p>
      <w:pPr>
        <w:ind w:firstLine="420"/>
        <w:jc w:val="both"/>
        <w:spacing w:line="400" w:lineRule="exact"/>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（一）政府采购严重违法记录，即响应单位被全国各级财政部门列入“政府采购严重违法失信行为记录名单”，且在处罚有效期内的。</w:t>
      </w:r>
      <w:r/>
    </w:p>
    <w:p>
      <w:pPr>
        <w:ind w:firstLine="420"/>
        <w:jc w:val="both"/>
        <w:spacing w:line="400" w:lineRule="exact"/>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（二）财政部门与法院、工商、税务等部门联合惩戒的失信信息，包括：</w:t>
      </w:r>
      <w:r/>
    </w:p>
    <w:p>
      <w:pPr>
        <w:ind w:firstLine="420"/>
        <w:jc w:val="both"/>
        <w:spacing w:line="400" w:lineRule="exact"/>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（1）被列入失信被执行人名单；</w:t>
      </w:r>
      <w:r/>
    </w:p>
    <w:p>
      <w:pPr>
        <w:ind w:firstLine="420"/>
        <w:jc w:val="both"/>
        <w:spacing w:line="400" w:lineRule="exact"/>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（2）被列入重大税收违法案件当事人名单；</w:t>
      </w:r>
      <w:r/>
    </w:p>
    <w:p>
      <w:pPr>
        <w:ind w:firstLine="420"/>
        <w:jc w:val="both"/>
        <w:spacing w:line="400" w:lineRule="exact"/>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（3）企业经营异常名录中被责令停产停业、暂扣或者吊销许可证或者执照，或者对经营活动中的违法行为处以200万元以上数额罚款</w:t>
      </w:r>
      <w:r>
        <w:rPr>
          <w:rFonts w:hint="eastAsia" w:ascii="宋体" w:hAnsi="宋体" w:cs="宋体"/>
          <w:color w:val="auto"/>
          <w:sz w:val="21"/>
          <w:szCs w:val="21"/>
          <w:highlight w:val="none"/>
        </w:rPr>
        <w:t xml:space="preserve">（法律、行政法规以及国务院有关部门明确规定相关领域“较大数额罚款”标准高于200万元的，从其规定）</w:t>
      </w:r>
      <w:r>
        <w:rPr>
          <w:rFonts w:hint="eastAsia" w:ascii="宋体" w:hAnsi="宋体" w:cs="宋体"/>
          <w:bCs/>
          <w:color w:val="auto"/>
          <w:sz w:val="21"/>
          <w:szCs w:val="21"/>
          <w:highlight w:val="none"/>
        </w:rPr>
        <w:t xml:space="preserve">的信用记录。处罚生效日至提交（上传）响应文件日未满三年的。</w:t>
      </w:r>
      <w:r/>
    </w:p>
    <w:p>
      <w:pPr>
        <w:ind w:firstLine="420"/>
        <w:jc w:val="both"/>
        <w:spacing w:line="400" w:lineRule="exact"/>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其他有关“供应商信用查询”的规定见苏州市财政局《关于印发苏州市市级政府采购信用记录查询和使用工作试行办法的通知》（苏财购〔2017〕11号）、《财政部关于〈中华人民共和国政府采购法实施条例〉第十九条第一款“较大数额罚款”具体适用问题的意见》（财库 〔2022〕3 号）文件。</w:t>
      </w:r>
      <w:r/>
    </w:p>
    <w:p>
      <w:pPr>
        <w:jc w:val="both"/>
        <w:spacing w:line="400" w:lineRule="exact"/>
        <w:widowControl w:val="off"/>
        <w:rPr>
          <w:rFonts w:ascii="宋体" w:hAnsi="宋体" w:cs="宋体"/>
          <w:color w:val="auto"/>
          <w:sz w:val="21"/>
          <w:szCs w:val="21"/>
          <w:highlight w:val="none"/>
        </w:rPr>
      </w:pPr>
      <w:r>
        <w:rPr>
          <w:rFonts w:hint="eastAsia" w:ascii="宋体" w:hAnsi="宋体" w:cs="宋体"/>
          <w:b/>
          <w:color w:val="auto"/>
          <w:sz w:val="21"/>
          <w:szCs w:val="21"/>
          <w:highlight w:val="none"/>
        </w:rPr>
        <w:t xml:space="preserve">九、其他事项</w:t>
      </w:r>
      <w:r/>
    </w:p>
    <w:p>
      <w:pPr>
        <w:ind w:firstLine="422"/>
        <w:jc w:val="both"/>
        <w:spacing w:line="400" w:lineRule="exact"/>
        <w:widowControl w:val="off"/>
        <w:rPr>
          <w:rFonts w:ascii="宋体" w:hAnsi="宋体" w:cs="宋体"/>
          <w:color w:val="auto"/>
          <w:sz w:val="21"/>
          <w:szCs w:val="21"/>
          <w:highlight w:val="none"/>
        </w:rPr>
      </w:pPr>
      <w:r>
        <w:rPr>
          <w:rFonts w:hint="eastAsia" w:ascii="宋体" w:hAnsi="宋体" w:cs="宋体"/>
          <w:b/>
          <w:color w:val="auto"/>
          <w:sz w:val="21"/>
          <w:szCs w:val="21"/>
          <w:highlight w:val="none"/>
        </w:rPr>
        <w:t xml:space="preserve">33.未尽事宜</w:t>
      </w:r>
      <w:r/>
    </w:p>
    <w:p>
      <w:pPr>
        <w:pStyle w:val="935"/>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按《中华人民共和国政府采购法》《政府采购竞争性磋商采购方式管理暂行办法》及其他有关法律法规的规定执行。</w:t>
      </w:r>
      <w:r/>
    </w:p>
    <w:p>
      <w:pPr>
        <w:pStyle w:val="966"/>
        <w:jc w:val="center"/>
        <w:spacing w:before="75" w:beforeAutospacing="0" w:after="75" w:afterAutospacing="0"/>
        <w:widowControl w:val="off"/>
        <w:rPr>
          <w:rStyle w:val="933"/>
          <w:rFonts w:hint="default"/>
          <w:color w:val="auto"/>
          <w:sz w:val="32"/>
          <w:szCs w:val="32"/>
          <w:highlight w:val="none"/>
        </w:rPr>
        <w:outlineLvl w:val="0"/>
      </w:pPr>
      <w:r/>
      <w:bookmarkStart w:id="61" w:name="_Toc12942"/>
      <w:r/>
      <w:bookmarkStart w:id="62" w:name="_Toc596"/>
      <w:r>
        <w:rPr>
          <w:rStyle w:val="933"/>
          <w:color w:val="auto"/>
          <w:sz w:val="32"/>
          <w:szCs w:val="32"/>
          <w:highlight w:val="none"/>
        </w:rPr>
        <w:br w:type="page" w:clear="all"/>
      </w:r>
      <w:bookmarkStart w:id="63" w:name="_Toc5170"/>
      <w:r>
        <w:rPr>
          <w:rStyle w:val="933"/>
          <w:color w:val="auto"/>
          <w:sz w:val="32"/>
          <w:szCs w:val="32"/>
          <w:highlight w:val="none"/>
        </w:rPr>
        <w:t xml:space="preserve">第三章 采购内容</w:t>
      </w:r>
      <w:bookmarkEnd w:id="61"/>
      <w:r/>
      <w:bookmarkEnd w:id="62"/>
      <w:r/>
      <w:bookmarkEnd w:id="63"/>
      <w:r/>
      <w:r/>
    </w:p>
    <w:p>
      <w:pPr>
        <w:ind w:firstLine="42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受苏州工业园区高端制造与国际贸易区管理委员会（苏州工业园区综合保税区管理办公室）的委托，诚德天工建设咨询（苏州）有限公司就其所需采购的2026年度高贸区既有建筑网格化隐患排查服务项目在国内组织竞争性磋商采购。欢迎符合资格条件的各供应商前来参加磋商。</w:t>
      </w:r>
      <w:r/>
    </w:p>
    <w:p>
      <w:pPr>
        <w:ind w:firstLine="422"/>
        <w:jc w:val="both"/>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cs="宋体"/>
          <w:b/>
          <w:bCs/>
          <w:color w:val="auto"/>
          <w:sz w:val="21"/>
          <w:szCs w:val="21"/>
          <w:highlight w:val="none"/>
        </w:rPr>
        <w:t xml:space="preserve">一、采购编号：</w:t>
      </w:r>
      <w:r>
        <w:rPr>
          <w:rFonts w:hint="eastAsia" w:ascii="宋体" w:hAnsi="宋体" w:cs="宋体"/>
          <w:color w:val="auto"/>
          <w:sz w:val="21"/>
          <w:szCs w:val="21"/>
          <w:highlight w:val="none"/>
          <w:lang w:eastAsia="zh-CN"/>
        </w:rPr>
        <w:t xml:space="preserve">JSZC-320591-SZCD-C2026-0011</w:t>
      </w:r>
      <w:r/>
    </w:p>
    <w:p>
      <w:pPr>
        <w:ind w:firstLine="422"/>
        <w:jc w:val="both"/>
        <w:spacing w:line="360" w:lineRule="auto"/>
        <w:widowControl w:val="off"/>
        <w:rPr>
          <w:rFonts w:ascii="宋体" w:hAnsi="宋体" w:cs="宋体"/>
          <w:color w:val="auto"/>
          <w:sz w:val="21"/>
          <w:szCs w:val="21"/>
          <w:highlight w:val="none"/>
        </w:rPr>
      </w:pPr>
      <w:r>
        <w:rPr>
          <w:rFonts w:hint="eastAsia" w:ascii="宋体" w:hAnsi="宋体" w:cs="宋体"/>
          <w:b/>
          <w:bCs/>
          <w:color w:val="auto"/>
          <w:sz w:val="21"/>
          <w:szCs w:val="21"/>
          <w:highlight w:val="none"/>
        </w:rPr>
        <w:t xml:space="preserve">二、采购方式：</w:t>
      </w:r>
      <w:r>
        <w:rPr>
          <w:rFonts w:hint="eastAsia" w:ascii="宋体" w:hAnsi="宋体" w:cs="宋体"/>
          <w:color w:val="auto"/>
          <w:sz w:val="21"/>
          <w:szCs w:val="21"/>
          <w:highlight w:val="none"/>
        </w:rPr>
        <w:t xml:space="preserve">竞争性磋商</w:t>
      </w:r>
      <w:r/>
    </w:p>
    <w:p>
      <w:pPr>
        <w:ind w:firstLine="422"/>
        <w:jc w:val="both"/>
        <w:spacing w:line="360" w:lineRule="auto"/>
        <w:widowControl w:val="off"/>
        <w:rPr>
          <w:rFonts w:ascii="宋体" w:hAnsi="宋体" w:cs="宋体"/>
          <w:color w:val="auto"/>
          <w:sz w:val="21"/>
          <w:szCs w:val="21"/>
          <w:highlight w:val="none"/>
        </w:rPr>
      </w:pPr>
      <w:r>
        <w:rPr>
          <w:rFonts w:hint="eastAsia" w:ascii="宋体" w:hAnsi="宋体" w:cs="宋体"/>
          <w:b/>
          <w:bCs/>
          <w:color w:val="auto"/>
          <w:sz w:val="21"/>
          <w:szCs w:val="21"/>
          <w:highlight w:val="none"/>
        </w:rPr>
        <w:t xml:space="preserve">三、采购项目名称</w:t>
      </w:r>
      <w:r>
        <w:rPr>
          <w:rFonts w:hint="eastAsia" w:ascii="宋体" w:hAnsi="宋体" w:cs="宋体"/>
          <w:color w:val="auto"/>
          <w:sz w:val="21"/>
          <w:szCs w:val="21"/>
          <w:highlight w:val="none"/>
        </w:rPr>
        <w:t xml:space="preserve">：2026年度高贸区既有建筑网格化隐患排查服务</w:t>
      </w:r>
      <w:r/>
    </w:p>
    <w:p>
      <w:pPr>
        <w:ind w:firstLine="422"/>
        <w:jc w:val="both"/>
        <w:spacing w:line="360" w:lineRule="auto"/>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四、采购预算：</w:t>
      </w:r>
      <w:r>
        <w:rPr>
          <w:rFonts w:hint="eastAsia" w:ascii="宋体" w:hAnsi="宋体" w:cs="宋体"/>
          <w:color w:val="auto"/>
          <w:sz w:val="21"/>
          <w:szCs w:val="21"/>
          <w:highlight w:val="none"/>
        </w:rPr>
        <w:t xml:space="preserve">人民币壹佰陆拾肆万元整（¥1640000.00元）。</w:t>
      </w:r>
      <w:r/>
    </w:p>
    <w:p>
      <w:pPr>
        <w:ind w:firstLine="422"/>
        <w:jc w:val="both"/>
        <w:spacing w:line="360" w:lineRule="auto"/>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shd w:val="clear" w:color="auto" w:fill="ffffff"/>
        </w:rPr>
        <w:t xml:space="preserve">★</w:t>
      </w:r>
      <w:r>
        <w:rPr>
          <w:rFonts w:hint="eastAsia" w:ascii="宋体" w:hAnsi="宋体" w:cs="宋体"/>
          <w:b/>
          <w:bCs/>
          <w:color w:val="auto"/>
          <w:sz w:val="21"/>
          <w:szCs w:val="21"/>
          <w:highlight w:val="none"/>
        </w:rPr>
        <w:t xml:space="preserve">五、采购需求</w:t>
      </w:r>
      <w:r/>
    </w:p>
    <w:p>
      <w:pPr>
        <w:ind w:firstLine="422"/>
        <w:spacing w:line="360" w:lineRule="auto"/>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（一）项目背景</w:t>
      </w:r>
      <w:r/>
    </w:p>
    <w:p>
      <w:pPr>
        <w:ind w:firstLine="42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根据苏州市住建局《苏州市既有建筑安全隐患大排查大整治专项实施方案》、苏州工业园区《关于进一步加强既有建筑安全隐患排查整治工作的通知》、《关于加快建立既有建筑安全专职网格工作的通知》等相关文件，为继续推进既有建筑安全隐患排查整治工作，着力消除既有建筑安全隐患，坚决防范和遏制既有建筑安全事故，切实维护公共安全和公共利益，以“不留盲区、不漏一幢”为原则建立既有建筑安全管理网格系统，将辖区内全部既有建筑的使用安全责任分配到岗、到人。开展高端制造与国际贸易区既有建筑进行全覆盖网格化巡查工作，做到不留盲区、不留死角。</w:t>
      </w:r>
      <w:r/>
    </w:p>
    <w:p>
      <w:pPr>
        <w:ind w:firstLine="422"/>
        <w:spacing w:line="360" w:lineRule="auto"/>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（二）采购内容</w:t>
      </w:r>
      <w:r/>
    </w:p>
    <w:p>
      <w:pPr>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（1）巡查对象和范围</w:t>
      </w:r>
      <w:r/>
    </w:p>
    <w:p>
      <w:pPr>
        <w:ind w:firstLine="420"/>
        <w:jc w:val="both"/>
        <w:spacing w:line="360" w:lineRule="auto"/>
        <w:widowControl w:val="off"/>
        <w:rPr>
          <w:rFonts w:ascii="宋体" w:hAnsi="宋体" w:cs="宋体"/>
          <w:strike/>
          <w:color w:val="auto"/>
          <w:sz w:val="21"/>
          <w:szCs w:val="21"/>
          <w:highlight w:val="none"/>
        </w:rPr>
      </w:pPr>
      <w:r>
        <w:rPr>
          <w:rFonts w:hint="eastAsia" w:ascii="宋体" w:hAnsi="宋体" w:cs="宋体"/>
          <w:color w:val="auto"/>
          <w:sz w:val="21"/>
          <w:szCs w:val="21"/>
          <w:highlight w:val="none"/>
        </w:rPr>
        <w:t xml:space="preserve">本次工作范围为高贸区辖区内约690宗地块，既有建筑约7300幢，总建筑面积约1885.11万平方米。组建高贸区既有建筑安全监管网格队伍，针对高贸区辖区内工业（集体资产工业除外）及大型商业综合体既有建筑开展安全隐患排查，每半年对辖区内既有建筑全覆盖检查一次，在重大节假日及工作节点配合开展既有建筑领域安全大检查。着力消除既有建筑领域安全隐患。涉及重大隐患建筑及时跟踪整改，确保隐患得到整改闭环。</w:t>
      </w:r>
      <w:r/>
    </w:p>
    <w:p>
      <w:pPr>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（2）巡查重点</w:t>
      </w:r>
      <w:r/>
    </w:p>
    <w:p>
      <w:pPr>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①建筑基本情况。主要包括房屋建筑的地址、所有权人（使用人）、用途、建筑面积、层数、建设年代、空间位置、结构类型、改建扩建、设计施工等。</w:t>
      </w:r>
      <w:r/>
    </w:p>
    <w:p>
      <w:pPr>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②安全隐患情况。是否存在超负荷使用、擅自变更建筑用途和使用功能等情况，是否存在违法改扩建、装饰装修等行为，是否存在地基基础或主体结构构件出现沉降、裂缝、变形等情况，是否存在建筑外墙饰面剥落、建筑外墙保温层面开裂损坏、建筑内外装饰构件松动等情形。</w:t>
      </w:r>
      <w:r/>
    </w:p>
    <w:p>
      <w:pPr>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③依法合规情况。是否存在无资质承揽设计、施工等业务的情况，是否存在应当依法办理报建手续而未办理的情况，是否按图施工等。对改变使用功能、改变房屋结构的人员密集场所，列出清单，逐一核查项目审批手续。</w:t>
      </w:r>
      <w:r/>
    </w:p>
    <w:p>
      <w:pPr>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（3）具体工作内容</w:t>
      </w:r>
      <w:r/>
    </w:p>
    <w:p>
      <w:pPr>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根据相关部门统一要求，切实做好既有建筑安全管理工作，应以“不留盲区、不漏一幢”为原则建立既有建筑安全管理网格系统，将辖区内全部既有建筑的使用安全责任分配到岗、到人。既有建筑安全网格化管理的主要工作内容如下：</w:t>
      </w:r>
      <w:r/>
    </w:p>
    <w:p>
      <w:pPr>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（1）充实人力，调配资源，建立健全既有建筑安全网格管理系统。</w:t>
      </w:r>
      <w:r/>
    </w:p>
    <w:p>
      <w:pPr>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（2）每半年对辖区内既有建筑全覆盖检查一次，重大节假日及工作节点配合开展既有建筑领域安全大检查。</w:t>
      </w:r>
      <w:r/>
    </w:p>
    <w:p>
      <w:pPr>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开展日常巡查，及时发现、上报既有建筑使用中涉及结构安全的违规行为和隐患，建立隐患清单；对于发现的安全隐患，应记录相应的部位与损伤程度并配有相应的照片；对于非上人屋面的建筑，运用无人机航拍技术辅助检查；根据上级要求，开展辖区内既有建筑安全隐患整治工作。</w:t>
      </w:r>
      <w:r/>
    </w:p>
    <w:p>
      <w:pPr>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（4）对发现的建筑安全隐患，开展初步评估，判定隐患类型与紧急程度，结合企业实际情况，提出可操作的专业整改建议。</w:t>
      </w:r>
      <w:r/>
    </w:p>
    <w:p>
      <w:pPr>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（5）建立、完善工作台账，及时更新宗地企业基础信息，明确企业安全生产负责人及联系方式。</w:t>
      </w:r>
      <w:r/>
    </w:p>
    <w:p>
      <w:pPr>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（6）适时配合开展既有建筑安全相关宣传工作。</w:t>
      </w:r>
      <w:r/>
    </w:p>
    <w:p>
      <w:pPr>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（7）既有建筑安全巡查工作应坚持“信息真实准确、评定公正科学”原则，安全状况排查做到“应查必查、能查尽查”。</w:t>
      </w:r>
      <w:r/>
    </w:p>
    <w:p>
      <w:pPr>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（8）积极配合上级部门开展其他既有建筑信息摸排、专项检查和安全管理等工作。</w:t>
      </w:r>
      <w:r/>
    </w:p>
    <w:p>
      <w:pPr>
        <w:ind w:firstLine="422"/>
        <w:spacing w:line="360" w:lineRule="auto"/>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（三）工作目标</w:t>
      </w:r>
      <w:r/>
    </w:p>
    <w:p>
      <w:pPr>
        <w:ind w:firstLine="42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以“不留盲区、不漏一幢”为原则建立既有建筑安全管理网格系统，将辖区内全部既有建筑的使用安全责任分配到岗、到人。确保每一幢房屋的使用安全都有网格员直接负责，发现问题及时上报上级领导进行处置。按照“谁主管谁负责、谁拥有谁负责、谁使用谁负责”和“属地管理、规范使用、预防为主、防治结合、确保安全”的原则，开展既有建筑安全全面彻底大排查，积极建立既有建筑安全管理档案和网格化管理常态长效机制，切实提高既有建筑安全管理水平，维护和谐稳定的社会环境。构建针对既有建筑网格化巡查数据的保密与安全机制，切实保障数据的安全性。</w:t>
      </w:r>
      <w:r/>
    </w:p>
    <w:p>
      <w:pPr>
        <w:ind w:firstLine="422"/>
        <w:spacing w:line="360" w:lineRule="auto"/>
        <w:widowControl w:val="off"/>
        <w:rPr>
          <w:rFonts w:ascii="宋体" w:hAnsi="宋体" w:cs="宋体"/>
          <w:color w:val="auto"/>
          <w:sz w:val="21"/>
          <w:szCs w:val="21"/>
          <w:highlight w:val="none"/>
        </w:rPr>
      </w:pPr>
      <w:r>
        <w:rPr>
          <w:rFonts w:hint="eastAsia" w:ascii="宋体" w:hAnsi="宋体" w:cs="宋体"/>
          <w:b/>
          <w:bCs/>
          <w:color w:val="auto"/>
          <w:sz w:val="21"/>
          <w:szCs w:val="21"/>
          <w:highlight w:val="none"/>
        </w:rPr>
        <w:t xml:space="preserve">（四）服务成果及要求</w:t>
      </w:r>
      <w:r>
        <w:rPr>
          <w:rFonts w:hint="eastAsia" w:ascii="宋体" w:hAnsi="宋体" w:cs="宋体"/>
          <w:color w:val="auto"/>
          <w:sz w:val="21"/>
          <w:szCs w:val="21"/>
          <w:highlight w:val="none"/>
        </w:rPr>
        <w:t xml:space="preserve">（包含但不限于）</w:t>
      </w:r>
      <w:r/>
    </w:p>
    <w:p>
      <w:pPr>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按照要求完成巡查成果以信息化形式提交，并完成项目验收工作。主要成果如下：</w:t>
      </w:r>
      <w:r/>
    </w:p>
    <w:p>
      <w:pPr>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（1）排查高端制造与国际贸易区辖区内约690宗地块，既有建筑约7300幢，每半年对辖区内既有建筑全覆盖检查一次，在重大节假日及工作节点配合开展既有建筑领域安全大检查；</w:t>
      </w:r>
      <w:r/>
    </w:p>
    <w:p>
      <w:pPr>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（2）“既有建筑安全网格工作情况半月报表”；</w:t>
      </w:r>
      <w:r/>
    </w:p>
    <w:p>
      <w:pPr>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（3）“既有建筑整治和网格工作情况月报表”；</w:t>
      </w:r>
      <w:r/>
    </w:p>
    <w:p>
      <w:pPr>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（4）提供高端制造与国际贸易区辖区内隐患建筑的隐患清单。</w:t>
      </w:r>
      <w:r/>
    </w:p>
    <w:p>
      <w:pPr>
        <w:ind w:firstLine="422"/>
        <w:spacing w:line="360" w:lineRule="auto"/>
        <w:widowControl w:val="off"/>
        <w:rPr>
          <w:rFonts w:ascii="宋体" w:hAnsi="宋体" w:cs="宋体"/>
          <w:color w:val="auto"/>
          <w:sz w:val="21"/>
          <w:szCs w:val="21"/>
          <w:highlight w:val="none"/>
        </w:rPr>
      </w:pPr>
      <w:r>
        <w:rPr>
          <w:rFonts w:hint="eastAsia" w:ascii="宋体" w:hAnsi="宋体" w:cs="宋体"/>
          <w:b/>
          <w:bCs/>
          <w:color w:val="auto"/>
          <w:sz w:val="21"/>
          <w:szCs w:val="21"/>
          <w:highlight w:val="none"/>
        </w:rPr>
        <w:t xml:space="preserve">（五）服务期：</w:t>
      </w:r>
      <w:r>
        <w:rPr>
          <w:rFonts w:hint="eastAsia" w:ascii="宋体" w:hAnsi="宋体" w:cs="宋体"/>
          <w:color w:val="auto"/>
          <w:sz w:val="21"/>
          <w:szCs w:val="21"/>
          <w:highlight w:val="none"/>
        </w:rPr>
        <w:t xml:space="preserve">自合同签订生效之日起一年。</w:t>
      </w:r>
      <w:r/>
    </w:p>
    <w:p>
      <w:pPr>
        <w:ind w:firstLine="422"/>
        <w:spacing w:line="360" w:lineRule="auto"/>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（六）项目组人员配备及设备要求：</w:t>
      </w:r>
      <w:r/>
    </w:p>
    <w:p>
      <w:pPr>
        <w:ind w:firstLine="422"/>
        <w:jc w:val="both"/>
        <w:spacing w:line="360" w:lineRule="auto"/>
        <w:widowControl w:val="off"/>
        <w:rPr>
          <w:rFonts w:ascii="宋体" w:hAnsi="宋体" w:cs="宋体"/>
          <w:color w:val="auto"/>
          <w:highlight w:val="none"/>
        </w:rPr>
      </w:pPr>
      <w:r>
        <w:rPr>
          <w:rFonts w:hint="eastAsia" w:ascii="宋体" w:hAnsi="宋体" w:cs="宋体"/>
          <w:b/>
          <w:bCs/>
          <w:color w:val="auto"/>
          <w:sz w:val="21"/>
          <w:szCs w:val="21"/>
          <w:highlight w:val="none"/>
        </w:rPr>
        <w:t xml:space="preserve">1.供应商根据本项目的工作内容及工作量，拟投入的人员及各类仪器设备应满足项目实施要求。项目组人员数量应不低于12人（包含项目负责人、技术负责人，项目负责人和技术负责人不得为同一人）。</w:t>
      </w:r>
      <w:r/>
    </w:p>
    <w:p>
      <w:pPr>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2.供应商须配备2台巡查车辆。</w:t>
      </w:r>
      <w:r/>
    </w:p>
    <w:p>
      <w:pPr>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3.供应商拟投入的设备包括但不限于测量设备、安全检测仪器设备等。</w:t>
      </w:r>
      <w:r/>
    </w:p>
    <w:p>
      <w:pPr>
        <w:ind w:firstLine="422"/>
        <w:spacing w:line="360" w:lineRule="auto"/>
        <w:widowControl w:val="off"/>
        <w:rPr>
          <w:rFonts w:ascii="宋体" w:hAnsi="宋体" w:cs="宋体"/>
          <w:color w:val="auto"/>
          <w:sz w:val="21"/>
          <w:szCs w:val="21"/>
          <w:highlight w:val="none"/>
        </w:rPr>
      </w:pPr>
      <w:r>
        <w:rPr>
          <w:rFonts w:hint="eastAsia" w:ascii="宋体" w:hAnsi="宋体" w:cs="宋体"/>
          <w:b/>
          <w:bCs/>
          <w:color w:val="auto"/>
          <w:sz w:val="21"/>
          <w:szCs w:val="21"/>
          <w:highlight w:val="none"/>
        </w:rPr>
        <w:t xml:space="preserve">（七）服务地点：</w:t>
      </w:r>
      <w:r>
        <w:rPr>
          <w:rFonts w:hint="eastAsia" w:ascii="宋体" w:hAnsi="宋体" w:cs="宋体"/>
          <w:color w:val="auto"/>
          <w:sz w:val="21"/>
          <w:szCs w:val="21"/>
          <w:highlight w:val="none"/>
        </w:rPr>
        <w:t xml:space="preserve">苏州工业园区高端制造与国际贸易区。</w:t>
      </w:r>
      <w:r/>
    </w:p>
    <w:p>
      <w:pPr>
        <w:ind w:firstLine="422"/>
        <w:spacing w:line="360" w:lineRule="auto"/>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（八）考核办法：</w:t>
      </w:r>
      <w:r/>
    </w:p>
    <w:p>
      <w:pPr>
        <w:ind w:firstLine="420"/>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1.按半年度考核。</w:t>
      </w:r>
      <w:r/>
    </w:p>
    <w:p>
      <w:pPr>
        <w:ind w:firstLine="420"/>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2.满分100分，根据考核标准的分项内容和分值:</w:t>
      </w:r>
      <w:r/>
    </w:p>
    <w:p>
      <w:pPr>
        <w:ind w:firstLine="420"/>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两次考核平均得分80分（含80分）以上的为优秀，支付合同价款的100%；</w:t>
      </w:r>
      <w:r/>
    </w:p>
    <w:p>
      <w:pPr>
        <w:ind w:firstLine="420"/>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两次考核平均得分60（含60分）—80分（不含80分）为合格，支付合同价款的80%；</w:t>
      </w:r>
      <w:r/>
    </w:p>
    <w:p>
      <w:pPr>
        <w:ind w:firstLine="420"/>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两次考核平均得分60分（不含60分）以下为不合格，支付合同价款的60%。</w:t>
      </w:r>
      <w:r/>
    </w:p>
    <w:p>
      <w:pPr>
        <w:ind w:firstLine="420"/>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累计两次考核不合格的，甲方有权解除合同，并要求乙方承担甲方所有损失。</w:t>
      </w:r>
      <w:r/>
    </w:p>
    <w:p>
      <w:pPr>
        <w:ind w:firstLine="420"/>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zh-CN"/>
        </w:rPr>
        <w:t xml:space="preserve">本合同期内对采购人造成恶劣影响的成交供应商，采购人有权终止合同，并须向采购人赔偿相关损失。</w:t>
      </w:r>
      <w:r/>
    </w:p>
    <w:p>
      <w:pPr>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4.考核标准详见合同附件一。</w:t>
      </w:r>
      <w:r/>
    </w:p>
    <w:p>
      <w:pPr>
        <w:ind w:firstLine="422"/>
        <w:spacing w:line="360" w:lineRule="auto"/>
        <w:widowControl w:val="off"/>
        <w:rPr>
          <w:rFonts w:ascii="宋体" w:hAnsi="宋体" w:cs="宋体"/>
          <w:color w:val="auto"/>
          <w:sz w:val="21"/>
          <w:szCs w:val="21"/>
          <w:highlight w:val="none"/>
        </w:rPr>
      </w:pPr>
      <w:r>
        <w:rPr>
          <w:rFonts w:hint="eastAsia" w:ascii="宋体" w:hAnsi="宋体" w:cs="宋体"/>
          <w:b/>
          <w:bCs/>
          <w:color w:val="auto"/>
          <w:sz w:val="21"/>
          <w:szCs w:val="21"/>
          <w:highlight w:val="none"/>
        </w:rPr>
        <w:t xml:space="preserve">六、</w:t>
      </w:r>
      <w:r>
        <w:rPr>
          <w:rFonts w:hint="eastAsia" w:ascii="宋体" w:hAnsi="宋体" w:cs="宋体"/>
          <w:b/>
          <w:bCs/>
          <w:color w:val="auto"/>
          <w:sz w:val="21"/>
          <w:szCs w:val="21"/>
          <w:highlight w:val="none"/>
          <w:lang w:val="zh-CN"/>
        </w:rPr>
        <w:t xml:space="preserve">综合说明及</w:t>
      </w:r>
      <w:r>
        <w:rPr>
          <w:rFonts w:hint="eastAsia" w:ascii="宋体" w:hAnsi="宋体" w:cs="宋体"/>
          <w:b/>
          <w:bCs/>
          <w:color w:val="auto"/>
          <w:sz w:val="21"/>
          <w:szCs w:val="21"/>
          <w:highlight w:val="none"/>
        </w:rPr>
        <w:t xml:space="preserve">其他要求</w:t>
      </w:r>
      <w:r/>
    </w:p>
    <w:p>
      <w:pPr>
        <w:numPr>
          <w:ilvl w:val="0"/>
          <w:numId w:val="2"/>
        </w:numPr>
        <w:ind w:left="0" w:firstLine="454"/>
        <w:spacing w:line="360" w:lineRule="auto"/>
        <w:widowControl w:val="off"/>
        <w:rPr>
          <w:rFonts w:ascii="宋体" w:hAnsi="宋体" w:cs="宋体"/>
          <w:bCs/>
          <w:color w:val="auto"/>
          <w:sz w:val="21"/>
          <w:szCs w:val="21"/>
          <w:highlight w:val="none"/>
          <w:lang w:val="zh-TW" w:eastAsia="zh-TW"/>
        </w:rPr>
      </w:pPr>
      <w:r>
        <w:rPr>
          <w:rFonts w:hint="eastAsia" w:ascii="宋体" w:hAnsi="宋体" w:cs="宋体"/>
          <w:bCs/>
          <w:color w:val="auto"/>
          <w:sz w:val="21"/>
          <w:szCs w:val="21"/>
          <w:highlight w:val="none"/>
          <w:lang w:val="zh-TW"/>
        </w:rPr>
        <w:t xml:space="preserve">供应商需组织相关技术力量，成立</w:t>
      </w:r>
      <w:r>
        <w:rPr>
          <w:rFonts w:hint="eastAsia" w:ascii="宋体" w:hAnsi="宋体" w:cs="宋体"/>
          <w:bCs/>
          <w:color w:val="auto"/>
          <w:sz w:val="21"/>
          <w:szCs w:val="21"/>
          <w:highlight w:val="none"/>
        </w:rPr>
        <w:t xml:space="preserve">《2026年度高贸区既有建筑网格化隐患排查服务》工作小</w:t>
      </w:r>
      <w:r>
        <w:rPr>
          <w:rFonts w:hint="eastAsia" w:ascii="宋体" w:hAnsi="宋体" w:cs="宋体"/>
          <w:bCs/>
          <w:color w:val="auto"/>
          <w:sz w:val="21"/>
          <w:szCs w:val="21"/>
          <w:highlight w:val="none"/>
          <w:lang w:val="zh-TW"/>
        </w:rPr>
        <w:t xml:space="preserve">组，负责按照本次采购的要求及时高效地完成有关工作。</w:t>
      </w:r>
      <w:r/>
    </w:p>
    <w:p>
      <w:pPr>
        <w:numPr>
          <w:ilvl w:val="0"/>
          <w:numId w:val="2"/>
        </w:numPr>
        <w:ind w:left="0" w:firstLine="454"/>
        <w:spacing w:line="360" w:lineRule="auto"/>
        <w:widowControl w:val="off"/>
        <w:rPr>
          <w:rFonts w:ascii="宋体" w:hAnsi="宋体" w:cs="宋体"/>
          <w:bCs/>
          <w:color w:val="auto"/>
          <w:sz w:val="21"/>
          <w:szCs w:val="21"/>
          <w:highlight w:val="none"/>
          <w:lang w:val="zh-TW" w:eastAsia="zh-TW"/>
        </w:rPr>
      </w:pPr>
      <w:r>
        <w:rPr>
          <w:rFonts w:hint="eastAsia" w:ascii="宋体" w:hAnsi="宋体" w:cs="宋体"/>
          <w:bCs/>
          <w:color w:val="auto"/>
          <w:sz w:val="21"/>
          <w:szCs w:val="21"/>
          <w:highlight w:val="none"/>
        </w:rPr>
        <w:t xml:space="preserve">供应商须为本项目配备的所有服务人员按规定缴纳社会保险及人身意外险，若工作人员在服务期间内出现的工伤及其他意外事故，均由供应商自行负责，采购人不承担任何责任</w:t>
      </w:r>
      <w:r>
        <w:rPr>
          <w:rFonts w:hint="eastAsia" w:ascii="宋体" w:hAnsi="宋体" w:cs="宋体"/>
          <w:bCs/>
          <w:color w:val="auto"/>
          <w:sz w:val="21"/>
          <w:szCs w:val="21"/>
          <w:highlight w:val="none"/>
          <w:lang w:val="zh-TW" w:eastAsia="zh-TW"/>
        </w:rPr>
        <w:t xml:space="preserve">。</w:t>
      </w:r>
      <w:r/>
    </w:p>
    <w:p>
      <w:pPr>
        <w:numPr>
          <w:ilvl w:val="0"/>
          <w:numId w:val="2"/>
        </w:numPr>
        <w:ind w:left="0" w:firstLine="454"/>
        <w:spacing w:line="360" w:lineRule="auto"/>
        <w:widowControl w:val="off"/>
        <w:rPr>
          <w:rFonts w:ascii="宋体" w:hAnsi="宋体" w:cs="宋体"/>
          <w:bCs/>
          <w:color w:val="auto"/>
          <w:sz w:val="21"/>
          <w:szCs w:val="21"/>
          <w:highlight w:val="none"/>
          <w:lang w:val="zh-TW" w:eastAsia="zh-TW"/>
        </w:rPr>
      </w:pPr>
      <w:r>
        <w:rPr>
          <w:rFonts w:hint="eastAsia" w:ascii="宋体" w:hAnsi="宋体" w:cs="宋体"/>
          <w:bCs/>
          <w:color w:val="auto"/>
          <w:sz w:val="21"/>
          <w:szCs w:val="21"/>
          <w:highlight w:val="none"/>
        </w:rPr>
        <w:t xml:space="preserve">若成交供应商在服务期间，违反下列规定将被解除服务合同</w:t>
      </w:r>
      <w:r>
        <w:rPr>
          <w:rFonts w:hint="eastAsia" w:ascii="宋体" w:hAnsi="宋体" w:cs="宋体"/>
          <w:bCs/>
          <w:color w:val="auto"/>
          <w:sz w:val="21"/>
          <w:szCs w:val="21"/>
          <w:highlight w:val="none"/>
          <w:lang w:val="zh-TW" w:eastAsia="zh-TW"/>
        </w:rPr>
        <w:t xml:space="preserve">：</w:t>
      </w:r>
      <w:r/>
    </w:p>
    <w:p>
      <w:pPr>
        <w:ind w:left="454"/>
        <w:spacing w:line="360" w:lineRule="auto"/>
        <w:widowControl w:val="off"/>
        <w:tabs>
          <w:tab w:val="left" w:pos="432" w:leader="none"/>
        </w:tabs>
        <w:rPr>
          <w:rFonts w:ascii="宋体" w:hAnsi="宋体" w:cs="宋体"/>
          <w:bCs/>
          <w:color w:val="auto"/>
          <w:sz w:val="21"/>
          <w:szCs w:val="21"/>
          <w:highlight w:val="none"/>
          <w:lang w:val="zh-TW" w:eastAsia="zh-TW"/>
        </w:rPr>
      </w:pPr>
      <w:r>
        <w:rPr>
          <w:rFonts w:hint="eastAsia" w:ascii="宋体" w:hAnsi="宋体" w:cs="宋体"/>
          <w:bCs/>
          <w:color w:val="auto"/>
          <w:sz w:val="21"/>
          <w:szCs w:val="21"/>
          <w:highlight w:val="none"/>
          <w:lang w:val="zh-TW" w:eastAsia="zh-TW"/>
        </w:rPr>
        <w:t xml:space="preserve">（1）将承包的人员服务转包他人；</w:t>
      </w:r>
      <w:r/>
    </w:p>
    <w:p>
      <w:pPr>
        <w:ind w:left="454"/>
        <w:spacing w:line="360" w:lineRule="auto"/>
        <w:widowControl w:val="off"/>
        <w:tabs>
          <w:tab w:val="left" w:pos="432" w:leader="none"/>
        </w:tabs>
        <w:rPr>
          <w:rFonts w:ascii="宋体" w:hAnsi="宋体" w:cs="宋体"/>
          <w:bCs/>
          <w:color w:val="auto"/>
          <w:sz w:val="21"/>
          <w:szCs w:val="21"/>
          <w:highlight w:val="none"/>
          <w:lang w:val="zh-TW" w:eastAsia="zh-TW"/>
        </w:rPr>
      </w:pPr>
      <w:r>
        <w:rPr>
          <w:rFonts w:hint="eastAsia" w:ascii="宋体" w:hAnsi="宋体" w:cs="宋体"/>
          <w:bCs/>
          <w:color w:val="auto"/>
          <w:sz w:val="21"/>
          <w:szCs w:val="21"/>
          <w:highlight w:val="none"/>
          <w:lang w:val="zh-TW" w:eastAsia="zh-TW"/>
        </w:rPr>
        <w:t xml:space="preserve">（2）未按照国家劳动法规定聘用服务人员； </w:t>
      </w:r>
      <w:r/>
    </w:p>
    <w:p>
      <w:pPr>
        <w:ind w:left="454"/>
        <w:spacing w:line="360" w:lineRule="auto"/>
        <w:widowControl w:val="off"/>
        <w:tabs>
          <w:tab w:val="left" w:pos="432" w:leader="none"/>
        </w:tabs>
        <w:rPr>
          <w:rFonts w:ascii="宋体" w:hAnsi="宋体" w:cs="宋体"/>
          <w:bCs/>
          <w:color w:val="auto"/>
          <w:sz w:val="21"/>
          <w:szCs w:val="21"/>
          <w:highlight w:val="none"/>
          <w:lang w:val="zh-TW" w:eastAsia="zh-TW"/>
        </w:rPr>
      </w:pPr>
      <w:r>
        <w:rPr>
          <w:rFonts w:hint="eastAsia" w:ascii="宋体" w:hAnsi="宋体" w:cs="宋体"/>
          <w:bCs/>
          <w:color w:val="auto"/>
          <w:sz w:val="21"/>
          <w:szCs w:val="21"/>
          <w:highlight w:val="none"/>
          <w:lang w:val="zh-TW" w:eastAsia="zh-TW"/>
        </w:rPr>
        <w:t xml:space="preserve">（3）其他</w:t>
      </w:r>
      <w:r>
        <w:rPr>
          <w:rFonts w:hint="eastAsia" w:ascii="宋体" w:hAnsi="宋体" w:cs="宋体"/>
          <w:bCs/>
          <w:color w:val="auto"/>
          <w:sz w:val="21"/>
          <w:szCs w:val="21"/>
          <w:highlight w:val="none"/>
          <w:lang w:val="zh-TW"/>
        </w:rPr>
        <w:t xml:space="preserve">采购</w:t>
      </w:r>
      <w:r>
        <w:rPr>
          <w:rFonts w:hint="eastAsia" w:ascii="宋体" w:hAnsi="宋体" w:cs="宋体"/>
          <w:bCs/>
          <w:color w:val="auto"/>
          <w:sz w:val="21"/>
          <w:szCs w:val="21"/>
          <w:highlight w:val="none"/>
          <w:lang w:val="zh-TW" w:eastAsia="zh-TW"/>
        </w:rPr>
        <w:t xml:space="preserve">文件中约定的可解除合同的情况。</w:t>
      </w:r>
      <w:r/>
    </w:p>
    <w:p>
      <w:pPr>
        <w:numPr>
          <w:ilvl w:val="0"/>
          <w:numId w:val="2"/>
        </w:numPr>
        <w:ind w:left="0" w:firstLine="454"/>
        <w:spacing w:line="360" w:lineRule="auto"/>
        <w:widowControl w:val="off"/>
        <w:rPr>
          <w:rFonts w:ascii="宋体" w:hAnsi="宋体" w:cs="宋体"/>
          <w:bCs/>
          <w:color w:val="auto"/>
          <w:sz w:val="21"/>
          <w:szCs w:val="21"/>
          <w:highlight w:val="none"/>
          <w:lang w:val="zh-TW" w:eastAsia="zh-TW"/>
        </w:rPr>
      </w:pPr>
      <w:r>
        <w:rPr>
          <w:rFonts w:hint="eastAsia" w:ascii="宋体" w:hAnsi="宋体" w:cs="宋体"/>
          <w:bCs/>
          <w:color w:val="auto"/>
          <w:sz w:val="21"/>
          <w:szCs w:val="21"/>
          <w:highlight w:val="none"/>
        </w:rPr>
        <w:t xml:space="preserve">采购人有权检查监督成交供应商服务质量，对不称职的工作人员有权要求成交供应商在一周内更换，直至人选合格为止</w:t>
      </w:r>
      <w:r>
        <w:rPr>
          <w:rFonts w:hint="eastAsia" w:ascii="宋体" w:hAnsi="宋体" w:cs="宋体"/>
          <w:bCs/>
          <w:color w:val="auto"/>
          <w:sz w:val="21"/>
          <w:szCs w:val="21"/>
          <w:highlight w:val="none"/>
          <w:lang w:val="zh-TW" w:eastAsia="zh-TW"/>
        </w:rPr>
        <w:t xml:space="preserve">。</w:t>
      </w:r>
      <w:r/>
    </w:p>
    <w:p>
      <w:pPr>
        <w:numPr>
          <w:ilvl w:val="0"/>
          <w:numId w:val="2"/>
        </w:numPr>
        <w:ind w:left="0" w:firstLine="454"/>
        <w:spacing w:line="360" w:lineRule="auto"/>
        <w:widowControl w:val="off"/>
        <w:rPr>
          <w:rFonts w:ascii="宋体" w:hAnsi="宋体" w:cs="宋体"/>
          <w:bCs/>
          <w:color w:val="auto"/>
          <w:sz w:val="21"/>
          <w:szCs w:val="21"/>
          <w:highlight w:val="none"/>
          <w:lang w:val="zh-TW" w:eastAsia="zh-TW"/>
        </w:rPr>
      </w:pPr>
      <w:r>
        <w:rPr>
          <w:rFonts w:hint="eastAsia" w:ascii="宋体" w:hAnsi="宋体" w:cs="宋体"/>
          <w:bCs/>
          <w:color w:val="auto"/>
          <w:sz w:val="21"/>
          <w:szCs w:val="21"/>
          <w:highlight w:val="none"/>
        </w:rPr>
        <w:t xml:space="preserve">供应商提供的服务能够至少达到以上要求，同时明确详细的服务方案</w:t>
      </w:r>
      <w:r>
        <w:rPr>
          <w:rFonts w:hint="eastAsia" w:ascii="宋体" w:hAnsi="宋体" w:cs="宋体"/>
          <w:bCs/>
          <w:color w:val="auto"/>
          <w:sz w:val="21"/>
          <w:szCs w:val="21"/>
          <w:highlight w:val="none"/>
          <w:lang w:val="zh-TW" w:eastAsia="zh-TW"/>
        </w:rPr>
        <w:t xml:space="preserve">。</w:t>
      </w:r>
      <w:r/>
    </w:p>
    <w:p>
      <w:pPr>
        <w:numPr>
          <w:ilvl w:val="0"/>
          <w:numId w:val="2"/>
        </w:numPr>
        <w:ind w:left="0" w:firstLine="454"/>
        <w:spacing w:line="360" w:lineRule="auto"/>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供应商必须承诺采购文件中提出的全部服务要求，如果以其中某些条款不响应时，应在文件中逐条列出，未列出的视同响应</w:t>
      </w:r>
      <w:r>
        <w:rPr>
          <w:rFonts w:hint="eastAsia" w:ascii="宋体" w:hAnsi="宋体" w:cs="宋体"/>
          <w:bCs/>
          <w:color w:val="auto"/>
          <w:sz w:val="21"/>
          <w:szCs w:val="21"/>
          <w:highlight w:val="none"/>
          <w:lang w:val="zh-TW" w:eastAsia="zh-TW"/>
        </w:rPr>
        <w:t xml:space="preserve">。</w:t>
      </w:r>
      <w:r>
        <w:rPr>
          <w:rFonts w:hint="eastAsia" w:ascii="宋体" w:hAnsi="宋体" w:cs="宋体"/>
          <w:bCs/>
          <w:color w:val="auto"/>
          <w:sz w:val="21"/>
          <w:szCs w:val="21"/>
          <w:highlight w:val="none"/>
        </w:rPr>
        <w:t xml:space="preserve">供应商完全同意条款（即无偏离）或提出对采购人更有利的条款（即正偏离）都属于响应，供应商不同意某项条款（即负偏离）的属于不实质性响应，按无效响应处理。</w:t>
      </w:r>
      <w:r/>
    </w:p>
    <w:p>
      <w:pPr>
        <w:numPr>
          <w:ilvl w:val="0"/>
          <w:numId w:val="2"/>
        </w:numPr>
        <w:ind w:left="0" w:firstLine="454"/>
        <w:jc w:val="both"/>
        <w:spacing w:line="360" w:lineRule="auto"/>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w:t>
      </w:r>
      <w:bookmarkStart w:id="64" w:name="OLE_LINK20"/>
      <w:r>
        <w:rPr>
          <w:rFonts w:hint="eastAsia" w:ascii="宋体" w:hAnsi="宋体" w:cs="宋体"/>
          <w:bCs/>
          <w:color w:val="auto"/>
          <w:sz w:val="21"/>
          <w:szCs w:val="21"/>
          <w:highlight w:val="none"/>
        </w:rPr>
        <w:t xml:space="preserve">总报价包括完成本项目全部服务内容所需的人工（包括人员劳务费、法定节假日加班费、福利费、社保等）、交通费用、餐费住宿、耗材、通讯、办公设备、验收费用、各种税费、保险、劳保、维护、代理服务费、利润、税金、政策性文件规定及合同包含的所有风险、责任等各项应有费用。同时，除非合同条款中另有规定，否则，供应商所报价格在合同实施期间不因市场变化因素而变动。</w:t>
      </w:r>
      <w:bookmarkEnd w:id="64"/>
      <w:r/>
      <w:r/>
    </w:p>
    <w:p>
      <w:pPr>
        <w:numPr>
          <w:ilvl w:val="0"/>
          <w:numId w:val="2"/>
        </w:numPr>
        <w:ind w:left="0" w:firstLine="454"/>
        <w:spacing w:line="360" w:lineRule="auto"/>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供应商应对所投项目的全部内容进行报价，只投其中部分内容者，其响应文件将被拒绝。成交供应商对服务缺陷不予更正，采购人有权另请其他单位更正，所发生的费用在合同总价款中扣除。</w:t>
      </w:r>
      <w:r/>
    </w:p>
    <w:p>
      <w:pPr>
        <w:numPr>
          <w:ilvl w:val="0"/>
          <w:numId w:val="2"/>
        </w:numPr>
        <w:ind w:left="0" w:firstLine="454"/>
        <w:spacing w:line="360" w:lineRule="auto"/>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采购人除以上服务费用外不再承担其他任何费用。工作人员的薪金、福利、休假日补贴、加班费、医疗费用等均由成交供应商负责，与采购人无关。</w:t>
      </w:r>
      <w:r/>
    </w:p>
    <w:p>
      <w:pPr>
        <w:numPr>
          <w:ilvl w:val="0"/>
          <w:numId w:val="2"/>
        </w:numPr>
        <w:ind w:left="0" w:firstLine="454"/>
        <w:spacing w:line="360" w:lineRule="auto"/>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凡涉及采购文件的补充说明或修正，均以财政部门指定的政府采购信息发布媒体通知为准。</w:t>
      </w:r>
      <w:r/>
    </w:p>
    <w:p>
      <w:pPr>
        <w:ind w:firstLine="420"/>
        <w:spacing w:line="360" w:lineRule="auto"/>
        <w:widowControl w:val="off"/>
        <w:rPr>
          <w:rFonts w:ascii="宋体" w:hAnsi="宋体" w:cs="楷体_GB2312"/>
          <w:color w:val="auto"/>
          <w:sz w:val="21"/>
          <w:szCs w:val="21"/>
          <w:highlight w:val="none"/>
        </w:rPr>
      </w:pPr>
      <w:r>
        <w:rPr>
          <w:rFonts w:ascii="宋体" w:hAnsi="宋体" w:cs="楷体_GB2312"/>
          <w:color w:val="auto"/>
          <w:sz w:val="21"/>
          <w:szCs w:val="21"/>
          <w:highlight w:val="none"/>
        </w:rPr>
      </w:r>
      <w:r/>
    </w:p>
    <w:p>
      <w:pPr>
        <w:ind w:firstLine="420"/>
        <w:spacing w:line="360" w:lineRule="auto"/>
        <w:widowControl w:val="off"/>
        <w:rPr>
          <w:rFonts w:ascii="宋体" w:hAnsi="宋体" w:cs="楷体_GB2312"/>
          <w:color w:val="auto"/>
          <w:sz w:val="21"/>
          <w:szCs w:val="21"/>
          <w:highlight w:val="none"/>
        </w:rPr>
      </w:pPr>
      <w:r>
        <w:rPr>
          <w:rFonts w:ascii="宋体" w:hAnsi="宋体" w:cs="楷体_GB2312"/>
          <w:color w:val="auto"/>
          <w:sz w:val="21"/>
          <w:szCs w:val="21"/>
          <w:highlight w:val="none"/>
        </w:rPr>
      </w:r>
      <w:r/>
    </w:p>
    <w:p>
      <w:pPr>
        <w:ind w:firstLine="420"/>
        <w:spacing w:line="360" w:lineRule="auto"/>
        <w:widowControl w:val="off"/>
        <w:rPr>
          <w:rFonts w:ascii="宋体" w:hAnsi="宋体" w:cs="楷体_GB2312"/>
          <w:color w:val="auto"/>
          <w:sz w:val="21"/>
          <w:szCs w:val="21"/>
          <w:highlight w:val="none"/>
        </w:rPr>
      </w:pPr>
      <w:r>
        <w:rPr>
          <w:rFonts w:ascii="宋体" w:hAnsi="宋体" w:cs="楷体_GB2312"/>
          <w:color w:val="auto"/>
          <w:sz w:val="21"/>
          <w:szCs w:val="21"/>
          <w:highlight w:val="none"/>
        </w:rPr>
      </w:r>
      <w:r/>
    </w:p>
    <w:p>
      <w:pPr>
        <w:ind w:firstLine="420"/>
        <w:spacing w:line="360" w:lineRule="auto"/>
        <w:widowControl w:val="off"/>
        <w:rPr>
          <w:rFonts w:ascii="宋体" w:hAnsi="宋体" w:cs="楷体_GB2312"/>
          <w:color w:val="auto"/>
          <w:sz w:val="21"/>
          <w:szCs w:val="21"/>
          <w:highlight w:val="none"/>
        </w:rPr>
      </w:pPr>
      <w:r>
        <w:rPr>
          <w:rFonts w:ascii="宋体" w:hAnsi="宋体" w:cs="楷体_GB2312"/>
          <w:color w:val="auto"/>
          <w:sz w:val="21"/>
          <w:szCs w:val="21"/>
          <w:highlight w:val="none"/>
        </w:rPr>
      </w:r>
      <w:r/>
    </w:p>
    <w:p>
      <w:pPr>
        <w:ind w:firstLine="420"/>
        <w:spacing w:line="360" w:lineRule="auto"/>
        <w:widowControl w:val="off"/>
        <w:rPr>
          <w:rFonts w:ascii="宋体" w:hAnsi="宋体" w:cs="楷体_GB2312"/>
          <w:color w:val="auto"/>
          <w:sz w:val="21"/>
          <w:szCs w:val="21"/>
          <w:highlight w:val="none"/>
        </w:rPr>
      </w:pPr>
      <w:r>
        <w:rPr>
          <w:rFonts w:ascii="宋体" w:hAnsi="宋体" w:cs="楷体_GB2312"/>
          <w:color w:val="auto"/>
          <w:sz w:val="21"/>
          <w:szCs w:val="21"/>
          <w:highlight w:val="none"/>
        </w:rPr>
      </w:r>
      <w:r/>
    </w:p>
    <w:p>
      <w:pPr>
        <w:ind w:firstLine="420"/>
        <w:spacing w:line="360" w:lineRule="auto"/>
        <w:widowControl w:val="off"/>
        <w:rPr>
          <w:rFonts w:ascii="宋体" w:hAnsi="宋体" w:cs="楷体_GB2312"/>
          <w:color w:val="auto"/>
          <w:sz w:val="21"/>
          <w:szCs w:val="21"/>
          <w:highlight w:val="none"/>
        </w:rPr>
      </w:pPr>
      <w:r>
        <w:rPr>
          <w:rFonts w:ascii="宋体" w:hAnsi="宋体" w:cs="楷体_GB2312"/>
          <w:color w:val="auto"/>
          <w:sz w:val="21"/>
          <w:szCs w:val="21"/>
          <w:highlight w:val="none"/>
        </w:rPr>
      </w:r>
      <w:r/>
    </w:p>
    <w:p>
      <w:pPr>
        <w:ind w:firstLine="420"/>
        <w:spacing w:line="360" w:lineRule="auto"/>
        <w:widowControl w:val="off"/>
        <w:rPr>
          <w:rFonts w:ascii="宋体" w:hAnsi="宋体" w:cs="楷体_GB2312"/>
          <w:color w:val="auto"/>
          <w:sz w:val="21"/>
          <w:szCs w:val="21"/>
          <w:highlight w:val="none"/>
        </w:rPr>
      </w:pPr>
      <w:r>
        <w:rPr>
          <w:rFonts w:ascii="宋体" w:hAnsi="宋体" w:cs="楷体_GB2312"/>
          <w:color w:val="auto"/>
          <w:sz w:val="21"/>
          <w:szCs w:val="21"/>
          <w:highlight w:val="none"/>
        </w:rPr>
      </w:r>
      <w:r/>
    </w:p>
    <w:p>
      <w:pPr>
        <w:ind w:firstLine="420"/>
        <w:spacing w:line="360" w:lineRule="auto"/>
        <w:widowControl w:val="off"/>
        <w:rPr>
          <w:rFonts w:ascii="宋体" w:hAnsi="宋体" w:cs="楷体_GB2312"/>
          <w:color w:val="auto"/>
          <w:sz w:val="21"/>
          <w:szCs w:val="21"/>
          <w:highlight w:val="none"/>
        </w:rPr>
      </w:pPr>
      <w:r>
        <w:rPr>
          <w:rFonts w:ascii="宋体" w:hAnsi="宋体" w:cs="楷体_GB2312"/>
          <w:color w:val="auto"/>
          <w:sz w:val="21"/>
          <w:szCs w:val="21"/>
          <w:highlight w:val="none"/>
        </w:rPr>
      </w:r>
      <w:r/>
    </w:p>
    <w:p>
      <w:pPr>
        <w:ind w:firstLine="420"/>
        <w:spacing w:line="360" w:lineRule="auto"/>
        <w:widowControl w:val="off"/>
        <w:rPr>
          <w:rFonts w:ascii="宋体" w:hAnsi="宋体" w:cs="楷体_GB2312"/>
          <w:color w:val="auto"/>
          <w:sz w:val="21"/>
          <w:szCs w:val="21"/>
          <w:highlight w:val="none"/>
        </w:rPr>
      </w:pPr>
      <w:r>
        <w:rPr>
          <w:rFonts w:ascii="宋体" w:hAnsi="宋体" w:cs="楷体_GB2312"/>
          <w:color w:val="auto"/>
          <w:sz w:val="21"/>
          <w:szCs w:val="21"/>
          <w:highlight w:val="none"/>
        </w:rPr>
      </w:r>
      <w:r/>
    </w:p>
    <w:p>
      <w:pPr>
        <w:ind w:firstLine="420"/>
        <w:spacing w:line="360" w:lineRule="auto"/>
        <w:widowControl w:val="off"/>
        <w:rPr>
          <w:rFonts w:ascii="宋体" w:hAnsi="宋体" w:cs="楷体_GB2312"/>
          <w:color w:val="auto"/>
          <w:sz w:val="21"/>
          <w:szCs w:val="21"/>
          <w:highlight w:val="none"/>
        </w:rPr>
      </w:pPr>
      <w:r>
        <w:rPr>
          <w:rFonts w:ascii="宋体" w:hAnsi="宋体" w:cs="楷体_GB2312"/>
          <w:color w:val="auto"/>
          <w:sz w:val="21"/>
          <w:szCs w:val="21"/>
          <w:highlight w:val="none"/>
        </w:rPr>
      </w:r>
      <w:r/>
    </w:p>
    <w:p>
      <w:pPr>
        <w:ind w:firstLine="420"/>
        <w:spacing w:line="360" w:lineRule="auto"/>
        <w:widowControl w:val="off"/>
        <w:rPr>
          <w:rFonts w:ascii="宋体" w:hAnsi="宋体" w:cs="楷体_GB2312"/>
          <w:color w:val="auto"/>
          <w:sz w:val="21"/>
          <w:szCs w:val="21"/>
          <w:highlight w:val="none"/>
        </w:rPr>
      </w:pPr>
      <w:r>
        <w:rPr>
          <w:rFonts w:ascii="宋体" w:hAnsi="宋体" w:cs="楷体_GB2312"/>
          <w:color w:val="auto"/>
          <w:sz w:val="21"/>
          <w:szCs w:val="21"/>
          <w:highlight w:val="none"/>
        </w:rPr>
      </w:r>
      <w:r/>
    </w:p>
    <w:p>
      <w:pPr>
        <w:ind w:firstLine="420"/>
        <w:spacing w:line="360" w:lineRule="auto"/>
        <w:widowControl w:val="off"/>
        <w:rPr>
          <w:rFonts w:ascii="宋体" w:hAnsi="宋体" w:cs="楷体_GB2312"/>
          <w:color w:val="auto"/>
          <w:sz w:val="21"/>
          <w:szCs w:val="21"/>
          <w:highlight w:val="none"/>
        </w:rPr>
      </w:pPr>
      <w:r>
        <w:rPr>
          <w:rFonts w:ascii="宋体" w:hAnsi="宋体" w:cs="楷体_GB2312"/>
          <w:color w:val="auto"/>
          <w:sz w:val="21"/>
          <w:szCs w:val="21"/>
          <w:highlight w:val="none"/>
        </w:rPr>
      </w:r>
      <w:r/>
    </w:p>
    <w:p>
      <w:pPr>
        <w:ind w:firstLine="420"/>
        <w:spacing w:line="360" w:lineRule="auto"/>
        <w:widowControl w:val="off"/>
        <w:rPr>
          <w:rFonts w:ascii="宋体" w:hAnsi="宋体" w:cs="楷体_GB2312"/>
          <w:color w:val="auto"/>
          <w:sz w:val="21"/>
          <w:szCs w:val="21"/>
          <w:highlight w:val="none"/>
        </w:rPr>
      </w:pPr>
      <w:r>
        <w:rPr>
          <w:rFonts w:ascii="宋体" w:hAnsi="宋体" w:cs="楷体_GB2312"/>
          <w:color w:val="auto"/>
          <w:sz w:val="21"/>
          <w:szCs w:val="21"/>
          <w:highlight w:val="none"/>
        </w:rPr>
      </w:r>
      <w:r/>
    </w:p>
    <w:p>
      <w:pPr>
        <w:ind w:firstLine="420"/>
        <w:spacing w:line="360" w:lineRule="auto"/>
        <w:widowControl w:val="off"/>
        <w:rPr>
          <w:rFonts w:ascii="宋体" w:hAnsi="宋体" w:cs="楷体_GB2312"/>
          <w:color w:val="auto"/>
          <w:sz w:val="21"/>
          <w:szCs w:val="21"/>
          <w:highlight w:val="none"/>
        </w:rPr>
      </w:pPr>
      <w:r>
        <w:rPr>
          <w:rFonts w:ascii="宋体" w:hAnsi="宋体" w:cs="楷体_GB2312"/>
          <w:color w:val="auto"/>
          <w:sz w:val="21"/>
          <w:szCs w:val="21"/>
          <w:highlight w:val="none"/>
        </w:rPr>
      </w:r>
      <w:r/>
    </w:p>
    <w:p>
      <w:pPr>
        <w:ind w:firstLine="420"/>
        <w:spacing w:line="360" w:lineRule="auto"/>
        <w:widowControl w:val="off"/>
        <w:rPr>
          <w:rFonts w:ascii="宋体" w:hAnsi="宋体" w:cs="楷体_GB2312"/>
          <w:color w:val="auto"/>
          <w:sz w:val="21"/>
          <w:szCs w:val="21"/>
          <w:highlight w:val="none"/>
        </w:rPr>
      </w:pPr>
      <w:r>
        <w:rPr>
          <w:rFonts w:ascii="宋体" w:hAnsi="宋体" w:cs="楷体_GB2312"/>
          <w:color w:val="auto"/>
          <w:sz w:val="21"/>
          <w:szCs w:val="21"/>
          <w:highlight w:val="none"/>
        </w:rPr>
      </w:r>
      <w:r/>
    </w:p>
    <w:p>
      <w:pPr>
        <w:ind w:firstLine="420"/>
        <w:spacing w:line="360" w:lineRule="auto"/>
        <w:widowControl w:val="off"/>
        <w:rPr>
          <w:rFonts w:ascii="宋体" w:hAnsi="宋体" w:cs="楷体_GB2312"/>
          <w:color w:val="auto"/>
          <w:sz w:val="21"/>
          <w:szCs w:val="21"/>
          <w:highlight w:val="none"/>
        </w:rPr>
      </w:pPr>
      <w:r>
        <w:rPr>
          <w:rFonts w:ascii="宋体" w:hAnsi="宋体" w:cs="楷体_GB2312"/>
          <w:color w:val="auto"/>
          <w:sz w:val="21"/>
          <w:szCs w:val="21"/>
          <w:highlight w:val="none"/>
        </w:rPr>
      </w:r>
      <w:r/>
    </w:p>
    <w:p>
      <w:pPr>
        <w:ind w:firstLine="420"/>
        <w:spacing w:line="360" w:lineRule="auto"/>
        <w:widowControl w:val="off"/>
        <w:rPr>
          <w:rFonts w:ascii="宋体" w:hAnsi="宋体" w:cs="楷体_GB2312"/>
          <w:color w:val="auto"/>
          <w:sz w:val="21"/>
          <w:szCs w:val="21"/>
          <w:highlight w:val="none"/>
        </w:rPr>
      </w:pPr>
      <w:r>
        <w:rPr>
          <w:rFonts w:ascii="宋体" w:hAnsi="宋体" w:cs="楷体_GB2312"/>
          <w:color w:val="auto"/>
          <w:sz w:val="21"/>
          <w:szCs w:val="21"/>
          <w:highlight w:val="none"/>
        </w:rPr>
      </w:r>
      <w:r/>
    </w:p>
    <w:p>
      <w:pPr>
        <w:ind w:firstLine="420"/>
        <w:spacing w:line="360" w:lineRule="auto"/>
        <w:widowControl w:val="off"/>
        <w:rPr>
          <w:rFonts w:ascii="宋体" w:hAnsi="宋体" w:cs="楷体_GB2312"/>
          <w:color w:val="auto"/>
          <w:sz w:val="21"/>
          <w:szCs w:val="21"/>
          <w:highlight w:val="none"/>
        </w:rPr>
      </w:pPr>
      <w:r>
        <w:rPr>
          <w:rFonts w:ascii="宋体" w:hAnsi="宋体" w:cs="楷体_GB2312"/>
          <w:color w:val="auto"/>
          <w:sz w:val="21"/>
          <w:szCs w:val="21"/>
          <w:highlight w:val="none"/>
        </w:rPr>
      </w:r>
      <w:r/>
    </w:p>
    <w:p>
      <w:pPr>
        <w:ind w:firstLine="420"/>
        <w:spacing w:line="360" w:lineRule="auto"/>
        <w:widowControl w:val="off"/>
        <w:rPr>
          <w:rFonts w:ascii="宋体" w:hAnsi="宋体" w:cs="楷体_GB2312"/>
          <w:color w:val="auto"/>
          <w:sz w:val="21"/>
          <w:szCs w:val="21"/>
          <w:highlight w:val="none"/>
        </w:rPr>
      </w:pPr>
      <w:r>
        <w:rPr>
          <w:rFonts w:ascii="宋体" w:hAnsi="宋体" w:cs="楷体_GB2312"/>
          <w:color w:val="auto"/>
          <w:sz w:val="21"/>
          <w:szCs w:val="21"/>
          <w:highlight w:val="none"/>
        </w:rPr>
      </w:r>
      <w:r/>
    </w:p>
    <w:p>
      <w:pPr>
        <w:pStyle w:val="966"/>
        <w:jc w:val="center"/>
        <w:spacing w:before="75" w:beforeAutospacing="0" w:after="75" w:afterAutospacing="0"/>
        <w:widowControl w:val="off"/>
        <w:rPr>
          <w:rStyle w:val="933"/>
          <w:rFonts w:hint="default"/>
          <w:color w:val="auto"/>
          <w:sz w:val="32"/>
          <w:szCs w:val="32"/>
          <w:highlight w:val="none"/>
        </w:rPr>
        <w:outlineLvl w:val="0"/>
      </w:pPr>
      <w:r/>
      <w:bookmarkStart w:id="65" w:name="_Toc28945"/>
      <w:r/>
      <w:bookmarkStart w:id="66" w:name="_Toc30424"/>
      <w:r/>
      <w:bookmarkStart w:id="67" w:name="_Toc29973"/>
      <w:r>
        <w:rPr>
          <w:rStyle w:val="933"/>
          <w:color w:val="auto"/>
          <w:sz w:val="32"/>
          <w:szCs w:val="32"/>
          <w:highlight w:val="none"/>
        </w:rPr>
        <w:t xml:space="preserve">第四章 磋商响应文件格式</w:t>
      </w:r>
      <w:bookmarkEnd w:id="65"/>
      <w:r/>
      <w:bookmarkEnd w:id="66"/>
      <w:r/>
      <w:bookmarkEnd w:id="67"/>
      <w:r/>
      <w:r/>
    </w:p>
    <w:p>
      <w:pPr>
        <w:widowControl w:val="off"/>
        <w:rPr>
          <w:rFonts w:ascii="宋体" w:hAnsi="宋体" w:cs="宋体"/>
          <w:b/>
          <w:color w:val="auto"/>
          <w:sz w:val="21"/>
          <w:szCs w:val="21"/>
          <w:highlight w:val="none"/>
        </w:rPr>
      </w:pPr>
      <w:r/>
      <w:bookmarkStart w:id="68" w:name="_Toc28392"/>
      <w:r/>
      <w:bookmarkStart w:id="69" w:name="_Toc233"/>
      <w:r/>
      <w:r/>
    </w:p>
    <w:p>
      <w:pPr>
        <w:widowControl w:val="off"/>
        <w:rPr>
          <w:rFonts w:ascii="宋体" w:hAnsi="宋体" w:cs="宋体"/>
          <w:b/>
          <w:color w:val="auto"/>
          <w:sz w:val="21"/>
          <w:szCs w:val="21"/>
          <w:highlight w:val="none"/>
        </w:rPr>
      </w:pPr>
      <w:r>
        <w:rPr>
          <w:rFonts w:ascii="宋体" w:hAnsi="宋体" w:cs="宋体"/>
          <w:b/>
          <w:color w:val="auto"/>
          <w:sz w:val="21"/>
          <w:szCs w:val="21"/>
          <w:highlight w:val="none"/>
        </w:rPr>
      </w:r>
      <w:r/>
    </w:p>
    <w:p>
      <w:pPr>
        <w:widowControl w:val="off"/>
        <w:rPr>
          <w:rFonts w:ascii="宋体" w:hAnsi="宋体" w:cs="宋体"/>
          <w:b/>
          <w:color w:val="auto"/>
          <w:sz w:val="21"/>
          <w:szCs w:val="21"/>
          <w:highlight w:val="none"/>
        </w:rPr>
      </w:pPr>
      <w:r>
        <w:rPr>
          <w:rFonts w:hint="eastAsia" w:ascii="宋体" w:hAnsi="宋体" w:cs="宋体"/>
          <w:b/>
          <w:color w:val="auto"/>
          <w:sz w:val="21"/>
          <w:szCs w:val="21"/>
          <w:highlight w:val="none"/>
        </w:rPr>
        <w:t xml:space="preserve">说明：</w:t>
      </w:r>
      <w:r/>
    </w:p>
    <w:p>
      <w:pPr>
        <w:widowControl w:val="off"/>
        <w:rPr>
          <w:rFonts w:ascii="宋体" w:hAnsi="宋体" w:cs="宋体"/>
          <w:b/>
          <w:color w:val="auto"/>
          <w:sz w:val="21"/>
          <w:szCs w:val="21"/>
          <w:highlight w:val="none"/>
        </w:rPr>
      </w:pPr>
      <w:r>
        <w:rPr>
          <w:rFonts w:hint="eastAsia" w:ascii="宋体" w:hAnsi="宋体" w:cs="宋体"/>
          <w:b/>
          <w:color w:val="auto"/>
          <w:sz w:val="21"/>
          <w:szCs w:val="21"/>
          <w:highlight w:val="none"/>
        </w:rPr>
        <w:t xml:space="preserve">对本章所有的响应文件格式，除注明允许修改的文件外，响应人均应按照本章提供的格式填写，否则作为无效标。允许修改的文件，响应人可根据自身情况进行补充和修改，但补充和修改不得造成与原格式内容有实质性的违背。</w:t>
      </w:r>
      <w:r/>
    </w:p>
    <w:p>
      <w:pPr>
        <w:widowControl w:val="off"/>
        <w:rPr>
          <w:rFonts w:ascii="宋体" w:hAnsi="宋体" w:cs="宋体"/>
          <w:b/>
          <w:color w:val="auto"/>
          <w:sz w:val="21"/>
          <w:szCs w:val="21"/>
          <w:highlight w:val="none"/>
        </w:rPr>
      </w:pPr>
      <w:r>
        <w:rPr>
          <w:rFonts w:ascii="宋体" w:hAnsi="宋体" w:cs="宋体"/>
          <w:b/>
          <w:color w:val="auto"/>
          <w:sz w:val="21"/>
          <w:szCs w:val="21"/>
          <w:highlight w:val="none"/>
        </w:rPr>
      </w:r>
      <w:r/>
    </w:p>
    <w:p>
      <w:pPr>
        <w:widowControl w:val="off"/>
        <w:rPr>
          <w:rFonts w:ascii="宋体" w:hAnsi="宋体" w:cs="宋体"/>
          <w:b/>
          <w:color w:val="auto"/>
          <w:sz w:val="21"/>
          <w:szCs w:val="21"/>
          <w:highlight w:val="none"/>
        </w:rPr>
      </w:pPr>
      <w:r>
        <w:rPr>
          <w:rFonts w:hint="eastAsia" w:ascii="宋体" w:hAnsi="宋体" w:cs="宋体"/>
          <w:b/>
          <w:color w:val="auto"/>
          <w:sz w:val="21"/>
          <w:szCs w:val="21"/>
          <w:highlight w:val="none"/>
        </w:rPr>
        <w:br w:type="page" w:clear="all"/>
      </w:r>
      <w:r/>
    </w:p>
    <w:p>
      <w:pPr>
        <w:widowControl w:val="off"/>
        <w:rPr>
          <w:rFonts w:ascii="宋体" w:hAnsi="宋体" w:cs="宋体"/>
          <w:b/>
          <w:bCs/>
          <w:color w:val="auto"/>
          <w:sz w:val="21"/>
          <w:szCs w:val="21"/>
          <w:highlight w:val="none"/>
        </w:rPr>
      </w:pPr>
      <w:r>
        <w:rPr>
          <w:rFonts w:hint="eastAsia" w:ascii="宋体" w:hAnsi="宋体" w:cs="宋体"/>
          <w:b/>
          <w:color w:val="auto"/>
          <w:sz w:val="21"/>
          <w:szCs w:val="21"/>
          <w:highlight w:val="none"/>
        </w:rPr>
        <w:t xml:space="preserve">格式</w:t>
      </w:r>
      <w:r>
        <w:rPr>
          <w:rFonts w:hint="eastAsia" w:ascii="宋体" w:hAnsi="宋体" w:cs="宋体"/>
          <w:b/>
          <w:color w:val="auto"/>
          <w:sz w:val="21"/>
          <w:szCs w:val="21"/>
          <w:highlight w:val="none"/>
          <w:lang w:val="zh-CN"/>
        </w:rPr>
        <w:t xml:space="preserve">1 ：</w:t>
      </w:r>
      <w:bookmarkEnd w:id="68"/>
      <w:r/>
      <w:bookmarkEnd w:id="69"/>
      <w:r>
        <w:rPr>
          <w:rFonts w:hint="eastAsia" w:ascii="宋体" w:hAnsi="宋体" w:cs="宋体"/>
          <w:b/>
          <w:bCs/>
          <w:color w:val="auto"/>
          <w:sz w:val="21"/>
          <w:szCs w:val="21"/>
          <w:highlight w:val="none"/>
        </w:rPr>
        <w:t xml:space="preserve">磋商响应函</w:t>
      </w:r>
      <w:r/>
    </w:p>
    <w:p>
      <w:pPr>
        <w:jc w:val="center"/>
        <w:widowControl w:val="off"/>
        <w:rPr>
          <w:rFonts w:ascii="宋体" w:hAnsi="宋体" w:cs="宋体"/>
          <w:b/>
          <w:bCs/>
          <w:color w:val="auto"/>
          <w:highlight w:val="none"/>
        </w:rPr>
      </w:pPr>
      <w:r>
        <w:rPr>
          <w:rFonts w:hint="eastAsia" w:ascii="宋体" w:hAnsi="宋体" w:cs="宋体"/>
          <w:b/>
          <w:bCs/>
          <w:color w:val="auto"/>
          <w:highlight w:val="none"/>
        </w:rPr>
        <w:t xml:space="preserve">磋商响应函</w:t>
      </w:r>
      <w:r/>
    </w:p>
    <w:p>
      <w:pP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诚德天工建设咨询（苏州）有限公司：</w:t>
      </w:r>
      <w:r/>
    </w:p>
    <w:p>
      <w:pPr>
        <w:ind w:firstLine="420"/>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我们收到你们</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号磋商采购文件，经仔细阅读和研究，我们决定参加磋商。同时我公司承诺：</w:t>
      </w:r>
      <w:r/>
    </w:p>
    <w:p>
      <w:pPr>
        <w:ind w:firstLine="420"/>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我们愿意按照磋商采购文件的一切要求，提供满足采购要求的服务内容，我公司的响应报价包括完成本项目全部服务内容所需的人工（包括人员劳务费、法定节假日加班费、福利费、社保等）、交通费用、餐费住宿、耗材、通讯、办公设备、验收费用、各种税费、保险、劳保、维护、代理服务费、利润、税金、政策性文件规定及合同包含的所有风险、责任等各项应有费用。同时，除非合同条款中另有规定，否则，合同约定的服务费用在合同实施期间不因市场变化因素而变动。</w:t>
      </w:r>
      <w:r/>
    </w:p>
    <w:p>
      <w:pPr>
        <w:ind w:firstLine="420"/>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hAnsi="宋体"/>
          <w:color w:val="auto"/>
          <w:sz w:val="21"/>
          <w:szCs w:val="21"/>
          <w:highlight w:val="none"/>
        </w:rPr>
        <w:t xml:space="preserve">一旦我方</w:t>
      </w:r>
      <w:r>
        <w:rPr>
          <w:rFonts w:hint="eastAsia" w:hAnsi="宋体"/>
          <w:color w:val="auto"/>
          <w:sz w:val="21"/>
          <w:szCs w:val="21"/>
          <w:highlight w:val="none"/>
        </w:rPr>
        <w:t xml:space="preserve">成交</w:t>
      </w:r>
      <w:r>
        <w:rPr>
          <w:rFonts w:hAnsi="宋体"/>
          <w:color w:val="auto"/>
          <w:sz w:val="21"/>
          <w:szCs w:val="21"/>
          <w:highlight w:val="none"/>
        </w:rPr>
        <w:t xml:space="preserve">，</w:t>
      </w:r>
      <w:r>
        <w:rPr>
          <w:rFonts w:hint="eastAsia" w:hAnsi="宋体"/>
          <w:color w:val="auto"/>
          <w:sz w:val="21"/>
          <w:szCs w:val="21"/>
          <w:highlight w:val="none"/>
        </w:rPr>
        <w:t xml:space="preserve">我方将组建项目组，</w:t>
      </w:r>
      <w:r>
        <w:rPr>
          <w:rFonts w:hAnsi="宋体"/>
          <w:color w:val="auto"/>
          <w:sz w:val="21"/>
          <w:szCs w:val="21"/>
          <w:highlight w:val="none"/>
        </w:rPr>
        <w:t xml:space="preserve">保证</w:t>
      </w:r>
      <w:r>
        <w:rPr>
          <w:rFonts w:hint="eastAsia" w:hAnsi="宋体"/>
          <w:color w:val="auto"/>
          <w:sz w:val="21"/>
          <w:szCs w:val="21"/>
          <w:highlight w:val="none"/>
        </w:rPr>
        <w:t xml:space="preserve">按</w:t>
      </w:r>
      <w:r>
        <w:rPr>
          <w:rFonts w:hAnsi="宋体"/>
          <w:color w:val="auto"/>
          <w:sz w:val="21"/>
          <w:szCs w:val="21"/>
          <w:highlight w:val="none"/>
        </w:rPr>
        <w:t xml:space="preserve">合同书中规定的</w:t>
      </w:r>
      <w:r>
        <w:rPr>
          <w:rFonts w:hint="eastAsia" w:hAnsi="宋体"/>
          <w:color w:val="auto"/>
          <w:sz w:val="21"/>
          <w:szCs w:val="21"/>
          <w:highlight w:val="none"/>
        </w:rPr>
        <w:t xml:space="preserve">日期及采购</w:t>
      </w:r>
      <w:r>
        <w:rPr>
          <w:rFonts w:hAnsi="宋体"/>
          <w:color w:val="auto"/>
          <w:sz w:val="21"/>
          <w:szCs w:val="21"/>
          <w:highlight w:val="none"/>
        </w:rPr>
        <w:t xml:space="preserve">文件的一切要求</w:t>
      </w:r>
      <w:r>
        <w:rPr>
          <w:rFonts w:hint="eastAsia" w:hAnsi="宋体"/>
          <w:color w:val="auto"/>
          <w:sz w:val="21"/>
          <w:szCs w:val="21"/>
          <w:highlight w:val="none"/>
        </w:rPr>
        <w:t xml:space="preserve">完成2026年度高贸区既有建筑网格化隐患排查服务工作并提供相应的合格服</w:t>
      </w:r>
      <w:r>
        <w:rPr>
          <w:rFonts w:hint="eastAsia" w:ascii="宋体" w:hAnsi="宋体" w:cs="宋体"/>
          <w:color w:val="auto"/>
          <w:sz w:val="21"/>
          <w:szCs w:val="21"/>
          <w:highlight w:val="none"/>
        </w:rPr>
        <w:t xml:space="preserve">务，并承担相应的费用。</w:t>
      </w:r>
      <w:r/>
    </w:p>
    <w:p>
      <w:pPr>
        <w:ind w:firstLine="420"/>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3.如果我们的磋商响应文件被接受，我们将严格履行磋商采购文件中规定的每一项要求，</w:t>
      </w:r>
      <w:r>
        <w:rPr>
          <w:rFonts w:hint="eastAsia" w:ascii="宋体" w:hAnsi="宋体" w:cs="宋体"/>
          <w:color w:val="auto"/>
          <w:sz w:val="21"/>
          <w:szCs w:val="21"/>
          <w:highlight w:val="none"/>
          <w:lang w:val="zh-CN"/>
        </w:rPr>
        <w:t xml:space="preserve">严格履行合同的责任和义务，保证按期、按质履行合同，完成合同所规定的全部内容</w:t>
      </w:r>
      <w:r>
        <w:rPr>
          <w:rFonts w:hint="eastAsia" w:ascii="宋体" w:hAnsi="宋体" w:cs="宋体"/>
          <w:color w:val="auto"/>
          <w:sz w:val="21"/>
          <w:szCs w:val="21"/>
          <w:highlight w:val="none"/>
        </w:rPr>
        <w:t xml:space="preserve">。</w:t>
      </w:r>
      <w:r/>
    </w:p>
    <w:p>
      <w:pPr>
        <w:ind w:firstLine="420"/>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4.我方已详细审查并同意采购文件及补充（更正）公告（若有）中的规定。我方完全理解并同意放弃对这方面有不明及误解的权利。</w:t>
      </w:r>
      <w:r/>
    </w:p>
    <w:p>
      <w:pPr>
        <w:ind w:firstLine="420"/>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5.我们同意按采购文件中的规定，本响应文件的有效期限为</w:t>
      </w:r>
      <w:r>
        <w:rPr>
          <w:rFonts w:hint="eastAsia" w:ascii="宋体" w:hAnsi="宋体"/>
          <w:color w:val="auto"/>
          <w:sz w:val="21"/>
          <w:szCs w:val="21"/>
          <w:highlight w:val="none"/>
        </w:rPr>
        <w:t xml:space="preserve">响应文件提交（上传）</w:t>
      </w:r>
      <w:r>
        <w:rPr>
          <w:rFonts w:hint="eastAsia" w:ascii="宋体" w:hAnsi="宋体" w:cs="宋体"/>
          <w:color w:val="auto"/>
          <w:sz w:val="21"/>
          <w:szCs w:val="21"/>
          <w:highlight w:val="none"/>
          <w:lang w:val="zh-CN"/>
        </w:rPr>
        <w:t xml:space="preserve">截止时间之日起</w:t>
      </w:r>
      <w:r>
        <w:rPr>
          <w:rFonts w:ascii="宋体" w:hAnsi="宋体" w:cs="宋体"/>
          <w:color w:val="auto"/>
          <w:sz w:val="21"/>
          <w:szCs w:val="21"/>
          <w:highlight w:val="none"/>
          <w:lang w:val="zh-CN"/>
        </w:rPr>
        <w:t xml:space="preserve">60</w:t>
      </w:r>
      <w:r>
        <w:rPr>
          <w:rFonts w:hint="eastAsia" w:ascii="宋体" w:hAnsi="宋体" w:cs="宋体"/>
          <w:color w:val="auto"/>
          <w:sz w:val="21"/>
          <w:szCs w:val="21"/>
          <w:highlight w:val="none"/>
        </w:rPr>
        <w:t xml:space="preserve">天。</w:t>
      </w:r>
      <w:r/>
    </w:p>
    <w:p>
      <w:pPr>
        <w:ind w:firstLine="420"/>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6.我们愿意提供采购人在采购文件中要求的所有资料。</w:t>
      </w:r>
      <w:r/>
    </w:p>
    <w:p>
      <w:pPr>
        <w:ind w:firstLine="420"/>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7.我们愿意遵守磋商邀请函及采购文件中所列的收费标准。</w:t>
      </w:r>
      <w:r/>
    </w:p>
    <w:p>
      <w:pPr>
        <w:ind w:firstLine="420"/>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8.我们承诺该项磋商在开启后的全过程中保持有效，不作任何更改和变动。</w:t>
      </w:r>
      <w:r/>
    </w:p>
    <w:p>
      <w:pPr>
        <w:ind w:firstLine="420"/>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9.贵单位的采购文件、成交通知书和本报价响应文件将构成约束我们双方的合同。</w:t>
      </w:r>
      <w:r/>
    </w:p>
    <w:p>
      <w:pPr>
        <w:ind w:firstLine="420"/>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10.我单位保证提交的报价响应文件未涉及第三方的知识产权，我方承诺如有第三方对相关的知识产权提出异议和索赔由我单位负责解决，与采购人无关。</w:t>
      </w:r>
      <w:r/>
    </w:p>
    <w:p>
      <w:pPr>
        <w:ind w:firstLine="420"/>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11.我单位承诺在报价响应文件中提供的证书、资料及相关数据均为真实的，非虚假的；否则，我单位将承担由此造成的一切后果及法律责任。</w:t>
      </w:r>
      <w:r/>
    </w:p>
    <w:p>
      <w:pPr>
        <w:pStyle w:val="1000"/>
        <w:ind w:firstLine="420"/>
        <w:rPr>
          <w:rFonts w:hint="default" w:hAnsi="宋体" w:eastAsia="宋体" w:cs="宋体"/>
          <w:color w:val="auto"/>
          <w:sz w:val="21"/>
          <w:szCs w:val="21"/>
          <w:highlight w:val="none"/>
        </w:rPr>
      </w:pPr>
      <w:r>
        <w:rPr>
          <w:rFonts w:hAnsi="宋体" w:eastAsia="宋体" w:cs="宋体"/>
          <w:color w:val="auto"/>
          <w:sz w:val="21"/>
          <w:szCs w:val="21"/>
          <w:highlight w:val="none"/>
        </w:rPr>
        <w:t xml:space="preserve">12.如果我方未成交，我公司预留用于接收《未成交通知书》的电子邮箱为：</w:t>
      </w:r>
      <w:r>
        <w:rPr>
          <w:rFonts w:hAnsi="宋体" w:eastAsia="宋体" w:cs="宋体"/>
          <w:color w:val="auto"/>
          <w:sz w:val="21"/>
          <w:szCs w:val="21"/>
          <w:highlight w:val="none"/>
          <w:u w:val="single"/>
        </w:rPr>
        <w:t xml:space="preserve">                 </w:t>
      </w:r>
      <w:r>
        <w:rPr>
          <w:rFonts w:hAnsi="宋体" w:eastAsia="宋体" w:cs="宋体"/>
          <w:color w:val="auto"/>
          <w:sz w:val="21"/>
          <w:szCs w:val="21"/>
          <w:highlight w:val="none"/>
        </w:rPr>
        <w:t xml:space="preserve">；同时我方承诺会及时接收并查阅相应的电子邮件，否则我方自动放弃获知相关信息并承担相应后果。</w:t>
      </w:r>
      <w:r/>
    </w:p>
    <w:p>
      <w:pPr>
        <w:ind w:firstLine="420"/>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13.与本磋商相应文件有关的通讯地址：</w:t>
      </w:r>
      <w:r/>
    </w:p>
    <w:p>
      <w:pPr>
        <w:ind w:firstLine="210"/>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单   位：                                              联 系 人： </w:t>
      </w:r>
      <w:r/>
    </w:p>
    <w:p>
      <w:pPr>
        <w:ind w:firstLine="210"/>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地   址：                                              邮政编码： </w:t>
      </w:r>
      <w:r/>
    </w:p>
    <w:p>
      <w:pPr>
        <w:ind w:firstLine="210"/>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联系电话：                                             电子邮箱：</w:t>
      </w:r>
      <w:r/>
    </w:p>
    <w:p>
      <w:pPr>
        <w:pStyle w:val="1000"/>
        <w:ind w:firstLine="420"/>
        <w:rPr>
          <w:rFonts w:hint="default" w:hAnsi="宋体" w:eastAsia="宋体"/>
          <w:color w:val="auto"/>
          <w:sz w:val="21"/>
          <w:szCs w:val="21"/>
          <w:highlight w:val="none"/>
        </w:rPr>
      </w:pPr>
      <w:r>
        <w:rPr>
          <w:rFonts w:hint="default" w:hAnsi="宋体" w:eastAsia="宋体"/>
          <w:color w:val="auto"/>
          <w:sz w:val="21"/>
          <w:szCs w:val="21"/>
          <w:highlight w:val="none"/>
        </w:rPr>
      </w:r>
      <w:r/>
    </w:p>
    <w:p>
      <w:pPr>
        <w:ind w:right="-331"/>
        <w:spacing w:line="360" w:lineRule="auto"/>
        <w:widowControl w:val="off"/>
        <w:tabs>
          <w:tab w:val="left" w:pos="9000" w:leader="none"/>
        </w:tabs>
        <w:rPr>
          <w:rFonts w:hAnsi="宋体" w:cs="宋体"/>
          <w:color w:val="auto"/>
          <w:sz w:val="21"/>
          <w:szCs w:val="21"/>
          <w:highlight w:val="none"/>
        </w:rPr>
      </w:pPr>
      <w:r>
        <w:rPr>
          <w:rFonts w:hAnsi="宋体" w:cs="宋体"/>
          <w:color w:val="auto"/>
          <w:sz w:val="21"/>
          <w:szCs w:val="21"/>
          <w:highlight w:val="none"/>
        </w:rPr>
      </w:r>
      <w:r/>
    </w:p>
    <w:p>
      <w:pPr>
        <w:spacing w:line="360" w:lineRule="auto"/>
        <w:widowControl w:val="off"/>
        <w:rPr>
          <w:rFonts w:ascii="宋体" w:hAnsi="宋体" w:cs="宋体"/>
          <w:bCs/>
          <w:color w:val="auto"/>
          <w:sz w:val="21"/>
          <w:szCs w:val="21"/>
          <w:highlight w:val="none"/>
          <w:lang w:val="zh-CN"/>
        </w:rPr>
      </w:pPr>
      <w:r>
        <w:rPr>
          <w:rFonts w:hint="eastAsia" w:ascii="宋体" w:hAnsi="宋体" w:cs="宋体"/>
          <w:bCs/>
          <w:color w:val="auto"/>
          <w:sz w:val="21"/>
          <w:szCs w:val="21"/>
          <w:highlight w:val="none"/>
          <w:lang w:val="zh-CN"/>
        </w:rPr>
        <w:t xml:space="preserve">供应商：（加盖CA电子公章）</w:t>
      </w:r>
      <w:r/>
    </w:p>
    <w:p>
      <w:pPr>
        <w:spacing w:line="360" w:lineRule="auto"/>
        <w:widowControl w:val="off"/>
        <w:rPr>
          <w:rFonts w:ascii="宋体" w:hAnsi="宋体" w:cs="宋体"/>
          <w:bCs/>
          <w:color w:val="auto"/>
          <w:sz w:val="21"/>
          <w:szCs w:val="21"/>
          <w:highlight w:val="none"/>
          <w:lang w:val="zh-CN"/>
        </w:rPr>
      </w:pPr>
      <w:r>
        <w:rPr>
          <w:rFonts w:hint="eastAsia" w:ascii="宋体" w:hAnsi="宋体" w:cs="宋体"/>
          <w:bCs/>
          <w:color w:val="auto"/>
          <w:sz w:val="21"/>
          <w:szCs w:val="21"/>
          <w:highlight w:val="none"/>
          <w:lang w:val="zh-CN"/>
        </w:rPr>
        <w:t xml:space="preserve">日期：         年     月    日</w:t>
      </w:r>
      <w:r/>
    </w:p>
    <w:p>
      <w:pPr>
        <w:spacing w:line="360" w:lineRule="auto"/>
        <w:widowControl w:val="off"/>
        <w:rPr>
          <w:rFonts w:ascii="宋体" w:hAnsi="宋体" w:cs="宋体"/>
          <w:bCs/>
          <w:color w:val="auto"/>
          <w:sz w:val="21"/>
          <w:szCs w:val="21"/>
          <w:highlight w:val="none"/>
        </w:rPr>
      </w:pPr>
      <w:r>
        <w:rPr>
          <w:rFonts w:ascii="宋体" w:hAnsi="宋体" w:cs="宋体"/>
          <w:bCs/>
          <w:color w:val="auto"/>
          <w:sz w:val="21"/>
          <w:szCs w:val="21"/>
          <w:highlight w:val="none"/>
        </w:rPr>
      </w:r>
      <w:r/>
    </w:p>
    <w:p>
      <w:pPr>
        <w:spacing w:line="360" w:lineRule="auto"/>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spacing w:line="360" w:lineRule="auto"/>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spacing w:line="360" w:lineRule="auto"/>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spacing w:line="360" w:lineRule="auto"/>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spacing w:line="360" w:lineRule="auto"/>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spacing w:line="360" w:lineRule="auto"/>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jc w:val="both"/>
        <w:spacing w:line="360" w:lineRule="auto"/>
        <w:widowControl w:val="off"/>
        <w:rPr>
          <w:rFonts w:ascii="宋体" w:hAnsi="宋体" w:cs="宋体"/>
          <w:b/>
          <w:bCs/>
          <w:color w:val="auto"/>
          <w:sz w:val="21"/>
          <w:szCs w:val="21"/>
          <w:highlight w:val="none"/>
          <w:lang w:val="zh-CN"/>
        </w:rPr>
      </w:pPr>
      <w:r>
        <w:rPr>
          <w:rFonts w:hint="eastAsia" w:ascii="宋体" w:hAnsi="宋体" w:cs="宋体"/>
          <w:b/>
          <w:bCs/>
          <w:color w:val="auto"/>
          <w:sz w:val="21"/>
          <w:szCs w:val="21"/>
          <w:highlight w:val="none"/>
        </w:rPr>
        <w:t xml:space="preserve">格式2：法定代表人授权委托书</w:t>
      </w:r>
      <w:r/>
    </w:p>
    <w:p>
      <w:pPr>
        <w:jc w:val="center"/>
        <w:spacing w:line="360" w:lineRule="auto"/>
        <w:widowControl w:val="off"/>
        <w:rPr>
          <w:rFonts w:ascii="宋体" w:hAnsi="宋体" w:cs="宋体"/>
          <w:b/>
          <w:bCs/>
          <w:color w:val="auto"/>
          <w:spacing w:val="20"/>
          <w:highlight w:val="none"/>
        </w:rPr>
      </w:pPr>
      <w:r>
        <w:rPr>
          <w:rFonts w:hint="eastAsia" w:ascii="宋体" w:hAnsi="宋体" w:cs="宋体"/>
          <w:b/>
          <w:bCs/>
          <w:color w:val="auto"/>
          <w:spacing w:val="20"/>
          <w:highlight w:val="none"/>
        </w:rPr>
        <w:t xml:space="preserve">法定代表人授权委托书</w:t>
      </w:r>
      <w:r/>
    </w:p>
    <w:p>
      <w:pPr>
        <w:spacing w:line="360" w:lineRule="auto"/>
        <w:widowControl w:val="off"/>
        <w:rPr>
          <w:rFonts w:ascii="宋体" w:hAnsi="宋体"/>
          <w:b/>
          <w:color w:val="auto"/>
          <w:szCs w:val="21"/>
          <w:highlight w:val="none"/>
        </w:rPr>
      </w:pPr>
      <w:r>
        <w:rPr>
          <w:rFonts w:ascii="宋体" w:hAnsi="宋体"/>
          <w:b/>
          <w:color w:val="auto"/>
          <w:szCs w:val="21"/>
          <w:highlight w:val="none"/>
        </w:rPr>
      </w:r>
      <w:r/>
    </w:p>
    <w:p>
      <w:pPr>
        <w:pStyle w:val="935"/>
        <w:spacing w:line="360" w:lineRule="auto"/>
        <w:rPr>
          <w:rFonts w:ascii="宋体" w:hAnsi="宋体"/>
          <w:color w:val="auto"/>
          <w:szCs w:val="21"/>
          <w:highlight w:val="none"/>
        </w:rPr>
      </w:pPr>
      <w:r>
        <w:rPr>
          <w:rFonts w:hint="eastAsia" w:ascii="宋体" w:hAnsi="宋体"/>
          <w:color w:val="auto"/>
          <w:szCs w:val="21"/>
          <w:highlight w:val="none"/>
        </w:rPr>
        <w:t xml:space="preserve">  </w:t>
      </w:r>
      <w:r>
        <w:rPr>
          <w:rFonts w:hint="eastAsia" w:ascii="宋体" w:hAnsi="宋体"/>
          <w:color w:val="auto"/>
          <w:highlight w:val="none"/>
        </w:rPr>
        <w:t xml:space="preserve">本授权委托书声明：</w:t>
      </w:r>
      <w:r>
        <w:rPr>
          <w:rFonts w:ascii="宋体" w:hAnsi="宋体"/>
          <w:color w:val="auto"/>
          <w:highlight w:val="none"/>
        </w:rPr>
        <w:t xml:space="preserve">  </w:t>
      </w:r>
      <w:r>
        <w:rPr>
          <w:rFonts w:hint="eastAsia" w:ascii="宋体" w:hAnsi="宋体"/>
          <w:color w:val="auto"/>
          <w:highlight w:val="none"/>
        </w:rPr>
        <w:t xml:space="preserve">我</w:t>
      </w:r>
      <w:r>
        <w:rPr>
          <w:rFonts w:ascii="宋体" w:hAnsi="宋体"/>
          <w:color w:val="auto"/>
          <w:highlight w:val="none"/>
        </w:rPr>
        <w:t xml:space="preserve"> </w:t>
      </w:r>
      <w:r>
        <w:rPr>
          <w:rFonts w:ascii="宋体" w:hAnsi="宋体"/>
          <w:color w:val="auto"/>
          <w:highlight w:val="none"/>
          <w:u w:val="single"/>
        </w:rPr>
        <w:t xml:space="preserve">          </w:t>
      </w:r>
      <w:r>
        <w:rPr>
          <w:rFonts w:hint="eastAsia" w:ascii="宋体" w:hAnsi="宋体"/>
          <w:color w:val="auto"/>
          <w:highlight w:val="none"/>
        </w:rPr>
        <w:t xml:space="preserve">（姓名）系</w:t>
      </w:r>
      <w:r>
        <w:rPr>
          <w:rFonts w:ascii="宋体" w:hAnsi="宋体"/>
          <w:color w:val="auto"/>
          <w:highlight w:val="none"/>
          <w:u w:val="single"/>
        </w:rPr>
        <w:t xml:space="preserve">             </w:t>
      </w:r>
      <w:r>
        <w:rPr>
          <w:rFonts w:hint="eastAsia" w:ascii="宋体" w:hAnsi="宋体"/>
          <w:color w:val="auto"/>
          <w:highlight w:val="none"/>
        </w:rPr>
        <w:t xml:space="preserve">（磋商响应单位名称）的法定代表人，现授权委托</w:t>
      </w:r>
      <w:r>
        <w:rPr>
          <w:rFonts w:ascii="宋体" w:hAnsi="宋体"/>
          <w:color w:val="auto"/>
          <w:highlight w:val="none"/>
          <w:u w:val="single"/>
        </w:rPr>
        <w:t xml:space="preserve">         </w:t>
      </w:r>
      <w:r>
        <w:rPr>
          <w:rFonts w:hint="eastAsia" w:ascii="宋体" w:hAnsi="宋体"/>
          <w:color w:val="auto"/>
          <w:highlight w:val="none"/>
        </w:rPr>
        <w:t xml:space="preserve">（姓名）为我公司代理人，以本公司的名义参加</w:t>
      </w:r>
      <w:r>
        <w:rPr>
          <w:rFonts w:hint="eastAsia"/>
          <w:color w:val="auto"/>
          <w:szCs w:val="21"/>
          <w:highlight w:val="none"/>
        </w:rPr>
        <w:t xml:space="preserve">诚德天工建设咨询（苏州）有限公司</w:t>
      </w:r>
      <w:r>
        <w:rPr>
          <w:rFonts w:hint="eastAsia" w:ascii="宋体" w:hAnsi="宋体"/>
          <w:color w:val="auto"/>
          <w:highlight w:val="none"/>
        </w:rPr>
        <w:t xml:space="preserve">实施的编号为</w:t>
      </w:r>
      <w:r>
        <w:rPr>
          <w:rFonts w:ascii="宋体" w:hAnsi="宋体"/>
          <w:color w:val="auto"/>
          <w:highlight w:val="none"/>
          <w:u w:val="single"/>
        </w:rPr>
        <w:t xml:space="preserve">        </w:t>
      </w:r>
      <w:r>
        <w:rPr>
          <w:rFonts w:hint="eastAsia" w:ascii="宋体" w:hAnsi="宋体"/>
          <w:color w:val="auto"/>
          <w:highlight w:val="none"/>
        </w:rPr>
        <w:t xml:space="preserve">号的竞争性磋商采购活动。代理人在磋商、评审、合同订立和履行过程中所签署的一切文件和处理与这有关</w:t>
      </w:r>
      <w:r>
        <w:rPr>
          <w:rFonts w:hint="eastAsia" w:ascii="宋体" w:hAnsi="宋体"/>
          <w:color w:val="auto"/>
          <w:szCs w:val="21"/>
          <w:highlight w:val="none"/>
        </w:rPr>
        <w:t xml:space="preserve">的一切事务，我公司均予以承认。</w:t>
      </w:r>
      <w:r/>
    </w:p>
    <w:p>
      <w:pPr>
        <w:pStyle w:val="935"/>
        <w:spacing w:line="360" w:lineRule="auto"/>
        <w:rPr>
          <w:rFonts w:ascii="宋体" w:hAnsi="宋体"/>
          <w:color w:val="auto"/>
          <w:szCs w:val="21"/>
          <w:highlight w:val="none"/>
        </w:rPr>
      </w:pPr>
      <w:r>
        <w:rPr>
          <w:rFonts w:hint="eastAsia" w:ascii="宋体" w:hAnsi="宋体"/>
          <w:color w:val="auto"/>
          <w:szCs w:val="21"/>
          <w:highlight w:val="none"/>
        </w:rPr>
        <w:t xml:space="preserve">代理人在授权委托书有效期内签署的所有文件不因授权委托的撤销而失效，除非有撤销授权委托的书面通知，本授权委托书自磋商开始至合同履行完毕止。</w:t>
      </w:r>
      <w:r/>
    </w:p>
    <w:p>
      <w:pPr>
        <w:pStyle w:val="935"/>
        <w:spacing w:line="360" w:lineRule="auto"/>
        <w:rPr>
          <w:rFonts w:ascii="宋体" w:hAnsi="宋体"/>
          <w:color w:val="auto"/>
          <w:szCs w:val="21"/>
          <w:highlight w:val="none"/>
        </w:rPr>
      </w:pPr>
      <w:r>
        <w:rPr>
          <w:rFonts w:hint="eastAsia" w:ascii="宋体" w:hAnsi="宋体"/>
          <w:color w:val="auto"/>
          <w:szCs w:val="21"/>
          <w:highlight w:val="none"/>
        </w:rPr>
        <w:t xml:space="preserve">代理人无转委托权。特此委托。</w:t>
      </w:r>
      <w:r/>
    </w:p>
    <w:p>
      <w:pPr>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p>
      <w:pPr>
        <w:spacing w:line="360" w:lineRule="auto"/>
        <w:widowControl w:val="off"/>
        <w:rPr>
          <w:rFonts w:ascii="宋体" w:hAnsi="宋体"/>
          <w:color w:val="auto"/>
          <w:szCs w:val="21"/>
          <w:highlight w:val="none"/>
        </w:rPr>
      </w:pPr>
      <w:r>
        <w:rPr>
          <w:rFonts w:ascii="宋体" w:hAnsi="宋体"/>
          <w:color w:val="auto"/>
          <w:szCs w:val="21"/>
          <w:highlight w:val="none"/>
        </w:rPr>
      </w:r>
      <w:r/>
    </w:p>
    <w:p>
      <w:pPr>
        <w:spacing w:line="360" w:lineRule="auto"/>
        <w:widowControl w:val="off"/>
        <w:rPr>
          <w:rFonts w:ascii="宋体" w:hAnsi="宋体" w:cs="宋体"/>
          <w:bCs/>
          <w:color w:val="auto"/>
          <w:sz w:val="21"/>
          <w:szCs w:val="21"/>
          <w:highlight w:val="none"/>
          <w:lang w:val="zh-CN"/>
        </w:rPr>
      </w:pPr>
      <w:r>
        <w:rPr>
          <w:rFonts w:hint="eastAsia" w:ascii="宋体" w:hAnsi="宋体" w:cs="宋体"/>
          <w:bCs/>
          <w:color w:val="auto"/>
          <w:sz w:val="21"/>
          <w:szCs w:val="21"/>
          <w:highlight w:val="none"/>
          <w:lang w:val="zh-CN"/>
        </w:rPr>
        <w:t xml:space="preserve">供应商：（加盖CA电子公章）</w:t>
      </w:r>
      <w:r/>
    </w:p>
    <w:p>
      <w:pPr>
        <w:spacing w:line="360" w:lineRule="auto"/>
        <w:widowControl w:val="off"/>
        <w:rPr>
          <w:rFonts w:ascii="宋体" w:hAnsi="宋体" w:cs="宋体"/>
          <w:bCs/>
          <w:color w:val="auto"/>
          <w:sz w:val="21"/>
          <w:szCs w:val="21"/>
          <w:highlight w:val="none"/>
          <w:lang w:val="zh-CN"/>
        </w:rPr>
      </w:pPr>
      <w:r>
        <w:rPr>
          <w:rFonts w:hint="eastAsia" w:ascii="宋体" w:hAnsi="宋体" w:cs="宋体"/>
          <w:bCs/>
          <w:color w:val="auto"/>
          <w:sz w:val="21"/>
          <w:szCs w:val="21"/>
          <w:highlight w:val="none"/>
          <w:lang w:val="zh-CN"/>
        </w:rPr>
        <w:t xml:space="preserve">日期：         年     月    日</w:t>
      </w:r>
      <w:r/>
    </w:p>
    <w:p>
      <w:pPr>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p>
      <w:pPr>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p>
      <w:pPr>
        <w:spacing w:line="440" w:lineRule="exact"/>
        <w:widowControl w:val="off"/>
        <w:rPr>
          <w:b/>
          <w:color w:val="auto"/>
          <w:sz w:val="21"/>
          <w:szCs w:val="21"/>
          <w:highlight w:val="none"/>
        </w:rPr>
      </w:pPr>
      <w:r>
        <w:rPr>
          <w:b/>
          <w:color w:val="auto"/>
          <w:sz w:val="21"/>
          <w:szCs w:val="21"/>
          <w:highlight w:val="none"/>
        </w:rPr>
        <w:t xml:space="preserve">备注：供应商如有授权委托，必须提供该法人授权委托书</w:t>
      </w:r>
      <w:r>
        <w:rPr>
          <w:rFonts w:hint="eastAsia"/>
          <w:b/>
          <w:color w:val="auto"/>
          <w:sz w:val="21"/>
          <w:szCs w:val="21"/>
          <w:highlight w:val="none"/>
        </w:rPr>
        <w:t xml:space="preserve">、法定代表人身份证</w:t>
      </w:r>
      <w:r>
        <w:rPr>
          <w:b/>
          <w:color w:val="auto"/>
          <w:sz w:val="21"/>
          <w:szCs w:val="21"/>
          <w:highlight w:val="none"/>
        </w:rPr>
        <w:t xml:space="preserve">及代理人身份证，否则</w:t>
      </w:r>
      <w:r>
        <w:rPr>
          <w:rFonts w:hint="eastAsia"/>
          <w:b/>
          <w:color w:val="auto"/>
          <w:sz w:val="21"/>
          <w:szCs w:val="21"/>
          <w:highlight w:val="none"/>
        </w:rPr>
        <w:t xml:space="preserve">响应</w:t>
      </w:r>
      <w:r>
        <w:rPr>
          <w:b/>
          <w:color w:val="auto"/>
          <w:sz w:val="21"/>
          <w:szCs w:val="21"/>
          <w:highlight w:val="none"/>
        </w:rPr>
        <w:t xml:space="preserve">无效；</w:t>
      </w:r>
      <w:r/>
    </w:p>
    <w:p>
      <w:pPr>
        <w:ind w:firstLine="637"/>
        <w:spacing w:line="440" w:lineRule="exact"/>
        <w:widowControl w:val="off"/>
        <w:rPr>
          <w:b/>
          <w:color w:val="auto"/>
          <w:sz w:val="21"/>
          <w:szCs w:val="21"/>
          <w:highlight w:val="none"/>
        </w:rPr>
      </w:pPr>
      <w:r>
        <w:rPr>
          <w:b/>
          <w:color w:val="auto"/>
          <w:sz w:val="21"/>
          <w:szCs w:val="21"/>
          <w:highlight w:val="none"/>
        </w:rPr>
        <w:t xml:space="preserve">供应商无授权委托的情况下，必须提供法定代表人身份证，否则</w:t>
      </w:r>
      <w:r>
        <w:rPr>
          <w:rFonts w:hint="eastAsia" w:hAnsi="宋体" w:cs="宋体"/>
          <w:b/>
          <w:color w:val="auto"/>
          <w:sz w:val="21"/>
          <w:szCs w:val="21"/>
          <w:highlight w:val="none"/>
        </w:rPr>
        <w:t xml:space="preserve">响应无效</w:t>
      </w:r>
      <w:r>
        <w:rPr>
          <w:b/>
          <w:color w:val="auto"/>
          <w:sz w:val="21"/>
          <w:szCs w:val="21"/>
          <w:highlight w:val="none"/>
        </w:rPr>
        <w:t xml:space="preserve">。</w:t>
      </w:r>
      <w:r/>
    </w:p>
    <w:p>
      <w:pPr>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p>
      <w:pPr>
        <w:widowControl w:val="off"/>
        <w:rPr>
          <w:rFonts w:ascii="宋体" w:hAnsi="宋体" w:cs="宋体"/>
          <w:b/>
          <w:color w:val="auto"/>
          <w:sz w:val="21"/>
          <w:szCs w:val="21"/>
          <w:highlight w:val="none"/>
        </w:rPr>
      </w:pPr>
      <w:r>
        <w:rPr>
          <w:rFonts w:hint="eastAsia" w:ascii="宋体" w:hAnsi="宋体" w:cs="宋体"/>
          <w:b/>
          <w:color w:val="auto"/>
          <w:sz w:val="21"/>
          <w:szCs w:val="21"/>
          <w:highlight w:val="none"/>
        </w:rPr>
        <w:br w:type="page" w:clear="all"/>
      </w:r>
      <w:r/>
    </w:p>
    <w:p>
      <w:pPr>
        <w:spacing w:line="360" w:lineRule="auto"/>
        <w:widowControl w:val="off"/>
        <w:rPr>
          <w:rFonts w:ascii="宋体" w:hAnsi="宋体" w:cs="宋体"/>
          <w:b/>
          <w:color w:val="auto"/>
          <w:sz w:val="21"/>
          <w:szCs w:val="21"/>
          <w:highlight w:val="none"/>
          <w:lang w:val="zh-CN"/>
        </w:rPr>
      </w:pPr>
      <w:r>
        <w:rPr>
          <w:rFonts w:hint="eastAsia" w:ascii="宋体" w:hAnsi="宋体" w:cs="宋体"/>
          <w:b/>
          <w:color w:val="auto"/>
          <w:sz w:val="21"/>
          <w:szCs w:val="21"/>
          <w:highlight w:val="none"/>
        </w:rPr>
        <w:t xml:space="preserve">格式3：开标一览表（第一次报价，具体按“苏采云”系统填报）</w:t>
      </w:r>
      <w:r/>
    </w:p>
    <w:p>
      <w:pPr>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p>
      <w:pPr>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p>
      <w:pPr>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p>
      <w:pPr>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p>
      <w:pPr>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p>
      <w:pPr>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p>
      <w:pPr>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p>
      <w:pPr>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p>
      <w:pPr>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360" w:lineRule="auto"/>
        <w:widowControl w:val="off"/>
        <w:rPr>
          <w:rFonts w:ascii="宋体" w:hAnsi="宋体"/>
          <w:b/>
          <w:color w:val="auto"/>
          <w:sz w:val="21"/>
          <w:szCs w:val="21"/>
          <w:highlight w:val="none"/>
        </w:rPr>
      </w:pPr>
      <w:r>
        <w:rPr>
          <w:rFonts w:ascii="宋体" w:hAnsi="宋体"/>
          <w:b/>
          <w:color w:val="auto"/>
          <w:sz w:val="21"/>
          <w:szCs w:val="21"/>
          <w:highlight w:val="none"/>
        </w:rPr>
      </w:r>
      <w:r/>
    </w:p>
    <w:p>
      <w:pPr>
        <w:jc w:val="both"/>
        <w:spacing w:line="360" w:lineRule="auto"/>
        <w:widowControl w:val="off"/>
        <w:rPr>
          <w:rFonts w:ascii="宋体" w:hAnsi="宋体"/>
          <w:b/>
          <w:color w:val="auto"/>
          <w:sz w:val="21"/>
          <w:szCs w:val="21"/>
          <w:highlight w:val="none"/>
        </w:rPr>
      </w:pPr>
      <w:r>
        <w:rPr>
          <w:rFonts w:ascii="宋体" w:hAnsi="宋体"/>
          <w:b/>
          <w:color w:val="auto"/>
          <w:sz w:val="21"/>
          <w:szCs w:val="21"/>
          <w:highlight w:val="none"/>
        </w:rPr>
      </w:r>
      <w:r/>
    </w:p>
    <w:p>
      <w:pPr>
        <w:jc w:val="both"/>
        <w:spacing w:line="360" w:lineRule="auto"/>
        <w:widowControl w:val="off"/>
        <w:rPr>
          <w:rFonts w:ascii="宋体" w:hAnsi="宋体"/>
          <w:b/>
          <w:color w:val="auto"/>
          <w:sz w:val="21"/>
          <w:szCs w:val="21"/>
          <w:highlight w:val="none"/>
        </w:rPr>
      </w:pPr>
      <w:r>
        <w:rPr>
          <w:rFonts w:ascii="宋体" w:hAnsi="宋体"/>
          <w:b/>
          <w:color w:val="auto"/>
          <w:sz w:val="21"/>
          <w:szCs w:val="21"/>
          <w:highlight w:val="none"/>
        </w:rPr>
      </w:r>
      <w:r/>
    </w:p>
    <w:p>
      <w:pPr>
        <w:jc w:val="both"/>
        <w:spacing w:line="360" w:lineRule="auto"/>
        <w:widowControl w:val="off"/>
        <w:rPr>
          <w:rFonts w:ascii="宋体" w:hAnsi="宋体"/>
          <w:b/>
          <w:color w:val="auto"/>
          <w:sz w:val="21"/>
          <w:szCs w:val="21"/>
          <w:highlight w:val="none"/>
        </w:rPr>
      </w:pPr>
      <w:r>
        <w:rPr>
          <w:rFonts w:hint="eastAsia" w:ascii="宋体" w:hAnsi="宋体"/>
          <w:b/>
          <w:color w:val="auto"/>
          <w:sz w:val="21"/>
          <w:szCs w:val="21"/>
          <w:highlight w:val="none"/>
        </w:rPr>
        <w:br w:type="page" w:clear="all"/>
      </w:r>
      <w:r>
        <w:rPr>
          <w:rFonts w:hint="eastAsia" w:ascii="宋体" w:hAnsi="宋体"/>
          <w:b/>
          <w:color w:val="auto"/>
          <w:sz w:val="21"/>
          <w:szCs w:val="21"/>
          <w:highlight w:val="none"/>
        </w:rPr>
        <w:t xml:space="preserve">格式4：报价明细表</w:t>
      </w:r>
      <w:r/>
    </w:p>
    <w:p>
      <w:pPr>
        <w:jc w:val="center"/>
        <w:widowControl w:val="off"/>
        <w:rPr>
          <w:rFonts w:ascii="宋体" w:hAnsi="宋体" w:cs="宋体"/>
          <w:b/>
          <w:bCs/>
          <w:color w:val="auto"/>
          <w:highlight w:val="none"/>
        </w:rPr>
      </w:pPr>
      <w:r>
        <w:rPr>
          <w:rFonts w:hint="eastAsia" w:ascii="宋体" w:hAnsi="宋体" w:cs="宋体"/>
          <w:b/>
          <w:bCs/>
          <w:color w:val="auto"/>
          <w:highlight w:val="none"/>
        </w:rPr>
        <w:t xml:space="preserve">报价明细表</w:t>
      </w:r>
      <w:r/>
    </w:p>
    <w:p>
      <w:pPr>
        <w:pStyle w:val="1000"/>
        <w:spacing w:line="360" w:lineRule="auto"/>
        <w:rPr>
          <w:rFonts w:hint="default" w:hAnsi="宋体" w:eastAsia="宋体" w:cs="宋体"/>
          <w:color w:val="auto"/>
          <w:sz w:val="21"/>
          <w:szCs w:val="21"/>
          <w:highlight w:val="none"/>
        </w:rPr>
      </w:pPr>
      <w:r>
        <w:rPr>
          <w:rFonts w:hAnsi="宋体" w:eastAsia="宋体" w:cs="宋体"/>
          <w:color w:val="auto"/>
          <w:sz w:val="21"/>
          <w:szCs w:val="21"/>
          <w:highlight w:val="none"/>
        </w:rPr>
        <w:t xml:space="preserve">采购编号：                                               </w:t>
      </w:r>
      <w:r/>
    </w:p>
    <w:p>
      <w:pPr>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                                              </w:t>
      </w:r>
      <w:r/>
    </w:p>
    <w:tbl>
      <w:tblPr>
        <w:tblStyle w:val="746"/>
        <w:tblW w:w="748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80" w:type="dxa"/>
          <w:top w:w="80" w:type="dxa"/>
          <w:right w:w="80" w:type="dxa"/>
          <w:bottom w:w="80" w:type="dxa"/>
        </w:tblCellMar>
        <w:tblLook w:val="04A0" w:firstRow="1" w:lastRow="0" w:firstColumn="1" w:lastColumn="0" w:noHBand="0" w:noVBand="1"/>
      </w:tblPr>
      <w:tblGrid>
        <w:gridCol w:w="795"/>
        <w:gridCol w:w="1403"/>
        <w:gridCol w:w="3303"/>
        <w:gridCol w:w="1984"/>
      </w:tblGrid>
      <w:tr>
        <w:trPr>
          <w:jc w:val="center"/>
          <w:trHeight w:val="401"/>
        </w:trPr>
        <w:tc>
          <w:tcPr>
            <w:tcBorders>
              <w:top w:val="single" w:color="000000" w:sz="2" w:space="0"/>
              <w:left w:val="single" w:color="000000" w:sz="2" w:space="0"/>
              <w:bottom w:val="single" w:color="000000" w:sz="2" w:space="0"/>
              <w:right w:val="single" w:color="000000" w:sz="2" w:space="0"/>
            </w:tcBorders>
            <w:tcW w:w="795" w:type="dxa"/>
            <w:vAlign w:val="center"/>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b/>
                <w:bCs/>
                <w:color w:val="auto"/>
                <w:sz w:val="21"/>
                <w:szCs w:val="21"/>
                <w:highlight w:val="none"/>
                <w:lang w:val="zh-TW" w:eastAsia="zh-TW"/>
              </w:rPr>
              <w:t xml:space="preserve">序号</w:t>
            </w:r>
            <w:r/>
          </w:p>
        </w:tc>
        <w:tc>
          <w:tcPr>
            <w:tcBorders>
              <w:top w:val="single" w:color="000000" w:sz="2" w:space="0"/>
              <w:left w:val="single" w:color="000000" w:sz="2" w:space="0"/>
              <w:bottom w:val="single" w:color="000000" w:sz="2" w:space="0"/>
              <w:right w:val="single" w:color="000000" w:sz="2" w:space="0"/>
            </w:tcBorders>
            <w:tcW w:w="1403" w:type="dxa"/>
            <w:vAlign w:val="center"/>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b/>
                <w:bCs/>
                <w:color w:val="auto"/>
                <w:sz w:val="21"/>
                <w:szCs w:val="21"/>
                <w:highlight w:val="none"/>
                <w:lang w:val="zh-TW" w:eastAsia="zh-TW"/>
              </w:rPr>
              <w:t xml:space="preserve">条目</w:t>
            </w:r>
            <w:r/>
          </w:p>
        </w:tc>
        <w:tc>
          <w:tcPr>
            <w:tcBorders>
              <w:top w:val="single" w:color="000000" w:sz="2" w:space="0"/>
              <w:left w:val="single" w:color="000000" w:sz="2" w:space="0"/>
              <w:bottom w:val="single" w:color="000000" w:sz="2" w:space="0"/>
              <w:right w:val="single" w:color="000000" w:sz="2" w:space="0"/>
            </w:tcBorders>
            <w:tcW w:w="3303" w:type="dxa"/>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b/>
                <w:bCs/>
                <w:color w:val="auto"/>
                <w:sz w:val="21"/>
                <w:szCs w:val="21"/>
                <w:highlight w:val="none"/>
                <w:lang w:val="zh-TW" w:eastAsia="zh-TW"/>
              </w:rPr>
              <w:t xml:space="preserve">价格</w:t>
            </w:r>
            <w:r>
              <w:rPr>
                <w:rFonts w:hint="eastAsia" w:ascii="宋体" w:hAnsi="宋体" w:cs="宋体"/>
                <w:b/>
                <w:bCs/>
                <w:color w:val="auto"/>
                <w:sz w:val="21"/>
                <w:szCs w:val="21"/>
                <w:highlight w:val="none"/>
                <w:lang w:val="zh-TW"/>
              </w:rPr>
              <w:t xml:space="preserve">（</w:t>
            </w:r>
            <w:r>
              <w:rPr>
                <w:rFonts w:hint="eastAsia" w:ascii="宋体" w:hAnsi="宋体" w:cs="宋体"/>
                <w:b/>
                <w:bCs/>
                <w:color w:val="auto"/>
                <w:sz w:val="21"/>
                <w:szCs w:val="21"/>
                <w:highlight w:val="none"/>
              </w:rPr>
              <w:t xml:space="preserve">元</w:t>
            </w:r>
            <w:r>
              <w:rPr>
                <w:rFonts w:hint="eastAsia" w:ascii="宋体" w:hAnsi="宋体" w:cs="宋体"/>
                <w:b/>
                <w:bCs/>
                <w:color w:val="auto"/>
                <w:sz w:val="21"/>
                <w:szCs w:val="21"/>
                <w:highlight w:val="none"/>
                <w:lang w:val="zh-TW"/>
              </w:rPr>
              <w:t xml:space="preserve">）</w:t>
            </w:r>
            <w:r/>
          </w:p>
        </w:tc>
        <w:tc>
          <w:tcPr>
            <w:tcBorders>
              <w:top w:val="single" w:color="000000" w:sz="2" w:space="0"/>
              <w:left w:val="single" w:color="000000" w:sz="2" w:space="0"/>
              <w:bottom w:val="single" w:color="000000" w:sz="2" w:space="0"/>
              <w:right w:val="single" w:color="000000" w:sz="2" w:space="0"/>
            </w:tcBorders>
            <w:tcW w:w="1984" w:type="dxa"/>
            <w:vAlign w:val="center"/>
            <w:textDirection w:val="lrTb"/>
            <w:noWrap w:val="false"/>
          </w:tcPr>
          <w:p>
            <w:pPr>
              <w:jc w:val="center"/>
              <w:widowControl w:val="off"/>
              <w:rPr>
                <w:rFonts w:ascii="宋体" w:hAnsi="宋体" w:cs="宋体"/>
                <w:b/>
                <w:bCs/>
                <w:color w:val="auto"/>
                <w:sz w:val="21"/>
                <w:szCs w:val="21"/>
                <w:highlight w:val="none"/>
                <w:lang w:eastAsia="en-US"/>
              </w:rPr>
            </w:pPr>
            <w:r>
              <w:rPr>
                <w:rFonts w:hint="eastAsia" w:ascii="宋体" w:hAnsi="宋体" w:cs="宋体"/>
                <w:b/>
                <w:bCs/>
                <w:color w:val="auto"/>
                <w:sz w:val="21"/>
                <w:szCs w:val="21"/>
                <w:highlight w:val="none"/>
              </w:rPr>
              <w:t xml:space="preserve">备注</w:t>
            </w:r>
            <w:r/>
          </w:p>
        </w:tc>
      </w:tr>
      <w:tr>
        <w:trPr>
          <w:jc w:val="center"/>
          <w:trHeight w:val="401"/>
        </w:trPr>
        <w:tc>
          <w:tcPr>
            <w:tcBorders>
              <w:top w:val="single" w:color="000000" w:sz="2" w:space="0"/>
              <w:left w:val="single" w:color="000000" w:sz="2" w:space="0"/>
              <w:bottom w:val="single" w:color="000000" w:sz="2" w:space="0"/>
              <w:right w:val="single" w:color="000000" w:sz="2" w:space="0"/>
            </w:tcBorders>
            <w:tcW w:w="795" w:type="dxa"/>
            <w:vAlign w:val="center"/>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2" w:space="0"/>
              <w:left w:val="single" w:color="000000" w:sz="2" w:space="0"/>
              <w:bottom w:val="single" w:color="000000" w:sz="2" w:space="0"/>
              <w:right w:val="single" w:color="000000" w:sz="2" w:space="0"/>
            </w:tcBorders>
            <w:tcW w:w="1403" w:type="dxa"/>
            <w:vAlign w:val="center"/>
            <w:textDirection w:val="lrTb"/>
            <w:noWrap w:val="false"/>
          </w:tcPr>
          <w:p>
            <w:pPr>
              <w:jc w:val="center"/>
              <w:spacing w:line="400" w:lineRule="exact"/>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000000" w:sz="2" w:space="0"/>
              <w:left w:val="single" w:color="000000" w:sz="2" w:space="0"/>
              <w:bottom w:val="single" w:color="000000" w:sz="2" w:space="0"/>
              <w:right w:val="single" w:color="000000" w:sz="2" w:space="0"/>
            </w:tcBorders>
            <w:tcW w:w="3303" w:type="dxa"/>
            <w:vAlign w:val="center"/>
            <w:textDirection w:val="lrTb"/>
            <w:noWrap w:val="false"/>
          </w:tcPr>
          <w:p>
            <w:pPr>
              <w:widowControl w:val="off"/>
              <w:rPr>
                <w:rFonts w:ascii="宋体" w:hAnsi="宋体" w:cs="宋体"/>
                <w:color w:val="auto"/>
                <w:sz w:val="21"/>
                <w:szCs w:val="21"/>
                <w:highlight w:val="none"/>
                <w:lang w:eastAsia="en-US"/>
              </w:rPr>
            </w:pPr>
            <w:r>
              <w:rPr>
                <w:rFonts w:ascii="宋体" w:hAnsi="宋体" w:cs="宋体"/>
                <w:color w:val="auto"/>
                <w:sz w:val="21"/>
                <w:szCs w:val="21"/>
                <w:highlight w:val="none"/>
                <w:lang w:eastAsia="en-US"/>
              </w:rPr>
            </w:r>
            <w:r/>
          </w:p>
        </w:tc>
        <w:tc>
          <w:tcPr>
            <w:tcBorders>
              <w:top w:val="single" w:color="000000" w:sz="2" w:space="0"/>
              <w:left w:val="single" w:color="000000" w:sz="2" w:space="0"/>
              <w:bottom w:val="single" w:color="000000" w:sz="2" w:space="0"/>
              <w:right w:val="single" w:color="000000" w:sz="2" w:space="0"/>
            </w:tcBorders>
            <w:tcW w:w="1984" w:type="dxa"/>
            <w:vAlign w:val="center"/>
            <w:textDirection w:val="lrTb"/>
            <w:noWrap w:val="false"/>
          </w:tcPr>
          <w:p>
            <w:pPr>
              <w:jc w:val="center"/>
              <w:widowControl w:val="off"/>
              <w:rPr>
                <w:rFonts w:ascii="宋体" w:hAnsi="宋体" w:cs="宋体"/>
                <w:color w:val="auto"/>
                <w:sz w:val="21"/>
                <w:szCs w:val="21"/>
                <w:highlight w:val="none"/>
                <w:lang w:eastAsia="en-US"/>
              </w:rPr>
            </w:pPr>
            <w:r>
              <w:rPr>
                <w:rFonts w:ascii="宋体" w:hAnsi="宋体" w:cs="宋体"/>
                <w:color w:val="auto"/>
                <w:sz w:val="21"/>
                <w:szCs w:val="21"/>
                <w:highlight w:val="none"/>
                <w:lang w:eastAsia="en-US"/>
              </w:rPr>
            </w:r>
            <w:r/>
          </w:p>
        </w:tc>
      </w:tr>
      <w:tr>
        <w:trPr>
          <w:jc w:val="center"/>
          <w:trHeight w:val="401"/>
        </w:trPr>
        <w:tc>
          <w:tcPr>
            <w:tcBorders>
              <w:top w:val="single" w:color="000000" w:sz="2" w:space="0"/>
              <w:left w:val="single" w:color="000000" w:sz="2" w:space="0"/>
              <w:bottom w:val="single" w:color="000000" w:sz="2" w:space="0"/>
              <w:right w:val="single" w:color="000000" w:sz="2" w:space="0"/>
            </w:tcBorders>
            <w:tcW w:w="795" w:type="dxa"/>
            <w:vAlign w:val="center"/>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Borders>
              <w:top w:val="single" w:color="000000" w:sz="2" w:space="0"/>
              <w:left w:val="single" w:color="000000" w:sz="2" w:space="0"/>
              <w:bottom w:val="single" w:color="000000" w:sz="2" w:space="0"/>
              <w:right w:val="single" w:color="000000" w:sz="2" w:space="0"/>
            </w:tcBorders>
            <w:tcW w:w="1403" w:type="dxa"/>
            <w:vAlign w:val="center"/>
            <w:textDirection w:val="lrTb"/>
            <w:noWrap w:val="false"/>
          </w:tcPr>
          <w:p>
            <w:pPr>
              <w:jc w:val="center"/>
              <w:spacing w:line="400" w:lineRule="exact"/>
              <w:widowControl w:val="off"/>
              <w:rPr>
                <w:rFonts w:ascii="宋体" w:hAnsi="宋体" w:cs="宋体"/>
                <w:color w:val="auto"/>
                <w:position w:val="12"/>
                <w:sz w:val="21"/>
                <w:szCs w:val="21"/>
                <w:highlight w:val="none"/>
              </w:rPr>
            </w:pPr>
            <w:r>
              <w:rPr>
                <w:rFonts w:ascii="宋体" w:hAnsi="宋体" w:cs="宋体"/>
                <w:color w:val="auto"/>
                <w:position w:val="12"/>
                <w:sz w:val="21"/>
                <w:szCs w:val="21"/>
                <w:highlight w:val="none"/>
              </w:rPr>
            </w:r>
            <w:r/>
          </w:p>
        </w:tc>
        <w:tc>
          <w:tcPr>
            <w:tcBorders>
              <w:top w:val="single" w:color="000000" w:sz="2" w:space="0"/>
              <w:left w:val="single" w:color="000000" w:sz="2" w:space="0"/>
              <w:bottom w:val="single" w:color="000000" w:sz="2" w:space="0"/>
              <w:right w:val="single" w:color="000000" w:sz="2" w:space="0"/>
            </w:tcBorders>
            <w:tcW w:w="3303" w:type="dxa"/>
            <w:vAlign w:val="center"/>
            <w:textDirection w:val="lrTb"/>
            <w:noWrap w:val="false"/>
          </w:tcPr>
          <w:p>
            <w:pPr>
              <w:widowControl w:val="off"/>
              <w:rPr>
                <w:rFonts w:ascii="宋体" w:hAnsi="宋体" w:cs="宋体"/>
                <w:color w:val="auto"/>
                <w:sz w:val="21"/>
                <w:szCs w:val="21"/>
                <w:highlight w:val="none"/>
                <w:lang w:eastAsia="en-US"/>
              </w:rPr>
            </w:pPr>
            <w:r>
              <w:rPr>
                <w:rFonts w:ascii="宋体" w:hAnsi="宋体" w:cs="宋体"/>
                <w:color w:val="auto"/>
                <w:sz w:val="21"/>
                <w:szCs w:val="21"/>
                <w:highlight w:val="none"/>
                <w:lang w:eastAsia="en-US"/>
              </w:rPr>
            </w:r>
            <w:r/>
          </w:p>
        </w:tc>
        <w:tc>
          <w:tcPr>
            <w:tcBorders>
              <w:top w:val="single" w:color="000000" w:sz="2" w:space="0"/>
              <w:left w:val="single" w:color="000000" w:sz="2" w:space="0"/>
              <w:bottom w:val="single" w:color="000000" w:sz="2" w:space="0"/>
              <w:right w:val="single" w:color="000000" w:sz="2" w:space="0"/>
            </w:tcBorders>
            <w:tcW w:w="1984" w:type="dxa"/>
            <w:vAlign w:val="center"/>
            <w:textDirection w:val="lrTb"/>
            <w:noWrap w:val="false"/>
          </w:tcPr>
          <w:p>
            <w:pPr>
              <w:jc w:val="center"/>
              <w:widowControl w:val="off"/>
              <w:rPr>
                <w:rFonts w:ascii="宋体" w:hAnsi="宋体" w:cs="宋体"/>
                <w:color w:val="auto"/>
                <w:sz w:val="21"/>
                <w:szCs w:val="21"/>
                <w:highlight w:val="none"/>
                <w:lang w:eastAsia="en-US"/>
              </w:rPr>
            </w:pPr>
            <w:r>
              <w:rPr>
                <w:rFonts w:ascii="宋体" w:hAnsi="宋体" w:cs="宋体"/>
                <w:color w:val="auto"/>
                <w:sz w:val="21"/>
                <w:szCs w:val="21"/>
                <w:highlight w:val="none"/>
                <w:lang w:eastAsia="en-US"/>
              </w:rPr>
            </w:r>
            <w:r/>
          </w:p>
        </w:tc>
      </w:tr>
      <w:tr>
        <w:trPr>
          <w:jc w:val="center"/>
          <w:trHeight w:val="401"/>
        </w:trPr>
        <w:tc>
          <w:tcPr>
            <w:tcBorders>
              <w:top w:val="single" w:color="000000" w:sz="2" w:space="0"/>
              <w:left w:val="single" w:color="000000" w:sz="2" w:space="0"/>
              <w:bottom w:val="single" w:color="000000" w:sz="2" w:space="0"/>
              <w:right w:val="single" w:color="000000" w:sz="2" w:space="0"/>
            </w:tcBorders>
            <w:tcW w:w="795" w:type="dxa"/>
            <w:vAlign w:val="center"/>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Borders>
              <w:top w:val="single" w:color="000000" w:sz="2" w:space="0"/>
              <w:left w:val="single" w:color="000000" w:sz="2" w:space="0"/>
              <w:bottom w:val="single" w:color="000000" w:sz="2" w:space="0"/>
              <w:right w:val="single" w:color="000000" w:sz="2" w:space="0"/>
            </w:tcBorders>
            <w:tcW w:w="1403" w:type="dxa"/>
            <w:vAlign w:val="center"/>
            <w:textDirection w:val="lrTb"/>
            <w:noWrap w:val="false"/>
          </w:tcPr>
          <w:p>
            <w:pPr>
              <w:jc w:val="center"/>
              <w:spacing w:line="400" w:lineRule="exact"/>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000000" w:sz="2" w:space="0"/>
              <w:left w:val="single" w:color="000000" w:sz="2" w:space="0"/>
              <w:bottom w:val="single" w:color="000000" w:sz="2" w:space="0"/>
              <w:right w:val="single" w:color="000000" w:sz="2" w:space="0"/>
            </w:tcBorders>
            <w:tcW w:w="3303" w:type="dxa"/>
            <w:vAlign w:val="center"/>
            <w:textDirection w:val="lrTb"/>
            <w:noWrap w:val="false"/>
          </w:tcPr>
          <w:p>
            <w:pPr>
              <w:widowControl w:val="off"/>
              <w:rPr>
                <w:rFonts w:ascii="宋体" w:hAnsi="宋体" w:cs="宋体"/>
                <w:color w:val="auto"/>
                <w:sz w:val="21"/>
                <w:szCs w:val="21"/>
                <w:highlight w:val="none"/>
                <w:lang w:eastAsia="en-US"/>
              </w:rPr>
            </w:pPr>
            <w:r>
              <w:rPr>
                <w:rFonts w:ascii="宋体" w:hAnsi="宋体" w:cs="宋体"/>
                <w:color w:val="auto"/>
                <w:sz w:val="21"/>
                <w:szCs w:val="21"/>
                <w:highlight w:val="none"/>
                <w:lang w:eastAsia="en-US"/>
              </w:rPr>
            </w:r>
            <w:r/>
          </w:p>
        </w:tc>
        <w:tc>
          <w:tcPr>
            <w:tcBorders>
              <w:top w:val="single" w:color="000000" w:sz="2" w:space="0"/>
              <w:left w:val="single" w:color="000000" w:sz="2" w:space="0"/>
              <w:bottom w:val="single" w:color="000000" w:sz="2" w:space="0"/>
              <w:right w:val="single" w:color="000000" w:sz="2" w:space="0"/>
            </w:tcBorders>
            <w:tcW w:w="1984" w:type="dxa"/>
            <w:vAlign w:val="center"/>
            <w:textDirection w:val="lrTb"/>
            <w:noWrap w:val="false"/>
          </w:tcPr>
          <w:p>
            <w:pPr>
              <w:jc w:val="center"/>
              <w:widowControl w:val="off"/>
              <w:rPr>
                <w:rFonts w:ascii="宋体" w:hAnsi="宋体" w:cs="宋体"/>
                <w:color w:val="auto"/>
                <w:sz w:val="21"/>
                <w:szCs w:val="21"/>
                <w:highlight w:val="none"/>
                <w:lang w:eastAsia="en-US"/>
              </w:rPr>
            </w:pPr>
            <w:r>
              <w:rPr>
                <w:rFonts w:ascii="宋体" w:hAnsi="宋体" w:cs="宋体"/>
                <w:color w:val="auto"/>
                <w:sz w:val="21"/>
                <w:szCs w:val="21"/>
                <w:highlight w:val="none"/>
                <w:lang w:eastAsia="en-US"/>
              </w:rPr>
            </w:r>
            <w:r/>
          </w:p>
        </w:tc>
      </w:tr>
      <w:tr>
        <w:trPr>
          <w:jc w:val="center"/>
          <w:trHeight w:val="401"/>
        </w:trPr>
        <w:tc>
          <w:tcPr>
            <w:tcBorders>
              <w:top w:val="single" w:color="000000" w:sz="2" w:space="0"/>
              <w:left w:val="single" w:color="000000" w:sz="2" w:space="0"/>
              <w:bottom w:val="single" w:color="000000" w:sz="2" w:space="0"/>
              <w:right w:val="single" w:color="000000" w:sz="2" w:space="0"/>
            </w:tcBorders>
            <w:tcW w:w="795" w:type="dxa"/>
            <w:vAlign w:val="center"/>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Borders>
              <w:top w:val="single" w:color="000000" w:sz="2" w:space="0"/>
              <w:left w:val="single" w:color="000000" w:sz="2" w:space="0"/>
              <w:bottom w:val="single" w:color="000000" w:sz="2" w:space="0"/>
              <w:right w:val="single" w:color="000000" w:sz="2" w:space="0"/>
            </w:tcBorders>
            <w:tcW w:w="1403" w:type="dxa"/>
            <w:vAlign w:val="center"/>
            <w:textDirection w:val="lrTb"/>
            <w:noWrap w:val="false"/>
          </w:tcPr>
          <w:p>
            <w:pPr>
              <w:jc w:val="center"/>
              <w:spacing w:line="400" w:lineRule="exact"/>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000000" w:sz="2" w:space="0"/>
              <w:left w:val="single" w:color="000000" w:sz="2" w:space="0"/>
              <w:bottom w:val="single" w:color="000000" w:sz="2" w:space="0"/>
              <w:right w:val="single" w:color="000000" w:sz="2" w:space="0"/>
            </w:tcBorders>
            <w:tcW w:w="3303" w:type="dxa"/>
            <w:vAlign w:val="center"/>
            <w:textDirection w:val="lrTb"/>
            <w:noWrap w:val="false"/>
          </w:tcPr>
          <w:p>
            <w:pPr>
              <w:widowControl w:val="off"/>
              <w:rPr>
                <w:rFonts w:ascii="宋体" w:hAnsi="宋体" w:cs="宋体"/>
                <w:color w:val="auto"/>
                <w:sz w:val="21"/>
                <w:szCs w:val="21"/>
                <w:highlight w:val="none"/>
                <w:lang w:eastAsia="en-US"/>
              </w:rPr>
            </w:pPr>
            <w:r>
              <w:rPr>
                <w:rFonts w:ascii="宋体" w:hAnsi="宋体" w:cs="宋体"/>
                <w:color w:val="auto"/>
                <w:sz w:val="21"/>
                <w:szCs w:val="21"/>
                <w:highlight w:val="none"/>
                <w:lang w:eastAsia="en-US"/>
              </w:rPr>
            </w:r>
            <w:r/>
          </w:p>
        </w:tc>
        <w:tc>
          <w:tcPr>
            <w:tcBorders>
              <w:top w:val="single" w:color="000000" w:sz="2" w:space="0"/>
              <w:left w:val="single" w:color="000000" w:sz="2" w:space="0"/>
              <w:bottom w:val="single" w:color="000000" w:sz="2" w:space="0"/>
              <w:right w:val="single" w:color="000000" w:sz="2" w:space="0"/>
            </w:tcBorders>
            <w:tcW w:w="1984" w:type="dxa"/>
            <w:vAlign w:val="center"/>
            <w:textDirection w:val="lrTb"/>
            <w:noWrap w:val="false"/>
          </w:tcPr>
          <w:p>
            <w:pPr>
              <w:jc w:val="center"/>
              <w:widowControl w:val="off"/>
              <w:rPr>
                <w:rFonts w:ascii="宋体" w:hAnsi="宋体" w:cs="宋体"/>
                <w:color w:val="auto"/>
                <w:sz w:val="21"/>
                <w:szCs w:val="21"/>
                <w:highlight w:val="none"/>
                <w:lang w:eastAsia="en-US"/>
              </w:rPr>
            </w:pPr>
            <w:r>
              <w:rPr>
                <w:rFonts w:ascii="宋体" w:hAnsi="宋体" w:cs="宋体"/>
                <w:color w:val="auto"/>
                <w:sz w:val="21"/>
                <w:szCs w:val="21"/>
                <w:highlight w:val="none"/>
                <w:lang w:eastAsia="en-US"/>
              </w:rPr>
            </w:r>
            <w:r/>
          </w:p>
        </w:tc>
      </w:tr>
      <w:tr>
        <w:trPr>
          <w:jc w:val="center"/>
          <w:trHeight w:val="90"/>
        </w:trPr>
        <w:tc>
          <w:tcPr>
            <w:tcBorders>
              <w:top w:val="single" w:color="000000" w:sz="2" w:space="0"/>
              <w:left w:val="single" w:color="000000" w:sz="2" w:space="0"/>
              <w:bottom w:val="single" w:color="000000" w:sz="2" w:space="0"/>
              <w:right w:val="single" w:color="000000" w:sz="2" w:space="0"/>
            </w:tcBorders>
            <w:tcW w:w="795" w:type="dxa"/>
            <w:vAlign w:val="center"/>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Borders>
              <w:top w:val="single" w:color="000000" w:sz="2" w:space="0"/>
              <w:left w:val="single" w:color="000000" w:sz="2" w:space="0"/>
              <w:bottom w:val="single" w:color="000000" w:sz="2" w:space="0"/>
              <w:right w:val="single" w:color="000000" w:sz="2" w:space="0"/>
            </w:tcBorders>
            <w:tcW w:w="1403" w:type="dxa"/>
            <w:vAlign w:val="center"/>
            <w:textDirection w:val="lrTb"/>
            <w:noWrap w:val="false"/>
          </w:tcPr>
          <w:p>
            <w:pPr>
              <w:jc w:val="center"/>
              <w:spacing w:line="400" w:lineRule="exact"/>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000000" w:sz="2" w:space="0"/>
              <w:left w:val="single" w:color="000000" w:sz="2" w:space="0"/>
              <w:bottom w:val="single" w:color="000000" w:sz="2" w:space="0"/>
              <w:right w:val="single" w:color="000000" w:sz="2" w:space="0"/>
            </w:tcBorders>
            <w:tcW w:w="3303" w:type="dxa"/>
            <w:vAlign w:val="center"/>
            <w:textDirection w:val="lrTb"/>
            <w:noWrap w:val="false"/>
          </w:tcPr>
          <w:p>
            <w:pPr>
              <w:widowControl w:val="off"/>
              <w:rPr>
                <w:rFonts w:ascii="宋体" w:hAnsi="宋体" w:cs="宋体"/>
                <w:color w:val="auto"/>
                <w:sz w:val="21"/>
                <w:szCs w:val="21"/>
                <w:highlight w:val="none"/>
                <w:lang w:eastAsia="en-US"/>
              </w:rPr>
            </w:pPr>
            <w:r>
              <w:rPr>
                <w:rFonts w:ascii="宋体" w:hAnsi="宋体" w:cs="宋体"/>
                <w:color w:val="auto"/>
                <w:sz w:val="21"/>
                <w:szCs w:val="21"/>
                <w:highlight w:val="none"/>
                <w:lang w:eastAsia="en-US"/>
              </w:rPr>
            </w:r>
            <w:r/>
          </w:p>
        </w:tc>
        <w:tc>
          <w:tcPr>
            <w:tcBorders>
              <w:top w:val="single" w:color="000000" w:sz="2" w:space="0"/>
              <w:left w:val="single" w:color="000000" w:sz="2" w:space="0"/>
              <w:bottom w:val="single" w:color="000000" w:sz="2" w:space="0"/>
              <w:right w:val="single" w:color="000000" w:sz="2" w:space="0"/>
            </w:tcBorders>
            <w:tcW w:w="1984" w:type="dxa"/>
            <w:vAlign w:val="center"/>
            <w:textDirection w:val="lrTb"/>
            <w:noWrap w:val="false"/>
          </w:tcPr>
          <w:p>
            <w:pPr>
              <w:jc w:val="center"/>
              <w:widowControl w:val="off"/>
              <w:rPr>
                <w:rFonts w:ascii="宋体" w:hAnsi="宋体" w:cs="宋体"/>
                <w:color w:val="auto"/>
                <w:sz w:val="21"/>
                <w:szCs w:val="21"/>
                <w:highlight w:val="none"/>
                <w:lang w:eastAsia="en-US"/>
              </w:rPr>
            </w:pPr>
            <w:r>
              <w:rPr>
                <w:rFonts w:ascii="宋体" w:hAnsi="宋体" w:cs="宋体"/>
                <w:color w:val="auto"/>
                <w:sz w:val="21"/>
                <w:szCs w:val="21"/>
                <w:highlight w:val="none"/>
                <w:lang w:eastAsia="en-US"/>
              </w:rPr>
            </w:r>
            <w:r/>
          </w:p>
        </w:tc>
      </w:tr>
      <w:tr>
        <w:trPr>
          <w:jc w:val="center"/>
          <w:trHeight w:val="401"/>
        </w:trPr>
        <w:tc>
          <w:tcPr>
            <w:tcBorders>
              <w:top w:val="single" w:color="000000" w:sz="2" w:space="0"/>
              <w:left w:val="single" w:color="000000" w:sz="2" w:space="0"/>
              <w:bottom w:val="single" w:color="000000" w:sz="2" w:space="0"/>
              <w:right w:val="single" w:color="000000" w:sz="2" w:space="0"/>
            </w:tcBorders>
            <w:tcW w:w="795" w:type="dxa"/>
            <w:vAlign w:val="center"/>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6</w:t>
            </w:r>
            <w:r/>
          </w:p>
        </w:tc>
        <w:tc>
          <w:tcPr>
            <w:tcBorders>
              <w:top w:val="single" w:color="000000" w:sz="2" w:space="0"/>
              <w:left w:val="single" w:color="000000" w:sz="2" w:space="0"/>
              <w:bottom w:val="single" w:color="000000" w:sz="2" w:space="0"/>
              <w:right w:val="single" w:color="000000" w:sz="2" w:space="0"/>
            </w:tcBorders>
            <w:tcW w:w="1403" w:type="dxa"/>
            <w:vAlign w:val="center"/>
            <w:textDirection w:val="lrTb"/>
            <w:noWrap w:val="false"/>
          </w:tcPr>
          <w:p>
            <w:pPr>
              <w:jc w:val="center"/>
              <w:spacing w:line="400" w:lineRule="exact"/>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000000" w:sz="2" w:space="0"/>
              <w:left w:val="single" w:color="000000" w:sz="2" w:space="0"/>
              <w:bottom w:val="single" w:color="000000" w:sz="2" w:space="0"/>
              <w:right w:val="single" w:color="000000" w:sz="2" w:space="0"/>
            </w:tcBorders>
            <w:tcW w:w="3303" w:type="dxa"/>
            <w:vAlign w:val="center"/>
            <w:textDirection w:val="lrTb"/>
            <w:noWrap w:val="false"/>
          </w:tcPr>
          <w:p>
            <w:pPr>
              <w:widowControl w:val="off"/>
              <w:rPr>
                <w:rFonts w:ascii="宋体" w:hAnsi="宋体" w:cs="宋体"/>
                <w:color w:val="auto"/>
                <w:sz w:val="21"/>
                <w:szCs w:val="21"/>
                <w:highlight w:val="none"/>
                <w:lang w:eastAsia="en-US"/>
              </w:rPr>
            </w:pPr>
            <w:r>
              <w:rPr>
                <w:rFonts w:ascii="宋体" w:hAnsi="宋体" w:cs="宋体"/>
                <w:color w:val="auto"/>
                <w:sz w:val="21"/>
                <w:szCs w:val="21"/>
                <w:highlight w:val="none"/>
                <w:lang w:eastAsia="en-US"/>
              </w:rPr>
            </w:r>
            <w:r/>
          </w:p>
        </w:tc>
        <w:tc>
          <w:tcPr>
            <w:tcBorders>
              <w:top w:val="single" w:color="000000" w:sz="2" w:space="0"/>
              <w:left w:val="single" w:color="000000" w:sz="2" w:space="0"/>
              <w:bottom w:val="single" w:color="000000" w:sz="2" w:space="0"/>
              <w:right w:val="single" w:color="000000" w:sz="2" w:space="0"/>
            </w:tcBorders>
            <w:tcW w:w="1984" w:type="dxa"/>
            <w:vAlign w:val="center"/>
            <w:textDirection w:val="lrTb"/>
            <w:noWrap w:val="false"/>
          </w:tcPr>
          <w:p>
            <w:pPr>
              <w:jc w:val="center"/>
              <w:widowControl w:val="off"/>
              <w:rPr>
                <w:rFonts w:ascii="宋体" w:hAnsi="宋体" w:cs="宋体"/>
                <w:color w:val="auto"/>
                <w:sz w:val="21"/>
                <w:szCs w:val="21"/>
                <w:highlight w:val="none"/>
                <w:lang w:eastAsia="en-US"/>
              </w:rPr>
            </w:pPr>
            <w:r>
              <w:rPr>
                <w:rFonts w:ascii="宋体" w:hAnsi="宋体" w:cs="宋体"/>
                <w:color w:val="auto"/>
                <w:sz w:val="21"/>
                <w:szCs w:val="21"/>
                <w:highlight w:val="none"/>
                <w:lang w:eastAsia="en-US"/>
              </w:rPr>
            </w:r>
            <w:r/>
          </w:p>
        </w:tc>
      </w:tr>
      <w:tr>
        <w:trPr>
          <w:jc w:val="center"/>
          <w:trHeight w:val="401"/>
        </w:trPr>
        <w:tc>
          <w:tcPr>
            <w:tcBorders>
              <w:top w:val="single" w:color="000000" w:sz="2" w:space="0"/>
              <w:left w:val="single" w:color="000000" w:sz="2" w:space="0"/>
              <w:bottom w:val="single" w:color="000000" w:sz="2" w:space="0"/>
              <w:right w:val="single" w:color="000000" w:sz="2" w:space="0"/>
            </w:tcBorders>
            <w:tcW w:w="795" w:type="dxa"/>
            <w:vAlign w:val="center"/>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7</w:t>
            </w:r>
            <w:r/>
          </w:p>
        </w:tc>
        <w:tc>
          <w:tcPr>
            <w:tcBorders>
              <w:top w:val="single" w:color="000000" w:sz="2" w:space="0"/>
              <w:left w:val="single" w:color="000000" w:sz="2" w:space="0"/>
              <w:bottom w:val="single" w:color="000000" w:sz="2" w:space="0"/>
              <w:right w:val="single" w:color="000000" w:sz="2" w:space="0"/>
            </w:tcBorders>
            <w:tcW w:w="1403" w:type="dxa"/>
            <w:vAlign w:val="center"/>
            <w:textDirection w:val="lrTb"/>
            <w:noWrap w:val="false"/>
          </w:tcPr>
          <w:p>
            <w:pPr>
              <w:jc w:val="center"/>
              <w:spacing w:line="400" w:lineRule="exact"/>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000000" w:sz="2" w:space="0"/>
              <w:left w:val="single" w:color="000000" w:sz="2" w:space="0"/>
              <w:bottom w:val="single" w:color="000000" w:sz="2" w:space="0"/>
              <w:right w:val="single" w:color="000000" w:sz="2" w:space="0"/>
            </w:tcBorders>
            <w:tcW w:w="3303" w:type="dxa"/>
            <w:vAlign w:val="center"/>
            <w:textDirection w:val="lrTb"/>
            <w:noWrap w:val="false"/>
          </w:tcPr>
          <w:p>
            <w:pPr>
              <w:widowControl w:val="off"/>
              <w:rPr>
                <w:rFonts w:ascii="宋体" w:hAnsi="宋体" w:cs="宋体"/>
                <w:color w:val="auto"/>
                <w:sz w:val="21"/>
                <w:szCs w:val="21"/>
                <w:highlight w:val="none"/>
                <w:lang w:eastAsia="en-US"/>
              </w:rPr>
            </w:pPr>
            <w:r>
              <w:rPr>
                <w:rFonts w:ascii="宋体" w:hAnsi="宋体" w:cs="宋体"/>
                <w:color w:val="auto"/>
                <w:sz w:val="21"/>
                <w:szCs w:val="21"/>
                <w:highlight w:val="none"/>
                <w:lang w:eastAsia="en-US"/>
              </w:rPr>
            </w:r>
            <w:r/>
          </w:p>
        </w:tc>
        <w:tc>
          <w:tcPr>
            <w:tcBorders>
              <w:top w:val="single" w:color="000000" w:sz="2" w:space="0"/>
              <w:left w:val="single" w:color="000000" w:sz="2" w:space="0"/>
              <w:bottom w:val="single" w:color="000000" w:sz="2" w:space="0"/>
              <w:right w:val="single" w:color="000000" w:sz="2" w:space="0"/>
            </w:tcBorders>
            <w:tcW w:w="1984" w:type="dxa"/>
            <w:vAlign w:val="center"/>
            <w:textDirection w:val="lrTb"/>
            <w:noWrap w:val="false"/>
          </w:tcPr>
          <w:p>
            <w:pPr>
              <w:jc w:val="center"/>
              <w:widowControl w:val="off"/>
              <w:rPr>
                <w:rFonts w:ascii="宋体" w:hAnsi="宋体" w:cs="宋体"/>
                <w:color w:val="auto"/>
                <w:sz w:val="21"/>
                <w:szCs w:val="21"/>
                <w:highlight w:val="none"/>
                <w:lang w:eastAsia="en-US"/>
              </w:rPr>
            </w:pPr>
            <w:r>
              <w:rPr>
                <w:rFonts w:ascii="宋体" w:hAnsi="宋体" w:cs="宋体"/>
                <w:color w:val="auto"/>
                <w:sz w:val="21"/>
                <w:szCs w:val="21"/>
                <w:highlight w:val="none"/>
                <w:lang w:eastAsia="en-US"/>
              </w:rPr>
            </w:r>
            <w:r/>
          </w:p>
        </w:tc>
      </w:tr>
      <w:tr>
        <w:trPr>
          <w:jc w:val="center"/>
          <w:trHeight w:val="401"/>
        </w:trPr>
        <w:tc>
          <w:tcPr>
            <w:tcBorders>
              <w:top w:val="single" w:color="000000" w:sz="2" w:space="0"/>
              <w:left w:val="single" w:color="000000" w:sz="2" w:space="0"/>
              <w:bottom w:val="single" w:color="000000" w:sz="2" w:space="0"/>
              <w:right w:val="single" w:color="000000" w:sz="2" w:space="0"/>
            </w:tcBorders>
            <w:tcW w:w="795" w:type="dxa"/>
            <w:vAlign w:val="center"/>
            <w:textDirection w:val="lrTb"/>
            <w:noWrap w:val="false"/>
          </w:tcPr>
          <w:p>
            <w:pPr>
              <w:jc w:val="center"/>
              <w:spacing w:line="400" w:lineRule="exact"/>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000000" w:sz="2" w:space="0"/>
              <w:left w:val="single" w:color="000000" w:sz="2" w:space="0"/>
              <w:bottom w:val="single" w:color="000000" w:sz="2" w:space="0"/>
              <w:right w:val="single" w:color="000000" w:sz="2" w:space="0"/>
            </w:tcBorders>
            <w:tcW w:w="1403" w:type="dxa"/>
            <w:vAlign w:val="center"/>
            <w:textDirection w:val="lrTb"/>
            <w:noWrap w:val="false"/>
          </w:tcPr>
          <w:p>
            <w:pPr>
              <w:jc w:val="center"/>
              <w:spacing w:line="400" w:lineRule="exact"/>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000000" w:sz="2" w:space="0"/>
              <w:left w:val="single" w:color="000000" w:sz="2" w:space="0"/>
              <w:bottom w:val="single" w:color="000000" w:sz="2" w:space="0"/>
              <w:right w:val="single" w:color="000000" w:sz="2" w:space="0"/>
            </w:tcBorders>
            <w:tcW w:w="3303" w:type="dxa"/>
            <w:vAlign w:val="center"/>
            <w:textDirection w:val="lrTb"/>
            <w:noWrap w:val="false"/>
          </w:tcPr>
          <w:p>
            <w:pPr>
              <w:widowControl w:val="off"/>
              <w:rPr>
                <w:rFonts w:ascii="宋体" w:hAnsi="宋体" w:cs="宋体"/>
                <w:color w:val="auto"/>
                <w:sz w:val="21"/>
                <w:szCs w:val="21"/>
                <w:highlight w:val="none"/>
                <w:lang w:eastAsia="en-US"/>
              </w:rPr>
            </w:pPr>
            <w:r>
              <w:rPr>
                <w:rFonts w:ascii="宋体" w:hAnsi="宋体" w:cs="宋体"/>
                <w:color w:val="auto"/>
                <w:sz w:val="21"/>
                <w:szCs w:val="21"/>
                <w:highlight w:val="none"/>
                <w:lang w:eastAsia="en-US"/>
              </w:rPr>
            </w:r>
            <w:r/>
          </w:p>
        </w:tc>
        <w:tc>
          <w:tcPr>
            <w:tcBorders>
              <w:top w:val="single" w:color="000000" w:sz="2" w:space="0"/>
              <w:left w:val="single" w:color="000000" w:sz="2" w:space="0"/>
              <w:bottom w:val="single" w:color="000000" w:sz="2" w:space="0"/>
              <w:right w:val="single" w:color="000000" w:sz="2" w:space="0"/>
            </w:tcBorders>
            <w:tcW w:w="1984" w:type="dxa"/>
            <w:vAlign w:val="center"/>
            <w:textDirection w:val="lrTb"/>
            <w:noWrap w:val="false"/>
          </w:tcPr>
          <w:p>
            <w:pPr>
              <w:jc w:val="center"/>
              <w:widowControl w:val="off"/>
              <w:rPr>
                <w:rFonts w:ascii="宋体" w:hAnsi="宋体" w:cs="宋体"/>
                <w:color w:val="auto"/>
                <w:sz w:val="21"/>
                <w:szCs w:val="21"/>
                <w:highlight w:val="none"/>
                <w:lang w:eastAsia="en-US"/>
              </w:rPr>
            </w:pPr>
            <w:r>
              <w:rPr>
                <w:rFonts w:ascii="宋体" w:hAnsi="宋体" w:cs="宋体"/>
                <w:color w:val="auto"/>
                <w:sz w:val="21"/>
                <w:szCs w:val="21"/>
                <w:highlight w:val="none"/>
                <w:lang w:eastAsia="en-US"/>
              </w:rPr>
            </w:r>
            <w:r/>
          </w:p>
        </w:tc>
      </w:tr>
      <w:tr>
        <w:trPr>
          <w:jc w:val="center"/>
          <w:trHeight w:val="383"/>
        </w:trPr>
        <w:tc>
          <w:tcPr>
            <w:gridSpan w:val="4"/>
            <w:tcBorders>
              <w:top w:val="single" w:color="000000" w:sz="2" w:space="0"/>
              <w:left w:val="single" w:color="000000" w:sz="2" w:space="0"/>
              <w:bottom w:val="single" w:color="000000" w:sz="2" w:space="0"/>
              <w:right w:val="single" w:color="000000" w:sz="2" w:space="0"/>
            </w:tcBorders>
            <w:tcW w:w="7485" w:type="dxa"/>
            <w:vAlign w:val="center"/>
            <w:textDirection w:val="lrTb"/>
            <w:noWrap w:val="false"/>
          </w:tcPr>
          <w:p>
            <w:pPr>
              <w:widowControl w:val="off"/>
              <w:rPr>
                <w:rFonts w:ascii="宋体" w:hAnsi="宋体" w:cs="宋体"/>
                <w:color w:val="auto"/>
                <w:sz w:val="21"/>
                <w:szCs w:val="21"/>
                <w:highlight w:val="none"/>
              </w:rPr>
            </w:pPr>
            <w:r>
              <w:rPr>
                <w:rFonts w:hint="eastAsia" w:ascii="宋体" w:hAnsi="宋体" w:cs="宋体"/>
                <w:b/>
                <w:bCs/>
                <w:color w:val="auto"/>
                <w:sz w:val="21"/>
                <w:szCs w:val="21"/>
                <w:highlight w:val="none"/>
                <w:lang w:val="zh-TW" w:eastAsia="zh-TW"/>
              </w:rPr>
              <w:t xml:space="preserve">合计</w:t>
            </w:r>
            <w:r>
              <w:rPr>
                <w:rFonts w:hint="eastAsia" w:ascii="宋体" w:hAnsi="宋体" w:cs="宋体"/>
                <w:b/>
                <w:bCs/>
                <w:color w:val="auto"/>
                <w:sz w:val="21"/>
                <w:szCs w:val="21"/>
                <w:highlight w:val="none"/>
              </w:rPr>
              <w:t xml:space="preserve">金额：</w:t>
            </w:r>
            <w:r>
              <w:rPr>
                <w:rFonts w:hint="eastAsia" w:ascii="宋体" w:hAnsi="宋体" w:cs="宋体"/>
                <w:color w:val="auto"/>
                <w:sz w:val="21"/>
                <w:szCs w:val="21"/>
                <w:highlight w:val="none"/>
                <w:lang w:val="zh-TW" w:eastAsia="zh-TW"/>
              </w:rPr>
              <w:t xml:space="preserve">大写人民币</w:t>
            </w:r>
            <w:r/>
          </w:p>
        </w:tc>
      </w:tr>
    </w:tbl>
    <w:p>
      <w:pPr>
        <w:pStyle w:val="986"/>
        <w:rPr>
          <w:rFonts w:ascii="宋体" w:hAnsi="宋体"/>
          <w:color w:val="auto"/>
          <w:highlight w:val="none"/>
        </w:rPr>
      </w:pPr>
      <w:r>
        <w:rPr>
          <w:rFonts w:ascii="宋体" w:hAnsi="宋体"/>
          <w:color w:val="auto"/>
          <w:highlight w:val="none"/>
        </w:rPr>
      </w:r>
      <w:r/>
    </w:p>
    <w:p>
      <w:pPr>
        <w:pStyle w:val="986"/>
        <w:rPr>
          <w:rFonts w:ascii="宋体" w:hAnsi="宋体"/>
          <w:color w:val="auto"/>
          <w:highlight w:val="none"/>
        </w:rPr>
      </w:pPr>
      <w:r>
        <w:rPr>
          <w:rFonts w:ascii="宋体" w:hAnsi="宋体"/>
          <w:color w:val="auto"/>
          <w:highlight w:val="none"/>
        </w:rPr>
      </w:r>
      <w:r/>
    </w:p>
    <w:p>
      <w:pPr>
        <w:ind w:right="-331"/>
        <w:spacing w:line="360" w:lineRule="auto"/>
        <w:widowControl w:val="off"/>
        <w:tabs>
          <w:tab w:val="left" w:pos="9000" w:leader="none"/>
        </w:tabs>
        <w:rPr>
          <w:rFonts w:hAnsi="宋体" w:cs="宋体"/>
          <w:color w:val="auto"/>
          <w:sz w:val="21"/>
          <w:szCs w:val="21"/>
          <w:highlight w:val="none"/>
        </w:rPr>
      </w:pPr>
      <w:r>
        <w:rPr>
          <w:rFonts w:hAnsi="宋体" w:cs="宋体"/>
          <w:color w:val="auto"/>
          <w:sz w:val="21"/>
          <w:szCs w:val="21"/>
          <w:highlight w:val="none"/>
        </w:rPr>
      </w:r>
      <w:r/>
    </w:p>
    <w:p>
      <w:pPr>
        <w:spacing w:line="360" w:lineRule="auto"/>
        <w:widowControl w:val="off"/>
        <w:rPr>
          <w:rFonts w:ascii="宋体" w:hAnsi="宋体" w:cs="宋体"/>
          <w:bCs/>
          <w:color w:val="auto"/>
          <w:sz w:val="21"/>
          <w:szCs w:val="21"/>
          <w:highlight w:val="none"/>
          <w:lang w:val="zh-CN"/>
        </w:rPr>
      </w:pPr>
      <w:r>
        <w:rPr>
          <w:rFonts w:hint="eastAsia" w:ascii="宋体" w:hAnsi="宋体" w:cs="宋体"/>
          <w:bCs/>
          <w:color w:val="auto"/>
          <w:sz w:val="21"/>
          <w:szCs w:val="21"/>
          <w:highlight w:val="none"/>
          <w:lang w:val="zh-CN"/>
        </w:rPr>
        <w:t xml:space="preserve">供应商：（加盖CA电子公章）</w:t>
      </w:r>
      <w:r/>
    </w:p>
    <w:p>
      <w:pPr>
        <w:spacing w:line="360" w:lineRule="auto"/>
        <w:widowControl w:val="off"/>
        <w:rPr>
          <w:rFonts w:ascii="宋体" w:hAnsi="宋体" w:cs="宋体"/>
          <w:bCs/>
          <w:color w:val="auto"/>
          <w:sz w:val="21"/>
          <w:szCs w:val="21"/>
          <w:highlight w:val="none"/>
          <w:lang w:val="zh-CN"/>
        </w:rPr>
      </w:pPr>
      <w:r>
        <w:rPr>
          <w:rFonts w:hint="eastAsia" w:ascii="宋体" w:hAnsi="宋体" w:cs="宋体"/>
          <w:bCs/>
          <w:color w:val="auto"/>
          <w:sz w:val="21"/>
          <w:szCs w:val="21"/>
          <w:highlight w:val="none"/>
          <w:lang w:val="zh-CN"/>
        </w:rPr>
        <w:t xml:space="preserve">日期：         年     月    日</w:t>
      </w:r>
      <w:r/>
    </w:p>
    <w:p>
      <w:pPr>
        <w:ind w:left="42" w:hanging="42"/>
        <w:spacing w:line="420" w:lineRule="exact"/>
        <w:widowControl w:val="off"/>
        <w:rPr>
          <w:rFonts w:ascii="宋体" w:hAnsi="宋体" w:cs="宋体"/>
          <w:color w:val="auto"/>
          <w:sz w:val="21"/>
          <w:szCs w:val="21"/>
          <w:highlight w:val="none"/>
        </w:rPr>
      </w:pPr>
      <w:r>
        <w:rPr>
          <w:rFonts w:ascii="宋体" w:hAnsi="宋体" w:cs="宋体"/>
          <w:color w:val="auto"/>
          <w:sz w:val="21"/>
          <w:szCs w:val="21"/>
          <w:highlight w:val="none"/>
        </w:rPr>
      </w:r>
      <w:r/>
    </w:p>
    <w:p>
      <w:pPr>
        <w:ind w:left="42" w:hanging="42"/>
        <w:spacing w:line="42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注：1</w:t>
      </w:r>
      <w:r>
        <w:rPr>
          <w:rFonts w:hint="eastAsia" w:ascii="宋体" w:hAnsi="宋体" w:cs="宋体"/>
          <w:color w:val="auto"/>
          <w:sz w:val="21"/>
          <w:szCs w:val="21"/>
          <w:highlight w:val="none"/>
          <w:lang w:val="zh-TW"/>
        </w:rPr>
        <w:t xml:space="preserve">.</w:t>
      </w:r>
      <w:r>
        <w:rPr>
          <w:rFonts w:hint="eastAsia" w:ascii="宋体" w:hAnsi="宋体" w:cs="宋体"/>
          <w:color w:val="auto"/>
          <w:sz w:val="21"/>
          <w:szCs w:val="21"/>
          <w:highlight w:val="none"/>
          <w:lang w:val="zh-TW" w:eastAsia="zh-TW"/>
        </w:rPr>
        <w:t xml:space="preserve">合计金额应与</w:t>
      </w:r>
      <w:r>
        <w:rPr>
          <w:rFonts w:hint="eastAsia" w:ascii="宋体" w:hAnsi="宋体" w:cs="宋体"/>
          <w:color w:val="auto"/>
          <w:sz w:val="21"/>
          <w:szCs w:val="21"/>
          <w:highlight w:val="none"/>
        </w:rPr>
        <w:t xml:space="preserve">开标一览</w:t>
      </w:r>
      <w:r>
        <w:rPr>
          <w:rFonts w:hint="eastAsia" w:ascii="宋体" w:hAnsi="宋体" w:cs="宋体"/>
          <w:color w:val="auto"/>
          <w:sz w:val="21"/>
          <w:szCs w:val="21"/>
          <w:highlight w:val="none"/>
          <w:lang w:val="zh-TW"/>
        </w:rPr>
        <w:t xml:space="preserve">表</w:t>
      </w:r>
      <w:r>
        <w:rPr>
          <w:rFonts w:hint="eastAsia" w:ascii="宋体" w:hAnsi="宋体" w:cs="宋体"/>
          <w:color w:val="auto"/>
          <w:sz w:val="21"/>
          <w:szCs w:val="21"/>
          <w:highlight w:val="none"/>
        </w:rPr>
        <w:t xml:space="preserve">总报价</w:t>
      </w:r>
      <w:r>
        <w:rPr>
          <w:rFonts w:hint="eastAsia" w:ascii="宋体" w:hAnsi="宋体" w:cs="宋体"/>
          <w:color w:val="auto"/>
          <w:sz w:val="21"/>
          <w:szCs w:val="21"/>
          <w:highlight w:val="none"/>
          <w:lang w:val="zh-TW" w:eastAsia="zh-TW"/>
        </w:rPr>
        <w:t xml:space="preserve">相同，否则以</w:t>
      </w:r>
      <w:r>
        <w:rPr>
          <w:rFonts w:hint="eastAsia" w:ascii="宋体" w:hAnsi="宋体" w:cs="宋体"/>
          <w:color w:val="auto"/>
          <w:sz w:val="21"/>
          <w:szCs w:val="21"/>
          <w:highlight w:val="none"/>
        </w:rPr>
        <w:t xml:space="preserve">开标一览</w:t>
      </w:r>
      <w:r>
        <w:rPr>
          <w:rFonts w:hint="eastAsia" w:ascii="宋体" w:hAnsi="宋体" w:cs="宋体"/>
          <w:color w:val="auto"/>
          <w:sz w:val="21"/>
          <w:szCs w:val="21"/>
          <w:highlight w:val="none"/>
          <w:lang w:val="zh-TW"/>
        </w:rPr>
        <w:t xml:space="preserve">表</w:t>
      </w:r>
      <w:r>
        <w:rPr>
          <w:rFonts w:hint="eastAsia" w:ascii="宋体" w:hAnsi="宋体" w:cs="宋体"/>
          <w:color w:val="auto"/>
          <w:sz w:val="21"/>
          <w:szCs w:val="21"/>
          <w:highlight w:val="none"/>
          <w:lang w:val="zh-TW" w:eastAsia="zh-TW"/>
        </w:rPr>
        <w:t xml:space="preserve">为准。</w:t>
      </w:r>
      <w:r/>
    </w:p>
    <w:p>
      <w:pPr>
        <w:ind w:firstLine="420"/>
        <w:spacing w:line="420" w:lineRule="exact"/>
        <w:widowControl w:val="off"/>
        <w:rPr>
          <w:rFonts w:ascii="宋体" w:hAnsi="宋体" w:cs="宋体"/>
          <w:b/>
          <w:bCs/>
          <w:color w:val="auto"/>
          <w:sz w:val="21"/>
          <w:szCs w:val="21"/>
          <w:highlight w:val="none"/>
          <w:lang w:val="zh-TW"/>
        </w:rPr>
      </w:pP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zh-TW"/>
        </w:rPr>
        <w:t xml:space="preserve">.</w:t>
      </w:r>
      <w:r>
        <w:rPr>
          <w:rFonts w:hint="eastAsia" w:ascii="宋体" w:hAnsi="宋体" w:cs="宋体"/>
          <w:color w:val="auto"/>
          <w:sz w:val="21"/>
          <w:szCs w:val="21"/>
          <w:highlight w:val="none"/>
          <w:lang w:val="zh-TW" w:eastAsia="zh-TW"/>
        </w:rPr>
        <w:t xml:space="preserve">报价大写金额与小写金额不一致的，以大写金额为准；如果以文字表示的数据与数字表示的有差别，应以文字为准修正数字。</w:t>
      </w:r>
      <w:r>
        <w:rPr>
          <w:rFonts w:hint="eastAsia" w:ascii="宋体" w:hAnsi="宋体" w:cs="宋体"/>
          <w:color w:val="auto"/>
          <w:sz w:val="21"/>
          <w:szCs w:val="21"/>
          <w:highlight w:val="none"/>
          <w:lang w:val="zh-TW"/>
        </w:rPr>
        <w:t xml:space="preserve">明显笔误的，允许修正。</w:t>
      </w:r>
      <w:r>
        <w:rPr>
          <w:rFonts w:hint="eastAsia" w:ascii="宋体" w:hAnsi="宋体" w:cs="宋体"/>
          <w:b/>
          <w:bCs/>
          <w:color w:val="auto"/>
          <w:sz w:val="21"/>
          <w:szCs w:val="21"/>
          <w:highlight w:val="none"/>
          <w:lang w:val="zh-TW"/>
        </w:rPr>
        <w:t xml:space="preserve">供应商不同意以上修正，则其响应文件无效。</w:t>
      </w:r>
      <w:r/>
    </w:p>
    <w:p>
      <w:pPr>
        <w:ind w:firstLine="420"/>
        <w:spacing w:line="420" w:lineRule="exact"/>
        <w:widowControl w:val="off"/>
        <w:rPr>
          <w:rFonts w:ascii="宋体" w:hAnsi="宋体" w:cs="宋体"/>
          <w:color w:val="auto"/>
          <w:sz w:val="21"/>
          <w:szCs w:val="21"/>
          <w:highlight w:val="none"/>
          <w:lang w:val="zh-TW"/>
        </w:rPr>
      </w:pP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val="zh-TW"/>
        </w:rPr>
        <w:t xml:space="preserve">.</w:t>
      </w:r>
      <w:r>
        <w:rPr>
          <w:rFonts w:hint="eastAsia" w:ascii="宋体" w:hAnsi="宋体" w:cs="宋体"/>
          <w:color w:val="auto"/>
          <w:sz w:val="21"/>
          <w:szCs w:val="21"/>
          <w:highlight w:val="none"/>
          <w:lang w:val="zh-TW" w:eastAsia="zh-TW"/>
        </w:rPr>
        <w:t xml:space="preserve">报价金额全部采用人民币表示。</w:t>
      </w:r>
      <w:r/>
    </w:p>
    <w:p>
      <w:pPr>
        <w:ind w:firstLine="420"/>
        <w:spacing w:line="420" w:lineRule="exact"/>
        <w:widowControl w:val="off"/>
        <w:rPr>
          <w:rFonts w:ascii="宋体" w:hAnsi="宋体" w:cs="宋体"/>
          <w:color w:val="auto"/>
          <w:sz w:val="21"/>
          <w:szCs w:val="21"/>
          <w:highlight w:val="none"/>
          <w:lang w:val="zh-TW"/>
        </w:rPr>
      </w:pPr>
      <w:r>
        <w:rPr>
          <w:rFonts w:hint="eastAsia" w:ascii="宋体" w:hAnsi="宋体" w:cs="宋体"/>
          <w:color w:val="auto"/>
          <w:sz w:val="21"/>
          <w:szCs w:val="21"/>
          <w:highlight w:val="none"/>
          <w:lang w:val="zh-TW"/>
        </w:rPr>
        <w:t xml:space="preserve">4.格式可自拟。</w:t>
      </w:r>
      <w:r/>
    </w:p>
    <w:p>
      <w:pPr>
        <w:spacing w:line="360" w:lineRule="auto"/>
        <w:widowControl w:val="off"/>
        <w:rPr>
          <w:rFonts w:ascii="宋体" w:hAnsi="宋体"/>
          <w:color w:val="auto"/>
          <w:sz w:val="21"/>
          <w:szCs w:val="21"/>
          <w:highlight w:val="none"/>
        </w:rPr>
      </w:pPr>
      <w:r>
        <w:rPr>
          <w:rFonts w:hint="eastAsia"/>
          <w:color w:val="auto"/>
          <w:highlight w:val="none"/>
          <w:lang w:val="zh-CN"/>
        </w:rPr>
        <w:br w:type="page" w:clear="all"/>
      </w:r>
      <w:r/>
    </w:p>
    <w:p>
      <w:pPr>
        <w:pStyle w:val="966"/>
        <w:jc w:val="both"/>
        <w:spacing w:before="0" w:beforeAutospacing="0" w:after="0" w:afterAutospacing="0" w:line="360" w:lineRule="auto"/>
        <w:widowControl w:val="off"/>
        <w:rPr>
          <w:rFonts w:hint="default" w:cs="宋体"/>
          <w:b/>
          <w:bCs/>
          <w:color w:val="auto"/>
          <w:sz w:val="21"/>
          <w:szCs w:val="21"/>
          <w:highlight w:val="none"/>
        </w:rPr>
      </w:pPr>
      <w:r>
        <w:rPr>
          <w:rFonts w:cs="宋体"/>
          <w:b/>
          <w:bCs/>
          <w:color w:val="auto"/>
          <w:sz w:val="21"/>
          <w:szCs w:val="21"/>
          <w:highlight w:val="none"/>
        </w:rPr>
        <w:t xml:space="preserve">格式5：资格文件的声明函</w:t>
      </w:r>
      <w:r/>
    </w:p>
    <w:p>
      <w:pPr>
        <w:ind w:firstLine="420"/>
        <w:jc w:val="center"/>
        <w:spacing w:line="360" w:lineRule="auto"/>
        <w:widowControl w:val="off"/>
        <w:rPr>
          <w:rFonts w:ascii="宋体" w:hAnsi="宋体"/>
          <w:b/>
          <w:color w:val="auto"/>
          <w:highlight w:val="none"/>
        </w:rPr>
      </w:pPr>
      <w:r>
        <w:rPr>
          <w:rFonts w:hint="eastAsia" w:ascii="宋体" w:hAnsi="宋体"/>
          <w:b/>
          <w:color w:val="auto"/>
          <w:highlight w:val="none"/>
        </w:rPr>
        <w:t xml:space="preserve">资格文件的声明函</w:t>
      </w:r>
      <w:r/>
    </w:p>
    <w:p>
      <w:pPr>
        <w:jc w:val="both"/>
        <w:spacing w:line="360" w:lineRule="auto"/>
        <w:widowControl w:val="off"/>
        <w:rPr>
          <w:rFonts w:ascii="宋体" w:hAnsi="宋体"/>
          <w:color w:val="auto"/>
          <w:sz w:val="21"/>
          <w:szCs w:val="21"/>
          <w:highlight w:val="none"/>
        </w:rPr>
      </w:pPr>
      <w:r>
        <w:rPr>
          <w:rFonts w:hint="eastAsia"/>
          <w:color w:val="auto"/>
          <w:sz w:val="21"/>
          <w:szCs w:val="21"/>
          <w:highlight w:val="none"/>
          <w:u w:val="single"/>
          <w:lang w:val="zh-CN"/>
        </w:rPr>
        <w:t xml:space="preserve">苏州工业园区高端制造与国际贸易区管理委员会（苏州工业园区综合保税区管理办公室）、诚德天工建设咨询（苏州）有限公司</w:t>
      </w:r>
      <w:r>
        <w:rPr>
          <w:rFonts w:hint="eastAsia" w:ascii="宋体" w:hAnsi="宋体"/>
          <w:color w:val="auto"/>
          <w:sz w:val="21"/>
          <w:szCs w:val="21"/>
          <w:highlight w:val="none"/>
        </w:rPr>
        <w:t xml:space="preserve">：</w:t>
      </w:r>
      <w:r/>
    </w:p>
    <w:p>
      <w:pPr>
        <w:ind w:firstLine="66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本公司愿就由贵公司组织实施的编号为</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号的磋商采购活动进行响应。本公司所提交的响应文件中所有关于响应文件、证明和陈述均是真实的、准确的、有效的。若与真实情况不符，本公司愿意承担由此而产生的一切后果。</w:t>
      </w:r>
      <w:r/>
    </w:p>
    <w:p>
      <w:pPr>
        <w:ind w:firstLine="420"/>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spacing w:line="360" w:lineRule="auto"/>
        <w:widowControl w:val="off"/>
        <w:rPr>
          <w:rFonts w:ascii="宋体" w:hAnsi="宋体" w:cs="宋体"/>
          <w:bCs/>
          <w:color w:val="auto"/>
          <w:sz w:val="21"/>
          <w:szCs w:val="21"/>
          <w:highlight w:val="none"/>
          <w:lang w:val="zh-CN"/>
        </w:rPr>
      </w:pPr>
      <w:r>
        <w:rPr>
          <w:rFonts w:hint="eastAsia" w:ascii="宋体" w:hAnsi="宋体" w:cs="宋体"/>
          <w:bCs/>
          <w:color w:val="auto"/>
          <w:sz w:val="21"/>
          <w:szCs w:val="21"/>
          <w:highlight w:val="none"/>
          <w:lang w:val="zh-CN"/>
        </w:rPr>
        <w:t xml:space="preserve">供应商：（加盖CA电子公章）</w:t>
      </w:r>
      <w:r/>
    </w:p>
    <w:p>
      <w:pPr>
        <w:spacing w:line="360" w:lineRule="auto"/>
        <w:widowControl w:val="off"/>
        <w:rPr>
          <w:rFonts w:ascii="宋体" w:hAnsi="宋体" w:cs="宋体"/>
          <w:bCs/>
          <w:color w:val="auto"/>
          <w:sz w:val="21"/>
          <w:szCs w:val="21"/>
          <w:highlight w:val="none"/>
          <w:lang w:val="zh-CN"/>
        </w:rPr>
      </w:pPr>
      <w:r>
        <w:rPr>
          <w:rFonts w:hint="eastAsia" w:ascii="宋体" w:hAnsi="宋体" w:cs="宋体"/>
          <w:bCs/>
          <w:color w:val="auto"/>
          <w:sz w:val="21"/>
          <w:szCs w:val="21"/>
          <w:highlight w:val="none"/>
          <w:lang w:val="zh-CN"/>
        </w:rPr>
        <w:t xml:space="preserve">日期：         年     月    日</w:t>
      </w:r>
      <w:r/>
    </w:p>
    <w:p>
      <w:pPr>
        <w:pStyle w:val="970"/>
        <w:ind w:left="0" w:firstLine="0"/>
        <w:rPr>
          <w:rFonts w:ascii="宋体" w:hAnsi="宋体" w:cs="宋体"/>
          <w:bCs/>
          <w:color w:val="auto"/>
          <w:sz w:val="21"/>
          <w:szCs w:val="21"/>
          <w:highlight w:val="none"/>
        </w:rPr>
      </w:pPr>
      <w:r>
        <w:rPr>
          <w:rFonts w:hint="eastAsia"/>
          <w:color w:val="auto"/>
          <w:highlight w:val="none"/>
        </w:rPr>
        <w:br w:type="page" w:clear="all"/>
      </w:r>
      <w:r>
        <w:rPr>
          <w:rFonts w:hint="eastAsia" w:ascii="宋体" w:hAnsi="宋体" w:eastAsia="宋体" w:cs="宋体"/>
          <w:b/>
          <w:bCs/>
          <w:color w:val="auto"/>
          <w:sz w:val="21"/>
          <w:szCs w:val="21"/>
          <w:highlight w:val="none"/>
        </w:rPr>
        <w:t xml:space="preserve">格式6：供应商情况表</w:t>
      </w:r>
      <w:r/>
    </w:p>
    <w:p>
      <w:pPr>
        <w:jc w:val="center"/>
        <w:spacing w:line="360" w:lineRule="auto"/>
        <w:widowControl w:val="off"/>
        <w:rPr>
          <w:b/>
          <w:bCs/>
          <w:color w:val="auto"/>
          <w:highlight w:val="none"/>
        </w:rPr>
      </w:pPr>
      <w:r>
        <w:rPr>
          <w:rFonts w:hint="eastAsia"/>
          <w:b/>
          <w:bCs/>
          <w:color w:val="auto"/>
          <w:highlight w:val="none"/>
        </w:rPr>
        <w:t xml:space="preserve">供应商</w:t>
      </w:r>
      <w:r>
        <w:rPr>
          <w:b/>
          <w:bCs/>
          <w:color w:val="auto"/>
          <w:highlight w:val="none"/>
        </w:rPr>
        <w:t xml:space="preserve">情况表</w:t>
      </w:r>
      <w:r/>
    </w:p>
    <w:tbl>
      <w:tblPr>
        <w:tblStyle w:val="746"/>
        <w:tblW w:w="0" w:type="auto"/>
        <w:tblInd w:w="-6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82"/>
        <w:gridCol w:w="1173"/>
        <w:gridCol w:w="225"/>
        <w:gridCol w:w="421"/>
        <w:gridCol w:w="370"/>
        <w:gridCol w:w="1268"/>
        <w:gridCol w:w="433"/>
        <w:gridCol w:w="721"/>
        <w:gridCol w:w="694"/>
        <w:gridCol w:w="570"/>
        <w:gridCol w:w="1905"/>
      </w:tblGrid>
      <w:tr>
        <w:trPr>
          <w:trHeight w:val="645"/>
        </w:trPr>
        <w:tc>
          <w:tcPr>
            <w:tcW w:w="582" w:type="dxa"/>
            <w:vAlign w:val="center"/>
            <w:textDirection w:val="lrTb"/>
            <w:noWrap w:val="false"/>
          </w:tcPr>
          <w:p>
            <w:pPr>
              <w:pStyle w:val="935"/>
              <w:ind w:firstLine="0"/>
              <w:jc w:val="center"/>
              <w:spacing w:line="320" w:lineRule="exact"/>
              <w:rPr>
                <w:color w:val="auto"/>
                <w:szCs w:val="21"/>
                <w:highlight w:val="none"/>
              </w:rPr>
            </w:pPr>
            <w:r>
              <w:rPr>
                <w:color w:val="auto"/>
                <w:szCs w:val="21"/>
                <w:highlight w:val="none"/>
              </w:rPr>
              <w:t xml:space="preserve">1</w:t>
            </w:r>
            <w:r/>
          </w:p>
        </w:tc>
        <w:tc>
          <w:tcPr>
            <w:gridSpan w:val="2"/>
            <w:tcW w:w="1398" w:type="dxa"/>
            <w:vAlign w:val="center"/>
            <w:textDirection w:val="lrTb"/>
            <w:noWrap w:val="false"/>
          </w:tcPr>
          <w:p>
            <w:pPr>
              <w:pStyle w:val="935"/>
              <w:ind w:firstLine="0"/>
              <w:jc w:val="center"/>
              <w:spacing w:line="320" w:lineRule="exact"/>
              <w:rPr>
                <w:color w:val="auto"/>
                <w:szCs w:val="21"/>
                <w:highlight w:val="none"/>
              </w:rPr>
            </w:pPr>
            <w:r>
              <w:rPr>
                <w:color w:val="auto"/>
                <w:szCs w:val="21"/>
                <w:highlight w:val="none"/>
              </w:rPr>
              <w:t xml:space="preserve">法定代表人</w:t>
            </w:r>
            <w:r/>
          </w:p>
        </w:tc>
        <w:tc>
          <w:tcPr>
            <w:gridSpan w:val="4"/>
            <w:tcW w:w="2492" w:type="dxa"/>
            <w:vAlign w:val="center"/>
            <w:textDirection w:val="lrTb"/>
            <w:noWrap w:val="false"/>
          </w:tcPr>
          <w:p>
            <w:pPr>
              <w:pStyle w:val="935"/>
              <w:ind w:firstLine="0"/>
              <w:jc w:val="center"/>
              <w:spacing w:line="320" w:lineRule="exact"/>
              <w:rPr>
                <w:color w:val="auto"/>
                <w:szCs w:val="21"/>
                <w:highlight w:val="none"/>
              </w:rPr>
            </w:pPr>
            <w:r>
              <w:rPr>
                <w:color w:val="auto"/>
                <w:szCs w:val="21"/>
                <w:highlight w:val="none"/>
              </w:rPr>
            </w:r>
            <w:r/>
          </w:p>
        </w:tc>
        <w:tc>
          <w:tcPr>
            <w:gridSpan w:val="2"/>
            <w:tcW w:w="1415" w:type="dxa"/>
            <w:vAlign w:val="center"/>
            <w:textDirection w:val="lrTb"/>
            <w:noWrap w:val="false"/>
          </w:tcPr>
          <w:p>
            <w:pPr>
              <w:pStyle w:val="935"/>
              <w:ind w:firstLine="0"/>
              <w:spacing w:line="320" w:lineRule="exact"/>
              <w:rPr>
                <w:color w:val="auto"/>
                <w:szCs w:val="21"/>
                <w:highlight w:val="none"/>
              </w:rPr>
            </w:pPr>
            <w:r>
              <w:rPr>
                <w:color w:val="auto"/>
                <w:szCs w:val="21"/>
                <w:highlight w:val="none"/>
              </w:rPr>
              <w:t xml:space="preserve">公司成立日期</w:t>
            </w:r>
            <w:r/>
          </w:p>
        </w:tc>
        <w:tc>
          <w:tcPr>
            <w:gridSpan w:val="2"/>
            <w:tcW w:w="2475" w:type="dxa"/>
            <w:vAlign w:val="center"/>
            <w:textDirection w:val="lrTb"/>
            <w:noWrap w:val="false"/>
          </w:tcPr>
          <w:p>
            <w:pPr>
              <w:pStyle w:val="935"/>
              <w:ind w:firstLine="0"/>
              <w:spacing w:line="320" w:lineRule="exact"/>
              <w:rPr>
                <w:color w:val="auto"/>
                <w:szCs w:val="21"/>
                <w:highlight w:val="none"/>
              </w:rPr>
            </w:pPr>
            <w:r>
              <w:rPr>
                <w:color w:val="auto"/>
                <w:szCs w:val="21"/>
                <w:highlight w:val="none"/>
              </w:rPr>
            </w:r>
            <w:r/>
          </w:p>
        </w:tc>
      </w:tr>
      <w:tr>
        <w:trPr>
          <w:trHeight w:val="645"/>
        </w:trPr>
        <w:tc>
          <w:tcPr>
            <w:tcW w:w="582" w:type="dxa"/>
            <w:vAlign w:val="center"/>
            <w:textDirection w:val="lrTb"/>
            <w:noWrap w:val="false"/>
          </w:tcPr>
          <w:p>
            <w:pPr>
              <w:pStyle w:val="935"/>
              <w:ind w:firstLine="0"/>
              <w:jc w:val="center"/>
              <w:spacing w:line="320" w:lineRule="exact"/>
              <w:rPr>
                <w:color w:val="auto"/>
                <w:szCs w:val="21"/>
                <w:highlight w:val="none"/>
              </w:rPr>
            </w:pPr>
            <w:r>
              <w:rPr>
                <w:color w:val="auto"/>
                <w:szCs w:val="21"/>
                <w:highlight w:val="none"/>
              </w:rPr>
              <w:t xml:space="preserve">2</w:t>
            </w:r>
            <w:r/>
          </w:p>
        </w:tc>
        <w:tc>
          <w:tcPr>
            <w:gridSpan w:val="2"/>
            <w:tcW w:w="1398" w:type="dxa"/>
            <w:vAlign w:val="center"/>
            <w:textDirection w:val="lrTb"/>
            <w:noWrap w:val="false"/>
          </w:tcPr>
          <w:p>
            <w:pPr>
              <w:pStyle w:val="935"/>
              <w:ind w:firstLine="0"/>
              <w:jc w:val="center"/>
              <w:spacing w:line="320" w:lineRule="exact"/>
              <w:rPr>
                <w:color w:val="auto"/>
                <w:szCs w:val="21"/>
                <w:highlight w:val="none"/>
              </w:rPr>
            </w:pPr>
            <w:r>
              <w:rPr>
                <w:rFonts w:hint="eastAsia"/>
                <w:color w:val="auto"/>
                <w:szCs w:val="21"/>
                <w:highlight w:val="none"/>
              </w:rPr>
              <w:t xml:space="preserve">注册</w:t>
            </w:r>
            <w:r>
              <w:rPr>
                <w:color w:val="auto"/>
                <w:szCs w:val="21"/>
                <w:highlight w:val="none"/>
              </w:rPr>
              <w:t xml:space="preserve">地址</w:t>
            </w:r>
            <w:r/>
          </w:p>
        </w:tc>
        <w:tc>
          <w:tcPr>
            <w:gridSpan w:val="8"/>
            <w:tcW w:w="6382" w:type="dxa"/>
            <w:vAlign w:val="center"/>
            <w:textDirection w:val="lrTb"/>
            <w:noWrap w:val="false"/>
          </w:tcPr>
          <w:p>
            <w:pPr>
              <w:pStyle w:val="935"/>
              <w:ind w:firstLine="0"/>
              <w:jc w:val="center"/>
              <w:spacing w:line="320" w:lineRule="exact"/>
              <w:rPr>
                <w:color w:val="auto"/>
                <w:szCs w:val="21"/>
                <w:highlight w:val="none"/>
              </w:rPr>
            </w:pPr>
            <w:r>
              <w:rPr>
                <w:color w:val="auto"/>
                <w:szCs w:val="21"/>
                <w:highlight w:val="none"/>
              </w:rPr>
            </w:r>
            <w:r/>
          </w:p>
        </w:tc>
      </w:tr>
      <w:tr>
        <w:trPr>
          <w:trHeight w:val="645"/>
        </w:trPr>
        <w:tc>
          <w:tcPr>
            <w:tcW w:w="582" w:type="dxa"/>
            <w:vAlign w:val="center"/>
            <w:textDirection w:val="lrTb"/>
            <w:noWrap w:val="false"/>
          </w:tcPr>
          <w:p>
            <w:pPr>
              <w:pStyle w:val="935"/>
              <w:ind w:firstLine="0"/>
              <w:jc w:val="center"/>
              <w:spacing w:line="320" w:lineRule="exact"/>
              <w:rPr>
                <w:color w:val="auto"/>
                <w:szCs w:val="21"/>
                <w:highlight w:val="none"/>
              </w:rPr>
            </w:pPr>
            <w:r>
              <w:rPr>
                <w:color w:val="auto"/>
                <w:szCs w:val="21"/>
                <w:highlight w:val="none"/>
              </w:rPr>
              <w:t xml:space="preserve">3</w:t>
            </w:r>
            <w:r/>
          </w:p>
        </w:tc>
        <w:tc>
          <w:tcPr>
            <w:gridSpan w:val="3"/>
            <w:tcW w:w="1819" w:type="dxa"/>
            <w:vAlign w:val="center"/>
            <w:textDirection w:val="lrTb"/>
            <w:noWrap w:val="false"/>
          </w:tcPr>
          <w:p>
            <w:pPr>
              <w:pStyle w:val="935"/>
              <w:ind w:firstLine="0"/>
              <w:spacing w:line="320" w:lineRule="exact"/>
              <w:rPr>
                <w:color w:val="auto"/>
                <w:szCs w:val="21"/>
                <w:highlight w:val="none"/>
              </w:rPr>
            </w:pPr>
            <w:r>
              <w:rPr>
                <w:rFonts w:hint="eastAsia"/>
                <w:color w:val="auto"/>
                <w:szCs w:val="21"/>
                <w:highlight w:val="none"/>
              </w:rPr>
              <w:t xml:space="preserve">联系</w:t>
            </w:r>
            <w:r>
              <w:rPr>
                <w:color w:val="auto"/>
                <w:szCs w:val="21"/>
                <w:highlight w:val="none"/>
              </w:rPr>
              <w:t xml:space="preserve">地址</w:t>
            </w:r>
            <w:r/>
          </w:p>
        </w:tc>
        <w:tc>
          <w:tcPr>
            <w:gridSpan w:val="7"/>
            <w:tcW w:w="5961" w:type="dxa"/>
            <w:vAlign w:val="center"/>
            <w:textDirection w:val="lrTb"/>
            <w:noWrap w:val="false"/>
          </w:tcPr>
          <w:p>
            <w:pPr>
              <w:pStyle w:val="935"/>
              <w:ind w:firstLine="0"/>
              <w:spacing w:line="320" w:lineRule="exact"/>
              <w:rPr>
                <w:color w:val="auto"/>
                <w:szCs w:val="21"/>
                <w:highlight w:val="none"/>
              </w:rPr>
            </w:pPr>
            <w:r>
              <w:rPr>
                <w:color w:val="auto"/>
                <w:szCs w:val="21"/>
                <w:highlight w:val="none"/>
              </w:rPr>
            </w:r>
            <w:r/>
          </w:p>
        </w:tc>
      </w:tr>
      <w:tr>
        <w:trPr>
          <w:trHeight w:val="645"/>
        </w:trPr>
        <w:tc>
          <w:tcPr>
            <w:tcW w:w="582" w:type="dxa"/>
            <w:vAlign w:val="center"/>
            <w:textDirection w:val="lrTb"/>
            <w:noWrap w:val="false"/>
          </w:tcPr>
          <w:p>
            <w:pPr>
              <w:pStyle w:val="935"/>
              <w:ind w:firstLine="0"/>
              <w:jc w:val="center"/>
              <w:spacing w:line="320" w:lineRule="exact"/>
              <w:rPr>
                <w:color w:val="auto"/>
                <w:szCs w:val="21"/>
                <w:highlight w:val="none"/>
              </w:rPr>
            </w:pPr>
            <w:r>
              <w:rPr>
                <w:color w:val="auto"/>
                <w:szCs w:val="21"/>
                <w:highlight w:val="none"/>
              </w:rPr>
              <w:t xml:space="preserve">4</w:t>
            </w:r>
            <w:r/>
          </w:p>
        </w:tc>
        <w:tc>
          <w:tcPr>
            <w:tcW w:w="1173" w:type="dxa"/>
            <w:vAlign w:val="center"/>
            <w:textDirection w:val="lrTb"/>
            <w:noWrap w:val="false"/>
          </w:tcPr>
          <w:p>
            <w:pPr>
              <w:pStyle w:val="935"/>
              <w:ind w:firstLine="0"/>
              <w:jc w:val="center"/>
              <w:spacing w:line="320" w:lineRule="exact"/>
              <w:rPr>
                <w:color w:val="auto"/>
                <w:szCs w:val="21"/>
                <w:highlight w:val="none"/>
              </w:rPr>
            </w:pPr>
            <w:r>
              <w:rPr>
                <w:color w:val="auto"/>
                <w:szCs w:val="21"/>
                <w:highlight w:val="none"/>
              </w:rPr>
              <w:t xml:space="preserve">电话</w:t>
            </w:r>
            <w:r/>
          </w:p>
        </w:tc>
        <w:tc>
          <w:tcPr>
            <w:gridSpan w:val="4"/>
            <w:tcW w:w="2284" w:type="dxa"/>
            <w:vAlign w:val="center"/>
            <w:textDirection w:val="lrTb"/>
            <w:noWrap w:val="false"/>
          </w:tcPr>
          <w:p>
            <w:pPr>
              <w:pStyle w:val="935"/>
              <w:ind w:firstLine="0"/>
              <w:spacing w:line="320" w:lineRule="exact"/>
              <w:rPr>
                <w:color w:val="auto"/>
                <w:szCs w:val="21"/>
                <w:highlight w:val="none"/>
              </w:rPr>
            </w:pPr>
            <w:r>
              <w:rPr>
                <w:color w:val="auto"/>
                <w:szCs w:val="21"/>
                <w:highlight w:val="none"/>
              </w:rPr>
            </w:r>
            <w:r/>
          </w:p>
        </w:tc>
        <w:tc>
          <w:tcPr>
            <w:gridSpan w:val="2"/>
            <w:tcW w:w="1154" w:type="dxa"/>
            <w:vAlign w:val="center"/>
            <w:textDirection w:val="lrTb"/>
            <w:noWrap w:val="false"/>
          </w:tcPr>
          <w:p>
            <w:pPr>
              <w:pStyle w:val="935"/>
              <w:ind w:firstLine="0"/>
              <w:jc w:val="center"/>
              <w:spacing w:line="320" w:lineRule="exact"/>
              <w:rPr>
                <w:color w:val="auto"/>
                <w:szCs w:val="21"/>
                <w:highlight w:val="none"/>
              </w:rPr>
            </w:pPr>
            <w:r>
              <w:rPr>
                <w:color w:val="auto"/>
                <w:szCs w:val="21"/>
                <w:highlight w:val="none"/>
              </w:rPr>
              <w:t xml:space="preserve">联系人</w:t>
            </w:r>
            <w:r/>
          </w:p>
        </w:tc>
        <w:tc>
          <w:tcPr>
            <w:gridSpan w:val="3"/>
            <w:tcW w:w="3169" w:type="dxa"/>
            <w:vAlign w:val="center"/>
            <w:textDirection w:val="lrTb"/>
            <w:noWrap w:val="false"/>
          </w:tcPr>
          <w:p>
            <w:pPr>
              <w:pStyle w:val="935"/>
              <w:ind w:firstLine="0"/>
              <w:spacing w:line="320" w:lineRule="exact"/>
              <w:rPr>
                <w:color w:val="auto"/>
                <w:szCs w:val="21"/>
                <w:highlight w:val="none"/>
              </w:rPr>
            </w:pPr>
            <w:r>
              <w:rPr>
                <w:color w:val="auto"/>
                <w:szCs w:val="21"/>
                <w:highlight w:val="none"/>
              </w:rPr>
            </w:r>
            <w:r/>
          </w:p>
        </w:tc>
      </w:tr>
      <w:tr>
        <w:trPr>
          <w:trHeight w:val="625"/>
        </w:trPr>
        <w:tc>
          <w:tcPr>
            <w:tcW w:w="582" w:type="dxa"/>
            <w:vAlign w:val="center"/>
            <w:textDirection w:val="lrTb"/>
            <w:noWrap w:val="false"/>
          </w:tcPr>
          <w:p>
            <w:pPr>
              <w:pStyle w:val="935"/>
              <w:ind w:firstLine="0"/>
              <w:jc w:val="center"/>
              <w:spacing w:line="320" w:lineRule="exact"/>
              <w:rPr>
                <w:color w:val="auto"/>
                <w:szCs w:val="21"/>
                <w:highlight w:val="none"/>
              </w:rPr>
            </w:pPr>
            <w:r>
              <w:rPr>
                <w:color w:val="auto"/>
                <w:szCs w:val="21"/>
                <w:highlight w:val="none"/>
              </w:rPr>
              <w:t xml:space="preserve">5</w:t>
            </w:r>
            <w:r/>
          </w:p>
        </w:tc>
        <w:tc>
          <w:tcPr>
            <w:tcW w:w="1173" w:type="dxa"/>
            <w:vAlign w:val="center"/>
            <w:textDirection w:val="lrTb"/>
            <w:noWrap w:val="false"/>
          </w:tcPr>
          <w:p>
            <w:pPr>
              <w:pStyle w:val="935"/>
              <w:ind w:firstLine="0"/>
              <w:jc w:val="center"/>
              <w:spacing w:line="320" w:lineRule="exact"/>
              <w:rPr>
                <w:color w:val="auto"/>
                <w:szCs w:val="21"/>
                <w:highlight w:val="none"/>
              </w:rPr>
            </w:pPr>
            <w:r>
              <w:rPr>
                <w:color w:val="auto"/>
                <w:szCs w:val="21"/>
                <w:highlight w:val="none"/>
              </w:rPr>
              <w:t xml:space="preserve">传真</w:t>
            </w:r>
            <w:r/>
          </w:p>
        </w:tc>
        <w:tc>
          <w:tcPr>
            <w:gridSpan w:val="4"/>
            <w:tcW w:w="2284" w:type="dxa"/>
            <w:vAlign w:val="center"/>
            <w:textDirection w:val="lrTb"/>
            <w:noWrap w:val="false"/>
          </w:tcPr>
          <w:p>
            <w:pPr>
              <w:pStyle w:val="935"/>
              <w:ind w:firstLine="0"/>
              <w:spacing w:line="320" w:lineRule="exact"/>
              <w:rPr>
                <w:color w:val="auto"/>
                <w:szCs w:val="21"/>
                <w:highlight w:val="none"/>
              </w:rPr>
            </w:pPr>
            <w:r>
              <w:rPr>
                <w:color w:val="auto"/>
                <w:szCs w:val="21"/>
                <w:highlight w:val="none"/>
              </w:rPr>
            </w:r>
            <w:r/>
          </w:p>
        </w:tc>
        <w:tc>
          <w:tcPr>
            <w:gridSpan w:val="2"/>
            <w:tcW w:w="1154" w:type="dxa"/>
            <w:vAlign w:val="center"/>
            <w:textDirection w:val="lrTb"/>
            <w:noWrap w:val="false"/>
          </w:tcPr>
          <w:p>
            <w:pPr>
              <w:pStyle w:val="935"/>
              <w:ind w:firstLine="0"/>
              <w:jc w:val="center"/>
              <w:spacing w:line="320" w:lineRule="exact"/>
              <w:rPr>
                <w:color w:val="auto"/>
                <w:szCs w:val="21"/>
                <w:highlight w:val="none"/>
              </w:rPr>
            </w:pPr>
            <w:r>
              <w:rPr>
                <w:color w:val="auto"/>
                <w:szCs w:val="21"/>
                <w:highlight w:val="none"/>
              </w:rPr>
              <w:t xml:space="preserve">电子邮箱</w:t>
            </w:r>
            <w:r/>
          </w:p>
        </w:tc>
        <w:tc>
          <w:tcPr>
            <w:gridSpan w:val="3"/>
            <w:tcW w:w="3169" w:type="dxa"/>
            <w:vAlign w:val="center"/>
            <w:textDirection w:val="lrTb"/>
            <w:noWrap w:val="false"/>
          </w:tcPr>
          <w:p>
            <w:pPr>
              <w:pStyle w:val="935"/>
              <w:ind w:firstLine="0"/>
              <w:spacing w:line="320" w:lineRule="exact"/>
              <w:rPr>
                <w:color w:val="auto"/>
                <w:szCs w:val="21"/>
                <w:highlight w:val="none"/>
              </w:rPr>
            </w:pPr>
            <w:r>
              <w:rPr>
                <w:color w:val="auto"/>
                <w:szCs w:val="21"/>
                <w:highlight w:val="none"/>
              </w:rPr>
            </w:r>
            <w:r/>
          </w:p>
        </w:tc>
      </w:tr>
      <w:tr>
        <w:trPr>
          <w:trHeight w:val="645"/>
        </w:trPr>
        <w:tc>
          <w:tcPr>
            <w:tcW w:w="582" w:type="dxa"/>
            <w:vAlign w:val="center"/>
            <w:textDirection w:val="lrTb"/>
            <w:noWrap w:val="false"/>
          </w:tcPr>
          <w:p>
            <w:pPr>
              <w:pStyle w:val="935"/>
              <w:ind w:firstLine="0"/>
              <w:jc w:val="center"/>
              <w:spacing w:line="320" w:lineRule="exact"/>
              <w:rPr>
                <w:color w:val="auto"/>
                <w:szCs w:val="21"/>
                <w:highlight w:val="none"/>
              </w:rPr>
            </w:pPr>
            <w:r>
              <w:rPr>
                <w:color w:val="auto"/>
                <w:szCs w:val="21"/>
                <w:highlight w:val="none"/>
              </w:rPr>
              <w:t xml:space="preserve">6</w:t>
            </w:r>
            <w:r/>
          </w:p>
        </w:tc>
        <w:tc>
          <w:tcPr>
            <w:tcW w:w="1173" w:type="dxa"/>
            <w:vAlign w:val="center"/>
            <w:textDirection w:val="lrTb"/>
            <w:noWrap w:val="false"/>
          </w:tcPr>
          <w:p>
            <w:pPr>
              <w:pStyle w:val="935"/>
              <w:ind w:firstLine="0"/>
              <w:jc w:val="center"/>
              <w:spacing w:line="320" w:lineRule="exact"/>
              <w:rPr>
                <w:color w:val="auto"/>
                <w:szCs w:val="21"/>
                <w:highlight w:val="none"/>
              </w:rPr>
            </w:pPr>
            <w:r>
              <w:rPr>
                <w:color w:val="auto"/>
                <w:szCs w:val="21"/>
                <w:highlight w:val="none"/>
              </w:rPr>
              <w:t xml:space="preserve">注册地</w:t>
            </w:r>
            <w:r/>
          </w:p>
        </w:tc>
        <w:tc>
          <w:tcPr>
            <w:gridSpan w:val="4"/>
            <w:tcW w:w="2284" w:type="dxa"/>
            <w:vAlign w:val="center"/>
            <w:textDirection w:val="lrTb"/>
            <w:noWrap w:val="false"/>
          </w:tcPr>
          <w:p>
            <w:pPr>
              <w:pStyle w:val="935"/>
              <w:ind w:firstLine="0"/>
              <w:spacing w:line="320" w:lineRule="exact"/>
              <w:rPr>
                <w:color w:val="auto"/>
                <w:szCs w:val="21"/>
                <w:highlight w:val="none"/>
              </w:rPr>
            </w:pPr>
            <w:r>
              <w:rPr>
                <w:color w:val="auto"/>
                <w:szCs w:val="21"/>
                <w:highlight w:val="none"/>
              </w:rPr>
            </w:r>
            <w:r/>
          </w:p>
        </w:tc>
        <w:tc>
          <w:tcPr>
            <w:gridSpan w:val="2"/>
            <w:tcW w:w="1154" w:type="dxa"/>
            <w:vAlign w:val="center"/>
            <w:textDirection w:val="lrTb"/>
            <w:noWrap w:val="false"/>
          </w:tcPr>
          <w:p>
            <w:pPr>
              <w:pStyle w:val="935"/>
              <w:ind w:firstLine="0"/>
              <w:jc w:val="center"/>
              <w:spacing w:line="320" w:lineRule="exact"/>
              <w:rPr>
                <w:color w:val="auto"/>
                <w:szCs w:val="21"/>
                <w:highlight w:val="none"/>
              </w:rPr>
            </w:pPr>
            <w:r>
              <w:rPr>
                <w:color w:val="auto"/>
                <w:szCs w:val="21"/>
                <w:highlight w:val="none"/>
              </w:rPr>
              <w:t xml:space="preserve">注册年份</w:t>
            </w:r>
            <w:r/>
          </w:p>
        </w:tc>
        <w:tc>
          <w:tcPr>
            <w:gridSpan w:val="3"/>
            <w:tcW w:w="3169" w:type="dxa"/>
            <w:vAlign w:val="center"/>
            <w:textDirection w:val="lrTb"/>
            <w:noWrap w:val="false"/>
          </w:tcPr>
          <w:p>
            <w:pPr>
              <w:pStyle w:val="935"/>
              <w:ind w:left="437" w:firstLine="0"/>
              <w:spacing w:line="320" w:lineRule="exact"/>
              <w:rPr>
                <w:color w:val="auto"/>
                <w:szCs w:val="21"/>
                <w:highlight w:val="none"/>
              </w:rPr>
            </w:pPr>
            <w:r>
              <w:rPr>
                <w:color w:val="auto"/>
                <w:szCs w:val="21"/>
                <w:highlight w:val="none"/>
              </w:rPr>
            </w:r>
            <w:r/>
          </w:p>
        </w:tc>
      </w:tr>
      <w:tr>
        <w:trPr>
          <w:trHeight w:val="645"/>
        </w:trPr>
        <w:tc>
          <w:tcPr>
            <w:tcW w:w="582" w:type="dxa"/>
            <w:vAlign w:val="center"/>
            <w:textDirection w:val="lrTb"/>
            <w:noWrap w:val="false"/>
          </w:tcPr>
          <w:p>
            <w:pPr>
              <w:pStyle w:val="935"/>
              <w:ind w:firstLine="0"/>
              <w:jc w:val="center"/>
              <w:spacing w:line="320" w:lineRule="exact"/>
              <w:rPr>
                <w:color w:val="auto"/>
                <w:szCs w:val="21"/>
                <w:highlight w:val="none"/>
              </w:rPr>
            </w:pPr>
            <w:r>
              <w:rPr>
                <w:color w:val="auto"/>
                <w:szCs w:val="21"/>
                <w:highlight w:val="none"/>
              </w:rPr>
              <w:t xml:space="preserve">7</w:t>
            </w:r>
            <w:r/>
          </w:p>
        </w:tc>
        <w:tc>
          <w:tcPr>
            <w:tcW w:w="1173" w:type="dxa"/>
            <w:vAlign w:val="center"/>
            <w:textDirection w:val="lrTb"/>
            <w:noWrap w:val="false"/>
          </w:tcPr>
          <w:p>
            <w:pPr>
              <w:pStyle w:val="935"/>
              <w:ind w:firstLine="0"/>
              <w:spacing w:line="320" w:lineRule="exact"/>
              <w:rPr>
                <w:color w:val="auto"/>
                <w:szCs w:val="21"/>
                <w:highlight w:val="none"/>
              </w:rPr>
            </w:pPr>
            <w:r>
              <w:rPr>
                <w:color w:val="auto"/>
                <w:szCs w:val="21"/>
                <w:highlight w:val="none"/>
              </w:rPr>
              <w:t xml:space="preserve">单位职工人数</w:t>
            </w:r>
            <w:r>
              <w:rPr>
                <w:rFonts w:hint="eastAsia"/>
                <w:color w:val="auto"/>
                <w:szCs w:val="21"/>
                <w:highlight w:val="none"/>
              </w:rPr>
              <w:t xml:space="preserve">（含分支机构）</w:t>
            </w:r>
            <w:r/>
          </w:p>
        </w:tc>
        <w:tc>
          <w:tcPr>
            <w:gridSpan w:val="4"/>
            <w:tcW w:w="2284" w:type="dxa"/>
            <w:vAlign w:val="center"/>
            <w:textDirection w:val="lrTb"/>
            <w:noWrap w:val="false"/>
          </w:tcPr>
          <w:p>
            <w:pPr>
              <w:pStyle w:val="935"/>
              <w:ind w:firstLine="2160"/>
              <w:spacing w:line="320" w:lineRule="exact"/>
              <w:rPr>
                <w:color w:val="auto"/>
                <w:szCs w:val="21"/>
                <w:highlight w:val="none"/>
              </w:rPr>
            </w:pPr>
            <w:r>
              <w:rPr>
                <w:color w:val="auto"/>
                <w:szCs w:val="21"/>
                <w:highlight w:val="none"/>
              </w:rPr>
              <w:t xml:space="preserve">人</w:t>
            </w:r>
            <w:r/>
          </w:p>
        </w:tc>
        <w:tc>
          <w:tcPr>
            <w:gridSpan w:val="4"/>
            <w:tcW w:w="2418" w:type="dxa"/>
            <w:vAlign w:val="center"/>
            <w:textDirection w:val="lrTb"/>
            <w:noWrap w:val="false"/>
          </w:tcPr>
          <w:p>
            <w:pPr>
              <w:pStyle w:val="935"/>
              <w:ind w:firstLine="0"/>
              <w:spacing w:line="320" w:lineRule="exact"/>
              <w:rPr>
                <w:color w:val="auto"/>
                <w:szCs w:val="21"/>
                <w:highlight w:val="none"/>
              </w:rPr>
            </w:pPr>
            <w:r>
              <w:rPr>
                <w:rFonts w:hint="eastAsia" w:ascii="宋体" w:hAnsi="宋体" w:cs="宋体"/>
                <w:color w:val="auto"/>
                <w:szCs w:val="21"/>
                <w:highlight w:val="none"/>
              </w:rPr>
              <w:t xml:space="preserve">2024年或2025年总营业收入</w:t>
            </w:r>
            <w:r/>
          </w:p>
        </w:tc>
        <w:tc>
          <w:tcPr>
            <w:tcW w:w="1905" w:type="dxa"/>
            <w:vAlign w:val="center"/>
            <w:textDirection w:val="lrTb"/>
            <w:noWrap w:val="false"/>
          </w:tcPr>
          <w:p>
            <w:pPr>
              <w:pStyle w:val="935"/>
              <w:ind w:left="1112" w:firstLine="0"/>
              <w:spacing w:line="320" w:lineRule="exact"/>
              <w:rPr>
                <w:color w:val="auto"/>
                <w:szCs w:val="21"/>
                <w:highlight w:val="none"/>
              </w:rPr>
            </w:pPr>
            <w:r>
              <w:rPr>
                <w:color w:val="auto"/>
                <w:szCs w:val="21"/>
                <w:highlight w:val="none"/>
              </w:rPr>
              <w:t xml:space="preserve">万元</w:t>
            </w:r>
            <w:r/>
          </w:p>
        </w:tc>
      </w:tr>
      <w:tr>
        <w:trPr>
          <w:cantSplit/>
          <w:trHeight w:val="645"/>
        </w:trPr>
        <w:tc>
          <w:tcPr>
            <w:tcW w:w="582" w:type="dxa"/>
            <w:vAlign w:val="center"/>
            <w:textDirection w:val="lrTb"/>
            <w:noWrap w:val="false"/>
          </w:tcPr>
          <w:p>
            <w:pPr>
              <w:pStyle w:val="935"/>
              <w:ind w:firstLine="0"/>
              <w:jc w:val="center"/>
              <w:spacing w:line="320" w:lineRule="exact"/>
              <w:rPr>
                <w:color w:val="auto"/>
                <w:szCs w:val="21"/>
                <w:highlight w:val="none"/>
              </w:rPr>
            </w:pPr>
            <w:r>
              <w:rPr>
                <w:color w:val="auto"/>
                <w:szCs w:val="21"/>
                <w:highlight w:val="none"/>
              </w:rPr>
              <w:t xml:space="preserve">8</w:t>
            </w:r>
            <w:r/>
          </w:p>
        </w:tc>
        <w:tc>
          <w:tcPr>
            <w:gridSpan w:val="10"/>
            <w:tcW w:w="7780" w:type="dxa"/>
            <w:vAlign w:val="center"/>
            <w:textDirection w:val="lrTb"/>
            <w:noWrap w:val="false"/>
          </w:tcPr>
          <w:p>
            <w:pPr>
              <w:pStyle w:val="935"/>
              <w:ind w:firstLine="0"/>
              <w:spacing w:line="320" w:lineRule="exact"/>
              <w:rPr>
                <w:color w:val="auto"/>
                <w:szCs w:val="21"/>
                <w:highlight w:val="none"/>
              </w:rPr>
            </w:pPr>
            <w:r>
              <w:rPr>
                <w:color w:val="auto"/>
                <w:szCs w:val="21"/>
                <w:highlight w:val="none"/>
              </w:rPr>
              <w:t xml:space="preserve">办公场所的面积：</w:t>
            </w:r>
            <w:r/>
          </w:p>
        </w:tc>
      </w:tr>
      <w:tr>
        <w:trPr>
          <w:trHeight w:val="1767"/>
        </w:trPr>
        <w:tc>
          <w:tcPr>
            <w:tcW w:w="582" w:type="dxa"/>
            <w:vAlign w:val="center"/>
            <w:textDirection w:val="lrTb"/>
            <w:noWrap w:val="false"/>
          </w:tcPr>
          <w:p>
            <w:pPr>
              <w:pStyle w:val="935"/>
              <w:ind w:firstLine="0"/>
              <w:jc w:val="center"/>
              <w:spacing w:line="320" w:lineRule="exact"/>
              <w:rPr>
                <w:color w:val="auto"/>
                <w:szCs w:val="21"/>
                <w:highlight w:val="none"/>
              </w:rPr>
            </w:pPr>
            <w:r>
              <w:rPr>
                <w:color w:val="auto"/>
                <w:szCs w:val="21"/>
                <w:highlight w:val="none"/>
              </w:rPr>
              <w:t xml:space="preserve">9</w:t>
            </w:r>
            <w:r/>
          </w:p>
        </w:tc>
        <w:tc>
          <w:tcPr>
            <w:gridSpan w:val="10"/>
            <w:tcW w:w="7780" w:type="dxa"/>
            <w:vAlign w:val="center"/>
            <w:textDirection w:val="lrTb"/>
            <w:noWrap w:val="false"/>
          </w:tcPr>
          <w:p>
            <w:pPr>
              <w:pStyle w:val="935"/>
              <w:ind w:firstLine="0"/>
              <w:spacing w:line="320" w:lineRule="exact"/>
              <w:rPr>
                <w:color w:val="auto"/>
                <w:szCs w:val="21"/>
                <w:highlight w:val="none"/>
              </w:rPr>
            </w:pPr>
            <w:r>
              <w:rPr>
                <w:color w:val="auto"/>
                <w:szCs w:val="21"/>
                <w:highlight w:val="none"/>
              </w:rPr>
              <w:t xml:space="preserve">主营范围</w:t>
            </w:r>
            <w:r/>
          </w:p>
          <w:p>
            <w:pPr>
              <w:pStyle w:val="935"/>
              <w:ind w:firstLine="0"/>
              <w:spacing w:line="320" w:lineRule="exact"/>
              <w:rPr>
                <w:color w:val="auto"/>
                <w:szCs w:val="21"/>
                <w:highlight w:val="none"/>
              </w:rPr>
            </w:pPr>
            <w:r>
              <w:rPr>
                <w:color w:val="auto"/>
                <w:szCs w:val="21"/>
                <w:highlight w:val="none"/>
              </w:rPr>
              <w:t xml:space="preserve">1、____________________________________</w:t>
            </w:r>
            <w:r/>
          </w:p>
          <w:p>
            <w:pPr>
              <w:pStyle w:val="935"/>
              <w:ind w:firstLine="0"/>
              <w:spacing w:line="320" w:lineRule="exact"/>
              <w:rPr>
                <w:color w:val="auto"/>
                <w:szCs w:val="21"/>
                <w:highlight w:val="none"/>
              </w:rPr>
            </w:pPr>
            <w:r>
              <w:rPr>
                <w:color w:val="auto"/>
                <w:szCs w:val="21"/>
                <w:highlight w:val="none"/>
              </w:rPr>
              <w:t xml:space="preserve">2、____________________________________</w:t>
            </w:r>
            <w:r/>
          </w:p>
        </w:tc>
      </w:tr>
      <w:tr>
        <w:trPr>
          <w:trHeight w:val="1013"/>
        </w:trPr>
        <w:tc>
          <w:tcPr>
            <w:tcW w:w="582" w:type="dxa"/>
            <w:vAlign w:val="center"/>
            <w:textDirection w:val="lrTb"/>
            <w:noWrap w:val="false"/>
          </w:tcPr>
          <w:p>
            <w:pPr>
              <w:widowControl w:val="off"/>
              <w:rPr>
                <w:rFonts w:ascii="宋体" w:hAnsi="宋体"/>
                <w:color w:val="auto"/>
                <w:sz w:val="21"/>
                <w:szCs w:val="21"/>
                <w:highlight w:val="none"/>
              </w:rPr>
            </w:pPr>
            <w:r>
              <w:rPr>
                <w:rFonts w:ascii="宋体" w:hAnsi="宋体"/>
                <w:color w:val="auto"/>
                <w:sz w:val="21"/>
                <w:szCs w:val="21"/>
                <w:highlight w:val="none"/>
              </w:rPr>
              <w:t xml:space="preserve">10</w:t>
            </w:r>
            <w:r/>
          </w:p>
        </w:tc>
        <w:tc>
          <w:tcPr>
            <w:gridSpan w:val="4"/>
            <w:tcW w:w="2189" w:type="dxa"/>
            <w:textDirection w:val="lrTb"/>
            <w:noWrap w:val="false"/>
          </w:tcPr>
          <w:p>
            <w:pPr>
              <w:widowControl w:val="off"/>
              <w:rPr>
                <w:rFonts w:ascii="宋体" w:hAnsi="宋体"/>
                <w:color w:val="auto"/>
                <w:sz w:val="21"/>
                <w:szCs w:val="21"/>
                <w:highlight w:val="none"/>
              </w:rPr>
            </w:pPr>
            <w:r>
              <w:rPr>
                <w:rFonts w:ascii="宋体" w:hAnsi="宋体"/>
                <w:color w:val="auto"/>
                <w:sz w:val="21"/>
                <w:szCs w:val="21"/>
                <w:highlight w:val="none"/>
              </w:rPr>
              <w:t xml:space="preserve">参加政府采购活动前三年内，在经营活动中有无重大违法记录</w:t>
            </w:r>
            <w:r/>
          </w:p>
        </w:tc>
        <w:tc>
          <w:tcPr>
            <w:gridSpan w:val="6"/>
            <w:tcW w:w="5591" w:type="dxa"/>
            <w:textDirection w:val="lrTb"/>
            <w:noWrap w:val="false"/>
          </w:tcPr>
          <w:p>
            <w:pPr>
              <w:widowControl w:val="off"/>
              <w:rPr>
                <w:rFonts w:ascii="宋体" w:hAnsi="宋体"/>
                <w:color w:val="auto"/>
                <w:sz w:val="21"/>
                <w:szCs w:val="21"/>
                <w:highlight w:val="none"/>
              </w:rPr>
            </w:pPr>
            <w:r>
              <w:rPr>
                <w:rFonts w:ascii="宋体" w:hAnsi="宋体"/>
                <w:color w:val="auto"/>
                <w:sz w:val="21"/>
                <w:szCs w:val="21"/>
                <w:highlight w:val="none"/>
              </w:rPr>
            </w:r>
            <w:r/>
          </w:p>
        </w:tc>
      </w:tr>
      <w:tr>
        <w:trPr>
          <w:trHeight w:val="618"/>
        </w:trPr>
        <w:tc>
          <w:tcPr>
            <w:tcW w:w="582" w:type="dxa"/>
            <w:vAlign w:val="center"/>
            <w:textDirection w:val="lrTb"/>
            <w:noWrap w:val="false"/>
          </w:tcPr>
          <w:p>
            <w:pPr>
              <w:widowControl w:val="off"/>
              <w:rPr>
                <w:rFonts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1</w:t>
            </w:r>
            <w:r/>
          </w:p>
        </w:tc>
        <w:tc>
          <w:tcPr>
            <w:gridSpan w:val="10"/>
            <w:tcW w:w="7780" w:type="dxa"/>
            <w:vAlign w:val="center"/>
            <w:textDirection w:val="lrTb"/>
            <w:noWrap w:val="false"/>
          </w:tcPr>
          <w:p>
            <w:pPr>
              <w:widowControl w:val="off"/>
              <w:rPr>
                <w:rFonts w:ascii="宋体" w:hAnsi="宋体"/>
                <w:color w:val="auto"/>
                <w:sz w:val="21"/>
                <w:szCs w:val="21"/>
                <w:highlight w:val="none"/>
              </w:rPr>
            </w:pPr>
            <w:r>
              <w:rPr>
                <w:rFonts w:ascii="宋体" w:hAnsi="宋体"/>
                <w:color w:val="auto"/>
                <w:sz w:val="21"/>
                <w:szCs w:val="21"/>
                <w:highlight w:val="none"/>
              </w:rPr>
              <w:t xml:space="preserve">其他需要说明的情况</w:t>
            </w:r>
            <w:r/>
          </w:p>
        </w:tc>
      </w:tr>
    </w:tbl>
    <w:p>
      <w:pPr>
        <w:spacing w:line="360" w:lineRule="auto"/>
        <w:widowControl w:val="off"/>
        <w:rPr>
          <w:rFonts w:ascii="宋体" w:hAnsi="宋体" w:cs="宋体"/>
          <w:b/>
          <w:bCs/>
          <w:color w:val="auto"/>
          <w:sz w:val="21"/>
          <w:szCs w:val="21"/>
          <w:highlight w:val="none"/>
        </w:rPr>
      </w:pPr>
      <w:r>
        <w:rPr>
          <w:rFonts w:hint="eastAsia" w:ascii="宋体" w:hAnsi="宋体" w:cs="宋体"/>
          <w:bCs/>
          <w:color w:val="auto"/>
          <w:sz w:val="21"/>
          <w:szCs w:val="21"/>
          <w:highlight w:val="none"/>
        </w:rPr>
        <w:br w:type="page" w:clear="all"/>
      </w:r>
      <w:bookmarkStart w:id="70" w:name="_Toc4213"/>
      <w:r>
        <w:rPr>
          <w:rFonts w:hint="eastAsia" w:ascii="宋体" w:hAnsi="宋体"/>
          <w:b/>
          <w:bCs/>
          <w:color w:val="auto"/>
          <w:sz w:val="21"/>
          <w:szCs w:val="21"/>
          <w:highlight w:val="none"/>
        </w:rPr>
        <w:t xml:space="preserve">格式7：</w:t>
      </w:r>
      <w:r>
        <w:rPr>
          <w:rFonts w:hint="eastAsia" w:ascii="宋体" w:hAnsi="宋体" w:cs="宋体"/>
          <w:b/>
          <w:color w:val="auto"/>
          <w:sz w:val="21"/>
          <w:szCs w:val="21"/>
          <w:highlight w:val="none"/>
          <w:lang w:val="zh-CN"/>
        </w:rPr>
        <w:t xml:space="preserve">供应商与其他单位存在直接控股、管理关系情况表</w:t>
      </w:r>
      <w:r>
        <w:rPr>
          <w:rFonts w:hint="eastAsia" w:ascii="宋体" w:hAnsi="宋体" w:cs="宋体"/>
          <w:b/>
          <w:bCs/>
          <w:color w:val="auto"/>
          <w:sz w:val="21"/>
          <w:szCs w:val="21"/>
          <w:highlight w:val="none"/>
        </w:rPr>
        <w:t xml:space="preserve"> </w:t>
      </w:r>
      <w:r/>
    </w:p>
    <w:p>
      <w:pPr>
        <w:jc w:val="center"/>
        <w:widowControl w:val="off"/>
        <w:rPr>
          <w:rFonts w:ascii="宋体" w:hAnsi="宋体" w:cs="宋体"/>
          <w:b/>
          <w:bCs/>
          <w:color w:val="auto"/>
          <w:highlight w:val="none"/>
        </w:rPr>
      </w:pPr>
      <w:r>
        <w:rPr>
          <w:rFonts w:hint="eastAsia" w:ascii="宋体" w:hAnsi="宋体" w:cs="宋体"/>
          <w:b/>
          <w:bCs/>
          <w:color w:val="auto"/>
          <w:highlight w:val="none"/>
        </w:rPr>
        <w:t xml:space="preserve">供应商与其他单位存在直接控股、管理关系情况表</w:t>
      </w:r>
      <w:r/>
    </w:p>
    <w:tbl>
      <w:tblPr>
        <w:tblStyle w:val="746"/>
        <w:tblW w:w="101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99"/>
        <w:gridCol w:w="1550"/>
        <w:gridCol w:w="1370"/>
        <w:gridCol w:w="1439"/>
        <w:gridCol w:w="1310"/>
        <w:gridCol w:w="1557"/>
        <w:gridCol w:w="1154"/>
      </w:tblGrid>
      <w:tr>
        <w:trPr>
          <w:jc w:val="center"/>
          <w:trHeight w:val="768"/>
        </w:trPr>
        <w:tc>
          <w:tcPr>
            <w:gridSpan w:val="4"/>
            <w:tcW w:w="6158" w:type="dxa"/>
            <w:vAlign w:val="center"/>
            <w:textDirection w:val="lrTb"/>
            <w:noWrap w:val="false"/>
          </w:tcPr>
          <w:p>
            <w:pPr>
              <w:jc w:val="center"/>
              <w:widowControl w:val="off"/>
              <w:rPr>
                <w:rFonts w:ascii="宋体" w:hAnsi="宋体"/>
                <w:b/>
                <w:color w:val="auto"/>
                <w:sz w:val="21"/>
                <w:szCs w:val="21"/>
                <w:highlight w:val="none"/>
                <w:shd w:val="clear" w:color="auto" w:fill="ffffff"/>
              </w:rPr>
            </w:pPr>
            <w:r>
              <w:rPr>
                <w:rFonts w:hint="eastAsia" w:ascii="宋体" w:hAnsi="宋体"/>
                <w:b/>
                <w:color w:val="auto"/>
                <w:sz w:val="21"/>
                <w:szCs w:val="21"/>
                <w:highlight w:val="none"/>
                <w:shd w:val="clear" w:color="auto" w:fill="ffffff"/>
              </w:rPr>
              <w:t xml:space="preserve">与供应商存在直接股权关系</w:t>
            </w:r>
            <w:r/>
          </w:p>
        </w:tc>
        <w:tc>
          <w:tcPr>
            <w:gridSpan w:val="3"/>
            <w:tcW w:w="4021" w:type="dxa"/>
            <w:vAlign w:val="center"/>
            <w:textDirection w:val="lrTb"/>
            <w:noWrap w:val="false"/>
          </w:tcPr>
          <w:p>
            <w:pPr>
              <w:jc w:val="center"/>
              <w:widowControl w:val="off"/>
              <w:rPr>
                <w:rFonts w:ascii="宋体" w:hAnsi="宋体"/>
                <w:b/>
                <w:color w:val="auto"/>
                <w:sz w:val="21"/>
                <w:szCs w:val="21"/>
                <w:highlight w:val="none"/>
                <w:shd w:val="clear" w:color="auto" w:fill="ffffff"/>
              </w:rPr>
            </w:pPr>
            <w:r>
              <w:rPr>
                <w:rFonts w:hint="eastAsia" w:ascii="宋体" w:hAnsi="宋体"/>
                <w:b/>
                <w:color w:val="auto"/>
                <w:sz w:val="21"/>
                <w:szCs w:val="21"/>
                <w:highlight w:val="none"/>
                <w:shd w:val="clear" w:color="auto" w:fill="ffffff"/>
              </w:rPr>
              <w:t xml:space="preserve">与供应商存在直接管理关系</w:t>
            </w:r>
            <w:r/>
          </w:p>
        </w:tc>
      </w:tr>
      <w:tr>
        <w:trPr>
          <w:jc w:val="center"/>
          <w:trHeight w:val="818"/>
        </w:trPr>
        <w:tc>
          <w:tcPr>
            <w:tcW w:w="1799" w:type="dxa"/>
            <w:vAlign w:val="center"/>
            <w:textDirection w:val="lrTb"/>
            <w:noWrap w:val="false"/>
          </w:tcPr>
          <w:p>
            <w:pPr>
              <w:jc w:val="center"/>
              <w:widowControl w:val="off"/>
              <w:rPr>
                <w:rFonts w:ascii="宋体" w:hAnsi="宋体"/>
                <w:b/>
                <w:color w:val="auto"/>
                <w:sz w:val="21"/>
                <w:szCs w:val="21"/>
                <w:highlight w:val="none"/>
                <w:shd w:val="clear" w:color="auto" w:fill="ffffff"/>
              </w:rPr>
            </w:pPr>
            <w:r>
              <w:rPr>
                <w:rFonts w:hint="eastAsia" w:ascii="宋体" w:hAnsi="宋体"/>
                <w:b/>
                <w:color w:val="auto"/>
                <w:sz w:val="21"/>
                <w:szCs w:val="21"/>
                <w:highlight w:val="none"/>
                <w:shd w:val="clear" w:color="auto" w:fill="ffffff"/>
              </w:rPr>
              <w:t xml:space="preserve">单位名称</w:t>
            </w:r>
            <w:r/>
          </w:p>
        </w:tc>
        <w:tc>
          <w:tcPr>
            <w:tcW w:w="1550" w:type="dxa"/>
            <w:vAlign w:val="center"/>
            <w:textDirection w:val="lrTb"/>
            <w:noWrap w:val="false"/>
          </w:tcPr>
          <w:p>
            <w:pPr>
              <w:jc w:val="center"/>
              <w:widowControl w:val="off"/>
              <w:rPr>
                <w:rFonts w:ascii="宋体" w:hAnsi="宋体"/>
                <w:b/>
                <w:color w:val="auto"/>
                <w:sz w:val="21"/>
                <w:szCs w:val="21"/>
                <w:highlight w:val="none"/>
                <w:shd w:val="clear" w:color="auto" w:fill="ffffff"/>
              </w:rPr>
            </w:pPr>
            <w:r>
              <w:rPr>
                <w:rFonts w:hint="eastAsia" w:ascii="宋体" w:hAnsi="宋体"/>
                <w:b/>
                <w:color w:val="auto"/>
                <w:sz w:val="21"/>
                <w:szCs w:val="21"/>
                <w:highlight w:val="none"/>
                <w:shd w:val="clear" w:color="auto" w:fill="ffffff"/>
              </w:rPr>
              <w:t xml:space="preserve">是否为大型企业</w:t>
            </w:r>
            <w:r/>
          </w:p>
          <w:p>
            <w:pPr>
              <w:jc w:val="center"/>
              <w:widowControl w:val="off"/>
              <w:rPr>
                <w:rFonts w:ascii="宋体" w:hAnsi="宋体"/>
                <w:b/>
                <w:color w:val="auto"/>
                <w:sz w:val="18"/>
                <w:szCs w:val="18"/>
                <w:highlight w:val="none"/>
                <w:shd w:val="clear" w:color="auto" w:fill="ffffff"/>
              </w:rPr>
            </w:pPr>
            <w:r>
              <w:rPr>
                <w:rFonts w:hint="eastAsia" w:ascii="宋体" w:hAnsi="宋体"/>
                <w:b/>
                <w:color w:val="auto"/>
                <w:sz w:val="18"/>
                <w:szCs w:val="18"/>
                <w:highlight w:val="none"/>
                <w:shd w:val="clear" w:color="auto" w:fill="ffffff"/>
              </w:rPr>
              <w:t xml:space="preserve">（填写“是”或 “否”）</w:t>
            </w:r>
            <w:r/>
          </w:p>
        </w:tc>
        <w:tc>
          <w:tcPr>
            <w:tcW w:w="1370" w:type="dxa"/>
            <w:textDirection w:val="lrTb"/>
            <w:noWrap w:val="false"/>
          </w:tcPr>
          <w:p>
            <w:pPr>
              <w:jc w:val="center"/>
              <w:widowControl w:val="off"/>
              <w:rPr>
                <w:rFonts w:ascii="宋体" w:hAnsi="宋体"/>
                <w:b/>
                <w:color w:val="auto"/>
                <w:sz w:val="21"/>
                <w:szCs w:val="21"/>
                <w:highlight w:val="none"/>
                <w:shd w:val="clear" w:color="auto" w:fill="ffffff"/>
              </w:rPr>
            </w:pPr>
            <w:r>
              <w:rPr>
                <w:rFonts w:hint="eastAsia" w:ascii="宋体" w:hAnsi="宋体"/>
                <w:b/>
                <w:color w:val="auto"/>
                <w:sz w:val="21"/>
                <w:szCs w:val="21"/>
                <w:highlight w:val="none"/>
                <w:shd w:val="clear" w:color="auto" w:fill="ffffff"/>
              </w:rPr>
              <w:t xml:space="preserve">是否直接控股</w:t>
            </w:r>
            <w:r/>
          </w:p>
          <w:p>
            <w:pPr>
              <w:jc w:val="center"/>
              <w:widowControl w:val="off"/>
              <w:rPr>
                <w:rFonts w:ascii="宋体" w:hAnsi="宋体"/>
                <w:b/>
                <w:color w:val="auto"/>
                <w:sz w:val="18"/>
                <w:szCs w:val="18"/>
                <w:highlight w:val="none"/>
                <w:shd w:val="clear" w:color="auto" w:fill="ffffff"/>
              </w:rPr>
            </w:pPr>
            <w:r>
              <w:rPr>
                <w:rFonts w:hint="eastAsia" w:ascii="宋体" w:hAnsi="宋体"/>
                <w:b/>
                <w:color w:val="auto"/>
                <w:sz w:val="18"/>
                <w:szCs w:val="18"/>
                <w:highlight w:val="none"/>
                <w:shd w:val="clear" w:color="auto" w:fill="ffffff"/>
              </w:rPr>
              <w:t xml:space="preserve">（填写“是”或 “否”）</w:t>
            </w:r>
            <w:r/>
          </w:p>
        </w:tc>
        <w:tc>
          <w:tcPr>
            <w:tcW w:w="1439" w:type="dxa"/>
            <w:vAlign w:val="center"/>
            <w:textDirection w:val="lrTb"/>
            <w:noWrap w:val="false"/>
          </w:tcPr>
          <w:p>
            <w:pPr>
              <w:jc w:val="center"/>
              <w:widowControl w:val="off"/>
              <w:rPr>
                <w:rFonts w:ascii="宋体" w:hAnsi="宋体"/>
                <w:b/>
                <w:color w:val="auto"/>
                <w:sz w:val="21"/>
                <w:szCs w:val="21"/>
                <w:highlight w:val="none"/>
                <w:shd w:val="clear" w:color="auto" w:fill="ffffff"/>
              </w:rPr>
            </w:pPr>
            <w:r>
              <w:rPr>
                <w:rFonts w:hint="eastAsia" w:ascii="宋体" w:hAnsi="宋体"/>
                <w:b/>
                <w:color w:val="auto"/>
                <w:sz w:val="21"/>
                <w:szCs w:val="21"/>
                <w:highlight w:val="none"/>
                <w:shd w:val="clear" w:color="auto" w:fill="ffffff"/>
              </w:rPr>
              <w:t xml:space="preserve">直接控股关系情况说明</w:t>
            </w:r>
            <w:r>
              <w:rPr>
                <w:rFonts w:hint="eastAsia" w:ascii="宋体" w:hAnsi="宋体"/>
                <w:b/>
                <w:color w:val="auto"/>
                <w:sz w:val="18"/>
                <w:szCs w:val="18"/>
                <w:highlight w:val="none"/>
                <w:shd w:val="clear" w:color="auto" w:fill="ffffff"/>
              </w:rPr>
              <w:t xml:space="preserve">（持股比例等）</w:t>
            </w:r>
            <w:r/>
          </w:p>
        </w:tc>
        <w:tc>
          <w:tcPr>
            <w:tcW w:w="1310" w:type="dxa"/>
            <w:vAlign w:val="center"/>
            <w:textDirection w:val="lrTb"/>
            <w:noWrap w:val="false"/>
          </w:tcPr>
          <w:p>
            <w:pPr>
              <w:jc w:val="center"/>
              <w:widowControl w:val="off"/>
              <w:rPr>
                <w:rFonts w:ascii="宋体" w:hAnsi="宋体"/>
                <w:b/>
                <w:color w:val="auto"/>
                <w:sz w:val="21"/>
                <w:szCs w:val="21"/>
                <w:highlight w:val="none"/>
                <w:shd w:val="clear" w:color="auto" w:fill="ffffff"/>
              </w:rPr>
            </w:pPr>
            <w:r>
              <w:rPr>
                <w:rFonts w:hint="eastAsia" w:ascii="宋体" w:hAnsi="宋体"/>
                <w:b/>
                <w:color w:val="auto"/>
                <w:sz w:val="21"/>
                <w:szCs w:val="21"/>
                <w:highlight w:val="none"/>
                <w:shd w:val="clear" w:color="auto" w:fill="ffffff"/>
              </w:rPr>
              <w:t xml:space="preserve">单位名称</w:t>
            </w:r>
            <w:r/>
          </w:p>
        </w:tc>
        <w:tc>
          <w:tcPr>
            <w:tcW w:w="1557" w:type="dxa"/>
            <w:vAlign w:val="center"/>
            <w:textDirection w:val="lrTb"/>
            <w:noWrap w:val="false"/>
          </w:tcPr>
          <w:p>
            <w:pPr>
              <w:jc w:val="center"/>
              <w:widowControl w:val="off"/>
              <w:rPr>
                <w:rFonts w:ascii="宋体" w:hAnsi="宋体"/>
                <w:b/>
                <w:color w:val="auto"/>
                <w:sz w:val="21"/>
                <w:szCs w:val="21"/>
                <w:highlight w:val="none"/>
                <w:shd w:val="clear" w:color="auto" w:fill="ffffff"/>
              </w:rPr>
            </w:pPr>
            <w:r>
              <w:rPr>
                <w:rFonts w:hint="eastAsia" w:ascii="宋体" w:hAnsi="宋体"/>
                <w:b/>
                <w:color w:val="auto"/>
                <w:sz w:val="21"/>
                <w:szCs w:val="21"/>
                <w:highlight w:val="none"/>
                <w:shd w:val="clear" w:color="auto" w:fill="ffffff"/>
              </w:rPr>
              <w:t xml:space="preserve">是否为大型企业</w:t>
            </w:r>
            <w:r/>
          </w:p>
          <w:p>
            <w:pPr>
              <w:jc w:val="center"/>
              <w:widowControl w:val="off"/>
              <w:rPr>
                <w:rFonts w:ascii="宋体" w:hAnsi="宋体"/>
                <w:b/>
                <w:color w:val="auto"/>
                <w:sz w:val="18"/>
                <w:szCs w:val="18"/>
                <w:highlight w:val="none"/>
                <w:shd w:val="clear" w:color="auto" w:fill="ffffff"/>
              </w:rPr>
            </w:pPr>
            <w:r>
              <w:rPr>
                <w:rFonts w:hint="eastAsia" w:ascii="宋体" w:hAnsi="宋体"/>
                <w:b/>
                <w:color w:val="auto"/>
                <w:sz w:val="18"/>
                <w:szCs w:val="18"/>
                <w:highlight w:val="none"/>
                <w:shd w:val="clear" w:color="auto" w:fill="ffffff"/>
              </w:rPr>
              <w:t xml:space="preserve">（填写“是”或 “否”）</w:t>
            </w:r>
            <w:r/>
          </w:p>
        </w:tc>
        <w:tc>
          <w:tcPr>
            <w:tcW w:w="1154" w:type="dxa"/>
            <w:vAlign w:val="center"/>
            <w:textDirection w:val="lrTb"/>
            <w:noWrap w:val="false"/>
          </w:tcPr>
          <w:p>
            <w:pPr>
              <w:jc w:val="center"/>
              <w:widowControl w:val="off"/>
              <w:rPr>
                <w:rFonts w:ascii="宋体" w:hAnsi="宋体"/>
                <w:b/>
                <w:color w:val="auto"/>
                <w:sz w:val="21"/>
                <w:szCs w:val="21"/>
                <w:highlight w:val="none"/>
                <w:shd w:val="clear" w:color="auto" w:fill="ffffff"/>
              </w:rPr>
            </w:pPr>
            <w:r>
              <w:rPr>
                <w:rFonts w:hint="eastAsia" w:ascii="宋体" w:hAnsi="宋体"/>
                <w:b/>
                <w:color w:val="auto"/>
                <w:sz w:val="21"/>
                <w:szCs w:val="21"/>
                <w:highlight w:val="none"/>
                <w:shd w:val="clear" w:color="auto" w:fill="ffffff"/>
              </w:rPr>
              <w:t xml:space="preserve">直接管理关系情况说明</w:t>
            </w:r>
            <w:r/>
          </w:p>
        </w:tc>
      </w:tr>
      <w:tr>
        <w:trPr>
          <w:jc w:val="center"/>
          <w:trHeight w:val="851"/>
        </w:trPr>
        <w:tc>
          <w:tcPr>
            <w:tcW w:w="1799" w:type="dxa"/>
            <w:vAlign w:val="center"/>
            <w:textDirection w:val="lrTb"/>
            <w:noWrap w:val="false"/>
          </w:tcPr>
          <w:p>
            <w:pPr>
              <w:jc w:val="center"/>
              <w:widowControl w:val="off"/>
              <w:rPr>
                <w:rFonts w:ascii="宋体" w:hAnsi="宋体"/>
                <w:b/>
                <w:color w:val="auto"/>
                <w:sz w:val="21"/>
                <w:szCs w:val="21"/>
                <w:highlight w:val="none"/>
                <w:shd w:val="clear" w:color="auto" w:fill="ffffff"/>
              </w:rPr>
            </w:pPr>
            <w:r>
              <w:rPr>
                <w:rFonts w:ascii="宋体" w:hAnsi="宋体"/>
                <w:b/>
                <w:color w:val="auto"/>
                <w:sz w:val="21"/>
                <w:szCs w:val="21"/>
                <w:highlight w:val="none"/>
                <w:shd w:val="clear" w:color="auto" w:fill="ffffff"/>
              </w:rPr>
            </w:r>
            <w:r/>
          </w:p>
        </w:tc>
        <w:tc>
          <w:tcPr>
            <w:tcW w:w="1550" w:type="dxa"/>
            <w:vAlign w:val="center"/>
            <w:textDirection w:val="lrTb"/>
            <w:noWrap w:val="false"/>
          </w:tcPr>
          <w:p>
            <w:pPr>
              <w:jc w:val="center"/>
              <w:widowControl w:val="off"/>
              <w:rPr>
                <w:rFonts w:ascii="宋体" w:hAnsi="宋体"/>
                <w:b/>
                <w:color w:val="auto"/>
                <w:sz w:val="21"/>
                <w:szCs w:val="21"/>
                <w:highlight w:val="none"/>
                <w:shd w:val="clear" w:color="auto" w:fill="ffffff"/>
              </w:rPr>
            </w:pPr>
            <w:r>
              <w:rPr>
                <w:rFonts w:ascii="宋体" w:hAnsi="宋体"/>
                <w:b/>
                <w:color w:val="auto"/>
                <w:sz w:val="21"/>
                <w:szCs w:val="21"/>
                <w:highlight w:val="none"/>
                <w:shd w:val="clear" w:color="auto" w:fill="ffffff"/>
              </w:rPr>
            </w:r>
            <w:r/>
          </w:p>
        </w:tc>
        <w:tc>
          <w:tcPr>
            <w:tcW w:w="1370" w:type="dxa"/>
            <w:vAlign w:val="center"/>
            <w:textDirection w:val="lrTb"/>
            <w:noWrap w:val="false"/>
          </w:tcPr>
          <w:p>
            <w:pPr>
              <w:jc w:val="center"/>
              <w:widowControl w:val="off"/>
              <w:rPr>
                <w:rFonts w:ascii="宋体" w:hAnsi="宋体"/>
                <w:b/>
                <w:color w:val="auto"/>
                <w:sz w:val="21"/>
                <w:szCs w:val="21"/>
                <w:highlight w:val="none"/>
                <w:shd w:val="clear" w:color="auto" w:fill="ffffff"/>
              </w:rPr>
            </w:pPr>
            <w:r>
              <w:rPr>
                <w:rFonts w:ascii="宋体" w:hAnsi="宋体"/>
                <w:b/>
                <w:color w:val="auto"/>
                <w:sz w:val="21"/>
                <w:szCs w:val="21"/>
                <w:highlight w:val="none"/>
                <w:shd w:val="clear" w:color="auto" w:fill="ffffff"/>
              </w:rPr>
            </w:r>
            <w:r/>
          </w:p>
        </w:tc>
        <w:tc>
          <w:tcPr>
            <w:tcW w:w="1439" w:type="dxa"/>
            <w:vAlign w:val="center"/>
            <w:textDirection w:val="lrTb"/>
            <w:noWrap w:val="false"/>
          </w:tcPr>
          <w:p>
            <w:pPr>
              <w:jc w:val="center"/>
              <w:widowControl w:val="off"/>
              <w:rPr>
                <w:rFonts w:ascii="宋体" w:hAnsi="宋体"/>
                <w:b/>
                <w:color w:val="auto"/>
                <w:sz w:val="21"/>
                <w:szCs w:val="21"/>
                <w:highlight w:val="none"/>
                <w:shd w:val="clear" w:color="auto" w:fill="ffffff"/>
              </w:rPr>
            </w:pPr>
            <w:r>
              <w:rPr>
                <w:rFonts w:ascii="宋体" w:hAnsi="宋体"/>
                <w:b/>
                <w:color w:val="auto"/>
                <w:sz w:val="21"/>
                <w:szCs w:val="21"/>
                <w:highlight w:val="none"/>
                <w:shd w:val="clear" w:color="auto" w:fill="ffffff"/>
              </w:rPr>
            </w:r>
            <w:r/>
          </w:p>
        </w:tc>
        <w:tc>
          <w:tcPr>
            <w:tcW w:w="1310" w:type="dxa"/>
            <w:vAlign w:val="center"/>
            <w:textDirection w:val="lrTb"/>
            <w:noWrap w:val="false"/>
          </w:tcPr>
          <w:p>
            <w:pPr>
              <w:jc w:val="center"/>
              <w:widowControl w:val="off"/>
              <w:rPr>
                <w:rFonts w:ascii="宋体" w:hAnsi="宋体"/>
                <w:b/>
                <w:color w:val="auto"/>
                <w:sz w:val="21"/>
                <w:szCs w:val="21"/>
                <w:highlight w:val="none"/>
                <w:shd w:val="clear" w:color="auto" w:fill="ffffff"/>
              </w:rPr>
            </w:pPr>
            <w:r>
              <w:rPr>
                <w:rFonts w:ascii="宋体" w:hAnsi="宋体"/>
                <w:b/>
                <w:color w:val="auto"/>
                <w:sz w:val="21"/>
                <w:szCs w:val="21"/>
                <w:highlight w:val="none"/>
                <w:shd w:val="clear" w:color="auto" w:fill="ffffff"/>
              </w:rPr>
            </w:r>
            <w:r/>
          </w:p>
        </w:tc>
        <w:tc>
          <w:tcPr>
            <w:tcW w:w="1557" w:type="dxa"/>
            <w:vAlign w:val="center"/>
            <w:textDirection w:val="lrTb"/>
            <w:noWrap w:val="false"/>
          </w:tcPr>
          <w:p>
            <w:pPr>
              <w:jc w:val="center"/>
              <w:widowControl w:val="off"/>
              <w:rPr>
                <w:rFonts w:ascii="宋体" w:hAnsi="宋体"/>
                <w:b/>
                <w:color w:val="auto"/>
                <w:sz w:val="21"/>
                <w:szCs w:val="21"/>
                <w:highlight w:val="none"/>
                <w:shd w:val="clear" w:color="auto" w:fill="ffffff"/>
              </w:rPr>
            </w:pPr>
            <w:r>
              <w:rPr>
                <w:rFonts w:ascii="宋体" w:hAnsi="宋体"/>
                <w:b/>
                <w:color w:val="auto"/>
                <w:sz w:val="21"/>
                <w:szCs w:val="21"/>
                <w:highlight w:val="none"/>
                <w:shd w:val="clear" w:color="auto" w:fill="ffffff"/>
              </w:rPr>
            </w:r>
            <w:r/>
          </w:p>
        </w:tc>
        <w:tc>
          <w:tcPr>
            <w:tcW w:w="1154" w:type="dxa"/>
            <w:vAlign w:val="center"/>
            <w:textDirection w:val="lrTb"/>
            <w:noWrap w:val="false"/>
          </w:tcPr>
          <w:p>
            <w:pPr>
              <w:jc w:val="center"/>
              <w:widowControl w:val="off"/>
              <w:rPr>
                <w:rFonts w:ascii="宋体" w:hAnsi="宋体"/>
                <w:b/>
                <w:color w:val="auto"/>
                <w:sz w:val="21"/>
                <w:szCs w:val="21"/>
                <w:highlight w:val="none"/>
                <w:shd w:val="clear" w:color="auto" w:fill="ffffff"/>
              </w:rPr>
            </w:pPr>
            <w:r>
              <w:rPr>
                <w:rFonts w:ascii="宋体" w:hAnsi="宋体"/>
                <w:b/>
                <w:color w:val="auto"/>
                <w:sz w:val="21"/>
                <w:szCs w:val="21"/>
                <w:highlight w:val="none"/>
                <w:shd w:val="clear" w:color="auto" w:fill="ffffff"/>
              </w:rPr>
            </w:r>
            <w:r/>
          </w:p>
        </w:tc>
      </w:tr>
      <w:tr>
        <w:trPr>
          <w:jc w:val="center"/>
          <w:trHeight w:val="851"/>
        </w:trPr>
        <w:tc>
          <w:tcPr>
            <w:tcW w:w="1799" w:type="dxa"/>
            <w:vAlign w:val="center"/>
            <w:textDirection w:val="lrTb"/>
            <w:noWrap w:val="false"/>
          </w:tcPr>
          <w:p>
            <w:pPr>
              <w:jc w:val="center"/>
              <w:widowControl w:val="off"/>
              <w:rPr>
                <w:rFonts w:ascii="宋体" w:hAnsi="宋体"/>
                <w:b/>
                <w:color w:val="auto"/>
                <w:sz w:val="21"/>
                <w:szCs w:val="21"/>
                <w:highlight w:val="none"/>
                <w:shd w:val="clear" w:color="auto" w:fill="ffffff"/>
              </w:rPr>
            </w:pPr>
            <w:r>
              <w:rPr>
                <w:rFonts w:ascii="宋体" w:hAnsi="宋体"/>
                <w:b/>
                <w:color w:val="auto"/>
                <w:sz w:val="21"/>
                <w:szCs w:val="21"/>
                <w:highlight w:val="none"/>
                <w:shd w:val="clear" w:color="auto" w:fill="ffffff"/>
              </w:rPr>
            </w:r>
            <w:r/>
          </w:p>
        </w:tc>
        <w:tc>
          <w:tcPr>
            <w:tcW w:w="1550" w:type="dxa"/>
            <w:vAlign w:val="center"/>
            <w:textDirection w:val="lrTb"/>
            <w:noWrap w:val="false"/>
          </w:tcPr>
          <w:p>
            <w:pPr>
              <w:jc w:val="center"/>
              <w:widowControl w:val="off"/>
              <w:rPr>
                <w:rFonts w:ascii="宋体" w:hAnsi="宋体"/>
                <w:b/>
                <w:color w:val="auto"/>
                <w:sz w:val="21"/>
                <w:szCs w:val="21"/>
                <w:highlight w:val="none"/>
                <w:shd w:val="clear" w:color="auto" w:fill="ffffff"/>
              </w:rPr>
            </w:pPr>
            <w:r>
              <w:rPr>
                <w:rFonts w:ascii="宋体" w:hAnsi="宋体"/>
                <w:b/>
                <w:color w:val="auto"/>
                <w:sz w:val="21"/>
                <w:szCs w:val="21"/>
                <w:highlight w:val="none"/>
                <w:shd w:val="clear" w:color="auto" w:fill="ffffff"/>
              </w:rPr>
            </w:r>
            <w:r/>
          </w:p>
        </w:tc>
        <w:tc>
          <w:tcPr>
            <w:tcW w:w="1370" w:type="dxa"/>
            <w:vAlign w:val="center"/>
            <w:textDirection w:val="lrTb"/>
            <w:noWrap w:val="false"/>
          </w:tcPr>
          <w:p>
            <w:pPr>
              <w:jc w:val="center"/>
              <w:widowControl w:val="off"/>
              <w:rPr>
                <w:rFonts w:ascii="宋体" w:hAnsi="宋体"/>
                <w:b/>
                <w:color w:val="auto"/>
                <w:sz w:val="21"/>
                <w:szCs w:val="21"/>
                <w:highlight w:val="none"/>
                <w:shd w:val="clear" w:color="auto" w:fill="ffffff"/>
              </w:rPr>
            </w:pPr>
            <w:r>
              <w:rPr>
                <w:rFonts w:ascii="宋体" w:hAnsi="宋体"/>
                <w:b/>
                <w:color w:val="auto"/>
                <w:sz w:val="21"/>
                <w:szCs w:val="21"/>
                <w:highlight w:val="none"/>
                <w:shd w:val="clear" w:color="auto" w:fill="ffffff"/>
              </w:rPr>
            </w:r>
            <w:r/>
          </w:p>
        </w:tc>
        <w:tc>
          <w:tcPr>
            <w:tcW w:w="1439" w:type="dxa"/>
            <w:vAlign w:val="center"/>
            <w:textDirection w:val="lrTb"/>
            <w:noWrap w:val="false"/>
          </w:tcPr>
          <w:p>
            <w:pPr>
              <w:jc w:val="center"/>
              <w:widowControl w:val="off"/>
              <w:rPr>
                <w:rFonts w:ascii="宋体" w:hAnsi="宋体"/>
                <w:b/>
                <w:color w:val="auto"/>
                <w:sz w:val="21"/>
                <w:szCs w:val="21"/>
                <w:highlight w:val="none"/>
                <w:shd w:val="clear" w:color="auto" w:fill="ffffff"/>
              </w:rPr>
            </w:pPr>
            <w:r>
              <w:rPr>
                <w:rFonts w:ascii="宋体" w:hAnsi="宋体"/>
                <w:b/>
                <w:color w:val="auto"/>
                <w:sz w:val="21"/>
                <w:szCs w:val="21"/>
                <w:highlight w:val="none"/>
                <w:shd w:val="clear" w:color="auto" w:fill="ffffff"/>
              </w:rPr>
            </w:r>
            <w:r/>
          </w:p>
        </w:tc>
        <w:tc>
          <w:tcPr>
            <w:tcW w:w="1310" w:type="dxa"/>
            <w:vAlign w:val="center"/>
            <w:textDirection w:val="lrTb"/>
            <w:noWrap w:val="false"/>
          </w:tcPr>
          <w:p>
            <w:pPr>
              <w:jc w:val="center"/>
              <w:widowControl w:val="off"/>
              <w:rPr>
                <w:rFonts w:ascii="宋体" w:hAnsi="宋体"/>
                <w:b/>
                <w:color w:val="auto"/>
                <w:sz w:val="21"/>
                <w:szCs w:val="21"/>
                <w:highlight w:val="none"/>
                <w:shd w:val="clear" w:color="auto" w:fill="ffffff"/>
              </w:rPr>
            </w:pPr>
            <w:r>
              <w:rPr>
                <w:rFonts w:ascii="宋体" w:hAnsi="宋体"/>
                <w:b/>
                <w:color w:val="auto"/>
                <w:sz w:val="21"/>
                <w:szCs w:val="21"/>
                <w:highlight w:val="none"/>
                <w:shd w:val="clear" w:color="auto" w:fill="ffffff"/>
              </w:rPr>
            </w:r>
            <w:r/>
          </w:p>
        </w:tc>
        <w:tc>
          <w:tcPr>
            <w:tcW w:w="1557" w:type="dxa"/>
            <w:vAlign w:val="center"/>
            <w:textDirection w:val="lrTb"/>
            <w:noWrap w:val="false"/>
          </w:tcPr>
          <w:p>
            <w:pPr>
              <w:jc w:val="center"/>
              <w:widowControl w:val="off"/>
              <w:rPr>
                <w:rFonts w:ascii="宋体" w:hAnsi="宋体"/>
                <w:b/>
                <w:color w:val="auto"/>
                <w:sz w:val="21"/>
                <w:szCs w:val="21"/>
                <w:highlight w:val="none"/>
                <w:shd w:val="clear" w:color="auto" w:fill="ffffff"/>
              </w:rPr>
            </w:pPr>
            <w:r>
              <w:rPr>
                <w:rFonts w:ascii="宋体" w:hAnsi="宋体"/>
                <w:b/>
                <w:color w:val="auto"/>
                <w:sz w:val="21"/>
                <w:szCs w:val="21"/>
                <w:highlight w:val="none"/>
                <w:shd w:val="clear" w:color="auto" w:fill="ffffff"/>
              </w:rPr>
            </w:r>
            <w:r/>
          </w:p>
        </w:tc>
        <w:tc>
          <w:tcPr>
            <w:tcW w:w="1154" w:type="dxa"/>
            <w:vAlign w:val="center"/>
            <w:textDirection w:val="lrTb"/>
            <w:noWrap w:val="false"/>
          </w:tcPr>
          <w:p>
            <w:pPr>
              <w:jc w:val="center"/>
              <w:widowControl w:val="off"/>
              <w:rPr>
                <w:rFonts w:ascii="宋体" w:hAnsi="宋体"/>
                <w:b/>
                <w:color w:val="auto"/>
                <w:sz w:val="21"/>
                <w:szCs w:val="21"/>
                <w:highlight w:val="none"/>
                <w:shd w:val="clear" w:color="auto" w:fill="ffffff"/>
              </w:rPr>
            </w:pPr>
            <w:r>
              <w:rPr>
                <w:rFonts w:ascii="宋体" w:hAnsi="宋体"/>
                <w:b/>
                <w:color w:val="auto"/>
                <w:sz w:val="21"/>
                <w:szCs w:val="21"/>
                <w:highlight w:val="none"/>
                <w:shd w:val="clear" w:color="auto" w:fill="ffffff"/>
              </w:rPr>
            </w:r>
            <w:r/>
          </w:p>
        </w:tc>
      </w:tr>
      <w:tr>
        <w:trPr>
          <w:jc w:val="center"/>
          <w:trHeight w:val="851"/>
        </w:trPr>
        <w:tc>
          <w:tcPr>
            <w:tcW w:w="1799" w:type="dxa"/>
            <w:vAlign w:val="center"/>
            <w:textDirection w:val="lrTb"/>
            <w:noWrap w:val="false"/>
          </w:tcPr>
          <w:p>
            <w:pPr>
              <w:jc w:val="center"/>
              <w:widowControl w:val="off"/>
              <w:rPr>
                <w:rFonts w:ascii="宋体" w:hAnsi="宋体"/>
                <w:b/>
                <w:color w:val="auto"/>
                <w:sz w:val="21"/>
                <w:szCs w:val="21"/>
                <w:highlight w:val="none"/>
                <w:shd w:val="clear" w:color="auto" w:fill="ffffff"/>
              </w:rPr>
            </w:pPr>
            <w:r>
              <w:rPr>
                <w:rFonts w:ascii="宋体" w:hAnsi="宋体"/>
                <w:b/>
                <w:color w:val="auto"/>
                <w:sz w:val="21"/>
                <w:szCs w:val="21"/>
                <w:highlight w:val="none"/>
                <w:shd w:val="clear" w:color="auto" w:fill="ffffff"/>
              </w:rPr>
            </w:r>
            <w:r/>
          </w:p>
        </w:tc>
        <w:tc>
          <w:tcPr>
            <w:tcW w:w="1550" w:type="dxa"/>
            <w:vAlign w:val="center"/>
            <w:textDirection w:val="lrTb"/>
            <w:noWrap w:val="false"/>
          </w:tcPr>
          <w:p>
            <w:pPr>
              <w:jc w:val="center"/>
              <w:widowControl w:val="off"/>
              <w:rPr>
                <w:rFonts w:ascii="宋体" w:hAnsi="宋体"/>
                <w:b/>
                <w:color w:val="auto"/>
                <w:sz w:val="21"/>
                <w:szCs w:val="21"/>
                <w:highlight w:val="none"/>
                <w:shd w:val="clear" w:color="auto" w:fill="ffffff"/>
              </w:rPr>
            </w:pPr>
            <w:r>
              <w:rPr>
                <w:rFonts w:ascii="宋体" w:hAnsi="宋体"/>
                <w:b/>
                <w:color w:val="auto"/>
                <w:sz w:val="21"/>
                <w:szCs w:val="21"/>
                <w:highlight w:val="none"/>
                <w:shd w:val="clear" w:color="auto" w:fill="ffffff"/>
              </w:rPr>
            </w:r>
            <w:r/>
          </w:p>
        </w:tc>
        <w:tc>
          <w:tcPr>
            <w:tcW w:w="1370" w:type="dxa"/>
            <w:vAlign w:val="center"/>
            <w:textDirection w:val="lrTb"/>
            <w:noWrap w:val="false"/>
          </w:tcPr>
          <w:p>
            <w:pPr>
              <w:jc w:val="center"/>
              <w:widowControl w:val="off"/>
              <w:rPr>
                <w:rFonts w:ascii="宋体" w:hAnsi="宋体"/>
                <w:b/>
                <w:color w:val="auto"/>
                <w:sz w:val="21"/>
                <w:szCs w:val="21"/>
                <w:highlight w:val="none"/>
                <w:shd w:val="clear" w:color="auto" w:fill="ffffff"/>
              </w:rPr>
            </w:pPr>
            <w:r>
              <w:rPr>
                <w:rFonts w:ascii="宋体" w:hAnsi="宋体"/>
                <w:b/>
                <w:color w:val="auto"/>
                <w:sz w:val="21"/>
                <w:szCs w:val="21"/>
                <w:highlight w:val="none"/>
                <w:shd w:val="clear" w:color="auto" w:fill="ffffff"/>
              </w:rPr>
            </w:r>
            <w:r/>
          </w:p>
        </w:tc>
        <w:tc>
          <w:tcPr>
            <w:tcW w:w="1439" w:type="dxa"/>
            <w:vAlign w:val="center"/>
            <w:textDirection w:val="lrTb"/>
            <w:noWrap w:val="false"/>
          </w:tcPr>
          <w:p>
            <w:pPr>
              <w:jc w:val="center"/>
              <w:widowControl w:val="off"/>
              <w:rPr>
                <w:rFonts w:ascii="宋体" w:hAnsi="宋体"/>
                <w:b/>
                <w:color w:val="auto"/>
                <w:sz w:val="21"/>
                <w:szCs w:val="21"/>
                <w:highlight w:val="none"/>
                <w:shd w:val="clear" w:color="auto" w:fill="ffffff"/>
              </w:rPr>
            </w:pPr>
            <w:r>
              <w:rPr>
                <w:rFonts w:ascii="宋体" w:hAnsi="宋体"/>
                <w:b/>
                <w:color w:val="auto"/>
                <w:sz w:val="21"/>
                <w:szCs w:val="21"/>
                <w:highlight w:val="none"/>
                <w:shd w:val="clear" w:color="auto" w:fill="ffffff"/>
              </w:rPr>
            </w:r>
            <w:r/>
          </w:p>
        </w:tc>
        <w:tc>
          <w:tcPr>
            <w:tcW w:w="1310" w:type="dxa"/>
            <w:vAlign w:val="center"/>
            <w:textDirection w:val="lrTb"/>
            <w:noWrap w:val="false"/>
          </w:tcPr>
          <w:p>
            <w:pPr>
              <w:jc w:val="center"/>
              <w:widowControl w:val="off"/>
              <w:rPr>
                <w:rFonts w:ascii="宋体" w:hAnsi="宋体"/>
                <w:b/>
                <w:color w:val="auto"/>
                <w:sz w:val="21"/>
                <w:szCs w:val="21"/>
                <w:highlight w:val="none"/>
                <w:shd w:val="clear" w:color="auto" w:fill="ffffff"/>
              </w:rPr>
            </w:pPr>
            <w:r>
              <w:rPr>
                <w:rFonts w:ascii="宋体" w:hAnsi="宋体"/>
                <w:b/>
                <w:color w:val="auto"/>
                <w:sz w:val="21"/>
                <w:szCs w:val="21"/>
                <w:highlight w:val="none"/>
                <w:shd w:val="clear" w:color="auto" w:fill="ffffff"/>
              </w:rPr>
            </w:r>
            <w:r/>
          </w:p>
        </w:tc>
        <w:tc>
          <w:tcPr>
            <w:tcW w:w="1557" w:type="dxa"/>
            <w:vAlign w:val="center"/>
            <w:textDirection w:val="lrTb"/>
            <w:noWrap w:val="false"/>
          </w:tcPr>
          <w:p>
            <w:pPr>
              <w:jc w:val="center"/>
              <w:widowControl w:val="off"/>
              <w:rPr>
                <w:rFonts w:ascii="宋体" w:hAnsi="宋体"/>
                <w:b/>
                <w:color w:val="auto"/>
                <w:sz w:val="21"/>
                <w:szCs w:val="21"/>
                <w:highlight w:val="none"/>
                <w:shd w:val="clear" w:color="auto" w:fill="ffffff"/>
              </w:rPr>
            </w:pPr>
            <w:r>
              <w:rPr>
                <w:rFonts w:ascii="宋体" w:hAnsi="宋体"/>
                <w:b/>
                <w:color w:val="auto"/>
                <w:sz w:val="21"/>
                <w:szCs w:val="21"/>
                <w:highlight w:val="none"/>
                <w:shd w:val="clear" w:color="auto" w:fill="ffffff"/>
              </w:rPr>
            </w:r>
            <w:r/>
          </w:p>
        </w:tc>
        <w:tc>
          <w:tcPr>
            <w:tcW w:w="1154" w:type="dxa"/>
            <w:vAlign w:val="center"/>
            <w:textDirection w:val="lrTb"/>
            <w:noWrap w:val="false"/>
          </w:tcPr>
          <w:p>
            <w:pPr>
              <w:jc w:val="center"/>
              <w:widowControl w:val="off"/>
              <w:rPr>
                <w:rFonts w:ascii="宋体" w:hAnsi="宋体"/>
                <w:b/>
                <w:color w:val="auto"/>
                <w:sz w:val="21"/>
                <w:szCs w:val="21"/>
                <w:highlight w:val="none"/>
                <w:shd w:val="clear" w:color="auto" w:fill="ffffff"/>
              </w:rPr>
            </w:pPr>
            <w:r>
              <w:rPr>
                <w:rFonts w:ascii="宋体" w:hAnsi="宋体"/>
                <w:b/>
                <w:color w:val="auto"/>
                <w:sz w:val="21"/>
                <w:szCs w:val="21"/>
                <w:highlight w:val="none"/>
                <w:shd w:val="clear" w:color="auto" w:fill="ffffff"/>
              </w:rPr>
            </w:r>
            <w:r/>
          </w:p>
        </w:tc>
      </w:tr>
      <w:tr>
        <w:trPr>
          <w:jc w:val="center"/>
          <w:trHeight w:val="851"/>
        </w:trPr>
        <w:tc>
          <w:tcPr>
            <w:tcW w:w="1799" w:type="dxa"/>
            <w:vAlign w:val="center"/>
            <w:textDirection w:val="lrTb"/>
            <w:noWrap w:val="false"/>
          </w:tcPr>
          <w:p>
            <w:pPr>
              <w:jc w:val="center"/>
              <w:widowControl w:val="off"/>
              <w:rPr>
                <w:rFonts w:ascii="宋体" w:hAnsi="宋体"/>
                <w:b/>
                <w:color w:val="auto"/>
                <w:sz w:val="21"/>
                <w:szCs w:val="21"/>
                <w:highlight w:val="none"/>
                <w:shd w:val="clear" w:color="auto" w:fill="ffffff"/>
              </w:rPr>
            </w:pPr>
            <w:r>
              <w:rPr>
                <w:rFonts w:ascii="宋体" w:hAnsi="宋体"/>
                <w:b/>
                <w:color w:val="auto"/>
                <w:sz w:val="21"/>
                <w:szCs w:val="21"/>
                <w:highlight w:val="none"/>
                <w:shd w:val="clear" w:color="auto" w:fill="ffffff"/>
              </w:rPr>
            </w:r>
            <w:r/>
          </w:p>
        </w:tc>
        <w:tc>
          <w:tcPr>
            <w:tcW w:w="1550" w:type="dxa"/>
            <w:vAlign w:val="center"/>
            <w:textDirection w:val="lrTb"/>
            <w:noWrap w:val="false"/>
          </w:tcPr>
          <w:p>
            <w:pPr>
              <w:jc w:val="center"/>
              <w:widowControl w:val="off"/>
              <w:rPr>
                <w:rFonts w:ascii="宋体" w:hAnsi="宋体"/>
                <w:b/>
                <w:color w:val="auto"/>
                <w:sz w:val="21"/>
                <w:szCs w:val="21"/>
                <w:highlight w:val="none"/>
                <w:shd w:val="clear" w:color="auto" w:fill="ffffff"/>
              </w:rPr>
            </w:pPr>
            <w:r>
              <w:rPr>
                <w:rFonts w:ascii="宋体" w:hAnsi="宋体"/>
                <w:b/>
                <w:color w:val="auto"/>
                <w:sz w:val="21"/>
                <w:szCs w:val="21"/>
                <w:highlight w:val="none"/>
                <w:shd w:val="clear" w:color="auto" w:fill="ffffff"/>
              </w:rPr>
            </w:r>
            <w:r/>
          </w:p>
        </w:tc>
        <w:tc>
          <w:tcPr>
            <w:tcW w:w="1370" w:type="dxa"/>
            <w:vAlign w:val="center"/>
            <w:textDirection w:val="lrTb"/>
            <w:noWrap w:val="false"/>
          </w:tcPr>
          <w:p>
            <w:pPr>
              <w:jc w:val="center"/>
              <w:widowControl w:val="off"/>
              <w:rPr>
                <w:rFonts w:ascii="宋体" w:hAnsi="宋体"/>
                <w:b/>
                <w:color w:val="auto"/>
                <w:sz w:val="21"/>
                <w:szCs w:val="21"/>
                <w:highlight w:val="none"/>
                <w:shd w:val="clear" w:color="auto" w:fill="ffffff"/>
              </w:rPr>
            </w:pPr>
            <w:r>
              <w:rPr>
                <w:rFonts w:ascii="宋体" w:hAnsi="宋体"/>
                <w:b/>
                <w:color w:val="auto"/>
                <w:sz w:val="21"/>
                <w:szCs w:val="21"/>
                <w:highlight w:val="none"/>
                <w:shd w:val="clear" w:color="auto" w:fill="ffffff"/>
              </w:rPr>
            </w:r>
            <w:r/>
          </w:p>
        </w:tc>
        <w:tc>
          <w:tcPr>
            <w:tcW w:w="1439" w:type="dxa"/>
            <w:vAlign w:val="center"/>
            <w:textDirection w:val="lrTb"/>
            <w:noWrap w:val="false"/>
          </w:tcPr>
          <w:p>
            <w:pPr>
              <w:jc w:val="center"/>
              <w:widowControl w:val="off"/>
              <w:rPr>
                <w:rFonts w:ascii="宋体" w:hAnsi="宋体"/>
                <w:b/>
                <w:color w:val="auto"/>
                <w:sz w:val="21"/>
                <w:szCs w:val="21"/>
                <w:highlight w:val="none"/>
                <w:shd w:val="clear" w:color="auto" w:fill="ffffff"/>
              </w:rPr>
            </w:pPr>
            <w:r>
              <w:rPr>
                <w:rFonts w:ascii="宋体" w:hAnsi="宋体"/>
                <w:b/>
                <w:color w:val="auto"/>
                <w:sz w:val="21"/>
                <w:szCs w:val="21"/>
                <w:highlight w:val="none"/>
                <w:shd w:val="clear" w:color="auto" w:fill="ffffff"/>
              </w:rPr>
            </w:r>
            <w:r/>
          </w:p>
        </w:tc>
        <w:tc>
          <w:tcPr>
            <w:tcW w:w="1310" w:type="dxa"/>
            <w:vAlign w:val="center"/>
            <w:textDirection w:val="lrTb"/>
            <w:noWrap w:val="false"/>
          </w:tcPr>
          <w:p>
            <w:pPr>
              <w:jc w:val="center"/>
              <w:widowControl w:val="off"/>
              <w:rPr>
                <w:rFonts w:ascii="宋体" w:hAnsi="宋体"/>
                <w:b/>
                <w:color w:val="auto"/>
                <w:sz w:val="21"/>
                <w:szCs w:val="21"/>
                <w:highlight w:val="none"/>
                <w:shd w:val="clear" w:color="auto" w:fill="ffffff"/>
              </w:rPr>
            </w:pPr>
            <w:r>
              <w:rPr>
                <w:rFonts w:ascii="宋体" w:hAnsi="宋体"/>
                <w:b/>
                <w:color w:val="auto"/>
                <w:sz w:val="21"/>
                <w:szCs w:val="21"/>
                <w:highlight w:val="none"/>
                <w:shd w:val="clear" w:color="auto" w:fill="ffffff"/>
              </w:rPr>
            </w:r>
            <w:r/>
          </w:p>
        </w:tc>
        <w:tc>
          <w:tcPr>
            <w:tcW w:w="1557" w:type="dxa"/>
            <w:vAlign w:val="center"/>
            <w:textDirection w:val="lrTb"/>
            <w:noWrap w:val="false"/>
          </w:tcPr>
          <w:p>
            <w:pPr>
              <w:jc w:val="center"/>
              <w:widowControl w:val="off"/>
              <w:rPr>
                <w:rFonts w:ascii="宋体" w:hAnsi="宋体"/>
                <w:b/>
                <w:color w:val="auto"/>
                <w:sz w:val="21"/>
                <w:szCs w:val="21"/>
                <w:highlight w:val="none"/>
                <w:shd w:val="clear" w:color="auto" w:fill="ffffff"/>
              </w:rPr>
            </w:pPr>
            <w:r>
              <w:rPr>
                <w:rFonts w:ascii="宋体" w:hAnsi="宋体"/>
                <w:b/>
                <w:color w:val="auto"/>
                <w:sz w:val="21"/>
                <w:szCs w:val="21"/>
                <w:highlight w:val="none"/>
                <w:shd w:val="clear" w:color="auto" w:fill="ffffff"/>
              </w:rPr>
            </w:r>
            <w:r/>
          </w:p>
        </w:tc>
        <w:tc>
          <w:tcPr>
            <w:tcW w:w="1154" w:type="dxa"/>
            <w:vAlign w:val="center"/>
            <w:textDirection w:val="lrTb"/>
            <w:noWrap w:val="false"/>
          </w:tcPr>
          <w:p>
            <w:pPr>
              <w:jc w:val="center"/>
              <w:widowControl w:val="off"/>
              <w:rPr>
                <w:rFonts w:ascii="宋体" w:hAnsi="宋体"/>
                <w:b/>
                <w:color w:val="auto"/>
                <w:sz w:val="21"/>
                <w:szCs w:val="21"/>
                <w:highlight w:val="none"/>
                <w:shd w:val="clear" w:color="auto" w:fill="ffffff"/>
              </w:rPr>
            </w:pPr>
            <w:r>
              <w:rPr>
                <w:rFonts w:ascii="宋体" w:hAnsi="宋体"/>
                <w:b/>
                <w:color w:val="auto"/>
                <w:sz w:val="21"/>
                <w:szCs w:val="21"/>
                <w:highlight w:val="none"/>
                <w:shd w:val="clear" w:color="auto" w:fill="ffffff"/>
              </w:rPr>
            </w:r>
            <w:r/>
          </w:p>
        </w:tc>
      </w:tr>
      <w:tr>
        <w:trPr>
          <w:jc w:val="center"/>
          <w:trHeight w:val="851"/>
        </w:trPr>
        <w:tc>
          <w:tcPr>
            <w:tcW w:w="1799" w:type="dxa"/>
            <w:vAlign w:val="center"/>
            <w:textDirection w:val="lrTb"/>
            <w:noWrap w:val="false"/>
          </w:tcPr>
          <w:p>
            <w:pPr>
              <w:jc w:val="center"/>
              <w:widowControl w:val="off"/>
              <w:rPr>
                <w:rFonts w:ascii="宋体" w:hAnsi="宋体"/>
                <w:b/>
                <w:color w:val="auto"/>
                <w:sz w:val="21"/>
                <w:szCs w:val="21"/>
                <w:highlight w:val="none"/>
                <w:shd w:val="clear" w:color="auto" w:fill="ffffff"/>
              </w:rPr>
            </w:pPr>
            <w:r>
              <w:rPr>
                <w:rFonts w:ascii="宋体" w:hAnsi="宋体"/>
                <w:b/>
                <w:color w:val="auto"/>
                <w:sz w:val="21"/>
                <w:szCs w:val="21"/>
                <w:highlight w:val="none"/>
                <w:shd w:val="clear" w:color="auto" w:fill="ffffff"/>
              </w:rPr>
            </w:r>
            <w:r/>
          </w:p>
        </w:tc>
        <w:tc>
          <w:tcPr>
            <w:tcW w:w="1550" w:type="dxa"/>
            <w:vAlign w:val="center"/>
            <w:textDirection w:val="lrTb"/>
            <w:noWrap w:val="false"/>
          </w:tcPr>
          <w:p>
            <w:pPr>
              <w:jc w:val="center"/>
              <w:widowControl w:val="off"/>
              <w:rPr>
                <w:rFonts w:ascii="宋体" w:hAnsi="宋体"/>
                <w:b/>
                <w:color w:val="auto"/>
                <w:sz w:val="21"/>
                <w:szCs w:val="21"/>
                <w:highlight w:val="none"/>
                <w:shd w:val="clear" w:color="auto" w:fill="ffffff"/>
              </w:rPr>
            </w:pPr>
            <w:r>
              <w:rPr>
                <w:rFonts w:ascii="宋体" w:hAnsi="宋体"/>
                <w:b/>
                <w:color w:val="auto"/>
                <w:sz w:val="21"/>
                <w:szCs w:val="21"/>
                <w:highlight w:val="none"/>
                <w:shd w:val="clear" w:color="auto" w:fill="ffffff"/>
              </w:rPr>
            </w:r>
            <w:r/>
          </w:p>
        </w:tc>
        <w:tc>
          <w:tcPr>
            <w:tcW w:w="1370" w:type="dxa"/>
            <w:vAlign w:val="center"/>
            <w:textDirection w:val="lrTb"/>
            <w:noWrap w:val="false"/>
          </w:tcPr>
          <w:p>
            <w:pPr>
              <w:jc w:val="center"/>
              <w:widowControl w:val="off"/>
              <w:rPr>
                <w:rFonts w:ascii="宋体" w:hAnsi="宋体"/>
                <w:b/>
                <w:color w:val="auto"/>
                <w:sz w:val="21"/>
                <w:szCs w:val="21"/>
                <w:highlight w:val="none"/>
                <w:shd w:val="clear" w:color="auto" w:fill="ffffff"/>
              </w:rPr>
            </w:pPr>
            <w:r>
              <w:rPr>
                <w:rFonts w:ascii="宋体" w:hAnsi="宋体"/>
                <w:b/>
                <w:color w:val="auto"/>
                <w:sz w:val="21"/>
                <w:szCs w:val="21"/>
                <w:highlight w:val="none"/>
                <w:shd w:val="clear" w:color="auto" w:fill="ffffff"/>
              </w:rPr>
            </w:r>
            <w:r/>
          </w:p>
        </w:tc>
        <w:tc>
          <w:tcPr>
            <w:tcW w:w="1439" w:type="dxa"/>
            <w:vAlign w:val="center"/>
            <w:textDirection w:val="lrTb"/>
            <w:noWrap w:val="false"/>
          </w:tcPr>
          <w:p>
            <w:pPr>
              <w:jc w:val="center"/>
              <w:widowControl w:val="off"/>
              <w:rPr>
                <w:rFonts w:ascii="宋体" w:hAnsi="宋体"/>
                <w:b/>
                <w:color w:val="auto"/>
                <w:sz w:val="21"/>
                <w:szCs w:val="21"/>
                <w:highlight w:val="none"/>
                <w:shd w:val="clear" w:color="auto" w:fill="ffffff"/>
              </w:rPr>
            </w:pPr>
            <w:r>
              <w:rPr>
                <w:rFonts w:ascii="宋体" w:hAnsi="宋体"/>
                <w:b/>
                <w:color w:val="auto"/>
                <w:sz w:val="21"/>
                <w:szCs w:val="21"/>
                <w:highlight w:val="none"/>
                <w:shd w:val="clear" w:color="auto" w:fill="ffffff"/>
              </w:rPr>
            </w:r>
            <w:r/>
          </w:p>
        </w:tc>
        <w:tc>
          <w:tcPr>
            <w:tcW w:w="1310" w:type="dxa"/>
            <w:vAlign w:val="center"/>
            <w:textDirection w:val="lrTb"/>
            <w:noWrap w:val="false"/>
          </w:tcPr>
          <w:p>
            <w:pPr>
              <w:jc w:val="center"/>
              <w:widowControl w:val="off"/>
              <w:rPr>
                <w:rFonts w:ascii="宋体" w:hAnsi="宋体"/>
                <w:b/>
                <w:color w:val="auto"/>
                <w:sz w:val="21"/>
                <w:szCs w:val="21"/>
                <w:highlight w:val="none"/>
                <w:shd w:val="clear" w:color="auto" w:fill="ffffff"/>
              </w:rPr>
            </w:pPr>
            <w:r>
              <w:rPr>
                <w:rFonts w:ascii="宋体" w:hAnsi="宋体"/>
                <w:b/>
                <w:color w:val="auto"/>
                <w:sz w:val="21"/>
                <w:szCs w:val="21"/>
                <w:highlight w:val="none"/>
                <w:shd w:val="clear" w:color="auto" w:fill="ffffff"/>
              </w:rPr>
            </w:r>
            <w:r/>
          </w:p>
        </w:tc>
        <w:tc>
          <w:tcPr>
            <w:tcW w:w="1557" w:type="dxa"/>
            <w:vAlign w:val="center"/>
            <w:textDirection w:val="lrTb"/>
            <w:noWrap w:val="false"/>
          </w:tcPr>
          <w:p>
            <w:pPr>
              <w:jc w:val="center"/>
              <w:widowControl w:val="off"/>
              <w:rPr>
                <w:rFonts w:ascii="宋体" w:hAnsi="宋体"/>
                <w:b/>
                <w:color w:val="auto"/>
                <w:sz w:val="21"/>
                <w:szCs w:val="21"/>
                <w:highlight w:val="none"/>
                <w:shd w:val="clear" w:color="auto" w:fill="ffffff"/>
              </w:rPr>
            </w:pPr>
            <w:r>
              <w:rPr>
                <w:rFonts w:ascii="宋体" w:hAnsi="宋体"/>
                <w:b/>
                <w:color w:val="auto"/>
                <w:sz w:val="21"/>
                <w:szCs w:val="21"/>
                <w:highlight w:val="none"/>
                <w:shd w:val="clear" w:color="auto" w:fill="ffffff"/>
              </w:rPr>
            </w:r>
            <w:r/>
          </w:p>
        </w:tc>
        <w:tc>
          <w:tcPr>
            <w:tcW w:w="1154" w:type="dxa"/>
            <w:vAlign w:val="center"/>
            <w:textDirection w:val="lrTb"/>
            <w:noWrap w:val="false"/>
          </w:tcPr>
          <w:p>
            <w:pPr>
              <w:jc w:val="center"/>
              <w:widowControl w:val="off"/>
              <w:rPr>
                <w:rFonts w:ascii="宋体" w:hAnsi="宋体"/>
                <w:b/>
                <w:color w:val="auto"/>
                <w:sz w:val="21"/>
                <w:szCs w:val="21"/>
                <w:highlight w:val="none"/>
                <w:shd w:val="clear" w:color="auto" w:fill="ffffff"/>
              </w:rPr>
            </w:pPr>
            <w:r>
              <w:rPr>
                <w:rFonts w:ascii="宋体" w:hAnsi="宋体"/>
                <w:b/>
                <w:color w:val="auto"/>
                <w:sz w:val="21"/>
                <w:szCs w:val="21"/>
                <w:highlight w:val="none"/>
                <w:shd w:val="clear" w:color="auto" w:fill="ffffff"/>
              </w:rPr>
            </w:r>
            <w:r/>
          </w:p>
        </w:tc>
      </w:tr>
      <w:tr>
        <w:trPr>
          <w:jc w:val="center"/>
          <w:trHeight w:val="861"/>
        </w:trPr>
        <w:tc>
          <w:tcPr>
            <w:tcW w:w="1799" w:type="dxa"/>
            <w:vAlign w:val="center"/>
            <w:textDirection w:val="lrTb"/>
            <w:noWrap w:val="false"/>
          </w:tcPr>
          <w:p>
            <w:pPr>
              <w:jc w:val="center"/>
              <w:widowControl w:val="off"/>
              <w:rPr>
                <w:rFonts w:ascii="宋体" w:hAnsi="宋体"/>
                <w:b/>
                <w:color w:val="auto"/>
                <w:sz w:val="21"/>
                <w:szCs w:val="21"/>
                <w:highlight w:val="none"/>
                <w:shd w:val="clear" w:color="auto" w:fill="ffffff"/>
              </w:rPr>
            </w:pPr>
            <w:r>
              <w:rPr>
                <w:rFonts w:ascii="宋体" w:hAnsi="宋体"/>
                <w:b/>
                <w:color w:val="auto"/>
                <w:sz w:val="21"/>
                <w:szCs w:val="21"/>
                <w:highlight w:val="none"/>
                <w:shd w:val="clear" w:color="auto" w:fill="ffffff"/>
              </w:rPr>
            </w:r>
            <w:r/>
          </w:p>
        </w:tc>
        <w:tc>
          <w:tcPr>
            <w:tcW w:w="1550" w:type="dxa"/>
            <w:vAlign w:val="center"/>
            <w:textDirection w:val="lrTb"/>
            <w:noWrap w:val="false"/>
          </w:tcPr>
          <w:p>
            <w:pPr>
              <w:jc w:val="center"/>
              <w:widowControl w:val="off"/>
              <w:rPr>
                <w:rFonts w:ascii="宋体" w:hAnsi="宋体"/>
                <w:b/>
                <w:color w:val="auto"/>
                <w:sz w:val="21"/>
                <w:szCs w:val="21"/>
                <w:highlight w:val="none"/>
                <w:shd w:val="clear" w:color="auto" w:fill="ffffff"/>
              </w:rPr>
            </w:pPr>
            <w:r>
              <w:rPr>
                <w:rFonts w:ascii="宋体" w:hAnsi="宋体"/>
                <w:b/>
                <w:color w:val="auto"/>
                <w:sz w:val="21"/>
                <w:szCs w:val="21"/>
                <w:highlight w:val="none"/>
                <w:shd w:val="clear" w:color="auto" w:fill="ffffff"/>
              </w:rPr>
            </w:r>
            <w:r/>
          </w:p>
        </w:tc>
        <w:tc>
          <w:tcPr>
            <w:tcW w:w="1370" w:type="dxa"/>
            <w:vAlign w:val="center"/>
            <w:textDirection w:val="lrTb"/>
            <w:noWrap w:val="false"/>
          </w:tcPr>
          <w:p>
            <w:pPr>
              <w:jc w:val="center"/>
              <w:widowControl w:val="off"/>
              <w:rPr>
                <w:rFonts w:ascii="宋体" w:hAnsi="宋体"/>
                <w:b/>
                <w:color w:val="auto"/>
                <w:sz w:val="21"/>
                <w:szCs w:val="21"/>
                <w:highlight w:val="none"/>
                <w:shd w:val="clear" w:color="auto" w:fill="ffffff"/>
              </w:rPr>
            </w:pPr>
            <w:r>
              <w:rPr>
                <w:rFonts w:ascii="宋体" w:hAnsi="宋体"/>
                <w:b/>
                <w:color w:val="auto"/>
                <w:sz w:val="21"/>
                <w:szCs w:val="21"/>
                <w:highlight w:val="none"/>
                <w:shd w:val="clear" w:color="auto" w:fill="ffffff"/>
              </w:rPr>
            </w:r>
            <w:r/>
          </w:p>
        </w:tc>
        <w:tc>
          <w:tcPr>
            <w:tcW w:w="1439" w:type="dxa"/>
            <w:vAlign w:val="center"/>
            <w:textDirection w:val="lrTb"/>
            <w:noWrap w:val="false"/>
          </w:tcPr>
          <w:p>
            <w:pPr>
              <w:jc w:val="center"/>
              <w:widowControl w:val="off"/>
              <w:rPr>
                <w:rFonts w:ascii="宋体" w:hAnsi="宋体"/>
                <w:b/>
                <w:color w:val="auto"/>
                <w:sz w:val="21"/>
                <w:szCs w:val="21"/>
                <w:highlight w:val="none"/>
                <w:shd w:val="clear" w:color="auto" w:fill="ffffff"/>
              </w:rPr>
            </w:pPr>
            <w:r>
              <w:rPr>
                <w:rFonts w:ascii="宋体" w:hAnsi="宋体"/>
                <w:b/>
                <w:color w:val="auto"/>
                <w:sz w:val="21"/>
                <w:szCs w:val="21"/>
                <w:highlight w:val="none"/>
                <w:shd w:val="clear" w:color="auto" w:fill="ffffff"/>
              </w:rPr>
            </w:r>
            <w:r/>
          </w:p>
        </w:tc>
        <w:tc>
          <w:tcPr>
            <w:tcW w:w="1310" w:type="dxa"/>
            <w:vAlign w:val="center"/>
            <w:textDirection w:val="lrTb"/>
            <w:noWrap w:val="false"/>
          </w:tcPr>
          <w:p>
            <w:pPr>
              <w:jc w:val="center"/>
              <w:widowControl w:val="off"/>
              <w:rPr>
                <w:rFonts w:ascii="宋体" w:hAnsi="宋体"/>
                <w:b/>
                <w:color w:val="auto"/>
                <w:sz w:val="21"/>
                <w:szCs w:val="21"/>
                <w:highlight w:val="none"/>
                <w:shd w:val="clear" w:color="auto" w:fill="ffffff"/>
              </w:rPr>
            </w:pPr>
            <w:r>
              <w:rPr>
                <w:rFonts w:ascii="宋体" w:hAnsi="宋体"/>
                <w:b/>
                <w:color w:val="auto"/>
                <w:sz w:val="21"/>
                <w:szCs w:val="21"/>
                <w:highlight w:val="none"/>
                <w:shd w:val="clear" w:color="auto" w:fill="ffffff"/>
              </w:rPr>
            </w:r>
            <w:r/>
          </w:p>
        </w:tc>
        <w:tc>
          <w:tcPr>
            <w:tcW w:w="1557" w:type="dxa"/>
            <w:vAlign w:val="center"/>
            <w:textDirection w:val="lrTb"/>
            <w:noWrap w:val="false"/>
          </w:tcPr>
          <w:p>
            <w:pPr>
              <w:jc w:val="center"/>
              <w:widowControl w:val="off"/>
              <w:rPr>
                <w:rFonts w:ascii="宋体" w:hAnsi="宋体"/>
                <w:b/>
                <w:color w:val="auto"/>
                <w:sz w:val="21"/>
                <w:szCs w:val="21"/>
                <w:highlight w:val="none"/>
                <w:shd w:val="clear" w:color="auto" w:fill="ffffff"/>
              </w:rPr>
            </w:pPr>
            <w:r>
              <w:rPr>
                <w:rFonts w:ascii="宋体" w:hAnsi="宋体"/>
                <w:b/>
                <w:color w:val="auto"/>
                <w:sz w:val="21"/>
                <w:szCs w:val="21"/>
                <w:highlight w:val="none"/>
                <w:shd w:val="clear" w:color="auto" w:fill="ffffff"/>
              </w:rPr>
            </w:r>
            <w:r/>
          </w:p>
        </w:tc>
        <w:tc>
          <w:tcPr>
            <w:tcW w:w="1154" w:type="dxa"/>
            <w:vAlign w:val="center"/>
            <w:textDirection w:val="lrTb"/>
            <w:noWrap w:val="false"/>
          </w:tcPr>
          <w:p>
            <w:pPr>
              <w:jc w:val="center"/>
              <w:widowControl w:val="off"/>
              <w:rPr>
                <w:rFonts w:ascii="宋体" w:hAnsi="宋体"/>
                <w:b/>
                <w:color w:val="auto"/>
                <w:sz w:val="21"/>
                <w:szCs w:val="21"/>
                <w:highlight w:val="none"/>
                <w:shd w:val="clear" w:color="auto" w:fill="ffffff"/>
              </w:rPr>
            </w:pPr>
            <w:r>
              <w:rPr>
                <w:rFonts w:ascii="宋体" w:hAnsi="宋体"/>
                <w:b/>
                <w:color w:val="auto"/>
                <w:sz w:val="21"/>
                <w:szCs w:val="21"/>
                <w:highlight w:val="none"/>
                <w:shd w:val="clear" w:color="auto" w:fill="ffffff"/>
              </w:rPr>
            </w:r>
            <w:r/>
          </w:p>
        </w:tc>
      </w:tr>
    </w:tbl>
    <w:p>
      <w:pPr>
        <w:widowControl w:val="off"/>
        <w:rPr>
          <w:b/>
          <w:bCs/>
          <w:color w:val="auto"/>
          <w:sz w:val="21"/>
          <w:szCs w:val="21"/>
          <w:highlight w:val="none"/>
        </w:rPr>
      </w:pPr>
      <w:r>
        <w:rPr>
          <w:b/>
          <w:bCs/>
          <w:color w:val="auto"/>
          <w:sz w:val="21"/>
          <w:szCs w:val="21"/>
          <w:highlight w:val="none"/>
        </w:rPr>
        <w:t xml:space="preserve"> </w:t>
      </w:r>
      <w:r/>
    </w:p>
    <w:p>
      <w:pPr>
        <w:widowControl w:val="off"/>
        <w:rPr>
          <w:rFonts w:hAnsi="宋体"/>
          <w:b/>
          <w:bCs/>
          <w:color w:val="auto"/>
          <w:sz w:val="21"/>
          <w:szCs w:val="21"/>
          <w:highlight w:val="none"/>
        </w:rPr>
      </w:pPr>
      <w:r>
        <w:rPr>
          <w:rFonts w:hAnsi="宋体"/>
          <w:b/>
          <w:bCs/>
          <w:color w:val="auto"/>
          <w:sz w:val="21"/>
          <w:szCs w:val="21"/>
          <w:highlight w:val="none"/>
        </w:rPr>
      </w:r>
      <w:r/>
    </w:p>
    <w:p>
      <w:pPr>
        <w:spacing w:line="360" w:lineRule="auto"/>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注：1、本表仅须填写与供应商存在直接股权、管理关系的企业情况。供应商应按上表要求据实填写，如填写“无”或不填写，均视为供应商声明不存在有关情形。</w:t>
      </w:r>
      <w:r/>
    </w:p>
    <w:p>
      <w:pPr>
        <w:spacing w:line="360" w:lineRule="auto"/>
        <w:widowControl w:val="off"/>
        <w:rPr>
          <w:rFonts w:ascii="宋体" w:hAnsi="宋体" w:cs="宋体"/>
          <w:color w:val="auto"/>
          <w:sz w:val="21"/>
          <w:szCs w:val="21"/>
          <w:highlight w:val="none"/>
        </w:rPr>
      </w:pPr>
      <w:r>
        <w:rPr>
          <w:rFonts w:hint="eastAsia" w:ascii="宋体" w:hAnsi="宋体" w:cs="宋体"/>
          <w:b/>
          <w:bCs/>
          <w:color w:val="auto"/>
          <w:sz w:val="21"/>
          <w:szCs w:val="21"/>
          <w:highlight w:val="none"/>
        </w:rPr>
        <w:t xml:space="preserve">2、其中“直接控股”是指供应商与大型企业之间存在直接投资并控股（非普通持股）的关系。</w:t>
      </w:r>
      <w:r/>
    </w:p>
    <w:p>
      <w:pPr>
        <w:spacing w:line="360" w:lineRule="auto"/>
        <w:widowControl w:val="off"/>
        <w:rPr>
          <w:rFonts w:ascii="宋体" w:hAnsi="宋体" w:cs="宋体"/>
          <w:bCs/>
          <w:color w:val="auto"/>
          <w:sz w:val="21"/>
          <w:szCs w:val="21"/>
          <w:highlight w:val="none"/>
          <w:lang w:val="zh-CN"/>
        </w:rPr>
      </w:pPr>
      <w:r>
        <w:rPr>
          <w:rFonts w:ascii="宋体" w:hAnsi="宋体" w:cs="宋体"/>
          <w:bCs/>
          <w:color w:val="auto"/>
          <w:sz w:val="21"/>
          <w:szCs w:val="21"/>
          <w:highlight w:val="none"/>
          <w:lang w:val="zh-CN"/>
        </w:rPr>
      </w:r>
      <w:r/>
    </w:p>
    <w:p>
      <w:pPr>
        <w:spacing w:line="360" w:lineRule="auto"/>
        <w:widowControl w:val="off"/>
        <w:rPr>
          <w:rFonts w:ascii="宋体" w:hAnsi="宋体" w:cs="宋体"/>
          <w:bCs/>
          <w:color w:val="auto"/>
          <w:sz w:val="21"/>
          <w:szCs w:val="21"/>
          <w:highlight w:val="none"/>
          <w:lang w:val="zh-CN"/>
        </w:rPr>
      </w:pPr>
      <w:r>
        <w:rPr>
          <w:rFonts w:hint="eastAsia" w:ascii="宋体" w:hAnsi="宋体" w:cs="宋体"/>
          <w:bCs/>
          <w:color w:val="auto"/>
          <w:sz w:val="21"/>
          <w:szCs w:val="21"/>
          <w:highlight w:val="none"/>
          <w:lang w:val="zh-CN"/>
        </w:rPr>
        <w:t xml:space="preserve">供应商：（加盖CA电子公章）</w:t>
      </w:r>
      <w:r/>
    </w:p>
    <w:p>
      <w:pPr>
        <w:spacing w:line="360" w:lineRule="auto"/>
        <w:widowControl w:val="off"/>
        <w:rPr>
          <w:rFonts w:ascii="宋体" w:hAnsi="宋体" w:cs="宋体"/>
          <w:bCs/>
          <w:color w:val="auto"/>
          <w:sz w:val="21"/>
          <w:szCs w:val="21"/>
          <w:highlight w:val="none"/>
          <w:lang w:val="zh-CN"/>
        </w:rPr>
      </w:pPr>
      <w:r>
        <w:rPr>
          <w:rFonts w:hint="eastAsia" w:ascii="宋体" w:hAnsi="宋体" w:cs="宋体"/>
          <w:bCs/>
          <w:color w:val="auto"/>
          <w:sz w:val="21"/>
          <w:szCs w:val="21"/>
          <w:highlight w:val="none"/>
          <w:lang w:val="zh-CN"/>
        </w:rPr>
        <w:t xml:space="preserve">日期：         年     月    日</w:t>
      </w:r>
      <w:r/>
    </w:p>
    <w:p>
      <w:pPr>
        <w:pStyle w:val="966"/>
        <w:ind w:firstLine="420"/>
        <w:jc w:val="both"/>
        <w:spacing w:before="0" w:beforeAutospacing="0" w:after="0" w:afterAutospacing="0" w:line="360" w:lineRule="auto"/>
        <w:widowControl w:val="off"/>
        <w:rPr>
          <w:rFonts w:hint="default" w:cs="宋体"/>
          <w:color w:val="auto"/>
          <w:sz w:val="21"/>
          <w:szCs w:val="21"/>
          <w:highlight w:val="none"/>
        </w:rPr>
      </w:pPr>
      <w:r>
        <w:rPr>
          <w:rFonts w:hint="default" w:cs="宋体"/>
          <w:color w:val="auto"/>
          <w:sz w:val="21"/>
          <w:szCs w:val="21"/>
          <w:highlight w:val="none"/>
        </w:rPr>
      </w:r>
      <w:r/>
    </w:p>
    <w:p>
      <w:pPr>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spacing w:line="360" w:lineRule="auto"/>
        <w:widowControl w:val="off"/>
        <w:rPr>
          <w:rFonts w:ascii="宋体" w:hAnsi="宋体"/>
          <w:b/>
          <w:color w:val="auto"/>
          <w:spacing w:val="20"/>
          <w:sz w:val="21"/>
          <w:szCs w:val="21"/>
          <w:highlight w:val="none"/>
        </w:rPr>
      </w:pPr>
      <w:r>
        <w:rPr>
          <w:rFonts w:hint="eastAsia" w:ascii="宋体" w:hAnsi="宋体"/>
          <w:b/>
          <w:color w:val="auto"/>
          <w:spacing w:val="20"/>
          <w:sz w:val="21"/>
          <w:szCs w:val="21"/>
          <w:highlight w:val="none"/>
        </w:rPr>
        <w:t xml:space="preserve">格式8：服务要求偏离表</w:t>
      </w:r>
      <w:r/>
    </w:p>
    <w:p>
      <w:pPr>
        <w:jc w:val="center"/>
        <w:spacing w:line="360" w:lineRule="auto"/>
        <w:widowControl w:val="off"/>
        <w:rPr>
          <w:rFonts w:ascii="宋体" w:hAnsi="宋体"/>
          <w:b/>
          <w:color w:val="auto"/>
          <w:highlight w:val="none"/>
        </w:rPr>
      </w:pPr>
      <w:r>
        <w:rPr>
          <w:rFonts w:hint="eastAsia" w:ascii="宋体" w:hAnsi="宋体"/>
          <w:b/>
          <w:color w:val="auto"/>
          <w:highlight w:val="none"/>
        </w:rPr>
        <w:t xml:space="preserve">服务要求偏离表</w:t>
      </w:r>
      <w:r/>
    </w:p>
    <w:tbl>
      <w:tblPr>
        <w:tblStyle w:val="746"/>
        <w:tblW w:w="100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1683"/>
        <w:gridCol w:w="2051"/>
        <w:gridCol w:w="2052"/>
        <w:gridCol w:w="2052"/>
        <w:gridCol w:w="1226"/>
      </w:tblGrid>
      <w:tr>
        <w:trPr>
          <w:jc w:val="center"/>
          <w:trHeight w:val="609"/>
        </w:trPr>
        <w:tc>
          <w:tcPr>
            <w:tcW w:w="958"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序号</w:t>
            </w:r>
            <w:r/>
          </w:p>
        </w:tc>
        <w:tc>
          <w:tcPr>
            <w:tcW w:w="1683" w:type="dxa"/>
            <w:vAlign w:val="center"/>
            <w:textDirection w:val="lrTb"/>
            <w:noWrap w:val="false"/>
          </w:tcPr>
          <w:p>
            <w:pPr>
              <w:ind w:left="54"/>
              <w:jc w:val="center"/>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项目</w:t>
            </w:r>
            <w:r/>
          </w:p>
        </w:tc>
        <w:tc>
          <w:tcPr>
            <w:tcW w:w="2051" w:type="dxa"/>
            <w:vAlign w:val="center"/>
            <w:textDirection w:val="lrTb"/>
            <w:noWrap w:val="false"/>
          </w:tcPr>
          <w:p>
            <w:pPr>
              <w:jc w:val="center"/>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采购</w:t>
            </w:r>
            <w:r>
              <w:rPr>
                <w:rFonts w:ascii="宋体" w:hAnsi="宋体"/>
                <w:color w:val="auto"/>
                <w:sz w:val="21"/>
                <w:szCs w:val="21"/>
                <w:highlight w:val="none"/>
              </w:rPr>
              <w:t xml:space="preserve">要求</w:t>
            </w:r>
            <w:r/>
          </w:p>
        </w:tc>
        <w:tc>
          <w:tcPr>
            <w:tcW w:w="2052" w:type="dxa"/>
            <w:vAlign w:val="center"/>
            <w:textDirection w:val="lrTb"/>
            <w:noWrap w:val="false"/>
          </w:tcPr>
          <w:p>
            <w:pPr>
              <w:jc w:val="center"/>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响应情况</w:t>
            </w:r>
            <w:r/>
          </w:p>
        </w:tc>
        <w:tc>
          <w:tcPr>
            <w:tcW w:w="2052" w:type="dxa"/>
            <w:vAlign w:val="center"/>
            <w:textDirection w:val="lrTb"/>
            <w:noWrap w:val="false"/>
          </w:tcPr>
          <w:p>
            <w:pPr>
              <w:jc w:val="center"/>
              <w:spacing w:line="360" w:lineRule="auto"/>
              <w:widowControl w:val="off"/>
              <w:rPr>
                <w:rFonts w:ascii="宋体" w:hAnsi="宋体"/>
                <w:color w:val="auto"/>
                <w:sz w:val="21"/>
                <w:szCs w:val="21"/>
                <w:highlight w:val="none"/>
              </w:rPr>
            </w:pPr>
            <w:r>
              <w:rPr>
                <w:rFonts w:ascii="宋体" w:hAnsi="宋体"/>
                <w:color w:val="auto"/>
                <w:sz w:val="21"/>
                <w:szCs w:val="21"/>
                <w:highlight w:val="none"/>
              </w:rPr>
              <w:t xml:space="preserve">偏离说明</w:t>
            </w:r>
            <w:r/>
          </w:p>
        </w:tc>
        <w:tc>
          <w:tcPr>
            <w:tcW w:w="1226" w:type="dxa"/>
            <w:vAlign w:val="center"/>
            <w:textDirection w:val="lrTb"/>
            <w:noWrap w:val="false"/>
          </w:tcPr>
          <w:p>
            <w:pPr>
              <w:jc w:val="center"/>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备注</w:t>
            </w:r>
            <w:r/>
          </w:p>
        </w:tc>
      </w:tr>
      <w:tr>
        <w:trPr>
          <w:jc w:val="center"/>
        </w:trPr>
        <w:tc>
          <w:tcPr>
            <w:tcW w:w="958"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W w:w="1683" w:type="dxa"/>
            <w:textDirection w:val="lrTb"/>
            <w:noWrap w:val="false"/>
          </w:tcPr>
          <w:p>
            <w:pPr>
              <w:ind w:firstLine="699"/>
              <w:jc w:val="center"/>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tc>
        <w:tc>
          <w:tcPr>
            <w:tcW w:w="2051" w:type="dxa"/>
            <w:textDirection w:val="lrTb"/>
            <w:noWrap w:val="false"/>
          </w:tcPr>
          <w:p>
            <w:pPr>
              <w:ind w:firstLine="699"/>
              <w:jc w:val="center"/>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tc>
        <w:tc>
          <w:tcPr>
            <w:tcW w:w="2052" w:type="dxa"/>
            <w:textDirection w:val="lrTb"/>
            <w:noWrap w:val="false"/>
          </w:tcPr>
          <w:p>
            <w:pPr>
              <w:ind w:firstLine="699"/>
              <w:jc w:val="center"/>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tc>
        <w:tc>
          <w:tcPr>
            <w:tcW w:w="2052" w:type="dxa"/>
            <w:textDirection w:val="lrTb"/>
            <w:noWrap w:val="false"/>
          </w:tcPr>
          <w:p>
            <w:pPr>
              <w:ind w:firstLine="699"/>
              <w:jc w:val="center"/>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tc>
        <w:tc>
          <w:tcPr>
            <w:tcW w:w="1226" w:type="dxa"/>
            <w:textDirection w:val="lrTb"/>
            <w:noWrap w:val="false"/>
          </w:tcPr>
          <w:p>
            <w:pPr>
              <w:ind w:firstLine="699"/>
              <w:jc w:val="center"/>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W w:w="958"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W w:w="1683" w:type="dxa"/>
            <w:textDirection w:val="lrTb"/>
            <w:noWrap w:val="false"/>
          </w:tcPr>
          <w:p>
            <w:pPr>
              <w:ind w:firstLine="699"/>
              <w:jc w:val="center"/>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tc>
        <w:tc>
          <w:tcPr>
            <w:tcW w:w="2051" w:type="dxa"/>
            <w:textDirection w:val="lrTb"/>
            <w:noWrap w:val="false"/>
          </w:tcPr>
          <w:p>
            <w:pPr>
              <w:ind w:firstLine="699"/>
              <w:jc w:val="center"/>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tc>
        <w:tc>
          <w:tcPr>
            <w:tcW w:w="2052" w:type="dxa"/>
            <w:textDirection w:val="lrTb"/>
            <w:noWrap w:val="false"/>
          </w:tcPr>
          <w:p>
            <w:pPr>
              <w:ind w:firstLine="699"/>
              <w:jc w:val="center"/>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tc>
        <w:tc>
          <w:tcPr>
            <w:tcW w:w="2052" w:type="dxa"/>
            <w:textDirection w:val="lrTb"/>
            <w:noWrap w:val="false"/>
          </w:tcPr>
          <w:p>
            <w:pPr>
              <w:ind w:firstLine="699"/>
              <w:jc w:val="center"/>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tc>
        <w:tc>
          <w:tcPr>
            <w:tcW w:w="1226" w:type="dxa"/>
            <w:textDirection w:val="lrTb"/>
            <w:noWrap w:val="false"/>
          </w:tcPr>
          <w:p>
            <w:pPr>
              <w:ind w:firstLine="699"/>
              <w:jc w:val="center"/>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W w:w="958"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W w:w="1683" w:type="dxa"/>
            <w:textDirection w:val="lrTb"/>
            <w:noWrap w:val="false"/>
          </w:tcPr>
          <w:p>
            <w:pPr>
              <w:ind w:firstLine="699"/>
              <w:jc w:val="center"/>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tc>
        <w:tc>
          <w:tcPr>
            <w:tcW w:w="2051" w:type="dxa"/>
            <w:textDirection w:val="lrTb"/>
            <w:noWrap w:val="false"/>
          </w:tcPr>
          <w:p>
            <w:pPr>
              <w:ind w:firstLine="699"/>
              <w:jc w:val="center"/>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tc>
        <w:tc>
          <w:tcPr>
            <w:tcW w:w="2052" w:type="dxa"/>
            <w:textDirection w:val="lrTb"/>
            <w:noWrap w:val="false"/>
          </w:tcPr>
          <w:p>
            <w:pPr>
              <w:ind w:firstLine="699"/>
              <w:jc w:val="center"/>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tc>
        <w:tc>
          <w:tcPr>
            <w:tcW w:w="2052" w:type="dxa"/>
            <w:textDirection w:val="lrTb"/>
            <w:noWrap w:val="false"/>
          </w:tcPr>
          <w:p>
            <w:pPr>
              <w:ind w:firstLine="699"/>
              <w:jc w:val="center"/>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tc>
        <w:tc>
          <w:tcPr>
            <w:tcW w:w="1226" w:type="dxa"/>
            <w:textDirection w:val="lrTb"/>
            <w:noWrap w:val="false"/>
          </w:tcPr>
          <w:p>
            <w:pPr>
              <w:ind w:firstLine="699"/>
              <w:jc w:val="center"/>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W w:w="958"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W w:w="1683" w:type="dxa"/>
            <w:textDirection w:val="lrTb"/>
            <w:noWrap w:val="false"/>
          </w:tcPr>
          <w:p>
            <w:pPr>
              <w:ind w:firstLine="699"/>
              <w:jc w:val="center"/>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tc>
        <w:tc>
          <w:tcPr>
            <w:tcW w:w="2051" w:type="dxa"/>
            <w:textDirection w:val="lrTb"/>
            <w:noWrap w:val="false"/>
          </w:tcPr>
          <w:p>
            <w:pPr>
              <w:ind w:firstLine="699"/>
              <w:jc w:val="center"/>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tc>
        <w:tc>
          <w:tcPr>
            <w:tcW w:w="2052" w:type="dxa"/>
            <w:textDirection w:val="lrTb"/>
            <w:noWrap w:val="false"/>
          </w:tcPr>
          <w:p>
            <w:pPr>
              <w:ind w:firstLine="699"/>
              <w:jc w:val="center"/>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tc>
        <w:tc>
          <w:tcPr>
            <w:tcW w:w="2052" w:type="dxa"/>
            <w:textDirection w:val="lrTb"/>
            <w:noWrap w:val="false"/>
          </w:tcPr>
          <w:p>
            <w:pPr>
              <w:ind w:firstLine="699"/>
              <w:jc w:val="center"/>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tc>
        <w:tc>
          <w:tcPr>
            <w:tcW w:w="1226" w:type="dxa"/>
            <w:textDirection w:val="lrTb"/>
            <w:noWrap w:val="false"/>
          </w:tcPr>
          <w:p>
            <w:pPr>
              <w:ind w:firstLine="699"/>
              <w:jc w:val="center"/>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W w:w="958"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5</w:t>
            </w:r>
            <w:r/>
          </w:p>
        </w:tc>
        <w:tc>
          <w:tcPr>
            <w:tcW w:w="1683" w:type="dxa"/>
            <w:textDirection w:val="lrTb"/>
            <w:noWrap w:val="false"/>
          </w:tcPr>
          <w:p>
            <w:pPr>
              <w:ind w:firstLine="699"/>
              <w:jc w:val="center"/>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tc>
        <w:tc>
          <w:tcPr>
            <w:tcW w:w="2051" w:type="dxa"/>
            <w:textDirection w:val="lrTb"/>
            <w:noWrap w:val="false"/>
          </w:tcPr>
          <w:p>
            <w:pPr>
              <w:ind w:firstLine="699"/>
              <w:jc w:val="center"/>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tc>
        <w:tc>
          <w:tcPr>
            <w:tcW w:w="2052" w:type="dxa"/>
            <w:textDirection w:val="lrTb"/>
            <w:noWrap w:val="false"/>
          </w:tcPr>
          <w:p>
            <w:pPr>
              <w:ind w:firstLine="699"/>
              <w:jc w:val="center"/>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tc>
        <w:tc>
          <w:tcPr>
            <w:tcW w:w="2052" w:type="dxa"/>
            <w:textDirection w:val="lrTb"/>
            <w:noWrap w:val="false"/>
          </w:tcPr>
          <w:p>
            <w:pPr>
              <w:ind w:firstLine="699"/>
              <w:jc w:val="center"/>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tc>
        <w:tc>
          <w:tcPr>
            <w:tcW w:w="1226" w:type="dxa"/>
            <w:textDirection w:val="lrTb"/>
            <w:noWrap w:val="false"/>
          </w:tcPr>
          <w:p>
            <w:pPr>
              <w:ind w:firstLine="699"/>
              <w:jc w:val="center"/>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tc>
      </w:tr>
    </w:tbl>
    <w:p>
      <w:pPr>
        <w:pStyle w:val="986"/>
        <w:ind w:firstLine="422"/>
        <w:rPr>
          <w:rFonts w:ascii="宋体" w:hAnsi="宋体"/>
          <w:b/>
          <w:color w:val="auto"/>
          <w:sz w:val="21"/>
          <w:szCs w:val="21"/>
          <w:highlight w:val="none"/>
        </w:rPr>
      </w:pPr>
      <w:r>
        <w:rPr>
          <w:rFonts w:hint="eastAsia" w:ascii="宋体" w:hAnsi="宋体"/>
          <w:b/>
          <w:color w:val="auto"/>
          <w:sz w:val="21"/>
          <w:szCs w:val="21"/>
          <w:highlight w:val="none"/>
        </w:rPr>
        <w:t xml:space="preserve">注：1.供应商应对照采购文件中服务条款的要求，响应文件与采购文件的规定有偏离的，应在此表中声明与采购要求条文的偏差和例外。未在上表中说明的，如在响应文件其他内容中已有文字说明的，则以已有文字说明为准，否则，将被认为完全响应采购文件的规定。但该表不作为供应商关于服务要求等详细描述和说明的替代。</w:t>
      </w:r>
      <w:r/>
    </w:p>
    <w:p>
      <w:pPr>
        <w:pStyle w:val="986"/>
        <w:ind w:firstLine="422"/>
        <w:rPr>
          <w:rFonts w:ascii="宋体" w:hAnsi="宋体"/>
          <w:b/>
          <w:color w:val="auto"/>
          <w:sz w:val="21"/>
          <w:szCs w:val="21"/>
          <w:highlight w:val="none"/>
        </w:rPr>
      </w:pPr>
      <w:r>
        <w:rPr>
          <w:rFonts w:hint="eastAsia" w:ascii="宋体" w:hAnsi="宋体"/>
          <w:b/>
          <w:color w:val="auto"/>
          <w:sz w:val="21"/>
          <w:szCs w:val="21"/>
          <w:highlight w:val="none"/>
        </w:rPr>
        <w:t xml:space="preserve">2.</w:t>
      </w:r>
      <w:r>
        <w:rPr>
          <w:rFonts w:hint="eastAsia" w:ascii="宋体" w:hAnsi="宋体" w:cs="宋体"/>
          <w:b/>
          <w:color w:val="auto"/>
          <w:sz w:val="21"/>
          <w:szCs w:val="21"/>
          <w:highlight w:val="none"/>
        </w:rPr>
        <w:t xml:space="preserve">偏离说明一栏，根据实际响应情况，填写“响应”“</w:t>
      </w:r>
      <w:bookmarkStart w:id="71" w:name="OLE_LINK33"/>
      <w:r>
        <w:rPr>
          <w:rFonts w:hint="eastAsia" w:ascii="宋体" w:hAnsi="宋体" w:cs="宋体"/>
          <w:b/>
          <w:color w:val="auto"/>
          <w:sz w:val="21"/>
          <w:szCs w:val="21"/>
          <w:highlight w:val="none"/>
        </w:rPr>
        <w:t xml:space="preserve">正偏离”“负偏离”</w:t>
      </w:r>
      <w:bookmarkEnd w:id="71"/>
      <w:r>
        <w:rPr>
          <w:rFonts w:hint="eastAsia" w:ascii="宋体" w:hAnsi="宋体" w:cs="宋体"/>
          <w:b/>
          <w:color w:val="auto"/>
          <w:sz w:val="21"/>
          <w:szCs w:val="21"/>
          <w:highlight w:val="none"/>
        </w:rPr>
        <w:t xml:space="preserve">。备注栏中针对“正偏离”或“负偏离”的情况进行详细地描述。</w:t>
      </w:r>
      <w:r/>
    </w:p>
    <w:p>
      <w:pPr>
        <w:pStyle w:val="986"/>
        <w:ind w:firstLine="422"/>
        <w:rPr>
          <w:rFonts w:ascii="宋体" w:hAnsi="宋体"/>
          <w:b/>
          <w:color w:val="auto"/>
          <w:sz w:val="21"/>
          <w:szCs w:val="21"/>
          <w:highlight w:val="none"/>
        </w:rPr>
      </w:pPr>
      <w:r>
        <w:rPr>
          <w:rFonts w:ascii="宋体" w:hAnsi="宋体"/>
          <w:b/>
          <w:color w:val="auto"/>
          <w:sz w:val="21"/>
          <w:szCs w:val="21"/>
          <w:highlight w:val="none"/>
        </w:rPr>
      </w:r>
      <w:r/>
    </w:p>
    <w:p>
      <w:pPr>
        <w:ind w:firstLine="630"/>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spacing w:line="360" w:lineRule="auto"/>
        <w:widowControl w:val="off"/>
        <w:rPr>
          <w:rFonts w:ascii="宋体" w:hAnsi="宋体" w:cs="宋体"/>
          <w:bCs/>
          <w:color w:val="auto"/>
          <w:sz w:val="21"/>
          <w:szCs w:val="21"/>
          <w:highlight w:val="none"/>
          <w:lang w:val="zh-CN"/>
        </w:rPr>
      </w:pPr>
      <w:r>
        <w:rPr>
          <w:rFonts w:hint="eastAsia" w:ascii="宋体" w:hAnsi="宋体" w:cs="宋体"/>
          <w:bCs/>
          <w:color w:val="auto"/>
          <w:sz w:val="21"/>
          <w:szCs w:val="21"/>
          <w:highlight w:val="none"/>
          <w:lang w:val="zh-CN"/>
        </w:rPr>
        <w:t xml:space="preserve">供应商：（加盖CA电子公章）</w:t>
      </w:r>
      <w:r/>
    </w:p>
    <w:p>
      <w:pPr>
        <w:spacing w:line="360" w:lineRule="auto"/>
        <w:widowControl w:val="off"/>
        <w:rPr>
          <w:rFonts w:ascii="宋体" w:hAnsi="宋体" w:cs="宋体"/>
          <w:bCs/>
          <w:color w:val="auto"/>
          <w:sz w:val="21"/>
          <w:szCs w:val="21"/>
          <w:highlight w:val="none"/>
          <w:lang w:val="zh-CN"/>
        </w:rPr>
      </w:pPr>
      <w:r>
        <w:rPr>
          <w:rFonts w:hint="eastAsia" w:ascii="宋体" w:hAnsi="宋体" w:cs="宋体"/>
          <w:bCs/>
          <w:color w:val="auto"/>
          <w:sz w:val="21"/>
          <w:szCs w:val="21"/>
          <w:highlight w:val="none"/>
          <w:lang w:val="zh-CN"/>
        </w:rPr>
        <w:t xml:space="preserve">日期：         年     月    日</w:t>
      </w:r>
      <w:r/>
    </w:p>
    <w:p>
      <w:pPr>
        <w:spacing w:line="360" w:lineRule="auto"/>
        <w:widowControl w:val="off"/>
        <w:rPr>
          <w:rFonts w:ascii="宋体" w:hAnsi="宋体" w:cs="宋体"/>
          <w:bCs/>
          <w:color w:val="auto"/>
          <w:sz w:val="21"/>
          <w:szCs w:val="21"/>
          <w:highlight w:val="none"/>
          <w:lang w:val="zh-CN"/>
        </w:rPr>
      </w:pPr>
      <w:r>
        <w:rPr>
          <w:rFonts w:ascii="宋体" w:hAnsi="宋体" w:cs="宋体"/>
          <w:bCs/>
          <w:color w:val="auto"/>
          <w:sz w:val="21"/>
          <w:szCs w:val="21"/>
          <w:highlight w:val="none"/>
          <w:lang w:val="zh-CN"/>
        </w:rPr>
      </w:r>
      <w:r/>
    </w:p>
    <w:p>
      <w:pPr>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widowControl w:val="off"/>
        <w:rPr>
          <w:rFonts w:ascii="宋体" w:hAnsi="宋体" w:cs="宋体"/>
          <w:b/>
          <w:bCs/>
          <w:color w:val="auto"/>
          <w:sz w:val="21"/>
          <w:szCs w:val="21"/>
          <w:highlight w:val="none"/>
        </w:rPr>
      </w:pPr>
      <w:r>
        <w:rPr>
          <w:rFonts w:ascii="宋体" w:hAnsi="宋体" w:cs="宋体"/>
          <w:b/>
          <w:bCs/>
          <w:color w:val="auto"/>
          <w:sz w:val="21"/>
          <w:szCs w:val="21"/>
          <w:highlight w:val="none"/>
        </w:rPr>
      </w:r>
      <w:bookmarkEnd w:id="70"/>
      <w:r/>
      <w:r/>
    </w:p>
    <w:p>
      <w:pPr>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widowControl w:val="off"/>
        <w:rPr>
          <w:rFonts w:ascii="宋体" w:hAnsi="宋体"/>
          <w:b/>
          <w:color w:val="auto"/>
          <w:sz w:val="21"/>
          <w:szCs w:val="21"/>
          <w:highlight w:val="none"/>
        </w:rPr>
      </w:pPr>
      <w:r>
        <w:rPr>
          <w:rFonts w:hint="eastAsia" w:ascii="宋体" w:hAnsi="宋体"/>
          <w:b/>
          <w:color w:val="auto"/>
          <w:sz w:val="21"/>
          <w:szCs w:val="21"/>
          <w:highlight w:val="none"/>
        </w:rPr>
        <w:br w:type="page" w:clear="all"/>
      </w:r>
      <w:r>
        <w:rPr>
          <w:rFonts w:hint="eastAsia" w:ascii="宋体" w:hAnsi="宋体"/>
          <w:b/>
          <w:color w:val="auto"/>
          <w:sz w:val="21"/>
          <w:szCs w:val="21"/>
          <w:highlight w:val="none"/>
        </w:rPr>
        <w:t xml:space="preserve">格式9：商务要求偏离表</w:t>
      </w:r>
      <w:r/>
    </w:p>
    <w:p>
      <w:pPr>
        <w:jc w:val="center"/>
        <w:spacing w:line="360" w:lineRule="auto"/>
        <w:widowControl w:val="off"/>
        <w:rPr>
          <w:rFonts w:ascii="宋体" w:hAnsi="宋体"/>
          <w:b/>
          <w:color w:val="auto"/>
          <w:highlight w:val="none"/>
        </w:rPr>
      </w:pPr>
      <w:r>
        <w:rPr>
          <w:rFonts w:hint="eastAsia" w:ascii="宋体" w:hAnsi="宋体"/>
          <w:b/>
          <w:color w:val="auto"/>
          <w:highlight w:val="none"/>
        </w:rPr>
        <w:t xml:space="preserve">商务要求偏离表</w:t>
      </w:r>
      <w:r/>
    </w:p>
    <w:tbl>
      <w:tblPr>
        <w:tblStyle w:val="746"/>
        <w:tblW w:w="98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8"/>
        <w:gridCol w:w="1631"/>
        <w:gridCol w:w="1987"/>
        <w:gridCol w:w="1988"/>
        <w:gridCol w:w="1988"/>
        <w:gridCol w:w="1320"/>
      </w:tblGrid>
      <w:tr>
        <w:trPr>
          <w:jc w:val="center"/>
          <w:trHeight w:val="609"/>
        </w:trPr>
        <w:tc>
          <w:tcPr>
            <w:tcW w:w="928" w:type="dxa"/>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序号</w:t>
            </w:r>
            <w:r/>
          </w:p>
        </w:tc>
        <w:tc>
          <w:tcPr>
            <w:tcW w:w="1631" w:type="dxa"/>
            <w:vAlign w:val="center"/>
            <w:textDirection w:val="lrTb"/>
            <w:noWrap w:val="false"/>
          </w:tcPr>
          <w:p>
            <w:pPr>
              <w:ind w:left="54"/>
              <w:jc w:val="center"/>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项目</w:t>
            </w:r>
            <w:r/>
          </w:p>
        </w:tc>
        <w:tc>
          <w:tcPr>
            <w:tcW w:w="1987" w:type="dxa"/>
            <w:vAlign w:val="center"/>
            <w:textDirection w:val="lrTb"/>
            <w:noWrap w:val="false"/>
          </w:tcPr>
          <w:p>
            <w:pPr>
              <w:jc w:val="center"/>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采购要求</w:t>
            </w:r>
            <w:r/>
          </w:p>
        </w:tc>
        <w:tc>
          <w:tcPr>
            <w:tcW w:w="1988" w:type="dxa"/>
            <w:vAlign w:val="center"/>
            <w:textDirection w:val="lrTb"/>
            <w:noWrap w:val="false"/>
          </w:tcPr>
          <w:p>
            <w:pPr>
              <w:jc w:val="center"/>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响应情况</w:t>
            </w:r>
            <w:r/>
          </w:p>
        </w:tc>
        <w:tc>
          <w:tcPr>
            <w:tcW w:w="1988" w:type="dxa"/>
            <w:vAlign w:val="center"/>
            <w:textDirection w:val="lrTb"/>
            <w:noWrap w:val="false"/>
          </w:tcPr>
          <w:p>
            <w:pPr>
              <w:jc w:val="center"/>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偏离说明</w:t>
            </w:r>
            <w:r/>
          </w:p>
        </w:tc>
        <w:tc>
          <w:tcPr>
            <w:tcW w:w="1320" w:type="dxa"/>
            <w:vAlign w:val="center"/>
            <w:textDirection w:val="lrTb"/>
            <w:noWrap w:val="false"/>
          </w:tcPr>
          <w:p>
            <w:pPr>
              <w:jc w:val="center"/>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备注</w:t>
            </w:r>
            <w:r/>
          </w:p>
        </w:tc>
      </w:tr>
      <w:tr>
        <w:trPr>
          <w:jc w:val="center"/>
        </w:trPr>
        <w:tc>
          <w:tcPr>
            <w:tcW w:w="928" w:type="dxa"/>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1631" w:type="dxa"/>
            <w:vAlign w:val="center"/>
            <w:textDirection w:val="lrTb"/>
            <w:noWrap w:val="false"/>
          </w:tcPr>
          <w:p>
            <w:pPr>
              <w:jc w:val="center"/>
              <w:widowControl w:val="off"/>
              <w:rPr>
                <w:rFonts w:cs="宋体"/>
                <w:color w:val="auto"/>
                <w:sz w:val="21"/>
                <w:szCs w:val="21"/>
                <w:highlight w:val="none"/>
                <w:lang w:val="zh-CN"/>
              </w:rPr>
            </w:pPr>
            <w:r>
              <w:rPr>
                <w:rFonts w:hint="eastAsia" w:cs="宋体"/>
                <w:color w:val="auto"/>
                <w:sz w:val="21"/>
                <w:szCs w:val="21"/>
                <w:highlight w:val="none"/>
                <w:lang w:val="zh-CN"/>
              </w:rPr>
              <w:t xml:space="preserve">合同履行期限</w:t>
            </w:r>
            <w:r/>
          </w:p>
        </w:tc>
        <w:tc>
          <w:tcPr>
            <w:tcW w:w="1987" w:type="dxa"/>
            <w:textDirection w:val="lrTb"/>
            <w:noWrap w:val="false"/>
          </w:tcPr>
          <w:p>
            <w:pPr>
              <w:ind w:firstLine="699"/>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1988" w:type="dxa"/>
            <w:textDirection w:val="lrTb"/>
            <w:noWrap w:val="false"/>
          </w:tcPr>
          <w:p>
            <w:pPr>
              <w:ind w:firstLine="699"/>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1988" w:type="dxa"/>
            <w:textDirection w:val="lrTb"/>
            <w:noWrap w:val="false"/>
          </w:tcPr>
          <w:p>
            <w:pPr>
              <w:ind w:firstLine="699"/>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1320" w:type="dxa"/>
            <w:textDirection w:val="lrTb"/>
            <w:noWrap w:val="false"/>
          </w:tcPr>
          <w:p>
            <w:pPr>
              <w:ind w:firstLine="699"/>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Pr>
        <w:tc>
          <w:tcPr>
            <w:tcW w:w="928" w:type="dxa"/>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W w:w="1631" w:type="dxa"/>
            <w:vAlign w:val="center"/>
            <w:textDirection w:val="lrTb"/>
            <w:noWrap w:val="false"/>
          </w:tcPr>
          <w:p>
            <w:pPr>
              <w:jc w:val="center"/>
              <w:widowControl w:val="off"/>
              <w:rPr>
                <w:rFonts w:cs="宋体"/>
                <w:color w:val="auto"/>
                <w:sz w:val="21"/>
                <w:szCs w:val="21"/>
                <w:highlight w:val="none"/>
                <w:lang w:val="zh-CN"/>
              </w:rPr>
            </w:pPr>
            <w:r/>
            <w:bookmarkStart w:id="72" w:name="OLE_LINK4"/>
            <w:r>
              <w:rPr>
                <w:rFonts w:hint="eastAsia" w:cs="宋体"/>
                <w:color w:val="auto"/>
                <w:sz w:val="21"/>
                <w:szCs w:val="21"/>
                <w:highlight w:val="none"/>
                <w:lang w:val="zh-CN"/>
              </w:rPr>
              <w:t xml:space="preserve">服务地点</w:t>
            </w:r>
            <w:bookmarkEnd w:id="72"/>
            <w:r/>
            <w:r/>
          </w:p>
        </w:tc>
        <w:tc>
          <w:tcPr>
            <w:tcW w:w="1987" w:type="dxa"/>
            <w:textDirection w:val="lrTb"/>
            <w:noWrap w:val="false"/>
          </w:tcPr>
          <w:p>
            <w:pPr>
              <w:ind w:firstLine="699"/>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1988" w:type="dxa"/>
            <w:textDirection w:val="lrTb"/>
            <w:noWrap w:val="false"/>
          </w:tcPr>
          <w:p>
            <w:pPr>
              <w:ind w:firstLine="699"/>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1988" w:type="dxa"/>
            <w:textDirection w:val="lrTb"/>
            <w:noWrap w:val="false"/>
          </w:tcPr>
          <w:p>
            <w:pPr>
              <w:ind w:firstLine="699"/>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1320" w:type="dxa"/>
            <w:textDirection w:val="lrTb"/>
            <w:noWrap w:val="false"/>
          </w:tcPr>
          <w:p>
            <w:pPr>
              <w:ind w:firstLine="699"/>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Pr>
        <w:tc>
          <w:tcPr>
            <w:tcW w:w="928" w:type="dxa"/>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W w:w="1631" w:type="dxa"/>
            <w:vAlign w:val="center"/>
            <w:textDirection w:val="lrTb"/>
            <w:noWrap w:val="false"/>
          </w:tcPr>
          <w:p>
            <w:pPr>
              <w:jc w:val="center"/>
              <w:widowControl w:val="off"/>
              <w:rPr>
                <w:rFonts w:cs="宋体"/>
                <w:color w:val="auto"/>
                <w:sz w:val="21"/>
                <w:szCs w:val="21"/>
                <w:highlight w:val="none"/>
                <w:lang w:val="zh-CN"/>
              </w:rPr>
            </w:pPr>
            <w:r>
              <w:rPr>
                <w:rFonts w:hint="eastAsia" w:cs="宋体"/>
                <w:color w:val="auto"/>
                <w:sz w:val="21"/>
                <w:szCs w:val="21"/>
                <w:highlight w:val="none"/>
                <w:lang w:val="zh-CN"/>
              </w:rPr>
              <w:t xml:space="preserve">付款步骤</w:t>
            </w:r>
            <w:r/>
          </w:p>
        </w:tc>
        <w:tc>
          <w:tcPr>
            <w:tcW w:w="1987" w:type="dxa"/>
            <w:textDirection w:val="lrTb"/>
            <w:noWrap w:val="false"/>
          </w:tcPr>
          <w:p>
            <w:pPr>
              <w:ind w:firstLine="699"/>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1988" w:type="dxa"/>
            <w:textDirection w:val="lrTb"/>
            <w:noWrap w:val="false"/>
          </w:tcPr>
          <w:p>
            <w:pPr>
              <w:ind w:firstLine="699"/>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1988" w:type="dxa"/>
            <w:textDirection w:val="lrTb"/>
            <w:noWrap w:val="false"/>
          </w:tcPr>
          <w:p>
            <w:pPr>
              <w:ind w:firstLine="699"/>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1320" w:type="dxa"/>
            <w:textDirection w:val="lrTb"/>
            <w:noWrap w:val="false"/>
          </w:tcPr>
          <w:p>
            <w:pPr>
              <w:ind w:firstLine="699"/>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Pr>
        <w:tc>
          <w:tcPr>
            <w:tcW w:w="928" w:type="dxa"/>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W w:w="1631" w:type="dxa"/>
            <w:vAlign w:val="center"/>
            <w:textDirection w:val="lrTb"/>
            <w:noWrap w:val="false"/>
          </w:tcPr>
          <w:p>
            <w:pPr>
              <w:jc w:val="center"/>
              <w:widowControl w:val="off"/>
              <w:rPr>
                <w:rFonts w:cs="宋体"/>
                <w:color w:val="auto"/>
                <w:sz w:val="21"/>
                <w:szCs w:val="21"/>
                <w:highlight w:val="none"/>
                <w:lang w:val="zh-CN"/>
              </w:rPr>
            </w:pPr>
            <w:r>
              <w:rPr>
                <w:rFonts w:hint="eastAsia" w:cs="宋体"/>
                <w:color w:val="auto"/>
                <w:sz w:val="21"/>
                <w:szCs w:val="21"/>
                <w:highlight w:val="none"/>
                <w:lang w:val="zh-CN"/>
              </w:rPr>
              <w:t xml:space="preserve">其他商务要求</w:t>
            </w:r>
            <w:r/>
          </w:p>
        </w:tc>
        <w:tc>
          <w:tcPr>
            <w:tcW w:w="1987" w:type="dxa"/>
            <w:textDirection w:val="lrTb"/>
            <w:noWrap w:val="false"/>
          </w:tcPr>
          <w:p>
            <w:pPr>
              <w:ind w:firstLine="699"/>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1988" w:type="dxa"/>
            <w:textDirection w:val="lrTb"/>
            <w:noWrap w:val="false"/>
          </w:tcPr>
          <w:p>
            <w:pPr>
              <w:ind w:firstLine="699"/>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1988" w:type="dxa"/>
            <w:textDirection w:val="lrTb"/>
            <w:noWrap w:val="false"/>
          </w:tcPr>
          <w:p>
            <w:pPr>
              <w:ind w:firstLine="699"/>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1320" w:type="dxa"/>
            <w:textDirection w:val="lrTb"/>
            <w:noWrap w:val="false"/>
          </w:tcPr>
          <w:p>
            <w:pPr>
              <w:ind w:firstLine="699"/>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Pr>
        <w:tc>
          <w:tcPr>
            <w:tcW w:w="928" w:type="dxa"/>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W w:w="1631" w:type="dxa"/>
            <w:vAlign w:val="center"/>
            <w:textDirection w:val="lrTb"/>
            <w:noWrap w:val="false"/>
          </w:tcPr>
          <w:p>
            <w:pPr>
              <w:jc w:val="center"/>
              <w:widowControl w:val="off"/>
              <w:rPr>
                <w:rFonts w:cs="宋体"/>
                <w:color w:val="auto"/>
                <w:sz w:val="21"/>
                <w:szCs w:val="21"/>
                <w:highlight w:val="none"/>
                <w:lang w:val="zh-CN"/>
              </w:rPr>
            </w:pPr>
            <w:r>
              <w:rPr>
                <w:rFonts w:cs="宋体"/>
                <w:color w:val="auto"/>
                <w:sz w:val="21"/>
                <w:szCs w:val="21"/>
                <w:highlight w:val="none"/>
                <w:lang w:val="zh-CN"/>
              </w:rPr>
            </w:r>
            <w:r/>
          </w:p>
        </w:tc>
        <w:tc>
          <w:tcPr>
            <w:tcW w:w="1987" w:type="dxa"/>
            <w:textDirection w:val="lrTb"/>
            <w:noWrap w:val="false"/>
          </w:tcPr>
          <w:p>
            <w:pPr>
              <w:ind w:firstLine="699"/>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1988" w:type="dxa"/>
            <w:textDirection w:val="lrTb"/>
            <w:noWrap w:val="false"/>
          </w:tcPr>
          <w:p>
            <w:pPr>
              <w:ind w:firstLine="699"/>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1988" w:type="dxa"/>
            <w:textDirection w:val="lrTb"/>
            <w:noWrap w:val="false"/>
          </w:tcPr>
          <w:p>
            <w:pPr>
              <w:ind w:firstLine="699"/>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1320" w:type="dxa"/>
            <w:textDirection w:val="lrTb"/>
            <w:noWrap w:val="false"/>
          </w:tcPr>
          <w:p>
            <w:pPr>
              <w:ind w:firstLine="699"/>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Pr>
        <w:tc>
          <w:tcPr>
            <w:tcW w:w="928" w:type="dxa"/>
            <w:vAlign w:val="center"/>
            <w:textDirection w:val="lrTb"/>
            <w:noWrap w:val="false"/>
          </w:tcPr>
          <w:p>
            <w:pPr>
              <w:jc w:val="center"/>
              <w:widowControl w:val="off"/>
              <w:rPr>
                <w:rFonts w:cs="宋体"/>
                <w:bCs/>
                <w:color w:val="auto"/>
                <w:sz w:val="21"/>
                <w:szCs w:val="21"/>
                <w:highlight w:val="none"/>
              </w:rPr>
            </w:pPr>
            <w:r>
              <w:rPr>
                <w:rFonts w:hint="eastAsia" w:cs="宋体"/>
                <w:bCs/>
                <w:color w:val="auto"/>
                <w:sz w:val="21"/>
                <w:szCs w:val="21"/>
                <w:highlight w:val="none"/>
              </w:rPr>
              <w:t xml:space="preserve">…</w:t>
            </w:r>
            <w:r/>
          </w:p>
        </w:tc>
        <w:tc>
          <w:tcPr>
            <w:tcW w:w="1631" w:type="dxa"/>
            <w:vAlign w:val="center"/>
            <w:textDirection w:val="lrTb"/>
            <w:noWrap w:val="false"/>
          </w:tcPr>
          <w:p>
            <w:pPr>
              <w:jc w:val="center"/>
              <w:widowControl w:val="off"/>
              <w:rPr>
                <w:rFonts w:cs="宋体"/>
                <w:bCs/>
                <w:color w:val="auto"/>
                <w:sz w:val="21"/>
                <w:szCs w:val="21"/>
                <w:highlight w:val="none"/>
                <w:lang w:val="zh-CN"/>
              </w:rPr>
            </w:pPr>
            <w:r>
              <w:rPr>
                <w:rFonts w:cs="宋体"/>
                <w:bCs/>
                <w:color w:val="auto"/>
                <w:sz w:val="21"/>
                <w:szCs w:val="21"/>
                <w:highlight w:val="none"/>
                <w:lang w:val="zh-CN"/>
              </w:rPr>
            </w:r>
            <w:r/>
          </w:p>
        </w:tc>
        <w:tc>
          <w:tcPr>
            <w:tcW w:w="1987" w:type="dxa"/>
            <w:textDirection w:val="lrTb"/>
            <w:noWrap w:val="false"/>
          </w:tcPr>
          <w:p>
            <w:pPr>
              <w:ind w:firstLine="699"/>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1988" w:type="dxa"/>
            <w:textDirection w:val="lrTb"/>
            <w:noWrap w:val="false"/>
          </w:tcPr>
          <w:p>
            <w:pPr>
              <w:ind w:firstLine="699"/>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1988" w:type="dxa"/>
            <w:textDirection w:val="lrTb"/>
            <w:noWrap w:val="false"/>
          </w:tcPr>
          <w:p>
            <w:pPr>
              <w:ind w:firstLine="699"/>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1320" w:type="dxa"/>
            <w:textDirection w:val="lrTb"/>
            <w:noWrap w:val="false"/>
          </w:tcPr>
          <w:p>
            <w:pPr>
              <w:ind w:firstLine="699"/>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r>
    </w:tbl>
    <w:p>
      <w:pPr>
        <w:pStyle w:val="935"/>
        <w:ind w:firstLine="422"/>
        <w:spacing w:line="360" w:lineRule="auto"/>
        <w:rPr>
          <w:color w:val="auto"/>
          <w:szCs w:val="21"/>
          <w:highlight w:val="none"/>
        </w:rPr>
      </w:pPr>
      <w:r>
        <w:rPr>
          <w:rFonts w:hint="eastAsia" w:ascii="宋体" w:hAnsi="宋体" w:cs="宋体"/>
          <w:b/>
          <w:bCs/>
          <w:color w:val="auto"/>
          <w:szCs w:val="21"/>
          <w:highlight w:val="none"/>
        </w:rPr>
        <w:t xml:space="preserve">注：1.供应商的响应文件（除服务条款部分）与采购文件规定的有偏离的，应在此表中说明。</w:t>
      </w:r>
      <w:r>
        <w:rPr>
          <w:rFonts w:hint="eastAsia" w:ascii="宋体" w:hAnsi="宋体"/>
          <w:b/>
          <w:bCs/>
          <w:color w:val="auto"/>
          <w:szCs w:val="21"/>
          <w:highlight w:val="none"/>
        </w:rPr>
        <w:t xml:space="preserve">未</w:t>
      </w:r>
      <w:r>
        <w:rPr>
          <w:rFonts w:hint="eastAsia" w:ascii="宋体" w:hAnsi="宋体"/>
          <w:b/>
          <w:color w:val="auto"/>
          <w:szCs w:val="21"/>
          <w:highlight w:val="none"/>
        </w:rPr>
        <w:t xml:space="preserve">在上表中说明的，如在响应文件其他内容中已有文字说明的，则以已有文字说明为准，否则，将被认为完全响应采购文件的规定。但该表不作为供应商对所投标的物关于商务条款等详细描述和说明的替代。</w:t>
      </w:r>
      <w:r/>
    </w:p>
    <w:p>
      <w:pPr>
        <w:pStyle w:val="986"/>
        <w:ind w:firstLine="422"/>
        <w:rPr>
          <w:rFonts w:ascii="宋体" w:hAnsi="宋体"/>
          <w:b/>
          <w:color w:val="auto"/>
          <w:sz w:val="21"/>
          <w:szCs w:val="21"/>
          <w:highlight w:val="none"/>
        </w:rPr>
      </w:pPr>
      <w:r>
        <w:rPr>
          <w:rFonts w:hint="eastAsia" w:ascii="宋体" w:hAnsi="宋体"/>
          <w:b/>
          <w:color w:val="auto"/>
          <w:sz w:val="21"/>
          <w:szCs w:val="21"/>
          <w:highlight w:val="none"/>
        </w:rPr>
        <w:t xml:space="preserve">2.</w:t>
      </w:r>
      <w:r>
        <w:rPr>
          <w:rFonts w:hint="eastAsia" w:ascii="宋体" w:hAnsi="宋体" w:cs="宋体"/>
          <w:b/>
          <w:color w:val="auto"/>
          <w:sz w:val="21"/>
          <w:szCs w:val="21"/>
          <w:highlight w:val="none"/>
        </w:rPr>
        <w:t xml:space="preserve">偏离说明一栏，根据实际响应情况，填写“响应”“正偏离”“负偏离”。备注栏中针对“正偏离”或“负偏离”的情况进行详细地描述。</w:t>
      </w:r>
      <w:r/>
    </w:p>
    <w:p>
      <w:pPr>
        <w:spacing w:line="400" w:lineRule="exact"/>
        <w:widowControl w:val="off"/>
        <w:rPr>
          <w:color w:val="auto"/>
          <w:sz w:val="21"/>
          <w:szCs w:val="21"/>
          <w:highlight w:val="none"/>
        </w:rPr>
      </w:pPr>
      <w:r>
        <w:rPr>
          <w:color w:val="auto"/>
          <w:sz w:val="21"/>
          <w:szCs w:val="21"/>
          <w:highlight w:val="none"/>
        </w:rPr>
      </w:r>
      <w:r/>
    </w:p>
    <w:p>
      <w:pPr>
        <w:jc w:val="both"/>
        <w:widowControl w:val="off"/>
        <w:rPr>
          <w:color w:val="auto"/>
          <w:sz w:val="21"/>
          <w:szCs w:val="21"/>
          <w:highlight w:val="none"/>
          <w:lang w:val="zh-CN"/>
        </w:rPr>
      </w:pPr>
      <w:r>
        <w:rPr>
          <w:color w:val="auto"/>
          <w:sz w:val="21"/>
          <w:szCs w:val="21"/>
          <w:highlight w:val="none"/>
          <w:lang w:val="zh-CN"/>
        </w:rPr>
      </w:r>
      <w:r/>
    </w:p>
    <w:p>
      <w:pPr>
        <w:jc w:val="both"/>
        <w:widowControl w:val="off"/>
        <w:rPr>
          <w:color w:val="auto"/>
          <w:sz w:val="21"/>
          <w:szCs w:val="21"/>
          <w:highlight w:val="none"/>
          <w:lang w:val="zh-CN"/>
        </w:rPr>
      </w:pPr>
      <w:r>
        <w:rPr>
          <w:color w:val="auto"/>
          <w:sz w:val="21"/>
          <w:szCs w:val="21"/>
          <w:highlight w:val="none"/>
          <w:lang w:val="zh-CN"/>
        </w:rPr>
      </w:r>
      <w:r/>
    </w:p>
    <w:p>
      <w:pPr>
        <w:spacing w:line="360" w:lineRule="auto"/>
        <w:widowControl w:val="off"/>
        <w:rPr>
          <w:rFonts w:ascii="宋体" w:hAnsi="宋体" w:cs="宋体"/>
          <w:bCs/>
          <w:color w:val="auto"/>
          <w:sz w:val="21"/>
          <w:szCs w:val="21"/>
          <w:highlight w:val="none"/>
          <w:lang w:val="zh-CN"/>
        </w:rPr>
      </w:pPr>
      <w:r>
        <w:rPr>
          <w:rFonts w:hint="eastAsia" w:ascii="宋体" w:hAnsi="宋体" w:cs="宋体"/>
          <w:bCs/>
          <w:color w:val="auto"/>
          <w:sz w:val="21"/>
          <w:szCs w:val="21"/>
          <w:highlight w:val="none"/>
          <w:lang w:val="zh-CN"/>
        </w:rPr>
        <w:t xml:space="preserve">供应商：（加盖CA电子公章）</w:t>
      </w:r>
      <w:r/>
    </w:p>
    <w:p>
      <w:pPr>
        <w:spacing w:line="360" w:lineRule="auto"/>
        <w:widowControl w:val="off"/>
        <w:rPr>
          <w:rFonts w:ascii="宋体" w:hAnsi="宋体" w:cs="宋体"/>
          <w:bCs/>
          <w:color w:val="auto"/>
          <w:sz w:val="21"/>
          <w:szCs w:val="21"/>
          <w:highlight w:val="none"/>
          <w:lang w:val="zh-CN"/>
        </w:rPr>
      </w:pPr>
      <w:r>
        <w:rPr>
          <w:rFonts w:hint="eastAsia" w:ascii="宋体" w:hAnsi="宋体" w:cs="宋体"/>
          <w:bCs/>
          <w:color w:val="auto"/>
          <w:sz w:val="21"/>
          <w:szCs w:val="21"/>
          <w:highlight w:val="none"/>
          <w:lang w:val="zh-CN"/>
        </w:rPr>
        <w:t xml:space="preserve">日期：         年     月    日</w:t>
      </w:r>
      <w:r/>
    </w:p>
    <w:p>
      <w:pPr>
        <w:ind w:firstLine="960"/>
        <w:spacing w:line="360" w:lineRule="auto"/>
        <w:widowControl w:val="off"/>
        <w:rPr>
          <w:rFonts w:ascii="宋体" w:hAnsi="宋体"/>
          <w:color w:val="auto"/>
          <w:szCs w:val="21"/>
          <w:highlight w:val="none"/>
        </w:rPr>
      </w:pPr>
      <w:r>
        <w:rPr>
          <w:rFonts w:ascii="宋体" w:hAnsi="宋体"/>
          <w:color w:val="auto"/>
          <w:szCs w:val="21"/>
          <w:highlight w:val="none"/>
        </w:rPr>
      </w:r>
      <w:r/>
    </w:p>
    <w:p>
      <w:pPr>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widowControl w:val="off"/>
        <w:rPr>
          <w:rFonts w:cs="宋体"/>
          <w:b/>
          <w:bCs/>
          <w:color w:val="auto"/>
          <w:sz w:val="21"/>
          <w:highlight w:val="none"/>
        </w:rPr>
      </w:pPr>
      <w:r>
        <w:rPr>
          <w:rFonts w:hint="eastAsia" w:ascii="宋体" w:hAnsi="宋体" w:cs="宋体"/>
          <w:b/>
          <w:bCs/>
          <w:color w:val="auto"/>
          <w:sz w:val="21"/>
          <w:szCs w:val="21"/>
          <w:highlight w:val="none"/>
        </w:rPr>
        <w:br w:type="page" w:clear="all"/>
      </w:r>
      <w:r>
        <w:rPr>
          <w:rFonts w:hint="eastAsia" w:ascii="宋体" w:hAnsi="宋体" w:cs="宋体"/>
          <w:b/>
          <w:bCs/>
          <w:color w:val="auto"/>
          <w:sz w:val="21"/>
          <w:szCs w:val="21"/>
          <w:highlight w:val="none"/>
        </w:rPr>
        <w:t xml:space="preserve">格式10</w:t>
      </w:r>
      <w:r>
        <w:rPr>
          <w:rFonts w:ascii="宋体" w:hAnsi="宋体" w:cs="宋体"/>
          <w:b/>
          <w:bCs/>
          <w:color w:val="auto"/>
          <w:sz w:val="21"/>
          <w:szCs w:val="21"/>
          <w:highlight w:val="none"/>
        </w:rPr>
        <w:t xml:space="preserve">：</w:t>
      </w:r>
      <w:r>
        <w:rPr>
          <w:rFonts w:hint="eastAsia" w:ascii="宋体" w:hAnsi="宋体" w:cs="宋体"/>
          <w:b/>
          <w:bCs/>
          <w:color w:val="auto"/>
          <w:sz w:val="21"/>
          <w:szCs w:val="21"/>
          <w:highlight w:val="none"/>
        </w:rPr>
        <w:t xml:space="preserve">响应保证承</w:t>
      </w:r>
      <w:r>
        <w:rPr>
          <w:rFonts w:hint="eastAsia" w:cs="宋体"/>
          <w:b/>
          <w:bCs/>
          <w:color w:val="auto"/>
          <w:sz w:val="21"/>
          <w:highlight w:val="none"/>
        </w:rPr>
        <w:t xml:space="preserve">诺书</w:t>
      </w:r>
      <w:r/>
    </w:p>
    <w:p>
      <w:pPr>
        <w:jc w:val="center"/>
        <w:spacing w:line="360" w:lineRule="auto"/>
        <w:widowControl w:val="off"/>
        <w:rPr>
          <w:rFonts w:hAnsi="宋体"/>
          <w:color w:val="auto"/>
          <w:highlight w:val="none"/>
        </w:rPr>
      </w:pPr>
      <w:r>
        <w:rPr>
          <w:rFonts w:hint="eastAsia" w:ascii="宋体" w:hAnsi="宋体" w:cs="宋体"/>
          <w:b/>
          <w:bCs/>
          <w:color w:val="auto"/>
          <w:highlight w:val="none"/>
        </w:rPr>
        <w:t xml:space="preserve">响应保证承诺书</w:t>
      </w:r>
      <w:r/>
    </w:p>
    <w:p>
      <w:pPr>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致：</w:t>
      </w:r>
      <w:r>
        <w:rPr>
          <w:rFonts w:hint="eastAsia"/>
          <w:color w:val="auto"/>
          <w:sz w:val="21"/>
          <w:szCs w:val="21"/>
          <w:highlight w:val="none"/>
          <w:u w:val="single"/>
          <w:lang w:val="zh-CN"/>
        </w:rPr>
        <w:t xml:space="preserve">苏州工业园区高端制造与国际贸易区管理委员会（苏州工业园区综合保税区管理办公室）、诚德天工建设咨询（苏州）有限公司</w:t>
      </w:r>
      <w:r/>
    </w:p>
    <w:p>
      <w:pPr>
        <w:ind w:firstLine="42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我（单位/本人，以下统称我单位）自愿参加</w:t>
      </w:r>
      <w:r>
        <w:rPr>
          <w:rFonts w:hint="eastAsia" w:ascii="宋体" w:hAnsi="宋体" w:cs="宋体"/>
          <w:color w:val="auto"/>
          <w:sz w:val="21"/>
          <w:szCs w:val="21"/>
          <w:highlight w:val="none"/>
          <w:u w:val="single"/>
        </w:rPr>
        <w:t xml:space="preserve">            （项目名称和采购编号）</w:t>
      </w:r>
      <w:r>
        <w:rPr>
          <w:rFonts w:hint="eastAsia" w:ascii="宋体" w:hAnsi="宋体" w:cs="宋体"/>
          <w:color w:val="auto"/>
          <w:sz w:val="21"/>
          <w:szCs w:val="21"/>
          <w:highlight w:val="none"/>
        </w:rPr>
        <w:t xml:space="preserve">的响应，并做出如下承诺：</w:t>
      </w:r>
      <w:r/>
    </w:p>
    <w:p>
      <w:pPr>
        <w:ind w:firstLine="42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一、除不可抗力外，我单位如果发生以下行为，将在行为发生的10个工作日内，向贵方</w:t>
      </w:r>
      <w:r>
        <w:rPr>
          <w:rFonts w:hint="eastAsia" w:ascii="宋体" w:hAnsi="宋体" w:cs="宋体"/>
          <w:color w:val="auto"/>
          <w:sz w:val="21"/>
          <w:szCs w:val="21"/>
          <w:highlight w:val="none"/>
          <w:u w:val="single"/>
        </w:rPr>
        <w:t xml:space="preserve">      （或采购人）</w:t>
      </w:r>
      <w:r>
        <w:rPr>
          <w:rFonts w:hint="eastAsia" w:ascii="宋体" w:hAnsi="宋体" w:cs="宋体"/>
          <w:color w:val="auto"/>
          <w:sz w:val="21"/>
          <w:szCs w:val="21"/>
          <w:highlight w:val="none"/>
        </w:rPr>
        <w:t xml:space="preserve">支付本采购文件公布的预算金额的2%作为违约赔偿金。</w:t>
      </w:r>
      <w:r/>
    </w:p>
    <w:p>
      <w:pPr>
        <w:ind w:firstLine="42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1.自响应截止时间至本项目发布成交公告为止，撤销响应；</w:t>
      </w:r>
      <w:r/>
    </w:p>
    <w:p>
      <w:pPr>
        <w:ind w:firstLine="42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2.成交后不依法与采购人签订合同；</w:t>
      </w:r>
      <w:r/>
    </w:p>
    <w:p>
      <w:pPr>
        <w:ind w:firstLine="42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3.成交后不按本采购文件规定向采购人提交履约保证金（如有）；</w:t>
      </w:r>
      <w:r/>
    </w:p>
    <w:p>
      <w:pPr>
        <w:ind w:firstLine="42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4.成交后不按本采购文件规定向贵方缴纳代理服务费。</w:t>
      </w:r>
      <w:r/>
    </w:p>
    <w:p>
      <w:pPr>
        <w:ind w:firstLine="42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二、我单位知晓上述行为的法律后果，承认本承诺书作为贵方</w:t>
      </w:r>
      <w:r>
        <w:rPr>
          <w:rFonts w:hint="eastAsia" w:ascii="宋体" w:hAnsi="宋体" w:cs="宋体"/>
          <w:color w:val="auto"/>
          <w:sz w:val="21"/>
          <w:szCs w:val="21"/>
          <w:highlight w:val="none"/>
          <w:u w:val="single"/>
        </w:rPr>
        <w:t xml:space="preserve">（或采购人）</w:t>
      </w:r>
      <w:r>
        <w:rPr>
          <w:rFonts w:hint="eastAsia" w:ascii="宋体" w:hAnsi="宋体" w:cs="宋体"/>
          <w:color w:val="auto"/>
          <w:sz w:val="21"/>
          <w:szCs w:val="21"/>
          <w:highlight w:val="none"/>
        </w:rPr>
        <w:t xml:space="preserve">要求我单位履行违约赔偿义务的依据作用。</w:t>
      </w:r>
      <w:r/>
    </w:p>
    <w:p>
      <w:pPr>
        <w:ind w:firstLine="42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响应人：（签章）</w:t>
      </w:r>
      <w:r/>
    </w:p>
    <w:p>
      <w:pPr>
        <w:ind w:firstLine="42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地    址：</w:t>
      </w:r>
      <w:r>
        <w:rPr>
          <w:rFonts w:hint="eastAsia" w:ascii="宋体" w:hAnsi="宋体" w:cs="宋体"/>
          <w:color w:val="auto"/>
          <w:sz w:val="21"/>
          <w:szCs w:val="21"/>
          <w:highlight w:val="none"/>
          <w:u w:val="single"/>
        </w:rPr>
        <w:t xml:space="preserve">                             </w:t>
      </w:r>
      <w:r/>
    </w:p>
    <w:p>
      <w:pPr>
        <w:ind w:firstLine="42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电    话：</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传真：</w:t>
      </w:r>
      <w:r>
        <w:rPr>
          <w:rFonts w:hint="eastAsia" w:ascii="宋体" w:hAnsi="宋体" w:cs="宋体"/>
          <w:color w:val="auto"/>
          <w:sz w:val="21"/>
          <w:szCs w:val="21"/>
          <w:highlight w:val="none"/>
          <w:u w:val="single"/>
        </w:rPr>
        <w:t xml:space="preserve">                   </w:t>
      </w:r>
      <w:r/>
    </w:p>
    <w:p>
      <w:pPr>
        <w:ind w:firstLine="42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电子邮件：</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邮编：</w:t>
      </w:r>
      <w:r>
        <w:rPr>
          <w:rFonts w:hint="eastAsia" w:ascii="宋体" w:hAnsi="宋体" w:cs="宋体"/>
          <w:color w:val="auto"/>
          <w:sz w:val="21"/>
          <w:szCs w:val="21"/>
          <w:highlight w:val="none"/>
          <w:u w:val="single"/>
        </w:rPr>
        <w:t xml:space="preserve">                   </w:t>
      </w:r>
      <w:r/>
    </w:p>
    <w:p>
      <w:pPr>
        <w:ind w:firstLine="42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法定代表人或委托代理人（签字或签章）：</w:t>
      </w:r>
      <w:r/>
    </w:p>
    <w:p>
      <w:pPr>
        <w:pStyle w:val="966"/>
        <w:ind w:firstLine="420"/>
        <w:jc w:val="both"/>
        <w:spacing w:before="0" w:beforeAutospacing="0" w:after="0" w:afterAutospacing="0" w:line="360" w:lineRule="auto"/>
        <w:widowControl w:val="off"/>
        <w:rPr>
          <w:rFonts w:hint="default" w:cs="宋体"/>
          <w:color w:val="auto"/>
          <w:sz w:val="21"/>
          <w:szCs w:val="21"/>
          <w:highlight w:val="none"/>
        </w:rPr>
      </w:pPr>
      <w:r>
        <w:rPr>
          <w:rFonts w:cs="宋体"/>
          <w:color w:val="auto"/>
          <w:sz w:val="21"/>
          <w:szCs w:val="21"/>
          <w:highlight w:val="none"/>
        </w:rPr>
        <w:t xml:space="preserve">日期：      年    月    日</w:t>
      </w:r>
      <w:r/>
    </w:p>
    <w:p>
      <w:pPr>
        <w:pStyle w:val="966"/>
        <w:jc w:val="both"/>
        <w:spacing w:before="0" w:beforeAutospacing="0" w:after="0" w:afterAutospacing="0" w:line="360" w:lineRule="auto"/>
        <w:widowControl w:val="off"/>
        <w:rPr>
          <w:rFonts w:hint="default" w:cs="宋体"/>
          <w:color w:val="auto"/>
          <w:sz w:val="21"/>
          <w:szCs w:val="21"/>
          <w:highlight w:val="none"/>
        </w:rPr>
      </w:pPr>
      <w:r>
        <w:rPr>
          <w:rFonts w:hint="default" w:cs="宋体"/>
          <w:color w:val="auto"/>
          <w:sz w:val="21"/>
          <w:szCs w:val="21"/>
          <w:highlight w:val="none"/>
        </w:rPr>
      </w:r>
      <w:r/>
    </w:p>
    <w:p>
      <w:pPr>
        <w:pStyle w:val="966"/>
        <w:jc w:val="both"/>
        <w:spacing w:before="0" w:beforeAutospacing="0" w:after="0" w:afterAutospacing="0" w:line="360" w:lineRule="auto"/>
        <w:widowControl w:val="off"/>
        <w:rPr>
          <w:rFonts w:hint="default" w:cs="宋体"/>
          <w:color w:val="auto"/>
          <w:sz w:val="21"/>
          <w:szCs w:val="21"/>
          <w:highlight w:val="none"/>
        </w:rPr>
      </w:pPr>
      <w:r>
        <w:rPr>
          <w:rFonts w:hint="default" w:cs="宋体"/>
          <w:color w:val="auto"/>
          <w:sz w:val="21"/>
          <w:szCs w:val="21"/>
          <w:highlight w:val="none"/>
        </w:rPr>
      </w:r>
      <w:r/>
    </w:p>
    <w:p>
      <w:pPr>
        <w:pStyle w:val="966"/>
        <w:jc w:val="both"/>
        <w:spacing w:before="0" w:beforeAutospacing="0" w:after="0" w:afterAutospacing="0" w:line="360" w:lineRule="auto"/>
        <w:widowControl w:val="off"/>
        <w:rPr>
          <w:rFonts w:hint="default" w:cs="宋体"/>
          <w:color w:val="auto"/>
          <w:sz w:val="21"/>
          <w:szCs w:val="21"/>
          <w:highlight w:val="none"/>
        </w:rPr>
      </w:pPr>
      <w:r>
        <w:rPr>
          <w:rFonts w:hint="default" w:cs="宋体"/>
          <w:color w:val="auto"/>
          <w:sz w:val="21"/>
          <w:szCs w:val="21"/>
          <w:highlight w:val="none"/>
        </w:rPr>
      </w:r>
      <w:r/>
    </w:p>
    <w:p>
      <w:pPr>
        <w:pStyle w:val="966"/>
        <w:jc w:val="both"/>
        <w:spacing w:before="0" w:beforeAutospacing="0" w:after="0" w:afterAutospacing="0" w:line="360" w:lineRule="auto"/>
        <w:widowControl w:val="off"/>
        <w:rPr>
          <w:rFonts w:hint="default" w:cs="宋体"/>
          <w:color w:val="auto"/>
          <w:sz w:val="21"/>
          <w:szCs w:val="21"/>
          <w:highlight w:val="none"/>
        </w:rPr>
      </w:pPr>
      <w:r>
        <w:rPr>
          <w:rFonts w:hint="default" w:cs="宋体"/>
          <w:color w:val="auto"/>
          <w:sz w:val="21"/>
          <w:szCs w:val="21"/>
          <w:highlight w:val="none"/>
        </w:rPr>
      </w:r>
      <w:r/>
    </w:p>
    <w:p>
      <w:pPr>
        <w:pStyle w:val="966"/>
        <w:jc w:val="both"/>
        <w:spacing w:before="0" w:beforeAutospacing="0" w:after="0" w:afterAutospacing="0" w:line="360" w:lineRule="auto"/>
        <w:widowControl w:val="off"/>
        <w:rPr>
          <w:rFonts w:hint="default" w:cs="宋体"/>
          <w:color w:val="auto"/>
          <w:sz w:val="21"/>
          <w:szCs w:val="21"/>
          <w:highlight w:val="none"/>
        </w:rPr>
      </w:pPr>
      <w:r>
        <w:rPr>
          <w:rFonts w:hint="default" w:cs="宋体"/>
          <w:color w:val="auto"/>
          <w:sz w:val="21"/>
          <w:szCs w:val="21"/>
          <w:highlight w:val="none"/>
        </w:rPr>
      </w:r>
      <w:r/>
    </w:p>
    <w:p>
      <w:pPr>
        <w:pStyle w:val="966"/>
        <w:jc w:val="both"/>
        <w:spacing w:before="0" w:beforeAutospacing="0" w:after="0" w:afterAutospacing="0" w:line="360" w:lineRule="auto"/>
        <w:widowControl w:val="off"/>
        <w:rPr>
          <w:rFonts w:hint="default" w:cs="宋体"/>
          <w:color w:val="auto"/>
          <w:sz w:val="21"/>
          <w:szCs w:val="21"/>
          <w:highlight w:val="none"/>
        </w:rPr>
      </w:pPr>
      <w:r>
        <w:rPr>
          <w:rFonts w:hint="default" w:cs="宋体"/>
          <w:color w:val="auto"/>
          <w:sz w:val="21"/>
          <w:szCs w:val="21"/>
          <w:highlight w:val="none"/>
        </w:rPr>
      </w:r>
      <w:r/>
    </w:p>
    <w:p>
      <w:pPr>
        <w:pStyle w:val="966"/>
        <w:jc w:val="both"/>
        <w:spacing w:before="0" w:beforeAutospacing="0" w:after="0" w:afterAutospacing="0" w:line="360" w:lineRule="auto"/>
        <w:widowControl w:val="off"/>
        <w:rPr>
          <w:rFonts w:hint="default" w:cs="宋体"/>
          <w:color w:val="auto"/>
          <w:sz w:val="21"/>
          <w:szCs w:val="21"/>
          <w:highlight w:val="none"/>
        </w:rPr>
      </w:pPr>
      <w:r>
        <w:rPr>
          <w:rFonts w:hint="default" w:cs="宋体"/>
          <w:color w:val="auto"/>
          <w:sz w:val="21"/>
          <w:szCs w:val="21"/>
          <w:highlight w:val="none"/>
        </w:rPr>
      </w:r>
      <w:r/>
    </w:p>
    <w:p>
      <w:pPr>
        <w:ind w:firstLine="960"/>
        <w:spacing w:line="360" w:lineRule="auto"/>
        <w:widowControl w:val="off"/>
        <w:rPr>
          <w:rFonts w:ascii="宋体" w:hAnsi="宋体"/>
          <w:color w:val="auto"/>
          <w:szCs w:val="21"/>
          <w:highlight w:val="none"/>
        </w:rPr>
      </w:pPr>
      <w:r>
        <w:rPr>
          <w:rFonts w:ascii="宋体" w:hAnsi="宋体"/>
          <w:color w:val="auto"/>
          <w:szCs w:val="21"/>
          <w:highlight w:val="none"/>
        </w:rPr>
      </w:r>
      <w:r/>
    </w:p>
    <w:p>
      <w:pPr>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jc w:val="both"/>
        <w:spacing w:line="360" w:lineRule="auto"/>
        <w:widowControl w:val="off"/>
        <w:rPr>
          <w:rFonts w:ascii="宋体" w:hAnsi="宋体" w:cs="宋体"/>
          <w:bCs/>
          <w:color w:val="auto"/>
          <w:sz w:val="21"/>
          <w:szCs w:val="21"/>
          <w:highlight w:val="none"/>
        </w:rPr>
      </w:pPr>
      <w:r>
        <w:rPr>
          <w:rFonts w:hint="eastAsia" w:ascii="宋体" w:hAnsi="宋体" w:cs="宋体"/>
          <w:b/>
          <w:color w:val="auto"/>
          <w:sz w:val="21"/>
          <w:szCs w:val="21"/>
          <w:highlight w:val="none"/>
          <w:lang w:val="zh-CN"/>
        </w:rPr>
        <w:br w:type="page" w:clear="all"/>
      </w:r>
      <w:r>
        <w:rPr>
          <w:rFonts w:hint="eastAsia" w:ascii="宋体" w:hAnsi="宋体" w:cs="宋体"/>
          <w:b/>
          <w:color w:val="auto"/>
          <w:sz w:val="21"/>
          <w:szCs w:val="21"/>
          <w:highlight w:val="none"/>
        </w:rPr>
        <w:t xml:space="preserve">格式11</w:t>
      </w:r>
      <w:r>
        <w:rPr>
          <w:rFonts w:hint="eastAsia" w:ascii="宋体" w:hAnsi="宋体" w:cs="宋体"/>
          <w:b/>
          <w:color w:val="auto"/>
          <w:sz w:val="21"/>
          <w:szCs w:val="21"/>
          <w:highlight w:val="none"/>
          <w:lang w:val="zh-CN"/>
        </w:rPr>
        <w:t xml:space="preserve">：拟投入本项目技术人员汇总表</w:t>
      </w:r>
      <w:r/>
    </w:p>
    <w:p>
      <w:pPr>
        <w:jc w:val="center"/>
        <w:spacing w:line="340" w:lineRule="exact"/>
        <w:widowControl w:val="off"/>
        <w:rPr>
          <w:rFonts w:ascii="宋体" w:hAnsi="宋体" w:cs="宋体"/>
          <w:color w:val="auto"/>
          <w:highlight w:val="none"/>
        </w:rPr>
      </w:pPr>
      <w:r>
        <w:rPr>
          <w:rFonts w:hint="eastAsia" w:ascii="宋体" w:hAnsi="宋体" w:cs="宋体"/>
          <w:b/>
          <w:color w:val="auto"/>
          <w:highlight w:val="none"/>
        </w:rPr>
        <w:t xml:space="preserve">拟投入本项目技术人员汇总表</w:t>
      </w:r>
      <w:r/>
    </w:p>
    <w:p>
      <w:pPr>
        <w:spacing w:line="34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项目名称：                              采购编号：           </w:t>
      </w:r>
      <w:r/>
    </w:p>
    <w:tbl>
      <w:tblPr>
        <w:tblStyle w:val="74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0"/>
        <w:gridCol w:w="1202"/>
        <w:gridCol w:w="701"/>
        <w:gridCol w:w="722"/>
        <w:gridCol w:w="723"/>
        <w:gridCol w:w="868"/>
        <w:gridCol w:w="875"/>
        <w:gridCol w:w="1263"/>
        <w:gridCol w:w="1468"/>
      </w:tblGrid>
      <w:tr>
        <w:trPr>
          <w:jc w:val="center"/>
          <w:trHeight w:val="294"/>
        </w:trPr>
        <w:tc>
          <w:tcPr>
            <w:tcW w:w="700"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序号</w:t>
            </w:r>
            <w:r/>
          </w:p>
        </w:tc>
        <w:tc>
          <w:tcPr>
            <w:tcW w:w="1202"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姓名</w:t>
            </w:r>
            <w:r/>
          </w:p>
        </w:tc>
        <w:tc>
          <w:tcPr>
            <w:tcW w:w="701"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年龄</w:t>
            </w:r>
            <w:r/>
          </w:p>
        </w:tc>
        <w:tc>
          <w:tcPr>
            <w:tcW w:w="722"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性别</w:t>
            </w:r>
            <w:r/>
          </w:p>
        </w:tc>
        <w:tc>
          <w:tcPr>
            <w:tcW w:w="723"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学历</w:t>
            </w:r>
            <w:r/>
          </w:p>
        </w:tc>
        <w:tc>
          <w:tcPr>
            <w:tcW w:w="868"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专业</w:t>
            </w:r>
            <w:r/>
          </w:p>
        </w:tc>
        <w:tc>
          <w:tcPr>
            <w:tcW w:w="875"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职称/资格</w:t>
            </w:r>
            <w:r/>
          </w:p>
        </w:tc>
        <w:tc>
          <w:tcPr>
            <w:tcW w:w="1263"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在本项目拟任职务</w:t>
            </w:r>
            <w:r/>
          </w:p>
        </w:tc>
        <w:tc>
          <w:tcPr>
            <w:tcW w:w="1468"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备注</w:t>
            </w:r>
            <w:r/>
          </w:p>
        </w:tc>
      </w:tr>
      <w:tr>
        <w:trPr>
          <w:jc w:val="center"/>
          <w:trHeight w:val="463"/>
        </w:trPr>
        <w:tc>
          <w:tcPr>
            <w:tcW w:w="700"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202"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701"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722"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723"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868"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875"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263"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468"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Height w:val="440"/>
        </w:trPr>
        <w:tc>
          <w:tcPr>
            <w:tcW w:w="700"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202"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701"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722"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723"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868"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875"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263"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468"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Height w:val="195"/>
        </w:trPr>
        <w:tc>
          <w:tcPr>
            <w:tcW w:w="700"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202"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701"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722"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723"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868"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875"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263"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468"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Height w:val="255"/>
        </w:trPr>
        <w:tc>
          <w:tcPr>
            <w:tcW w:w="700"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202"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701"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722"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723"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868"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875"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263"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468"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Height w:val="255"/>
        </w:trPr>
        <w:tc>
          <w:tcPr>
            <w:gridSpan w:val="9"/>
            <w:tcW w:w="8522"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（可加行）</w:t>
            </w:r>
            <w:r/>
          </w:p>
        </w:tc>
      </w:tr>
    </w:tbl>
    <w:p>
      <w:pPr>
        <w:spacing w:line="340" w:lineRule="exact"/>
        <w:widowControl w:val="off"/>
        <w:rPr>
          <w:rFonts w:ascii="宋体" w:hAnsi="宋体" w:cs="宋体"/>
          <w:b/>
          <w:bCs/>
          <w:color w:val="auto"/>
          <w:sz w:val="21"/>
          <w:szCs w:val="21"/>
          <w:highlight w:val="none"/>
        </w:rPr>
      </w:pPr>
      <w:r>
        <w:rPr>
          <w:rFonts w:hint="eastAsia" w:ascii="宋体" w:hAnsi="宋体" w:cs="宋体"/>
          <w:color w:val="auto"/>
          <w:sz w:val="21"/>
          <w:szCs w:val="21"/>
          <w:highlight w:val="none"/>
        </w:rPr>
        <w:t xml:space="preserve">注：</w:t>
      </w:r>
      <w:r>
        <w:rPr>
          <w:rFonts w:hint="eastAsia" w:ascii="宋体" w:hAnsi="宋体" w:cs="宋体"/>
          <w:b/>
          <w:bCs/>
          <w:color w:val="auto"/>
          <w:sz w:val="21"/>
          <w:szCs w:val="21"/>
          <w:highlight w:val="none"/>
        </w:rPr>
        <w:t xml:space="preserve">1.服务类项目中供应商若使用退休人员，将不享受中小企业扶持政策。</w:t>
      </w:r>
      <w:r/>
    </w:p>
    <w:p>
      <w:pPr>
        <w:ind w:left="239" w:firstLine="210"/>
        <w:spacing w:line="34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2.根据供应商实际情况提供相关人员证明材料。</w:t>
      </w:r>
      <w:r/>
    </w:p>
    <w:p>
      <w:pPr>
        <w:ind w:left="239"/>
        <w:spacing w:line="340" w:lineRule="exact"/>
        <w:widowControl w:val="off"/>
        <w:rPr>
          <w:rFonts w:ascii="宋体" w:hAnsi="宋体" w:cs="宋体"/>
          <w:color w:val="auto"/>
          <w:sz w:val="21"/>
          <w:szCs w:val="21"/>
          <w:highlight w:val="none"/>
        </w:rPr>
      </w:pPr>
      <w:r>
        <w:rPr>
          <w:rFonts w:ascii="宋体" w:hAnsi="宋体" w:cs="宋体"/>
          <w:color w:val="auto"/>
          <w:sz w:val="21"/>
          <w:szCs w:val="21"/>
          <w:highlight w:val="none"/>
        </w:rPr>
      </w:r>
      <w:r/>
    </w:p>
    <w:p>
      <w:pPr>
        <w:ind w:left="239"/>
        <w:spacing w:line="340" w:lineRule="exact"/>
        <w:widowControl w:val="off"/>
        <w:rPr>
          <w:rFonts w:ascii="宋体" w:hAnsi="宋体" w:cs="宋体"/>
          <w:color w:val="auto"/>
          <w:sz w:val="21"/>
          <w:szCs w:val="21"/>
          <w:highlight w:val="none"/>
        </w:rPr>
      </w:pPr>
      <w:r>
        <w:rPr>
          <w:rFonts w:ascii="宋体" w:hAnsi="宋体" w:cs="宋体"/>
          <w:color w:val="auto"/>
          <w:sz w:val="21"/>
          <w:szCs w:val="21"/>
          <w:highlight w:val="none"/>
        </w:rPr>
      </w:r>
      <w:r/>
    </w:p>
    <w:p>
      <w:pPr>
        <w:ind w:left="239"/>
        <w:spacing w:line="340" w:lineRule="exact"/>
        <w:widowControl w:val="off"/>
        <w:rPr>
          <w:rFonts w:ascii="宋体" w:hAnsi="宋体" w:cs="宋体"/>
          <w:color w:val="auto"/>
          <w:sz w:val="21"/>
          <w:szCs w:val="21"/>
          <w:highlight w:val="none"/>
        </w:rPr>
      </w:pPr>
      <w:r>
        <w:rPr>
          <w:rFonts w:ascii="宋体" w:hAnsi="宋体" w:cs="宋体"/>
          <w:color w:val="auto"/>
          <w:sz w:val="21"/>
          <w:szCs w:val="21"/>
          <w:highlight w:val="none"/>
        </w:rPr>
      </w:r>
      <w:r/>
    </w:p>
    <w:p>
      <w:pPr>
        <w:spacing w:line="360" w:lineRule="auto"/>
        <w:widowControl w:val="off"/>
        <w:rPr>
          <w:rFonts w:ascii="宋体" w:hAnsi="宋体" w:cs="宋体"/>
          <w:bCs/>
          <w:color w:val="auto"/>
          <w:sz w:val="21"/>
          <w:szCs w:val="21"/>
          <w:highlight w:val="none"/>
          <w:lang w:val="zh-CN"/>
        </w:rPr>
      </w:pPr>
      <w:r>
        <w:rPr>
          <w:rFonts w:hint="eastAsia" w:ascii="宋体" w:hAnsi="宋体" w:cs="宋体"/>
          <w:bCs/>
          <w:color w:val="auto"/>
          <w:sz w:val="21"/>
          <w:szCs w:val="21"/>
          <w:highlight w:val="none"/>
          <w:lang w:val="zh-CN"/>
        </w:rPr>
        <w:t xml:space="preserve">供应商：（加盖CA电子公章）</w:t>
      </w:r>
      <w:r/>
    </w:p>
    <w:p>
      <w:pPr>
        <w:spacing w:line="360" w:lineRule="auto"/>
        <w:widowControl w:val="off"/>
        <w:rPr>
          <w:rFonts w:ascii="宋体" w:hAnsi="宋体" w:cs="宋体"/>
          <w:bCs/>
          <w:color w:val="auto"/>
          <w:sz w:val="21"/>
          <w:szCs w:val="21"/>
          <w:highlight w:val="none"/>
          <w:lang w:val="zh-CN"/>
        </w:rPr>
      </w:pPr>
      <w:r>
        <w:rPr>
          <w:rFonts w:hint="eastAsia" w:ascii="宋体" w:hAnsi="宋体" w:cs="宋体"/>
          <w:bCs/>
          <w:color w:val="auto"/>
          <w:sz w:val="21"/>
          <w:szCs w:val="21"/>
          <w:highlight w:val="none"/>
          <w:lang w:val="zh-CN"/>
        </w:rPr>
        <w:t xml:space="preserve">日期：         年     月    日</w:t>
      </w:r>
      <w:r/>
    </w:p>
    <w:p>
      <w:pPr>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spacing w:line="360" w:lineRule="auto"/>
        <w:widowControl w:val="off"/>
        <w:rPr>
          <w:b/>
          <w:color w:val="auto"/>
          <w:sz w:val="21"/>
          <w:szCs w:val="21"/>
          <w:highlight w:val="none"/>
          <w:lang w:val="zh-CN"/>
        </w:rPr>
      </w:pPr>
      <w:r>
        <w:rPr>
          <w:rFonts w:hint="eastAsia" w:ascii="宋体" w:hAnsi="宋体"/>
          <w:b/>
          <w:color w:val="auto"/>
          <w:sz w:val="21"/>
          <w:szCs w:val="21"/>
          <w:highlight w:val="none"/>
        </w:rPr>
        <w:br w:type="page" w:clear="all"/>
      </w:r>
      <w:r>
        <w:rPr>
          <w:rFonts w:hint="eastAsia" w:ascii="宋体" w:hAnsi="宋体"/>
          <w:b/>
          <w:color w:val="auto"/>
          <w:sz w:val="21"/>
          <w:szCs w:val="21"/>
          <w:highlight w:val="none"/>
        </w:rPr>
        <w:t xml:space="preserve">格式12：</w:t>
      </w:r>
      <w:r>
        <w:rPr>
          <w:rFonts w:hint="eastAsia" w:hAnsi="宋体"/>
          <w:b/>
          <w:color w:val="auto"/>
          <w:sz w:val="21"/>
          <w:szCs w:val="21"/>
          <w:highlight w:val="none"/>
        </w:rPr>
        <w:t xml:space="preserve">项目负责人情况表</w:t>
      </w:r>
      <w:r/>
    </w:p>
    <w:p>
      <w:pPr>
        <w:jc w:val="center"/>
        <w:spacing w:line="360" w:lineRule="auto"/>
        <w:widowControl w:val="off"/>
        <w:rPr>
          <w:b/>
          <w:color w:val="auto"/>
          <w:highlight w:val="none"/>
          <w:lang w:val="zh-CN"/>
        </w:rPr>
      </w:pPr>
      <w:r>
        <w:rPr>
          <w:rFonts w:hint="eastAsia" w:hAnsi="宋体"/>
          <w:b/>
          <w:color w:val="auto"/>
          <w:highlight w:val="none"/>
        </w:rPr>
        <w:t xml:space="preserve">项目负责人情况表</w:t>
      </w:r>
      <w:r/>
    </w:p>
    <w:p>
      <w:pPr>
        <w:spacing w:line="340" w:lineRule="exact"/>
        <w:widowControl w:val="off"/>
        <w:rPr>
          <w:rFonts w:ascii="宋体" w:hAnsi="宋体"/>
          <w:b/>
          <w:color w:val="auto"/>
          <w:sz w:val="21"/>
          <w:szCs w:val="21"/>
          <w:highlight w:val="none"/>
        </w:rPr>
      </w:pPr>
      <w:r>
        <w:rPr>
          <w:rFonts w:hint="eastAsia" w:ascii="宋体" w:hAnsi="宋体"/>
          <w:color w:val="auto"/>
          <w:sz w:val="21"/>
          <w:szCs w:val="21"/>
          <w:highlight w:val="none"/>
        </w:rPr>
        <w:t xml:space="preserve">项目名称：</w:t>
      </w:r>
      <w:r>
        <w:rPr>
          <w:rFonts w:hint="eastAsia" w:ascii="宋体" w:hAnsi="宋体" w:cs="宋体"/>
          <w:bCs/>
          <w:color w:val="auto"/>
          <w:sz w:val="21"/>
          <w:szCs w:val="21"/>
          <w:highlight w:val="none"/>
        </w:rPr>
        <w:t xml:space="preserve">                                    </w:t>
      </w:r>
      <w:r>
        <w:rPr>
          <w:rFonts w:hint="eastAsia" w:ascii="宋体" w:hAnsi="宋体"/>
          <w:color w:val="auto"/>
          <w:sz w:val="21"/>
          <w:szCs w:val="21"/>
          <w:highlight w:val="none"/>
        </w:rPr>
        <w:t xml:space="preserve">采购</w:t>
      </w:r>
      <w:r>
        <w:rPr>
          <w:rFonts w:ascii="宋体" w:hAnsi="宋体"/>
          <w:color w:val="auto"/>
          <w:sz w:val="21"/>
          <w:szCs w:val="21"/>
          <w:highlight w:val="none"/>
        </w:rPr>
        <w:t xml:space="preserve">编号：</w:t>
      </w:r>
      <w:r/>
    </w:p>
    <w:tbl>
      <w:tblPr>
        <w:tblStyle w:val="746"/>
        <w:tblW w:w="0" w:type="auto"/>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17"/>
        <w:gridCol w:w="327"/>
        <w:gridCol w:w="736"/>
        <w:gridCol w:w="870"/>
        <w:gridCol w:w="175"/>
        <w:gridCol w:w="1232"/>
        <w:gridCol w:w="332"/>
        <w:gridCol w:w="763"/>
        <w:gridCol w:w="1370"/>
        <w:gridCol w:w="109"/>
        <w:gridCol w:w="1391"/>
      </w:tblGrid>
      <w:tr>
        <w:trPr>
          <w:trHeight w:val="273"/>
        </w:trPr>
        <w:tc>
          <w:tcPr>
            <w:tcW w:w="1217" w:type="dxa"/>
            <w:textDirection w:val="lrTb"/>
            <w:noWrap w:val="false"/>
          </w:tcPr>
          <w:p>
            <w:pPr>
              <w:jc w:val="center"/>
              <w:spacing w:line="34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姓名</w:t>
            </w:r>
            <w:r/>
          </w:p>
        </w:tc>
        <w:tc>
          <w:tcPr>
            <w:gridSpan w:val="2"/>
            <w:tcW w:w="1063" w:type="dxa"/>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870" w:type="dxa"/>
            <w:textDirection w:val="lrTb"/>
            <w:noWrap w:val="false"/>
          </w:tcPr>
          <w:p>
            <w:pPr>
              <w:jc w:val="center"/>
              <w:spacing w:line="34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性别</w:t>
            </w:r>
            <w:r/>
          </w:p>
        </w:tc>
        <w:tc>
          <w:tcPr>
            <w:gridSpan w:val="3"/>
            <w:tcW w:w="1739" w:type="dxa"/>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gridSpan w:val="3"/>
            <w:tcW w:w="2242" w:type="dxa"/>
            <w:textDirection w:val="lrTb"/>
            <w:noWrap w:val="false"/>
          </w:tcPr>
          <w:p>
            <w:pPr>
              <w:jc w:val="center"/>
              <w:spacing w:line="34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年龄</w:t>
            </w:r>
            <w:r/>
          </w:p>
        </w:tc>
        <w:tc>
          <w:tcPr>
            <w:tcW w:w="1391" w:type="dxa"/>
            <w:textDirection w:val="lrTb"/>
            <w:noWrap w:val="false"/>
          </w:tcPr>
          <w:p>
            <w:pP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trHeight w:val="270"/>
        </w:trPr>
        <w:tc>
          <w:tcPr>
            <w:tcW w:w="1217" w:type="dxa"/>
            <w:textDirection w:val="lrTb"/>
            <w:noWrap w:val="false"/>
          </w:tcPr>
          <w:p>
            <w:pPr>
              <w:jc w:val="center"/>
              <w:spacing w:line="34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职务</w:t>
            </w:r>
            <w:r/>
          </w:p>
        </w:tc>
        <w:tc>
          <w:tcPr>
            <w:gridSpan w:val="2"/>
            <w:tcW w:w="1063" w:type="dxa"/>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870" w:type="dxa"/>
            <w:textDirection w:val="lrTb"/>
            <w:noWrap w:val="false"/>
          </w:tcPr>
          <w:p>
            <w:pPr>
              <w:jc w:val="center"/>
              <w:spacing w:line="34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职称</w:t>
            </w:r>
            <w:r/>
          </w:p>
        </w:tc>
        <w:tc>
          <w:tcPr>
            <w:gridSpan w:val="3"/>
            <w:tcW w:w="1739" w:type="dxa"/>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gridSpan w:val="3"/>
            <w:tcW w:w="2242" w:type="dxa"/>
            <w:textDirection w:val="lrTb"/>
            <w:noWrap w:val="false"/>
          </w:tcPr>
          <w:p>
            <w:pPr>
              <w:jc w:val="center"/>
              <w:spacing w:line="34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学历</w:t>
            </w:r>
            <w:r/>
          </w:p>
        </w:tc>
        <w:tc>
          <w:tcPr>
            <w:tcW w:w="1391" w:type="dxa"/>
            <w:textDirection w:val="lrTb"/>
            <w:noWrap w:val="false"/>
          </w:tcPr>
          <w:p>
            <w:pP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cantSplit/>
          <w:trHeight w:val="225"/>
        </w:trPr>
        <w:tc>
          <w:tcPr>
            <w:tcW w:w="1217" w:type="dxa"/>
            <w:textDirection w:val="lrTb"/>
            <w:noWrap w:val="false"/>
          </w:tcPr>
          <w:p>
            <w:pPr>
              <w:jc w:val="center"/>
              <w:spacing w:line="34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毕业院校</w:t>
            </w:r>
            <w:r/>
          </w:p>
        </w:tc>
        <w:tc>
          <w:tcPr>
            <w:gridSpan w:val="6"/>
            <w:tcW w:w="3672" w:type="dxa"/>
            <w:textDirection w:val="lrTb"/>
            <w:noWrap w:val="false"/>
          </w:tcPr>
          <w:p>
            <w:pP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gridSpan w:val="3"/>
            <w:tcW w:w="2242" w:type="dxa"/>
            <w:textDirection w:val="lrTb"/>
            <w:noWrap w:val="false"/>
          </w:tcPr>
          <w:p>
            <w:pPr>
              <w:jc w:val="center"/>
              <w:spacing w:line="34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专业</w:t>
            </w:r>
            <w:r/>
          </w:p>
        </w:tc>
        <w:tc>
          <w:tcPr>
            <w:tcW w:w="1391" w:type="dxa"/>
            <w:textDirection w:val="lrTb"/>
            <w:noWrap w:val="false"/>
          </w:tcPr>
          <w:p>
            <w:pP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trHeight w:val="257"/>
        </w:trPr>
        <w:tc>
          <w:tcPr>
            <w:gridSpan w:val="3"/>
            <w:tcW w:w="2280" w:type="dxa"/>
            <w:textDirection w:val="lrTb"/>
            <w:noWrap w:val="false"/>
          </w:tcPr>
          <w:p>
            <w:pPr>
              <w:jc w:val="center"/>
              <w:spacing w:line="34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执业资格</w:t>
            </w:r>
            <w:r/>
          </w:p>
        </w:tc>
        <w:tc>
          <w:tcPr>
            <w:gridSpan w:val="4"/>
            <w:tcW w:w="2609" w:type="dxa"/>
            <w:textDirection w:val="lrTb"/>
            <w:noWrap w:val="false"/>
          </w:tcPr>
          <w:p>
            <w:pP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gridSpan w:val="3"/>
            <w:tcW w:w="2242" w:type="dxa"/>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391" w:type="dxa"/>
            <w:textDirection w:val="lrTb"/>
            <w:noWrap w:val="false"/>
          </w:tcPr>
          <w:p>
            <w:pP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cantSplit/>
          <w:trHeight w:val="261"/>
        </w:trPr>
        <w:tc>
          <w:tcPr>
            <w:gridSpan w:val="11"/>
            <w:tcW w:w="8522" w:type="dxa"/>
            <w:textDirection w:val="lrTb"/>
            <w:noWrap w:val="false"/>
          </w:tcPr>
          <w:p>
            <w:pPr>
              <w:ind w:left="92"/>
              <w:jc w:val="center"/>
              <w:spacing w:line="34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已完成同类项目情况</w:t>
            </w:r>
            <w:r/>
          </w:p>
        </w:tc>
      </w:tr>
      <w:tr>
        <w:trPr>
          <w:trHeight w:val="300"/>
        </w:trPr>
        <w:tc>
          <w:tcPr>
            <w:gridSpan w:val="2"/>
            <w:tcW w:w="1544" w:type="dxa"/>
            <w:textDirection w:val="lrTb"/>
            <w:noWrap w:val="false"/>
          </w:tcPr>
          <w:p>
            <w:pPr>
              <w:jc w:val="center"/>
              <w:spacing w:line="34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业主单位</w:t>
            </w:r>
            <w:r/>
          </w:p>
        </w:tc>
        <w:tc>
          <w:tcPr>
            <w:gridSpan w:val="3"/>
            <w:tcW w:w="1781" w:type="dxa"/>
            <w:textDirection w:val="lrTb"/>
            <w:noWrap w:val="false"/>
          </w:tcPr>
          <w:p>
            <w:pPr>
              <w:jc w:val="center"/>
              <w:spacing w:line="34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同类项目名称</w:t>
            </w:r>
            <w:r/>
          </w:p>
        </w:tc>
        <w:tc>
          <w:tcPr>
            <w:tcW w:w="1232" w:type="dxa"/>
            <w:textDirection w:val="lrTb"/>
            <w:noWrap w:val="false"/>
          </w:tcPr>
          <w:p>
            <w:pPr>
              <w:jc w:val="center"/>
              <w:spacing w:line="34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规模</w:t>
            </w:r>
            <w:r/>
          </w:p>
        </w:tc>
        <w:tc>
          <w:tcPr>
            <w:gridSpan w:val="2"/>
            <w:tcW w:w="1095" w:type="dxa"/>
            <w:textDirection w:val="lrTb"/>
            <w:noWrap w:val="false"/>
          </w:tcPr>
          <w:p>
            <w:pPr>
              <w:jc w:val="center"/>
              <w:spacing w:line="34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金额</w:t>
            </w:r>
            <w:r/>
          </w:p>
        </w:tc>
        <w:tc>
          <w:tcPr>
            <w:tcW w:w="1370" w:type="dxa"/>
            <w:textDirection w:val="lrTb"/>
            <w:noWrap w:val="false"/>
          </w:tcPr>
          <w:p>
            <w:pPr>
              <w:jc w:val="center"/>
              <w:spacing w:line="34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完成时间</w:t>
            </w:r>
            <w:r/>
          </w:p>
        </w:tc>
        <w:tc>
          <w:tcPr>
            <w:gridSpan w:val="2"/>
            <w:tcW w:w="1500" w:type="dxa"/>
            <w:textDirection w:val="lrTb"/>
            <w:noWrap w:val="false"/>
          </w:tcPr>
          <w:p>
            <w:pPr>
              <w:jc w:val="center"/>
              <w:spacing w:line="34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其他说明</w:t>
            </w:r>
            <w:r/>
          </w:p>
        </w:tc>
      </w:tr>
      <w:tr>
        <w:trPr>
          <w:trHeight w:val="280"/>
        </w:trPr>
        <w:tc>
          <w:tcPr>
            <w:gridSpan w:val="2"/>
            <w:tcW w:w="1544" w:type="dxa"/>
            <w:textDirection w:val="lrTb"/>
            <w:noWrap w:val="false"/>
          </w:tcPr>
          <w:p>
            <w:pP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gridSpan w:val="3"/>
            <w:tcW w:w="1781" w:type="dxa"/>
            <w:textDirection w:val="lrTb"/>
            <w:noWrap w:val="false"/>
          </w:tcPr>
          <w:p>
            <w:pP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232" w:type="dxa"/>
            <w:textDirection w:val="lrTb"/>
            <w:noWrap w:val="false"/>
          </w:tcPr>
          <w:p>
            <w:pP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gridSpan w:val="2"/>
            <w:tcW w:w="1095" w:type="dxa"/>
            <w:textDirection w:val="lrTb"/>
            <w:noWrap w:val="false"/>
          </w:tcPr>
          <w:p>
            <w:pP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370" w:type="dxa"/>
            <w:textDirection w:val="lrTb"/>
            <w:noWrap w:val="false"/>
          </w:tcPr>
          <w:p>
            <w:pP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gridSpan w:val="2"/>
            <w:tcW w:w="1500" w:type="dxa"/>
            <w:textDirection w:val="lrTb"/>
            <w:noWrap w:val="false"/>
          </w:tcPr>
          <w:p>
            <w:pP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trHeight w:val="280"/>
        </w:trPr>
        <w:tc>
          <w:tcPr>
            <w:gridSpan w:val="2"/>
            <w:tcW w:w="1544" w:type="dxa"/>
            <w:textDirection w:val="lrTb"/>
            <w:noWrap w:val="false"/>
          </w:tcPr>
          <w:p>
            <w:pP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gridSpan w:val="3"/>
            <w:tcW w:w="1781" w:type="dxa"/>
            <w:textDirection w:val="lrTb"/>
            <w:noWrap w:val="false"/>
          </w:tcPr>
          <w:p>
            <w:pP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232" w:type="dxa"/>
            <w:textDirection w:val="lrTb"/>
            <w:noWrap w:val="false"/>
          </w:tcPr>
          <w:p>
            <w:pP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gridSpan w:val="2"/>
            <w:tcW w:w="1095" w:type="dxa"/>
            <w:textDirection w:val="lrTb"/>
            <w:noWrap w:val="false"/>
          </w:tcPr>
          <w:p>
            <w:pP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370" w:type="dxa"/>
            <w:textDirection w:val="lrTb"/>
            <w:noWrap w:val="false"/>
          </w:tcPr>
          <w:p>
            <w:pP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gridSpan w:val="2"/>
            <w:tcW w:w="1500" w:type="dxa"/>
            <w:textDirection w:val="lrTb"/>
            <w:noWrap w:val="false"/>
          </w:tcPr>
          <w:p>
            <w:pP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trHeight w:val="280"/>
        </w:trPr>
        <w:tc>
          <w:tcPr>
            <w:gridSpan w:val="2"/>
            <w:tcW w:w="1544" w:type="dxa"/>
            <w:textDirection w:val="lrTb"/>
            <w:noWrap w:val="false"/>
          </w:tcPr>
          <w:p>
            <w:pP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gridSpan w:val="3"/>
            <w:tcW w:w="1781" w:type="dxa"/>
            <w:textDirection w:val="lrTb"/>
            <w:noWrap w:val="false"/>
          </w:tcPr>
          <w:p>
            <w:pP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232" w:type="dxa"/>
            <w:textDirection w:val="lrTb"/>
            <w:noWrap w:val="false"/>
          </w:tcPr>
          <w:p>
            <w:pP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gridSpan w:val="2"/>
            <w:tcW w:w="1095" w:type="dxa"/>
            <w:textDirection w:val="lrTb"/>
            <w:noWrap w:val="false"/>
          </w:tcPr>
          <w:p>
            <w:pP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370" w:type="dxa"/>
            <w:textDirection w:val="lrTb"/>
            <w:noWrap w:val="false"/>
          </w:tcPr>
          <w:p>
            <w:pP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gridSpan w:val="2"/>
            <w:tcW w:w="1500" w:type="dxa"/>
            <w:textDirection w:val="lrTb"/>
            <w:noWrap w:val="false"/>
          </w:tcPr>
          <w:p>
            <w:pP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trHeight w:val="367"/>
        </w:trPr>
        <w:tc>
          <w:tcPr>
            <w:gridSpan w:val="11"/>
            <w:tcW w:w="8522" w:type="dxa"/>
            <w:textDirection w:val="lrTb"/>
            <w:noWrap w:val="false"/>
          </w:tcPr>
          <w:p>
            <w:pPr>
              <w:spacing w:line="34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所做项目获奖情况</w:t>
            </w:r>
            <w:r/>
          </w:p>
        </w:tc>
      </w:tr>
      <w:tr>
        <w:trPr>
          <w:trHeight w:val="1549"/>
        </w:trPr>
        <w:tc>
          <w:tcPr>
            <w:gridSpan w:val="11"/>
            <w:tcW w:w="8522" w:type="dxa"/>
            <w:textDirection w:val="lrTb"/>
            <w:noWrap w:val="false"/>
          </w:tcPr>
          <w:p>
            <w:pP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r>
    </w:tbl>
    <w:p>
      <w:pPr>
        <w:spacing w:line="340" w:lineRule="exact"/>
        <w:widowControl w:val="off"/>
        <w:rPr>
          <w:rFonts w:ascii="宋体" w:hAnsi="宋体" w:cs="Arial"/>
          <w:color w:val="auto"/>
          <w:sz w:val="21"/>
          <w:szCs w:val="21"/>
          <w:highlight w:val="none"/>
          <w:lang w:val="zh-CN"/>
        </w:rPr>
      </w:pPr>
      <w:r>
        <w:rPr>
          <w:rFonts w:hint="eastAsia" w:ascii="宋体" w:hAnsi="宋体" w:cs="Arial"/>
          <w:color w:val="auto"/>
          <w:sz w:val="21"/>
          <w:szCs w:val="21"/>
          <w:highlight w:val="none"/>
          <w:lang w:val="zh-CN"/>
        </w:rPr>
        <w:t xml:space="preserve">注：</w:t>
      </w:r>
      <w:r>
        <w:rPr>
          <w:rFonts w:hint="eastAsia" w:ascii="宋体" w:hAnsi="宋体"/>
          <w:color w:val="auto"/>
          <w:sz w:val="21"/>
          <w:highlight w:val="none"/>
        </w:rPr>
        <w:t xml:space="preserve">根据供应商实际情况提供</w:t>
      </w:r>
      <w:r>
        <w:rPr>
          <w:rFonts w:ascii="宋体" w:hAnsi="宋体"/>
          <w:color w:val="auto"/>
          <w:sz w:val="21"/>
          <w:highlight w:val="none"/>
        </w:rPr>
        <w:t xml:space="preserve">相关人员证明材料</w:t>
      </w:r>
      <w:r>
        <w:rPr>
          <w:rFonts w:hint="eastAsia" w:ascii="宋体" w:hAnsi="宋体" w:cs="Arial"/>
          <w:color w:val="auto"/>
          <w:sz w:val="21"/>
          <w:szCs w:val="21"/>
          <w:highlight w:val="none"/>
          <w:lang w:val="zh-CN"/>
        </w:rPr>
        <w:t xml:space="preserve">。</w:t>
      </w:r>
      <w:r/>
    </w:p>
    <w:p>
      <w:pPr>
        <w:widowControl w:val="off"/>
        <w:rPr>
          <w:rFonts w:ascii="宋体" w:hAnsi="宋体"/>
          <w:b/>
          <w:color w:val="auto"/>
          <w:szCs w:val="21"/>
          <w:highlight w:val="none"/>
        </w:rPr>
      </w:pPr>
      <w:r>
        <w:rPr>
          <w:rFonts w:ascii="宋体" w:hAnsi="宋体"/>
          <w:b/>
          <w:color w:val="auto"/>
          <w:szCs w:val="21"/>
          <w:highlight w:val="none"/>
        </w:rPr>
      </w:r>
      <w:r/>
    </w:p>
    <w:p>
      <w:pPr>
        <w:widowControl w:val="off"/>
        <w:rPr>
          <w:rFonts w:ascii="宋体" w:hAnsi="宋体"/>
          <w:b/>
          <w:color w:val="auto"/>
          <w:szCs w:val="21"/>
          <w:highlight w:val="none"/>
        </w:rPr>
      </w:pPr>
      <w:r>
        <w:rPr>
          <w:rFonts w:ascii="宋体" w:hAnsi="宋体"/>
          <w:b/>
          <w:color w:val="auto"/>
          <w:szCs w:val="21"/>
          <w:highlight w:val="none"/>
        </w:rPr>
      </w:r>
      <w:r/>
    </w:p>
    <w:p>
      <w:pPr>
        <w:widowControl w:val="off"/>
        <w:rPr>
          <w:rFonts w:ascii="宋体" w:hAnsi="宋体"/>
          <w:b/>
          <w:color w:val="auto"/>
          <w:szCs w:val="21"/>
          <w:highlight w:val="none"/>
        </w:rPr>
      </w:pPr>
      <w:r>
        <w:rPr>
          <w:rFonts w:ascii="宋体" w:hAnsi="宋体"/>
          <w:b/>
          <w:color w:val="auto"/>
          <w:szCs w:val="21"/>
          <w:highlight w:val="none"/>
        </w:rPr>
      </w:r>
      <w:r/>
    </w:p>
    <w:p>
      <w:pPr>
        <w:widowControl w:val="off"/>
        <w:rPr>
          <w:rFonts w:ascii="宋体" w:hAnsi="宋体"/>
          <w:b/>
          <w:color w:val="auto"/>
          <w:szCs w:val="21"/>
          <w:highlight w:val="none"/>
        </w:rPr>
      </w:pPr>
      <w:r>
        <w:rPr>
          <w:rFonts w:ascii="宋体" w:hAnsi="宋体"/>
          <w:b/>
          <w:color w:val="auto"/>
          <w:szCs w:val="21"/>
          <w:highlight w:val="none"/>
        </w:rPr>
      </w:r>
      <w:r/>
    </w:p>
    <w:p>
      <w:pPr>
        <w:widowControl w:val="off"/>
        <w:rPr>
          <w:rFonts w:ascii="宋体" w:hAnsi="宋体"/>
          <w:b/>
          <w:color w:val="auto"/>
          <w:szCs w:val="21"/>
          <w:highlight w:val="none"/>
        </w:rPr>
      </w:pPr>
      <w:r>
        <w:rPr>
          <w:rFonts w:ascii="宋体" w:hAnsi="宋体"/>
          <w:b/>
          <w:color w:val="auto"/>
          <w:szCs w:val="21"/>
          <w:highlight w:val="none"/>
        </w:rPr>
      </w:r>
      <w:r/>
    </w:p>
    <w:p>
      <w:pPr>
        <w:spacing w:line="360" w:lineRule="auto"/>
        <w:widowControl w:val="off"/>
        <w:rPr>
          <w:rFonts w:ascii="宋体" w:hAnsi="宋体" w:cs="宋体"/>
          <w:bCs/>
          <w:color w:val="auto"/>
          <w:sz w:val="21"/>
          <w:szCs w:val="21"/>
          <w:highlight w:val="none"/>
          <w:lang w:val="zh-CN"/>
        </w:rPr>
      </w:pPr>
      <w:r>
        <w:rPr>
          <w:rFonts w:hint="eastAsia" w:ascii="宋体" w:hAnsi="宋体" w:cs="宋体"/>
          <w:bCs/>
          <w:color w:val="auto"/>
          <w:sz w:val="21"/>
          <w:szCs w:val="21"/>
          <w:highlight w:val="none"/>
          <w:lang w:val="zh-CN"/>
        </w:rPr>
        <w:t xml:space="preserve">供应商：（加盖CA电子公章）</w:t>
      </w:r>
      <w:r/>
    </w:p>
    <w:p>
      <w:pPr>
        <w:spacing w:line="360" w:lineRule="auto"/>
        <w:widowControl w:val="off"/>
        <w:rPr>
          <w:rFonts w:ascii="宋体" w:hAnsi="宋体" w:cs="宋体"/>
          <w:bCs/>
          <w:color w:val="auto"/>
          <w:sz w:val="21"/>
          <w:szCs w:val="21"/>
          <w:highlight w:val="none"/>
          <w:lang w:val="zh-CN"/>
        </w:rPr>
      </w:pPr>
      <w:r>
        <w:rPr>
          <w:rFonts w:hint="eastAsia" w:ascii="宋体" w:hAnsi="宋体" w:cs="宋体"/>
          <w:bCs/>
          <w:color w:val="auto"/>
          <w:sz w:val="21"/>
          <w:szCs w:val="21"/>
          <w:highlight w:val="none"/>
          <w:lang w:val="zh-CN"/>
        </w:rPr>
        <w:t xml:space="preserve">日期：         年     月    日</w:t>
      </w:r>
      <w:r/>
    </w:p>
    <w:p>
      <w:pP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p>
      <w:pPr>
        <w:widowControl w:val="off"/>
        <w:rPr>
          <w:rFonts w:ascii="宋体" w:hAnsi="宋体"/>
          <w:b/>
          <w:color w:val="auto"/>
          <w:szCs w:val="21"/>
          <w:highlight w:val="none"/>
        </w:rPr>
      </w:pPr>
      <w:r>
        <w:rPr>
          <w:rFonts w:ascii="宋体" w:hAnsi="宋体"/>
          <w:b/>
          <w:color w:val="auto"/>
          <w:szCs w:val="21"/>
          <w:highlight w:val="none"/>
        </w:rPr>
      </w:r>
      <w:r/>
    </w:p>
    <w:p>
      <w:pPr>
        <w:widowControl w:val="off"/>
        <w:rPr>
          <w:rFonts w:ascii="宋体" w:hAnsi="宋体"/>
          <w:b/>
          <w:color w:val="auto"/>
          <w:szCs w:val="21"/>
          <w:highlight w:val="none"/>
        </w:rPr>
      </w:pPr>
      <w:r>
        <w:rPr>
          <w:rFonts w:ascii="宋体" w:hAnsi="宋体"/>
          <w:b/>
          <w:color w:val="auto"/>
          <w:szCs w:val="21"/>
          <w:highlight w:val="none"/>
        </w:rPr>
      </w:r>
      <w:r/>
    </w:p>
    <w:p>
      <w:pPr>
        <w:widowControl w:val="off"/>
        <w:rPr>
          <w:rFonts w:ascii="宋体" w:hAnsi="宋体"/>
          <w:b/>
          <w:color w:val="auto"/>
          <w:szCs w:val="21"/>
          <w:highlight w:val="none"/>
        </w:rPr>
      </w:pPr>
      <w:r>
        <w:rPr>
          <w:rFonts w:ascii="宋体" w:hAnsi="宋体"/>
          <w:b/>
          <w:color w:val="auto"/>
          <w:szCs w:val="21"/>
          <w:highlight w:val="none"/>
        </w:rPr>
      </w:r>
      <w:r/>
    </w:p>
    <w:p>
      <w:pPr>
        <w:widowControl w:val="off"/>
        <w:rPr>
          <w:rFonts w:ascii="宋体" w:hAnsi="宋体"/>
          <w:b/>
          <w:color w:val="auto"/>
          <w:szCs w:val="21"/>
          <w:highlight w:val="none"/>
        </w:rPr>
      </w:pPr>
      <w:r>
        <w:rPr>
          <w:rFonts w:ascii="宋体" w:hAnsi="宋体"/>
          <w:b/>
          <w:color w:val="auto"/>
          <w:szCs w:val="21"/>
          <w:highlight w:val="none"/>
        </w:rPr>
      </w:r>
      <w:r/>
    </w:p>
    <w:p>
      <w:pPr>
        <w:widowControl w:val="off"/>
        <w:rPr>
          <w:rFonts w:ascii="宋体" w:hAnsi="宋体"/>
          <w:b/>
          <w:color w:val="auto"/>
          <w:szCs w:val="21"/>
          <w:highlight w:val="none"/>
        </w:rPr>
      </w:pPr>
      <w:r>
        <w:rPr>
          <w:rFonts w:ascii="宋体" w:hAnsi="宋体"/>
          <w:b/>
          <w:color w:val="auto"/>
          <w:szCs w:val="21"/>
          <w:highlight w:val="none"/>
        </w:rPr>
      </w:r>
      <w:r/>
    </w:p>
    <w:p>
      <w:pPr>
        <w:widowControl w:val="off"/>
        <w:rPr>
          <w:rFonts w:ascii="宋体" w:hAnsi="宋体"/>
          <w:b/>
          <w:color w:val="auto"/>
          <w:szCs w:val="21"/>
          <w:highlight w:val="none"/>
        </w:rPr>
      </w:pPr>
      <w:r>
        <w:rPr>
          <w:rFonts w:ascii="宋体" w:hAnsi="宋体"/>
          <w:b/>
          <w:color w:val="auto"/>
          <w:szCs w:val="21"/>
          <w:highlight w:val="none"/>
        </w:rPr>
      </w:r>
      <w:r/>
    </w:p>
    <w:p>
      <w:pPr>
        <w:widowControl w:val="off"/>
        <w:rPr>
          <w:rFonts w:ascii="宋体" w:hAnsi="宋体"/>
          <w:b/>
          <w:color w:val="auto"/>
          <w:szCs w:val="21"/>
          <w:highlight w:val="none"/>
        </w:rPr>
      </w:pPr>
      <w:r>
        <w:rPr>
          <w:rFonts w:ascii="宋体" w:hAnsi="宋体"/>
          <w:b/>
          <w:color w:val="auto"/>
          <w:szCs w:val="21"/>
          <w:highlight w:val="none"/>
        </w:rPr>
      </w:r>
      <w:r/>
    </w:p>
    <w:p>
      <w:pPr>
        <w:widowControl w:val="off"/>
        <w:rPr>
          <w:rFonts w:ascii="宋体" w:hAnsi="宋体"/>
          <w:b/>
          <w:color w:val="auto"/>
          <w:szCs w:val="21"/>
          <w:highlight w:val="none"/>
        </w:rPr>
      </w:pPr>
      <w:r>
        <w:rPr>
          <w:rFonts w:ascii="宋体" w:hAnsi="宋体"/>
          <w:b/>
          <w:color w:val="auto"/>
          <w:szCs w:val="21"/>
          <w:highlight w:val="none"/>
        </w:rPr>
      </w:r>
      <w:r/>
    </w:p>
    <w:p>
      <w:pPr>
        <w:widowControl w:val="off"/>
        <w:rPr>
          <w:rFonts w:ascii="宋体" w:hAnsi="宋体"/>
          <w:b/>
          <w:color w:val="auto"/>
          <w:szCs w:val="21"/>
          <w:highlight w:val="none"/>
        </w:rPr>
      </w:pPr>
      <w:r>
        <w:rPr>
          <w:rFonts w:ascii="宋体" w:hAnsi="宋体"/>
          <w:b/>
          <w:color w:val="auto"/>
          <w:szCs w:val="21"/>
          <w:highlight w:val="none"/>
        </w:rPr>
      </w:r>
      <w:r/>
    </w:p>
    <w:p>
      <w:pPr>
        <w:widowControl w:val="off"/>
        <w:rPr>
          <w:rFonts w:ascii="宋体" w:hAnsi="宋体"/>
          <w:b/>
          <w:color w:val="auto"/>
          <w:szCs w:val="21"/>
          <w:highlight w:val="none"/>
        </w:rPr>
      </w:pPr>
      <w:r>
        <w:rPr>
          <w:rFonts w:ascii="宋体" w:hAnsi="宋体"/>
          <w:b/>
          <w:color w:val="auto"/>
          <w:szCs w:val="21"/>
          <w:highlight w:val="none"/>
        </w:rPr>
      </w:r>
      <w:r/>
    </w:p>
    <w:p>
      <w:pPr>
        <w:widowControl w:val="off"/>
        <w:rPr>
          <w:rFonts w:ascii="宋体" w:hAnsi="宋体"/>
          <w:b/>
          <w:color w:val="auto"/>
          <w:szCs w:val="21"/>
          <w:highlight w:val="none"/>
        </w:rPr>
      </w:pPr>
      <w:r>
        <w:rPr>
          <w:rFonts w:ascii="宋体" w:hAnsi="宋体"/>
          <w:b/>
          <w:color w:val="auto"/>
          <w:szCs w:val="21"/>
          <w:highlight w:val="none"/>
        </w:rPr>
      </w:r>
      <w:r/>
    </w:p>
    <w:p>
      <w:pPr>
        <w:widowControl w:val="off"/>
        <w:rPr>
          <w:rFonts w:ascii="宋体" w:hAnsi="宋体"/>
          <w:b/>
          <w:color w:val="auto"/>
          <w:szCs w:val="21"/>
          <w:highlight w:val="none"/>
        </w:rPr>
      </w:pPr>
      <w:r>
        <w:rPr>
          <w:rFonts w:ascii="宋体" w:hAnsi="宋体"/>
          <w:b/>
          <w:color w:val="auto"/>
          <w:szCs w:val="21"/>
          <w:highlight w:val="none"/>
        </w:rPr>
      </w:r>
      <w:r/>
    </w:p>
    <w:p>
      <w:pPr>
        <w:spacing w:line="360" w:lineRule="auto"/>
        <w:widowControl w:val="off"/>
        <w:rPr>
          <w:rFonts w:ascii="宋体" w:hAnsi="宋体" w:cs="宋体"/>
          <w:b/>
          <w:color w:val="auto"/>
          <w:sz w:val="21"/>
          <w:szCs w:val="21"/>
          <w:highlight w:val="none"/>
          <w:lang w:val="zh-CN"/>
        </w:rPr>
      </w:pPr>
      <w:r>
        <w:rPr>
          <w:rFonts w:ascii="宋体" w:hAnsi="宋体" w:cs="宋体"/>
          <w:b/>
          <w:color w:val="auto"/>
          <w:sz w:val="21"/>
          <w:szCs w:val="21"/>
          <w:highlight w:val="none"/>
          <w:lang w:val="zh-CN"/>
        </w:rPr>
      </w:r>
      <w:r/>
    </w:p>
    <w:p>
      <w:pPr>
        <w:spacing w:line="360" w:lineRule="auto"/>
        <w:widowControl w:val="off"/>
        <w:rPr>
          <w:rFonts w:ascii="宋体" w:hAnsi="宋体" w:cs="宋体"/>
          <w:b/>
          <w:color w:val="auto"/>
          <w:sz w:val="21"/>
          <w:szCs w:val="21"/>
          <w:highlight w:val="none"/>
          <w:lang w:val="zh-CN"/>
        </w:rPr>
      </w:pPr>
      <w:r>
        <w:rPr>
          <w:rFonts w:hint="eastAsia" w:ascii="宋体" w:hAnsi="宋体" w:cs="宋体"/>
          <w:b/>
          <w:color w:val="auto"/>
          <w:sz w:val="21"/>
          <w:szCs w:val="21"/>
          <w:highlight w:val="none"/>
          <w:lang w:val="zh-CN"/>
        </w:rPr>
        <w:br w:type="page" w:clear="all"/>
      </w:r>
      <w:r>
        <w:rPr>
          <w:rFonts w:hint="eastAsia" w:ascii="宋体" w:hAnsi="宋体" w:cs="宋体"/>
          <w:b/>
          <w:color w:val="auto"/>
          <w:sz w:val="21"/>
          <w:szCs w:val="21"/>
          <w:highlight w:val="none"/>
        </w:rPr>
        <w:t xml:space="preserve">格式13</w:t>
      </w:r>
      <w:r>
        <w:rPr>
          <w:rFonts w:hint="eastAsia" w:ascii="宋体" w:hAnsi="宋体" w:cs="宋体"/>
          <w:b/>
          <w:color w:val="auto"/>
          <w:sz w:val="21"/>
          <w:szCs w:val="21"/>
          <w:highlight w:val="none"/>
          <w:lang w:val="zh-CN"/>
        </w:rPr>
        <w:t xml:space="preserve">：类似项目业绩一览表</w:t>
      </w:r>
      <w:r/>
    </w:p>
    <w:p>
      <w:pPr>
        <w:jc w:val="center"/>
        <w:widowControl w:val="off"/>
        <w:rPr>
          <w:rFonts w:ascii="宋体" w:hAnsi="宋体" w:cs="宋体"/>
          <w:b/>
          <w:bCs/>
          <w:color w:val="auto"/>
          <w:highlight w:val="none"/>
        </w:rPr>
      </w:pPr>
      <w:r>
        <w:rPr>
          <w:rFonts w:hint="eastAsia" w:ascii="宋体" w:hAnsi="宋体" w:cs="宋体"/>
          <w:b/>
          <w:bCs/>
          <w:color w:val="auto"/>
          <w:highlight w:val="none"/>
        </w:rPr>
        <w:t xml:space="preserve">类似项目业绩一览表</w:t>
      </w:r>
      <w:r/>
    </w:p>
    <w:tbl>
      <w:tblPr>
        <w:tblStyle w:val="746"/>
        <w:tblW w:w="8928"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56"/>
        <w:gridCol w:w="1812"/>
        <w:gridCol w:w="684"/>
        <w:gridCol w:w="732"/>
        <w:gridCol w:w="1356"/>
        <w:gridCol w:w="1692"/>
        <w:gridCol w:w="1896"/>
      </w:tblGrid>
      <w:tr>
        <w:trPr>
          <w:jc w:val="center"/>
          <w:trHeight w:val="708"/>
        </w:trPr>
        <w:tc>
          <w:tcPr>
            <w:tcBorders>
              <w:top w:val="single" w:color="auto" w:sz="4" w:space="0"/>
              <w:left w:val="single" w:color="auto" w:sz="4" w:space="0"/>
              <w:bottom w:val="single" w:color="auto" w:sz="4" w:space="0"/>
              <w:right w:val="single" w:color="auto" w:sz="4" w:space="0"/>
            </w:tcBorders>
            <w:tcW w:w="756"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规模</w:t>
            </w:r>
            <w:r/>
          </w:p>
        </w:tc>
        <w:tc>
          <w:tcPr>
            <w:tcBorders>
              <w:top w:val="single" w:color="auto" w:sz="4" w:space="0"/>
              <w:left w:val="single" w:color="auto" w:sz="4" w:space="0"/>
              <w:bottom w:val="single" w:color="auto" w:sz="4" w:space="0"/>
              <w:right w:val="single" w:color="auto" w:sz="4" w:space="0"/>
            </w:tcBorders>
            <w:tcW w:w="732"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金额</w:t>
            </w:r>
            <w:r/>
          </w:p>
        </w:tc>
        <w:tc>
          <w:tcPr>
            <w:tcBorders>
              <w:top w:val="single" w:color="auto" w:sz="4" w:space="0"/>
              <w:left w:val="single" w:color="auto" w:sz="4" w:space="0"/>
              <w:bottom w:val="single" w:color="auto" w:sz="4" w:space="0"/>
              <w:right w:val="single" w:color="auto" w:sz="4" w:space="0"/>
            </w:tcBorders>
            <w:tcW w:w="1356"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完成日期</w:t>
            </w:r>
            <w:r/>
          </w:p>
        </w:tc>
        <w:tc>
          <w:tcPr>
            <w:tcBorders>
              <w:top w:val="single" w:color="auto" w:sz="4" w:space="0"/>
              <w:left w:val="single" w:color="auto" w:sz="4" w:space="0"/>
              <w:bottom w:val="single" w:color="auto" w:sz="4" w:space="0"/>
              <w:right w:val="single" w:color="auto" w:sz="4" w:space="0"/>
            </w:tcBorders>
            <w:tcW w:w="1692"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获奖情况</w:t>
            </w:r>
            <w:r/>
          </w:p>
        </w:tc>
        <w:tc>
          <w:tcPr>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业主单位名称</w:t>
            </w:r>
            <w:r/>
          </w:p>
        </w:tc>
      </w:tr>
      <w:tr>
        <w:trPr>
          <w:jc w:val="center"/>
          <w:trHeight w:val="337"/>
        </w:trPr>
        <w:tc>
          <w:tcPr>
            <w:tcBorders>
              <w:top w:val="single" w:color="auto" w:sz="4" w:space="0"/>
              <w:left w:val="single" w:color="auto" w:sz="4" w:space="0"/>
              <w:bottom w:val="single" w:color="auto" w:sz="4" w:space="0"/>
              <w:right w:val="single" w:color="auto" w:sz="4" w:space="0"/>
            </w:tcBorders>
            <w:tcW w:w="756"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32"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56"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92"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Height w:val="337"/>
        </w:trPr>
        <w:tc>
          <w:tcPr>
            <w:tcBorders>
              <w:top w:val="single" w:color="auto" w:sz="4" w:space="0"/>
              <w:left w:val="single" w:color="auto" w:sz="4" w:space="0"/>
              <w:bottom w:val="single" w:color="auto" w:sz="4" w:space="0"/>
              <w:right w:val="single" w:color="auto" w:sz="4" w:space="0"/>
            </w:tcBorders>
            <w:tcW w:w="756"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32"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56"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92"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Height w:val="337"/>
        </w:trPr>
        <w:tc>
          <w:tcPr>
            <w:tcBorders>
              <w:top w:val="single" w:color="auto" w:sz="4" w:space="0"/>
              <w:left w:val="single" w:color="auto" w:sz="4" w:space="0"/>
              <w:bottom w:val="single" w:color="auto" w:sz="4" w:space="0"/>
              <w:right w:val="single" w:color="auto" w:sz="4" w:space="0"/>
            </w:tcBorders>
            <w:tcW w:w="756"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32"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56"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92"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Height w:val="337"/>
        </w:trPr>
        <w:tc>
          <w:tcPr>
            <w:tcBorders>
              <w:top w:val="single" w:color="auto" w:sz="4" w:space="0"/>
              <w:left w:val="single" w:color="auto" w:sz="4" w:space="0"/>
              <w:bottom w:val="single" w:color="auto" w:sz="4" w:space="0"/>
              <w:right w:val="single" w:color="auto" w:sz="4" w:space="0"/>
            </w:tcBorders>
            <w:tcW w:w="756"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32"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56"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92"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Height w:val="337"/>
        </w:trPr>
        <w:tc>
          <w:tcPr>
            <w:tcBorders>
              <w:top w:val="single" w:color="auto" w:sz="4" w:space="0"/>
              <w:left w:val="single" w:color="auto" w:sz="4" w:space="0"/>
              <w:bottom w:val="single" w:color="auto" w:sz="4" w:space="0"/>
              <w:right w:val="single" w:color="auto" w:sz="4" w:space="0"/>
            </w:tcBorders>
            <w:tcW w:w="756"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32"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56"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92"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Height w:val="337"/>
        </w:trPr>
        <w:tc>
          <w:tcPr>
            <w:tcBorders>
              <w:top w:val="single" w:color="auto" w:sz="4" w:space="0"/>
              <w:left w:val="single" w:color="auto" w:sz="4" w:space="0"/>
              <w:bottom w:val="single" w:color="auto" w:sz="4" w:space="0"/>
              <w:right w:val="single" w:color="auto" w:sz="4" w:space="0"/>
            </w:tcBorders>
            <w:tcW w:w="756"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32"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56"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92"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Height w:val="337"/>
        </w:trPr>
        <w:tc>
          <w:tcPr>
            <w:gridSpan w:val="7"/>
            <w:tcBorders>
              <w:top w:val="single" w:color="auto" w:sz="4" w:space="0"/>
            </w:tcBorders>
            <w:tcW w:w="8928"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（可加行）</w:t>
            </w:r>
            <w:r/>
          </w:p>
        </w:tc>
      </w:tr>
    </w:tbl>
    <w:p>
      <w:pPr>
        <w:spacing w:line="34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spacing w:line="340" w:lineRule="exact"/>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注：</w:t>
      </w:r>
      <w:r>
        <w:rPr>
          <w:rFonts w:hint="eastAsia" w:ascii="宋体" w:hAnsi="宋体" w:cs="宋体"/>
          <w:color w:val="auto"/>
          <w:sz w:val="21"/>
          <w:szCs w:val="21"/>
          <w:highlight w:val="none"/>
        </w:rPr>
        <w:t xml:space="preserve">根据供应商实际情况提供</w:t>
      </w:r>
      <w:r>
        <w:rPr>
          <w:rFonts w:hint="eastAsia" w:ascii="宋体" w:hAnsi="宋体" w:cs="宋体"/>
          <w:color w:val="auto"/>
          <w:sz w:val="21"/>
          <w:szCs w:val="21"/>
          <w:highlight w:val="none"/>
          <w:lang w:val="zh-CN"/>
        </w:rPr>
        <w:t xml:space="preserve">相关证明资料。</w:t>
      </w:r>
      <w:r/>
    </w:p>
    <w:p>
      <w:pPr>
        <w:ind w:left="239"/>
        <w:spacing w:line="340" w:lineRule="exact"/>
        <w:widowControl w:val="off"/>
        <w:rPr>
          <w:rFonts w:ascii="宋体" w:hAnsi="宋体" w:cs="宋体"/>
          <w:color w:val="auto"/>
          <w:sz w:val="21"/>
          <w:szCs w:val="21"/>
          <w:highlight w:val="none"/>
        </w:rPr>
      </w:pPr>
      <w:r>
        <w:rPr>
          <w:rFonts w:ascii="宋体" w:hAnsi="宋体" w:cs="宋体"/>
          <w:color w:val="auto"/>
          <w:sz w:val="21"/>
          <w:szCs w:val="21"/>
          <w:highlight w:val="none"/>
        </w:rPr>
      </w:r>
      <w:r/>
    </w:p>
    <w:p>
      <w:pPr>
        <w:ind w:left="239"/>
        <w:spacing w:line="340" w:lineRule="exact"/>
        <w:widowControl w:val="off"/>
        <w:rPr>
          <w:rFonts w:ascii="宋体" w:hAnsi="宋体" w:cs="宋体"/>
          <w:color w:val="auto"/>
          <w:sz w:val="21"/>
          <w:szCs w:val="21"/>
          <w:highlight w:val="none"/>
        </w:rPr>
      </w:pPr>
      <w:r>
        <w:rPr>
          <w:rFonts w:ascii="宋体" w:hAnsi="宋体" w:cs="宋体"/>
          <w:color w:val="auto"/>
          <w:sz w:val="21"/>
          <w:szCs w:val="21"/>
          <w:highlight w:val="none"/>
        </w:rPr>
      </w:r>
      <w:r/>
    </w:p>
    <w:p>
      <w:pPr>
        <w:ind w:left="239"/>
        <w:spacing w:line="340" w:lineRule="exact"/>
        <w:widowControl w:val="off"/>
        <w:rPr>
          <w:rFonts w:ascii="宋体" w:hAnsi="宋体" w:cs="宋体"/>
          <w:color w:val="auto"/>
          <w:sz w:val="21"/>
          <w:szCs w:val="21"/>
          <w:highlight w:val="none"/>
        </w:rPr>
      </w:pPr>
      <w:r>
        <w:rPr>
          <w:rFonts w:ascii="宋体" w:hAnsi="宋体" w:cs="宋体"/>
          <w:color w:val="auto"/>
          <w:sz w:val="21"/>
          <w:szCs w:val="21"/>
          <w:highlight w:val="none"/>
        </w:rPr>
      </w:r>
      <w:r/>
    </w:p>
    <w:p>
      <w:pPr>
        <w:spacing w:line="360" w:lineRule="auto"/>
        <w:widowControl w:val="off"/>
        <w:rPr>
          <w:rFonts w:ascii="宋体" w:hAnsi="宋体" w:cs="宋体"/>
          <w:bCs/>
          <w:color w:val="auto"/>
          <w:sz w:val="21"/>
          <w:szCs w:val="21"/>
          <w:highlight w:val="none"/>
          <w:lang w:val="zh-CN"/>
        </w:rPr>
      </w:pPr>
      <w:r>
        <w:rPr>
          <w:rFonts w:hint="eastAsia" w:ascii="宋体" w:hAnsi="宋体" w:cs="宋体"/>
          <w:bCs/>
          <w:color w:val="auto"/>
          <w:sz w:val="21"/>
          <w:szCs w:val="21"/>
          <w:highlight w:val="none"/>
          <w:lang w:val="zh-CN"/>
        </w:rPr>
        <w:t xml:space="preserve">供应商：（加盖CA电子公章）</w:t>
      </w:r>
      <w:r/>
    </w:p>
    <w:p>
      <w:pPr>
        <w:spacing w:line="360" w:lineRule="auto"/>
        <w:widowControl w:val="off"/>
        <w:rPr>
          <w:rFonts w:ascii="宋体" w:hAnsi="宋体" w:cs="宋体"/>
          <w:bCs/>
          <w:color w:val="auto"/>
          <w:sz w:val="21"/>
          <w:szCs w:val="21"/>
          <w:highlight w:val="none"/>
          <w:lang w:val="zh-CN"/>
        </w:rPr>
      </w:pPr>
      <w:r>
        <w:rPr>
          <w:rFonts w:hint="eastAsia" w:ascii="宋体" w:hAnsi="宋体" w:cs="宋体"/>
          <w:bCs/>
          <w:color w:val="auto"/>
          <w:sz w:val="21"/>
          <w:szCs w:val="21"/>
          <w:highlight w:val="none"/>
          <w:lang w:val="zh-CN"/>
        </w:rPr>
        <w:t xml:space="preserve">日期：         年     月    日</w:t>
      </w:r>
      <w:r/>
    </w:p>
    <w:p>
      <w:pP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p>
      <w:pP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p>
      <w:pP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p>
      <w:pP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p>
      <w:pP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p>
      <w:pP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p>
      <w:pP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p>
      <w:pPr>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rPr>
        <w:br w:type="page" w:clear="all"/>
      </w:r>
      <w:r>
        <w:rPr>
          <w:rFonts w:hint="eastAsia" w:ascii="宋体" w:hAnsi="宋体" w:cs="宋体"/>
          <w:b/>
          <w:bCs/>
          <w:color w:val="auto"/>
          <w:sz w:val="21"/>
          <w:szCs w:val="21"/>
          <w:highlight w:val="none"/>
        </w:rPr>
        <w:t xml:space="preserve">格式14：中小企业声明函</w:t>
      </w:r>
      <w:r/>
    </w:p>
    <w:p>
      <w:pPr>
        <w:jc w:val="center"/>
        <w:spacing w:line="400" w:lineRule="exact"/>
        <w:widowControl w:val="off"/>
        <w:rPr>
          <w:b/>
          <w:bCs/>
          <w:color w:val="auto"/>
          <w:highlight w:val="none"/>
          <w:lang w:val="zh-CN"/>
        </w:rPr>
      </w:pPr>
      <w:r>
        <w:rPr>
          <w:rFonts w:hAnsi="宋体"/>
          <w:b/>
          <w:bCs/>
          <w:color w:val="auto"/>
          <w:highlight w:val="none"/>
          <w:lang w:val="zh-CN"/>
        </w:rPr>
        <w:t xml:space="preserve">中小企业声明函</w:t>
      </w:r>
      <w:r/>
    </w:p>
    <w:p>
      <w:pPr>
        <w:ind w:firstLine="420"/>
        <w:widowControl w:val="off"/>
        <w:rPr>
          <w:rFonts w:hAnsi="宋体"/>
          <w:color w:val="auto"/>
          <w:sz w:val="21"/>
          <w:szCs w:val="21"/>
          <w:highlight w:val="none"/>
        </w:rPr>
      </w:pPr>
      <w:r>
        <w:rPr>
          <w:rFonts w:hAnsi="宋体"/>
          <w:color w:val="auto"/>
          <w:sz w:val="21"/>
          <w:szCs w:val="21"/>
          <w:highlight w:val="none"/>
        </w:rPr>
      </w:r>
      <w:r/>
    </w:p>
    <w:p>
      <w:pPr>
        <w:ind w:firstLine="420"/>
        <w:widowControl w:val="off"/>
        <w:rPr>
          <w:color w:val="auto"/>
          <w:sz w:val="21"/>
          <w:szCs w:val="21"/>
          <w:highlight w:val="none"/>
        </w:rPr>
      </w:pPr>
      <w:r>
        <w:rPr>
          <w:rFonts w:hAnsi="宋体"/>
          <w:color w:val="auto"/>
          <w:sz w:val="21"/>
          <w:szCs w:val="21"/>
          <w:highlight w:val="none"/>
        </w:rPr>
        <w:t xml:space="preserve">本公司（联合体）郑重声明，根据《政府采购促进中小企业发展管理办法》（财库﹝</w:t>
      </w:r>
      <w:r>
        <w:rPr>
          <w:color w:val="auto"/>
          <w:sz w:val="21"/>
          <w:szCs w:val="21"/>
          <w:highlight w:val="none"/>
        </w:rPr>
        <w:t xml:space="preserve">2020</w:t>
      </w:r>
      <w:r>
        <w:rPr>
          <w:rFonts w:hAnsi="宋体"/>
          <w:color w:val="auto"/>
          <w:sz w:val="21"/>
          <w:szCs w:val="21"/>
          <w:highlight w:val="none"/>
        </w:rPr>
        <w:t xml:space="preserve">﹞</w:t>
      </w:r>
      <w:r>
        <w:rPr>
          <w:color w:val="auto"/>
          <w:sz w:val="21"/>
          <w:szCs w:val="21"/>
          <w:highlight w:val="none"/>
        </w:rPr>
        <w:t xml:space="preserve">46</w:t>
      </w:r>
      <w:r>
        <w:rPr>
          <w:rFonts w:hAnsi="宋体"/>
          <w:color w:val="auto"/>
          <w:sz w:val="21"/>
          <w:szCs w:val="21"/>
          <w:highlight w:val="none"/>
        </w:rPr>
        <w:t xml:space="preserve">号）的规定，本公司（联合体）参加</w:t>
      </w:r>
      <w:r>
        <w:rPr>
          <w:color w:val="auto"/>
          <w:sz w:val="21"/>
          <w:szCs w:val="21"/>
          <w:highlight w:val="none"/>
          <w:u w:val="single"/>
        </w:rPr>
        <w:t xml:space="preserve"> </w:t>
      </w:r>
      <w:r>
        <w:rPr>
          <w:rFonts w:hint="eastAsia" w:hAnsi="宋体" w:cs="宋体"/>
          <w:color w:val="auto"/>
          <w:sz w:val="21"/>
          <w:szCs w:val="21"/>
          <w:highlight w:val="none"/>
          <w:u w:val="single"/>
          <w:lang w:val="zh-CN"/>
        </w:rPr>
        <w:t xml:space="preserve">苏州工业园区高端制造与国际贸易区管理委员会（苏州工业园区综合保税区管理办公室）</w:t>
      </w:r>
      <w:r>
        <w:rPr>
          <w:rFonts w:hAnsi="宋体"/>
          <w:color w:val="auto"/>
          <w:sz w:val="21"/>
          <w:szCs w:val="21"/>
          <w:highlight w:val="none"/>
        </w:rPr>
        <w:t xml:space="preserve">的</w:t>
      </w:r>
      <w:r>
        <w:rPr>
          <w:rFonts w:hint="eastAsia" w:hAnsi="宋体"/>
          <w:color w:val="auto"/>
          <w:sz w:val="21"/>
          <w:szCs w:val="21"/>
          <w:highlight w:val="none"/>
          <w:u w:val="single"/>
        </w:rPr>
        <w:t xml:space="preserve">2026年度高贸区既有建筑网格化隐患排查服务</w:t>
      </w:r>
      <w:r>
        <w:rPr>
          <w:rFonts w:hAnsi="宋体"/>
          <w:color w:val="auto"/>
          <w:sz w:val="21"/>
          <w:szCs w:val="21"/>
          <w:highlight w:val="none"/>
        </w:rPr>
        <w:t xml:space="preserve">采购活动，</w:t>
      </w:r>
      <w:r>
        <w:rPr>
          <w:rFonts w:hint="eastAsia" w:ascii="宋体" w:hAnsi="宋体" w:cs="宋体"/>
          <w:color w:val="auto"/>
          <w:sz w:val="21"/>
          <w:szCs w:val="21"/>
          <w:highlight w:val="none"/>
        </w:rPr>
        <w:t xml:space="preserve">服务全部由符合政策要求的中小企业承接。相关企业（含联合体中的中小企业、签订分包意向协议的中小企业）的具体情况如下</w:t>
      </w:r>
      <w:r>
        <w:rPr>
          <w:rFonts w:hAnsi="宋体"/>
          <w:color w:val="auto"/>
          <w:sz w:val="21"/>
          <w:szCs w:val="21"/>
          <w:highlight w:val="none"/>
        </w:rPr>
        <w:t xml:space="preserve">：</w:t>
      </w:r>
      <w:r/>
    </w:p>
    <w:p>
      <w:pPr>
        <w:ind w:firstLine="420"/>
        <w:widowControl w:val="off"/>
        <w:rPr>
          <w:color w:val="auto"/>
          <w:sz w:val="21"/>
          <w:szCs w:val="21"/>
          <w:highlight w:val="none"/>
        </w:rPr>
      </w:pPr>
      <w:r>
        <w:rPr>
          <w:rFonts w:hint="eastAsia"/>
          <w:color w:val="auto"/>
          <w:sz w:val="21"/>
          <w:szCs w:val="21"/>
          <w:highlight w:val="none"/>
        </w:rPr>
        <w:t xml:space="preserve">1.</w:t>
      </w:r>
      <w:r>
        <w:rPr>
          <w:rFonts w:hint="eastAsia" w:hAnsi="宋体"/>
          <w:color w:val="auto"/>
          <w:sz w:val="21"/>
          <w:szCs w:val="21"/>
          <w:highlight w:val="none"/>
          <w:u w:val="single"/>
        </w:rPr>
        <w:t xml:space="preserve">2026年度高贸区既有建筑网格化隐患排查服务</w:t>
      </w:r>
      <w:r>
        <w:rPr>
          <w:rFonts w:hAnsi="宋体"/>
          <w:color w:val="auto"/>
          <w:sz w:val="21"/>
          <w:szCs w:val="21"/>
          <w:highlight w:val="none"/>
        </w:rPr>
        <w:t xml:space="preserve"> ，属于</w:t>
      </w:r>
      <w:r>
        <w:rPr>
          <w:color w:val="auto"/>
          <w:sz w:val="21"/>
          <w:szCs w:val="21"/>
          <w:highlight w:val="none"/>
          <w:u w:val="single"/>
        </w:rPr>
        <w:t xml:space="preserve"> </w:t>
      </w:r>
      <w:r>
        <w:rPr>
          <w:rFonts w:hint="eastAsia" w:hAnsi="宋体"/>
          <w:b/>
          <w:bCs/>
          <w:color w:val="auto"/>
          <w:sz w:val="21"/>
          <w:szCs w:val="21"/>
          <w:highlight w:val="none"/>
          <w:u w:val="single"/>
        </w:rPr>
        <w:t xml:space="preserve">其他未列明行业</w:t>
      </w:r>
      <w:r>
        <w:rPr>
          <w:color w:val="auto"/>
          <w:sz w:val="21"/>
          <w:szCs w:val="21"/>
          <w:highlight w:val="none"/>
          <w:u w:val="single"/>
        </w:rPr>
        <w:t xml:space="preserve"> </w:t>
      </w:r>
      <w:r>
        <w:rPr>
          <w:rFonts w:hAnsi="宋体"/>
          <w:color w:val="auto"/>
          <w:sz w:val="21"/>
          <w:szCs w:val="21"/>
          <w:highlight w:val="none"/>
        </w:rPr>
        <w:t xml:space="preserve">；承建（承接）企业为</w:t>
      </w:r>
      <w:r>
        <w:rPr>
          <w:color w:val="auto"/>
          <w:sz w:val="21"/>
          <w:szCs w:val="21"/>
          <w:highlight w:val="none"/>
          <w:u w:val="single"/>
        </w:rPr>
        <w:t xml:space="preserve"> </w:t>
      </w:r>
      <w:r>
        <w:rPr>
          <w:rFonts w:hAnsi="宋体"/>
          <w:i/>
          <w:iCs/>
          <w:color w:val="auto"/>
          <w:sz w:val="21"/>
          <w:szCs w:val="21"/>
          <w:highlight w:val="none"/>
          <w:u w:val="single"/>
        </w:rPr>
        <w:t xml:space="preserve">（企业名称）</w:t>
      </w:r>
      <w:r>
        <w:rPr>
          <w:color w:val="auto"/>
          <w:sz w:val="21"/>
          <w:szCs w:val="21"/>
          <w:highlight w:val="none"/>
          <w:u w:val="single"/>
        </w:rPr>
        <w:t xml:space="preserve"> </w:t>
      </w:r>
      <w:r>
        <w:rPr>
          <w:rFonts w:hAnsi="宋体"/>
          <w:color w:val="auto"/>
          <w:sz w:val="21"/>
          <w:szCs w:val="21"/>
          <w:highlight w:val="none"/>
        </w:rPr>
        <w:t xml:space="preserve">，从业人员</w:t>
      </w:r>
      <w:r>
        <w:rPr>
          <w:i/>
          <w:iCs/>
          <w:color w:val="auto"/>
          <w:sz w:val="21"/>
          <w:szCs w:val="21"/>
          <w:highlight w:val="none"/>
          <w:u w:val="single"/>
        </w:rPr>
        <w:t xml:space="preserve">         </w:t>
      </w:r>
      <w:r>
        <w:rPr>
          <w:rFonts w:hAnsi="宋体"/>
          <w:color w:val="auto"/>
          <w:sz w:val="21"/>
          <w:szCs w:val="21"/>
          <w:highlight w:val="none"/>
        </w:rPr>
        <w:t xml:space="preserve">人，营业收入为</w:t>
      </w:r>
      <w:r>
        <w:rPr>
          <w:i/>
          <w:iCs/>
          <w:color w:val="auto"/>
          <w:sz w:val="21"/>
          <w:szCs w:val="21"/>
          <w:highlight w:val="none"/>
          <w:u w:val="single"/>
        </w:rPr>
        <w:t xml:space="preserve">         </w:t>
      </w:r>
      <w:r>
        <w:rPr>
          <w:rFonts w:hAnsi="宋体"/>
          <w:color w:val="auto"/>
          <w:sz w:val="21"/>
          <w:szCs w:val="21"/>
          <w:highlight w:val="none"/>
        </w:rPr>
        <w:t xml:space="preserve">万元，资产总额为</w:t>
      </w:r>
      <w:r>
        <w:rPr>
          <w:i/>
          <w:iCs/>
          <w:color w:val="auto"/>
          <w:sz w:val="21"/>
          <w:szCs w:val="21"/>
          <w:highlight w:val="none"/>
          <w:u w:val="single"/>
        </w:rPr>
        <w:t xml:space="preserve">         </w:t>
      </w:r>
      <w:r>
        <w:rPr>
          <w:rFonts w:hAnsi="宋体"/>
          <w:color w:val="auto"/>
          <w:sz w:val="21"/>
          <w:szCs w:val="21"/>
          <w:highlight w:val="none"/>
        </w:rPr>
        <w:t xml:space="preserve">万元，属于</w:t>
      </w:r>
      <w:r>
        <w:rPr>
          <w:color w:val="auto"/>
          <w:sz w:val="21"/>
          <w:szCs w:val="21"/>
          <w:highlight w:val="none"/>
          <w:u w:val="single"/>
        </w:rPr>
        <w:t xml:space="preserve"> </w:t>
      </w:r>
      <w:r>
        <w:rPr>
          <w:rFonts w:hAnsi="宋体"/>
          <w:i/>
          <w:iCs/>
          <w:color w:val="auto"/>
          <w:sz w:val="21"/>
          <w:szCs w:val="21"/>
          <w:highlight w:val="none"/>
          <w:u w:val="single"/>
        </w:rPr>
        <w:t xml:space="preserve">（中型企业、小型企业、微型企业</w:t>
      </w:r>
      <w:r>
        <w:rPr>
          <w:rFonts w:hint="eastAsia" w:ascii="宋体" w:hAnsi="宋体" w:cs="宋体"/>
          <w:color w:val="auto"/>
          <w:sz w:val="21"/>
          <w:szCs w:val="21"/>
          <w:highlight w:val="none"/>
          <w:u w:val="single"/>
        </w:rPr>
        <w:t xml:space="preserve">，三者选一填写</w:t>
      </w:r>
      <w:r>
        <w:rPr>
          <w:rFonts w:hAnsi="宋体"/>
          <w:i/>
          <w:iCs/>
          <w:color w:val="auto"/>
          <w:sz w:val="21"/>
          <w:szCs w:val="21"/>
          <w:highlight w:val="none"/>
          <w:u w:val="single"/>
        </w:rPr>
        <w:t xml:space="preserve">）</w:t>
      </w:r>
      <w:r>
        <w:rPr>
          <w:rFonts w:hAnsi="宋体"/>
          <w:color w:val="auto"/>
          <w:sz w:val="21"/>
          <w:szCs w:val="21"/>
          <w:highlight w:val="none"/>
        </w:rPr>
        <w:t xml:space="preserve">；</w:t>
      </w:r>
      <w:r/>
    </w:p>
    <w:p>
      <w:pPr>
        <w:ind w:firstLine="420"/>
        <w:widowControl w:val="off"/>
        <w:rPr>
          <w:color w:val="auto"/>
          <w:sz w:val="21"/>
          <w:szCs w:val="21"/>
          <w:highlight w:val="none"/>
        </w:rPr>
      </w:pPr>
      <w:r>
        <w:rPr>
          <w:rFonts w:hint="eastAsia"/>
          <w:color w:val="auto"/>
          <w:sz w:val="21"/>
          <w:szCs w:val="21"/>
          <w:highlight w:val="none"/>
        </w:rPr>
        <w:t xml:space="preserve">2.</w:t>
      </w:r>
      <w:r>
        <w:rPr>
          <w:rFonts w:hint="eastAsia" w:hAnsi="宋体"/>
          <w:color w:val="auto"/>
          <w:sz w:val="21"/>
          <w:szCs w:val="21"/>
          <w:highlight w:val="none"/>
          <w:u w:val="single"/>
        </w:rPr>
        <w:t xml:space="preserve">2026年度高贸区既有建筑网格化隐患排查服务</w:t>
      </w:r>
      <w:r>
        <w:rPr>
          <w:color w:val="auto"/>
          <w:sz w:val="21"/>
          <w:szCs w:val="21"/>
          <w:highlight w:val="none"/>
          <w:u w:val="single"/>
        </w:rPr>
        <w:t xml:space="preserve"> </w:t>
      </w:r>
      <w:r>
        <w:rPr>
          <w:rFonts w:hAnsi="宋体"/>
          <w:color w:val="auto"/>
          <w:sz w:val="21"/>
          <w:szCs w:val="21"/>
          <w:highlight w:val="none"/>
        </w:rPr>
        <w:t xml:space="preserve">，属于</w:t>
      </w:r>
      <w:r>
        <w:rPr>
          <w:b/>
          <w:bCs/>
          <w:color w:val="auto"/>
          <w:sz w:val="21"/>
          <w:szCs w:val="21"/>
          <w:highlight w:val="none"/>
          <w:u w:val="single"/>
        </w:rPr>
        <w:t xml:space="preserve"> </w:t>
      </w:r>
      <w:r>
        <w:rPr>
          <w:rFonts w:hint="eastAsia" w:hAnsi="宋体"/>
          <w:b/>
          <w:bCs/>
          <w:color w:val="auto"/>
          <w:sz w:val="21"/>
          <w:szCs w:val="21"/>
          <w:highlight w:val="none"/>
          <w:u w:val="single"/>
        </w:rPr>
        <w:t xml:space="preserve">其他未列明行业</w:t>
      </w:r>
      <w:r>
        <w:rPr>
          <w:rFonts w:hAnsi="宋体"/>
          <w:color w:val="auto"/>
          <w:sz w:val="21"/>
          <w:szCs w:val="21"/>
          <w:highlight w:val="none"/>
        </w:rPr>
        <w:t xml:space="preserve">；承建（承接）企业为</w:t>
      </w:r>
      <w:r>
        <w:rPr>
          <w:color w:val="auto"/>
          <w:sz w:val="21"/>
          <w:szCs w:val="21"/>
          <w:highlight w:val="none"/>
          <w:u w:val="single"/>
        </w:rPr>
        <w:t xml:space="preserve"> </w:t>
      </w:r>
      <w:r>
        <w:rPr>
          <w:rFonts w:hAnsi="宋体"/>
          <w:i/>
          <w:iCs/>
          <w:color w:val="auto"/>
          <w:sz w:val="21"/>
          <w:szCs w:val="21"/>
          <w:highlight w:val="none"/>
          <w:u w:val="single"/>
        </w:rPr>
        <w:t xml:space="preserve">（企业名称）</w:t>
      </w:r>
      <w:r>
        <w:rPr>
          <w:color w:val="auto"/>
          <w:sz w:val="21"/>
          <w:szCs w:val="21"/>
          <w:highlight w:val="none"/>
          <w:u w:val="single"/>
        </w:rPr>
        <w:t xml:space="preserve"> </w:t>
      </w:r>
      <w:r>
        <w:rPr>
          <w:rFonts w:hAnsi="宋体"/>
          <w:color w:val="auto"/>
          <w:sz w:val="21"/>
          <w:szCs w:val="21"/>
          <w:highlight w:val="none"/>
        </w:rPr>
        <w:t xml:space="preserve">，从业人员</w:t>
      </w:r>
      <w:r>
        <w:rPr>
          <w:i/>
          <w:iCs/>
          <w:color w:val="auto"/>
          <w:sz w:val="21"/>
          <w:szCs w:val="21"/>
          <w:highlight w:val="none"/>
          <w:u w:val="single"/>
        </w:rPr>
        <w:t xml:space="preserve">         </w:t>
      </w:r>
      <w:r>
        <w:rPr>
          <w:rFonts w:hAnsi="宋体"/>
          <w:color w:val="auto"/>
          <w:sz w:val="21"/>
          <w:szCs w:val="21"/>
          <w:highlight w:val="none"/>
        </w:rPr>
        <w:t xml:space="preserve">人，营业收入为</w:t>
      </w:r>
      <w:r>
        <w:rPr>
          <w:i/>
          <w:iCs/>
          <w:color w:val="auto"/>
          <w:sz w:val="21"/>
          <w:szCs w:val="21"/>
          <w:highlight w:val="none"/>
          <w:u w:val="single"/>
        </w:rPr>
        <w:t xml:space="preserve">         </w:t>
      </w:r>
      <w:r>
        <w:rPr>
          <w:rFonts w:hAnsi="宋体"/>
          <w:color w:val="auto"/>
          <w:sz w:val="21"/>
          <w:szCs w:val="21"/>
          <w:highlight w:val="none"/>
        </w:rPr>
        <w:t xml:space="preserve">万元，资产总额为</w:t>
      </w:r>
      <w:r>
        <w:rPr>
          <w:i/>
          <w:iCs/>
          <w:color w:val="auto"/>
          <w:sz w:val="21"/>
          <w:szCs w:val="21"/>
          <w:highlight w:val="none"/>
          <w:u w:val="single"/>
        </w:rPr>
        <w:t xml:space="preserve">         </w:t>
      </w:r>
      <w:r>
        <w:rPr>
          <w:rFonts w:hAnsi="宋体"/>
          <w:color w:val="auto"/>
          <w:sz w:val="21"/>
          <w:szCs w:val="21"/>
          <w:highlight w:val="none"/>
        </w:rPr>
        <w:t xml:space="preserve">万元，属于</w:t>
      </w:r>
      <w:r>
        <w:rPr>
          <w:color w:val="auto"/>
          <w:sz w:val="21"/>
          <w:szCs w:val="21"/>
          <w:highlight w:val="none"/>
          <w:u w:val="single"/>
        </w:rPr>
        <w:t xml:space="preserve"> </w:t>
      </w:r>
      <w:r>
        <w:rPr>
          <w:rFonts w:hAnsi="宋体"/>
          <w:i/>
          <w:iCs/>
          <w:color w:val="auto"/>
          <w:sz w:val="21"/>
          <w:szCs w:val="21"/>
          <w:highlight w:val="none"/>
          <w:u w:val="single"/>
        </w:rPr>
        <w:t xml:space="preserve">（中型企业、小型企业、微型企业</w:t>
      </w:r>
      <w:r>
        <w:rPr>
          <w:rFonts w:hint="eastAsia" w:ascii="宋体" w:hAnsi="宋体" w:cs="宋体"/>
          <w:color w:val="auto"/>
          <w:sz w:val="21"/>
          <w:szCs w:val="21"/>
          <w:highlight w:val="none"/>
          <w:u w:val="single"/>
        </w:rPr>
        <w:t xml:space="preserve">，三者选一填写</w:t>
      </w:r>
      <w:r>
        <w:rPr>
          <w:rFonts w:hAnsi="宋体"/>
          <w:i/>
          <w:iCs/>
          <w:color w:val="auto"/>
          <w:sz w:val="21"/>
          <w:szCs w:val="21"/>
          <w:highlight w:val="none"/>
          <w:u w:val="single"/>
        </w:rPr>
        <w:t xml:space="preserve">）</w:t>
      </w:r>
      <w:r>
        <w:rPr>
          <w:rFonts w:hAnsi="宋体"/>
          <w:color w:val="auto"/>
          <w:sz w:val="21"/>
          <w:szCs w:val="21"/>
          <w:highlight w:val="none"/>
        </w:rPr>
        <w:t xml:space="preserve">；</w:t>
      </w:r>
      <w:r/>
    </w:p>
    <w:p>
      <w:pPr>
        <w:ind w:firstLine="420"/>
        <w:widowControl w:val="off"/>
        <w:rPr>
          <w:color w:val="auto"/>
          <w:sz w:val="21"/>
          <w:szCs w:val="21"/>
          <w:highlight w:val="none"/>
        </w:rPr>
      </w:pPr>
      <w:r>
        <w:rPr>
          <w:color w:val="auto"/>
          <w:sz w:val="21"/>
          <w:szCs w:val="21"/>
          <w:highlight w:val="none"/>
        </w:rPr>
        <w:t xml:space="preserve">……</w:t>
      </w:r>
      <w:r/>
    </w:p>
    <w:p>
      <w:pPr>
        <w:ind w:firstLine="420"/>
        <w:widowControl w:val="off"/>
        <w:rPr>
          <w:color w:val="auto"/>
          <w:sz w:val="21"/>
          <w:szCs w:val="21"/>
          <w:highlight w:val="none"/>
        </w:rPr>
      </w:pPr>
      <w:r>
        <w:rPr>
          <w:rFonts w:hAnsi="宋体"/>
          <w:color w:val="auto"/>
          <w:sz w:val="21"/>
          <w:szCs w:val="21"/>
          <w:highlight w:val="none"/>
        </w:rPr>
        <w:t xml:space="preserve">以上企业，不属于大企业的分支机构，不存在控股股东为大企业的情形，也不存在与大企业的负责人为同一人的情形。</w:t>
      </w:r>
      <w:r/>
    </w:p>
    <w:p>
      <w:pPr>
        <w:ind w:firstLine="420"/>
        <w:widowControl w:val="off"/>
        <w:rPr>
          <w:color w:val="auto"/>
          <w:sz w:val="21"/>
          <w:szCs w:val="21"/>
          <w:highlight w:val="none"/>
        </w:rPr>
      </w:pPr>
      <w:r>
        <w:rPr>
          <w:rFonts w:hAnsi="宋体"/>
          <w:color w:val="auto"/>
          <w:sz w:val="21"/>
          <w:szCs w:val="21"/>
          <w:highlight w:val="none"/>
        </w:rPr>
        <w:t xml:space="preserve">本企业对上述声明内容的真实性负责。如有虚假，将依法承担相应责任。</w:t>
      </w:r>
      <w:r/>
    </w:p>
    <w:p>
      <w:pPr>
        <w:ind w:left="5040" w:firstLine="420"/>
        <w:widowControl w:val="off"/>
        <w:rPr>
          <w:color w:val="auto"/>
          <w:sz w:val="21"/>
          <w:szCs w:val="21"/>
          <w:highlight w:val="none"/>
        </w:rPr>
      </w:pPr>
      <w:r>
        <w:rPr>
          <w:rFonts w:hAnsi="宋体"/>
          <w:color w:val="auto"/>
          <w:sz w:val="21"/>
          <w:szCs w:val="21"/>
          <w:highlight w:val="none"/>
        </w:rPr>
        <w:t xml:space="preserve">企业名称（盖章）：</w:t>
      </w:r>
      <w:r/>
    </w:p>
    <w:p>
      <w:pPr>
        <w:ind w:left="5040" w:firstLine="420"/>
        <w:widowControl w:val="off"/>
        <w:rPr>
          <w:color w:val="auto"/>
          <w:sz w:val="21"/>
          <w:szCs w:val="21"/>
          <w:highlight w:val="none"/>
        </w:rPr>
      </w:pPr>
      <w:r>
        <w:rPr>
          <w:rFonts w:hAnsi="宋体"/>
          <w:color w:val="auto"/>
          <w:sz w:val="21"/>
          <w:szCs w:val="21"/>
          <w:highlight w:val="none"/>
        </w:rPr>
        <w:t xml:space="preserve">日期：</w:t>
      </w:r>
      <w:r/>
    </w:p>
    <w:p>
      <w:pPr>
        <w:spacing w:line="360" w:lineRule="auto"/>
        <w:widowControl w:val="off"/>
        <w:rPr>
          <w:rFonts w:hAnsi="宋体"/>
          <w:color w:val="auto"/>
          <w:sz w:val="21"/>
          <w:szCs w:val="21"/>
          <w:highlight w:val="none"/>
        </w:rPr>
      </w:pPr>
      <w:r>
        <w:rPr>
          <w:rFonts w:hAnsi="宋体"/>
          <w:color w:val="auto"/>
          <w:sz w:val="21"/>
          <w:szCs w:val="21"/>
          <w:highlight w:val="none"/>
        </w:rPr>
      </w:r>
      <w:r/>
    </w:p>
    <w:p>
      <w:pPr>
        <w:spacing w:line="30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注：</w:t>
      </w:r>
      <w:r/>
    </w:p>
    <w:p>
      <w:pPr>
        <w:ind w:firstLine="420"/>
        <w:spacing w:line="30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1.从业人员、营业收入、资产总额填报上一年度数据，无上一年度数据的新成立企业可不填报。</w:t>
      </w:r>
      <w:r/>
    </w:p>
    <w:p>
      <w:pPr>
        <w:ind w:firstLine="420"/>
        <w:spacing w:line="300" w:lineRule="auto"/>
        <w:widowControl w:val="off"/>
        <w:rPr>
          <w:rFonts w:ascii="宋体" w:hAnsi="宋体" w:cs="宋体"/>
          <w:b/>
          <w:bCs/>
          <w:color w:val="auto"/>
          <w:sz w:val="21"/>
          <w:szCs w:val="21"/>
          <w:highlight w:val="none"/>
        </w:rPr>
      </w:pPr>
      <w:r>
        <w:rPr>
          <w:rFonts w:hint="eastAsia" w:ascii="宋体" w:hAnsi="宋体" w:cs="宋体"/>
          <w:color w:val="auto"/>
          <w:sz w:val="21"/>
          <w:szCs w:val="21"/>
          <w:highlight w:val="none"/>
        </w:rPr>
        <w:t xml:space="preserve">2.在服务采购项目中，服务由中小企业承接，即提供服务的人员为中小企业依照《中华人民共和国劳动合同法》订立劳动合同的从业人员。</w:t>
      </w:r>
      <w:r>
        <w:rPr>
          <w:rFonts w:hint="eastAsia" w:ascii="宋体" w:hAnsi="宋体" w:cs="宋体"/>
          <w:b/>
          <w:bCs/>
          <w:color w:val="auto"/>
          <w:sz w:val="28"/>
          <w:szCs w:val="28"/>
          <w:highlight w:val="none"/>
          <w:u w:val="single"/>
        </w:rPr>
        <w:t xml:space="preserve">服务类项目中供应商若使用退休人员，将不享受相应扶持政策</w:t>
      </w:r>
      <w:r>
        <w:rPr>
          <w:rFonts w:hint="eastAsia" w:ascii="宋体" w:hAnsi="宋体" w:cs="宋体"/>
          <w:b/>
          <w:bCs/>
          <w:color w:val="auto"/>
          <w:sz w:val="21"/>
          <w:szCs w:val="21"/>
          <w:highlight w:val="none"/>
        </w:rPr>
        <w:t xml:space="preserve">。</w:t>
      </w:r>
      <w:r/>
    </w:p>
    <w:p>
      <w:pPr>
        <w:ind w:firstLine="420"/>
        <w:spacing w:line="30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ind w:firstLine="420"/>
        <w:spacing w:line="300" w:lineRule="auto"/>
        <w:widowControl w:val="off"/>
        <w:rPr>
          <w:rFonts w:ascii="宋体" w:hAnsi="宋体" w:cs="宋体"/>
          <w:bCs/>
          <w:color w:val="auto"/>
          <w:sz w:val="21"/>
          <w:szCs w:val="21"/>
          <w:highlight w:val="none"/>
        </w:rPr>
      </w:pPr>
      <w:r>
        <w:rPr>
          <w:rFonts w:hint="eastAsia" w:ascii="宋体" w:hAnsi="宋体" w:cs="宋体"/>
          <w:color w:val="auto"/>
          <w:sz w:val="21"/>
          <w:szCs w:val="21"/>
          <w:highlight w:val="none"/>
        </w:rPr>
        <w:t xml:space="preserve">4.</w:t>
      </w:r>
      <w:r>
        <w:rPr>
          <w:rFonts w:hint="eastAsia" w:ascii="宋体" w:hAnsi="宋体" w:cs="宋体"/>
          <w:bCs/>
          <w:color w:val="auto"/>
          <w:sz w:val="21"/>
          <w:szCs w:val="21"/>
          <w:highlight w:val="none"/>
        </w:rPr>
        <w:t xml:space="preserve">响应文件中的电子签章视为供应商对本声明进行了签署盖章并承担相应责任。</w:t>
      </w:r>
      <w:r/>
    </w:p>
    <w:p>
      <w:pPr>
        <w:ind w:firstLine="422"/>
        <w:spacing w:line="300" w:lineRule="auto"/>
        <w:widowControl w:val="off"/>
        <w:rPr>
          <w:rFonts w:ascii="宋体" w:hAnsi="宋体" w:cs="宋体"/>
          <w:color w:val="auto"/>
          <w:sz w:val="21"/>
          <w:szCs w:val="21"/>
          <w:highlight w:val="none"/>
        </w:rPr>
      </w:pPr>
      <w:r>
        <w:rPr>
          <w:rFonts w:hint="eastAsia" w:ascii="宋体" w:hAnsi="宋体" w:cs="宋体"/>
          <w:b/>
          <w:color w:val="auto"/>
          <w:sz w:val="21"/>
          <w:szCs w:val="21"/>
          <w:highlight w:val="none"/>
        </w:rPr>
        <w:t xml:space="preserve">5.《</w:t>
      </w:r>
      <w:r>
        <w:rPr>
          <w:rFonts w:hint="eastAsia" w:ascii="宋体" w:hAnsi="宋体" w:cs="宋体"/>
          <w:b/>
          <w:bCs/>
          <w:color w:val="auto"/>
          <w:sz w:val="21"/>
          <w:szCs w:val="21"/>
          <w:highlight w:val="none"/>
        </w:rPr>
        <w:t xml:space="preserve">中小企业声明函》中所填的行业应与本采购标的对应的中小企业划分标准所属行业一致，不一致的不可享受相应政策优惠</w:t>
      </w:r>
      <w:r>
        <w:rPr>
          <w:rFonts w:hint="eastAsia" w:ascii="宋体" w:hAnsi="宋体" w:cs="宋体"/>
          <w:color w:val="auto"/>
          <w:sz w:val="21"/>
          <w:szCs w:val="21"/>
          <w:highlight w:val="none"/>
        </w:rPr>
        <w:t xml:space="preserve">。</w:t>
      </w:r>
      <w:r/>
    </w:p>
    <w:p>
      <w:pPr>
        <w:ind w:firstLine="422"/>
        <w:spacing w:line="300" w:lineRule="auto"/>
        <w:widowControl w:val="off"/>
        <w:rPr>
          <w:rFonts w:ascii="宋体" w:hAnsi="宋体" w:cs="宋体"/>
          <w:b/>
          <w:color w:val="auto"/>
          <w:sz w:val="20"/>
          <w:szCs w:val="20"/>
          <w:highlight w:val="none"/>
        </w:rPr>
      </w:pPr>
      <w:r>
        <w:rPr>
          <w:rFonts w:hint="eastAsia" w:ascii="宋体" w:hAnsi="宋体" w:cs="宋体"/>
          <w:b/>
          <w:color w:val="auto"/>
          <w:sz w:val="21"/>
          <w:szCs w:val="21"/>
          <w:highlight w:val="none"/>
        </w:rPr>
        <w:t xml:space="preserve">6.成交供应商享受中小企业扶持政策的，《中小企业声明函》将随成交结果同时公告。</w:t>
      </w:r>
      <w:r>
        <w:rPr>
          <w:rFonts w:hint="eastAsia" w:ascii="宋体" w:hAnsi="宋体" w:cs="宋体"/>
          <w:b/>
          <w:color w:val="auto"/>
          <w:sz w:val="20"/>
          <w:szCs w:val="20"/>
          <w:highlight w:val="none"/>
        </w:rPr>
        <w:br w:type="page" w:clear="all"/>
      </w:r>
      <w:r>
        <w:rPr>
          <w:rFonts w:hint="eastAsia" w:ascii="宋体" w:hAnsi="宋体" w:cs="宋体"/>
          <w:b/>
          <w:color w:val="auto"/>
          <w:sz w:val="20"/>
          <w:szCs w:val="20"/>
          <w:highlight w:val="none"/>
        </w:rPr>
        <w:t xml:space="preserve">附：中小企业划型标准规定</w:t>
      </w:r>
      <w:r/>
    </w:p>
    <w:p>
      <w:pPr>
        <w:ind w:firstLine="402"/>
        <w:jc w:val="both"/>
        <w:spacing w:line="240" w:lineRule="exact"/>
        <w:widowControl w:val="off"/>
        <w:rPr>
          <w:rFonts w:ascii="宋体" w:hAnsi="宋体" w:cs="宋体"/>
          <w:color w:val="auto"/>
          <w:sz w:val="20"/>
          <w:szCs w:val="20"/>
          <w:highlight w:val="none"/>
        </w:rPr>
      </w:pPr>
      <w:r>
        <w:rPr>
          <w:rFonts w:hint="eastAsia" w:ascii="宋体" w:hAnsi="宋体" w:cs="宋体"/>
          <w:b/>
          <w:color w:val="auto"/>
          <w:sz w:val="20"/>
          <w:szCs w:val="20"/>
          <w:highlight w:val="none"/>
        </w:rPr>
        <w:t xml:space="preserve">（一）农、林、牧、渔业。</w:t>
      </w:r>
      <w:r>
        <w:rPr>
          <w:rFonts w:hint="eastAsia" w:ascii="宋体" w:hAnsi="宋体" w:cs="宋体"/>
          <w:color w:val="auto"/>
          <w:sz w:val="20"/>
          <w:szCs w:val="20"/>
          <w:highlight w:val="none"/>
        </w:rPr>
        <w:t xml:space="preserve">营业收入20000万元以下的为中小微型企业。其中，营业收入500万元及以上的为中型企业，营业收入50万元及以上的为小型企业，营业收入50万元以下的为微型企业。</w:t>
      </w:r>
      <w:r/>
    </w:p>
    <w:p>
      <w:pPr>
        <w:ind w:firstLine="402"/>
        <w:jc w:val="both"/>
        <w:spacing w:line="240" w:lineRule="exact"/>
        <w:widowControl w:val="off"/>
        <w:rPr>
          <w:rFonts w:ascii="宋体" w:hAnsi="宋体" w:cs="宋体"/>
          <w:color w:val="auto"/>
          <w:sz w:val="20"/>
          <w:szCs w:val="20"/>
          <w:highlight w:val="none"/>
        </w:rPr>
      </w:pPr>
      <w:r>
        <w:rPr>
          <w:rFonts w:hint="eastAsia" w:ascii="宋体" w:hAnsi="宋体" w:cs="宋体"/>
          <w:b/>
          <w:color w:val="auto"/>
          <w:sz w:val="20"/>
          <w:szCs w:val="20"/>
          <w:highlight w:val="none"/>
        </w:rPr>
        <w:t xml:space="preserve">（二）工业。</w:t>
      </w:r>
      <w:r>
        <w:rPr>
          <w:rFonts w:hint="eastAsia" w:ascii="宋体" w:hAnsi="宋体" w:cs="宋体"/>
          <w:color w:val="auto"/>
          <w:sz w:val="20"/>
          <w:szCs w:val="20"/>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02"/>
        <w:jc w:val="both"/>
        <w:spacing w:line="240" w:lineRule="exact"/>
        <w:widowControl w:val="off"/>
        <w:rPr>
          <w:rFonts w:ascii="宋体" w:hAnsi="宋体" w:cs="宋体"/>
          <w:color w:val="auto"/>
          <w:sz w:val="20"/>
          <w:szCs w:val="20"/>
          <w:highlight w:val="none"/>
        </w:rPr>
      </w:pPr>
      <w:r>
        <w:rPr>
          <w:rFonts w:hint="eastAsia" w:ascii="宋体" w:hAnsi="宋体" w:cs="宋体"/>
          <w:b/>
          <w:color w:val="auto"/>
          <w:sz w:val="20"/>
          <w:szCs w:val="20"/>
          <w:highlight w:val="none"/>
        </w:rPr>
        <w:t xml:space="preserve">（三）建筑业。</w:t>
      </w:r>
      <w:r>
        <w:rPr>
          <w:rFonts w:hint="eastAsia" w:ascii="宋体" w:hAnsi="宋体" w:cs="宋体"/>
          <w:color w:val="auto"/>
          <w:sz w:val="20"/>
          <w:szCs w:val="20"/>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02"/>
        <w:jc w:val="both"/>
        <w:spacing w:line="240" w:lineRule="exact"/>
        <w:widowControl w:val="off"/>
        <w:rPr>
          <w:rFonts w:ascii="宋体" w:hAnsi="宋体" w:cs="宋体"/>
          <w:color w:val="auto"/>
          <w:sz w:val="20"/>
          <w:szCs w:val="20"/>
          <w:highlight w:val="none"/>
        </w:rPr>
      </w:pPr>
      <w:r>
        <w:rPr>
          <w:rFonts w:hint="eastAsia" w:ascii="宋体" w:hAnsi="宋体" w:cs="宋体"/>
          <w:b/>
          <w:color w:val="auto"/>
          <w:sz w:val="20"/>
          <w:szCs w:val="20"/>
          <w:highlight w:val="none"/>
        </w:rPr>
        <w:t xml:space="preserve">（四）批发业。</w:t>
      </w:r>
      <w:r>
        <w:rPr>
          <w:rFonts w:hint="eastAsia" w:ascii="宋体" w:hAnsi="宋体" w:cs="宋体"/>
          <w:color w:val="auto"/>
          <w:sz w:val="20"/>
          <w:szCs w:val="20"/>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02"/>
        <w:jc w:val="both"/>
        <w:spacing w:line="240" w:lineRule="exact"/>
        <w:widowControl w:val="off"/>
        <w:rPr>
          <w:rFonts w:ascii="宋体" w:hAnsi="宋体" w:cs="宋体"/>
          <w:color w:val="auto"/>
          <w:sz w:val="20"/>
          <w:szCs w:val="20"/>
          <w:highlight w:val="none"/>
        </w:rPr>
      </w:pPr>
      <w:r>
        <w:rPr>
          <w:rFonts w:hint="eastAsia" w:ascii="宋体" w:hAnsi="宋体" w:cs="宋体"/>
          <w:b/>
          <w:color w:val="auto"/>
          <w:sz w:val="20"/>
          <w:szCs w:val="20"/>
          <w:highlight w:val="none"/>
        </w:rPr>
        <w:t xml:space="preserve">（五）零售业。</w:t>
      </w:r>
      <w:r>
        <w:rPr>
          <w:rFonts w:hint="eastAsia" w:ascii="宋体" w:hAnsi="宋体" w:cs="宋体"/>
          <w:color w:val="auto"/>
          <w:sz w:val="20"/>
          <w:szCs w:val="20"/>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02"/>
        <w:jc w:val="both"/>
        <w:spacing w:line="240" w:lineRule="exact"/>
        <w:widowControl w:val="off"/>
        <w:rPr>
          <w:rFonts w:ascii="宋体" w:hAnsi="宋体" w:cs="宋体"/>
          <w:color w:val="auto"/>
          <w:sz w:val="20"/>
          <w:szCs w:val="20"/>
          <w:highlight w:val="none"/>
        </w:rPr>
      </w:pPr>
      <w:r>
        <w:rPr>
          <w:rFonts w:hint="eastAsia" w:ascii="宋体" w:hAnsi="宋体" w:cs="宋体"/>
          <w:b/>
          <w:color w:val="auto"/>
          <w:sz w:val="20"/>
          <w:szCs w:val="20"/>
          <w:highlight w:val="none"/>
        </w:rPr>
        <w:t xml:space="preserve">（六）交通运输业。</w:t>
      </w:r>
      <w:r>
        <w:rPr>
          <w:rFonts w:hint="eastAsia" w:ascii="宋体" w:hAnsi="宋体" w:cs="宋体"/>
          <w:color w:val="auto"/>
          <w:sz w:val="20"/>
          <w:szCs w:val="20"/>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02"/>
        <w:jc w:val="both"/>
        <w:spacing w:line="240" w:lineRule="exact"/>
        <w:widowControl w:val="off"/>
        <w:rPr>
          <w:rFonts w:ascii="宋体" w:hAnsi="宋体" w:cs="宋体"/>
          <w:color w:val="auto"/>
          <w:sz w:val="20"/>
          <w:szCs w:val="20"/>
          <w:highlight w:val="none"/>
        </w:rPr>
      </w:pPr>
      <w:r>
        <w:rPr>
          <w:rFonts w:hint="eastAsia" w:ascii="宋体" w:hAnsi="宋体" w:cs="宋体"/>
          <w:b/>
          <w:color w:val="auto"/>
          <w:sz w:val="20"/>
          <w:szCs w:val="20"/>
          <w:highlight w:val="none"/>
        </w:rPr>
        <w:t xml:space="preserve">（七）仓储业。</w:t>
      </w:r>
      <w:r>
        <w:rPr>
          <w:rFonts w:hint="eastAsia" w:ascii="宋体" w:hAnsi="宋体" w:cs="宋体"/>
          <w:color w:val="auto"/>
          <w:sz w:val="20"/>
          <w:szCs w:val="20"/>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02"/>
        <w:jc w:val="both"/>
        <w:spacing w:line="240" w:lineRule="exact"/>
        <w:widowControl w:val="off"/>
        <w:rPr>
          <w:rFonts w:ascii="宋体" w:hAnsi="宋体" w:cs="宋体"/>
          <w:color w:val="auto"/>
          <w:sz w:val="20"/>
          <w:szCs w:val="20"/>
          <w:highlight w:val="none"/>
        </w:rPr>
      </w:pPr>
      <w:r>
        <w:rPr>
          <w:rFonts w:hint="eastAsia" w:ascii="宋体" w:hAnsi="宋体" w:cs="宋体"/>
          <w:b/>
          <w:color w:val="auto"/>
          <w:sz w:val="20"/>
          <w:szCs w:val="20"/>
          <w:highlight w:val="none"/>
        </w:rPr>
        <w:t xml:space="preserve">（八）邮政业。</w:t>
      </w:r>
      <w:r>
        <w:rPr>
          <w:rFonts w:hint="eastAsia" w:ascii="宋体" w:hAnsi="宋体" w:cs="宋体"/>
          <w:color w:val="auto"/>
          <w:sz w:val="20"/>
          <w:szCs w:val="20"/>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02"/>
        <w:jc w:val="both"/>
        <w:spacing w:line="240" w:lineRule="exact"/>
        <w:widowControl w:val="off"/>
        <w:rPr>
          <w:rFonts w:ascii="宋体" w:hAnsi="宋体" w:cs="宋体"/>
          <w:color w:val="auto"/>
          <w:sz w:val="20"/>
          <w:szCs w:val="20"/>
          <w:highlight w:val="none"/>
        </w:rPr>
      </w:pPr>
      <w:r>
        <w:rPr>
          <w:rFonts w:hint="eastAsia" w:ascii="宋体" w:hAnsi="宋体" w:cs="宋体"/>
          <w:b/>
          <w:color w:val="auto"/>
          <w:sz w:val="20"/>
          <w:szCs w:val="20"/>
          <w:highlight w:val="none"/>
        </w:rPr>
        <w:t xml:space="preserve">（九）住宿业。</w:t>
      </w:r>
      <w:r>
        <w:rPr>
          <w:rFonts w:hint="eastAsia" w:ascii="宋体" w:hAnsi="宋体" w:cs="宋体"/>
          <w:color w:val="auto"/>
          <w:sz w:val="20"/>
          <w:szCs w:val="20"/>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jc w:val="both"/>
        <w:spacing w:line="240" w:lineRule="exact"/>
        <w:widowControl w:val="off"/>
        <w:rPr>
          <w:rFonts w:ascii="宋体" w:hAnsi="宋体" w:cs="宋体"/>
          <w:color w:val="auto"/>
          <w:sz w:val="20"/>
          <w:szCs w:val="20"/>
          <w:highlight w:val="none"/>
        </w:rPr>
      </w:pPr>
      <w:r>
        <w:rPr>
          <w:rFonts w:hint="eastAsia" w:ascii="宋体" w:hAnsi="宋体" w:cs="宋体"/>
          <w:b/>
          <w:color w:val="auto"/>
          <w:sz w:val="20"/>
          <w:szCs w:val="20"/>
          <w:highlight w:val="none"/>
        </w:rPr>
        <w:t xml:space="preserve">（十）餐饮业。</w:t>
      </w:r>
      <w:r>
        <w:rPr>
          <w:rFonts w:hint="eastAsia" w:ascii="宋体" w:hAnsi="宋体" w:cs="宋体"/>
          <w:color w:val="auto"/>
          <w:sz w:val="20"/>
          <w:szCs w:val="20"/>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jc w:val="both"/>
        <w:spacing w:line="240" w:lineRule="exact"/>
        <w:widowControl w:val="off"/>
        <w:rPr>
          <w:rFonts w:ascii="宋体" w:hAnsi="宋体" w:cs="宋体"/>
          <w:color w:val="auto"/>
          <w:sz w:val="20"/>
          <w:szCs w:val="20"/>
          <w:highlight w:val="none"/>
        </w:rPr>
      </w:pPr>
      <w:r>
        <w:rPr>
          <w:rFonts w:hint="eastAsia" w:ascii="宋体" w:hAnsi="宋体" w:cs="宋体"/>
          <w:b/>
          <w:color w:val="auto"/>
          <w:sz w:val="20"/>
          <w:szCs w:val="20"/>
          <w:highlight w:val="none"/>
        </w:rPr>
        <w:t xml:space="preserve">（十一）信息传输业。</w:t>
      </w:r>
      <w:r>
        <w:rPr>
          <w:rFonts w:hint="eastAsia" w:ascii="宋体" w:hAnsi="宋体" w:cs="宋体"/>
          <w:color w:val="auto"/>
          <w:sz w:val="20"/>
          <w:szCs w:val="20"/>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02"/>
        <w:jc w:val="both"/>
        <w:spacing w:line="240" w:lineRule="exact"/>
        <w:widowControl w:val="off"/>
        <w:rPr>
          <w:rFonts w:ascii="宋体" w:hAnsi="宋体" w:cs="宋体"/>
          <w:color w:val="auto"/>
          <w:sz w:val="20"/>
          <w:szCs w:val="20"/>
          <w:highlight w:val="none"/>
        </w:rPr>
      </w:pPr>
      <w:r>
        <w:rPr>
          <w:rFonts w:hint="eastAsia" w:ascii="宋体" w:hAnsi="宋体" w:cs="宋体"/>
          <w:b/>
          <w:color w:val="auto"/>
          <w:sz w:val="20"/>
          <w:szCs w:val="20"/>
          <w:highlight w:val="none"/>
        </w:rPr>
        <w:t xml:space="preserve">（十二）软件和信息技术服务业。</w:t>
      </w:r>
      <w:r>
        <w:rPr>
          <w:rFonts w:hint="eastAsia" w:ascii="宋体" w:hAnsi="宋体" w:cs="宋体"/>
          <w:color w:val="auto"/>
          <w:sz w:val="20"/>
          <w:szCs w:val="20"/>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02"/>
        <w:jc w:val="both"/>
        <w:spacing w:line="240" w:lineRule="exact"/>
        <w:widowControl w:val="off"/>
        <w:rPr>
          <w:rFonts w:ascii="宋体" w:hAnsi="宋体" w:cs="宋体"/>
          <w:color w:val="auto"/>
          <w:sz w:val="20"/>
          <w:szCs w:val="20"/>
          <w:highlight w:val="none"/>
        </w:rPr>
      </w:pPr>
      <w:r>
        <w:rPr>
          <w:rFonts w:hint="eastAsia" w:ascii="宋体" w:hAnsi="宋体" w:cs="宋体"/>
          <w:b/>
          <w:color w:val="auto"/>
          <w:sz w:val="20"/>
          <w:szCs w:val="20"/>
          <w:highlight w:val="none"/>
        </w:rPr>
        <w:t xml:space="preserve">（十三）房地产开发经营。</w:t>
      </w:r>
      <w:r>
        <w:rPr>
          <w:rFonts w:hint="eastAsia" w:ascii="宋体" w:hAnsi="宋体" w:cs="宋体"/>
          <w:color w:val="auto"/>
          <w:sz w:val="20"/>
          <w:szCs w:val="20"/>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02"/>
        <w:jc w:val="both"/>
        <w:spacing w:line="240" w:lineRule="exact"/>
        <w:widowControl w:val="off"/>
        <w:rPr>
          <w:rFonts w:ascii="宋体" w:hAnsi="宋体" w:cs="宋体"/>
          <w:color w:val="auto"/>
          <w:sz w:val="20"/>
          <w:szCs w:val="20"/>
          <w:highlight w:val="none"/>
        </w:rPr>
      </w:pPr>
      <w:r>
        <w:rPr>
          <w:rFonts w:hint="eastAsia" w:ascii="宋体" w:hAnsi="宋体" w:cs="宋体"/>
          <w:b/>
          <w:color w:val="auto"/>
          <w:sz w:val="20"/>
          <w:szCs w:val="20"/>
          <w:highlight w:val="none"/>
        </w:rPr>
        <w:t xml:space="preserve">（十四）物业管理。</w:t>
      </w:r>
      <w:r>
        <w:rPr>
          <w:rFonts w:hint="eastAsia" w:ascii="宋体" w:hAnsi="宋体" w:cs="宋体"/>
          <w:color w:val="auto"/>
          <w:sz w:val="20"/>
          <w:szCs w:val="20"/>
          <w:highlight w:val="none"/>
        </w:rPr>
        <w:t xml:space="preserve">从业人员1000人以下或营业收入5000万元以下的为中小微型企业。其中，从业人员</w:t>
      </w:r>
      <w:r/>
    </w:p>
    <w:p>
      <w:pPr>
        <w:jc w:val="both"/>
        <w:spacing w:line="240" w:lineRule="exact"/>
        <w:widowControl w:val="off"/>
        <w:rPr>
          <w:rFonts w:ascii="宋体" w:hAnsi="宋体" w:cs="宋体"/>
          <w:color w:val="auto"/>
          <w:sz w:val="20"/>
          <w:szCs w:val="20"/>
          <w:highlight w:val="none"/>
        </w:rPr>
      </w:pPr>
      <w:r>
        <w:rPr>
          <w:rFonts w:hint="eastAsia" w:ascii="宋体" w:hAnsi="宋体" w:cs="宋体"/>
          <w:color w:val="auto"/>
          <w:sz w:val="20"/>
          <w:szCs w:val="20"/>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402"/>
        <w:jc w:val="both"/>
        <w:spacing w:line="240" w:lineRule="exact"/>
        <w:widowControl w:val="off"/>
        <w:rPr>
          <w:rFonts w:ascii="宋体" w:hAnsi="宋体" w:cs="宋体"/>
          <w:color w:val="auto"/>
          <w:sz w:val="20"/>
          <w:szCs w:val="20"/>
          <w:highlight w:val="none"/>
        </w:rPr>
      </w:pPr>
      <w:r>
        <w:rPr>
          <w:rFonts w:hint="eastAsia" w:ascii="宋体" w:hAnsi="宋体" w:cs="宋体"/>
          <w:b/>
          <w:color w:val="auto"/>
          <w:sz w:val="20"/>
          <w:szCs w:val="20"/>
          <w:highlight w:val="none"/>
        </w:rPr>
        <w:t xml:space="preserve">（十五）租赁和商务服务业。</w:t>
      </w:r>
      <w:r>
        <w:rPr>
          <w:rFonts w:hint="eastAsia" w:ascii="宋体" w:hAnsi="宋体" w:cs="宋体"/>
          <w:color w:val="auto"/>
          <w:sz w:val="20"/>
          <w:szCs w:val="20"/>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02"/>
        <w:jc w:val="both"/>
        <w:spacing w:line="240" w:lineRule="exact"/>
        <w:widowControl w:val="off"/>
        <w:rPr>
          <w:rFonts w:ascii="宋体" w:hAnsi="宋体" w:cs="宋体"/>
          <w:color w:val="auto"/>
          <w:sz w:val="20"/>
          <w:szCs w:val="20"/>
          <w:highlight w:val="none"/>
        </w:rPr>
      </w:pPr>
      <w:r>
        <w:rPr>
          <w:rFonts w:hint="eastAsia" w:ascii="宋体" w:hAnsi="宋体" w:cs="宋体"/>
          <w:b/>
          <w:color w:val="auto"/>
          <w:sz w:val="20"/>
          <w:szCs w:val="20"/>
          <w:highlight w:val="none"/>
        </w:rPr>
        <w:t xml:space="preserve">（十六）其他未列明行业。</w:t>
      </w:r>
      <w:r>
        <w:rPr>
          <w:rFonts w:hint="eastAsia" w:ascii="宋体" w:hAnsi="宋体" w:cs="宋体"/>
          <w:color w:val="auto"/>
          <w:sz w:val="20"/>
          <w:szCs w:val="20"/>
          <w:highlight w:val="none"/>
        </w:rPr>
        <w:t xml:space="preserve">从业人员300人以下的为中小微型企业。其中，从业人员100人及以上的为中型企业；从业人员10人及以上的为小型企业；从业人员10人以下的为微型企业。</w:t>
      </w:r>
      <w:r/>
    </w:p>
    <w:p>
      <w:pPr>
        <w:spacing w:line="240" w:lineRule="exact"/>
        <w:widowControl w:val="off"/>
        <w:rPr>
          <w:color w:val="auto"/>
          <w:sz w:val="21"/>
          <w:szCs w:val="21"/>
          <w:highlight w:val="none"/>
        </w:rPr>
      </w:pPr>
      <w:r>
        <w:rPr>
          <w:color w:val="auto"/>
          <w:sz w:val="21"/>
          <w:szCs w:val="21"/>
          <w:highlight w:val="none"/>
        </w:rPr>
      </w:r>
      <w:r/>
    </w:p>
    <w:p>
      <w:pPr>
        <w:widowControl w:val="off"/>
        <w:rPr>
          <w:color w:val="auto"/>
          <w:highlight w:val="none"/>
          <w:lang w:val="zh-CN"/>
        </w:rPr>
      </w:pPr>
      <w:r>
        <w:rPr>
          <w:color w:val="auto"/>
          <w:highlight w:val="none"/>
          <w:lang w:val="zh-CN"/>
        </w:rPr>
      </w:r>
      <w:r/>
    </w:p>
    <w:p>
      <w:pPr>
        <w:pStyle w:val="982"/>
        <w:ind w:firstLine="480"/>
        <w:widowControl w:val="off"/>
        <w:rPr>
          <w:color w:val="auto"/>
          <w:highlight w:val="none"/>
          <w:lang w:val="zh-CN"/>
        </w:rPr>
      </w:pPr>
      <w:r>
        <w:rPr>
          <w:color w:val="auto"/>
          <w:highlight w:val="none"/>
          <w:lang w:val="zh-CN"/>
        </w:rPr>
      </w:r>
      <w:r/>
    </w:p>
    <w:p>
      <w:pPr>
        <w:pStyle w:val="982"/>
        <w:ind w:firstLine="480"/>
        <w:widowControl w:val="off"/>
        <w:rPr>
          <w:color w:val="auto"/>
          <w:highlight w:val="none"/>
          <w:lang w:val="zh-CN"/>
        </w:rPr>
      </w:pPr>
      <w:r>
        <w:rPr>
          <w:color w:val="auto"/>
          <w:highlight w:val="none"/>
          <w:lang w:val="zh-CN"/>
        </w:rPr>
      </w:r>
      <w:r/>
    </w:p>
    <w:p>
      <w:pPr>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rPr>
        <w:br w:type="page" w:clear="all"/>
      </w:r>
      <w:r/>
    </w:p>
    <w:p>
      <w:pPr>
        <w:spacing w:line="360" w:lineRule="auto"/>
        <w:widowControl w:val="off"/>
        <w:rPr>
          <w:rFonts w:ascii="宋体" w:hAnsi="宋体" w:cs="宋体"/>
          <w:b/>
          <w:bCs/>
          <w:color w:val="auto"/>
          <w:szCs w:val="21"/>
          <w:highlight w:val="none"/>
          <w:lang w:val="zh-CN"/>
        </w:rPr>
      </w:pPr>
      <w:r>
        <w:rPr>
          <w:rFonts w:hint="eastAsia" w:ascii="宋体" w:hAnsi="宋体" w:cs="宋体"/>
          <w:b/>
          <w:bCs/>
          <w:color w:val="auto"/>
          <w:sz w:val="21"/>
          <w:szCs w:val="21"/>
          <w:highlight w:val="none"/>
        </w:rPr>
        <w:t xml:space="preserve">格式15</w:t>
      </w:r>
      <w:r>
        <w:rPr>
          <w:rFonts w:hint="eastAsia" w:ascii="宋体" w:hAnsi="宋体" w:cs="宋体"/>
          <w:b/>
          <w:bCs/>
          <w:color w:val="auto"/>
          <w:sz w:val="21"/>
          <w:szCs w:val="21"/>
          <w:highlight w:val="none"/>
          <w:lang w:val="zh-CN"/>
        </w:rPr>
        <w:t xml:space="preserve">：残疾人福利性单位声明函</w:t>
      </w:r>
      <w:r/>
    </w:p>
    <w:p>
      <w:pPr>
        <w:jc w:val="center"/>
        <w:spacing w:line="360" w:lineRule="auto"/>
        <w:widowControl w:val="off"/>
        <w:rPr>
          <w:rFonts w:ascii="宋体" w:hAnsi="宋体" w:cs="宋体"/>
          <w:b/>
          <w:bCs/>
          <w:color w:val="auto"/>
          <w:sz w:val="28"/>
          <w:szCs w:val="28"/>
          <w:highlight w:val="none"/>
          <w:lang w:val="zh-CN"/>
        </w:rPr>
      </w:pPr>
      <w:r>
        <w:rPr>
          <w:rFonts w:hint="eastAsia" w:ascii="宋体" w:hAnsi="宋体" w:cs="宋体"/>
          <w:b/>
          <w:bCs/>
          <w:color w:val="auto"/>
          <w:sz w:val="28"/>
          <w:szCs w:val="28"/>
          <w:highlight w:val="none"/>
          <w:lang w:val="zh-CN"/>
        </w:rPr>
        <w:t xml:space="preserve">残疾人福利性单位声明函</w:t>
      </w:r>
      <w:r/>
    </w:p>
    <w:p>
      <w:pPr>
        <w:ind w:firstLine="504"/>
        <w:spacing w:line="580" w:lineRule="exact"/>
        <w:widowControl w:val="off"/>
        <w:rPr>
          <w:rFonts w:ascii="宋体" w:hAnsi="宋体" w:cs="宋体"/>
          <w:color w:val="auto"/>
          <w:spacing w:val="6"/>
          <w:szCs w:val="21"/>
          <w:highlight w:val="none"/>
        </w:rPr>
      </w:pPr>
      <w:r>
        <w:rPr>
          <w:rFonts w:hint="eastAsia" w:ascii="宋体" w:hAnsi="宋体" w:cs="宋体"/>
          <w:color w:val="auto"/>
          <w:spacing w:val="6"/>
          <w:szCs w:val="21"/>
          <w:highlight w:val="none"/>
        </w:rPr>
        <w:t xml:space="preserve">本单位郑重声明，根据《财政部  民政部  中国残疾人联合会关于促进残疾人就业政府采购政策的通知》（财库</w:t>
      </w:r>
      <w:r>
        <w:rPr>
          <w:rFonts w:hint="eastAsia" w:ascii="宋体" w:hAnsi="宋体" w:cs="宋体"/>
          <w:color w:val="auto"/>
          <w:szCs w:val="21"/>
          <w:highlight w:val="none"/>
        </w:rPr>
        <w:t xml:space="preserve">〔2017〕141</w:t>
      </w:r>
      <w:r>
        <w:rPr>
          <w:rFonts w:hint="eastAsia" w:ascii="宋体" w:hAnsi="宋体" w:cs="宋体"/>
          <w:color w:val="auto"/>
          <w:spacing w:val="6"/>
          <w:szCs w:val="21"/>
          <w:highlight w:val="none"/>
        </w:rPr>
        <w:t xml:space="preserve">号）的规定，本单位为符合条件的残疾人福利性单位，且本单位参加</w:t>
      </w:r>
      <w:r>
        <w:rPr>
          <w:rFonts w:hint="eastAsia" w:ascii="宋体" w:hAnsi="宋体" w:cs="宋体"/>
          <w:color w:val="auto"/>
          <w:spacing w:val="6"/>
          <w:szCs w:val="21"/>
          <w:highlight w:val="none"/>
          <w:u w:val="single"/>
        </w:rPr>
        <w:t xml:space="preserve">        </w:t>
      </w:r>
      <w:r>
        <w:rPr>
          <w:rFonts w:hint="eastAsia" w:ascii="宋体" w:hAnsi="宋体" w:cs="宋体"/>
          <w:color w:val="auto"/>
          <w:spacing w:val="6"/>
          <w:szCs w:val="21"/>
          <w:highlight w:val="none"/>
        </w:rPr>
        <w:t xml:space="preserve">单位的</w:t>
      </w:r>
      <w:r>
        <w:rPr>
          <w:rFonts w:hint="eastAsia" w:ascii="宋体" w:hAnsi="宋体" w:cs="宋体"/>
          <w:color w:val="auto"/>
          <w:spacing w:val="6"/>
          <w:szCs w:val="21"/>
          <w:highlight w:val="none"/>
          <w:u w:val="single"/>
        </w:rPr>
        <w:t xml:space="preserve">     </w:t>
      </w:r>
      <w:r>
        <w:rPr>
          <w:rFonts w:hint="eastAsia" w:ascii="宋体" w:hAnsi="宋体" w:cs="宋体"/>
          <w:color w:val="auto"/>
          <w:spacing w:val="6"/>
          <w:szCs w:val="21"/>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580" w:lineRule="exact"/>
        <w:widowControl w:val="off"/>
        <w:rPr>
          <w:rFonts w:ascii="宋体" w:hAnsi="宋体" w:cs="宋体"/>
          <w:color w:val="auto"/>
          <w:spacing w:val="6"/>
          <w:szCs w:val="21"/>
          <w:highlight w:val="none"/>
        </w:rPr>
      </w:pPr>
      <w:r>
        <w:rPr>
          <w:rFonts w:hint="eastAsia" w:ascii="宋体" w:hAnsi="宋体" w:cs="宋体"/>
          <w:color w:val="auto"/>
          <w:spacing w:val="6"/>
          <w:szCs w:val="21"/>
          <w:highlight w:val="none"/>
        </w:rPr>
        <w:t xml:space="preserve">本单位对上述声明的真实性负责。如有虚假，将依法承担相应责任。</w:t>
      </w:r>
      <w:r/>
    </w:p>
    <w:p>
      <w:pPr>
        <w:ind w:firstLine="504"/>
        <w:spacing w:line="580" w:lineRule="exact"/>
        <w:widowControl w:val="off"/>
        <w:rPr>
          <w:rFonts w:ascii="宋体" w:hAnsi="宋体" w:cs="宋体"/>
          <w:color w:val="auto"/>
          <w:spacing w:val="6"/>
          <w:szCs w:val="21"/>
          <w:highlight w:val="none"/>
        </w:rPr>
      </w:pPr>
      <w:r>
        <w:rPr>
          <w:rFonts w:ascii="宋体" w:hAnsi="宋体" w:cs="宋体"/>
          <w:color w:val="auto"/>
          <w:spacing w:val="6"/>
          <w:szCs w:val="21"/>
          <w:highlight w:val="none"/>
        </w:rPr>
      </w:r>
      <w:r/>
    </w:p>
    <w:p>
      <w:pPr>
        <w:ind w:firstLine="504"/>
        <w:spacing w:line="580" w:lineRule="exact"/>
        <w:widowControl w:val="off"/>
        <w:rPr>
          <w:rFonts w:ascii="宋体" w:hAnsi="宋体" w:cs="宋体"/>
          <w:color w:val="auto"/>
          <w:spacing w:val="6"/>
          <w:szCs w:val="21"/>
          <w:highlight w:val="none"/>
        </w:rPr>
      </w:pPr>
      <w:r>
        <w:rPr>
          <w:rFonts w:ascii="宋体" w:hAnsi="宋体" w:cs="宋体"/>
          <w:color w:val="auto"/>
          <w:spacing w:val="6"/>
          <w:szCs w:val="21"/>
          <w:highlight w:val="none"/>
        </w:rPr>
      </w:r>
      <w:r/>
    </w:p>
    <w:p>
      <w:pPr>
        <w:ind w:right="1560" w:firstLine="504"/>
        <w:jc w:val="right"/>
        <w:spacing w:line="580" w:lineRule="exact"/>
        <w:widowControl w:val="off"/>
        <w:tabs>
          <w:tab w:val="left" w:pos="4860" w:leader="none"/>
        </w:tabs>
        <w:rPr>
          <w:rFonts w:ascii="宋体" w:hAnsi="宋体" w:cs="宋体"/>
          <w:color w:val="auto"/>
          <w:spacing w:val="6"/>
          <w:szCs w:val="21"/>
          <w:highlight w:val="none"/>
        </w:rPr>
      </w:pPr>
      <w:r>
        <w:rPr>
          <w:rFonts w:hint="eastAsia" w:ascii="宋体" w:hAnsi="宋体" w:cs="宋体"/>
          <w:color w:val="auto"/>
          <w:spacing w:val="6"/>
          <w:szCs w:val="21"/>
          <w:highlight w:val="none"/>
        </w:rPr>
        <w:t xml:space="preserve">                    单位名称（盖章）：</w:t>
      </w:r>
      <w:r/>
    </w:p>
    <w:p>
      <w:pPr>
        <w:pStyle w:val="982"/>
        <w:ind w:firstLine="480"/>
        <w:widowControl w:val="off"/>
        <w:rPr>
          <w:color w:val="auto"/>
          <w:highlight w:val="none"/>
        </w:rPr>
      </w:pPr>
      <w:r>
        <w:rPr>
          <w:color w:val="auto"/>
          <w:highlight w:val="none"/>
        </w:rPr>
      </w:r>
      <w:r/>
    </w:p>
    <w:p>
      <w:pPr>
        <w:jc w:val="center"/>
        <w:widowControl w:val="off"/>
        <w:rPr>
          <w:rFonts w:ascii="宋体" w:hAnsi="宋体" w:cs="宋体"/>
          <w:color w:val="auto"/>
          <w:spacing w:val="6"/>
          <w:szCs w:val="21"/>
          <w:highlight w:val="none"/>
        </w:rPr>
      </w:pPr>
      <w:r>
        <w:rPr>
          <w:rFonts w:hint="eastAsia" w:ascii="宋体" w:hAnsi="宋体" w:cs="宋体"/>
          <w:color w:val="auto"/>
          <w:spacing w:val="6"/>
          <w:szCs w:val="21"/>
          <w:highlight w:val="none"/>
        </w:rPr>
        <w:t xml:space="preserve">                                    日  期：</w:t>
      </w:r>
      <w:r/>
    </w:p>
    <w:p>
      <w:pPr>
        <w:widowControl w:val="off"/>
        <w:rPr>
          <w:rFonts w:ascii="宋体" w:hAnsi="宋体" w:cs="宋体"/>
          <w:b/>
          <w:bCs/>
          <w:color w:val="auto"/>
          <w:szCs w:val="21"/>
          <w:highlight w:val="none"/>
          <w:lang w:val="zh-CN"/>
        </w:rPr>
      </w:pPr>
      <w:r>
        <w:rPr>
          <w:rFonts w:ascii="宋体" w:hAnsi="宋体" w:cs="宋体"/>
          <w:b/>
          <w:bCs/>
          <w:color w:val="auto"/>
          <w:szCs w:val="21"/>
          <w:highlight w:val="none"/>
          <w:lang w:val="zh-CN"/>
        </w:rPr>
      </w:r>
      <w:r/>
    </w:p>
    <w:p>
      <w:pPr>
        <w:jc w:val="both"/>
        <w:widowControl w:val="off"/>
        <w:rPr>
          <w:rFonts w:ascii="宋体" w:hAnsi="宋体" w:cs="宋体"/>
          <w:b/>
          <w:color w:val="auto"/>
          <w:sz w:val="20"/>
          <w:szCs w:val="20"/>
          <w:highlight w:val="none"/>
          <w:lang w:val="zh-CN"/>
        </w:rPr>
      </w:pPr>
      <w:r>
        <w:rPr>
          <w:rFonts w:hint="eastAsia" w:ascii="宋体" w:hAnsi="宋体" w:cs="宋体"/>
          <w:b/>
          <w:color w:val="auto"/>
          <w:sz w:val="20"/>
          <w:szCs w:val="20"/>
          <w:highlight w:val="none"/>
          <w:lang w:val="zh-CN"/>
        </w:rPr>
        <w:t xml:space="preserve">备注：1.享受政府采购支持政策的残疾人福利性单位应当同时满足以下条件：</w:t>
      </w:r>
      <w:r/>
    </w:p>
    <w:p>
      <w:pPr>
        <w:ind w:firstLine="400"/>
        <w:jc w:val="both"/>
        <w:widowControl w:val="off"/>
        <w:rPr>
          <w:rFonts w:ascii="宋体" w:hAnsi="宋体" w:cs="宋体"/>
          <w:bCs/>
          <w:color w:val="auto"/>
          <w:sz w:val="20"/>
          <w:szCs w:val="20"/>
          <w:highlight w:val="none"/>
          <w:lang w:val="zh-CN"/>
        </w:rPr>
      </w:pPr>
      <w:r>
        <w:rPr>
          <w:rFonts w:hint="eastAsia" w:ascii="宋体" w:hAnsi="宋体" w:cs="宋体"/>
          <w:bCs/>
          <w:color w:val="auto"/>
          <w:sz w:val="20"/>
          <w:szCs w:val="20"/>
          <w:highlight w:val="none"/>
          <w:lang w:val="zh-CN"/>
        </w:rPr>
        <w:fldChar w:fldCharType="begin"/>
      </w:r>
      <w:r>
        <w:rPr>
          <w:rFonts w:hint="eastAsia" w:ascii="宋体" w:hAnsi="宋体" w:cs="宋体"/>
          <w:bCs/>
          <w:color w:val="auto"/>
          <w:sz w:val="20"/>
          <w:szCs w:val="20"/>
          <w:highlight w:val="none"/>
          <w:lang w:val="zh-CN"/>
        </w:rPr>
        <w:instrText xml:space="preserve"> = 1 \* GB3 </w:instrText>
      </w:r>
      <w:r>
        <w:rPr>
          <w:rFonts w:hint="eastAsia" w:ascii="宋体" w:hAnsi="宋体" w:cs="宋体"/>
          <w:bCs/>
          <w:color w:val="auto"/>
          <w:sz w:val="20"/>
          <w:szCs w:val="20"/>
          <w:highlight w:val="none"/>
          <w:lang w:val="zh-CN"/>
        </w:rPr>
        <w:fldChar w:fldCharType="separate"/>
      </w:r>
      <w:r>
        <w:rPr>
          <w:rFonts w:hint="eastAsia" w:ascii="宋体" w:hAnsi="宋体" w:cs="宋体"/>
          <w:bCs/>
          <w:color w:val="auto"/>
          <w:sz w:val="20"/>
          <w:szCs w:val="20"/>
          <w:highlight w:val="none"/>
          <w:lang w:val="zh-CN"/>
        </w:rPr>
        <w:t xml:space="preserve">①</w:t>
      </w:r>
      <w:r>
        <w:rPr>
          <w:rFonts w:hint="eastAsia" w:ascii="宋体" w:hAnsi="宋体" w:cs="宋体"/>
          <w:bCs/>
          <w:color w:val="auto"/>
          <w:sz w:val="20"/>
          <w:szCs w:val="20"/>
          <w:highlight w:val="none"/>
          <w:lang w:val="zh-CN"/>
        </w:rPr>
        <w:fldChar w:fldCharType="end"/>
      </w:r>
      <w:r>
        <w:rPr>
          <w:rFonts w:hint="eastAsia" w:ascii="宋体" w:hAnsi="宋体" w:cs="宋体"/>
          <w:bCs/>
          <w:color w:val="auto"/>
          <w:sz w:val="20"/>
          <w:szCs w:val="20"/>
          <w:highlight w:val="none"/>
          <w:lang w:val="zh-CN"/>
        </w:rPr>
        <w:t xml:space="preserve">安置的残疾人占本单位在职职工人数的比例不低于25%（含25%），并且安置的残疾人人数不少于10人（含10人）；</w:t>
      </w:r>
      <w:r/>
    </w:p>
    <w:p>
      <w:pPr>
        <w:ind w:firstLine="400"/>
        <w:jc w:val="both"/>
        <w:widowControl w:val="off"/>
        <w:rPr>
          <w:rFonts w:ascii="宋体" w:hAnsi="宋体" w:cs="宋体"/>
          <w:bCs/>
          <w:color w:val="auto"/>
          <w:sz w:val="20"/>
          <w:szCs w:val="20"/>
          <w:highlight w:val="none"/>
          <w:lang w:val="zh-CN"/>
        </w:rPr>
      </w:pPr>
      <w:r>
        <w:rPr>
          <w:rFonts w:hint="eastAsia" w:ascii="宋体" w:hAnsi="宋体" w:cs="宋体"/>
          <w:bCs/>
          <w:color w:val="auto"/>
          <w:sz w:val="20"/>
          <w:szCs w:val="20"/>
          <w:highlight w:val="none"/>
          <w:lang w:val="zh-CN"/>
        </w:rPr>
        <w:fldChar w:fldCharType="begin"/>
      </w:r>
      <w:r>
        <w:rPr>
          <w:rFonts w:hint="eastAsia" w:ascii="宋体" w:hAnsi="宋体" w:cs="宋体"/>
          <w:bCs/>
          <w:color w:val="auto"/>
          <w:sz w:val="20"/>
          <w:szCs w:val="20"/>
          <w:highlight w:val="none"/>
          <w:lang w:val="zh-CN"/>
        </w:rPr>
        <w:instrText xml:space="preserve"> = 2 \* GB3 </w:instrText>
      </w:r>
      <w:r>
        <w:rPr>
          <w:rFonts w:hint="eastAsia" w:ascii="宋体" w:hAnsi="宋体" w:cs="宋体"/>
          <w:bCs/>
          <w:color w:val="auto"/>
          <w:sz w:val="20"/>
          <w:szCs w:val="20"/>
          <w:highlight w:val="none"/>
          <w:lang w:val="zh-CN"/>
        </w:rPr>
        <w:fldChar w:fldCharType="separate"/>
      </w:r>
      <w:r>
        <w:rPr>
          <w:rFonts w:hint="eastAsia" w:ascii="宋体" w:hAnsi="宋体" w:cs="宋体"/>
          <w:bCs/>
          <w:color w:val="auto"/>
          <w:sz w:val="20"/>
          <w:szCs w:val="20"/>
          <w:highlight w:val="none"/>
          <w:lang w:val="zh-CN"/>
        </w:rPr>
        <w:t xml:space="preserve">②</w:t>
      </w:r>
      <w:r>
        <w:rPr>
          <w:rFonts w:hint="eastAsia" w:ascii="宋体" w:hAnsi="宋体" w:cs="宋体"/>
          <w:bCs/>
          <w:color w:val="auto"/>
          <w:sz w:val="20"/>
          <w:szCs w:val="20"/>
          <w:highlight w:val="none"/>
          <w:lang w:val="zh-CN"/>
        </w:rPr>
        <w:fldChar w:fldCharType="end"/>
      </w:r>
      <w:r>
        <w:rPr>
          <w:rFonts w:hint="eastAsia" w:ascii="宋体" w:hAnsi="宋体" w:cs="宋体"/>
          <w:bCs/>
          <w:color w:val="auto"/>
          <w:sz w:val="20"/>
          <w:szCs w:val="20"/>
          <w:highlight w:val="none"/>
          <w:lang w:val="zh-CN"/>
        </w:rPr>
        <w:t xml:space="preserve">依法与安置的每位残疾人签订了一年以上（含一年）的劳动合同或服务协议；</w:t>
      </w:r>
      <w:r/>
    </w:p>
    <w:p>
      <w:pPr>
        <w:ind w:firstLine="400"/>
        <w:jc w:val="both"/>
        <w:widowControl w:val="off"/>
        <w:rPr>
          <w:rFonts w:ascii="宋体" w:hAnsi="宋体" w:cs="宋体"/>
          <w:bCs/>
          <w:color w:val="auto"/>
          <w:sz w:val="20"/>
          <w:szCs w:val="20"/>
          <w:highlight w:val="none"/>
          <w:lang w:val="zh-CN"/>
        </w:rPr>
      </w:pPr>
      <w:r>
        <w:rPr>
          <w:rFonts w:hint="eastAsia" w:ascii="宋体" w:hAnsi="宋体" w:cs="宋体"/>
          <w:bCs/>
          <w:color w:val="auto"/>
          <w:sz w:val="20"/>
          <w:szCs w:val="20"/>
          <w:highlight w:val="none"/>
          <w:lang w:val="zh-CN"/>
        </w:rPr>
        <w:fldChar w:fldCharType="begin"/>
      </w:r>
      <w:r>
        <w:rPr>
          <w:rFonts w:hint="eastAsia" w:ascii="宋体" w:hAnsi="宋体" w:cs="宋体"/>
          <w:bCs/>
          <w:color w:val="auto"/>
          <w:sz w:val="20"/>
          <w:szCs w:val="20"/>
          <w:highlight w:val="none"/>
          <w:lang w:val="zh-CN"/>
        </w:rPr>
        <w:instrText xml:space="preserve"> = 3 \* GB3 </w:instrText>
      </w:r>
      <w:r>
        <w:rPr>
          <w:rFonts w:hint="eastAsia" w:ascii="宋体" w:hAnsi="宋体" w:cs="宋体"/>
          <w:bCs/>
          <w:color w:val="auto"/>
          <w:sz w:val="20"/>
          <w:szCs w:val="20"/>
          <w:highlight w:val="none"/>
          <w:lang w:val="zh-CN"/>
        </w:rPr>
        <w:fldChar w:fldCharType="separate"/>
      </w:r>
      <w:r>
        <w:rPr>
          <w:rFonts w:hint="eastAsia" w:ascii="宋体" w:hAnsi="宋体" w:cs="宋体"/>
          <w:bCs/>
          <w:color w:val="auto"/>
          <w:sz w:val="20"/>
          <w:szCs w:val="20"/>
          <w:highlight w:val="none"/>
          <w:lang w:val="zh-CN"/>
        </w:rPr>
        <w:t xml:space="preserve">③</w:t>
      </w:r>
      <w:r>
        <w:rPr>
          <w:rFonts w:hint="eastAsia" w:ascii="宋体" w:hAnsi="宋体" w:cs="宋体"/>
          <w:bCs/>
          <w:color w:val="auto"/>
          <w:sz w:val="20"/>
          <w:szCs w:val="20"/>
          <w:highlight w:val="none"/>
          <w:lang w:val="zh-CN"/>
        </w:rPr>
        <w:fldChar w:fldCharType="end"/>
      </w:r>
      <w:r>
        <w:rPr>
          <w:rFonts w:hint="eastAsia" w:ascii="宋体" w:hAnsi="宋体" w:cs="宋体"/>
          <w:bCs/>
          <w:color w:val="auto"/>
          <w:sz w:val="20"/>
          <w:szCs w:val="20"/>
          <w:highlight w:val="none"/>
          <w:lang w:val="zh-CN"/>
        </w:rPr>
        <w:t xml:space="preserve">为安置的每位残疾人按月足额缴纳了基本养老保险、基本医疗保险、失业保险、工伤保险和生育保险等社会保险费；</w:t>
      </w:r>
      <w:r/>
    </w:p>
    <w:p>
      <w:pPr>
        <w:ind w:firstLine="400"/>
        <w:jc w:val="both"/>
        <w:widowControl w:val="off"/>
        <w:rPr>
          <w:rFonts w:ascii="宋体" w:hAnsi="宋体" w:cs="宋体"/>
          <w:bCs/>
          <w:color w:val="auto"/>
          <w:sz w:val="20"/>
          <w:szCs w:val="20"/>
          <w:highlight w:val="none"/>
          <w:lang w:val="zh-CN"/>
        </w:rPr>
      </w:pPr>
      <w:r>
        <w:rPr>
          <w:rFonts w:hint="eastAsia" w:ascii="宋体" w:hAnsi="宋体" w:cs="宋体"/>
          <w:bCs/>
          <w:color w:val="auto"/>
          <w:sz w:val="20"/>
          <w:szCs w:val="20"/>
          <w:highlight w:val="none"/>
          <w:lang w:val="zh-CN"/>
        </w:rPr>
        <w:fldChar w:fldCharType="begin"/>
      </w:r>
      <w:r>
        <w:rPr>
          <w:rFonts w:hint="eastAsia" w:ascii="宋体" w:hAnsi="宋体" w:cs="宋体"/>
          <w:bCs/>
          <w:color w:val="auto"/>
          <w:sz w:val="20"/>
          <w:szCs w:val="20"/>
          <w:highlight w:val="none"/>
          <w:lang w:val="zh-CN"/>
        </w:rPr>
        <w:instrText xml:space="preserve"> = 4 \* GB3 </w:instrText>
      </w:r>
      <w:r>
        <w:rPr>
          <w:rFonts w:hint="eastAsia" w:ascii="宋体" w:hAnsi="宋体" w:cs="宋体"/>
          <w:bCs/>
          <w:color w:val="auto"/>
          <w:sz w:val="20"/>
          <w:szCs w:val="20"/>
          <w:highlight w:val="none"/>
          <w:lang w:val="zh-CN"/>
        </w:rPr>
        <w:fldChar w:fldCharType="separate"/>
      </w:r>
      <w:r>
        <w:rPr>
          <w:rFonts w:hint="eastAsia" w:ascii="宋体" w:hAnsi="宋体" w:cs="宋体"/>
          <w:bCs/>
          <w:color w:val="auto"/>
          <w:sz w:val="20"/>
          <w:szCs w:val="20"/>
          <w:highlight w:val="none"/>
          <w:lang w:val="zh-CN"/>
        </w:rPr>
        <w:t xml:space="preserve">④</w:t>
      </w:r>
      <w:r>
        <w:rPr>
          <w:rFonts w:hint="eastAsia" w:ascii="宋体" w:hAnsi="宋体" w:cs="宋体"/>
          <w:bCs/>
          <w:color w:val="auto"/>
          <w:sz w:val="20"/>
          <w:szCs w:val="20"/>
          <w:highlight w:val="none"/>
          <w:lang w:val="zh-CN"/>
        </w:rPr>
        <w:fldChar w:fldCharType="end"/>
      </w:r>
      <w:r>
        <w:rPr>
          <w:rFonts w:hint="eastAsia" w:ascii="宋体" w:hAnsi="宋体" w:cs="宋体"/>
          <w:bCs/>
          <w:color w:val="auto"/>
          <w:sz w:val="20"/>
          <w:szCs w:val="20"/>
          <w:highlight w:val="none"/>
          <w:lang w:val="zh-CN"/>
        </w:rPr>
        <w:t xml:space="preserve">通过银行等金融机构向安置的每位残疾人，按月支付了不低于单位所在区县适用的经省级人民政府批准的月最低工资标准的工资；</w:t>
      </w:r>
      <w:r/>
    </w:p>
    <w:p>
      <w:pPr>
        <w:ind w:firstLine="400"/>
        <w:jc w:val="both"/>
        <w:widowControl w:val="off"/>
        <w:rPr>
          <w:rFonts w:ascii="宋体" w:hAnsi="宋体" w:cs="宋体"/>
          <w:bCs/>
          <w:color w:val="auto"/>
          <w:sz w:val="20"/>
          <w:szCs w:val="20"/>
          <w:highlight w:val="none"/>
          <w:lang w:val="zh-CN"/>
        </w:rPr>
      </w:pPr>
      <w:r>
        <w:rPr>
          <w:rFonts w:hint="eastAsia" w:ascii="宋体" w:hAnsi="宋体" w:cs="宋体"/>
          <w:bCs/>
          <w:color w:val="auto"/>
          <w:sz w:val="20"/>
          <w:szCs w:val="20"/>
          <w:highlight w:val="none"/>
          <w:lang w:val="zh-CN"/>
        </w:rPr>
        <w:fldChar w:fldCharType="begin"/>
      </w:r>
      <w:r>
        <w:rPr>
          <w:rFonts w:hint="eastAsia" w:ascii="宋体" w:hAnsi="宋体" w:cs="宋体"/>
          <w:bCs/>
          <w:color w:val="auto"/>
          <w:sz w:val="20"/>
          <w:szCs w:val="20"/>
          <w:highlight w:val="none"/>
          <w:lang w:val="zh-CN"/>
        </w:rPr>
        <w:instrText xml:space="preserve"> = 5 \* GB3 </w:instrText>
      </w:r>
      <w:r>
        <w:rPr>
          <w:rFonts w:hint="eastAsia" w:ascii="宋体" w:hAnsi="宋体" w:cs="宋体"/>
          <w:bCs/>
          <w:color w:val="auto"/>
          <w:sz w:val="20"/>
          <w:szCs w:val="20"/>
          <w:highlight w:val="none"/>
          <w:lang w:val="zh-CN"/>
        </w:rPr>
        <w:fldChar w:fldCharType="separate"/>
      </w:r>
      <w:r>
        <w:rPr>
          <w:rFonts w:hint="eastAsia" w:ascii="宋体" w:hAnsi="宋体" w:cs="宋体"/>
          <w:bCs/>
          <w:color w:val="auto"/>
          <w:sz w:val="20"/>
          <w:szCs w:val="20"/>
          <w:highlight w:val="none"/>
          <w:lang w:val="zh-CN"/>
        </w:rPr>
        <w:t xml:space="preserve">⑤</w:t>
      </w:r>
      <w:r>
        <w:rPr>
          <w:rFonts w:hint="eastAsia" w:ascii="宋体" w:hAnsi="宋体" w:cs="宋体"/>
          <w:bCs/>
          <w:color w:val="auto"/>
          <w:sz w:val="20"/>
          <w:szCs w:val="20"/>
          <w:highlight w:val="none"/>
          <w:lang w:val="zh-CN"/>
        </w:rPr>
        <w:fldChar w:fldCharType="end"/>
      </w:r>
      <w:r>
        <w:rPr>
          <w:rFonts w:hint="eastAsia" w:ascii="宋体" w:hAnsi="宋体" w:cs="宋体"/>
          <w:bCs/>
          <w:color w:val="auto"/>
          <w:sz w:val="20"/>
          <w:szCs w:val="20"/>
          <w:highlight w:val="none"/>
          <w:lang w:val="zh-CN"/>
        </w:rPr>
        <w:t xml:space="preserve">提供本单位制造的货物、承担的工程或者服务（以下简称产品），或者提供其他残疾人福利性单位制造的货物（不包括使用非残疾人福利性单位注册商标的货物）。</w:t>
      </w:r>
      <w:r/>
    </w:p>
    <w:p>
      <w:pPr>
        <w:jc w:val="both"/>
        <w:widowControl w:val="off"/>
        <w:rPr>
          <w:rFonts w:ascii="宋体" w:hAnsi="宋体" w:cs="宋体"/>
          <w:bCs/>
          <w:color w:val="auto"/>
          <w:sz w:val="20"/>
          <w:szCs w:val="20"/>
          <w:highlight w:val="none"/>
          <w:lang w:val="zh-CN"/>
        </w:rPr>
      </w:pPr>
      <w:r>
        <w:rPr>
          <w:rFonts w:hint="eastAsia" w:ascii="宋体" w:hAnsi="宋体" w:cs="宋体"/>
          <w:bCs/>
          <w:color w:val="auto"/>
          <w:sz w:val="20"/>
          <w:szCs w:val="20"/>
          <w:highlight w:val="none"/>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402"/>
        <w:jc w:val="both"/>
        <w:widowControl w:val="off"/>
        <w:rPr>
          <w:rFonts w:ascii="宋体" w:hAnsi="宋体" w:cs="宋体"/>
          <w:b/>
          <w:color w:val="auto"/>
          <w:sz w:val="20"/>
          <w:szCs w:val="20"/>
          <w:highlight w:val="none"/>
          <w:lang w:val="zh-CN"/>
        </w:rPr>
      </w:pPr>
      <w:r>
        <w:rPr>
          <w:rFonts w:hint="eastAsia" w:ascii="宋体" w:hAnsi="宋体" w:cs="宋体"/>
          <w:b/>
          <w:color w:val="auto"/>
          <w:sz w:val="20"/>
          <w:szCs w:val="20"/>
          <w:highlight w:val="none"/>
          <w:lang w:val="zh-CN"/>
        </w:rPr>
        <w:t xml:space="preserve">2.</w:t>
      </w:r>
      <w:r>
        <w:rPr>
          <w:rFonts w:hint="eastAsia" w:ascii="宋体" w:hAnsi="宋体" w:cs="宋体"/>
          <w:b/>
          <w:color w:val="auto"/>
          <w:sz w:val="20"/>
          <w:szCs w:val="20"/>
          <w:highlight w:val="none"/>
        </w:rPr>
        <w:t xml:space="preserve">成交供应商</w:t>
      </w:r>
      <w:r>
        <w:rPr>
          <w:rFonts w:hint="eastAsia" w:ascii="宋体" w:hAnsi="宋体" w:cs="宋体"/>
          <w:b/>
          <w:color w:val="auto"/>
          <w:sz w:val="20"/>
          <w:szCs w:val="20"/>
          <w:highlight w:val="none"/>
          <w:lang w:val="zh-CN"/>
        </w:rPr>
        <w:t xml:space="preserve">为残疾人福利性单位的，《残疾人福利性单位声明函》将随</w:t>
      </w:r>
      <w:r>
        <w:rPr>
          <w:rFonts w:hint="eastAsia" w:ascii="宋体" w:hAnsi="宋体" w:cs="宋体"/>
          <w:b/>
          <w:color w:val="auto"/>
          <w:sz w:val="20"/>
          <w:szCs w:val="20"/>
          <w:highlight w:val="none"/>
        </w:rPr>
        <w:t xml:space="preserve">成交</w:t>
      </w:r>
      <w:r>
        <w:rPr>
          <w:rFonts w:hint="eastAsia" w:ascii="宋体" w:hAnsi="宋体" w:cs="宋体"/>
          <w:b/>
          <w:color w:val="auto"/>
          <w:sz w:val="20"/>
          <w:szCs w:val="20"/>
          <w:highlight w:val="none"/>
          <w:lang w:val="zh-CN"/>
        </w:rPr>
        <w:t xml:space="preserve">结果同时公告。</w:t>
      </w:r>
      <w:r/>
    </w:p>
    <w:p>
      <w:pPr>
        <w:ind w:firstLine="402"/>
        <w:jc w:val="both"/>
        <w:widowControl w:val="off"/>
        <w:rPr>
          <w:rFonts w:ascii="宋体" w:hAnsi="宋体" w:cs="宋体"/>
          <w:b/>
          <w:color w:val="auto"/>
          <w:sz w:val="20"/>
          <w:szCs w:val="20"/>
          <w:highlight w:val="none"/>
          <w:lang w:val="zh-CN"/>
        </w:rPr>
      </w:pPr>
      <w:r>
        <w:rPr>
          <w:rFonts w:hint="eastAsia" w:ascii="宋体" w:hAnsi="宋体" w:cs="宋体"/>
          <w:b/>
          <w:color w:val="auto"/>
          <w:sz w:val="20"/>
          <w:szCs w:val="20"/>
          <w:highlight w:val="none"/>
          <w:lang w:val="zh-CN"/>
        </w:rPr>
        <w:t xml:space="preserve">3.供应商提供的《残疾人福利性单位声明函》与事实不符的，依照《中华人民共和国政府采购法》第七十七条第一款的规定追究法律责任。</w:t>
      </w:r>
      <w:r/>
    </w:p>
    <w:p>
      <w:pPr>
        <w:jc w:val="both"/>
        <w:spacing w:line="360" w:lineRule="auto"/>
        <w:widowControl w:val="off"/>
        <w:rPr>
          <w:rFonts w:ascii="宋体" w:hAnsi="宋体" w:cs="宋体"/>
          <w:b/>
          <w:color w:val="auto"/>
          <w:sz w:val="21"/>
          <w:szCs w:val="21"/>
          <w:highlight w:val="none"/>
          <w:lang w:val="zh-CN"/>
        </w:rPr>
      </w:pPr>
      <w:r>
        <w:rPr>
          <w:rFonts w:ascii="宋体" w:hAnsi="宋体" w:cs="宋体"/>
          <w:b/>
          <w:color w:val="auto"/>
          <w:sz w:val="21"/>
          <w:szCs w:val="21"/>
          <w:highlight w:val="none"/>
          <w:lang w:val="zh-CN"/>
        </w:rPr>
      </w:r>
      <w:r/>
    </w:p>
    <w:p>
      <w:pPr>
        <w:pStyle w:val="966"/>
        <w:jc w:val="center"/>
        <w:spacing w:before="75" w:beforeAutospacing="0" w:after="75" w:afterAutospacing="0"/>
        <w:widowControl w:val="off"/>
        <w:rPr>
          <w:rStyle w:val="933"/>
          <w:rFonts w:hint="default"/>
          <w:color w:val="auto"/>
          <w:sz w:val="32"/>
          <w:szCs w:val="32"/>
          <w:highlight w:val="none"/>
        </w:rPr>
        <w:outlineLvl w:val="0"/>
      </w:pPr>
      <w:r/>
      <w:bookmarkStart w:id="73" w:name="_Toc21613"/>
      <w:r/>
      <w:bookmarkStart w:id="74" w:name="_Toc27164"/>
      <w:r>
        <w:rPr>
          <w:rStyle w:val="933"/>
          <w:color w:val="auto"/>
          <w:sz w:val="32"/>
          <w:szCs w:val="32"/>
          <w:highlight w:val="none"/>
        </w:rPr>
        <w:br w:type="page" w:clear="all"/>
      </w:r>
      <w:bookmarkStart w:id="75" w:name="_Toc20427"/>
      <w:r>
        <w:rPr>
          <w:rStyle w:val="933"/>
          <w:color w:val="auto"/>
          <w:sz w:val="32"/>
          <w:szCs w:val="32"/>
          <w:highlight w:val="none"/>
        </w:rPr>
        <w:t xml:space="preserve">第五章  合同主要条款</w:t>
      </w:r>
      <w:bookmarkEnd w:id="73"/>
      <w:r/>
      <w:bookmarkEnd w:id="74"/>
      <w:r/>
      <w:bookmarkEnd w:id="75"/>
      <w:r/>
      <w:r/>
    </w:p>
    <w:p>
      <w:pPr>
        <w:jc w:val="both"/>
        <w:widowControl w:val="off"/>
        <w:rPr>
          <w:rFonts w:ascii="等线" w:hAnsi="等线" w:eastAsia="等线"/>
          <w:b/>
          <w:color w:val="auto"/>
          <w:sz w:val="21"/>
          <w:szCs w:val="22"/>
          <w:highlight w:val="none"/>
        </w:rPr>
      </w:pPr>
      <w:r>
        <w:rPr>
          <w:rFonts w:ascii="等线" w:hAnsi="等线" w:eastAsia="等线"/>
          <w:b/>
          <w:color w:val="auto"/>
          <w:sz w:val="21"/>
          <w:szCs w:val="22"/>
          <w:highlight w:val="none"/>
        </w:rPr>
      </w:r>
      <w:r/>
    </w:p>
    <w:p>
      <w:pPr>
        <w:widowControl w:val="off"/>
        <w:rPr>
          <w:color w:val="auto"/>
          <w:sz w:val="21"/>
          <w:szCs w:val="21"/>
          <w:highlight w:val="none"/>
          <w:u w:val="single"/>
        </w:rPr>
      </w:pPr>
      <w:r>
        <w:rPr>
          <w:rFonts w:hint="eastAsia" w:hAnsi="宋体"/>
          <w:color w:val="auto"/>
          <w:sz w:val="21"/>
          <w:szCs w:val="21"/>
          <w:highlight w:val="none"/>
        </w:rPr>
        <w:t xml:space="preserve">甲方（采购方）：</w:t>
      </w:r>
      <w:r>
        <w:rPr>
          <w:rFonts w:hint="eastAsia" w:ascii="宋体" w:hAnsi="宋体" w:cs="宋体"/>
          <w:b/>
          <w:color w:val="auto"/>
          <w:sz w:val="21"/>
          <w:szCs w:val="21"/>
          <w:highlight w:val="none"/>
        </w:rPr>
        <w:t xml:space="preserve">苏州工业园区高端制造与国际贸易区管理委员会（苏州工业园区综合保税区管理办公室）</w:t>
      </w:r>
      <w:r/>
    </w:p>
    <w:p>
      <w:pPr>
        <w:widowControl w:val="off"/>
        <w:rPr>
          <w:rFonts w:hAnsi="宋体"/>
          <w:color w:val="auto"/>
          <w:sz w:val="21"/>
          <w:szCs w:val="21"/>
          <w:highlight w:val="none"/>
        </w:rPr>
      </w:pPr>
      <w:r>
        <w:rPr>
          <w:rFonts w:hint="eastAsia" w:hAnsi="宋体"/>
          <w:color w:val="auto"/>
          <w:sz w:val="21"/>
          <w:szCs w:val="21"/>
          <w:highlight w:val="none"/>
        </w:rPr>
        <w:t xml:space="preserve">地址：</w:t>
      </w:r>
      <w:r/>
    </w:p>
    <w:p>
      <w:pPr>
        <w:widowControl w:val="off"/>
        <w:rPr>
          <w:rFonts w:hAnsi="宋体"/>
          <w:color w:val="auto"/>
          <w:sz w:val="21"/>
          <w:szCs w:val="21"/>
          <w:highlight w:val="none"/>
        </w:rPr>
      </w:pPr>
      <w:r>
        <w:rPr>
          <w:rFonts w:hint="eastAsia" w:hAnsi="宋体"/>
          <w:color w:val="auto"/>
          <w:sz w:val="21"/>
          <w:szCs w:val="21"/>
          <w:highlight w:val="none"/>
        </w:rPr>
        <w:t xml:space="preserve">联系人：</w:t>
      </w:r>
      <w:r/>
    </w:p>
    <w:p>
      <w:pPr>
        <w:widowControl w:val="off"/>
        <w:rPr>
          <w:rFonts w:hAnsi="宋体"/>
          <w:color w:val="auto"/>
          <w:sz w:val="21"/>
          <w:szCs w:val="21"/>
          <w:highlight w:val="none"/>
        </w:rPr>
      </w:pPr>
      <w:r>
        <w:rPr>
          <w:rFonts w:hint="eastAsia" w:hAnsi="宋体"/>
          <w:color w:val="auto"/>
          <w:sz w:val="21"/>
          <w:szCs w:val="21"/>
          <w:highlight w:val="none"/>
        </w:rPr>
        <w:t xml:space="preserve">电话：</w:t>
      </w:r>
      <w:r/>
    </w:p>
    <w:p>
      <w:pPr>
        <w:widowControl w:val="off"/>
        <w:rPr>
          <w:rFonts w:hAnsi="宋体"/>
          <w:color w:val="auto"/>
          <w:sz w:val="21"/>
          <w:szCs w:val="21"/>
          <w:highlight w:val="none"/>
        </w:rPr>
      </w:pPr>
      <w:r>
        <w:rPr>
          <w:rFonts w:hAnsi="宋体"/>
          <w:color w:val="auto"/>
          <w:sz w:val="21"/>
          <w:szCs w:val="21"/>
          <w:highlight w:val="none"/>
        </w:rPr>
      </w:r>
      <w:r/>
    </w:p>
    <w:p>
      <w:pPr>
        <w:widowControl w:val="off"/>
        <w:rPr>
          <w:rFonts w:hAnsi="宋体"/>
          <w:color w:val="auto"/>
          <w:sz w:val="21"/>
          <w:szCs w:val="21"/>
          <w:highlight w:val="none"/>
        </w:rPr>
      </w:pPr>
      <w:r>
        <w:rPr>
          <w:rFonts w:hint="eastAsia" w:hAnsi="宋体"/>
          <w:color w:val="auto"/>
          <w:sz w:val="21"/>
          <w:szCs w:val="21"/>
          <w:highlight w:val="none"/>
        </w:rPr>
        <w:t xml:space="preserve">乙方（服务方）：</w:t>
      </w:r>
      <w:r>
        <w:rPr>
          <w:color w:val="auto"/>
          <w:sz w:val="21"/>
          <w:szCs w:val="21"/>
          <w:highlight w:val="none"/>
          <w:u w:val="single"/>
        </w:rPr>
        <w:t xml:space="preserve">                           </w:t>
      </w:r>
      <w:r/>
    </w:p>
    <w:p>
      <w:pPr>
        <w:widowControl w:val="off"/>
        <w:rPr>
          <w:rFonts w:hAnsi="宋体"/>
          <w:color w:val="auto"/>
          <w:sz w:val="21"/>
          <w:szCs w:val="21"/>
          <w:highlight w:val="none"/>
        </w:rPr>
      </w:pPr>
      <w:r>
        <w:rPr>
          <w:rFonts w:hint="eastAsia" w:hAnsi="宋体"/>
          <w:color w:val="auto"/>
          <w:sz w:val="21"/>
          <w:szCs w:val="21"/>
          <w:highlight w:val="none"/>
        </w:rPr>
        <w:t xml:space="preserve">地址：</w:t>
      </w:r>
      <w:r/>
    </w:p>
    <w:p>
      <w:pPr>
        <w:widowControl w:val="off"/>
        <w:rPr>
          <w:rFonts w:hAnsi="宋体"/>
          <w:color w:val="auto"/>
          <w:sz w:val="21"/>
          <w:szCs w:val="21"/>
          <w:highlight w:val="none"/>
        </w:rPr>
      </w:pPr>
      <w:r>
        <w:rPr>
          <w:rFonts w:hint="eastAsia" w:hAnsi="宋体"/>
          <w:color w:val="auto"/>
          <w:sz w:val="21"/>
          <w:szCs w:val="21"/>
          <w:highlight w:val="none"/>
        </w:rPr>
        <w:t xml:space="preserve">联系人：</w:t>
      </w:r>
      <w:r/>
    </w:p>
    <w:p>
      <w:pPr>
        <w:widowControl w:val="off"/>
        <w:rPr>
          <w:color w:val="auto"/>
          <w:sz w:val="21"/>
          <w:szCs w:val="21"/>
          <w:highlight w:val="none"/>
        </w:rPr>
      </w:pPr>
      <w:r>
        <w:rPr>
          <w:rFonts w:hint="eastAsia" w:hAnsi="宋体"/>
          <w:color w:val="auto"/>
          <w:sz w:val="21"/>
          <w:szCs w:val="21"/>
          <w:highlight w:val="none"/>
        </w:rPr>
        <w:t xml:space="preserve">电话：</w:t>
      </w:r>
      <w:r>
        <w:rPr>
          <w:color w:val="auto"/>
          <w:sz w:val="21"/>
          <w:szCs w:val="21"/>
          <w:highlight w:val="none"/>
        </w:rPr>
        <w:t xml:space="preserve"> </w:t>
      </w:r>
      <w:r/>
    </w:p>
    <w:p>
      <w:pPr>
        <w:ind w:firstLine="425"/>
        <w:spacing w:line="360" w:lineRule="auto"/>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根</w:t>
      </w:r>
      <w:r>
        <w:rPr>
          <w:rFonts w:hint="eastAsia" w:ascii="宋体" w:hAnsi="宋体" w:cs="宋体"/>
          <w:color w:val="auto"/>
          <w:sz w:val="21"/>
          <w:szCs w:val="21"/>
          <w:highlight w:val="none"/>
        </w:rPr>
        <w:t xml:space="preserve">据苏州工业园区政府采购编号</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竞争性磋商采购文件、乙方的磋商响应文件、成交通知书、《中华人民共和国民法典》及相关法律法规规定，甲乙双方就此次成交的</w:t>
      </w:r>
      <w:r>
        <w:rPr>
          <w:rFonts w:hint="eastAsia" w:ascii="宋体" w:hAnsi="宋体" w:cs="宋体"/>
          <w:color w:val="auto"/>
          <w:sz w:val="21"/>
          <w:szCs w:val="21"/>
          <w:highlight w:val="none"/>
          <w:u w:val="single"/>
        </w:rPr>
        <w:t xml:space="preserve"> 2026年度高贸区既有建筑网格化隐患排查服务</w:t>
      </w:r>
      <w:r>
        <w:rPr>
          <w:rFonts w:hint="eastAsia" w:ascii="宋体" w:hAnsi="宋体" w:cs="宋体"/>
          <w:color w:val="auto"/>
          <w:sz w:val="21"/>
          <w:szCs w:val="21"/>
          <w:highlight w:val="none"/>
          <w:lang w:val="zh-CN"/>
        </w:rPr>
        <w:t xml:space="preserve">采购相关</w:t>
      </w:r>
      <w:r>
        <w:rPr>
          <w:rFonts w:hint="eastAsia" w:ascii="宋体" w:hAnsi="宋体" w:cs="宋体"/>
          <w:color w:val="auto"/>
          <w:sz w:val="21"/>
          <w:szCs w:val="21"/>
          <w:highlight w:val="none"/>
        </w:rPr>
        <w:t xml:space="preserve">事宜，遵循平等、自愿、公平和诚实信用原则，经友好协商，订立本合同。</w:t>
      </w:r>
      <w:r/>
    </w:p>
    <w:p>
      <w:pPr>
        <w:numPr>
          <w:ilvl w:val="0"/>
          <w:numId w:val="3"/>
        </w:numPr>
        <w:jc w:val="both"/>
        <w:spacing w:line="360" w:lineRule="auto"/>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合同内容</w:t>
      </w:r>
      <w:r/>
    </w:p>
    <w:p>
      <w:pPr>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1.乙方负责完成甲方委托的</w:t>
      </w:r>
      <w:r>
        <w:rPr>
          <w:rFonts w:hint="eastAsia" w:ascii="宋体" w:hAnsi="宋体" w:cs="宋体"/>
          <w:color w:val="auto"/>
          <w:sz w:val="21"/>
          <w:szCs w:val="21"/>
          <w:highlight w:val="none"/>
          <w:u w:val="single"/>
        </w:rPr>
        <w:t xml:space="preserve">2026年度高贸区既有建筑网格化隐患排查服务</w:t>
      </w:r>
      <w:r>
        <w:rPr>
          <w:rFonts w:hint="eastAsia" w:ascii="宋体" w:hAnsi="宋体" w:cs="宋体"/>
          <w:color w:val="auto"/>
          <w:sz w:val="21"/>
          <w:szCs w:val="21"/>
          <w:highlight w:val="none"/>
        </w:rPr>
        <w:t xml:space="preserve">工作事宜。</w:t>
      </w:r>
      <w:r/>
    </w:p>
    <w:p>
      <w:pPr>
        <w:ind w:firstLine="420"/>
        <w:spacing w:line="360" w:lineRule="auto"/>
        <w:widowControl w:val="off"/>
        <w:rPr>
          <w:rFonts w:ascii="宋体" w:hAnsi="宋体" w:cs="宋体"/>
          <w:color w:val="auto"/>
          <w:sz w:val="21"/>
          <w:szCs w:val="21"/>
          <w:highlight w:val="none"/>
        </w:rPr>
      </w:pPr>
      <w:r>
        <w:rPr>
          <w:rFonts w:hint="eastAsia" w:ascii="宋体" w:hAnsi="宋体"/>
          <w:color w:val="auto"/>
          <w:sz w:val="21"/>
          <w:szCs w:val="21"/>
          <w:highlight w:val="none"/>
        </w:rPr>
        <w:t xml:space="preserve">2</w:t>
      </w:r>
      <w:r>
        <w:rPr>
          <w:rFonts w:hint="eastAsia" w:ascii="宋体" w:hAnsi="宋体" w:cs="@楷体_GB2312"/>
          <w:color w:val="auto"/>
          <w:sz w:val="21"/>
          <w:szCs w:val="21"/>
          <w:highlight w:val="none"/>
          <w:lang w:val="zh-CN"/>
        </w:rPr>
        <w:t xml:space="preserve">.</w:t>
      </w:r>
      <w:r>
        <w:rPr>
          <w:rFonts w:hint="eastAsia" w:ascii="宋体" w:hAnsi="宋体" w:cs="宋体"/>
          <w:color w:val="auto"/>
          <w:sz w:val="21"/>
          <w:szCs w:val="21"/>
          <w:highlight w:val="none"/>
          <w:lang w:val="zh-CN"/>
        </w:rPr>
        <w:t xml:space="preserve">下列文件为本合同不可分割部分：</w:t>
      </w:r>
      <w:r/>
    </w:p>
    <w:p>
      <w:pPr>
        <w:ind w:firstLine="420"/>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①合同附件；</w:t>
      </w:r>
      <w:r/>
    </w:p>
    <w:p>
      <w:pPr>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②竞争性磋商采购文件；</w:t>
      </w:r>
      <w:r/>
    </w:p>
    <w:p>
      <w:pPr>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③乙方成交的响应文件；</w:t>
      </w:r>
      <w:r/>
    </w:p>
    <w:p>
      <w:pPr>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④乙方在磋商采购过程中所作的其他承诺、声明、书面澄清等；</w:t>
      </w:r>
      <w:r/>
    </w:p>
    <w:p>
      <w:pPr>
        <w:ind w:firstLine="420"/>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⑤成交通知书。</w:t>
      </w:r>
      <w:r/>
    </w:p>
    <w:p>
      <w:pPr>
        <w:ind w:firstLine="420"/>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以上与本合同具有同等法律效力</w:t>
      </w:r>
      <w:r>
        <w:rPr>
          <w:rFonts w:hint="eastAsia" w:ascii="宋体" w:hAnsi="宋体" w:cs="宋体"/>
          <w:color w:val="auto"/>
          <w:sz w:val="21"/>
          <w:szCs w:val="21"/>
          <w:highlight w:val="none"/>
          <w:lang w:val="zh-CN"/>
        </w:rPr>
        <w:t xml:space="preserve">。</w:t>
      </w:r>
      <w:r/>
    </w:p>
    <w:p>
      <w:pPr>
        <w:numPr>
          <w:ilvl w:val="0"/>
          <w:numId w:val="3"/>
        </w:numPr>
        <w:jc w:val="both"/>
        <w:spacing w:line="360" w:lineRule="auto"/>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合同价款与支付</w:t>
      </w:r>
      <w:r/>
    </w:p>
    <w:p>
      <w:pPr>
        <w:ind w:firstLine="420"/>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1.</w:t>
      </w:r>
      <w:r>
        <w:rPr>
          <w:rFonts w:hint="eastAsia" w:ascii="宋体" w:hAnsi="宋体" w:cs="宋体"/>
          <w:b/>
          <w:bCs/>
          <w:color w:val="auto"/>
          <w:sz w:val="21"/>
          <w:szCs w:val="21"/>
          <w:highlight w:val="none"/>
          <w:lang w:val="zh-CN"/>
        </w:rPr>
        <w:t xml:space="preserve">合同总</w:t>
      </w:r>
      <w:r>
        <w:rPr>
          <w:rFonts w:hint="eastAsia" w:ascii="宋体" w:hAnsi="宋体" w:cs="宋体"/>
          <w:b/>
          <w:bCs/>
          <w:color w:val="auto"/>
          <w:sz w:val="21"/>
          <w:szCs w:val="21"/>
          <w:highlight w:val="none"/>
        </w:rPr>
        <w:t xml:space="preserve">价款</w:t>
      </w:r>
      <w:r>
        <w:rPr>
          <w:rFonts w:hint="eastAsia" w:ascii="宋体" w:hAnsi="宋体" w:cs="宋体"/>
          <w:b/>
          <w:bCs/>
          <w:color w:val="auto"/>
          <w:sz w:val="21"/>
          <w:szCs w:val="21"/>
          <w:highlight w:val="none"/>
          <w:lang w:val="zh-CN"/>
        </w:rPr>
        <w:t xml:space="preserve">为人民币</w:t>
      </w:r>
      <w:r>
        <w:rPr>
          <w:rFonts w:hint="eastAsia" w:ascii="宋体" w:hAnsi="宋体" w:cs="宋体"/>
          <w:b/>
          <w:bCs/>
          <w:color w:val="auto"/>
          <w:sz w:val="21"/>
          <w:szCs w:val="21"/>
          <w:highlight w:val="none"/>
          <w:u w:val="single"/>
          <w:lang w:val="zh-CN"/>
        </w:rPr>
        <w:t xml:space="preserve">             元整（</w:t>
      </w:r>
      <w:r>
        <w:rPr>
          <w:rFonts w:hint="eastAsia" w:ascii="宋体" w:hAnsi="宋体" w:cs="宋体"/>
          <w:b/>
          <w:bCs/>
          <w:color w:val="auto"/>
          <w:sz w:val="21"/>
          <w:szCs w:val="21"/>
          <w:highlight w:val="none"/>
          <w:u w:val="single"/>
        </w:rPr>
        <w:t xml:space="preserve">¥      </w:t>
      </w:r>
      <w:r>
        <w:rPr>
          <w:rFonts w:hint="eastAsia" w:ascii="宋体" w:hAnsi="宋体" w:cs="宋体"/>
          <w:b/>
          <w:bCs/>
          <w:color w:val="auto"/>
          <w:sz w:val="21"/>
          <w:szCs w:val="21"/>
          <w:highlight w:val="none"/>
          <w:u w:val="single"/>
          <w:lang w:val="zh-CN"/>
        </w:rPr>
        <w:t xml:space="preserve">）</w:t>
      </w:r>
      <w:r>
        <w:rPr>
          <w:rFonts w:hint="eastAsia" w:ascii="宋体" w:hAnsi="宋体" w:cs="宋体"/>
          <w:color w:val="auto"/>
          <w:sz w:val="21"/>
          <w:szCs w:val="21"/>
          <w:highlight w:val="none"/>
          <w:lang w:val="zh-CN"/>
        </w:rPr>
        <w:t xml:space="preserve">。该</w:t>
      </w:r>
      <w:r>
        <w:rPr>
          <w:rFonts w:hint="eastAsia" w:ascii="宋体" w:hAnsi="宋体" w:cs="宋体"/>
          <w:color w:val="auto"/>
          <w:sz w:val="21"/>
          <w:szCs w:val="21"/>
          <w:highlight w:val="none"/>
        </w:rPr>
        <w:t xml:space="preserve">价款</w:t>
      </w:r>
      <w:r>
        <w:rPr>
          <w:rFonts w:hint="eastAsia" w:ascii="宋体" w:hAnsi="宋体" w:cs="宋体"/>
          <w:color w:val="auto"/>
          <w:sz w:val="21"/>
          <w:szCs w:val="21"/>
          <w:highlight w:val="none"/>
          <w:lang w:val="zh-CN"/>
        </w:rPr>
        <w:t xml:space="preserve">包括乙方完成本项目全部服务内容所需的</w:t>
      </w:r>
      <w:r>
        <w:rPr>
          <w:rFonts w:hint="eastAsia" w:ascii="宋体" w:hAnsi="宋体" w:cs="宋体"/>
          <w:bCs/>
          <w:color w:val="auto"/>
          <w:sz w:val="21"/>
          <w:szCs w:val="21"/>
          <w:highlight w:val="none"/>
        </w:rPr>
        <w:t xml:space="preserve">人工（包括人员劳务费、法定节假日加班费、福利费、社保等）、交通费用、餐费住宿、耗材、通讯、办公设备、验收费用、各种税费、保险、劳保、维护、代理服务费、利润、税金、政策性文件规定及合同包含的所有风险、责任等各项应有费用</w:t>
      </w:r>
      <w:r>
        <w:rPr>
          <w:rFonts w:hint="eastAsia" w:ascii="宋体" w:hAnsi="宋体" w:cs="宋体"/>
          <w:color w:val="auto"/>
          <w:sz w:val="21"/>
          <w:szCs w:val="21"/>
          <w:highlight w:val="none"/>
          <w:lang w:val="zh-CN"/>
        </w:rPr>
        <w:t xml:space="preserve">。除非因特殊原因并经甲乙双方协商同意，乙方不得再要求追加任何费用。同时，合同金额在合同实施期间不因市场因素变化而变动。</w:t>
      </w:r>
      <w:r/>
    </w:p>
    <w:p>
      <w:pPr>
        <w:ind w:firstLine="420"/>
        <w:spacing w:line="360" w:lineRule="auto"/>
        <w:widowControl w:val="off"/>
        <w:rPr>
          <w:rFonts w:ascii="宋体" w:hAnsi="宋体"/>
          <w:color w:val="auto"/>
          <w:sz w:val="21"/>
          <w:szCs w:val="21"/>
          <w:highlight w:val="none"/>
          <w:lang w:val="zh-CN"/>
        </w:rPr>
      </w:pPr>
      <w:r/>
      <w:bookmarkStart w:id="76" w:name="_Hlk492629927"/>
      <w:r>
        <w:rPr>
          <w:rFonts w:hint="eastAsia" w:ascii="宋体" w:hAnsi="宋体"/>
          <w:color w:val="auto"/>
          <w:sz w:val="21"/>
          <w:szCs w:val="21"/>
          <w:highlight w:val="none"/>
          <w:lang w:val="zh-CN"/>
        </w:rPr>
        <w:t xml:space="preserve">2.付款步骤：</w:t>
      </w:r>
      <w:r/>
    </w:p>
    <w:p>
      <w:pPr>
        <w:ind w:firstLine="420"/>
        <w:spacing w:line="360" w:lineRule="auto"/>
        <w:widowControl w:val="off"/>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合同价款分三期支付。</w:t>
      </w:r>
      <w:r/>
    </w:p>
    <w:p>
      <w:pPr>
        <w:ind w:firstLine="420"/>
        <w:spacing w:line="360" w:lineRule="auto"/>
        <w:widowControl w:val="off"/>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第一期：合同生效之日起 30日内甲方预付合同价款的10%；</w:t>
      </w:r>
      <w:r/>
    </w:p>
    <w:p>
      <w:pPr>
        <w:ind w:firstLine="420"/>
        <w:spacing w:line="360" w:lineRule="auto"/>
        <w:widowControl w:val="off"/>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第二期：合同生效之日起满 3个月后的 30日内甲方向乙方支付合同价款的20%；</w:t>
      </w:r>
      <w:r/>
    </w:p>
    <w:p>
      <w:pPr>
        <w:ind w:firstLine="420"/>
        <w:spacing w:line="360" w:lineRule="auto"/>
        <w:widowControl w:val="off"/>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第三期：合同期满后的 30日内且经甲方书面验收通过，甲方依照对乙方考核情况确定应付乙方的最终总金额，扣除第一期、第二期已支付款项后的余额向乙方支付第三期费用。</w:t>
      </w:r>
      <w:r/>
    </w:p>
    <w:p>
      <w:pPr>
        <w:ind w:firstLine="420"/>
        <w:spacing w:line="360" w:lineRule="auto"/>
        <w:widowControl w:val="off"/>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甲方根据考核情况的支付标准：</w:t>
      </w:r>
      <w:r>
        <w:rPr>
          <w:rFonts w:hint="eastAsia" w:ascii="宋体" w:hAnsi="宋体" w:cs="宋体"/>
          <w:color w:val="auto"/>
          <w:sz w:val="21"/>
          <w:szCs w:val="21"/>
          <w:highlight w:val="none"/>
          <w:lang w:val="zh-CN"/>
        </w:rPr>
        <w:t xml:space="preserve">两次考核平均得分80分（含80分）以上的为优秀，支付合同价款的100%；两次考核平均得分60（含60分）—80分（不含80分）为合格，支付合同价款的80%；两次考核平均得分60分（不含60分）以下为不合格，支付合同价款的60%。累计两次考核不合格的，甲方有权解除合同，并要求乙方承担甲方所有损失</w:t>
      </w:r>
      <w:r>
        <w:rPr>
          <w:rFonts w:hint="eastAsia" w:ascii="宋体" w:hAnsi="宋体"/>
          <w:color w:val="auto"/>
          <w:sz w:val="21"/>
          <w:szCs w:val="21"/>
          <w:highlight w:val="none"/>
          <w:lang w:val="zh-CN"/>
        </w:rPr>
        <w:t xml:space="preserve">。</w:t>
      </w:r>
      <w:r/>
    </w:p>
    <w:p>
      <w:pPr>
        <w:ind w:firstLine="420"/>
        <w:spacing w:line="360" w:lineRule="auto"/>
        <w:widowControl w:val="off"/>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注：（</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）每次付款前，乙方需提前十五个工作日将符合甲方要求的发票交于甲方，否则，甲方有权拒绝支付相应费用且不承担任何违约责任。</w:t>
      </w:r>
      <w:r/>
    </w:p>
    <w:p>
      <w:pPr>
        <w:ind w:firstLine="420"/>
        <w:spacing w:line="360" w:lineRule="auto"/>
        <w:widowControl w:val="off"/>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w:t>
      </w:r>
      <w:r>
        <w:rPr>
          <w:rFonts w:hint="eastAsia" w:ascii="宋体" w:hAnsi="宋体"/>
          <w:color w:val="auto"/>
          <w:sz w:val="21"/>
          <w:szCs w:val="21"/>
          <w:highlight w:val="none"/>
        </w:rPr>
        <w:t xml:space="preserve">2</w:t>
      </w:r>
      <w:r>
        <w:rPr>
          <w:rFonts w:hint="eastAsia" w:ascii="宋体" w:hAnsi="宋体"/>
          <w:color w:val="auto"/>
          <w:sz w:val="21"/>
          <w:szCs w:val="21"/>
          <w:highlight w:val="none"/>
          <w:lang w:val="zh-CN"/>
        </w:rPr>
        <w:t xml:space="preserve">）在签订合同时，乙方明确表示无需预付款或者主动要求降低预付款比例的，甲方可不适用上述关于预付款的规定。</w:t>
      </w:r>
      <w:r/>
    </w:p>
    <w:p>
      <w:pPr>
        <w:ind w:firstLine="420"/>
        <w:spacing w:line="360" w:lineRule="auto"/>
        <w:widowControl w:val="off"/>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3.如乙方未按甲方要求对</w:t>
      </w:r>
      <w:r>
        <w:rPr>
          <w:rFonts w:hint="eastAsia" w:ascii="宋体" w:hAnsi="宋体"/>
          <w:color w:val="auto"/>
          <w:sz w:val="21"/>
          <w:szCs w:val="21"/>
          <w:highlight w:val="none"/>
        </w:rPr>
        <w:t xml:space="preserve">工作相关</w:t>
      </w:r>
      <w:r>
        <w:rPr>
          <w:rFonts w:hint="eastAsia" w:ascii="宋体" w:hAnsi="宋体"/>
          <w:color w:val="auto"/>
          <w:sz w:val="21"/>
          <w:szCs w:val="21"/>
          <w:highlight w:val="none"/>
          <w:lang w:val="zh-CN"/>
        </w:rPr>
        <w:t xml:space="preserve">服务缺陷及时进行更正的，甲方有权另请其他单位更正，所发生的费用在结算时先予以扣除，如有不足甲方有权向乙方追偿。</w:t>
      </w:r>
      <w:r/>
    </w:p>
    <w:p>
      <w:pPr>
        <w:ind w:firstLine="420"/>
        <w:spacing w:line="360" w:lineRule="auto"/>
        <w:widowControl w:val="off"/>
        <w:rPr>
          <w:rFonts w:ascii="宋体" w:hAnsi="宋体" w:cs="宋体"/>
          <w:color w:val="auto"/>
          <w:sz w:val="21"/>
          <w:szCs w:val="21"/>
          <w:highlight w:val="none"/>
        </w:rPr>
      </w:pPr>
      <w:r>
        <w:rPr>
          <w:rFonts w:hint="eastAsia" w:ascii="宋体" w:hAnsi="宋体"/>
          <w:color w:val="auto"/>
          <w:sz w:val="21"/>
          <w:szCs w:val="21"/>
          <w:highlight w:val="none"/>
          <w:lang w:val="zh-CN"/>
        </w:rPr>
        <w:t xml:space="preserve">4.</w:t>
      </w:r>
      <w:r>
        <w:rPr>
          <w:rFonts w:hint="eastAsia" w:ascii="宋体" w:hAnsi="宋体" w:cs="宋体"/>
          <w:color w:val="auto"/>
          <w:sz w:val="21"/>
          <w:szCs w:val="21"/>
          <w:highlight w:val="none"/>
        </w:rPr>
        <w:t xml:space="preserve">乙方要求付款应先行提供以下资料：</w:t>
      </w:r>
      <w:r/>
    </w:p>
    <w:p>
      <w:pPr>
        <w:ind w:firstLine="42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A、合格的发票。</w:t>
      </w:r>
      <w:r/>
    </w:p>
    <w:p>
      <w:pPr>
        <w:ind w:firstLine="42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B、由甲乙双方盖章的《</w:t>
      </w:r>
      <w:r>
        <w:rPr>
          <w:rFonts w:hint="eastAsia" w:ascii="宋体" w:hAnsi="宋体" w:cs="宋体"/>
          <w:bCs/>
          <w:color w:val="auto"/>
          <w:sz w:val="21"/>
          <w:szCs w:val="21"/>
          <w:highlight w:val="none"/>
        </w:rPr>
        <w:t xml:space="preserve">政府采购</w:t>
      </w:r>
      <w:r>
        <w:rPr>
          <w:rFonts w:hint="eastAsia" w:ascii="宋体" w:hAnsi="宋体" w:cs="宋体"/>
          <w:color w:val="auto"/>
          <w:sz w:val="21"/>
          <w:szCs w:val="21"/>
          <w:highlight w:val="none"/>
        </w:rPr>
        <w:t xml:space="preserve">履约验收书》（参照《江苏省政府采购履约验收管理办法》和苏州工业园区财政审计局《关于进一步加强履约验收管理的通知》进行履约验收）。</w:t>
      </w:r>
      <w:r/>
    </w:p>
    <w:p>
      <w:pPr>
        <w:ind w:firstLine="42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5.付款方式：银行转账或汇款。</w:t>
      </w:r>
      <w:r/>
    </w:p>
    <w:p>
      <w:pPr>
        <w:ind w:firstLine="420"/>
        <w:spacing w:line="360" w:lineRule="auto"/>
        <w:widowControl w:val="off"/>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6</w:t>
      </w:r>
      <w:r>
        <w:rPr>
          <w:rFonts w:hint="eastAsia" w:ascii="宋体" w:hAnsi="宋体" w:cs="宋体"/>
          <w:color w:val="auto"/>
          <w:sz w:val="21"/>
          <w:szCs w:val="21"/>
          <w:highlight w:val="none"/>
          <w:lang w:val="zh-CN"/>
        </w:rPr>
        <w:t xml:space="preserve">.甲方支付合同总</w:t>
      </w:r>
      <w:r>
        <w:rPr>
          <w:rFonts w:hint="eastAsia" w:ascii="宋体" w:hAnsi="宋体" w:cs="宋体"/>
          <w:color w:val="auto"/>
          <w:sz w:val="21"/>
          <w:szCs w:val="21"/>
          <w:highlight w:val="none"/>
        </w:rPr>
        <w:t xml:space="preserve">价款</w:t>
      </w:r>
      <w:r>
        <w:rPr>
          <w:rFonts w:hint="eastAsia" w:ascii="宋体" w:hAnsi="宋体" w:cs="宋体"/>
          <w:color w:val="auto"/>
          <w:sz w:val="21"/>
          <w:szCs w:val="21"/>
          <w:highlight w:val="none"/>
          <w:lang w:val="zh-CN"/>
        </w:rPr>
        <w:t xml:space="preserve">外不再承担其他任何费用。</w:t>
      </w:r>
      <w:r/>
    </w:p>
    <w:p>
      <w:pPr>
        <w:ind w:firstLine="420"/>
        <w:spacing w:line="360" w:lineRule="auto"/>
        <w:widowControl w:val="off"/>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7</w:t>
      </w:r>
      <w:r>
        <w:rPr>
          <w:rFonts w:hint="eastAsia" w:ascii="宋体" w:hAnsi="宋体" w:cs="宋体"/>
          <w:color w:val="auto"/>
          <w:sz w:val="21"/>
          <w:szCs w:val="21"/>
          <w:highlight w:val="none"/>
          <w:lang w:val="zh-CN"/>
        </w:rPr>
        <w:t xml:space="preserve">.若遇国家或地方政府政策性调整，双方另行协商。</w:t>
      </w:r>
      <w:r/>
    </w:p>
    <w:p>
      <w:pPr>
        <w:ind w:firstLine="420"/>
        <w:jc w:val="both"/>
        <w:spacing w:line="360" w:lineRule="auto"/>
        <w:widowControl w:val="off"/>
        <w:tabs>
          <w:tab w:val="left" w:pos="432"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8.根据现行税法对甲方征收的与本合同有关的一切税费均由甲方承担；根据现行税法对乙方征收的与本合同有关的一切税费均由乙方承担。</w:t>
      </w:r>
      <w:bookmarkEnd w:id="76"/>
      <w:r/>
      <w:r/>
    </w:p>
    <w:p>
      <w:pPr>
        <w:ind w:firstLine="420"/>
        <w:jc w:val="both"/>
        <w:spacing w:line="360" w:lineRule="auto"/>
        <w:widowControl w:val="off"/>
        <w:tabs>
          <w:tab w:val="left" w:pos="432"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9.甲方根据乙方在本合同中所提供银行开户信息转账支付：</w:t>
      </w:r>
      <w:r/>
    </w:p>
    <w:p>
      <w:pPr>
        <w:ind w:firstLine="420"/>
        <w:jc w:val="both"/>
        <w:spacing w:line="360" w:lineRule="auto"/>
        <w:widowControl w:val="off"/>
        <w:tabs>
          <w:tab w:val="left" w:pos="432"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账户名称：</w:t>
      </w:r>
      <w:r/>
    </w:p>
    <w:p>
      <w:pPr>
        <w:ind w:firstLine="420"/>
        <w:jc w:val="both"/>
        <w:spacing w:line="360" w:lineRule="auto"/>
        <w:widowControl w:val="off"/>
        <w:tabs>
          <w:tab w:val="left" w:pos="432" w:leader="none"/>
        </w:tabs>
        <w:rPr>
          <w:rFonts w:ascii="宋体" w:hAnsi="宋体" w:cs="宋体"/>
          <w:color w:val="auto"/>
          <w:sz w:val="21"/>
          <w:szCs w:val="21"/>
          <w:highlight w:val="none"/>
          <w:u w:val="single"/>
        </w:rPr>
      </w:pPr>
      <w:r>
        <w:rPr>
          <w:rFonts w:hint="eastAsia" w:ascii="宋体" w:hAnsi="宋体" w:cs="宋体"/>
          <w:color w:val="auto"/>
          <w:sz w:val="21"/>
          <w:szCs w:val="21"/>
          <w:highlight w:val="none"/>
        </w:rPr>
        <w:t xml:space="preserve">开户银行：</w:t>
      </w:r>
      <w:r/>
    </w:p>
    <w:p>
      <w:pPr>
        <w:ind w:firstLine="420"/>
        <w:jc w:val="both"/>
        <w:spacing w:line="360" w:lineRule="auto"/>
        <w:widowControl w:val="off"/>
        <w:tabs>
          <w:tab w:val="left" w:pos="432"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银行账号：</w:t>
      </w:r>
      <w:r/>
    </w:p>
    <w:p>
      <w:pPr>
        <w:ind w:firstLine="420"/>
        <w:jc w:val="both"/>
        <w:spacing w:line="360" w:lineRule="auto"/>
        <w:widowControl w:val="off"/>
        <w:tabs>
          <w:tab w:val="left" w:pos="432" w:leader="none"/>
        </w:tabs>
        <w:rPr>
          <w:rFonts w:ascii="宋体" w:hAnsi="宋体" w:cs="宋体"/>
          <w:color w:val="auto"/>
          <w:sz w:val="21"/>
          <w:szCs w:val="21"/>
          <w:highlight w:val="none"/>
        </w:rPr>
      </w:pPr>
      <w:r/>
      <w:bookmarkStart w:id="77" w:name="_Hlk146571629"/>
      <w:r>
        <w:rPr>
          <w:rFonts w:hint="eastAsia" w:ascii="宋体" w:hAnsi="宋体" w:cs="宋体"/>
          <w:color w:val="auto"/>
          <w:sz w:val="21"/>
          <w:szCs w:val="21"/>
          <w:highlight w:val="none"/>
        </w:rPr>
        <w:t xml:space="preserve">数字人民币钱包ID号</w:t>
      </w:r>
      <w:bookmarkEnd w:id="77"/>
      <w:r>
        <w:rPr>
          <w:rFonts w:hint="eastAsia" w:ascii="宋体" w:hAnsi="宋体" w:cs="宋体"/>
          <w:color w:val="auto"/>
          <w:sz w:val="21"/>
          <w:szCs w:val="21"/>
          <w:highlight w:val="none"/>
        </w:rPr>
        <w:t xml:space="preserve">：</w:t>
      </w:r>
      <w:r/>
    </w:p>
    <w:p>
      <w:pPr>
        <w:ind w:firstLine="420"/>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经双方协商一致同意，在本合同签订后，若因乙方办理“园采贷”信用融资的需要，本条第</w:t>
      </w:r>
      <w:r>
        <w:rPr>
          <w:rFonts w:hint="eastAsia" w:ascii="宋体" w:hAnsi="宋体" w:cs="宋体"/>
          <w:color w:val="auto"/>
          <w:sz w:val="21"/>
          <w:szCs w:val="21"/>
          <w:highlight w:val="none"/>
        </w:rPr>
        <w:t xml:space="preserve">9</w:t>
      </w:r>
      <w:r>
        <w:rPr>
          <w:rFonts w:hint="eastAsia" w:ascii="宋体" w:hAnsi="宋体" w:cs="宋体"/>
          <w:color w:val="auto"/>
          <w:sz w:val="21"/>
          <w:szCs w:val="21"/>
          <w:highlight w:val="none"/>
          <w:lang w:val="zh-CN"/>
        </w:rPr>
        <w:t xml:space="preserve">款中约定的收款账号可作变更，</w:t>
      </w:r>
      <w:r>
        <w:rPr>
          <w:rFonts w:hint="eastAsia" w:cs="宋体"/>
          <w:color w:val="auto"/>
          <w:sz w:val="21"/>
          <w:szCs w:val="21"/>
          <w:highlight w:val="none"/>
          <w:lang w:val="zh-CN"/>
        </w:rPr>
        <w:t xml:space="preserve">变更后的账号为甲方付款时中征应收账款融资服务平台中资金提供方指定的回款账户，甲方支付至该账号的款项，亦视为已向乙方履行完毕支付义务。甲方同时应与乙方签订变更账号的补充协议或由乙方提供账号的变更申请</w:t>
      </w:r>
      <w:r>
        <w:rPr>
          <w:rFonts w:hint="eastAsia" w:ascii="宋体" w:hAnsi="宋体" w:cs="宋体"/>
          <w:color w:val="auto"/>
          <w:sz w:val="21"/>
          <w:szCs w:val="21"/>
          <w:highlight w:val="none"/>
          <w:lang w:val="zh-CN"/>
        </w:rPr>
        <w:t xml:space="preserve">。</w:t>
      </w:r>
      <w:r/>
    </w:p>
    <w:p>
      <w:pPr>
        <w:numPr>
          <w:ilvl w:val="0"/>
          <w:numId w:val="3"/>
        </w:numPr>
        <w:jc w:val="both"/>
        <w:spacing w:line="360" w:lineRule="auto"/>
        <w:widowControl w:val="off"/>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服务内容及要求</w:t>
      </w:r>
      <w:r/>
    </w:p>
    <w:p>
      <w:pPr>
        <w:ind w:firstLine="420"/>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按照采购文件和乙方在响应文件中承诺的服务执行。</w:t>
      </w:r>
      <w:r/>
    </w:p>
    <w:p>
      <w:pPr>
        <w:numPr>
          <w:ilvl w:val="0"/>
          <w:numId w:val="3"/>
        </w:numPr>
        <w:jc w:val="both"/>
        <w:spacing w:line="360" w:lineRule="auto"/>
        <w:widowControl w:val="off"/>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服务质量</w:t>
      </w:r>
      <w:r/>
    </w:p>
    <w:p>
      <w:pPr>
        <w:ind w:firstLine="420"/>
        <w:spacing w:line="360" w:lineRule="auto"/>
        <w:widowControl w:val="off"/>
        <w:tabs>
          <w:tab w:val="left" w:pos="432" w:leader="none"/>
        </w:tabs>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1.乙方应保证提供给甲方的服务完全符合本项目采购文件规定的服务标准。</w:t>
      </w:r>
      <w:r/>
    </w:p>
    <w:p>
      <w:pPr>
        <w:ind w:firstLine="420"/>
        <w:spacing w:line="360" w:lineRule="auto"/>
        <w:widowControl w:val="off"/>
        <w:tabs>
          <w:tab w:val="left" w:pos="432" w:leader="none"/>
        </w:tabs>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2.乙方应保证提供的服务应符合中华人民共和国相关标准及相应的技术规范、本次采购相关文件中的全部相关要求及相关标准及相应的技术规范中之较高者。</w:t>
      </w:r>
      <w:r/>
    </w:p>
    <w:p>
      <w:pPr>
        <w:ind w:firstLine="420"/>
        <w:spacing w:line="360" w:lineRule="auto"/>
        <w:widowControl w:val="off"/>
        <w:tabs>
          <w:tab w:val="left" w:pos="432" w:leader="none"/>
        </w:tabs>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3.乙方保证提供的服务符合中华人民共和国国家及行业的安全质量标准中之较高者。</w:t>
      </w:r>
      <w:r/>
    </w:p>
    <w:p>
      <w:pPr>
        <w:ind w:firstLine="420"/>
        <w:spacing w:line="360" w:lineRule="auto"/>
        <w:widowControl w:val="off"/>
        <w:tabs>
          <w:tab w:val="left" w:pos="432" w:leader="none"/>
        </w:tabs>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4.乙方保证，乙方依据本合同提供的服务及相关的软件和技术资料，乙方均已得到有关知识产权的权利人的合法授权，如发生涉及到专利权、著作权、商标权等争议，乙方负责处理，并承担由此引起的全部法律及经济责任。</w:t>
      </w:r>
      <w:r/>
    </w:p>
    <w:p>
      <w:pPr>
        <w:ind w:firstLine="420"/>
        <w:spacing w:line="360" w:lineRule="auto"/>
        <w:widowControl w:val="off"/>
        <w:tabs>
          <w:tab w:val="left" w:pos="432" w:leader="none"/>
        </w:tabs>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5.乙方应保证甲方在中国境内使用服务或服务的任何一部分时，免受第三方提出的侵犯其知识产权的诉讼。如甲方因本合同项下服务成果的知识产权原因而受到第三方的索赔请求，乙方应负责处理，并承担甲方因此发生的全部费用及损失。</w:t>
      </w:r>
      <w:r/>
    </w:p>
    <w:p>
      <w:pPr>
        <w:numPr>
          <w:ilvl w:val="0"/>
          <w:numId w:val="3"/>
        </w:numPr>
        <w:jc w:val="both"/>
        <w:spacing w:line="360" w:lineRule="auto"/>
        <w:widowControl w:val="off"/>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服务工作成果验收</w:t>
      </w:r>
      <w:r/>
    </w:p>
    <w:p>
      <w:pPr>
        <w:ind w:firstLine="420"/>
        <w:spacing w:line="360" w:lineRule="auto"/>
        <w:widowControl w:val="off"/>
        <w:tabs>
          <w:tab w:val="left" w:pos="432" w:leader="none"/>
        </w:tabs>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详见附件履约验收方案。</w:t>
      </w:r>
      <w:r/>
    </w:p>
    <w:p>
      <w:pPr>
        <w:numPr>
          <w:ilvl w:val="0"/>
          <w:numId w:val="3"/>
        </w:numPr>
        <w:jc w:val="both"/>
        <w:spacing w:line="360" w:lineRule="auto"/>
        <w:widowControl w:val="off"/>
        <w:rPr>
          <w:rFonts w:ascii="宋体" w:hAnsi="宋体" w:cs="宋体"/>
          <w:color w:val="auto"/>
          <w:sz w:val="21"/>
          <w:szCs w:val="21"/>
          <w:highlight w:val="none"/>
        </w:rPr>
      </w:pPr>
      <w:r>
        <w:rPr>
          <w:rFonts w:hint="eastAsia" w:ascii="宋体" w:hAnsi="宋体" w:cs="宋体"/>
          <w:b/>
          <w:bCs/>
          <w:color w:val="auto"/>
          <w:sz w:val="21"/>
          <w:szCs w:val="21"/>
          <w:highlight w:val="none"/>
          <w:lang w:val="zh-CN"/>
        </w:rPr>
        <w:t xml:space="preserve">技术情报和资料保密</w:t>
      </w:r>
      <w:r/>
    </w:p>
    <w:p>
      <w:pPr>
        <w:ind w:firstLine="420"/>
        <w:spacing w:line="360" w:lineRule="auto"/>
        <w:widowControl w:val="off"/>
        <w:tabs>
          <w:tab w:val="left" w:pos="432" w:leader="none"/>
        </w:tabs>
        <w:rPr>
          <w:rFonts w:ascii="宋体" w:hAnsi="宋体" w:cs="宋体"/>
          <w:bCs/>
          <w:color w:val="auto"/>
          <w:sz w:val="21"/>
          <w:szCs w:val="21"/>
          <w:highlight w:val="none"/>
          <w:lang w:val="zh-CN"/>
        </w:rPr>
      </w:pPr>
      <w:r>
        <w:rPr>
          <w:rFonts w:hint="eastAsia" w:ascii="宋体" w:hAnsi="宋体" w:cs="宋体"/>
          <w:bCs/>
          <w:color w:val="auto"/>
          <w:sz w:val="21"/>
          <w:szCs w:val="21"/>
          <w:highlight w:val="none"/>
        </w:rPr>
        <w:t xml:space="preserve">1.乙方</w:t>
      </w:r>
      <w:r>
        <w:rPr>
          <w:rFonts w:hint="eastAsia" w:ascii="宋体" w:hAnsi="宋体" w:cs="宋体"/>
          <w:bCs/>
          <w:color w:val="auto"/>
          <w:sz w:val="21"/>
          <w:szCs w:val="21"/>
          <w:highlight w:val="none"/>
          <w:lang w:val="zh-CN"/>
        </w:rPr>
        <w:t xml:space="preserve">所收集的原始资料与数据在</w:t>
      </w:r>
      <w:r>
        <w:rPr>
          <w:rFonts w:hint="eastAsia" w:ascii="宋体" w:hAnsi="宋体" w:cs="宋体"/>
          <w:bCs/>
          <w:color w:val="auto"/>
          <w:sz w:val="21"/>
          <w:szCs w:val="21"/>
          <w:highlight w:val="none"/>
        </w:rPr>
        <w:t xml:space="preserve">本项目</w:t>
      </w:r>
      <w:r>
        <w:rPr>
          <w:rFonts w:hint="eastAsia" w:ascii="宋体" w:hAnsi="宋体" w:cs="宋体"/>
          <w:bCs/>
          <w:color w:val="auto"/>
          <w:sz w:val="21"/>
          <w:szCs w:val="21"/>
          <w:highlight w:val="none"/>
          <w:lang w:val="zh-CN"/>
        </w:rPr>
        <w:t xml:space="preserve">执行过程中，仅供甲、乙双方使用，项目结束后乙方将其以成果附件的形式一并提交给甲方。</w:t>
      </w:r>
      <w:r/>
    </w:p>
    <w:p>
      <w:pPr>
        <w:ind w:firstLine="420"/>
        <w:spacing w:line="360" w:lineRule="auto"/>
        <w:widowControl w:val="off"/>
        <w:tabs>
          <w:tab w:val="left" w:pos="432" w:leader="none"/>
        </w:tabs>
        <w:rPr>
          <w:rFonts w:ascii="宋体" w:hAnsi="宋体" w:cs="宋体"/>
          <w:bCs/>
          <w:color w:val="auto"/>
          <w:sz w:val="21"/>
          <w:szCs w:val="21"/>
          <w:highlight w:val="none"/>
          <w:lang w:val="zh-CN"/>
        </w:rPr>
      </w:pPr>
      <w:r>
        <w:rPr>
          <w:rFonts w:hint="eastAsia" w:ascii="宋体" w:hAnsi="宋体" w:cs="宋体"/>
          <w:bCs/>
          <w:color w:val="auto"/>
          <w:sz w:val="21"/>
          <w:szCs w:val="21"/>
          <w:highlight w:val="none"/>
        </w:rPr>
        <w:t xml:space="preserve">2.</w:t>
      </w:r>
      <w:r>
        <w:rPr>
          <w:rFonts w:hint="eastAsia" w:ascii="宋体" w:hAnsi="宋体" w:cs="宋体"/>
          <w:bCs/>
          <w:color w:val="auto"/>
          <w:sz w:val="21"/>
          <w:szCs w:val="21"/>
          <w:highlight w:val="none"/>
          <w:lang w:val="zh-CN"/>
        </w:rPr>
        <w:t xml:space="preserve">甲方提供给乙方</w:t>
      </w:r>
      <w:r>
        <w:rPr>
          <w:rFonts w:hint="eastAsia" w:ascii="宋体" w:hAnsi="宋体" w:cs="宋体"/>
          <w:bCs/>
          <w:color w:val="auto"/>
          <w:sz w:val="21"/>
          <w:szCs w:val="21"/>
          <w:highlight w:val="none"/>
        </w:rPr>
        <w:t xml:space="preserve">以及协助乙方调查收集</w:t>
      </w:r>
      <w:r>
        <w:rPr>
          <w:rFonts w:hint="eastAsia" w:ascii="宋体" w:hAnsi="宋体" w:cs="宋体"/>
          <w:bCs/>
          <w:color w:val="auto"/>
          <w:sz w:val="21"/>
          <w:szCs w:val="21"/>
          <w:highlight w:val="none"/>
          <w:lang w:val="zh-CN"/>
        </w:rPr>
        <w:t xml:space="preserve">的数据文件、图纸、资料等文件，仅供乙方在本项目中使用，乙方在任何时候都应遵守本保密条款，在未经甲方事先书面允许前，不得将甲方提供的以及乙方参与本项目所知悉的有关信息透露给与完成本项目无关的第三方。</w:t>
      </w:r>
      <w:r/>
    </w:p>
    <w:p>
      <w:pPr>
        <w:ind w:firstLine="420"/>
        <w:spacing w:line="360" w:lineRule="auto"/>
        <w:widowControl w:val="off"/>
        <w:tabs>
          <w:tab w:val="left" w:pos="432" w:leader="none"/>
        </w:tabs>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3.</w:t>
      </w:r>
      <w:r>
        <w:rPr>
          <w:rFonts w:hint="eastAsia" w:ascii="宋体" w:hAnsi="宋体" w:cs="宋体"/>
          <w:bCs/>
          <w:color w:val="auto"/>
          <w:sz w:val="21"/>
          <w:szCs w:val="21"/>
          <w:highlight w:val="none"/>
          <w:lang w:val="zh-CN"/>
        </w:rPr>
        <w:t xml:space="preserve">乙方应加强对项目资料的保管，在工作全面完成后，乙方应将甲方认为必要的有关资料返还给甲方；其余资料，乙方应按甲方要求存档，并应及时满足甲方对方案资料有关调用、审核等要求。</w:t>
      </w:r>
      <w:r/>
    </w:p>
    <w:p>
      <w:pPr>
        <w:ind w:firstLine="420"/>
        <w:spacing w:line="360" w:lineRule="auto"/>
        <w:widowControl w:val="off"/>
        <w:tabs>
          <w:tab w:val="left" w:pos="432" w:leader="none"/>
        </w:tabs>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4.乙方承担保密义务的期限为本合同签订之日起直到甲方公开相关保密信息为止</w:t>
      </w:r>
      <w:r>
        <w:rPr>
          <w:rFonts w:hint="eastAsia" w:ascii="宋体" w:hAnsi="宋体" w:cs="宋体"/>
          <w:bCs/>
          <w:color w:val="auto"/>
          <w:sz w:val="21"/>
          <w:szCs w:val="21"/>
          <w:highlight w:val="none"/>
          <w:lang w:val="zh-CN"/>
        </w:rPr>
        <w:t xml:space="preserve">。</w:t>
      </w:r>
      <w:r>
        <w:rPr>
          <w:rFonts w:hint="eastAsia" w:ascii="宋体" w:hAnsi="宋体" w:cs="宋体"/>
          <w:bCs/>
          <w:color w:val="auto"/>
          <w:sz w:val="21"/>
          <w:szCs w:val="21"/>
          <w:highlight w:val="none"/>
        </w:rPr>
        <w:t xml:space="preserve"> </w:t>
      </w:r>
      <w:r/>
    </w:p>
    <w:p>
      <w:pPr>
        <w:numPr>
          <w:ilvl w:val="0"/>
          <w:numId w:val="3"/>
        </w:numPr>
        <w:jc w:val="both"/>
        <w:spacing w:line="360" w:lineRule="auto"/>
        <w:widowControl w:val="off"/>
        <w:rPr>
          <w:rFonts w:ascii="宋体" w:hAnsi="宋体" w:cs="宋体"/>
          <w:b/>
          <w:color w:val="auto"/>
          <w:sz w:val="21"/>
          <w:szCs w:val="21"/>
          <w:highlight w:val="none"/>
          <w:lang w:val="zh-CN"/>
        </w:rPr>
      </w:pPr>
      <w:r>
        <w:rPr>
          <w:rFonts w:hint="eastAsia" w:ascii="宋体" w:hAnsi="宋体" w:cs="宋体"/>
          <w:b/>
          <w:bCs/>
          <w:color w:val="auto"/>
          <w:sz w:val="21"/>
          <w:szCs w:val="21"/>
          <w:highlight w:val="none"/>
          <w:lang w:val="zh-CN"/>
        </w:rPr>
        <w:t xml:space="preserve">甲乙</w:t>
      </w:r>
      <w:r>
        <w:rPr>
          <w:rFonts w:hint="eastAsia" w:ascii="宋体" w:hAnsi="宋体" w:cs="宋体"/>
          <w:b/>
          <w:color w:val="auto"/>
          <w:sz w:val="21"/>
          <w:szCs w:val="21"/>
          <w:highlight w:val="none"/>
          <w:lang w:val="zh-CN"/>
        </w:rPr>
        <w:t xml:space="preserve">双方的违约责任</w:t>
      </w:r>
      <w:r/>
    </w:p>
    <w:p>
      <w:pPr>
        <w:ind w:firstLine="420"/>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合同一方不履行合同义务或者履行合同义务不符合约定的，应当承担继续履行、采取补救措施或者赔偿损失等违约责任。</w:t>
      </w:r>
      <w:r/>
    </w:p>
    <w:p>
      <w:pPr>
        <w:ind w:firstLine="420"/>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zh-CN"/>
        </w:rPr>
        <w:t xml:space="preserve">甲方违约责任</w:t>
      </w:r>
      <w:r/>
    </w:p>
    <w:p>
      <w:pPr>
        <w:ind w:firstLine="420"/>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1.1 在合同生效后，甲方无故要求终止服务的，应向乙方偿付合同总价款的5%，作为违约金，违约金不足以补偿损失的，乙方有权要求甲方补足。</w:t>
      </w:r>
      <w:r/>
    </w:p>
    <w:p>
      <w:pPr>
        <w:ind w:firstLine="420"/>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1.2 甲方无合理原因逾期付款的应按照逾期付款金额的每天万分之四支付逾期付款违约金，以合同总价款的5%为限。</w:t>
      </w:r>
      <w:r/>
    </w:p>
    <w:p>
      <w:pPr>
        <w:ind w:firstLine="420"/>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1.3 甲方违反合同约定，拒绝接受乙方交付的合格服务的，应当承担乙方由此造成的损失。</w:t>
      </w:r>
      <w:r/>
    </w:p>
    <w:p>
      <w:pPr>
        <w:ind w:firstLine="420"/>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zh-CN"/>
        </w:rPr>
        <w:t xml:space="preserve">乙方违约责任</w:t>
      </w:r>
      <w:r/>
    </w:p>
    <w:p>
      <w:pPr>
        <w:ind w:firstLine="420"/>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2.1乙方不能服务（逾期超过24小时视为不能服务），或服务不合格从而影响甲方按期正常使用的，甲方有权解除合同。</w:t>
      </w:r>
      <w:r/>
    </w:p>
    <w:p>
      <w:pPr>
        <w:ind w:firstLine="420"/>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2.2乙方无故要求终止本合同或因乙方原因导致甲方解除本合同，乙方应向甲方赔偿合同总价款20%的违约金，违约金不足以补偿损失的甲方有权要求乙方补足。</w:t>
      </w:r>
      <w:r/>
    </w:p>
    <w:p>
      <w:pPr>
        <w:ind w:firstLine="420"/>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2.3乙方逾期提供服务的，应在服务前与甲方协商，甲方仍需求的，乙方应立即提供服务并应按照合同总价款的每天万分之四支付逾期服务违约金，同时承担甲方因此遭致的损失费用。</w:t>
      </w:r>
      <w:r/>
    </w:p>
    <w:p>
      <w:pPr>
        <w:ind w:firstLine="420"/>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2.4乙方违反保密义务，致使甲方或第三人产生损失的，乙方应当赔偿该部分损失。</w:t>
      </w:r>
      <w:r/>
    </w:p>
    <w:p>
      <w:pPr>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2.5本合同项下甲方的损失包括但不限于甲方为此支出的诉讼费用、律师费用、保全费用、鉴定费用等。</w:t>
      </w:r>
      <w:r/>
    </w:p>
    <w:p>
      <w:pPr>
        <w:ind w:firstLine="420"/>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zh-CN"/>
        </w:rPr>
        <w:t xml:space="preserve">如果出现政府采购监管部门在处理投诉事项期间，通知甲方暂停采购活动的情形，或者询问或质疑事项可能影响最终成交结果的，导致甲方中止/终止履行合同的情形，均不视为甲方违约。</w:t>
      </w:r>
      <w:r/>
    </w:p>
    <w:p>
      <w:pPr>
        <w:numPr>
          <w:ilvl w:val="0"/>
          <w:numId w:val="3"/>
        </w:numPr>
        <w:jc w:val="both"/>
        <w:spacing w:line="360" w:lineRule="auto"/>
        <w:widowControl w:val="off"/>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合同的解除和转让</w:t>
      </w:r>
      <w:r/>
    </w:p>
    <w:p>
      <w:pPr>
        <w:ind w:firstLine="420"/>
        <w:spacing w:line="360" w:lineRule="auto"/>
        <w:widowControl w:val="off"/>
        <w:rPr>
          <w:rFonts w:ascii="宋体" w:hAnsi="宋体" w:cs="宋体"/>
          <w:bCs/>
          <w:color w:val="auto"/>
          <w:sz w:val="21"/>
          <w:szCs w:val="21"/>
          <w:highlight w:val="none"/>
          <w:lang w:val="zh-CN"/>
        </w:rPr>
      </w:pPr>
      <w:r>
        <w:rPr>
          <w:rFonts w:hint="eastAsia" w:ascii="宋体" w:hAnsi="宋体" w:cs="宋体"/>
          <w:bCs/>
          <w:color w:val="auto"/>
          <w:sz w:val="21"/>
          <w:szCs w:val="21"/>
          <w:highlight w:val="none"/>
          <w:lang w:val="zh-CN"/>
        </w:rPr>
        <w:t xml:space="preserve">（一）合同的解除</w:t>
      </w:r>
      <w:r/>
    </w:p>
    <w:p>
      <w:pPr>
        <w:ind w:firstLine="420"/>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1.甲方和乙方协商一致，可以解除合同。</w:t>
      </w:r>
      <w:r/>
    </w:p>
    <w:p>
      <w:pPr>
        <w:ind w:firstLine="420"/>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2.在合同有效期内一方不得擅自变更或中止/终止此项合同（包括为此项目配备的人员），如未经双方书面同意，擅自变更或中止/终止此项的一方自行承担违约责任。</w:t>
      </w:r>
      <w:r/>
    </w:p>
    <w:p>
      <w:pPr>
        <w:ind w:firstLine="420"/>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3.有下列情形之一，合同一方可以解除合同：</w:t>
      </w:r>
      <w:r/>
    </w:p>
    <w:p>
      <w:pPr>
        <w:ind w:firstLine="420"/>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3.1 因不可抗力致使不能实现合同目的，未受不可抗力影响的一方有权解除合同；</w:t>
      </w:r>
      <w:r/>
    </w:p>
    <w:p>
      <w:pPr>
        <w:ind w:firstLine="420"/>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3.2 因合同一方违约导致合同不能履行，另一方有权解除合同。</w:t>
      </w:r>
      <w:r/>
    </w:p>
    <w:p>
      <w:pPr>
        <w:ind w:firstLine="420"/>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4.有权解除合同的一方，应当在违约事实或不可抗力发生之后三十天内书面通知对方以主张解除合同，合同在书面通知到达对方时解除。</w:t>
      </w:r>
      <w:r/>
    </w:p>
    <w:p>
      <w:pPr>
        <w:ind w:firstLine="420"/>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5.</w:t>
      </w:r>
      <w:r>
        <w:rPr>
          <w:rFonts w:hint="eastAsia" w:ascii="宋体" w:hAnsi="宋体" w:cs="宋体"/>
          <w:color w:val="auto"/>
          <w:sz w:val="21"/>
          <w:szCs w:val="21"/>
          <w:highlight w:val="none"/>
          <w:lang w:val="zh-CN"/>
        </w:rPr>
        <w:t xml:space="preserve">合同一方对合同解除有异议的，应当在另一方解除合同的通知到达之日起30日内提出。</w:t>
      </w:r>
      <w:r/>
    </w:p>
    <w:p>
      <w:pPr>
        <w:ind w:firstLine="420"/>
        <w:spacing w:line="360" w:lineRule="auto"/>
        <w:widowControl w:val="off"/>
        <w:rPr>
          <w:rFonts w:ascii="宋体" w:hAnsi="宋体" w:cs="宋体"/>
          <w:bCs/>
          <w:color w:val="auto"/>
          <w:sz w:val="21"/>
          <w:szCs w:val="21"/>
          <w:highlight w:val="none"/>
          <w:lang w:val="zh-CN"/>
        </w:rPr>
      </w:pPr>
      <w:r>
        <w:rPr>
          <w:rFonts w:hint="eastAsia" w:ascii="宋体" w:hAnsi="宋体" w:cs="宋体"/>
          <w:bCs/>
          <w:color w:val="auto"/>
          <w:sz w:val="21"/>
          <w:szCs w:val="21"/>
          <w:highlight w:val="none"/>
          <w:lang w:val="zh-CN"/>
        </w:rPr>
        <w:t xml:space="preserve">（二）合同的转让</w:t>
      </w:r>
      <w:r/>
    </w:p>
    <w:p>
      <w:pPr>
        <w:ind w:firstLine="420"/>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合同的部分和全部均不得转让，若乙方违约转让的，甲方有权解除本合同。</w:t>
      </w:r>
      <w:r/>
    </w:p>
    <w:p>
      <w:pPr>
        <w:numPr>
          <w:ilvl w:val="0"/>
          <w:numId w:val="3"/>
        </w:numPr>
        <w:jc w:val="both"/>
        <w:spacing w:line="360" w:lineRule="auto"/>
        <w:widowControl w:val="off"/>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合同的生效</w:t>
      </w:r>
      <w:r/>
    </w:p>
    <w:p>
      <w:pPr>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1.本合同经甲乙双方签字盖章后生效。</w:t>
      </w:r>
      <w:r/>
    </w:p>
    <w:p>
      <w:pPr>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2.合同在执行过程中出现的未尽事宜，双方在不违背本合同和相关文件的原则下签订补充合同。</w:t>
      </w:r>
      <w:r/>
    </w:p>
    <w:p>
      <w:pPr>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3.因发生了不可抗力导致乙方不能完全履行合同或合同目的不能实现的，乙方可以书面形式向甲方提出变更、中止或终止采购合同的申请。</w:t>
      </w:r>
      <w:r/>
    </w:p>
    <w:p>
      <w:pPr>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4.对于合同的变更、中止、终止有过错的一方应当依照《中华人民共和国民法典》《中华人民共和国政府采购法》等相关法律法规和采购文件的规定承担违约赔偿责任，双方都有过错的，各自承担相应的责任。</w:t>
      </w:r>
      <w:r/>
    </w:p>
    <w:p>
      <w:pPr>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5.因机构调整或撤销、机构职能改变、国家政策改变等重大变故导致采购任务减少或取消，政府采购合同继续履行将损害国家利益和社会公共利益，甲方有权终止合同。</w:t>
      </w:r>
      <w:r/>
    </w:p>
    <w:p>
      <w:pPr>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6.如甲方和乙方签订补充合同，补充合同的采购金额不得超过原合同采购金额的10%。 </w:t>
      </w:r>
      <w:r/>
    </w:p>
    <w:p>
      <w:pPr>
        <w:numPr>
          <w:ilvl w:val="0"/>
          <w:numId w:val="3"/>
        </w:numPr>
        <w:jc w:val="both"/>
        <w:spacing w:line="360" w:lineRule="auto"/>
        <w:widowControl w:val="off"/>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争议</w:t>
      </w:r>
      <w:r>
        <w:rPr>
          <w:rFonts w:hint="eastAsia" w:ascii="宋体" w:hAnsi="宋体" w:cs="宋体"/>
          <w:b/>
          <w:bCs/>
          <w:color w:val="auto"/>
          <w:sz w:val="21"/>
          <w:szCs w:val="21"/>
          <w:highlight w:val="none"/>
        </w:rPr>
        <w:t xml:space="preserve">的</w:t>
      </w:r>
      <w:r>
        <w:rPr>
          <w:rFonts w:hint="eastAsia" w:ascii="宋体" w:hAnsi="宋体" w:cs="宋体"/>
          <w:b/>
          <w:bCs/>
          <w:color w:val="auto"/>
          <w:sz w:val="21"/>
          <w:szCs w:val="21"/>
          <w:highlight w:val="none"/>
          <w:lang w:val="zh-CN"/>
        </w:rPr>
        <w:t xml:space="preserve">解决</w:t>
      </w:r>
      <w:r/>
    </w:p>
    <w:p>
      <w:pPr>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1.因本合同引起的或与本合同有关的任何争议，应本着友好合作的态度协商解决；如协商不成，任何一方可以向甲方所在地有管辖权的人民法院起诉，通过诉讼方式解决。</w:t>
      </w:r>
      <w:r/>
    </w:p>
    <w:p>
      <w:pPr>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2.诉讼期间，除争议内容以外，双方均应继续履行合同约定的其他内容。</w:t>
      </w:r>
      <w:r/>
    </w:p>
    <w:p>
      <w:pPr>
        <w:numPr>
          <w:ilvl w:val="0"/>
          <w:numId w:val="3"/>
        </w:numPr>
        <w:jc w:val="both"/>
        <w:spacing w:line="360" w:lineRule="auto"/>
        <w:widowControl w:val="off"/>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附则</w:t>
      </w:r>
      <w:r/>
    </w:p>
    <w:p>
      <w:pPr>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1.合同份数</w:t>
      </w:r>
      <w:r/>
    </w:p>
    <w:p>
      <w:pPr>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本合同一式伍份，甲乙双方各执贰份，采购代理机构壹份。</w:t>
      </w:r>
      <w:r/>
    </w:p>
    <w:p>
      <w:pPr>
        <w:ind w:firstLine="420"/>
        <w:spacing w:line="360" w:lineRule="auto"/>
        <w:widowControl w:val="off"/>
        <w:tabs>
          <w:tab w:val="left" w:pos="502"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2.未尽事宜</w:t>
      </w:r>
      <w:r/>
    </w:p>
    <w:p>
      <w:pPr>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本合同未尽事宜应按《中华人民共和国民法典》、《中华人民共和国政府采购法》以及其他相关法律、法规之规定解释。</w:t>
      </w:r>
      <w:r/>
    </w:p>
    <w:p>
      <w:pPr>
        <w:spacing w:line="360" w:lineRule="exact"/>
        <w:widowControl w:val="off"/>
        <w:tabs>
          <w:tab w:val="left" w:pos="0" w:leader="none"/>
        </w:tabs>
        <w:rPr>
          <w:rFonts w:ascii="宋体" w:hAnsi="宋体"/>
          <w:color w:val="auto"/>
          <w:sz w:val="21"/>
          <w:szCs w:val="21"/>
          <w:highlight w:val="none"/>
        </w:rPr>
      </w:pPr>
      <w:r>
        <w:rPr>
          <w:rFonts w:hint="eastAsia" w:ascii="宋体" w:hAnsi="宋体"/>
          <w:color w:val="auto"/>
          <w:sz w:val="21"/>
          <w:szCs w:val="21"/>
          <w:highlight w:val="none"/>
        </w:rPr>
        <w:t xml:space="preserve">合同各方盖章：</w:t>
      </w:r>
      <w:r/>
    </w:p>
    <w:p>
      <w:pPr>
        <w:ind w:left="6510" w:hanging="6510"/>
        <w:spacing w:line="360" w:lineRule="auto"/>
        <w:widowControl w:val="off"/>
        <w:tabs>
          <w:tab w:val="left" w:pos="0" w:leader="none"/>
        </w:tabs>
        <w:rPr>
          <w:rFonts w:ascii="宋体" w:hAnsi="宋体" w:cs="宋体"/>
          <w:b/>
          <w:bCs/>
          <w:color w:val="auto"/>
          <w:sz w:val="21"/>
          <w:szCs w:val="21"/>
          <w:highlight w:val="none"/>
        </w:rPr>
      </w:pPr>
      <w:r>
        <w:rPr>
          <w:rFonts w:hint="eastAsia" w:ascii="宋体" w:hAnsi="宋体"/>
          <w:color w:val="auto"/>
          <w:sz w:val="21"/>
          <w:szCs w:val="21"/>
          <w:highlight w:val="none"/>
        </w:rPr>
        <w:t xml:space="preserve">甲方：                                         </w:t>
      </w:r>
      <w:r>
        <w:rPr>
          <w:rFonts w:hint="eastAsia" w:ascii="宋体" w:hAnsi="宋体" w:cs="宋体"/>
          <w:b/>
          <w:bCs/>
          <w:color w:val="auto"/>
          <w:sz w:val="21"/>
          <w:szCs w:val="21"/>
          <w:highlight w:val="none"/>
        </w:rPr>
        <w:t xml:space="preserve">      </w:t>
      </w:r>
      <w:r>
        <w:rPr>
          <w:rFonts w:hint="eastAsia" w:ascii="宋体" w:hAnsi="宋体"/>
          <w:color w:val="auto"/>
          <w:sz w:val="21"/>
          <w:szCs w:val="21"/>
          <w:highlight w:val="none"/>
        </w:rPr>
        <w:t xml:space="preserve">乙方：</w:t>
      </w:r>
      <w:r/>
    </w:p>
    <w:p>
      <w:pPr>
        <w:ind w:left="6510" w:hanging="6510"/>
        <w:spacing w:line="360" w:lineRule="auto"/>
        <w:widowControl w:val="off"/>
        <w:tabs>
          <w:tab w:val="left" w:pos="0" w:leader="none"/>
        </w:tabs>
        <w:rPr>
          <w:rFonts w:ascii="宋体" w:hAnsi="宋体"/>
          <w:color w:val="auto"/>
          <w:sz w:val="21"/>
          <w:szCs w:val="21"/>
          <w:highlight w:val="none"/>
        </w:rPr>
      </w:pPr>
      <w:r>
        <w:rPr>
          <w:rFonts w:hint="eastAsia" w:ascii="宋体" w:hAnsi="宋体"/>
          <w:color w:val="auto"/>
          <w:sz w:val="21"/>
          <w:szCs w:val="21"/>
          <w:highlight w:val="none"/>
          <w:lang w:val="zh-CN"/>
        </w:rPr>
        <w:t xml:space="preserve">代表人（授权代表）： </w:t>
      </w:r>
      <w:r>
        <w:rPr>
          <w:rFonts w:hint="eastAsia" w:ascii="宋体" w:hAnsi="宋体"/>
          <w:color w:val="auto"/>
          <w:highlight w:val="none"/>
        </w:rPr>
        <w:t xml:space="preserve">                            </w:t>
      </w:r>
      <w:r>
        <w:rPr>
          <w:rFonts w:hint="eastAsia" w:ascii="宋体" w:hAnsi="宋体"/>
          <w:color w:val="auto"/>
          <w:sz w:val="21"/>
          <w:szCs w:val="21"/>
          <w:highlight w:val="none"/>
          <w:lang w:val="zh-CN"/>
        </w:rPr>
        <w:t xml:space="preserve">代表人（授权代表）：  </w:t>
      </w:r>
      <w:r>
        <w:rPr>
          <w:rFonts w:hint="eastAsia" w:ascii="宋体" w:hAnsi="宋体"/>
          <w:color w:val="auto"/>
          <w:sz w:val="21"/>
          <w:szCs w:val="21"/>
          <w:highlight w:val="none"/>
        </w:rPr>
        <w:t xml:space="preserve">        </w:t>
      </w:r>
      <w:r/>
    </w:p>
    <w:p>
      <w:pPr>
        <w:spacing w:line="360" w:lineRule="auto"/>
        <w:widowControl w:val="off"/>
        <w:rPr>
          <w:color w:val="auto"/>
          <w:szCs w:val="20"/>
          <w:highlight w:val="none"/>
        </w:rPr>
      </w:pPr>
      <w:r>
        <w:rPr>
          <w:rFonts w:hint="eastAsia" w:ascii="宋体" w:hAnsi="宋体"/>
          <w:color w:val="auto"/>
          <w:sz w:val="21"/>
          <w:szCs w:val="21"/>
          <w:highlight w:val="none"/>
          <w:lang w:val="zh-CN"/>
        </w:rPr>
        <w:t xml:space="preserve">(公章或合同专用章)                             </w:t>
      </w:r>
      <w:r>
        <w:rPr>
          <w:rFonts w:hint="eastAsia" w:ascii="宋体" w:hAnsi="宋体"/>
          <w:color w:val="auto"/>
          <w:sz w:val="21"/>
          <w:szCs w:val="21"/>
          <w:highlight w:val="none"/>
        </w:rPr>
        <w:t xml:space="preserve">      </w:t>
      </w:r>
      <w:r>
        <w:rPr>
          <w:rFonts w:hint="eastAsia" w:ascii="宋体" w:hAnsi="宋体"/>
          <w:color w:val="auto"/>
          <w:sz w:val="21"/>
          <w:szCs w:val="21"/>
          <w:highlight w:val="none"/>
          <w:lang w:val="zh-CN"/>
        </w:rPr>
        <w:t xml:space="preserve">(公章或合同专用章)  </w:t>
      </w:r>
      <w:r/>
    </w:p>
    <w:p>
      <w:pPr>
        <w:spacing w:line="360" w:lineRule="auto"/>
        <w:widowControl w:val="off"/>
        <w:tabs>
          <w:tab w:val="left" w:pos="0" w:leader="none"/>
        </w:tabs>
        <w:rPr>
          <w:rFonts w:ascii="宋体" w:hAnsi="宋体"/>
          <w:color w:val="auto"/>
          <w:sz w:val="21"/>
          <w:szCs w:val="21"/>
          <w:highlight w:val="none"/>
        </w:rPr>
      </w:pPr>
      <w:r>
        <w:rPr>
          <w:rFonts w:hint="eastAsia" w:ascii="宋体" w:hAnsi="宋体"/>
          <w:color w:val="auto"/>
          <w:sz w:val="21"/>
          <w:szCs w:val="21"/>
          <w:highlight w:val="none"/>
        </w:rPr>
        <w:tab/>
      </w:r>
      <w:r>
        <w:rPr>
          <w:rFonts w:hint="eastAsia" w:ascii="宋体" w:hAnsi="宋体"/>
          <w:color w:val="auto"/>
          <w:sz w:val="21"/>
          <w:szCs w:val="21"/>
          <w:highlight w:val="none"/>
        </w:rPr>
        <w:t xml:space="preserve">      年   月   日                              年   月   日</w:t>
      </w:r>
      <w:r/>
    </w:p>
    <w:p>
      <w:pPr>
        <w:jc w:val="both"/>
        <w:spacing w:line="360" w:lineRule="auto"/>
        <w:widowControl w:val="off"/>
        <w:rPr>
          <w:rFonts w:ascii="宋体" w:hAnsi="宋体" w:cs="宋体"/>
          <w:color w:val="auto"/>
          <w:sz w:val="21"/>
          <w:szCs w:val="21"/>
          <w:highlight w:val="none"/>
        </w:rPr>
      </w:pPr>
      <w:r>
        <w:rPr>
          <w:rFonts w:hint="eastAsia" w:ascii="宋体" w:hAnsi="宋体" w:cs="宋体"/>
          <w:b/>
          <w:bCs/>
          <w:color w:val="auto"/>
          <w:sz w:val="21"/>
          <w:szCs w:val="21"/>
          <w:highlight w:val="none"/>
        </w:rPr>
        <w:br w:type="page" w:clear="all"/>
      </w:r>
      <w:r>
        <w:rPr>
          <w:rFonts w:hint="eastAsia" w:ascii="宋体" w:hAnsi="宋体" w:cs="宋体"/>
          <w:b/>
          <w:bCs/>
          <w:color w:val="auto"/>
          <w:sz w:val="21"/>
          <w:szCs w:val="21"/>
          <w:highlight w:val="none"/>
        </w:rPr>
        <w:t xml:space="preserve">合同附件一：考核标准</w:t>
      </w:r>
      <w:r/>
    </w:p>
    <w:tbl>
      <w:tblPr>
        <w:tblStyle w:val="74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37"/>
        <w:gridCol w:w="5262"/>
        <w:gridCol w:w="849"/>
        <w:gridCol w:w="1056"/>
      </w:tblGrid>
      <w:tr>
        <w:trPr/>
        <w:tc>
          <w:tcPr>
            <w:tcW w:w="1237" w:type="dxa"/>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考核内容</w:t>
            </w:r>
            <w:r/>
          </w:p>
        </w:tc>
        <w:tc>
          <w:tcPr>
            <w:tcW w:w="5262" w:type="dxa"/>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违约事项及扣分方法</w:t>
            </w:r>
            <w:r/>
          </w:p>
        </w:tc>
        <w:tc>
          <w:tcPr>
            <w:tcW w:w="849" w:type="dxa"/>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分值</w:t>
            </w:r>
            <w:r/>
          </w:p>
        </w:tc>
        <w:tc>
          <w:tcPr>
            <w:tcW w:w="1056" w:type="dxa"/>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考核得分</w:t>
            </w:r>
            <w:r/>
          </w:p>
        </w:tc>
      </w:tr>
      <w:tr>
        <w:trPr/>
        <w:tc>
          <w:tcPr>
            <w:tcW w:w="1237" w:type="dxa"/>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安全隐患排查与合同履行</w:t>
            </w:r>
            <w:r/>
          </w:p>
        </w:tc>
        <w:tc>
          <w:tcPr>
            <w:tcW w:w="5262" w:type="dxa"/>
            <w:textDirection w:val="lrTb"/>
            <w:noWrap w:val="false"/>
          </w:tcPr>
          <w:p>
            <w:pPr>
              <w:jc w:val="both"/>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1、既有建筑安全隐患排查中乙方单位未按照甲方要求实行安全隐患排查的各项工作，每发现一次扣2分； </w:t>
            </w:r>
            <w:r/>
          </w:p>
          <w:p>
            <w:pPr>
              <w:jc w:val="both"/>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2、乙方人员隐瞒既有建筑安全问题或发生安全问题未按程序处理，每发现一次扣3分；</w:t>
            </w:r>
            <w:r/>
          </w:p>
          <w:p>
            <w:pPr>
              <w:jc w:val="both"/>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3、乙方人员未及时发现安全隐患而导致安全事件发生(扣</w:t>
            </w:r>
            <w:r>
              <w:rPr>
                <w:rFonts w:ascii="宋体" w:hAnsi="宋体" w:cs="宋体"/>
                <w:color w:val="auto"/>
                <w:sz w:val="21"/>
                <w:szCs w:val="21"/>
                <w:highlight w:val="none"/>
              </w:rPr>
              <w:t xml:space="preserve">5</w:t>
            </w:r>
            <w:r>
              <w:rPr>
                <w:rFonts w:hint="eastAsia" w:ascii="宋体" w:hAnsi="宋体" w:cs="宋体"/>
                <w:color w:val="auto"/>
                <w:sz w:val="21"/>
                <w:szCs w:val="21"/>
                <w:highlight w:val="none"/>
              </w:rPr>
              <w:t xml:space="preserve">分)；</w:t>
            </w:r>
            <w:r/>
          </w:p>
          <w:p>
            <w:pPr>
              <w:jc w:val="both"/>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4、排查数量未达到甲方要求的，每次扣2分；</w:t>
            </w:r>
            <w:r/>
          </w:p>
          <w:p>
            <w:pPr>
              <w:jc w:val="both"/>
              <w:widowControl w:val="off"/>
              <w:rPr>
                <w:rFonts w:ascii="宋体" w:hAnsi="宋体" w:cs="宋体"/>
                <w:color w:val="auto"/>
                <w:sz w:val="21"/>
                <w:szCs w:val="21"/>
                <w:highlight w:val="none"/>
              </w:rPr>
            </w:pPr>
            <w:r>
              <w:rPr>
                <w:rFonts w:hint="eastAsia" w:ascii="宋体" w:hAnsi="Courier New"/>
                <w:color w:val="auto"/>
                <w:sz w:val="21"/>
                <w:szCs w:val="21"/>
                <w:highlight w:val="none"/>
              </w:rPr>
              <w:t xml:space="preserve">5、乙方未按照采购文件要求适时开展既有建筑安全相关宣传工作的，</w:t>
            </w:r>
            <w:r>
              <w:rPr>
                <w:rFonts w:hint="eastAsia" w:ascii="宋体" w:hAnsi="宋体" w:cs="宋体"/>
                <w:color w:val="auto"/>
                <w:sz w:val="21"/>
                <w:szCs w:val="21"/>
                <w:highlight w:val="none"/>
              </w:rPr>
              <w:t xml:space="preserve">每发现一次扣3分；</w:t>
            </w:r>
            <w:r/>
          </w:p>
          <w:p>
            <w:pPr>
              <w:jc w:val="both"/>
              <w:widowControl w:val="off"/>
              <w:rPr>
                <w:rFonts w:ascii="宋体" w:hAnsi="宋体" w:cs="宋体"/>
                <w:color w:val="auto"/>
                <w:sz w:val="21"/>
                <w:szCs w:val="21"/>
                <w:highlight w:val="none"/>
              </w:rPr>
            </w:pPr>
            <w:r>
              <w:rPr>
                <w:rFonts w:hint="eastAsia" w:ascii="宋体" w:hAnsi="Courier New"/>
                <w:color w:val="auto"/>
                <w:sz w:val="21"/>
                <w:szCs w:val="21"/>
                <w:highlight w:val="none"/>
              </w:rPr>
              <w:t xml:space="preserve">6、乙方未按照采购文件要求积极配合上级部门开展其他既有建筑安全管理工作，</w:t>
            </w:r>
            <w:r>
              <w:rPr>
                <w:rFonts w:hint="eastAsia" w:ascii="宋体" w:hAnsi="宋体" w:cs="宋体"/>
                <w:color w:val="auto"/>
                <w:sz w:val="21"/>
                <w:szCs w:val="21"/>
                <w:highlight w:val="none"/>
              </w:rPr>
              <w:t xml:space="preserve">每发现一次扣3分；</w:t>
            </w:r>
            <w:r/>
          </w:p>
          <w:p>
            <w:pPr>
              <w:jc w:val="both"/>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以上情况出现第一次予以警告，出现第二次经甲方警告后仍不整改的甲方有权解除合同，并按照合同约定追究乙方相应违约责任。</w:t>
            </w:r>
            <w:r/>
          </w:p>
        </w:tc>
        <w:tc>
          <w:tcPr>
            <w:tcW w:w="849" w:type="dxa"/>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35</w:t>
            </w:r>
            <w:r/>
          </w:p>
        </w:tc>
        <w:tc>
          <w:tcPr>
            <w:tcW w:w="1056" w:type="dxa"/>
            <w:textDirection w:val="lrTb"/>
            <w:noWrap w:val="false"/>
          </w:tcPr>
          <w:p>
            <w:pPr>
              <w:jc w:val="both"/>
              <w:widowControl w:val="off"/>
              <w:rPr>
                <w:rFonts w:ascii="宋体" w:hAnsi="宋体" w:cs="宋体"/>
                <w:color w:val="auto"/>
                <w:sz w:val="21"/>
                <w:szCs w:val="21"/>
                <w:highlight w:val="none"/>
              </w:rPr>
            </w:pPr>
            <w:r>
              <w:rPr>
                <w:rFonts w:ascii="宋体" w:hAnsi="宋体" w:cs="宋体"/>
                <w:color w:val="auto"/>
                <w:sz w:val="21"/>
                <w:szCs w:val="21"/>
                <w:highlight w:val="none"/>
              </w:rPr>
            </w:r>
            <w:r/>
          </w:p>
        </w:tc>
      </w:tr>
      <w:tr>
        <w:trPr/>
        <w:tc>
          <w:tcPr>
            <w:tcW w:w="1237" w:type="dxa"/>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现场管理</w:t>
            </w:r>
            <w:r/>
          </w:p>
        </w:tc>
        <w:tc>
          <w:tcPr>
            <w:tcW w:w="5262" w:type="dxa"/>
            <w:textDirection w:val="lrTb"/>
            <w:noWrap w:val="false"/>
          </w:tcPr>
          <w:p>
            <w:pPr>
              <w:jc w:val="both"/>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1、建立安全文明管理台帐，台帐体系不健全扣10分；2、现场存在《既有建筑隐患排查导则》中认定的建筑安全隐患，乙方人员未记录，每发现一次扣3分；</w:t>
            </w:r>
            <w:r/>
          </w:p>
          <w:p>
            <w:pPr>
              <w:jc w:val="both"/>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3、现场不存在《既有建筑隐患排查导则》里认定的安全隐患，但存在排查表中需记录的其他安全状况，乙方人员缺乏相应的安全记录，每发现一次扣2分。</w:t>
            </w:r>
            <w:r/>
          </w:p>
        </w:tc>
        <w:tc>
          <w:tcPr>
            <w:tcW w:w="849" w:type="dxa"/>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20</w:t>
            </w:r>
            <w:r/>
          </w:p>
        </w:tc>
        <w:tc>
          <w:tcPr>
            <w:tcW w:w="1056" w:type="dxa"/>
            <w:textDirection w:val="lrTb"/>
            <w:noWrap w:val="false"/>
          </w:tcPr>
          <w:p>
            <w:pPr>
              <w:jc w:val="both"/>
              <w:widowControl w:val="off"/>
              <w:rPr>
                <w:rFonts w:ascii="宋体" w:hAnsi="宋体" w:cs="宋体"/>
                <w:color w:val="auto"/>
                <w:sz w:val="21"/>
                <w:szCs w:val="21"/>
                <w:highlight w:val="none"/>
              </w:rPr>
            </w:pPr>
            <w:r>
              <w:rPr>
                <w:rFonts w:ascii="宋体" w:hAnsi="宋体" w:cs="宋体"/>
                <w:color w:val="auto"/>
                <w:sz w:val="21"/>
                <w:szCs w:val="21"/>
                <w:highlight w:val="none"/>
              </w:rPr>
            </w:r>
            <w:r/>
          </w:p>
        </w:tc>
      </w:tr>
      <w:tr>
        <w:trPr/>
        <w:tc>
          <w:tcPr>
            <w:tcW w:w="1237" w:type="dxa"/>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目标管理</w:t>
            </w:r>
            <w:r/>
          </w:p>
        </w:tc>
        <w:tc>
          <w:tcPr>
            <w:tcW w:w="5262" w:type="dxa"/>
            <w:textDirection w:val="lrTb"/>
            <w:noWrap w:val="false"/>
          </w:tcPr>
          <w:p>
            <w:pPr>
              <w:jc w:val="both"/>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1、因服务不力，出现1次安全事故，扣5分；</w:t>
            </w:r>
            <w:r/>
          </w:p>
          <w:p>
            <w:pPr>
              <w:jc w:val="both"/>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2、因服务不力，出现2次安全事故，扣15分；</w:t>
            </w:r>
            <w:r/>
          </w:p>
          <w:p>
            <w:pPr>
              <w:jc w:val="both"/>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3、因服务不力，出现3次安全事故，甲方有权解除合同，并按照合同约定追究乙方相应违约责任。</w:t>
            </w:r>
            <w:r/>
          </w:p>
        </w:tc>
        <w:tc>
          <w:tcPr>
            <w:tcW w:w="849" w:type="dxa"/>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15</w:t>
            </w:r>
            <w:r/>
          </w:p>
        </w:tc>
        <w:tc>
          <w:tcPr>
            <w:tcW w:w="1056" w:type="dxa"/>
            <w:textDirection w:val="lrTb"/>
            <w:noWrap w:val="false"/>
          </w:tcPr>
          <w:p>
            <w:pPr>
              <w:jc w:val="both"/>
              <w:widowControl w:val="off"/>
              <w:rPr>
                <w:rFonts w:ascii="宋体" w:hAnsi="宋体" w:cs="宋体"/>
                <w:color w:val="auto"/>
                <w:sz w:val="21"/>
                <w:szCs w:val="21"/>
                <w:highlight w:val="none"/>
              </w:rPr>
            </w:pPr>
            <w:r>
              <w:rPr>
                <w:rFonts w:ascii="宋体" w:hAnsi="宋体" w:cs="宋体"/>
                <w:color w:val="auto"/>
                <w:sz w:val="21"/>
                <w:szCs w:val="21"/>
                <w:highlight w:val="none"/>
              </w:rPr>
            </w:r>
            <w:r/>
          </w:p>
        </w:tc>
      </w:tr>
      <w:tr>
        <w:trPr/>
        <w:tc>
          <w:tcPr>
            <w:tcW w:w="1237" w:type="dxa"/>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人员管理</w:t>
            </w:r>
            <w:r/>
          </w:p>
        </w:tc>
        <w:tc>
          <w:tcPr>
            <w:tcW w:w="5262" w:type="dxa"/>
            <w:textDirection w:val="lrTb"/>
            <w:noWrap w:val="false"/>
          </w:tcPr>
          <w:p>
            <w:pPr>
              <w:numPr>
                <w:ilvl w:val="0"/>
                <w:numId w:val="4"/>
              </w:numPr>
              <w:jc w:val="both"/>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未经甲方同意擅自变换主要项目人员(视情况每一人次扣</w:t>
            </w:r>
            <w:r>
              <w:rPr>
                <w:rFonts w:ascii="宋体" w:hAnsi="宋体" w:cs="宋体"/>
                <w:color w:val="auto"/>
                <w:sz w:val="21"/>
                <w:szCs w:val="21"/>
                <w:highlight w:val="none"/>
              </w:rPr>
              <w:t xml:space="preserve">5</w:t>
            </w:r>
            <w:r>
              <w:rPr>
                <w:rFonts w:hint="eastAsia" w:ascii="宋体" w:hAnsi="宋体" w:cs="宋体"/>
                <w:color w:val="auto"/>
                <w:sz w:val="21"/>
                <w:szCs w:val="21"/>
                <w:highlight w:val="none"/>
              </w:rPr>
              <w:t xml:space="preserve">分)；</w:t>
            </w:r>
            <w:r/>
          </w:p>
          <w:p>
            <w:pPr>
              <w:jc w:val="both"/>
              <w:widowControl w:val="off"/>
              <w:rPr>
                <w:rFonts w:ascii="宋体" w:hAnsi="宋体" w:cs="宋体"/>
                <w:color w:val="auto"/>
                <w:sz w:val="21"/>
                <w:szCs w:val="21"/>
                <w:highlight w:val="none"/>
              </w:rPr>
            </w:pP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、项目人员不能积极主动工作、职责不明确、不履行岗位职责、技能不合格(扣2分/人)。</w:t>
            </w:r>
            <w:r/>
          </w:p>
        </w:tc>
        <w:tc>
          <w:tcPr>
            <w:tcW w:w="849" w:type="dxa"/>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15</w:t>
            </w:r>
            <w:r/>
          </w:p>
        </w:tc>
        <w:tc>
          <w:tcPr>
            <w:tcW w:w="1056" w:type="dxa"/>
            <w:textDirection w:val="lrTb"/>
            <w:noWrap w:val="false"/>
          </w:tcPr>
          <w:p>
            <w:pPr>
              <w:jc w:val="both"/>
              <w:widowControl w:val="off"/>
              <w:rPr>
                <w:rFonts w:ascii="宋体" w:hAnsi="宋体" w:cs="宋体"/>
                <w:color w:val="auto"/>
                <w:sz w:val="21"/>
                <w:szCs w:val="21"/>
                <w:highlight w:val="none"/>
              </w:rPr>
            </w:pPr>
            <w:r>
              <w:rPr>
                <w:rFonts w:ascii="宋体" w:hAnsi="宋体" w:cs="宋体"/>
                <w:color w:val="auto"/>
                <w:sz w:val="21"/>
                <w:szCs w:val="21"/>
                <w:highlight w:val="none"/>
              </w:rPr>
            </w:r>
            <w:r/>
          </w:p>
        </w:tc>
      </w:tr>
      <w:tr>
        <w:trPr/>
        <w:tc>
          <w:tcPr>
            <w:tcW w:w="1237" w:type="dxa"/>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设备管理</w:t>
            </w:r>
            <w:r/>
          </w:p>
        </w:tc>
        <w:tc>
          <w:tcPr>
            <w:tcW w:w="5262" w:type="dxa"/>
            <w:textDirection w:val="lrTb"/>
            <w:noWrap w:val="false"/>
          </w:tcPr>
          <w:p>
            <w:pPr>
              <w:jc w:val="both"/>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1、项目设施(包括测量和检测等仪器设备)不完善(扣3分/次)；</w:t>
            </w:r>
            <w:r/>
          </w:p>
          <w:p>
            <w:pPr>
              <w:jc w:val="both"/>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2、因设备保管、使用不当导致影响工作(扣2分/次)。</w:t>
            </w:r>
            <w:r/>
          </w:p>
        </w:tc>
        <w:tc>
          <w:tcPr>
            <w:tcW w:w="849" w:type="dxa"/>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15</w:t>
            </w:r>
            <w:r/>
          </w:p>
        </w:tc>
        <w:tc>
          <w:tcPr>
            <w:tcW w:w="1056" w:type="dxa"/>
            <w:textDirection w:val="lrTb"/>
            <w:noWrap w:val="false"/>
          </w:tcPr>
          <w:p>
            <w:pPr>
              <w:jc w:val="both"/>
              <w:widowControl w:val="off"/>
              <w:rPr>
                <w:rFonts w:ascii="宋体" w:hAnsi="宋体" w:cs="宋体"/>
                <w:color w:val="auto"/>
                <w:sz w:val="21"/>
                <w:szCs w:val="21"/>
                <w:highlight w:val="none"/>
              </w:rPr>
            </w:pPr>
            <w:r>
              <w:rPr>
                <w:rFonts w:ascii="宋体" w:hAnsi="宋体" w:cs="宋体"/>
                <w:color w:val="auto"/>
                <w:sz w:val="21"/>
                <w:szCs w:val="21"/>
                <w:highlight w:val="none"/>
              </w:rPr>
            </w:r>
            <w:r/>
          </w:p>
        </w:tc>
      </w:tr>
      <w:tr>
        <w:trPr>
          <w:trHeight w:val="581"/>
        </w:trPr>
        <w:tc>
          <w:tcPr>
            <w:gridSpan w:val="3"/>
            <w:tcW w:w="7348" w:type="dxa"/>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考核总得分</w:t>
            </w:r>
            <w:r/>
          </w:p>
        </w:tc>
        <w:tc>
          <w:tcPr>
            <w:tcW w:w="1056" w:type="dxa"/>
            <w:textDirection w:val="lrTb"/>
            <w:noWrap w:val="false"/>
          </w:tcPr>
          <w:p>
            <w:pPr>
              <w:jc w:val="both"/>
              <w:widowControl w:val="off"/>
              <w:rPr>
                <w:rFonts w:ascii="宋体" w:hAnsi="宋体" w:cs="宋体"/>
                <w:color w:val="auto"/>
                <w:sz w:val="21"/>
                <w:szCs w:val="21"/>
                <w:highlight w:val="none"/>
              </w:rPr>
            </w:pPr>
            <w:r>
              <w:rPr>
                <w:rFonts w:ascii="宋体" w:hAnsi="宋体" w:cs="宋体"/>
                <w:color w:val="auto"/>
                <w:sz w:val="21"/>
                <w:szCs w:val="21"/>
                <w:highlight w:val="none"/>
              </w:rPr>
            </w:r>
            <w:r/>
          </w:p>
        </w:tc>
      </w:tr>
    </w:tbl>
    <w:p>
      <w:pPr>
        <w:jc w:val="center"/>
        <w:widowControl w:val="off"/>
        <w:rPr>
          <w:rFonts w:ascii="宋体" w:hAnsi="宋体" w:cs="宋体"/>
          <w:color w:val="auto"/>
          <w:sz w:val="21"/>
          <w:szCs w:val="21"/>
          <w:highlight w:val="none"/>
        </w:rPr>
      </w:pPr>
      <w:r>
        <w:rPr>
          <w:rFonts w:ascii="宋体" w:hAnsi="宋体" w:cs="宋体"/>
          <w:color w:val="auto"/>
          <w:sz w:val="21"/>
          <w:szCs w:val="21"/>
          <w:highlight w:val="none"/>
        </w:rPr>
      </w:r>
      <w:r/>
    </w:p>
    <w:p>
      <w:pPr>
        <w:jc w:val="both"/>
        <w:widowControl w:val="off"/>
        <w:rPr>
          <w:rFonts w:ascii="等线" w:hAnsi="等线" w:eastAsia="等线"/>
          <w:color w:val="auto"/>
          <w:sz w:val="21"/>
          <w:szCs w:val="22"/>
          <w:highlight w:val="none"/>
        </w:rPr>
      </w:pPr>
      <w:r>
        <w:rPr>
          <w:rFonts w:ascii="等线" w:hAnsi="等线" w:eastAsia="等线"/>
          <w:color w:val="auto"/>
          <w:sz w:val="21"/>
          <w:szCs w:val="22"/>
          <w:highlight w:val="none"/>
        </w:rPr>
      </w:r>
      <w:r/>
    </w:p>
    <w:p>
      <w:pPr>
        <w:spacing w:line="400" w:lineRule="exact"/>
        <w:widowControl w:val="off"/>
        <w:tabs>
          <w:tab w:val="left" w:pos="0" w:leader="none"/>
        </w:tabs>
        <w:rPr>
          <w:rFonts w:ascii="宋体" w:hAnsi="宋体"/>
          <w:color w:val="auto"/>
          <w:sz w:val="21"/>
          <w:szCs w:val="21"/>
          <w:highlight w:val="none"/>
        </w:rPr>
      </w:pPr>
      <w:r>
        <w:rPr>
          <w:rFonts w:ascii="宋体" w:hAnsi="宋体"/>
          <w:color w:val="auto"/>
          <w:sz w:val="21"/>
          <w:szCs w:val="21"/>
          <w:highlight w:val="none"/>
        </w:rPr>
      </w:r>
      <w:r/>
    </w:p>
    <w:p>
      <w:pPr>
        <w:jc w:val="both"/>
        <w:spacing w:before="75" w:after="75"/>
        <w:widowControl w:val="off"/>
        <w:rPr>
          <w:rFonts w:ascii="宋体" w:hAnsi="宋体" w:cs="宋体"/>
          <w:color w:val="auto"/>
          <w:sz w:val="21"/>
          <w:highlight w:val="none"/>
        </w:rPr>
        <w:pBdr>
          <w:top w:val="none" w:color="000000" w:sz="0" w:space="0"/>
          <w:left w:val="none" w:color="000000" w:sz="0" w:space="0"/>
          <w:bottom w:val="none" w:color="000000" w:sz="0" w:space="0"/>
          <w:right w:val="none" w:color="000000" w:sz="0" w:space="0"/>
        </w:pBdr>
      </w:pPr>
      <w:r>
        <w:rPr>
          <w:rStyle w:val="933"/>
          <w:rFonts w:hint="eastAsia"/>
          <w:bCs/>
          <w:color w:val="auto"/>
          <w:sz w:val="32"/>
          <w:szCs w:val="32"/>
          <w:highlight w:val="none"/>
        </w:rPr>
        <w:br w:type="page" w:clear="all"/>
      </w:r>
      <w:r/>
    </w:p>
    <w:p>
      <w:pPr>
        <w:spacing w:line="400" w:lineRule="atLeast"/>
        <w:widowControl w:val="off"/>
        <w:rPr>
          <w:rFonts w:ascii="宋体" w:hAnsi="宋体" w:cs="宋体"/>
          <w:b/>
          <w:bCs/>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1"/>
          <w:highlight w:val="none"/>
        </w:rPr>
        <w:t xml:space="preserve">合同附件二</w:t>
      </w:r>
      <w:r/>
    </w:p>
    <w:p>
      <w:pPr>
        <w:jc w:val="center"/>
        <w:spacing w:line="40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1"/>
          <w:highlight w:val="none"/>
        </w:rPr>
        <w:t xml:space="preserve">苏州工业</w:t>
      </w:r>
      <w:bookmarkStart w:id="78" w:name="OLE_LINK1"/>
      <w:r>
        <w:rPr>
          <w:rFonts w:ascii="宋体" w:hAnsi="宋体" w:cs="宋体"/>
          <w:b/>
          <w:color w:val="auto"/>
          <w:sz w:val="21"/>
          <w:highlight w:val="none"/>
        </w:rPr>
        <w:t xml:space="preserve">园区</w:t>
      </w:r>
      <w:bookmarkEnd w:id="78"/>
      <w:r>
        <w:rPr>
          <w:rFonts w:ascii="宋体" w:hAnsi="宋体" w:cs="宋体"/>
          <w:b/>
          <w:color w:val="auto"/>
          <w:sz w:val="21"/>
          <w:highlight w:val="none"/>
        </w:rPr>
        <w:t xml:space="preserve">服务类项目履约验收方案</w:t>
      </w:r>
      <w:r/>
    </w:p>
    <w:p>
      <w:pPr>
        <w:spacing w:line="40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1"/>
          <w:highlight w:val="none"/>
        </w:rPr>
        <w:t xml:space="preserve">一、项目概况</w:t>
      </w:r>
      <w:r/>
    </w:p>
    <w:p>
      <w:pPr>
        <w:spacing w:line="40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highlight w:val="none"/>
        </w:rPr>
        <w:t xml:space="preserve">项目编号：</w:t>
      </w:r>
      <w:r/>
    </w:p>
    <w:p>
      <w:pPr>
        <w:spacing w:line="40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highlight w:val="none"/>
        </w:rPr>
        <w:t xml:space="preserve">项目名称：</w:t>
      </w:r>
      <w:r/>
    </w:p>
    <w:p>
      <w:pPr>
        <w:spacing w:line="40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highlight w:val="none"/>
        </w:rPr>
        <w:t xml:space="preserve">供应商名称：</w:t>
      </w:r>
      <w:r/>
    </w:p>
    <w:p>
      <w:pPr>
        <w:spacing w:line="40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highlight w:val="none"/>
        </w:rPr>
        <w:t xml:space="preserve">合同金额：元</w:t>
      </w:r>
      <w:r/>
    </w:p>
    <w:p>
      <w:pPr>
        <w:spacing w:line="40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highlight w:val="none"/>
        </w:rPr>
        <w:t xml:space="preserve">验收主体：（采购人）</w:t>
      </w:r>
      <w:r/>
    </w:p>
    <w:p>
      <w:pPr>
        <w:spacing w:line="40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1"/>
          <w:highlight w:val="none"/>
        </w:rPr>
        <w:t xml:space="preserve">二、验收目的</w:t>
      </w:r>
      <w:r/>
    </w:p>
    <w:p>
      <w:pPr>
        <w:ind w:firstLine="420"/>
        <w:spacing w:line="40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highlight w:val="none"/>
        </w:rPr>
        <w:t xml:space="preserve">政府采购项目履约验收</w:t>
      </w:r>
      <w:r>
        <w:rPr>
          <w:rFonts w:hint="eastAsia" w:ascii="宋体" w:hAnsi="宋体" w:cs="宋体"/>
          <w:color w:val="auto"/>
          <w:sz w:val="21"/>
          <w:highlight w:val="none"/>
        </w:rPr>
        <w:t xml:space="preserve">，是指采购人对中标（成交）供应商（以下简称“供应商”）履行政府采购合同情况进行检验、核实和评估，以确认其提供的服务是否符合政府采购合同约定条款的活动。</w:t>
      </w:r>
      <w:r/>
    </w:p>
    <w:p>
      <w:pPr>
        <w:spacing w:line="40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1"/>
          <w:highlight w:val="none"/>
        </w:rPr>
        <w:t xml:space="preserve">三、验收依据</w:t>
      </w:r>
      <w:r/>
    </w:p>
    <w:p>
      <w:pPr>
        <w:ind w:firstLine="420"/>
        <w:jc w:val="both"/>
        <w:spacing w:line="40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highlight w:val="none"/>
        </w:rPr>
        <w:t xml:space="preserve">苏州工业园区采购人通过政府采购方式和程序确定供应商的政府采购项目应当执行《江苏省政府采购履约验收管理办法》和</w:t>
      </w:r>
      <w:bookmarkStart w:id="79" w:name="OLE_LINK16"/>
      <w:r>
        <w:rPr>
          <w:rFonts w:hint="eastAsia" w:ascii="宋体" w:hAnsi="宋体" w:cs="宋体"/>
          <w:color w:val="auto"/>
          <w:sz w:val="21"/>
          <w:highlight w:val="none"/>
        </w:rPr>
        <w:t xml:space="preserve">苏州工业园区财政审计局《关于进一步加强履约验收管理的通知》</w:t>
      </w:r>
      <w:bookmarkEnd w:id="79"/>
      <w:r>
        <w:rPr>
          <w:rFonts w:ascii="宋体" w:hAnsi="宋体" w:cs="宋体"/>
          <w:color w:val="auto"/>
          <w:sz w:val="21"/>
          <w:highlight w:val="none"/>
        </w:rPr>
        <w:t xml:space="preserve">。上级文件规定与</w:t>
      </w:r>
      <w:r>
        <w:rPr>
          <w:rFonts w:hint="eastAsia" w:ascii="宋体" w:hAnsi="宋体" w:cs="宋体"/>
          <w:color w:val="auto"/>
          <w:sz w:val="21"/>
          <w:highlight w:val="none"/>
        </w:rPr>
        <w:t xml:space="preserve">苏州工业园区财政审计局《关于进一步加强履约验收管理的通知》</w:t>
      </w:r>
      <w:r>
        <w:rPr>
          <w:rFonts w:ascii="宋体" w:hAnsi="宋体" w:cs="宋体"/>
          <w:color w:val="auto"/>
          <w:sz w:val="21"/>
          <w:highlight w:val="none"/>
        </w:rPr>
        <w:t xml:space="preserve">不一致的，以上级文件规定为准。政府采购文件、供应商响应文件、政府采购合同是履约验收工作的基本依据。</w:t>
      </w:r>
      <w:r/>
    </w:p>
    <w:p>
      <w:pPr>
        <w:spacing w:line="40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pacing w:val="5"/>
          <w:sz w:val="21"/>
          <w:highlight w:val="none"/>
        </w:rPr>
        <w:t xml:space="preserve">四、验收责任主体</w:t>
      </w:r>
      <w:r/>
    </w:p>
    <w:p>
      <w:pPr>
        <w:ind w:firstLine="420"/>
        <w:jc w:val="both"/>
        <w:spacing w:line="40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highlight w:val="none"/>
        </w:rPr>
        <w:t xml:space="preserve">采购人是政府采购履约验收工作的责任主体。采购人应制定并执行政府采购项目履约验收内部控制管理制度，科学完善编制履约验收方案，按照采购文件、供应商投响应文件、采购合同约定及时验收，遵循履约验收工作程序及相关要求，对验收过程中发现的问题依法依约处理，确定验收结论，履行资金支付义务，保存齐全的验收档案材料。</w:t>
      </w:r>
      <w:r/>
    </w:p>
    <w:p>
      <w:pPr>
        <w:spacing w:line="40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pacing w:val="6"/>
          <w:sz w:val="21"/>
          <w:highlight w:val="none"/>
        </w:rPr>
        <w:t xml:space="preserve">五、验收程序</w:t>
      </w:r>
      <w:r/>
    </w:p>
    <w:p>
      <w:pPr>
        <w:ind w:firstLine="442"/>
        <w:spacing w:line="40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pacing w:val="5"/>
          <w:sz w:val="21"/>
          <w:highlight w:val="none"/>
        </w:rPr>
        <w:t xml:space="preserve">5.1</w:t>
      </w:r>
      <w:r>
        <w:rPr>
          <w:rFonts w:ascii="宋体" w:hAnsi="宋体" w:cs="宋体"/>
          <w:b/>
          <w:color w:val="auto"/>
          <w:sz w:val="21"/>
          <w:highlight w:val="none"/>
        </w:rPr>
        <w:t xml:space="preserve">发出验收通知</w:t>
      </w:r>
      <w:r/>
    </w:p>
    <w:p>
      <w:pPr>
        <w:ind w:firstLine="440"/>
        <w:jc w:val="both"/>
        <w:spacing w:line="40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pacing w:val="5"/>
          <w:sz w:val="21"/>
          <w:highlight w:val="none"/>
        </w:rPr>
        <w:t xml:space="preserve">5.1.1政府采购合同约定的履约验收条件达到时，采购人应当在5个工作日内启动履约验收工作，并向供应商发出《政府采购履约验收通知单》</w:t>
      </w:r>
      <w:r>
        <w:rPr>
          <w:rFonts w:hint="eastAsia" w:ascii="宋体" w:hAnsi="宋体" w:cs="宋体"/>
          <w:color w:val="auto"/>
          <w:spacing w:val="5"/>
          <w:sz w:val="21"/>
          <w:highlight w:val="none"/>
        </w:rPr>
        <w:t xml:space="preserve">（</w:t>
      </w:r>
      <w:r>
        <w:rPr>
          <w:rFonts w:ascii="宋体" w:hAnsi="宋体" w:cs="宋体"/>
          <w:color w:val="auto"/>
          <w:spacing w:val="5"/>
          <w:sz w:val="21"/>
          <w:highlight w:val="none"/>
        </w:rPr>
        <w:t xml:space="preserve">见下表1</w:t>
      </w:r>
      <w:r>
        <w:rPr>
          <w:rFonts w:hint="eastAsia" w:ascii="宋体" w:hAnsi="宋体" w:cs="宋体"/>
          <w:color w:val="auto"/>
          <w:spacing w:val="5"/>
          <w:sz w:val="21"/>
          <w:highlight w:val="none"/>
        </w:rPr>
        <w:t xml:space="preserve">）</w:t>
      </w:r>
      <w:r>
        <w:rPr>
          <w:rFonts w:ascii="宋体" w:hAnsi="宋体" w:cs="宋体"/>
          <w:color w:val="auto"/>
          <w:spacing w:val="5"/>
          <w:sz w:val="21"/>
          <w:highlight w:val="none"/>
        </w:rPr>
        <w:t xml:space="preserve">。在政府采购合同约定的履行验收条件达到时，供应商可以主动联系采购人启动履约验收工作。供应商在收到验收通知单后五个工作日内拒不配合的，采购人应依照合同约定追究其责任。</w:t>
      </w:r>
      <w:r/>
    </w:p>
    <w:p>
      <w:pPr>
        <w:ind w:firstLine="440"/>
        <w:spacing w:line="40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pacing w:val="5"/>
          <w:sz w:val="21"/>
          <w:highlight w:val="none"/>
        </w:rPr>
        <w:t xml:space="preserve">5.1.2供应商应当配合采购人、采购代理机构做好项目验收工作，及时提供与项目验收相关的材料。</w:t>
      </w:r>
      <w:r/>
    </w:p>
    <w:p>
      <w:pPr>
        <w:ind w:firstLine="422"/>
        <w:spacing w:line="40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1"/>
          <w:highlight w:val="none"/>
        </w:rPr>
        <w:t xml:space="preserve">5.2成立验收小组</w:t>
      </w:r>
      <w:r/>
    </w:p>
    <w:p>
      <w:pPr>
        <w:ind w:firstLine="440"/>
        <w:spacing w:line="400" w:lineRule="atLeast"/>
        <w:widowControl w:val="off"/>
        <w:rPr>
          <w:rFonts w:ascii="宋体" w:hAnsi="宋体" w:cs="宋体"/>
          <w:color w:val="auto"/>
          <w:spacing w:val="5"/>
          <w:sz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5"/>
          <w:sz w:val="21"/>
          <w:highlight w:val="none"/>
        </w:rPr>
        <w:t xml:space="preserve">5.2.1采购人应当组织成立验收小组，验收小组负责实施项目验收工作，其成员构成、人员数量以及负责人由采购人确定。</w:t>
      </w:r>
      <w:r/>
    </w:p>
    <w:p>
      <w:pPr>
        <w:ind w:firstLine="440"/>
        <w:jc w:val="both"/>
        <w:spacing w:line="400" w:lineRule="atLeast"/>
        <w:widowControl w:val="off"/>
        <w:rPr>
          <w:rFonts w:ascii="宋体" w:hAnsi="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pacing w:val="5"/>
          <w:sz w:val="21"/>
          <w:highlight w:val="none"/>
        </w:rPr>
        <w:t xml:space="preserve">5.2.2根据采购项目特点和实际需要，可以邀请相关领域专业技术人员等作为验收小组成员参与验收，劳务报酬等费用由采购人承担，执行标准可参照江苏省政府采购专家评审费，采购人单位指定参加履约验收的工作人</w:t>
      </w:r>
      <w:r>
        <w:rPr>
          <w:rFonts w:ascii="宋体" w:hAnsi="宋体" w:cs="宋体"/>
          <w:color w:val="auto"/>
          <w:sz w:val="21"/>
          <w:highlight w:val="none"/>
        </w:rPr>
        <w:t xml:space="preserve">员不得获取劳务报酬。前期参与本采购项目相关采购活动的采购代理机构工作人员、评审专家以及与供应商有利害关系的人员，不得作为验收小组成员参与履约验收。财政部门政府采购监管人员不得作为验收小组成员参与履约验收。</w:t>
      </w:r>
      <w:r/>
    </w:p>
    <w:p>
      <w:pPr>
        <w:ind w:firstLine="422"/>
        <w:spacing w:line="400" w:lineRule="atLeast"/>
        <w:widowControl w:val="off"/>
        <w:rPr>
          <w:rFonts w:ascii="宋体" w:hAnsi="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1"/>
          <w:highlight w:val="none"/>
        </w:rPr>
        <w:t xml:space="preserve">5.3</w:t>
      </w:r>
      <w:r>
        <w:rPr>
          <w:rFonts w:ascii="宋体" w:hAnsi="宋体" w:cs="宋体"/>
          <w:color w:val="auto"/>
          <w:sz w:val="21"/>
          <w:highlight w:val="none"/>
        </w:rPr>
        <w:t xml:space="preserve">技术复杂或专业性强的政府采购项目，可以邀请有资质的第三方专业机构参加验收并出具专业意见。</w:t>
      </w:r>
      <w:r/>
    </w:p>
    <w:p>
      <w:pPr>
        <w:ind w:firstLine="420"/>
        <w:spacing w:line="40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1"/>
          <w:highlight w:val="none"/>
        </w:rPr>
        <w:t xml:space="preserve">5.4验收工作实施方案</w:t>
      </w:r>
      <w:r/>
    </w:p>
    <w:p>
      <w:pPr>
        <w:ind w:firstLine="440"/>
        <w:jc w:val="both"/>
        <w:spacing w:line="400" w:lineRule="atLeast"/>
        <w:widowControl w:val="off"/>
        <w:rPr>
          <w:rFonts w:ascii="宋体" w:hAnsi="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highlight w:val="none"/>
        </w:rPr>
        <w:t xml:space="preserve">5.</w:t>
      </w:r>
      <w:r>
        <w:rPr>
          <w:rFonts w:hint="eastAsia" w:ascii="宋体" w:hAnsi="宋体" w:cs="宋体"/>
          <w:color w:val="auto"/>
          <w:sz w:val="21"/>
          <w:highlight w:val="none"/>
        </w:rPr>
        <w:t xml:space="preserve">4</w:t>
      </w:r>
      <w:r>
        <w:rPr>
          <w:rFonts w:ascii="宋体" w:hAnsi="宋体" w:cs="宋体"/>
          <w:color w:val="auto"/>
          <w:sz w:val="21"/>
          <w:highlight w:val="none"/>
        </w:rPr>
        <w:t xml:space="preserve">.</w:t>
      </w:r>
      <w:r>
        <w:rPr>
          <w:rFonts w:hint="eastAsia" w:ascii="宋体" w:hAnsi="宋体" w:cs="宋体"/>
          <w:color w:val="auto"/>
          <w:sz w:val="21"/>
          <w:highlight w:val="none"/>
        </w:rPr>
        <w:t xml:space="preserve">1履约验收起止时间：乙方提交全部最终成果后至验收合格。</w:t>
      </w:r>
      <w:r/>
    </w:p>
    <w:p>
      <w:pPr>
        <w:ind w:firstLine="440"/>
        <w:jc w:val="both"/>
        <w:spacing w:line="400" w:lineRule="atLeast"/>
        <w:widowControl w:val="off"/>
        <w:rPr>
          <w:rFonts w:ascii="宋体" w:hAnsi="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highlight w:val="none"/>
        </w:rPr>
        <w:t xml:space="preserve">5.4.2</w:t>
      </w:r>
      <w:r>
        <w:rPr>
          <w:rFonts w:ascii="宋体" w:hAnsi="宋体" w:cs="宋体"/>
          <w:color w:val="auto"/>
          <w:sz w:val="21"/>
          <w:highlight w:val="none"/>
        </w:rPr>
        <w:t xml:space="preserve">履约验收范围：</w:t>
      </w:r>
      <w:r>
        <w:rPr>
          <w:rFonts w:hint="eastAsia" w:ascii="宋体" w:hAnsi="宋体" w:cs="宋体"/>
          <w:color w:val="auto"/>
          <w:sz w:val="21"/>
          <w:highlight w:val="none"/>
        </w:rPr>
        <w:t xml:space="preserve">2026年度高贸区既有建筑网格化隐患排查服务。</w:t>
      </w:r>
      <w:r/>
    </w:p>
    <w:p>
      <w:pPr>
        <w:ind w:firstLine="440"/>
        <w:jc w:val="both"/>
        <w:spacing w:line="400" w:lineRule="atLeast"/>
        <w:widowControl w:val="off"/>
        <w:rPr>
          <w:rFonts w:ascii="宋体" w:hAnsi="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highlight w:val="none"/>
        </w:rPr>
        <w:t xml:space="preserve">5.4</w:t>
      </w:r>
      <w:r>
        <w:rPr>
          <w:rFonts w:ascii="宋体" w:hAnsi="宋体" w:cs="宋体"/>
          <w:color w:val="auto"/>
          <w:sz w:val="21"/>
          <w:highlight w:val="none"/>
        </w:rPr>
        <w:t xml:space="preserve">.</w:t>
      </w:r>
      <w:r>
        <w:rPr>
          <w:rFonts w:hint="eastAsia" w:ascii="宋体" w:hAnsi="宋体" w:cs="宋体"/>
          <w:color w:val="auto"/>
          <w:sz w:val="21"/>
          <w:highlight w:val="none"/>
        </w:rPr>
        <w:t xml:space="preserve">3</w:t>
      </w:r>
      <w:r>
        <w:rPr>
          <w:rFonts w:ascii="宋体" w:hAnsi="宋体" w:cs="宋体"/>
          <w:color w:val="auto"/>
          <w:sz w:val="21"/>
          <w:highlight w:val="none"/>
        </w:rPr>
        <w:t xml:space="preserve">履约</w:t>
      </w:r>
      <w:r>
        <w:rPr>
          <w:rFonts w:hint="eastAsia" w:ascii="宋体" w:hAnsi="宋体" w:cs="宋体"/>
          <w:color w:val="auto"/>
          <w:sz w:val="21"/>
          <w:highlight w:val="none"/>
        </w:rPr>
        <w:t xml:space="preserve">验收</w:t>
      </w:r>
      <w:r>
        <w:rPr>
          <w:rFonts w:ascii="宋体" w:hAnsi="宋体" w:cs="宋体"/>
          <w:color w:val="auto"/>
          <w:sz w:val="21"/>
          <w:highlight w:val="none"/>
        </w:rPr>
        <w:t xml:space="preserve">内容：包括</w:t>
      </w:r>
      <w:r>
        <w:rPr>
          <w:rFonts w:hint="eastAsia" w:ascii="宋体" w:hAnsi="宋体" w:cs="宋体"/>
          <w:color w:val="auto"/>
          <w:sz w:val="21"/>
          <w:highlight w:val="none"/>
        </w:rPr>
        <w:t xml:space="preserve">服务团队的组成、服务对象覆盖面、服务事项满意度、服务承诺实现程度和稳定性等</w:t>
      </w:r>
      <w:r>
        <w:rPr>
          <w:rFonts w:ascii="宋体" w:hAnsi="宋体" w:cs="宋体"/>
          <w:color w:val="auto"/>
          <w:sz w:val="21"/>
          <w:highlight w:val="none"/>
        </w:rPr>
        <w:t xml:space="preserve">。</w:t>
      </w:r>
      <w:bookmarkStart w:id="80" w:name="OLE_LINK28"/>
      <w:r/>
      <w:bookmarkEnd w:id="80"/>
      <w:r/>
      <w:r/>
    </w:p>
    <w:p>
      <w:pPr>
        <w:ind w:firstLine="440"/>
        <w:jc w:val="both"/>
        <w:spacing w:line="400" w:lineRule="atLeast"/>
        <w:widowControl w:val="off"/>
        <w:rPr>
          <w:rFonts w:ascii="宋体" w:hAnsi="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highlight w:val="none"/>
        </w:rPr>
        <w:t xml:space="preserve">5.4</w:t>
      </w:r>
      <w:r>
        <w:rPr>
          <w:rFonts w:ascii="宋体" w:hAnsi="宋体" w:cs="宋体"/>
          <w:color w:val="auto"/>
          <w:sz w:val="21"/>
          <w:highlight w:val="none"/>
        </w:rPr>
        <w:t xml:space="preserve">.</w:t>
      </w:r>
      <w:r>
        <w:rPr>
          <w:rFonts w:hint="eastAsia" w:ascii="宋体" w:hAnsi="宋体" w:cs="宋体"/>
          <w:color w:val="auto"/>
          <w:sz w:val="21"/>
          <w:highlight w:val="none"/>
        </w:rPr>
        <w:t xml:space="preserve">4</w:t>
      </w:r>
      <w:r>
        <w:rPr>
          <w:rFonts w:ascii="宋体" w:hAnsi="宋体" w:cs="宋体"/>
          <w:color w:val="auto"/>
          <w:sz w:val="21"/>
          <w:highlight w:val="none"/>
        </w:rPr>
        <w:t xml:space="preserve">验收的方式：</w:t>
      </w:r>
      <w:r>
        <w:rPr>
          <w:rFonts w:hint="eastAsia" w:ascii="宋体" w:hAnsi="宋体" w:cs="宋体"/>
          <w:color w:val="auto"/>
          <w:sz w:val="21"/>
          <w:highlight w:val="none"/>
        </w:rPr>
        <w:t xml:space="preserve">采用半年度考核与一次性验收方式开展履约验收。</w:t>
      </w:r>
      <w:r/>
    </w:p>
    <w:p>
      <w:pPr>
        <w:ind w:firstLine="440"/>
        <w:jc w:val="both"/>
        <w:spacing w:line="400" w:lineRule="atLeast"/>
        <w:widowControl w:val="off"/>
        <w:rPr>
          <w:rFonts w:ascii="宋体" w:hAnsi="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highlight w:val="none"/>
        </w:rPr>
        <w:t xml:space="preserve">5.4</w:t>
      </w:r>
      <w:r>
        <w:rPr>
          <w:rFonts w:ascii="宋体" w:hAnsi="宋体" w:cs="宋体"/>
          <w:color w:val="auto"/>
          <w:sz w:val="21"/>
          <w:highlight w:val="none"/>
        </w:rPr>
        <w:t xml:space="preserve">.</w:t>
      </w:r>
      <w:r>
        <w:rPr>
          <w:rFonts w:hint="eastAsia" w:ascii="宋体" w:hAnsi="宋体" w:cs="宋体"/>
          <w:color w:val="auto"/>
          <w:sz w:val="21"/>
          <w:highlight w:val="none"/>
        </w:rPr>
        <w:t xml:space="preserve">5</w:t>
      </w:r>
      <w:r>
        <w:rPr>
          <w:rFonts w:ascii="宋体" w:hAnsi="宋体" w:cs="宋体"/>
          <w:color w:val="auto"/>
          <w:sz w:val="21"/>
          <w:highlight w:val="none"/>
        </w:rPr>
        <w:t xml:space="preserve">履约验收组织形式：采购人自行组织验收。</w:t>
      </w:r>
      <w:r/>
    </w:p>
    <w:p>
      <w:pPr>
        <w:ind w:firstLine="440"/>
        <w:jc w:val="both"/>
        <w:spacing w:line="400" w:lineRule="atLeast"/>
        <w:widowControl w:val="off"/>
        <w:rPr>
          <w:rFonts w:ascii="宋体" w:hAnsi="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highlight w:val="none"/>
        </w:rPr>
        <w:t xml:space="preserve">5.4</w:t>
      </w:r>
      <w:r>
        <w:rPr>
          <w:rFonts w:ascii="宋体" w:hAnsi="宋体" w:cs="宋体"/>
          <w:color w:val="auto"/>
          <w:sz w:val="21"/>
          <w:highlight w:val="none"/>
        </w:rPr>
        <w:t xml:space="preserve">.</w:t>
      </w:r>
      <w:r>
        <w:rPr>
          <w:rFonts w:hint="eastAsia" w:ascii="宋体" w:hAnsi="宋体" w:cs="宋体"/>
          <w:color w:val="auto"/>
          <w:sz w:val="21"/>
          <w:highlight w:val="none"/>
        </w:rPr>
        <w:t xml:space="preserve">6</w:t>
      </w:r>
      <w:r>
        <w:rPr>
          <w:rFonts w:ascii="宋体" w:hAnsi="宋体" w:cs="宋体"/>
          <w:color w:val="auto"/>
          <w:sz w:val="21"/>
          <w:highlight w:val="none"/>
        </w:rPr>
        <w:t xml:space="preserve">履约验收标准：</w:t>
      </w:r>
      <w:r/>
    </w:p>
    <w:p>
      <w:pPr>
        <w:ind w:firstLine="440"/>
        <w:jc w:val="both"/>
        <w:spacing w:line="400" w:lineRule="atLeast"/>
        <w:widowControl w:val="off"/>
        <w:rPr>
          <w:rFonts w:ascii="宋体" w:hAnsi="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highlight w:val="none"/>
        </w:rPr>
        <w:t xml:space="preserve">①按照现行国家和省、市、区标准执行，无国家和省、市、区标准的，按行业标准执行，无国家和行业标准的，按企业标准执行，并且应符合相关</w:t>
      </w:r>
      <w:r>
        <w:rPr>
          <w:rFonts w:hint="eastAsia" w:ascii="宋体" w:hAnsi="宋体" w:cs="宋体"/>
          <w:color w:val="auto"/>
          <w:sz w:val="21"/>
          <w:highlight w:val="none"/>
        </w:rPr>
        <w:t xml:space="preserve">法律法规</w:t>
      </w:r>
      <w:r>
        <w:rPr>
          <w:rFonts w:ascii="宋体" w:hAnsi="宋体" w:cs="宋体"/>
          <w:color w:val="auto"/>
          <w:sz w:val="21"/>
          <w:highlight w:val="none"/>
        </w:rPr>
        <w:t xml:space="preserve">规定的要求；</w:t>
      </w:r>
      <w:r/>
    </w:p>
    <w:p>
      <w:pPr>
        <w:ind w:firstLine="440"/>
        <w:jc w:val="both"/>
        <w:spacing w:line="400" w:lineRule="atLeast"/>
        <w:widowControl w:val="off"/>
        <w:rPr>
          <w:rFonts w:ascii="宋体" w:hAnsi="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highlight w:val="none"/>
        </w:rPr>
        <w:t xml:space="preserve">②采购文件所列的各项要求、采购合同、供应商在响应文件中承诺的质量技术指标。</w:t>
      </w:r>
      <w:r/>
    </w:p>
    <w:p>
      <w:pPr>
        <w:ind w:firstLine="422"/>
        <w:spacing w:line="40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highlight w:val="none"/>
        </w:rPr>
        <w:t xml:space="preserve">5.5</w:t>
      </w:r>
      <w:r>
        <w:rPr>
          <w:rFonts w:ascii="宋体" w:hAnsi="宋体" w:cs="宋体"/>
          <w:b/>
          <w:color w:val="auto"/>
          <w:sz w:val="21"/>
          <w:highlight w:val="none"/>
        </w:rPr>
        <w:t xml:space="preserve">验收记录</w:t>
      </w:r>
      <w:r/>
    </w:p>
    <w:p>
      <w:pPr>
        <w:ind w:firstLine="420"/>
        <w:spacing w:line="40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highlight w:val="none"/>
        </w:rPr>
        <w:t xml:space="preserve">5.5</w:t>
      </w:r>
      <w:r>
        <w:rPr>
          <w:rFonts w:ascii="宋体" w:hAnsi="宋体" w:cs="宋体"/>
          <w:color w:val="auto"/>
          <w:sz w:val="21"/>
          <w:highlight w:val="none"/>
        </w:rPr>
        <w:t xml:space="preserve">.1验收小组应当要求参与验收的供应商、专业机构、专家和服务对象等出具书面意见，作为验收书的重要组成部分。</w:t>
      </w:r>
      <w:r/>
    </w:p>
    <w:p>
      <w:pPr>
        <w:ind w:firstLine="420"/>
        <w:spacing w:line="40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highlight w:val="none"/>
        </w:rPr>
        <w:t xml:space="preserve">5.5</w:t>
      </w:r>
      <w:r>
        <w:rPr>
          <w:rFonts w:ascii="宋体" w:hAnsi="宋体" w:cs="宋体"/>
          <w:color w:val="auto"/>
          <w:sz w:val="21"/>
          <w:highlight w:val="none"/>
        </w:rPr>
        <w:t xml:space="preserve">.2验收小组应当制定履约验收工作实施方案，认真履行项目验收职责，按照实施方案开展验收，做好验收记录，确保出具的验收意见客观真实反映供应商对合同的履行情况。验收小组应当要求供应商提供能证明其按照合同约定数量或工作量清单履约的相关记录或者凭证，对供应商提供的服务按照采购文件、响应文件、政府采购合同等逐一进行检验、核实、评估等工作，使用音视频、对现场情况描述且签字等方式留存证明材料，由供应商确认，作为履约验收的重要凭据。</w:t>
      </w:r>
      <w:r/>
    </w:p>
    <w:p>
      <w:pPr>
        <w:ind w:firstLine="420"/>
        <w:jc w:val="both"/>
        <w:spacing w:line="40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highlight w:val="none"/>
        </w:rPr>
        <w:t xml:space="preserve">5.5</w:t>
      </w:r>
      <w:r>
        <w:rPr>
          <w:rFonts w:ascii="宋体" w:hAnsi="宋体" w:cs="宋体"/>
          <w:color w:val="auto"/>
          <w:sz w:val="21"/>
          <w:highlight w:val="none"/>
        </w:rPr>
        <w:t xml:space="preserve">.3验收结束后，验收小组应在验收书中作出最终验收意见，验收小组成员意见不一致时，按照少数服从多数的原则作出验收意见。验收小组成员对验收意见有异议的，应当在验收意见栏签署不同意见并说明理由，否则视为同意验收意见。验收意见由供应商盖章确认后报采购人。</w:t>
      </w:r>
      <w:r/>
    </w:p>
    <w:p>
      <w:pPr>
        <w:ind w:firstLine="422"/>
        <w:spacing w:line="40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highlight w:val="none"/>
        </w:rPr>
        <w:t xml:space="preserve">5.6</w:t>
      </w:r>
      <w:r>
        <w:rPr>
          <w:rFonts w:ascii="宋体" w:hAnsi="宋体" w:cs="宋体"/>
          <w:b/>
          <w:color w:val="auto"/>
          <w:sz w:val="21"/>
          <w:highlight w:val="none"/>
        </w:rPr>
        <w:t xml:space="preserve">验收结果</w:t>
      </w:r>
      <w:r/>
    </w:p>
    <w:p>
      <w:pPr>
        <w:ind w:firstLine="440"/>
        <w:spacing w:line="40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pacing w:val="5"/>
          <w:sz w:val="21"/>
          <w:highlight w:val="none"/>
        </w:rPr>
        <w:t xml:space="preserve">5.</w:t>
      </w:r>
      <w:r>
        <w:rPr>
          <w:rFonts w:hint="eastAsia" w:ascii="宋体" w:hAnsi="宋体" w:cs="宋体"/>
          <w:color w:val="auto"/>
          <w:spacing w:val="5"/>
          <w:sz w:val="21"/>
          <w:highlight w:val="none"/>
        </w:rPr>
        <w:t xml:space="preserve">6</w:t>
      </w:r>
      <w:r>
        <w:rPr>
          <w:rFonts w:ascii="宋体" w:hAnsi="宋体" w:cs="宋体"/>
          <w:color w:val="auto"/>
          <w:spacing w:val="5"/>
          <w:sz w:val="21"/>
          <w:highlight w:val="none"/>
        </w:rPr>
        <w:t xml:space="preserve">.1采购人应当对验收小组的验收意见进行确认并盖章。确认验收</w:t>
      </w:r>
      <w:r>
        <w:rPr>
          <w:rFonts w:ascii="宋体" w:hAnsi="宋体" w:cs="宋体"/>
          <w:color w:val="auto"/>
          <w:spacing w:val="4"/>
          <w:sz w:val="21"/>
          <w:highlight w:val="none"/>
        </w:rPr>
        <w:t xml:space="preserve">合格的，采购人在验收书上加盖单位公章；</w:t>
      </w:r>
      <w:r>
        <w:rPr>
          <w:rFonts w:ascii="宋体" w:hAnsi="宋体" w:cs="宋体"/>
          <w:color w:val="auto"/>
          <w:spacing w:val="10"/>
          <w:sz w:val="21"/>
          <w:highlight w:val="none"/>
        </w:rPr>
        <w:t xml:space="preserve">验收结果与采购合同不一致的，采购人应当根据验收意见中载明的具体偏差内容</w:t>
      </w:r>
      <w:r>
        <w:rPr>
          <w:rFonts w:ascii="宋体" w:hAnsi="宋体" w:cs="宋体"/>
          <w:color w:val="auto"/>
          <w:spacing w:val="9"/>
          <w:sz w:val="21"/>
          <w:highlight w:val="none"/>
        </w:rPr>
        <w:t xml:space="preserve">和处置建议，研究确定验</w:t>
      </w:r>
      <w:r>
        <w:rPr>
          <w:rFonts w:ascii="宋体" w:hAnsi="宋体" w:cs="宋体"/>
          <w:color w:val="auto"/>
          <w:spacing w:val="10"/>
          <w:sz w:val="21"/>
          <w:highlight w:val="none"/>
        </w:rPr>
        <w:t xml:space="preserve">收结论并加盖公章；验收小组成员意见存在分歧的</w:t>
      </w:r>
      <w:r>
        <w:rPr>
          <w:rFonts w:ascii="宋体" w:hAnsi="宋体" w:cs="宋体"/>
          <w:color w:val="auto"/>
          <w:spacing w:val="9"/>
          <w:sz w:val="21"/>
          <w:highlight w:val="none"/>
        </w:rPr>
        <w:t xml:space="preserve">，采购人应当对异议事项进行复核，妥善处置。</w:t>
      </w:r>
      <w:r/>
    </w:p>
    <w:p>
      <w:pPr>
        <w:ind w:firstLine="440"/>
        <w:spacing w:line="400" w:lineRule="atLeast"/>
        <w:widowControl w:val="off"/>
        <w:rPr>
          <w:rFonts w:ascii="宋体" w:hAnsi="宋体" w:cs="宋体"/>
          <w:color w:val="auto"/>
          <w:spacing w:val="10"/>
          <w:sz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pacing w:val="10"/>
          <w:sz w:val="21"/>
          <w:highlight w:val="none"/>
        </w:rPr>
        <w:t xml:space="preserve">5.</w:t>
      </w:r>
      <w:r>
        <w:rPr>
          <w:rFonts w:hint="eastAsia" w:ascii="宋体" w:hAnsi="宋体" w:cs="宋体"/>
          <w:color w:val="auto"/>
          <w:spacing w:val="10"/>
          <w:sz w:val="21"/>
          <w:highlight w:val="none"/>
        </w:rPr>
        <w:t xml:space="preserve">6</w:t>
      </w:r>
      <w:r>
        <w:rPr>
          <w:rFonts w:ascii="宋体" w:hAnsi="宋体" w:cs="宋体"/>
          <w:color w:val="auto"/>
          <w:spacing w:val="10"/>
          <w:sz w:val="21"/>
          <w:highlight w:val="none"/>
        </w:rPr>
        <w:t xml:space="preserve">.2</w:t>
      </w:r>
      <w:r>
        <w:rPr>
          <w:rFonts w:hint="eastAsia" w:ascii="宋体" w:hAnsi="宋体" w:cs="宋体"/>
          <w:color w:val="auto"/>
          <w:spacing w:val="10"/>
          <w:sz w:val="21"/>
          <w:highlight w:val="none"/>
        </w:rPr>
        <w:t xml:space="preserve">在验收中发现供应商未按照合同履约的，具备限期整改条件的，采购人应当书面要求供应商限期整改，整改期满后重新验收。不具备整改条件或供应商未按要求整改的，采购人应当依照《中华人民共和国民法典》规定和合同约定追究供应商的违约责任并根据生效的裁判文书支付资金。</w:t>
      </w:r>
      <w:r/>
    </w:p>
    <w:p>
      <w:pPr>
        <w:ind w:firstLine="456"/>
        <w:spacing w:line="400" w:lineRule="atLeast"/>
        <w:widowControl w:val="off"/>
        <w:rPr>
          <w:rFonts w:ascii="宋体" w:hAnsi="宋体" w:cs="宋体"/>
          <w:color w:val="auto"/>
          <w:spacing w:val="9"/>
          <w:sz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pacing w:val="9"/>
          <w:sz w:val="21"/>
          <w:highlight w:val="none"/>
        </w:rPr>
        <w:t xml:space="preserve">5.</w:t>
      </w:r>
      <w:r>
        <w:rPr>
          <w:rFonts w:hint="eastAsia" w:ascii="宋体" w:hAnsi="宋体" w:cs="宋体"/>
          <w:color w:val="auto"/>
          <w:spacing w:val="9"/>
          <w:sz w:val="21"/>
          <w:highlight w:val="none"/>
        </w:rPr>
        <w:t xml:space="preserve">6</w:t>
      </w:r>
      <w:r>
        <w:rPr>
          <w:rFonts w:ascii="宋体" w:hAnsi="宋体" w:cs="宋体"/>
          <w:color w:val="auto"/>
          <w:spacing w:val="9"/>
          <w:sz w:val="21"/>
          <w:highlight w:val="none"/>
        </w:rPr>
        <w:t xml:space="preserve">.3</w:t>
      </w:r>
      <w:r>
        <w:rPr>
          <w:rFonts w:ascii="宋体" w:hAnsi="宋体" w:cs="宋体"/>
          <w:b/>
          <w:color w:val="auto"/>
          <w:spacing w:val="8"/>
          <w:sz w:val="21"/>
          <w:highlight w:val="none"/>
        </w:rPr>
        <w:t xml:space="preserve">《政府采购履约验收书》（</w:t>
      </w:r>
      <w:r>
        <w:rPr>
          <w:rFonts w:hint="eastAsia" w:ascii="宋体" w:hAnsi="宋体" w:cs="宋体"/>
          <w:b/>
          <w:color w:val="auto"/>
          <w:spacing w:val="8"/>
          <w:sz w:val="21"/>
          <w:highlight w:val="none"/>
        </w:rPr>
        <w:t xml:space="preserve">格式</w:t>
      </w:r>
      <w:r>
        <w:rPr>
          <w:rFonts w:ascii="宋体" w:hAnsi="宋体" w:cs="宋体"/>
          <w:b/>
          <w:color w:val="auto"/>
          <w:spacing w:val="8"/>
          <w:sz w:val="21"/>
          <w:highlight w:val="none"/>
        </w:rPr>
        <w:t xml:space="preserve">见下表2）、合同是申请支付政府采购合同价款的必备资料。</w:t>
      </w:r>
      <w:r>
        <w:rPr>
          <w:rFonts w:ascii="宋体" w:hAnsi="宋体" w:cs="宋体"/>
          <w:color w:val="auto"/>
          <w:spacing w:val="8"/>
          <w:sz w:val="21"/>
          <w:highlight w:val="none"/>
        </w:rPr>
        <w:t xml:space="preserve">验收合格后采</w:t>
      </w:r>
      <w:r>
        <w:rPr>
          <w:rFonts w:ascii="宋体" w:hAnsi="宋体" w:cs="宋体"/>
          <w:color w:val="auto"/>
          <w:spacing w:val="10"/>
          <w:sz w:val="21"/>
          <w:highlight w:val="none"/>
        </w:rPr>
        <w:t xml:space="preserve">购人申请财政性资金支付时，应当在相应电子化系统上传《政</w:t>
      </w:r>
      <w:r>
        <w:rPr>
          <w:rFonts w:ascii="宋体" w:hAnsi="宋体" w:cs="宋体"/>
          <w:color w:val="auto"/>
          <w:spacing w:val="9"/>
          <w:sz w:val="21"/>
          <w:highlight w:val="none"/>
        </w:rPr>
        <w:t xml:space="preserve">府采购履约验收书》、合同等证明性材料。</w:t>
      </w:r>
      <w:r/>
    </w:p>
    <w:p>
      <w:pPr>
        <w:ind w:firstLine="460"/>
        <w:spacing w:line="400" w:lineRule="atLeast"/>
        <w:widowControl w:val="off"/>
        <w:rPr>
          <w:rFonts w:ascii="宋体" w:hAnsi="宋体" w:cs="宋体"/>
          <w:color w:val="auto"/>
          <w:spacing w:val="9"/>
          <w:sz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pacing w:val="10"/>
          <w:sz w:val="21"/>
          <w:highlight w:val="none"/>
        </w:rPr>
        <w:t xml:space="preserve">涉及分段验收付款的项目，应具备符合合同约定内容的阶段性验收意见，</w:t>
      </w:r>
      <w:r>
        <w:rPr>
          <w:rFonts w:ascii="宋体" w:hAnsi="宋体" w:cs="宋体"/>
          <w:color w:val="auto"/>
          <w:spacing w:val="9"/>
          <w:sz w:val="21"/>
          <w:highlight w:val="none"/>
        </w:rPr>
        <w:t xml:space="preserve">分段验收不合格的，不予支付该</w:t>
      </w:r>
      <w:r>
        <w:rPr>
          <w:rFonts w:ascii="宋体" w:hAnsi="宋体" w:cs="宋体"/>
          <w:color w:val="auto"/>
          <w:spacing w:val="8"/>
          <w:sz w:val="21"/>
          <w:highlight w:val="none"/>
        </w:rPr>
        <w:t xml:space="preserve">阶段的资金或根据</w:t>
      </w:r>
      <w:r>
        <w:rPr>
          <w:rFonts w:hint="eastAsia" w:ascii="宋体" w:hAnsi="宋体" w:cs="宋体"/>
          <w:color w:val="auto"/>
          <w:spacing w:val="8"/>
          <w:sz w:val="21"/>
          <w:highlight w:val="none"/>
        </w:rPr>
        <w:t xml:space="preserve">采购文件</w:t>
      </w:r>
      <w:r>
        <w:rPr>
          <w:rFonts w:ascii="宋体" w:hAnsi="宋体" w:cs="宋体"/>
          <w:color w:val="auto"/>
          <w:spacing w:val="8"/>
          <w:sz w:val="21"/>
          <w:highlight w:val="none"/>
        </w:rPr>
        <w:t xml:space="preserve">予以相应扣减。</w:t>
      </w:r>
      <w:r/>
    </w:p>
    <w:p>
      <w:pPr>
        <w:ind w:firstLine="450"/>
        <w:spacing w:line="40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pacing w:val="7"/>
          <w:sz w:val="21"/>
          <w:highlight w:val="none"/>
        </w:rPr>
        <w:t xml:space="preserve">5.</w:t>
      </w:r>
      <w:r>
        <w:rPr>
          <w:rFonts w:hint="eastAsia" w:ascii="宋体" w:hAnsi="宋体" w:cs="宋体"/>
          <w:b/>
          <w:color w:val="auto"/>
          <w:spacing w:val="7"/>
          <w:sz w:val="21"/>
          <w:highlight w:val="none"/>
        </w:rPr>
        <w:t xml:space="preserve">7</w:t>
      </w:r>
      <w:r>
        <w:rPr>
          <w:rFonts w:ascii="宋体" w:hAnsi="宋体" w:cs="宋体"/>
          <w:b/>
          <w:color w:val="auto"/>
          <w:spacing w:val="7"/>
          <w:sz w:val="21"/>
          <w:highlight w:val="none"/>
        </w:rPr>
        <w:t xml:space="preserve">验收资料归档</w:t>
      </w:r>
      <w:r/>
    </w:p>
    <w:p>
      <w:pPr>
        <w:ind w:firstLine="460"/>
        <w:jc w:val="both"/>
        <w:spacing w:line="40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pacing w:val="10"/>
          <w:sz w:val="21"/>
          <w:highlight w:val="none"/>
        </w:rPr>
        <w:t xml:space="preserve">项目验收完结后，采购人应当将验收小组名单、验收方案、验收原始</w:t>
      </w:r>
      <w:r>
        <w:rPr>
          <w:rFonts w:ascii="宋体" w:hAnsi="宋体" w:cs="宋体"/>
          <w:color w:val="auto"/>
          <w:spacing w:val="9"/>
          <w:sz w:val="21"/>
          <w:highlight w:val="none"/>
        </w:rPr>
        <w:t xml:space="preserve">记录、验收结果、资金支付情况、追</w:t>
      </w:r>
      <w:r>
        <w:rPr>
          <w:rFonts w:ascii="宋体" w:hAnsi="宋体" w:cs="宋体"/>
          <w:color w:val="auto"/>
          <w:spacing w:val="10"/>
          <w:sz w:val="21"/>
          <w:highlight w:val="none"/>
        </w:rPr>
        <w:t xml:space="preserve">究供应商违约责任的情况、合同变更、中止或终止相关资料（若有）等作为采</w:t>
      </w:r>
      <w:r>
        <w:rPr>
          <w:rFonts w:ascii="宋体" w:hAnsi="宋体" w:cs="宋体"/>
          <w:color w:val="auto"/>
          <w:spacing w:val="9"/>
          <w:sz w:val="21"/>
          <w:highlight w:val="none"/>
        </w:rPr>
        <w:t xml:space="preserve">购项目档案妥善保管，不得伪造、编造、隐匿或者违规销毁，保存期限为从采购结束之日起至少保存十五年。</w:t>
      </w:r>
      <w:r/>
    </w:p>
    <w:p>
      <w:pPr>
        <w:spacing w:line="40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pacing w:val="7"/>
          <w:sz w:val="21"/>
          <w:highlight w:val="none"/>
        </w:rPr>
        <w:t xml:space="preserve">六、附则</w:t>
      </w:r>
      <w:r/>
    </w:p>
    <w:p>
      <w:pPr>
        <w:ind w:firstLine="448"/>
        <w:spacing w:line="400" w:lineRule="atLeast"/>
        <w:widowControl w:val="off"/>
        <w:rPr>
          <w:rFonts w:ascii="宋体" w:hAnsi="宋体" w:cs="宋体"/>
          <w:color w:val="auto"/>
          <w:spacing w:val="7"/>
          <w:sz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7"/>
          <w:sz w:val="21"/>
          <w:highlight w:val="none"/>
        </w:rPr>
        <w:t xml:space="preserve">专家管理与费用承担：</w:t>
      </w:r>
      <w:r/>
    </w:p>
    <w:p>
      <w:pPr>
        <w:ind w:firstLine="448"/>
        <w:spacing w:line="400" w:lineRule="atLeast"/>
        <w:widowControl w:val="off"/>
        <w:rPr>
          <w:rFonts w:ascii="宋体" w:hAnsi="宋体" w:cs="宋体"/>
          <w:color w:val="auto"/>
          <w:spacing w:val="7"/>
          <w:sz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7"/>
          <w:sz w:val="21"/>
          <w:highlight w:val="none"/>
        </w:rPr>
        <w:t xml:space="preserve">1.参与验收与论证的专家应当从园区论证库中通过随机方式抽取。对技术复杂、专业性强的采购项目，通过随机抽取方式难以确定合适论证专家的，经主管部门同意，采购人可自行选定相应专业领域的专家。专家的管理适用《苏州工业园区政府采购论证专家管理办法》相关规定。</w:t>
      </w:r>
      <w:r/>
    </w:p>
    <w:p>
      <w:pPr>
        <w:ind w:firstLine="448"/>
        <w:spacing w:line="40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7"/>
          <w:sz w:val="21"/>
          <w:highlight w:val="none"/>
        </w:rPr>
        <w:t xml:space="preserve">2.参与验收与论证的专家费用：由成交供应商承担，标准按照园区当年度政府采购文件论证的操作须知中的专家费用标准执行，采购人单位指定参加履约验收的工作人员不得获取劳务报酬。</w:t>
      </w:r>
      <w:r/>
    </w:p>
    <w:p>
      <w:pPr>
        <w:spacing w:line="400" w:lineRule="atLeast"/>
        <w:widowControl w:val="off"/>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spacing w:line="40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pacing w:val="8"/>
          <w:sz w:val="21"/>
          <w:highlight w:val="none"/>
        </w:rPr>
        <w:t xml:space="preserve">表1：</w:t>
      </w:r>
      <w:r/>
    </w:p>
    <w:p>
      <w:pPr>
        <w:ind w:left="1410"/>
        <w:spacing w:before="231"/>
        <w:widowControl w:val="off"/>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pacing w:val="17"/>
          <w:sz w:val="36"/>
          <w:highlight w:val="none"/>
        </w:rPr>
        <w:t xml:space="preserve">政府采购履约验收通知单（参考样本）</w:t>
      </w:r>
      <w:r/>
    </w:p>
    <w:p>
      <w:pPr>
        <w:ind w:left="85"/>
        <w:spacing w:before="216"/>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pacing w:val="9"/>
          <w:sz w:val="23"/>
          <w:highlight w:val="none"/>
        </w:rPr>
        <w:t xml:space="preserve">供应商：</w:t>
      </w:r>
      <w:r/>
    </w:p>
    <w:p>
      <w:pPr>
        <w:spacing w:line="44"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tbl>
      <w:tblPr>
        <w:tblStyle w:val="77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594"/>
        <w:gridCol w:w="1571"/>
        <w:gridCol w:w="2085"/>
        <w:gridCol w:w="2066"/>
      </w:tblGrid>
      <w:tr>
        <w:trPr>
          <w:trHeight w:val="562"/>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594" w:type="dxa"/>
            <w:textDirection w:val="lrTb"/>
            <w:noWrap w:val="false"/>
          </w:tcPr>
          <w:p>
            <w:pPr>
              <w:ind w:left="961"/>
              <w:spacing w:before="249"/>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pacing w:val="2"/>
                <w:sz w:val="23"/>
                <w:highlight w:val="none"/>
              </w:rPr>
              <w:t xml:space="preserve">采购人</w:t>
            </w:r>
            <w:r/>
          </w:p>
        </w:tc>
        <w:tc>
          <w:tcPr>
            <w:gridSpan w:val="3"/>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679" w:type="dxa"/>
            <w:textDirection w:val="lrTb"/>
            <w:noWrap w:val="false"/>
          </w:tcPr>
          <w:p>
            <w:pPr>
              <w:spacing w:before="240" w:after="240"/>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highlight w:val="none"/>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94" w:type="dxa"/>
            <w:textDirection w:val="lrTb"/>
            <w:noWrap w:val="false"/>
          </w:tcPr>
          <w:p>
            <w:pPr>
              <w:ind w:left="841"/>
              <w:spacing w:before="249"/>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pacing w:val="2"/>
                <w:sz w:val="23"/>
                <w:highlight w:val="none"/>
              </w:rPr>
              <w:t xml:space="preserve">项目名称</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79" w:type="dxa"/>
            <w:textDirection w:val="lrTb"/>
            <w:noWrap w:val="false"/>
          </w:tcPr>
          <w:p>
            <w:pPr>
              <w:spacing w:before="240" w:after="240"/>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highlight w:val="none"/>
              </w:rPr>
              <w:t xml:space="preserve"> </w:t>
            </w:r>
            <w:r/>
          </w:p>
        </w:tc>
      </w:tr>
      <w:tr>
        <w:trPr>
          <w:trHeight w:val="55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94" w:type="dxa"/>
            <w:textDirection w:val="lrTb"/>
            <w:noWrap w:val="false"/>
          </w:tcPr>
          <w:p>
            <w:pPr>
              <w:ind w:left="841"/>
              <w:spacing w:before="247"/>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pacing w:val="2"/>
                <w:sz w:val="23"/>
                <w:highlight w:val="none"/>
              </w:rPr>
              <w:t xml:space="preserve">合同名称</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79" w:type="dxa"/>
            <w:textDirection w:val="lrTb"/>
            <w:noWrap w:val="false"/>
          </w:tcPr>
          <w:p>
            <w:pPr>
              <w:spacing w:before="240" w:after="240"/>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highlight w:val="none"/>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94" w:type="dxa"/>
            <w:textDirection w:val="lrTb"/>
            <w:noWrap w:val="false"/>
          </w:tcPr>
          <w:p>
            <w:pPr>
              <w:ind w:left="841"/>
              <w:spacing w:before="247"/>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pacing w:val="2"/>
                <w:sz w:val="23"/>
                <w:highlight w:val="none"/>
              </w:rPr>
              <w:t xml:space="preserve">合同编号</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42" w:type="dxa"/>
            <w:textDirection w:val="lrTb"/>
            <w:noWrap w:val="false"/>
          </w:tcPr>
          <w:p>
            <w:pPr>
              <w:spacing w:before="240" w:after="240"/>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125" w:type="dxa"/>
            <w:textDirection w:val="lrTb"/>
            <w:noWrap w:val="false"/>
          </w:tcPr>
          <w:p>
            <w:pPr>
              <w:ind w:left="607"/>
              <w:spacing w:before="247"/>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pacing w:val="2"/>
                <w:sz w:val="23"/>
                <w:highlight w:val="none"/>
              </w:rPr>
              <w:t xml:space="preserve">合同金额</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612" w:type="dxa"/>
            <w:textDirection w:val="lrTb"/>
            <w:noWrap w:val="false"/>
          </w:tcPr>
          <w:p>
            <w:pPr>
              <w:spacing w:before="240" w:after="240"/>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highlight w:val="none"/>
              </w:rPr>
              <w:t xml:space="preserve"> </w:t>
            </w:r>
            <w:r/>
          </w:p>
        </w:tc>
      </w:tr>
      <w:tr>
        <w:trPr>
          <w:trHeight w:val="55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94" w:type="dxa"/>
            <w:textDirection w:val="lrTb"/>
            <w:noWrap w:val="false"/>
          </w:tcPr>
          <w:p>
            <w:pPr>
              <w:ind w:left="841"/>
              <w:spacing w:before="248"/>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pacing w:val="4"/>
                <w:sz w:val="23"/>
                <w:highlight w:val="none"/>
              </w:rPr>
              <w:t xml:space="preserve">验收时间</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42" w:type="dxa"/>
            <w:textDirection w:val="lrTb"/>
            <w:noWrap w:val="false"/>
          </w:tcPr>
          <w:p>
            <w:pPr>
              <w:spacing w:before="240" w:after="240"/>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25" w:type="dxa"/>
            <w:textDirection w:val="lrTb"/>
            <w:noWrap w:val="false"/>
          </w:tcPr>
          <w:p>
            <w:pPr>
              <w:ind w:left="607"/>
              <w:spacing w:before="248"/>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pacing w:val="4"/>
                <w:sz w:val="23"/>
                <w:highlight w:val="none"/>
              </w:rPr>
              <w:t xml:space="preserve">验收地点</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12" w:type="dxa"/>
            <w:textDirection w:val="lrTb"/>
            <w:noWrap w:val="false"/>
          </w:tcPr>
          <w:p>
            <w:pPr>
              <w:spacing w:before="240" w:after="240"/>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highlight w:val="none"/>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94" w:type="dxa"/>
            <w:textDirection w:val="lrTb"/>
            <w:noWrap w:val="false"/>
          </w:tcPr>
          <w:p>
            <w:pPr>
              <w:ind w:left="960"/>
              <w:spacing w:before="248"/>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pacing w:val="1"/>
                <w:sz w:val="23"/>
                <w:highlight w:val="none"/>
              </w:rPr>
              <w:t xml:space="preserve">联系人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42" w:type="dxa"/>
            <w:textDirection w:val="lrTb"/>
            <w:noWrap w:val="false"/>
          </w:tcPr>
          <w:p>
            <w:pPr>
              <w:spacing w:before="240" w:after="240"/>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25" w:type="dxa"/>
            <w:textDirection w:val="lrTb"/>
            <w:noWrap w:val="false"/>
          </w:tcPr>
          <w:p>
            <w:pPr>
              <w:ind w:left="605"/>
              <w:spacing w:before="248"/>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pacing w:val="3"/>
                <w:sz w:val="23"/>
                <w:highlight w:val="none"/>
              </w:rPr>
              <w:t xml:space="preserve">联系电话</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12" w:type="dxa"/>
            <w:textDirection w:val="lrTb"/>
            <w:noWrap w:val="false"/>
          </w:tcPr>
          <w:p>
            <w:pPr>
              <w:spacing w:before="240" w:after="240"/>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highlight w:val="none"/>
              </w:rPr>
              <w:t xml:space="preserve"> </w:t>
            </w:r>
            <w:r/>
          </w:p>
        </w:tc>
      </w:tr>
      <w:tr>
        <w:trPr>
          <w:trHeight w:val="560"/>
        </w:trPr>
        <w:tc>
          <w:tcPr>
            <w:gridSpan w:val="4"/>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73" w:type="dxa"/>
            <w:textDirection w:val="lrTb"/>
            <w:noWrap w:val="false"/>
          </w:tcPr>
          <w:p>
            <w:pPr>
              <w:ind w:left="3353"/>
              <w:spacing w:before="250"/>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pacing w:val="7"/>
                <w:sz w:val="23"/>
                <w:highlight w:val="none"/>
              </w:rPr>
              <w:t xml:space="preserve">履约验收方案及工作要求</w:t>
            </w:r>
            <w:r/>
          </w:p>
        </w:tc>
      </w:tr>
      <w:tr>
        <w:trPr>
          <w:trHeight w:val="2216"/>
        </w:trPr>
        <w:tc>
          <w:tcPr>
            <w:gridSpan w:val="4"/>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73" w:type="dxa"/>
            <w:textDirection w:val="lrTb"/>
            <w:noWrap w:val="false"/>
          </w:tcPr>
          <w:p>
            <w:pPr>
              <w:spacing w:before="240" w:after="240"/>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highlight w:val="none"/>
              </w:rPr>
              <w:t xml:space="preserve"> </w:t>
            </w:r>
            <w:r/>
          </w:p>
          <w:p>
            <w:pPr>
              <w:spacing w:before="240" w:after="240"/>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highlight w:val="none"/>
              </w:rPr>
              <w:t xml:space="preserve"> </w:t>
            </w:r>
            <w:r/>
          </w:p>
          <w:p>
            <w:pPr>
              <w:spacing w:before="240" w:after="240"/>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highlight w:val="none"/>
              </w:rPr>
              <w:t xml:space="preserve"> </w:t>
            </w:r>
            <w:r/>
          </w:p>
          <w:p>
            <w:pPr>
              <w:spacing w:before="240" w:after="240"/>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highlight w:val="none"/>
              </w:rPr>
              <w:t xml:space="preserve"> </w:t>
            </w:r>
            <w:r/>
          </w:p>
          <w:p>
            <w:pPr>
              <w:spacing w:before="240" w:after="240"/>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highlight w:val="none"/>
              </w:rPr>
              <w:t xml:space="preserve"> </w:t>
            </w:r>
            <w:r/>
          </w:p>
          <w:p>
            <w:pPr>
              <w:spacing w:before="240" w:after="240"/>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highlight w:val="none"/>
              </w:rPr>
              <w:t xml:space="preserve"> </w:t>
            </w:r>
            <w:r/>
          </w:p>
          <w:p>
            <w:pPr>
              <w:spacing w:before="240" w:after="240"/>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highlight w:val="none"/>
              </w:rPr>
              <w:t xml:space="preserve"> </w:t>
            </w:r>
            <w:r/>
          </w:p>
          <w:p>
            <w:pPr>
              <w:spacing w:before="240" w:after="240"/>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highlight w:val="none"/>
              </w:rPr>
              <w:t xml:space="preserve"> </w:t>
            </w:r>
            <w:r/>
          </w:p>
          <w:p>
            <w:pPr>
              <w:spacing w:before="240" w:after="240"/>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highlight w:val="none"/>
              </w:rPr>
              <w:t xml:space="preserve"> </w:t>
            </w:r>
            <w:r/>
          </w:p>
          <w:p>
            <w:pPr>
              <w:spacing w:before="240" w:after="240"/>
              <w:widowControl w:val="off"/>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ind w:left="5311"/>
              <w:spacing w:before="75"/>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pacing w:val="3"/>
                <w:sz w:val="23"/>
                <w:highlight w:val="none"/>
              </w:rPr>
              <w:t xml:space="preserve">单位公章</w:t>
            </w:r>
            <w:r/>
          </w:p>
          <w:p>
            <w:pPr>
              <w:spacing w:before="240" w:after="240" w:line="73"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highlight w:val="none"/>
              </w:rPr>
              <w:t xml:space="preserve"> </w:t>
            </w:r>
            <w:r/>
          </w:p>
          <w:p>
            <w:pPr>
              <w:ind w:left="5128"/>
              <w:spacing w:before="75"/>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pacing w:val="-3"/>
                <w:sz w:val="23"/>
                <w:highlight w:val="none"/>
              </w:rPr>
              <w:t xml:space="preserve">年</w:t>
            </w:r>
            <w:r>
              <w:rPr>
                <w:rFonts w:ascii="宋体" w:hAnsi="宋体" w:cs="宋体"/>
                <w:color w:val="auto"/>
                <w:spacing w:val="18"/>
                <w:sz w:val="23"/>
                <w:highlight w:val="none"/>
              </w:rPr>
              <w:t xml:space="preserve">  </w:t>
            </w:r>
            <w:r>
              <w:rPr>
                <w:rFonts w:ascii="宋体" w:hAnsi="宋体" w:cs="宋体"/>
                <w:color w:val="auto"/>
                <w:spacing w:val="-3"/>
                <w:sz w:val="23"/>
                <w:highlight w:val="none"/>
              </w:rPr>
              <w:t xml:space="preserve">月</w:t>
            </w:r>
            <w:r>
              <w:rPr>
                <w:rFonts w:ascii="宋体" w:hAnsi="宋体" w:cs="宋体"/>
                <w:color w:val="auto"/>
                <w:spacing w:val="12"/>
                <w:sz w:val="23"/>
                <w:highlight w:val="none"/>
              </w:rPr>
              <w:t xml:space="preserve">   </w:t>
            </w:r>
            <w:r>
              <w:rPr>
                <w:rFonts w:ascii="宋体" w:hAnsi="宋体" w:cs="宋体"/>
                <w:color w:val="auto"/>
                <w:spacing w:val="-3"/>
                <w:sz w:val="23"/>
                <w:highlight w:val="none"/>
              </w:rPr>
              <w:t xml:space="preserve">日</w:t>
            </w:r>
            <w:r/>
          </w:p>
        </w:tc>
      </w:tr>
    </w:tbl>
    <w:p>
      <w:pPr>
        <w:widowControl w:val="off"/>
        <w:rPr>
          <w:color w:val="auto"/>
          <w:highlight w:val="none"/>
        </w:rPr>
        <w:pBdr>
          <w:top w:val="none" w:color="000000" w:sz="0" w:space="0"/>
          <w:left w:val="none" w:color="000000" w:sz="0" w:space="0"/>
          <w:bottom w:val="none" w:color="000000" w:sz="0" w:space="0"/>
          <w:right w:val="none" w:color="000000" w:sz="0" w:space="0"/>
        </w:pBdr>
        <w:sectPr>
          <w:headerReference w:type="default" r:id="rId9"/>
          <w:footerReference w:type="default" r:id="rId10"/>
          <w:footnotePr/>
          <w:endnotePr/>
          <w:type w:val="nextPage"/>
          <w:pgSz w:w="11906" w:h="16838" w:orient="portrait"/>
          <w:pgMar w:top="1440" w:right="1800" w:bottom="1440" w:left="1800" w:header="709" w:footer="709" w:gutter="0"/>
          <w:cols w:num="1" w:sep="0" w:space="1701" w:equalWidth="1"/>
          <w:docGrid w:linePitch="360"/>
        </w:sectPr>
      </w:pPr>
      <w:r>
        <w:rPr>
          <w:color w:val="auto"/>
          <w:highlight w:val="none"/>
        </w:rPr>
      </w:r>
      <w:r/>
    </w:p>
    <w:p>
      <w:pPr>
        <w:widowControl w:val="off"/>
        <w:rPr>
          <w:rFonts w:ascii="宋体" w:hAnsi="宋体" w:cs="宋体"/>
          <w:color w:val="auto"/>
          <w:spacing w:val="-1"/>
          <w:sz w:val="18"/>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pacing w:val="19"/>
          <w:sz w:val="21"/>
          <w:highlight w:val="none"/>
        </w:rPr>
        <w:t xml:space="preserve">表2： </w:t>
      </w:r>
      <w:r/>
    </w:p>
    <w:p>
      <w:pPr>
        <w:spacing w:line="400" w:lineRule="exact"/>
        <w:widowControl w:val="off"/>
        <w:rPr>
          <w:rFonts w:ascii="宋体" w:hAnsi="宋体" w:cs="宋体"/>
          <w:color w:val="auto"/>
          <w:spacing w:val="-1"/>
          <w:sz w:val="1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pacing w:val="-1"/>
          <w:sz w:val="18"/>
          <w:highlight w:val="none"/>
        </w:rPr>
      </w:r>
      <w:r/>
    </w:p>
    <w:tbl>
      <w:tblPr>
        <w:tblStyle w:val="746"/>
        <w:tblpPr w:horzAnchor="page" w:tblpXSpec="center" w:vertAnchor="text" w:tblpY="41" w:leftFromText="180" w:topFromText="0" w:rightFromText="180" w:bottomFromText="0"/>
        <w:tblW w:w="4986" w:type="pct"/>
        <w:jc w:val="center"/>
        <w:tblLayout w:type="fixed"/>
        <w:tblCellMar>
          <w:left w:w="108" w:type="dxa"/>
          <w:top w:w="0" w:type="dxa"/>
          <w:right w:w="108" w:type="dxa"/>
          <w:bottom w:w="0" w:type="dxa"/>
        </w:tblCellMar>
        <w:tblLook w:val="04A0" w:firstRow="1" w:lastRow="0" w:firstColumn="1" w:lastColumn="0" w:noHBand="0" w:noVBand="1"/>
      </w:tblPr>
      <w:tblGrid>
        <w:gridCol w:w="2540"/>
        <w:gridCol w:w="3042"/>
        <w:gridCol w:w="3487"/>
        <w:gridCol w:w="1789"/>
        <w:gridCol w:w="1786"/>
        <w:gridCol w:w="2168"/>
      </w:tblGrid>
      <w:tr>
        <w:trPr>
          <w:jc w:val="center"/>
          <w:trHeight w:val="600"/>
        </w:trPr>
        <w:tc>
          <w:tcPr>
            <w:gridSpan w:val="6"/>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widowControl w:val="off"/>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政府采购履约验收书参考样本（服务类）</w:t>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857" w:type="pct"/>
            <w:vAlign w:val="center"/>
            <w:textDirection w:val="lrTb"/>
            <w:noWrap/>
          </w:tcPr>
          <w:p>
            <w:pPr>
              <w:jc w:val="center"/>
              <w:widowControl w:val="off"/>
              <w:rPr>
                <w:rFonts w:ascii="宋体" w:hAnsi="宋体" w:cs="宋体"/>
                <w:color w:val="auto"/>
                <w:sz w:val="22"/>
                <w:highlight w:val="none"/>
              </w:rPr>
            </w:pPr>
            <w:r>
              <w:rPr>
                <w:rFonts w:hint="eastAsia" w:ascii="宋体" w:hAnsi="宋体" w:cs="宋体"/>
                <w:color w:val="auto"/>
                <w:sz w:val="22"/>
                <w:highlight w:val="none"/>
              </w:rPr>
              <w:t xml:space="preserve">采购人</w:t>
            </w:r>
            <w:r/>
          </w:p>
        </w:tc>
        <w:tc>
          <w:tcPr>
            <w:gridSpan w:val="2"/>
            <w:tcBorders>
              <w:top w:val="single" w:color="000000" w:sz="4" w:space="0"/>
              <w:left w:val="single" w:color="000000" w:sz="4" w:space="0"/>
              <w:bottom w:val="single" w:color="000000" w:sz="4" w:space="0"/>
              <w:right w:val="single" w:color="000000" w:sz="4" w:space="0"/>
            </w:tcBorders>
            <w:tcW w:w="2204" w:type="pct"/>
            <w:vAlign w:val="center"/>
            <w:textDirection w:val="lrTb"/>
            <w:noWrap/>
          </w:tcPr>
          <w:p>
            <w:pPr>
              <w:ind w:firstLine="440"/>
              <w:jc w:val="center"/>
              <w:widowControl w:val="off"/>
              <w:rPr>
                <w:rFonts w:ascii="宋体" w:hAnsi="宋体" w:cs="宋体"/>
                <w:color w:val="auto"/>
                <w:sz w:val="22"/>
                <w:highlight w:val="none"/>
              </w:rPr>
            </w:pPr>
            <w:r>
              <w:rPr>
                <w:rFonts w:ascii="宋体" w:hAnsi="宋体" w:cs="宋体"/>
                <w:color w:val="auto"/>
                <w:sz w:val="22"/>
                <w:highlight w:val="none"/>
              </w:rPr>
            </w:r>
            <w:r/>
          </w:p>
        </w:tc>
        <w:tc>
          <w:tcPr>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widowControl w:val="off"/>
              <w:rPr>
                <w:rFonts w:ascii="宋体" w:hAnsi="宋体" w:cs="宋体"/>
                <w:color w:val="auto"/>
                <w:sz w:val="22"/>
                <w:highlight w:val="none"/>
              </w:rPr>
            </w:pPr>
            <w:r>
              <w:rPr>
                <w:rFonts w:hint="eastAsia" w:ascii="宋体" w:hAnsi="宋体" w:cs="宋体"/>
                <w:color w:val="auto"/>
                <w:sz w:val="22"/>
                <w:highlight w:val="none"/>
              </w:rPr>
              <w:t xml:space="preserve">供应商</w:t>
            </w:r>
            <w:r/>
          </w:p>
        </w:tc>
        <w:tc>
          <w:tcPr>
            <w:gridSpan w:val="2"/>
            <w:tcBorders>
              <w:top w:val="single" w:color="000000" w:sz="4" w:space="0"/>
              <w:left w:val="single" w:color="000000" w:sz="4" w:space="0"/>
              <w:bottom w:val="single" w:color="000000" w:sz="4" w:space="0"/>
              <w:right w:val="single" w:color="000000" w:sz="4" w:space="0"/>
            </w:tcBorders>
            <w:tcW w:w="1333" w:type="pct"/>
            <w:vAlign w:val="center"/>
            <w:textDirection w:val="lrTb"/>
            <w:noWrap/>
          </w:tcPr>
          <w:p>
            <w:pPr>
              <w:jc w:val="center"/>
              <w:widowControl w:val="off"/>
              <w:rPr>
                <w:rFonts w:ascii="宋体" w:hAnsi="宋体" w:cs="宋体"/>
                <w:color w:val="auto"/>
                <w:sz w:val="22"/>
                <w:highlight w:val="none"/>
              </w:rPr>
            </w:pPr>
            <w:r>
              <w:rPr>
                <w:rFonts w:hint="eastAsia" w:ascii="宋体" w:hAnsi="宋体" w:cs="宋体"/>
                <w:color w:val="auto"/>
                <w:sz w:val="22"/>
                <w:highlight w:val="none"/>
              </w:rPr>
              <w:t xml:space="preserve">(姓名+职务+单位)</w:t>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857" w:type="pct"/>
            <w:vAlign w:val="center"/>
            <w:textDirection w:val="lrTb"/>
            <w:noWrap/>
          </w:tcPr>
          <w:p>
            <w:pPr>
              <w:jc w:val="center"/>
              <w:widowControl w:val="off"/>
              <w:rPr>
                <w:rFonts w:ascii="宋体" w:hAnsi="宋体" w:cs="宋体"/>
                <w:color w:val="auto"/>
                <w:sz w:val="22"/>
                <w:highlight w:val="none"/>
              </w:rPr>
            </w:pPr>
            <w:r>
              <w:rPr>
                <w:rFonts w:hint="eastAsia" w:ascii="宋体" w:hAnsi="宋体" w:cs="宋体"/>
                <w:color w:val="auto"/>
                <w:sz w:val="22"/>
                <w:highlight w:val="none"/>
              </w:rPr>
              <w:t xml:space="preserve">采购代理机构</w:t>
            </w:r>
            <w:r/>
          </w:p>
        </w:tc>
        <w:tc>
          <w:tcPr>
            <w:gridSpan w:val="2"/>
            <w:tcBorders>
              <w:top w:val="single" w:color="000000" w:sz="4" w:space="0"/>
              <w:left w:val="single" w:color="000000" w:sz="4" w:space="0"/>
              <w:bottom w:val="single" w:color="000000" w:sz="4" w:space="0"/>
              <w:right w:val="single" w:color="000000" w:sz="4" w:space="0"/>
            </w:tcBorders>
            <w:tcW w:w="2204" w:type="pct"/>
            <w:vAlign w:val="center"/>
            <w:textDirection w:val="lrTb"/>
            <w:noWrap/>
          </w:tcPr>
          <w:p>
            <w:pPr>
              <w:ind w:firstLine="440"/>
              <w:jc w:val="center"/>
              <w:widowControl w:val="off"/>
              <w:rPr>
                <w:rFonts w:ascii="宋体" w:hAnsi="宋体" w:cs="宋体"/>
                <w:color w:val="auto"/>
                <w:sz w:val="22"/>
                <w:highlight w:val="none"/>
              </w:rPr>
            </w:pPr>
            <w:r>
              <w:rPr>
                <w:rFonts w:ascii="宋体" w:hAnsi="宋体" w:cs="宋体"/>
                <w:color w:val="auto"/>
                <w:sz w:val="22"/>
                <w:highlight w:val="none"/>
              </w:rPr>
            </w:r>
            <w:r/>
          </w:p>
        </w:tc>
        <w:tc>
          <w:tcPr>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widowControl w:val="off"/>
              <w:rPr>
                <w:rFonts w:ascii="宋体" w:hAnsi="宋体" w:cs="宋体"/>
                <w:color w:val="auto"/>
                <w:sz w:val="22"/>
                <w:highlight w:val="none"/>
              </w:rPr>
            </w:pPr>
            <w:r>
              <w:rPr>
                <w:rFonts w:hint="eastAsia" w:ascii="宋体" w:hAnsi="宋体" w:cs="宋体"/>
                <w:color w:val="auto"/>
                <w:sz w:val="22"/>
                <w:highlight w:val="none"/>
              </w:rPr>
              <w:t xml:space="preserve">验收日期和地点</w:t>
            </w:r>
            <w:r/>
          </w:p>
        </w:tc>
        <w:tc>
          <w:tcPr>
            <w:gridSpan w:val="2"/>
            <w:tcBorders>
              <w:top w:val="single" w:color="000000" w:sz="4" w:space="0"/>
              <w:left w:val="single" w:color="000000" w:sz="4" w:space="0"/>
              <w:bottom w:val="single" w:color="000000" w:sz="4" w:space="0"/>
              <w:right w:val="single" w:color="000000" w:sz="4" w:space="0"/>
            </w:tcBorders>
            <w:tcW w:w="1333" w:type="pct"/>
            <w:vAlign w:val="center"/>
            <w:textDirection w:val="lrTb"/>
            <w:noWrap/>
          </w:tcPr>
          <w:p>
            <w:pPr>
              <w:ind w:firstLine="440"/>
              <w:jc w:val="center"/>
              <w:widowControl w:val="off"/>
              <w:rPr>
                <w:rFonts w:ascii="宋体" w:hAnsi="宋体" w:cs="宋体"/>
                <w:color w:val="auto"/>
                <w:sz w:val="22"/>
                <w:highlight w:val="none"/>
              </w:rPr>
            </w:pPr>
            <w:r>
              <w:rPr>
                <w:rFonts w:hint="eastAsia" w:ascii="宋体" w:hAnsi="宋体" w:cs="宋体"/>
                <w:color w:val="auto"/>
                <w:sz w:val="22"/>
                <w:highlight w:val="none"/>
              </w:rPr>
              <w:t xml:space="preserve">年  月  日</w:t>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857" w:type="pct"/>
            <w:vAlign w:val="center"/>
            <w:textDirection w:val="lrTb"/>
            <w:noWrap/>
          </w:tcPr>
          <w:p>
            <w:pPr>
              <w:jc w:val="center"/>
              <w:widowControl w:val="off"/>
              <w:rPr>
                <w:rFonts w:ascii="宋体" w:hAnsi="宋体" w:cs="宋体"/>
                <w:color w:val="auto"/>
                <w:sz w:val="22"/>
                <w:highlight w:val="none"/>
              </w:rPr>
            </w:pPr>
            <w:r>
              <w:rPr>
                <w:rFonts w:hint="eastAsia" w:ascii="宋体" w:hAnsi="宋体" w:cs="宋体"/>
                <w:color w:val="auto"/>
                <w:sz w:val="22"/>
                <w:highlight w:val="none"/>
              </w:rPr>
              <w:t xml:space="preserve">项目名称和编号</w:t>
            </w:r>
            <w:r/>
          </w:p>
        </w:tc>
        <w:tc>
          <w:tcPr>
            <w:gridSpan w:val="2"/>
            <w:tcBorders>
              <w:top w:val="single" w:color="000000" w:sz="4" w:space="0"/>
              <w:left w:val="single" w:color="000000" w:sz="4" w:space="0"/>
              <w:bottom w:val="single" w:color="000000" w:sz="4" w:space="0"/>
              <w:right w:val="single" w:color="000000" w:sz="4" w:space="0"/>
            </w:tcBorders>
            <w:tcW w:w="2204" w:type="pct"/>
            <w:vAlign w:val="center"/>
            <w:textDirection w:val="lrTb"/>
            <w:noWrap/>
          </w:tcPr>
          <w:p>
            <w:pPr>
              <w:ind w:firstLine="440"/>
              <w:jc w:val="center"/>
              <w:widowControl w:val="off"/>
              <w:rPr>
                <w:rFonts w:ascii="宋体" w:hAnsi="宋体" w:cs="宋体"/>
                <w:color w:val="auto"/>
                <w:sz w:val="22"/>
                <w:highlight w:val="none"/>
              </w:rPr>
            </w:pPr>
            <w:r>
              <w:rPr>
                <w:rFonts w:ascii="宋体" w:hAnsi="宋体" w:cs="宋体"/>
                <w:color w:val="auto"/>
                <w:sz w:val="22"/>
                <w:highlight w:val="none"/>
              </w:rPr>
            </w:r>
            <w:r/>
          </w:p>
        </w:tc>
        <w:tc>
          <w:tcPr>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widowControl w:val="off"/>
              <w:rPr>
                <w:rFonts w:ascii="宋体" w:hAnsi="宋体" w:cs="宋体"/>
                <w:color w:val="auto"/>
                <w:sz w:val="22"/>
                <w:highlight w:val="none"/>
              </w:rPr>
            </w:pPr>
            <w:r>
              <w:rPr>
                <w:rFonts w:hint="eastAsia" w:ascii="宋体" w:hAnsi="宋体" w:cs="宋体"/>
                <w:color w:val="auto"/>
                <w:sz w:val="22"/>
                <w:highlight w:val="none"/>
              </w:rPr>
              <w:t xml:space="preserve">合同金额</w:t>
            </w:r>
            <w:r/>
          </w:p>
        </w:tc>
        <w:tc>
          <w:tcPr>
            <w:gridSpan w:val="2"/>
            <w:tcBorders>
              <w:top w:val="single" w:color="000000" w:sz="4" w:space="0"/>
              <w:left w:val="single" w:color="000000" w:sz="4" w:space="0"/>
              <w:bottom w:val="single" w:color="000000" w:sz="4" w:space="0"/>
              <w:right w:val="single" w:color="000000" w:sz="4" w:space="0"/>
            </w:tcBorders>
            <w:tcW w:w="1333" w:type="pct"/>
            <w:vAlign w:val="center"/>
            <w:textDirection w:val="lrTb"/>
            <w:noWrap/>
          </w:tcPr>
          <w:p>
            <w:pPr>
              <w:ind w:firstLine="440"/>
              <w:jc w:val="center"/>
              <w:widowControl w:val="off"/>
              <w:rPr>
                <w:rFonts w:ascii="宋体" w:hAnsi="宋体" w:cs="宋体"/>
                <w:color w:val="auto"/>
                <w:sz w:val="22"/>
                <w:highlight w:val="none"/>
              </w:rPr>
            </w:pPr>
            <w:r>
              <w:rPr>
                <w:rFonts w:ascii="宋体" w:hAnsi="宋体" w:cs="宋体"/>
                <w:color w:val="auto"/>
                <w:sz w:val="22"/>
                <w:highlight w:val="none"/>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857" w:type="pct"/>
            <w:vAlign w:val="center"/>
            <w:textDirection w:val="lrTb"/>
            <w:noWrap/>
          </w:tcPr>
          <w:p>
            <w:pPr>
              <w:jc w:val="center"/>
              <w:widowControl w:val="off"/>
              <w:rPr>
                <w:rFonts w:ascii="宋体" w:hAnsi="宋体" w:cs="宋体"/>
                <w:color w:val="auto"/>
                <w:sz w:val="22"/>
                <w:highlight w:val="none"/>
              </w:rPr>
            </w:pPr>
            <w:r>
              <w:rPr>
                <w:rFonts w:hint="eastAsia" w:ascii="宋体" w:hAnsi="宋体" w:cs="宋体"/>
                <w:color w:val="auto"/>
                <w:sz w:val="22"/>
                <w:highlight w:val="none"/>
              </w:rPr>
              <w:t xml:space="preserve">验收组织形式</w:t>
            </w:r>
            <w:r/>
          </w:p>
        </w:tc>
        <w:tc>
          <w:tcPr>
            <w:gridSpan w:val="5"/>
            <w:tcBorders>
              <w:top w:val="single" w:color="000000" w:sz="4" w:space="0"/>
              <w:left w:val="single" w:color="000000" w:sz="4" w:space="0"/>
              <w:bottom w:val="single" w:color="000000" w:sz="4" w:space="0"/>
              <w:right w:val="single" w:color="000000" w:sz="4" w:space="0"/>
            </w:tcBorders>
            <w:tcW w:w="4142" w:type="pct"/>
            <w:vAlign w:val="center"/>
            <w:textDirection w:val="lrTb"/>
            <w:noWrap w:val="false"/>
          </w:tcPr>
          <w:p>
            <w:pPr>
              <w:widowControl w:val="off"/>
              <w:rPr>
                <w:rFonts w:ascii="宋体" w:hAnsi="宋体" w:cs="宋体"/>
                <w:color w:val="auto"/>
                <w:sz w:val="22"/>
                <w:highlight w:val="none"/>
              </w:rPr>
            </w:pPr>
            <w:r>
              <w:rPr>
                <w:rFonts w:hint="eastAsia" w:ascii="宋体" w:hAnsi="宋体" w:cs="宋体"/>
                <w:color w:val="auto"/>
                <w:sz w:val="22"/>
                <w:highlight w:val="none"/>
              </w:rPr>
              <w:t xml:space="preserve">□采购人自行组织验收</w:t>
            </w:r>
            <w:r>
              <w:rPr>
                <w:color w:val="auto"/>
                <w:highlight w:val="none"/>
              </w:rPr>
              <w:t xml:space="preserve"> </w:t>
            </w:r>
            <w:r>
              <w:rPr>
                <w:rFonts w:hint="eastAsia" w:ascii="宋体" w:hAnsi="宋体" w:cs="宋体"/>
                <w:color w:val="auto"/>
                <w:sz w:val="22"/>
                <w:highlight w:val="none"/>
              </w:rPr>
              <w:t xml:space="preserve">          </w:t>
            </w:r>
            <w:r>
              <w:rPr>
                <w:rFonts w:hint="eastAsia" w:ascii="Segoe UI Symbol" w:hAnsi="Segoe UI Symbol" w:cs="Segoe UI Symbol"/>
                <w:color w:val="auto"/>
                <w:sz w:val="22"/>
                <w:highlight w:val="none"/>
              </w:rPr>
              <w:t xml:space="preserve">□</w:t>
            </w:r>
            <w:r>
              <w:rPr>
                <w:rFonts w:hint="eastAsia" w:ascii="宋体" w:hAnsi="宋体" w:cs="宋体"/>
                <w:color w:val="auto"/>
                <w:sz w:val="22"/>
                <w:highlight w:val="none"/>
              </w:rPr>
              <w:t xml:space="preserve">委托代理机构验收</w:t>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857" w:type="pct"/>
            <w:vAlign w:val="center"/>
            <w:textDirection w:val="lrTb"/>
            <w:noWrap/>
          </w:tcPr>
          <w:p>
            <w:pPr>
              <w:jc w:val="center"/>
              <w:widowControl w:val="off"/>
              <w:rPr>
                <w:rFonts w:ascii="宋体" w:hAnsi="宋体" w:cs="宋体"/>
                <w:color w:val="auto"/>
                <w:sz w:val="22"/>
                <w:highlight w:val="none"/>
              </w:rPr>
            </w:pPr>
            <w:r>
              <w:rPr>
                <w:rFonts w:hint="eastAsia" w:ascii="宋体" w:hAnsi="宋体" w:cs="宋体"/>
                <w:color w:val="auto"/>
                <w:sz w:val="22"/>
                <w:highlight w:val="none"/>
              </w:rPr>
              <w:t xml:space="preserve">是否日常检查/分段验收</w:t>
            </w:r>
            <w:r/>
          </w:p>
        </w:tc>
        <w:tc>
          <w:tcPr>
            <w:tcBorders>
              <w:top w:val="single" w:color="000000" w:sz="4" w:space="0"/>
              <w:left w:val="single" w:color="000000" w:sz="4" w:space="0"/>
              <w:bottom w:val="single" w:color="000000" w:sz="4" w:space="0"/>
              <w:right w:val="single" w:color="000000" w:sz="4" w:space="0"/>
            </w:tcBorders>
            <w:tcW w:w="1027" w:type="pct"/>
            <w:vAlign w:val="center"/>
            <w:textDirection w:val="lrTb"/>
            <w:noWrap w:val="false"/>
          </w:tcPr>
          <w:p>
            <w:pPr>
              <w:widowControl w:val="off"/>
              <w:rPr>
                <w:rFonts w:ascii="宋体" w:hAnsi="宋体" w:cs="宋体"/>
                <w:color w:val="auto"/>
                <w:sz w:val="22"/>
                <w:highlight w:val="none"/>
              </w:rPr>
            </w:pPr>
            <w:r>
              <w:rPr>
                <w:rFonts w:hint="eastAsia" w:ascii="Segoe UI Symbol" w:hAnsi="Segoe UI Symbol" w:cs="Segoe UI Symbol"/>
                <w:color w:val="auto"/>
                <w:sz w:val="22"/>
                <w:highlight w:val="none"/>
              </w:rPr>
              <w:t xml:space="preserve">□</w:t>
            </w:r>
            <w:r>
              <w:rPr>
                <w:rFonts w:hint="eastAsia" w:ascii="宋体" w:hAnsi="宋体" w:cs="宋体"/>
                <w:color w:val="auto"/>
                <w:sz w:val="22"/>
                <w:highlight w:val="none"/>
              </w:rPr>
              <w:t xml:space="preserve">是        □否</w:t>
            </w:r>
            <w:r/>
          </w:p>
        </w:tc>
        <w:tc>
          <w:tcPr>
            <w:tcBorders>
              <w:top w:val="single" w:color="000000" w:sz="4" w:space="0"/>
              <w:left w:val="single" w:color="000000" w:sz="4" w:space="0"/>
              <w:bottom w:val="none" w:color="000000" w:sz="4" w:space="0"/>
              <w:right w:val="single" w:color="000000" w:sz="4" w:space="0"/>
            </w:tcBorders>
            <w:tcW w:w="1176" w:type="pct"/>
            <w:vAlign w:val="center"/>
            <w:textDirection w:val="lrTb"/>
            <w:noWrap/>
          </w:tcPr>
          <w:p>
            <w:pPr>
              <w:jc w:val="center"/>
              <w:widowControl w:val="off"/>
              <w:rPr>
                <w:rFonts w:ascii="宋体" w:hAnsi="宋体" w:cs="宋体"/>
                <w:color w:val="auto"/>
                <w:sz w:val="22"/>
                <w:highlight w:val="none"/>
              </w:rPr>
            </w:pPr>
            <w:r>
              <w:rPr>
                <w:rFonts w:hint="eastAsia" w:ascii="宋体" w:hAnsi="宋体" w:cs="宋体"/>
                <w:color w:val="auto"/>
                <w:sz w:val="22"/>
                <w:highlight w:val="none"/>
              </w:rPr>
              <w:t xml:space="preserve">日常检查/分段验收情况</w:t>
            </w:r>
            <w:r/>
          </w:p>
        </w:tc>
        <w:tc>
          <w:tcPr>
            <w:gridSpan w:val="3"/>
            <w:tcBorders>
              <w:top w:val="single" w:color="000000" w:sz="4" w:space="0"/>
              <w:left w:val="none" w:color="000000" w:sz="4" w:space="0"/>
              <w:bottom w:val="none" w:color="000000" w:sz="4" w:space="0"/>
              <w:right w:val="single" w:color="000000" w:sz="4" w:space="0"/>
            </w:tcBorders>
            <w:tcW w:w="1938" w:type="pct"/>
            <w:vAlign w:val="center"/>
            <w:textDirection w:val="lrTb"/>
            <w:noWrap w:val="false"/>
          </w:tcPr>
          <w:p>
            <w:pPr>
              <w:widowControl w:val="off"/>
              <w:rPr>
                <w:rFonts w:ascii="宋体" w:hAnsi="宋体" w:cs="宋体"/>
                <w:color w:val="auto"/>
                <w:sz w:val="22"/>
                <w:highlight w:val="none"/>
              </w:rPr>
            </w:pPr>
            <w:r>
              <w:rPr>
                <w:rFonts w:hint="eastAsia" w:ascii="宋体" w:hAnsi="宋体" w:cs="宋体"/>
                <w:color w:val="auto"/>
                <w:sz w:val="22"/>
                <w:highlight w:val="none"/>
              </w:rPr>
              <w:t xml:space="preserve">本项目验收共分  期，本次为第   期</w:t>
            </w:r>
            <w:r/>
          </w:p>
        </w:tc>
      </w:tr>
      <w:tr>
        <w:trPr>
          <w:jc w:val="center"/>
          <w:trHeight w:val="500"/>
        </w:trPr>
        <w:tc>
          <w:tcPr>
            <w:gridSpan w:val="3"/>
            <w:tcBorders>
              <w:top w:val="single" w:color="000000" w:sz="4" w:space="0"/>
              <w:left w:val="single" w:color="000000" w:sz="4" w:space="0"/>
              <w:bottom w:val="single" w:color="000000" w:sz="4" w:space="0"/>
              <w:right w:val="single" w:color="000000" w:sz="4" w:space="0"/>
            </w:tcBorders>
            <w:tcW w:w="3061" w:type="pct"/>
            <w:vAlign w:val="center"/>
            <w:textDirection w:val="lrTb"/>
            <w:noWrap/>
          </w:tcPr>
          <w:p>
            <w:pPr>
              <w:jc w:val="center"/>
              <w:widowControl w:val="off"/>
              <w:rPr>
                <w:rFonts w:ascii="宋体" w:hAnsi="宋体" w:cs="宋体"/>
                <w:color w:val="auto"/>
                <w:sz w:val="22"/>
                <w:highlight w:val="none"/>
              </w:rPr>
            </w:pPr>
            <w:r>
              <w:rPr>
                <w:rFonts w:hint="eastAsia" w:ascii="宋体" w:hAnsi="宋体" w:cs="宋体"/>
                <w:color w:val="auto"/>
                <w:sz w:val="22"/>
                <w:highlight w:val="none"/>
              </w:rPr>
              <w:t xml:space="preserve">验收人员</w:t>
            </w:r>
            <w:r/>
          </w:p>
        </w:tc>
        <w:tc>
          <w:tcPr>
            <w:gridSpan w:val="2"/>
            <w:tcBorders>
              <w:top w:val="single" w:color="000000" w:sz="4" w:space="0"/>
              <w:left w:val="single" w:color="000000" w:sz="4" w:space="0"/>
              <w:bottom w:val="single" w:color="auto" w:sz="4" w:space="0"/>
              <w:right w:val="single" w:color="000000" w:sz="4" w:space="0"/>
            </w:tcBorders>
            <w:tcW w:w="1207" w:type="pct"/>
            <w:vAlign w:val="center"/>
            <w:textDirection w:val="lrTb"/>
            <w:noWrap w:val="false"/>
          </w:tcPr>
          <w:p>
            <w:pPr>
              <w:widowControl w:val="off"/>
              <w:rPr>
                <w:rFonts w:ascii="宋体" w:hAnsi="宋体" w:cs="宋体"/>
                <w:color w:val="auto"/>
                <w:sz w:val="22"/>
                <w:highlight w:val="none"/>
              </w:rPr>
            </w:pPr>
            <w:r>
              <w:rPr>
                <w:rFonts w:hint="eastAsia" w:ascii="宋体" w:hAnsi="宋体" w:cs="宋体"/>
                <w:color w:val="auto"/>
                <w:sz w:val="22"/>
                <w:highlight w:val="none"/>
              </w:rPr>
              <w:t xml:space="preserve">验收方式(结合验收方案多选)</w:t>
            </w:r>
            <w:r/>
          </w:p>
        </w:tc>
        <w:tc>
          <w:tcPr>
            <w:tcBorders>
              <w:top w:val="single" w:color="000000" w:sz="4" w:space="0"/>
              <w:left w:val="single" w:color="000000" w:sz="4" w:space="0"/>
              <w:bottom w:val="single" w:color="auto" w:sz="4" w:space="0"/>
              <w:right w:val="single" w:color="000000" w:sz="4" w:space="0"/>
            </w:tcBorders>
            <w:tcW w:w="730" w:type="pct"/>
            <w:vAlign w:val="center"/>
            <w:textDirection w:val="lrTb"/>
            <w:noWrap w:val="false"/>
          </w:tcPr>
          <w:p>
            <w:pPr>
              <w:jc w:val="center"/>
              <w:widowControl w:val="off"/>
              <w:rPr>
                <w:rFonts w:ascii="宋体" w:hAnsi="宋体" w:cs="宋体"/>
                <w:color w:val="auto"/>
                <w:sz w:val="22"/>
                <w:highlight w:val="none"/>
              </w:rPr>
            </w:pPr>
            <w:r>
              <w:rPr>
                <w:rFonts w:hint="eastAsia" w:ascii="宋体" w:hAnsi="宋体" w:cs="宋体"/>
                <w:color w:val="auto"/>
                <w:sz w:val="22"/>
                <w:highlight w:val="none"/>
              </w:rPr>
              <w:t xml:space="preserve">验收意见</w:t>
            </w:r>
            <w:r/>
          </w:p>
        </w:tc>
      </w:tr>
      <w:tr>
        <w:trPr>
          <w:jc w:val="center"/>
          <w:trHeight w:val="611"/>
        </w:trPr>
        <w:tc>
          <w:tcPr>
            <w:tcBorders>
              <w:top w:val="single" w:color="000000" w:sz="4" w:space="0"/>
              <w:left w:val="single" w:color="000000" w:sz="4" w:space="0"/>
              <w:right w:val="single" w:color="000000" w:sz="4" w:space="0"/>
            </w:tcBorders>
            <w:tcW w:w="857" w:type="pct"/>
            <w:vAlign w:val="center"/>
            <w:vMerge w:val="restart"/>
            <w:textDirection w:val="lrTb"/>
            <w:noWrap/>
          </w:tcPr>
          <w:p>
            <w:pPr>
              <w:jc w:val="center"/>
              <w:widowControl w:val="off"/>
              <w:rPr>
                <w:rFonts w:ascii="宋体" w:hAnsi="宋体" w:cs="宋体"/>
                <w:color w:val="auto"/>
                <w:sz w:val="22"/>
                <w:highlight w:val="none"/>
              </w:rPr>
            </w:pPr>
            <w:r>
              <w:rPr>
                <w:rFonts w:hint="eastAsia" w:ascii="宋体" w:hAnsi="宋体" w:cs="宋体"/>
                <w:color w:val="auto"/>
                <w:sz w:val="22"/>
                <w:highlight w:val="none"/>
              </w:rPr>
              <w:t xml:space="preserve">验收小组成员(</w:t>
            </w:r>
            <w:r/>
          </w:p>
          <w:p>
            <w:pPr>
              <w:jc w:val="center"/>
              <w:widowControl w:val="off"/>
              <w:rPr>
                <w:rFonts w:ascii="宋体" w:hAnsi="宋体" w:cs="宋体"/>
                <w:color w:val="auto"/>
                <w:sz w:val="22"/>
                <w:highlight w:val="none"/>
              </w:rPr>
            </w:pPr>
            <w:r>
              <w:rPr>
                <w:rFonts w:hint="eastAsia" w:ascii="宋体" w:hAnsi="宋体" w:cs="宋体"/>
                <w:color w:val="auto"/>
                <w:sz w:val="22"/>
                <w:highlight w:val="none"/>
              </w:rPr>
              <w:t xml:space="preserve">最终验收成员人</w:t>
            </w:r>
            <w:r/>
          </w:p>
          <w:p>
            <w:pPr>
              <w:jc w:val="center"/>
              <w:widowControl w:val="off"/>
              <w:rPr>
                <w:rFonts w:ascii="宋体" w:hAnsi="宋体" w:cs="宋体"/>
                <w:color w:val="auto"/>
                <w:sz w:val="22"/>
                <w:highlight w:val="none"/>
              </w:rPr>
            </w:pPr>
            <w:r>
              <w:rPr>
                <w:rFonts w:hint="eastAsia" w:ascii="宋体" w:hAnsi="宋体" w:cs="宋体"/>
                <w:color w:val="auto"/>
                <w:sz w:val="22"/>
                <w:highlight w:val="none"/>
              </w:rPr>
              <w:t xml:space="preserve">数为3人以上单</w:t>
            </w:r>
            <w:r/>
          </w:p>
          <w:p>
            <w:pPr>
              <w:jc w:val="center"/>
              <w:widowControl w:val="off"/>
              <w:rPr>
                <w:rFonts w:ascii="宋体" w:hAnsi="宋体" w:cs="宋体"/>
                <w:color w:val="auto"/>
                <w:sz w:val="22"/>
                <w:highlight w:val="none"/>
              </w:rPr>
            </w:pPr>
            <w:r>
              <w:rPr>
                <w:rFonts w:hint="eastAsia" w:ascii="宋体" w:hAnsi="宋体" w:cs="宋体"/>
                <w:color w:val="auto"/>
                <w:sz w:val="22"/>
                <w:highlight w:val="none"/>
              </w:rPr>
              <w:t xml:space="preserve">数，组成根据实</w:t>
            </w:r>
            <w:r/>
          </w:p>
          <w:p>
            <w:pPr>
              <w:jc w:val="center"/>
              <w:widowControl w:val="off"/>
              <w:rPr>
                <w:rFonts w:ascii="宋体" w:hAnsi="宋体" w:cs="宋体"/>
                <w:color w:val="auto"/>
                <w:sz w:val="22"/>
                <w:highlight w:val="none"/>
              </w:rPr>
            </w:pPr>
            <w:r>
              <w:rPr>
                <w:rFonts w:hint="eastAsia" w:ascii="宋体" w:hAnsi="宋体" w:cs="宋体"/>
                <w:color w:val="auto"/>
                <w:sz w:val="22"/>
                <w:highlight w:val="none"/>
              </w:rPr>
              <w:t xml:space="preserve">际情况选择)</w:t>
            </w:r>
            <w:r/>
          </w:p>
        </w:tc>
        <w:tc>
          <w:tcPr>
            <w:gridSpan w:val="2"/>
            <w:tcBorders>
              <w:top w:val="single" w:color="000000" w:sz="4" w:space="0"/>
              <w:left w:val="single" w:color="000000" w:sz="4" w:space="0"/>
              <w:right w:val="single" w:color="auto" w:sz="4" w:space="0"/>
            </w:tcBorders>
            <w:tcW w:w="2204" w:type="pct"/>
            <w:vMerge w:val="restart"/>
            <w:textDirection w:val="lrTb"/>
            <w:noWrap w:val="false"/>
          </w:tcPr>
          <w:p>
            <w:pPr>
              <w:widowControl w:val="off"/>
              <w:rPr>
                <w:rFonts w:ascii="宋体" w:hAnsi="宋体" w:cs="宋体"/>
                <w:color w:val="auto"/>
                <w:sz w:val="22"/>
                <w:highlight w:val="none"/>
              </w:rPr>
            </w:pPr>
            <w:r>
              <w:rPr>
                <w:rFonts w:hint="eastAsia" w:ascii="Segoe UI Symbol" w:hAnsi="Segoe UI Symbol" w:cs="Segoe UI Symbol"/>
                <w:color w:val="auto"/>
                <w:sz w:val="22"/>
                <w:highlight w:val="none"/>
              </w:rPr>
              <w:t xml:space="preserve">□</w:t>
            </w:r>
            <w:r>
              <w:rPr>
                <w:rFonts w:hint="eastAsia" w:ascii="宋体" w:hAnsi="宋体" w:cs="宋体"/>
                <w:color w:val="auto"/>
                <w:sz w:val="22"/>
                <w:highlight w:val="none"/>
              </w:rPr>
              <w:t xml:space="preserve">采购人：</w:t>
            </w:r>
            <w:r/>
          </w:p>
          <w:p>
            <w:pPr>
              <w:widowControl w:val="off"/>
              <w:rPr>
                <w:rFonts w:ascii="宋体" w:hAnsi="宋体" w:cs="宋体"/>
                <w:color w:val="auto"/>
                <w:sz w:val="22"/>
                <w:highlight w:val="none"/>
              </w:rPr>
            </w:pPr>
            <w:r>
              <w:rPr>
                <w:rFonts w:hint="eastAsia" w:ascii="宋体" w:hAnsi="宋体" w:cs="宋体"/>
                <w:color w:val="auto"/>
                <w:sz w:val="22"/>
                <w:highlight w:val="none"/>
              </w:rPr>
              <w:t xml:space="preserve">（姓名+所属部门） </w:t>
            </w:r>
            <w:r/>
          </w:p>
          <w:p>
            <w:pPr>
              <w:widowControl w:val="off"/>
              <w:rPr>
                <w:rFonts w:ascii="宋体" w:hAnsi="宋体" w:cs="宋体"/>
                <w:color w:val="auto"/>
                <w:sz w:val="22"/>
                <w:highlight w:val="none"/>
              </w:rPr>
            </w:pPr>
            <w:r>
              <w:rPr>
                <w:rFonts w:hint="eastAsia" w:ascii="宋体" w:hAnsi="宋体" w:cs="宋体"/>
                <w:color w:val="auto"/>
                <w:sz w:val="22"/>
                <w:highlight w:val="none"/>
              </w:rPr>
              <w:t xml:space="preserve">*最终验收时必有，若经办采购的人员与采购需求人员分属不同部门，二者应同时参与验收</w:t>
            </w:r>
            <w:r/>
          </w:p>
          <w:p>
            <w:pPr>
              <w:widowControl w:val="off"/>
              <w:rPr>
                <w:rFonts w:ascii="宋体" w:hAnsi="宋体" w:cs="宋体"/>
                <w:color w:val="auto"/>
                <w:sz w:val="22"/>
                <w:highlight w:val="none"/>
              </w:rPr>
            </w:pPr>
            <w:r>
              <w:rPr>
                <w:rFonts w:ascii="宋体" w:hAnsi="宋体" w:cs="宋体"/>
                <w:color w:val="auto"/>
                <w:sz w:val="22"/>
                <w:highlight w:val="none"/>
              </w:rPr>
            </w:r>
            <w:r/>
          </w:p>
          <w:p>
            <w:pPr>
              <w:widowControl w:val="off"/>
              <w:rPr>
                <w:rFonts w:ascii="宋体" w:hAnsi="宋体" w:cs="宋体"/>
                <w:color w:val="auto"/>
                <w:sz w:val="22"/>
                <w:highlight w:val="none"/>
              </w:rPr>
            </w:pPr>
            <w:r>
              <w:rPr>
                <w:rFonts w:hint="eastAsia" w:ascii="宋体" w:hAnsi="宋体" w:cs="宋体"/>
                <w:color w:val="auto"/>
                <w:sz w:val="22"/>
                <w:highlight w:val="none"/>
              </w:rPr>
              <w:t xml:space="preserve">□代建单位（如有）：</w:t>
            </w:r>
            <w:r/>
          </w:p>
          <w:p>
            <w:pPr>
              <w:widowControl w:val="off"/>
              <w:rPr>
                <w:rFonts w:ascii="宋体" w:hAnsi="宋体" w:cs="宋体"/>
                <w:color w:val="auto"/>
                <w:sz w:val="22"/>
                <w:highlight w:val="none"/>
              </w:rPr>
            </w:pPr>
            <w:r>
              <w:rPr>
                <w:rFonts w:hint="eastAsia" w:ascii="宋体" w:hAnsi="宋体" w:cs="宋体"/>
                <w:color w:val="auto"/>
                <w:sz w:val="22"/>
                <w:highlight w:val="none"/>
              </w:rPr>
              <w:t xml:space="preserve">（姓名+单位+所属部门）</w:t>
            </w:r>
            <w:r/>
          </w:p>
          <w:p>
            <w:pPr>
              <w:widowControl w:val="off"/>
              <w:rPr>
                <w:rFonts w:ascii="宋体" w:hAnsi="宋体" w:cs="宋体"/>
                <w:color w:val="auto"/>
                <w:sz w:val="22"/>
                <w:highlight w:val="none"/>
              </w:rPr>
            </w:pPr>
            <w:r>
              <w:rPr>
                <w:rFonts w:ascii="宋体" w:hAnsi="宋体" w:cs="宋体"/>
                <w:color w:val="auto"/>
                <w:sz w:val="22"/>
                <w:highlight w:val="none"/>
              </w:rPr>
            </w:r>
            <w:r/>
          </w:p>
          <w:p>
            <w:pPr>
              <w:widowControl w:val="off"/>
              <w:rPr>
                <w:rFonts w:ascii="宋体" w:hAnsi="宋体" w:cs="宋体"/>
                <w:color w:val="auto"/>
                <w:sz w:val="22"/>
                <w:highlight w:val="none"/>
              </w:rPr>
            </w:pPr>
            <w:r>
              <w:rPr>
                <w:rFonts w:hint="eastAsia" w:ascii="Segoe UI Symbol" w:hAnsi="Segoe UI Symbol" w:cs="Segoe UI Symbol"/>
                <w:color w:val="auto"/>
                <w:sz w:val="22"/>
                <w:highlight w:val="none"/>
              </w:rPr>
              <w:t xml:space="preserve">□</w:t>
            </w:r>
            <w:r>
              <w:rPr>
                <w:rFonts w:hint="eastAsia" w:ascii="宋体" w:hAnsi="宋体" w:cs="宋体"/>
                <w:color w:val="auto"/>
                <w:sz w:val="22"/>
                <w:highlight w:val="none"/>
              </w:rPr>
              <w:t xml:space="preserve">受采购人委托的代理机构（如有）：</w:t>
            </w:r>
            <w:r/>
          </w:p>
          <w:p>
            <w:pPr>
              <w:widowControl w:val="off"/>
              <w:rPr>
                <w:rFonts w:ascii="宋体" w:hAnsi="宋体" w:cs="宋体"/>
                <w:color w:val="auto"/>
                <w:sz w:val="22"/>
                <w:highlight w:val="none"/>
              </w:rPr>
            </w:pPr>
            <w:r>
              <w:rPr>
                <w:rFonts w:hint="eastAsia" w:ascii="宋体" w:hAnsi="宋体" w:cs="宋体"/>
                <w:color w:val="auto"/>
                <w:sz w:val="22"/>
                <w:highlight w:val="none"/>
              </w:rPr>
              <w:t xml:space="preserve">*前期参与采购活动的采购代理机构工作人员不得参与验收</w:t>
            </w:r>
            <w:r/>
          </w:p>
          <w:p>
            <w:pPr>
              <w:widowControl w:val="off"/>
              <w:rPr>
                <w:rFonts w:ascii="宋体" w:hAnsi="宋体" w:cs="宋体"/>
                <w:color w:val="auto"/>
                <w:sz w:val="22"/>
                <w:highlight w:val="none"/>
              </w:rPr>
            </w:pPr>
            <w:r>
              <w:rPr>
                <w:rFonts w:hint="eastAsia" w:ascii="宋体" w:hAnsi="宋体" w:cs="宋体"/>
                <w:color w:val="auto"/>
                <w:sz w:val="22"/>
                <w:highlight w:val="none"/>
              </w:rPr>
              <w:t xml:space="preserve">（姓名）</w:t>
            </w:r>
            <w:r/>
          </w:p>
          <w:p>
            <w:pPr>
              <w:widowControl w:val="off"/>
              <w:rPr>
                <w:rFonts w:ascii="宋体" w:hAnsi="宋体" w:cs="宋体"/>
                <w:color w:val="auto"/>
                <w:sz w:val="22"/>
                <w:highlight w:val="none"/>
              </w:rPr>
            </w:pPr>
            <w:r>
              <w:rPr>
                <w:rFonts w:ascii="宋体" w:hAnsi="宋体" w:cs="宋体"/>
                <w:color w:val="auto"/>
                <w:sz w:val="22"/>
                <w:highlight w:val="none"/>
              </w:rPr>
            </w:r>
            <w:r/>
          </w:p>
          <w:p>
            <w:pPr>
              <w:widowControl w:val="off"/>
              <w:rPr>
                <w:rFonts w:ascii="宋体" w:hAnsi="宋体" w:cs="宋体"/>
                <w:color w:val="auto"/>
                <w:sz w:val="22"/>
                <w:highlight w:val="none"/>
              </w:rPr>
            </w:pPr>
            <w:r>
              <w:rPr>
                <w:rFonts w:hint="eastAsia" w:ascii="宋体" w:hAnsi="宋体" w:cs="宋体"/>
                <w:color w:val="auto"/>
                <w:sz w:val="22"/>
                <w:highlight w:val="none"/>
              </w:rPr>
              <w:t xml:space="preserve">□采购人委托的专家（如有）：  </w:t>
            </w:r>
            <w:r/>
          </w:p>
          <w:p>
            <w:pPr>
              <w:widowControl w:val="off"/>
              <w:rPr>
                <w:rFonts w:ascii="宋体" w:hAnsi="宋体" w:cs="宋体"/>
                <w:color w:val="auto"/>
                <w:sz w:val="22"/>
                <w:highlight w:val="none"/>
              </w:rPr>
            </w:pPr>
            <w:r>
              <w:rPr>
                <w:rFonts w:hint="eastAsia" w:ascii="宋体" w:hAnsi="宋体" w:cs="宋体"/>
                <w:color w:val="auto"/>
                <w:sz w:val="22"/>
                <w:highlight w:val="none"/>
              </w:rPr>
              <w:t xml:space="preserve">（姓名+单位）</w:t>
            </w:r>
            <w:r/>
          </w:p>
          <w:p>
            <w:pPr>
              <w:widowControl w:val="off"/>
              <w:rPr>
                <w:rFonts w:ascii="宋体" w:hAnsi="宋体" w:cs="宋体"/>
                <w:color w:val="auto"/>
                <w:sz w:val="22"/>
                <w:highlight w:val="none"/>
              </w:rPr>
            </w:pPr>
            <w:r>
              <w:rPr>
                <w:rFonts w:hint="eastAsia" w:ascii="宋体" w:hAnsi="宋体" w:cs="宋体"/>
                <w:color w:val="auto"/>
                <w:sz w:val="22"/>
                <w:highlight w:val="none"/>
              </w:rPr>
              <w:t xml:space="preserve">*前期参与采购活动的评审专家不得参与验收</w:t>
            </w:r>
            <w:r/>
          </w:p>
        </w:tc>
        <w:tc>
          <w:tcPr>
            <w:gridSpan w:val="2"/>
            <w:tcBorders>
              <w:top w:val="single" w:color="auto" w:sz="4" w:space="0"/>
              <w:left w:val="single" w:color="auto" w:sz="4" w:space="0"/>
              <w:bottom w:val="single" w:color="auto" w:sz="4" w:space="0"/>
              <w:right w:val="single" w:color="auto" w:sz="4" w:space="0"/>
            </w:tcBorders>
            <w:tcW w:w="1207" w:type="pct"/>
            <w:vAlign w:val="center"/>
            <w:textDirection w:val="lrTb"/>
            <w:noWrap w:val="false"/>
          </w:tcPr>
          <w:p>
            <w:pPr>
              <w:widowControl w:val="off"/>
              <w:rPr>
                <w:rFonts w:ascii="宋体" w:hAnsi="宋体" w:cs="宋体"/>
                <w:color w:val="auto"/>
                <w:sz w:val="22"/>
                <w:highlight w:val="none"/>
              </w:rPr>
            </w:pPr>
            <w:r>
              <w:rPr>
                <w:rFonts w:hint="eastAsia" w:ascii="宋体" w:hAnsi="宋体" w:cs="宋体"/>
                <w:color w:val="auto"/>
                <w:sz w:val="22"/>
                <w:highlight w:val="none"/>
              </w:rPr>
              <w:t xml:space="preserve">□服务时间、进度是否足额</w:t>
            </w:r>
            <w:r/>
          </w:p>
        </w:tc>
        <w:tc>
          <w:tcPr>
            <w:tcBorders>
              <w:top w:val="single" w:color="auto" w:sz="4" w:space="0"/>
              <w:left w:val="single" w:color="auto" w:sz="4" w:space="0"/>
              <w:bottom w:val="single" w:color="auto" w:sz="4" w:space="0"/>
              <w:right w:val="single" w:color="auto" w:sz="4" w:space="0"/>
            </w:tcBorders>
            <w:tcW w:w="730" w:type="pct"/>
            <w:vAlign w:val="center"/>
            <w:textDirection w:val="lrTb"/>
            <w:noWrap w:val="false"/>
          </w:tcPr>
          <w:p>
            <w:pPr>
              <w:widowControl w:val="off"/>
              <w:rPr>
                <w:rFonts w:ascii="宋体" w:hAnsi="宋体" w:cs="宋体"/>
                <w:color w:val="auto"/>
                <w:sz w:val="22"/>
                <w:highlight w:val="none"/>
              </w:rPr>
            </w:pPr>
            <w:r>
              <w:rPr>
                <w:rFonts w:hint="eastAsia" w:ascii="宋体" w:hAnsi="宋体" w:cs="宋体"/>
                <w:color w:val="auto"/>
                <w:sz w:val="22"/>
                <w:highlight w:val="none"/>
              </w:rPr>
              <w:t xml:space="preserve">□合格</w:t>
            </w:r>
            <w:r/>
          </w:p>
          <w:p>
            <w:pPr>
              <w:widowControl w:val="off"/>
              <w:rPr>
                <w:rFonts w:ascii="宋体" w:hAnsi="宋体" w:cs="宋体"/>
                <w:color w:val="auto"/>
                <w:sz w:val="22"/>
                <w:highlight w:val="none"/>
              </w:rPr>
            </w:pPr>
            <w:r>
              <w:rPr>
                <w:rFonts w:hint="eastAsia" w:ascii="宋体" w:hAnsi="宋体" w:cs="宋体"/>
                <w:color w:val="auto"/>
                <w:sz w:val="22"/>
                <w:highlight w:val="none"/>
              </w:rPr>
              <w:t xml:space="preserve">□不合格</w:t>
            </w:r>
            <w:r/>
          </w:p>
        </w:tc>
      </w:tr>
      <w:tr>
        <w:trPr>
          <w:jc w:val="center"/>
          <w:trHeight w:val="611"/>
        </w:trPr>
        <w:tc>
          <w:tcPr>
            <w:tcBorders>
              <w:left w:val="single" w:color="000000" w:sz="4" w:space="0"/>
              <w:right w:val="single" w:color="000000" w:sz="4" w:space="0"/>
            </w:tcBorders>
            <w:tcW w:w="857" w:type="pct"/>
            <w:vAlign w:val="center"/>
            <w:vMerge w:val="continue"/>
            <w:textDirection w:val="lrTb"/>
            <w:noWrap/>
          </w:tcPr>
          <w:p>
            <w:pPr>
              <w:widowControl w:val="off"/>
              <w:rPr>
                <w:color w:val="auto"/>
                <w:highlight w:val="none"/>
              </w:rPr>
            </w:pPr>
            <w:r>
              <w:rPr>
                <w:color w:val="auto"/>
                <w:highlight w:val="none"/>
              </w:rPr>
            </w:r>
            <w:r/>
          </w:p>
        </w:tc>
        <w:tc>
          <w:tcPr>
            <w:gridSpan w:val="2"/>
            <w:tcBorders>
              <w:left w:val="single" w:color="000000" w:sz="4" w:space="0"/>
              <w:right w:val="single" w:color="auto" w:sz="4" w:space="0"/>
            </w:tcBorders>
            <w:tcW w:w="2204" w:type="pct"/>
            <w:vMerge w:val="continue"/>
            <w:textDirection w:val="lrTb"/>
            <w:noWrap w:val="false"/>
          </w:tcPr>
          <w:p>
            <w:pPr>
              <w:widowControl w:val="off"/>
              <w:rPr>
                <w:rFonts w:ascii="宋体" w:hAnsi="宋体" w:cs="宋体"/>
                <w:color w:val="auto"/>
                <w:sz w:val="22"/>
                <w:highlight w:val="none"/>
              </w:rPr>
            </w:pPr>
            <w:r>
              <w:rPr>
                <w:rFonts w:ascii="宋体" w:hAnsi="宋体" w:cs="宋体"/>
                <w:color w:val="auto"/>
                <w:sz w:val="22"/>
                <w:highlight w:val="none"/>
              </w:rPr>
            </w:r>
            <w:r/>
          </w:p>
        </w:tc>
        <w:tc>
          <w:tcPr>
            <w:gridSpan w:val="2"/>
            <w:tcBorders>
              <w:top w:val="single" w:color="auto" w:sz="4" w:space="0"/>
              <w:left w:val="single" w:color="auto" w:sz="4" w:space="0"/>
              <w:bottom w:val="single" w:color="auto" w:sz="4" w:space="0"/>
              <w:right w:val="single" w:color="auto" w:sz="4" w:space="0"/>
            </w:tcBorders>
            <w:tcW w:w="1207" w:type="pct"/>
            <w:vAlign w:val="center"/>
            <w:textDirection w:val="lrTb"/>
            <w:noWrap w:val="false"/>
          </w:tcPr>
          <w:p>
            <w:pPr>
              <w:widowControl w:val="off"/>
              <w:rPr>
                <w:rFonts w:ascii="宋体" w:hAnsi="宋体" w:cs="宋体"/>
                <w:color w:val="auto"/>
                <w:sz w:val="22"/>
                <w:highlight w:val="none"/>
              </w:rPr>
            </w:pPr>
            <w:r>
              <w:rPr>
                <w:rFonts w:hint="eastAsia" w:ascii="宋体" w:hAnsi="宋体" w:cs="宋体"/>
                <w:color w:val="auto"/>
                <w:sz w:val="22"/>
                <w:highlight w:val="none"/>
              </w:rPr>
              <w:t xml:space="preserve">□服务范围是否完整</w:t>
            </w:r>
            <w:r/>
          </w:p>
        </w:tc>
        <w:tc>
          <w:tcPr>
            <w:tcBorders>
              <w:top w:val="single" w:color="auto" w:sz="4" w:space="0"/>
              <w:left w:val="single" w:color="auto" w:sz="4" w:space="0"/>
              <w:bottom w:val="single" w:color="auto" w:sz="4" w:space="0"/>
              <w:right w:val="single" w:color="auto" w:sz="4" w:space="0"/>
            </w:tcBorders>
            <w:tcW w:w="730" w:type="pct"/>
            <w:vAlign w:val="center"/>
            <w:textDirection w:val="lrTb"/>
            <w:noWrap w:val="false"/>
          </w:tcPr>
          <w:p>
            <w:pPr>
              <w:widowControl w:val="off"/>
              <w:rPr>
                <w:rFonts w:ascii="宋体" w:hAnsi="宋体" w:cs="宋体"/>
                <w:color w:val="auto"/>
                <w:sz w:val="22"/>
                <w:highlight w:val="none"/>
              </w:rPr>
            </w:pPr>
            <w:r>
              <w:rPr>
                <w:rFonts w:hint="eastAsia" w:ascii="宋体" w:hAnsi="宋体" w:cs="宋体"/>
                <w:color w:val="auto"/>
                <w:sz w:val="22"/>
                <w:highlight w:val="none"/>
              </w:rPr>
              <w:t xml:space="preserve">□合格</w:t>
            </w:r>
            <w:r/>
          </w:p>
          <w:p>
            <w:pPr>
              <w:widowControl w:val="off"/>
              <w:rPr>
                <w:rFonts w:ascii="宋体" w:hAnsi="宋体" w:cs="宋体"/>
                <w:color w:val="auto"/>
                <w:sz w:val="22"/>
                <w:highlight w:val="none"/>
              </w:rPr>
            </w:pPr>
            <w:r>
              <w:rPr>
                <w:rFonts w:hint="eastAsia" w:ascii="宋体" w:hAnsi="宋体" w:cs="宋体"/>
                <w:color w:val="auto"/>
                <w:sz w:val="22"/>
                <w:highlight w:val="none"/>
              </w:rPr>
              <w:t xml:space="preserve">□不合格</w:t>
            </w:r>
            <w:r/>
          </w:p>
        </w:tc>
      </w:tr>
      <w:tr>
        <w:trPr>
          <w:jc w:val="center"/>
          <w:trHeight w:val="611"/>
        </w:trPr>
        <w:tc>
          <w:tcPr>
            <w:tcBorders>
              <w:left w:val="single" w:color="000000" w:sz="4" w:space="0"/>
              <w:right w:val="single" w:color="000000" w:sz="4" w:space="0"/>
            </w:tcBorders>
            <w:tcW w:w="857" w:type="pct"/>
            <w:vAlign w:val="center"/>
            <w:vMerge w:val="continue"/>
            <w:textDirection w:val="lrTb"/>
            <w:noWrap/>
          </w:tcPr>
          <w:p>
            <w:pPr>
              <w:widowControl w:val="off"/>
              <w:rPr>
                <w:rFonts w:ascii="宋体" w:hAnsi="宋体" w:cs="宋体"/>
                <w:color w:val="auto"/>
                <w:sz w:val="22"/>
                <w:highlight w:val="none"/>
              </w:rPr>
            </w:pPr>
            <w:r>
              <w:rPr>
                <w:rFonts w:ascii="宋体" w:hAnsi="宋体" w:cs="宋体"/>
                <w:color w:val="auto"/>
                <w:sz w:val="22"/>
                <w:highlight w:val="none"/>
              </w:rPr>
            </w:r>
            <w:r/>
          </w:p>
        </w:tc>
        <w:tc>
          <w:tcPr>
            <w:gridSpan w:val="2"/>
            <w:tcBorders>
              <w:left w:val="single" w:color="000000" w:sz="4" w:space="0"/>
              <w:right w:val="single" w:color="auto" w:sz="4" w:space="0"/>
            </w:tcBorders>
            <w:tcW w:w="2204" w:type="pct"/>
            <w:vMerge w:val="continue"/>
            <w:textDirection w:val="lrTb"/>
            <w:noWrap w:val="false"/>
          </w:tcPr>
          <w:p>
            <w:pPr>
              <w:widowControl w:val="off"/>
              <w:rPr>
                <w:rFonts w:ascii="宋体" w:hAnsi="宋体" w:cs="宋体"/>
                <w:color w:val="auto"/>
                <w:sz w:val="22"/>
                <w:highlight w:val="none"/>
              </w:rPr>
            </w:pPr>
            <w:r>
              <w:rPr>
                <w:rFonts w:ascii="宋体" w:hAnsi="宋体" w:cs="宋体"/>
                <w:color w:val="auto"/>
                <w:sz w:val="22"/>
                <w:highlight w:val="none"/>
              </w:rPr>
            </w:r>
            <w:r/>
          </w:p>
        </w:tc>
        <w:tc>
          <w:tcPr>
            <w:gridSpan w:val="2"/>
            <w:tcBorders>
              <w:top w:val="single" w:color="auto" w:sz="4" w:space="0"/>
              <w:left w:val="single" w:color="auto" w:sz="4" w:space="0"/>
              <w:bottom w:val="single" w:color="auto" w:sz="4" w:space="0"/>
              <w:right w:val="single" w:color="auto" w:sz="4" w:space="0"/>
            </w:tcBorders>
            <w:tcW w:w="1207" w:type="pct"/>
            <w:vAlign w:val="center"/>
            <w:textDirection w:val="lrTb"/>
            <w:noWrap w:val="false"/>
          </w:tcPr>
          <w:p>
            <w:pPr>
              <w:widowControl w:val="off"/>
              <w:rPr>
                <w:rFonts w:ascii="宋体" w:hAnsi="宋体" w:cs="宋体"/>
                <w:color w:val="auto"/>
                <w:sz w:val="22"/>
                <w:highlight w:val="none"/>
              </w:rPr>
            </w:pPr>
            <w:r>
              <w:rPr>
                <w:rFonts w:hint="eastAsia" w:ascii="宋体" w:hAnsi="宋体" w:cs="宋体"/>
                <w:color w:val="auto"/>
                <w:sz w:val="22"/>
                <w:highlight w:val="none"/>
              </w:rPr>
              <w:t xml:space="preserve">□服务要求、行业和安全标准是否达标</w:t>
            </w:r>
            <w:r/>
          </w:p>
        </w:tc>
        <w:tc>
          <w:tcPr>
            <w:tcBorders>
              <w:top w:val="single" w:color="auto" w:sz="4" w:space="0"/>
              <w:left w:val="single" w:color="auto" w:sz="4" w:space="0"/>
              <w:bottom w:val="single" w:color="auto" w:sz="4" w:space="0"/>
              <w:right w:val="single" w:color="auto" w:sz="4" w:space="0"/>
            </w:tcBorders>
            <w:tcW w:w="730" w:type="pct"/>
            <w:vAlign w:val="center"/>
            <w:textDirection w:val="lrTb"/>
            <w:noWrap w:val="false"/>
          </w:tcPr>
          <w:p>
            <w:pPr>
              <w:widowControl w:val="off"/>
              <w:rPr>
                <w:rFonts w:ascii="宋体" w:hAnsi="宋体" w:cs="宋体"/>
                <w:color w:val="auto"/>
                <w:sz w:val="22"/>
                <w:highlight w:val="none"/>
              </w:rPr>
            </w:pPr>
            <w:r>
              <w:rPr>
                <w:rFonts w:hint="eastAsia" w:ascii="宋体" w:hAnsi="宋体" w:cs="宋体"/>
                <w:color w:val="auto"/>
                <w:sz w:val="22"/>
                <w:highlight w:val="none"/>
              </w:rPr>
              <w:t xml:space="preserve">□合格</w:t>
            </w:r>
            <w:r/>
          </w:p>
          <w:p>
            <w:pPr>
              <w:widowControl w:val="off"/>
              <w:rPr>
                <w:rFonts w:ascii="宋体" w:hAnsi="宋体" w:cs="宋体"/>
                <w:color w:val="auto"/>
                <w:sz w:val="22"/>
                <w:highlight w:val="none"/>
              </w:rPr>
            </w:pPr>
            <w:r>
              <w:rPr>
                <w:rFonts w:hint="eastAsia" w:ascii="宋体" w:hAnsi="宋体" w:cs="宋体"/>
                <w:color w:val="auto"/>
                <w:sz w:val="22"/>
                <w:highlight w:val="none"/>
              </w:rPr>
              <w:t xml:space="preserve">□不合格</w:t>
            </w:r>
            <w:r/>
          </w:p>
        </w:tc>
      </w:tr>
      <w:tr>
        <w:trPr>
          <w:jc w:val="center"/>
          <w:trHeight w:val="611"/>
        </w:trPr>
        <w:tc>
          <w:tcPr>
            <w:tcBorders>
              <w:left w:val="single" w:color="000000" w:sz="4" w:space="0"/>
              <w:right w:val="single" w:color="000000" w:sz="4" w:space="0"/>
            </w:tcBorders>
            <w:tcW w:w="857" w:type="pct"/>
            <w:vAlign w:val="center"/>
            <w:vMerge w:val="continue"/>
            <w:textDirection w:val="lrTb"/>
            <w:noWrap/>
          </w:tcPr>
          <w:p>
            <w:pPr>
              <w:widowControl w:val="off"/>
              <w:rPr>
                <w:rFonts w:ascii="宋体" w:hAnsi="宋体" w:cs="宋体"/>
                <w:color w:val="auto"/>
                <w:sz w:val="22"/>
                <w:highlight w:val="none"/>
              </w:rPr>
            </w:pPr>
            <w:r>
              <w:rPr>
                <w:rFonts w:ascii="宋体" w:hAnsi="宋体" w:cs="宋体"/>
                <w:color w:val="auto"/>
                <w:sz w:val="22"/>
                <w:highlight w:val="none"/>
              </w:rPr>
            </w:r>
            <w:r/>
          </w:p>
        </w:tc>
        <w:tc>
          <w:tcPr>
            <w:gridSpan w:val="2"/>
            <w:tcBorders>
              <w:left w:val="single" w:color="000000" w:sz="4" w:space="0"/>
              <w:right w:val="single" w:color="auto" w:sz="4" w:space="0"/>
            </w:tcBorders>
            <w:tcW w:w="2204" w:type="pct"/>
            <w:vMerge w:val="continue"/>
            <w:textDirection w:val="lrTb"/>
            <w:noWrap w:val="false"/>
          </w:tcPr>
          <w:p>
            <w:pPr>
              <w:widowControl w:val="off"/>
              <w:rPr>
                <w:rFonts w:ascii="宋体" w:hAnsi="宋体" w:cs="宋体"/>
                <w:color w:val="auto"/>
                <w:sz w:val="22"/>
                <w:highlight w:val="none"/>
              </w:rPr>
            </w:pPr>
            <w:r>
              <w:rPr>
                <w:rFonts w:ascii="宋体" w:hAnsi="宋体" w:cs="宋体"/>
                <w:color w:val="auto"/>
                <w:sz w:val="22"/>
                <w:highlight w:val="none"/>
              </w:rPr>
            </w:r>
            <w:r/>
          </w:p>
        </w:tc>
        <w:tc>
          <w:tcPr>
            <w:gridSpan w:val="2"/>
            <w:tcBorders>
              <w:top w:val="single" w:color="auto" w:sz="4" w:space="0"/>
              <w:left w:val="single" w:color="auto" w:sz="4" w:space="0"/>
              <w:bottom w:val="single" w:color="auto" w:sz="4" w:space="0"/>
              <w:right w:val="single" w:color="auto" w:sz="4" w:space="0"/>
            </w:tcBorders>
            <w:tcW w:w="1207" w:type="pct"/>
            <w:vAlign w:val="center"/>
            <w:textDirection w:val="lrTb"/>
            <w:noWrap w:val="false"/>
          </w:tcPr>
          <w:p>
            <w:pPr>
              <w:widowControl w:val="off"/>
              <w:rPr>
                <w:rFonts w:ascii="宋体" w:hAnsi="宋体" w:cs="宋体"/>
                <w:color w:val="auto"/>
                <w:sz w:val="22"/>
                <w:highlight w:val="none"/>
              </w:rPr>
            </w:pPr>
            <w:r>
              <w:rPr>
                <w:rFonts w:hint="eastAsia" w:ascii="宋体" w:hAnsi="宋体" w:cs="宋体"/>
                <w:color w:val="auto"/>
                <w:sz w:val="22"/>
                <w:highlight w:val="none"/>
              </w:rPr>
              <w:t xml:space="preserve">□项目需求、服务承诺是否实现</w:t>
            </w:r>
            <w:r/>
          </w:p>
        </w:tc>
        <w:tc>
          <w:tcPr>
            <w:tcBorders>
              <w:top w:val="single" w:color="auto" w:sz="4" w:space="0"/>
              <w:left w:val="single" w:color="auto" w:sz="4" w:space="0"/>
              <w:bottom w:val="single" w:color="auto" w:sz="4" w:space="0"/>
              <w:right w:val="single" w:color="auto" w:sz="4" w:space="0"/>
            </w:tcBorders>
            <w:tcW w:w="730" w:type="pct"/>
            <w:vAlign w:val="center"/>
            <w:textDirection w:val="lrTb"/>
            <w:noWrap w:val="false"/>
          </w:tcPr>
          <w:p>
            <w:pPr>
              <w:widowControl w:val="off"/>
              <w:rPr>
                <w:rFonts w:ascii="宋体" w:hAnsi="宋体" w:cs="宋体"/>
                <w:color w:val="auto"/>
                <w:sz w:val="22"/>
                <w:highlight w:val="none"/>
              </w:rPr>
            </w:pPr>
            <w:r>
              <w:rPr>
                <w:rFonts w:hint="eastAsia" w:ascii="宋体" w:hAnsi="宋体" w:cs="宋体"/>
                <w:color w:val="auto"/>
                <w:sz w:val="22"/>
                <w:highlight w:val="none"/>
              </w:rPr>
              <w:t xml:space="preserve">□合格</w:t>
            </w:r>
            <w:r/>
          </w:p>
          <w:p>
            <w:pPr>
              <w:widowControl w:val="off"/>
              <w:rPr>
                <w:rFonts w:ascii="宋体" w:hAnsi="宋体" w:cs="宋体"/>
                <w:color w:val="auto"/>
                <w:sz w:val="22"/>
                <w:highlight w:val="none"/>
              </w:rPr>
            </w:pPr>
            <w:r>
              <w:rPr>
                <w:rFonts w:hint="eastAsia" w:ascii="宋体" w:hAnsi="宋体" w:cs="宋体"/>
                <w:color w:val="auto"/>
                <w:sz w:val="22"/>
                <w:highlight w:val="none"/>
              </w:rPr>
              <w:t xml:space="preserve">□不合格</w:t>
            </w:r>
            <w:r/>
          </w:p>
        </w:tc>
      </w:tr>
      <w:tr>
        <w:trPr>
          <w:jc w:val="center"/>
          <w:trHeight w:val="611"/>
        </w:trPr>
        <w:tc>
          <w:tcPr>
            <w:tcBorders>
              <w:left w:val="single" w:color="000000" w:sz="4" w:space="0"/>
              <w:right w:val="single" w:color="000000" w:sz="4" w:space="0"/>
            </w:tcBorders>
            <w:tcW w:w="857" w:type="pct"/>
            <w:vAlign w:val="center"/>
            <w:vMerge w:val="continue"/>
            <w:textDirection w:val="lrTb"/>
            <w:noWrap/>
          </w:tcPr>
          <w:p>
            <w:pPr>
              <w:widowControl w:val="off"/>
              <w:rPr>
                <w:rFonts w:ascii="宋体" w:hAnsi="宋体" w:cs="宋体"/>
                <w:color w:val="auto"/>
                <w:sz w:val="22"/>
                <w:highlight w:val="none"/>
              </w:rPr>
            </w:pPr>
            <w:r>
              <w:rPr>
                <w:rFonts w:ascii="宋体" w:hAnsi="宋体" w:cs="宋体"/>
                <w:color w:val="auto"/>
                <w:sz w:val="22"/>
                <w:highlight w:val="none"/>
              </w:rPr>
            </w:r>
            <w:r/>
          </w:p>
        </w:tc>
        <w:tc>
          <w:tcPr>
            <w:gridSpan w:val="2"/>
            <w:tcBorders>
              <w:left w:val="single" w:color="000000" w:sz="4" w:space="0"/>
              <w:right w:val="single" w:color="auto" w:sz="4" w:space="0"/>
            </w:tcBorders>
            <w:tcW w:w="2204" w:type="pct"/>
            <w:vMerge w:val="continue"/>
            <w:textDirection w:val="lrTb"/>
            <w:noWrap w:val="false"/>
          </w:tcPr>
          <w:p>
            <w:pPr>
              <w:widowControl w:val="off"/>
              <w:rPr>
                <w:rFonts w:ascii="宋体" w:hAnsi="宋体" w:cs="宋体"/>
                <w:color w:val="auto"/>
                <w:sz w:val="22"/>
                <w:highlight w:val="none"/>
              </w:rPr>
            </w:pPr>
            <w:r>
              <w:rPr>
                <w:rFonts w:ascii="宋体" w:hAnsi="宋体" w:cs="宋体"/>
                <w:color w:val="auto"/>
                <w:sz w:val="22"/>
                <w:highlight w:val="none"/>
              </w:rPr>
            </w:r>
            <w:r/>
          </w:p>
        </w:tc>
        <w:tc>
          <w:tcPr>
            <w:gridSpan w:val="2"/>
            <w:tcBorders>
              <w:top w:val="single" w:color="auto" w:sz="4" w:space="0"/>
              <w:left w:val="single" w:color="auto" w:sz="4" w:space="0"/>
              <w:bottom w:val="single" w:color="auto" w:sz="4" w:space="0"/>
              <w:right w:val="single" w:color="auto" w:sz="4" w:space="0"/>
            </w:tcBorders>
            <w:tcW w:w="1207" w:type="pct"/>
            <w:vAlign w:val="center"/>
            <w:textDirection w:val="lrTb"/>
            <w:noWrap w:val="false"/>
          </w:tcPr>
          <w:p>
            <w:pPr>
              <w:widowControl w:val="off"/>
              <w:rPr>
                <w:rFonts w:ascii="宋体" w:hAnsi="宋体" w:cs="宋体"/>
                <w:color w:val="auto"/>
                <w:sz w:val="22"/>
                <w:highlight w:val="none"/>
              </w:rPr>
            </w:pPr>
            <w:r>
              <w:rPr>
                <w:rFonts w:hint="eastAsia" w:ascii="宋体" w:hAnsi="宋体" w:cs="宋体"/>
                <w:color w:val="auto"/>
                <w:sz w:val="22"/>
                <w:highlight w:val="none"/>
              </w:rPr>
              <w:t xml:space="preserve">□核查服务人员、设备是否一致</w:t>
            </w:r>
            <w:r/>
          </w:p>
        </w:tc>
        <w:tc>
          <w:tcPr>
            <w:tcBorders>
              <w:top w:val="single" w:color="auto" w:sz="4" w:space="0"/>
              <w:left w:val="single" w:color="auto" w:sz="4" w:space="0"/>
              <w:bottom w:val="single" w:color="auto" w:sz="4" w:space="0"/>
              <w:right w:val="single" w:color="auto" w:sz="4" w:space="0"/>
            </w:tcBorders>
            <w:tcW w:w="730" w:type="pct"/>
            <w:vAlign w:val="center"/>
            <w:textDirection w:val="lrTb"/>
            <w:noWrap w:val="false"/>
          </w:tcPr>
          <w:p>
            <w:pPr>
              <w:widowControl w:val="off"/>
              <w:rPr>
                <w:rFonts w:ascii="宋体" w:hAnsi="宋体" w:cs="宋体"/>
                <w:color w:val="auto"/>
                <w:sz w:val="22"/>
                <w:highlight w:val="none"/>
              </w:rPr>
            </w:pPr>
            <w:r>
              <w:rPr>
                <w:rFonts w:hint="eastAsia" w:ascii="宋体" w:hAnsi="宋体" w:cs="宋体"/>
                <w:color w:val="auto"/>
                <w:sz w:val="22"/>
                <w:highlight w:val="none"/>
              </w:rPr>
              <w:t xml:space="preserve">□合格</w:t>
            </w:r>
            <w:r/>
          </w:p>
          <w:p>
            <w:pPr>
              <w:widowControl w:val="off"/>
              <w:rPr>
                <w:rFonts w:ascii="宋体" w:hAnsi="宋体" w:cs="宋体"/>
                <w:color w:val="auto"/>
                <w:sz w:val="22"/>
                <w:highlight w:val="none"/>
              </w:rPr>
            </w:pPr>
            <w:r>
              <w:rPr>
                <w:rFonts w:hint="eastAsia" w:ascii="宋体" w:hAnsi="宋体" w:cs="宋体"/>
                <w:color w:val="auto"/>
                <w:sz w:val="22"/>
                <w:highlight w:val="none"/>
              </w:rPr>
              <w:t xml:space="preserve">□不合格</w:t>
            </w:r>
            <w:r/>
          </w:p>
        </w:tc>
      </w:tr>
      <w:tr>
        <w:trPr>
          <w:jc w:val="center"/>
          <w:trHeight w:val="611"/>
        </w:trPr>
        <w:tc>
          <w:tcPr>
            <w:tcBorders>
              <w:left w:val="single" w:color="000000" w:sz="4" w:space="0"/>
              <w:right w:val="single" w:color="000000" w:sz="4" w:space="0"/>
            </w:tcBorders>
            <w:tcW w:w="857" w:type="pct"/>
            <w:vAlign w:val="center"/>
            <w:vMerge w:val="continue"/>
            <w:textDirection w:val="lrTb"/>
            <w:noWrap/>
          </w:tcPr>
          <w:p>
            <w:pPr>
              <w:widowControl w:val="off"/>
              <w:rPr>
                <w:rFonts w:ascii="宋体" w:hAnsi="宋体" w:cs="宋体"/>
                <w:color w:val="auto"/>
                <w:sz w:val="22"/>
                <w:highlight w:val="none"/>
              </w:rPr>
            </w:pPr>
            <w:r>
              <w:rPr>
                <w:rFonts w:ascii="宋体" w:hAnsi="宋体" w:cs="宋体"/>
                <w:color w:val="auto"/>
                <w:sz w:val="22"/>
                <w:highlight w:val="none"/>
              </w:rPr>
            </w:r>
            <w:r/>
          </w:p>
        </w:tc>
        <w:tc>
          <w:tcPr>
            <w:gridSpan w:val="2"/>
            <w:tcBorders>
              <w:left w:val="single" w:color="000000" w:sz="4" w:space="0"/>
              <w:right w:val="single" w:color="auto" w:sz="4" w:space="0"/>
            </w:tcBorders>
            <w:tcW w:w="2204" w:type="pct"/>
            <w:vMerge w:val="continue"/>
            <w:textDirection w:val="lrTb"/>
            <w:noWrap w:val="false"/>
          </w:tcPr>
          <w:p>
            <w:pPr>
              <w:widowControl w:val="off"/>
              <w:rPr>
                <w:rFonts w:ascii="宋体" w:hAnsi="宋体" w:cs="宋体"/>
                <w:color w:val="auto"/>
                <w:sz w:val="22"/>
                <w:highlight w:val="none"/>
              </w:rPr>
            </w:pPr>
            <w:r>
              <w:rPr>
                <w:rFonts w:ascii="宋体" w:hAnsi="宋体" w:cs="宋体"/>
                <w:color w:val="auto"/>
                <w:sz w:val="22"/>
                <w:highlight w:val="none"/>
              </w:rPr>
            </w:r>
            <w:r/>
          </w:p>
        </w:tc>
        <w:tc>
          <w:tcPr>
            <w:gridSpan w:val="2"/>
            <w:tcBorders>
              <w:top w:val="single" w:color="auto" w:sz="4" w:space="0"/>
              <w:left w:val="single" w:color="auto" w:sz="4" w:space="0"/>
              <w:bottom w:val="single" w:color="auto" w:sz="4" w:space="0"/>
              <w:right w:val="single" w:color="auto" w:sz="4" w:space="0"/>
            </w:tcBorders>
            <w:tcW w:w="1207" w:type="pct"/>
            <w:vAlign w:val="center"/>
            <w:textDirection w:val="lrTb"/>
            <w:noWrap w:val="false"/>
          </w:tcPr>
          <w:p>
            <w:pPr>
              <w:widowControl w:val="off"/>
              <w:rPr>
                <w:rFonts w:ascii="宋体" w:hAnsi="宋体" w:cs="宋体"/>
                <w:color w:val="auto"/>
                <w:sz w:val="22"/>
                <w:highlight w:val="none"/>
              </w:rPr>
            </w:pPr>
            <w:r>
              <w:rPr>
                <w:rFonts w:hint="eastAsia" w:ascii="宋体" w:hAnsi="宋体" w:cs="宋体"/>
                <w:color w:val="auto"/>
                <w:sz w:val="22"/>
                <w:highlight w:val="none"/>
              </w:rPr>
              <w:t xml:space="preserve">□对照采购人需求，对服务内容中涉及专业领域的部分进行复核</w:t>
            </w:r>
            <w:r/>
          </w:p>
        </w:tc>
        <w:tc>
          <w:tcPr>
            <w:tcBorders>
              <w:top w:val="single" w:color="auto" w:sz="4" w:space="0"/>
              <w:left w:val="single" w:color="auto" w:sz="4" w:space="0"/>
              <w:bottom w:val="single" w:color="auto" w:sz="4" w:space="0"/>
              <w:right w:val="single" w:color="auto" w:sz="4" w:space="0"/>
            </w:tcBorders>
            <w:tcW w:w="730" w:type="pct"/>
            <w:vAlign w:val="center"/>
            <w:textDirection w:val="lrTb"/>
            <w:noWrap w:val="false"/>
          </w:tcPr>
          <w:p>
            <w:pPr>
              <w:widowControl w:val="off"/>
              <w:rPr>
                <w:rFonts w:ascii="宋体" w:hAnsi="宋体" w:cs="宋体"/>
                <w:color w:val="auto"/>
                <w:sz w:val="22"/>
                <w:highlight w:val="none"/>
              </w:rPr>
            </w:pPr>
            <w:r>
              <w:rPr>
                <w:rFonts w:hint="eastAsia" w:ascii="宋体" w:hAnsi="宋体" w:cs="宋体"/>
                <w:color w:val="auto"/>
                <w:sz w:val="22"/>
                <w:highlight w:val="none"/>
              </w:rPr>
              <w:t xml:space="preserve">□合格</w:t>
            </w:r>
            <w:r/>
          </w:p>
          <w:p>
            <w:pPr>
              <w:widowControl w:val="off"/>
              <w:rPr>
                <w:rFonts w:ascii="宋体" w:hAnsi="宋体" w:cs="宋体"/>
                <w:color w:val="auto"/>
                <w:sz w:val="22"/>
                <w:highlight w:val="none"/>
              </w:rPr>
            </w:pPr>
            <w:r>
              <w:rPr>
                <w:rFonts w:hint="eastAsia" w:ascii="宋体" w:hAnsi="宋体" w:cs="宋体"/>
                <w:color w:val="auto"/>
                <w:sz w:val="22"/>
                <w:highlight w:val="none"/>
              </w:rPr>
              <w:t xml:space="preserve">□不合格</w:t>
            </w:r>
            <w:r/>
          </w:p>
        </w:tc>
      </w:tr>
      <w:tr>
        <w:trPr>
          <w:jc w:val="center"/>
          <w:trHeight w:val="300"/>
        </w:trPr>
        <w:tc>
          <w:tcPr>
            <w:tcBorders>
              <w:left w:val="single" w:color="000000" w:sz="4" w:space="0"/>
              <w:bottom w:val="single" w:color="000000" w:sz="4" w:space="0"/>
              <w:right w:val="single" w:color="000000" w:sz="4" w:space="0"/>
            </w:tcBorders>
            <w:tcW w:w="857" w:type="pct"/>
            <w:vAlign w:val="center"/>
            <w:vMerge w:val="continue"/>
            <w:textDirection w:val="lrTb"/>
            <w:noWrap/>
          </w:tcPr>
          <w:p>
            <w:pPr>
              <w:widowControl w:val="off"/>
              <w:rPr>
                <w:rFonts w:ascii="宋体" w:hAnsi="宋体" w:cs="宋体"/>
                <w:color w:val="auto"/>
                <w:sz w:val="22"/>
                <w:highlight w:val="none"/>
              </w:rPr>
            </w:pPr>
            <w:r>
              <w:rPr>
                <w:rFonts w:ascii="宋体" w:hAnsi="宋体" w:cs="宋体"/>
                <w:color w:val="auto"/>
                <w:sz w:val="22"/>
                <w:highlight w:val="none"/>
              </w:rPr>
            </w:r>
            <w:r/>
          </w:p>
        </w:tc>
        <w:tc>
          <w:tcPr>
            <w:gridSpan w:val="2"/>
            <w:tcBorders>
              <w:left w:val="single" w:color="000000" w:sz="4" w:space="0"/>
              <w:right w:val="single" w:color="auto" w:sz="4" w:space="0"/>
            </w:tcBorders>
            <w:tcW w:w="2204" w:type="pct"/>
            <w:vMerge w:val="continue"/>
            <w:textDirection w:val="lrTb"/>
            <w:noWrap w:val="false"/>
          </w:tcPr>
          <w:p>
            <w:pPr>
              <w:widowControl w:val="off"/>
              <w:rPr>
                <w:rFonts w:ascii="宋体" w:hAnsi="宋体" w:cs="宋体"/>
                <w:color w:val="auto"/>
                <w:sz w:val="22"/>
                <w:highlight w:val="none"/>
              </w:rPr>
            </w:pPr>
            <w:r>
              <w:rPr>
                <w:rFonts w:ascii="宋体" w:hAnsi="宋体" w:cs="宋体"/>
                <w:color w:val="auto"/>
                <w:sz w:val="22"/>
                <w:highlight w:val="none"/>
              </w:rPr>
            </w:r>
            <w:r/>
          </w:p>
        </w:tc>
        <w:tc>
          <w:tcPr>
            <w:gridSpan w:val="2"/>
            <w:tcBorders>
              <w:top w:val="single" w:color="auto" w:sz="4" w:space="0"/>
              <w:left w:val="single" w:color="auto" w:sz="4" w:space="0"/>
              <w:bottom w:val="single" w:color="auto" w:sz="4" w:space="0"/>
              <w:right w:val="single" w:color="auto" w:sz="4" w:space="0"/>
            </w:tcBorders>
            <w:tcW w:w="1207" w:type="pct"/>
            <w:vAlign w:val="center"/>
            <w:textDirection w:val="lrTb"/>
            <w:noWrap w:val="false"/>
          </w:tcPr>
          <w:p>
            <w:pPr>
              <w:widowControl w:val="off"/>
              <w:rPr>
                <w:rFonts w:ascii="宋体" w:hAnsi="宋体" w:cs="宋体"/>
                <w:color w:val="auto"/>
                <w:sz w:val="22"/>
                <w:highlight w:val="none"/>
              </w:rPr>
            </w:pPr>
            <w:r>
              <w:rPr>
                <w:rFonts w:hint="eastAsia" w:ascii="宋体" w:hAnsi="宋体" w:cs="宋体"/>
                <w:color w:val="auto"/>
                <w:sz w:val="22"/>
                <w:highlight w:val="none"/>
              </w:rPr>
              <w:t xml:space="preserve">口合同履约时间、地点、方式</w:t>
            </w:r>
            <w:r/>
          </w:p>
        </w:tc>
        <w:tc>
          <w:tcPr>
            <w:tcBorders>
              <w:top w:val="single" w:color="auto" w:sz="4" w:space="0"/>
              <w:left w:val="single" w:color="auto" w:sz="4" w:space="0"/>
              <w:bottom w:val="single" w:color="auto" w:sz="4" w:space="0"/>
              <w:right w:val="single" w:color="auto" w:sz="4" w:space="0"/>
            </w:tcBorders>
            <w:tcW w:w="730" w:type="pct"/>
            <w:vAlign w:val="center"/>
            <w:textDirection w:val="lrTb"/>
            <w:noWrap w:val="false"/>
          </w:tcPr>
          <w:p>
            <w:pPr>
              <w:widowControl w:val="off"/>
              <w:rPr>
                <w:rFonts w:ascii="宋体" w:hAnsi="宋体" w:cs="宋体"/>
                <w:color w:val="auto"/>
                <w:sz w:val="22"/>
                <w:highlight w:val="none"/>
              </w:rPr>
            </w:pPr>
            <w:r>
              <w:rPr>
                <w:rFonts w:hint="eastAsia" w:ascii="宋体" w:hAnsi="宋体" w:cs="宋体"/>
                <w:color w:val="auto"/>
                <w:sz w:val="22"/>
                <w:highlight w:val="none"/>
              </w:rPr>
              <w:t xml:space="preserve">□合格</w:t>
            </w:r>
            <w:r/>
          </w:p>
          <w:p>
            <w:pPr>
              <w:widowControl w:val="off"/>
              <w:rPr>
                <w:rFonts w:ascii="宋体" w:hAnsi="宋体" w:cs="宋体"/>
                <w:color w:val="auto"/>
                <w:sz w:val="22"/>
                <w:highlight w:val="none"/>
              </w:rPr>
            </w:pPr>
            <w:r>
              <w:rPr>
                <w:rFonts w:hint="eastAsia" w:ascii="宋体" w:hAnsi="宋体" w:cs="宋体"/>
                <w:color w:val="auto"/>
                <w:sz w:val="22"/>
                <w:highlight w:val="none"/>
              </w:rPr>
              <w:t xml:space="preserve">□不合格</w:t>
            </w:r>
            <w:r/>
          </w:p>
        </w:tc>
      </w:tr>
      <w:tr>
        <w:trPr>
          <w:jc w:val="center"/>
          <w:trHeight w:val="300"/>
        </w:trPr>
        <w:tc>
          <w:tcPr>
            <w:tcBorders>
              <w:left w:val="single" w:color="000000" w:sz="4" w:space="0"/>
              <w:bottom w:val="single" w:color="000000" w:sz="4" w:space="0"/>
              <w:right w:val="single" w:color="000000" w:sz="4" w:space="0"/>
            </w:tcBorders>
            <w:tcW w:w="857" w:type="pct"/>
            <w:vAlign w:val="center"/>
            <w:vMerge w:val="continue"/>
            <w:textDirection w:val="lrTb"/>
            <w:noWrap/>
          </w:tcPr>
          <w:p>
            <w:pPr>
              <w:widowControl w:val="off"/>
              <w:rPr>
                <w:color w:val="auto"/>
                <w:highlight w:val="none"/>
              </w:rPr>
            </w:pPr>
            <w:r>
              <w:rPr>
                <w:color w:val="auto"/>
                <w:highlight w:val="none"/>
              </w:rPr>
            </w:r>
            <w:r/>
          </w:p>
        </w:tc>
        <w:tc>
          <w:tcPr>
            <w:gridSpan w:val="2"/>
            <w:tcBorders>
              <w:left w:val="single" w:color="000000" w:sz="4" w:space="0"/>
              <w:bottom w:val="single" w:color="000000" w:sz="4" w:space="0"/>
              <w:right w:val="single" w:color="auto" w:sz="4" w:space="0"/>
            </w:tcBorders>
            <w:tcW w:w="2204" w:type="pct"/>
            <w:vMerge w:val="continue"/>
            <w:textDirection w:val="lrTb"/>
            <w:noWrap w:val="false"/>
          </w:tcPr>
          <w:p>
            <w:pPr>
              <w:widowControl w:val="off"/>
              <w:rPr>
                <w:color w:val="auto"/>
                <w:highlight w:val="none"/>
              </w:rPr>
            </w:pPr>
            <w:r>
              <w:rPr>
                <w:color w:val="auto"/>
                <w:highlight w:val="none"/>
              </w:rPr>
            </w:r>
            <w:r/>
          </w:p>
        </w:tc>
        <w:tc>
          <w:tcPr>
            <w:gridSpan w:val="2"/>
            <w:tcBorders>
              <w:top w:val="single" w:color="auto" w:sz="4" w:space="0"/>
              <w:left w:val="single" w:color="auto" w:sz="4" w:space="0"/>
              <w:bottom w:val="single" w:color="auto" w:sz="4" w:space="0"/>
              <w:right w:val="single" w:color="auto" w:sz="4" w:space="0"/>
            </w:tcBorders>
            <w:tcW w:w="1207" w:type="pct"/>
            <w:vAlign w:val="center"/>
            <w:textDirection w:val="lrTb"/>
            <w:noWrap w:val="false"/>
          </w:tcPr>
          <w:p>
            <w:pPr>
              <w:widowControl w:val="off"/>
              <w:rPr>
                <w:rFonts w:ascii="宋体" w:hAnsi="宋体" w:cs="宋体"/>
                <w:color w:val="auto"/>
                <w:sz w:val="22"/>
                <w:highlight w:val="none"/>
              </w:rPr>
            </w:pPr>
            <w:r>
              <w:rPr>
                <w:rFonts w:hint="eastAsia" w:ascii="宋体" w:hAnsi="宋体" w:cs="宋体"/>
                <w:color w:val="auto"/>
                <w:sz w:val="22"/>
                <w:highlight w:val="none"/>
              </w:rPr>
              <w:t xml:space="preserve">口其他:</w:t>
            </w:r>
            <w:r/>
          </w:p>
        </w:tc>
        <w:tc>
          <w:tcPr>
            <w:tcBorders>
              <w:top w:val="single" w:color="auto" w:sz="4" w:space="0"/>
              <w:left w:val="single" w:color="auto" w:sz="4" w:space="0"/>
              <w:bottom w:val="single" w:color="auto" w:sz="4" w:space="0"/>
              <w:right w:val="single" w:color="auto" w:sz="4" w:space="0"/>
            </w:tcBorders>
            <w:tcW w:w="730" w:type="pct"/>
            <w:vAlign w:val="center"/>
            <w:textDirection w:val="lrTb"/>
            <w:noWrap w:val="false"/>
          </w:tcPr>
          <w:p>
            <w:pPr>
              <w:widowControl w:val="off"/>
              <w:rPr>
                <w:rFonts w:ascii="宋体" w:hAnsi="宋体" w:cs="宋体"/>
                <w:color w:val="auto"/>
                <w:sz w:val="22"/>
                <w:highlight w:val="none"/>
              </w:rPr>
            </w:pPr>
            <w:r>
              <w:rPr>
                <w:rFonts w:hint="eastAsia" w:ascii="宋体" w:hAnsi="宋体" w:cs="宋体"/>
                <w:color w:val="auto"/>
                <w:sz w:val="22"/>
                <w:highlight w:val="none"/>
              </w:rPr>
              <w:t xml:space="preserve">□合格</w:t>
            </w:r>
            <w:r/>
          </w:p>
          <w:p>
            <w:pPr>
              <w:widowControl w:val="off"/>
              <w:rPr>
                <w:rFonts w:ascii="宋体" w:hAnsi="宋体" w:cs="宋体"/>
                <w:color w:val="auto"/>
                <w:sz w:val="22"/>
                <w:highlight w:val="none"/>
              </w:rPr>
            </w:pPr>
            <w:r>
              <w:rPr>
                <w:rFonts w:hint="eastAsia" w:ascii="宋体" w:hAnsi="宋体" w:cs="宋体"/>
                <w:color w:val="auto"/>
                <w:sz w:val="22"/>
                <w:highlight w:val="none"/>
              </w:rPr>
              <w:t xml:space="preserve">□不合格</w:t>
            </w:r>
            <w:r/>
          </w:p>
        </w:tc>
      </w:tr>
      <w:tr>
        <w:trPr>
          <w:jc w:val="center"/>
          <w:trHeight w:val="900"/>
        </w:trPr>
        <w:tc>
          <w:tcPr>
            <w:tcBorders>
              <w:top w:val="single" w:color="000000" w:sz="4" w:space="0"/>
              <w:left w:val="single" w:color="000000" w:sz="4" w:space="0"/>
              <w:bottom w:val="none" w:color="000000" w:sz="4" w:space="0"/>
              <w:right w:val="single" w:color="000000" w:sz="4" w:space="0"/>
            </w:tcBorders>
            <w:tcW w:w="857" w:type="pct"/>
            <w:vAlign w:val="center"/>
            <w:vMerge w:val="restart"/>
            <w:textDirection w:val="lrTb"/>
            <w:noWrap/>
          </w:tcPr>
          <w:p>
            <w:pPr>
              <w:jc w:val="center"/>
              <w:widowControl w:val="off"/>
              <w:rPr>
                <w:rFonts w:ascii="宋体" w:hAnsi="宋体" w:cs="宋体"/>
                <w:color w:val="auto"/>
                <w:sz w:val="22"/>
                <w:highlight w:val="none"/>
              </w:rPr>
            </w:pPr>
            <w:r>
              <w:rPr>
                <w:rFonts w:hint="eastAsia" w:ascii="宋体" w:hAnsi="宋体" w:cs="宋体"/>
                <w:color w:val="auto"/>
                <w:sz w:val="22"/>
                <w:highlight w:val="none"/>
              </w:rPr>
              <w:t xml:space="preserve">验收参与人员</w:t>
            </w:r>
            <w:r/>
          </w:p>
          <w:p>
            <w:pPr>
              <w:jc w:val="center"/>
              <w:widowControl w:val="off"/>
              <w:rPr>
                <w:rFonts w:ascii="宋体" w:hAnsi="宋体" w:cs="宋体"/>
                <w:color w:val="auto"/>
                <w:sz w:val="22"/>
                <w:highlight w:val="none"/>
              </w:rPr>
            </w:pPr>
            <w:r>
              <w:rPr>
                <w:rFonts w:hint="eastAsia" w:ascii="宋体" w:hAnsi="宋体" w:cs="宋体"/>
                <w:color w:val="auto"/>
                <w:sz w:val="22"/>
                <w:highlight w:val="none"/>
              </w:rPr>
              <w:t xml:space="preserve">（如有）</w:t>
            </w:r>
            <w:r/>
          </w:p>
        </w:tc>
        <w:tc>
          <w:tcPr>
            <w:gridSpan w:val="2"/>
            <w:tcBorders>
              <w:top w:val="single" w:color="000000" w:sz="4" w:space="0"/>
              <w:left w:val="single" w:color="000000" w:sz="4" w:space="0"/>
              <w:bottom w:val="single" w:color="000000" w:sz="4" w:space="0"/>
              <w:right w:val="single" w:color="000000" w:sz="4" w:space="0"/>
            </w:tcBorders>
            <w:tcW w:w="2204" w:type="pct"/>
            <w:textDirection w:val="lrTb"/>
            <w:noWrap w:val="false"/>
          </w:tcPr>
          <w:p>
            <w:pPr>
              <w:widowControl w:val="off"/>
              <w:rPr>
                <w:rFonts w:ascii="宋体" w:hAnsi="宋体" w:cs="宋体"/>
                <w:color w:val="auto"/>
                <w:sz w:val="22"/>
                <w:highlight w:val="none"/>
              </w:rPr>
            </w:pPr>
            <w:r>
              <w:rPr>
                <w:rFonts w:hint="eastAsia" w:ascii="宋体" w:hAnsi="宋体" w:cs="宋体"/>
                <w:color w:val="auto"/>
                <w:sz w:val="22"/>
                <w:highlight w:val="none"/>
              </w:rPr>
              <w:t xml:space="preserve">□服务对象：</w:t>
            </w:r>
            <w:r/>
          </w:p>
        </w:tc>
        <w:tc>
          <w:tcPr>
            <w:gridSpan w:val="2"/>
            <w:tcBorders>
              <w:top w:val="single" w:color="auto" w:sz="4" w:space="0"/>
              <w:left w:val="single" w:color="000000" w:sz="4" w:space="0"/>
              <w:bottom w:val="single" w:color="000000" w:sz="4" w:space="0"/>
              <w:right w:val="single" w:color="000000" w:sz="4" w:space="0"/>
            </w:tcBorders>
            <w:tcW w:w="1207" w:type="pct"/>
            <w:vAlign w:val="center"/>
            <w:textDirection w:val="lrTb"/>
            <w:noWrap w:val="false"/>
          </w:tcPr>
          <w:p>
            <w:pPr>
              <w:widowControl w:val="off"/>
              <w:rPr>
                <w:rFonts w:ascii="宋体" w:hAnsi="宋体" w:cs="宋体"/>
                <w:color w:val="auto"/>
                <w:sz w:val="22"/>
                <w:highlight w:val="none"/>
              </w:rPr>
            </w:pPr>
            <w:r>
              <w:rPr>
                <w:rFonts w:hint="eastAsia" w:ascii="宋体" w:hAnsi="宋体" w:cs="宋体"/>
                <w:color w:val="auto"/>
                <w:sz w:val="22"/>
                <w:highlight w:val="none"/>
              </w:rPr>
              <w:t xml:space="preserve">服务对象满意度</w:t>
            </w:r>
            <w:r/>
          </w:p>
        </w:tc>
        <w:tc>
          <w:tcPr>
            <w:tcBorders>
              <w:top w:val="single" w:color="auto" w:sz="4" w:space="0"/>
              <w:left w:val="single" w:color="000000" w:sz="4" w:space="0"/>
              <w:bottom w:val="single" w:color="000000" w:sz="4" w:space="0"/>
              <w:right w:val="single" w:color="000000" w:sz="4" w:space="0"/>
            </w:tcBorders>
            <w:tcW w:w="730" w:type="pct"/>
            <w:vAlign w:val="center"/>
            <w:textDirection w:val="lrTb"/>
            <w:noWrap w:val="false"/>
          </w:tcPr>
          <w:p>
            <w:pPr>
              <w:widowControl w:val="off"/>
              <w:rPr>
                <w:rFonts w:ascii="宋体" w:hAnsi="宋体" w:cs="宋体"/>
                <w:color w:val="auto"/>
                <w:sz w:val="22"/>
                <w:highlight w:val="none"/>
              </w:rPr>
            </w:pPr>
            <w:r>
              <w:rPr>
                <w:rFonts w:hint="eastAsia" w:ascii="宋体" w:hAnsi="宋体" w:cs="宋体"/>
                <w:color w:val="auto"/>
                <w:sz w:val="22"/>
                <w:highlight w:val="none"/>
              </w:rPr>
              <w:t xml:space="preserve">□合格</w:t>
            </w:r>
            <w:r/>
          </w:p>
          <w:p>
            <w:pPr>
              <w:widowControl w:val="off"/>
              <w:rPr>
                <w:rFonts w:ascii="宋体" w:hAnsi="宋体" w:cs="宋体"/>
                <w:color w:val="auto"/>
                <w:sz w:val="22"/>
                <w:highlight w:val="none"/>
              </w:rPr>
            </w:pPr>
            <w:r>
              <w:rPr>
                <w:rFonts w:hint="eastAsia" w:ascii="宋体" w:hAnsi="宋体" w:cs="宋体"/>
                <w:color w:val="auto"/>
                <w:sz w:val="22"/>
                <w:highlight w:val="none"/>
              </w:rPr>
              <w:t xml:space="preserve">□不合格</w:t>
            </w:r>
            <w:r/>
          </w:p>
        </w:tc>
      </w:tr>
      <w:tr>
        <w:trPr>
          <w:jc w:val="center"/>
          <w:trHeight w:val="1200"/>
        </w:trPr>
        <w:tc>
          <w:tcPr>
            <w:tcBorders>
              <w:top w:val="single" w:color="000000" w:sz="4" w:space="0"/>
              <w:left w:val="single" w:color="000000" w:sz="4" w:space="0"/>
              <w:bottom w:val="none" w:color="000000" w:sz="4" w:space="0"/>
              <w:right w:val="single" w:color="000000" w:sz="4" w:space="0"/>
            </w:tcBorders>
            <w:tcW w:w="857" w:type="pct"/>
            <w:vAlign w:val="center"/>
            <w:vMerge w:val="continue"/>
            <w:textDirection w:val="lrTb"/>
            <w:noWrap/>
          </w:tcPr>
          <w:p>
            <w:pPr>
              <w:ind w:firstLine="440"/>
              <w:jc w:val="center"/>
              <w:widowControl w:val="off"/>
              <w:rPr>
                <w:rFonts w:ascii="宋体" w:hAnsi="宋体" w:cs="宋体"/>
                <w:color w:val="auto"/>
                <w:sz w:val="22"/>
                <w:highlight w:val="none"/>
              </w:rPr>
            </w:pPr>
            <w:r>
              <w:rPr>
                <w:rFonts w:ascii="宋体" w:hAnsi="宋体" w:cs="宋体"/>
                <w:color w:val="auto"/>
                <w:sz w:val="22"/>
                <w:highlight w:val="none"/>
              </w:rPr>
            </w:r>
            <w:r/>
          </w:p>
        </w:tc>
        <w:tc>
          <w:tcPr>
            <w:gridSpan w:val="2"/>
            <w:tcBorders>
              <w:top w:val="single" w:color="000000" w:sz="4" w:space="0"/>
              <w:left w:val="single" w:color="000000" w:sz="4" w:space="0"/>
              <w:bottom w:val="single" w:color="000000" w:sz="4" w:space="0"/>
              <w:right w:val="single" w:color="000000" w:sz="4" w:space="0"/>
            </w:tcBorders>
            <w:tcW w:w="2204" w:type="pct"/>
            <w:textDirection w:val="lrTb"/>
            <w:noWrap w:val="false"/>
          </w:tcPr>
          <w:p>
            <w:pPr>
              <w:widowControl w:val="off"/>
              <w:rPr>
                <w:rFonts w:ascii="宋体" w:hAnsi="宋体" w:cs="宋体"/>
                <w:color w:val="auto"/>
                <w:sz w:val="20"/>
                <w:szCs w:val="20"/>
                <w:highlight w:val="none"/>
              </w:rPr>
            </w:pPr>
            <w:r>
              <w:rPr>
                <w:rFonts w:hint="eastAsia" w:ascii="宋体" w:hAnsi="宋体" w:cs="宋体"/>
                <w:color w:val="auto"/>
                <w:sz w:val="22"/>
                <w:highlight w:val="none"/>
              </w:rPr>
              <w:t xml:space="preserve">□第三方专业机构：</w:t>
            </w:r>
            <w:r/>
          </w:p>
        </w:tc>
        <w:tc>
          <w:tcPr>
            <w:gridSpan w:val="2"/>
            <w:tcBorders>
              <w:top w:val="single" w:color="000000" w:sz="4" w:space="0"/>
              <w:left w:val="single" w:color="000000" w:sz="4" w:space="0"/>
              <w:bottom w:val="single" w:color="000000" w:sz="4" w:space="0"/>
              <w:right w:val="single" w:color="000000" w:sz="4" w:space="0"/>
            </w:tcBorders>
            <w:tcW w:w="1207" w:type="pct"/>
            <w:vAlign w:val="center"/>
            <w:textDirection w:val="lrTb"/>
            <w:noWrap w:val="false"/>
          </w:tcPr>
          <w:p>
            <w:pPr>
              <w:widowControl w:val="off"/>
              <w:rPr>
                <w:rFonts w:ascii="宋体" w:hAnsi="宋体" w:cs="宋体"/>
                <w:color w:val="auto"/>
                <w:sz w:val="20"/>
                <w:szCs w:val="20"/>
                <w:highlight w:val="none"/>
              </w:rPr>
            </w:pPr>
            <w:r>
              <w:rPr>
                <w:rFonts w:hint="eastAsia" w:ascii="宋体" w:hAnsi="宋体" w:cs="宋体"/>
                <w:color w:val="auto"/>
                <w:sz w:val="22"/>
                <w:highlight w:val="none"/>
              </w:rPr>
              <w:t xml:space="preserve">对照采购文件中服务需求，出具加盖公章的评估报告等</w:t>
            </w:r>
            <w:r/>
          </w:p>
        </w:tc>
        <w:tc>
          <w:tcPr>
            <w:tcBorders>
              <w:top w:val="single" w:color="000000" w:sz="4" w:space="0"/>
              <w:left w:val="single" w:color="000000" w:sz="4" w:space="0"/>
              <w:bottom w:val="single" w:color="000000" w:sz="4" w:space="0"/>
              <w:right w:val="single" w:color="000000" w:sz="4" w:space="0"/>
            </w:tcBorders>
            <w:tcW w:w="730" w:type="pct"/>
            <w:vAlign w:val="center"/>
            <w:textDirection w:val="lrTb"/>
            <w:noWrap w:val="false"/>
          </w:tcPr>
          <w:p>
            <w:pPr>
              <w:widowControl w:val="off"/>
              <w:rPr>
                <w:rFonts w:ascii="宋体" w:hAnsi="宋体" w:cs="宋体"/>
                <w:color w:val="auto"/>
                <w:sz w:val="22"/>
                <w:highlight w:val="none"/>
              </w:rPr>
            </w:pPr>
            <w:r>
              <w:rPr>
                <w:rFonts w:hint="eastAsia" w:ascii="宋体" w:hAnsi="宋体" w:cs="宋体"/>
                <w:color w:val="auto"/>
                <w:sz w:val="22"/>
                <w:highlight w:val="none"/>
              </w:rPr>
              <w:t xml:space="preserve">□合格</w:t>
            </w:r>
            <w:r/>
          </w:p>
          <w:p>
            <w:pPr>
              <w:widowControl w:val="off"/>
              <w:rPr>
                <w:rFonts w:ascii="宋体" w:hAnsi="宋体" w:cs="宋体"/>
                <w:color w:val="auto"/>
                <w:sz w:val="22"/>
                <w:highlight w:val="none"/>
              </w:rPr>
            </w:pPr>
            <w:r>
              <w:rPr>
                <w:rFonts w:hint="eastAsia" w:ascii="宋体" w:hAnsi="宋体" w:cs="宋体"/>
                <w:color w:val="auto"/>
                <w:sz w:val="22"/>
                <w:highlight w:val="none"/>
              </w:rPr>
              <w:t xml:space="preserve">□不合格</w:t>
            </w:r>
            <w:r/>
          </w:p>
        </w:tc>
      </w:tr>
      <w:tr>
        <w:trPr>
          <w:jc w:val="center"/>
          <w:trHeight w:val="675"/>
        </w:trPr>
        <w:tc>
          <w:tcPr>
            <w:tcBorders>
              <w:top w:val="single" w:color="000000" w:sz="4" w:space="0"/>
              <w:left w:val="single" w:color="000000" w:sz="4" w:space="0"/>
              <w:bottom w:val="none" w:color="000000" w:sz="4" w:space="0"/>
              <w:right w:val="single" w:color="000000" w:sz="4" w:space="0"/>
            </w:tcBorders>
            <w:tcW w:w="857" w:type="pct"/>
            <w:vAlign w:val="center"/>
            <w:vMerge w:val="continue"/>
            <w:textDirection w:val="lrTb"/>
            <w:noWrap/>
          </w:tcPr>
          <w:p>
            <w:pPr>
              <w:ind w:firstLine="440"/>
              <w:jc w:val="center"/>
              <w:widowControl w:val="off"/>
              <w:rPr>
                <w:rFonts w:ascii="宋体" w:hAnsi="宋体" w:cs="宋体"/>
                <w:color w:val="auto"/>
                <w:sz w:val="22"/>
                <w:highlight w:val="none"/>
              </w:rPr>
            </w:pPr>
            <w:r>
              <w:rPr>
                <w:rFonts w:ascii="宋体" w:hAnsi="宋体" w:cs="宋体"/>
                <w:color w:val="auto"/>
                <w:sz w:val="22"/>
                <w:highlight w:val="none"/>
              </w:rPr>
            </w:r>
            <w:r/>
          </w:p>
        </w:tc>
        <w:tc>
          <w:tcPr>
            <w:gridSpan w:val="2"/>
            <w:tcBorders>
              <w:top w:val="single" w:color="000000" w:sz="4" w:space="0"/>
              <w:left w:val="single" w:color="000000" w:sz="4" w:space="0"/>
              <w:bottom w:val="single" w:color="000000" w:sz="4" w:space="0"/>
              <w:right w:val="single" w:color="000000" w:sz="4" w:space="0"/>
            </w:tcBorders>
            <w:tcW w:w="2204" w:type="pct"/>
            <w:textDirection w:val="lrTb"/>
            <w:noWrap w:val="false"/>
          </w:tcPr>
          <w:p>
            <w:pPr>
              <w:widowControl w:val="off"/>
              <w:rPr>
                <w:rFonts w:ascii="宋体" w:hAnsi="宋体" w:cs="宋体"/>
                <w:color w:val="auto"/>
                <w:sz w:val="22"/>
                <w:highlight w:val="none"/>
              </w:rPr>
            </w:pPr>
            <w:r>
              <w:rPr>
                <w:rFonts w:hint="eastAsia" w:ascii="宋体" w:hAnsi="宋体" w:cs="宋体"/>
                <w:color w:val="auto"/>
                <w:sz w:val="22"/>
                <w:highlight w:val="none"/>
              </w:rPr>
              <w:t xml:space="preserve">□专家：</w:t>
            </w:r>
            <w:r/>
          </w:p>
        </w:tc>
        <w:tc>
          <w:tcPr>
            <w:gridSpan w:val="2"/>
            <w:tcBorders>
              <w:top w:val="single" w:color="000000" w:sz="4" w:space="0"/>
              <w:left w:val="single" w:color="000000" w:sz="4" w:space="0"/>
              <w:bottom w:val="single" w:color="000000" w:sz="4" w:space="0"/>
              <w:right w:val="single" w:color="000000" w:sz="4" w:space="0"/>
            </w:tcBorders>
            <w:tcW w:w="1207" w:type="pct"/>
            <w:vAlign w:val="center"/>
            <w:textDirection w:val="lrTb"/>
            <w:noWrap w:val="false"/>
          </w:tcPr>
          <w:p>
            <w:pPr>
              <w:widowControl w:val="off"/>
              <w:rPr>
                <w:rFonts w:ascii="宋体" w:hAnsi="宋体" w:cs="宋体"/>
                <w:color w:val="auto"/>
                <w:sz w:val="22"/>
                <w:highlight w:val="none"/>
              </w:rPr>
            </w:pPr>
            <w:r>
              <w:rPr>
                <w:rFonts w:hint="eastAsia" w:ascii="宋体" w:hAnsi="宋体" w:cs="宋体"/>
                <w:color w:val="auto"/>
                <w:sz w:val="22"/>
                <w:highlight w:val="none"/>
              </w:rPr>
              <w:t xml:space="preserve">出具书面意见</w:t>
            </w:r>
            <w:r/>
          </w:p>
        </w:tc>
        <w:tc>
          <w:tcPr>
            <w:tcBorders>
              <w:top w:val="single" w:color="000000" w:sz="4" w:space="0"/>
              <w:left w:val="single" w:color="000000" w:sz="4" w:space="0"/>
              <w:bottom w:val="single" w:color="000000" w:sz="4" w:space="0"/>
              <w:right w:val="single" w:color="000000" w:sz="4" w:space="0"/>
            </w:tcBorders>
            <w:tcW w:w="730" w:type="pct"/>
            <w:vAlign w:val="center"/>
            <w:textDirection w:val="lrTb"/>
            <w:noWrap w:val="false"/>
          </w:tcPr>
          <w:p>
            <w:pPr>
              <w:widowControl w:val="off"/>
              <w:rPr>
                <w:rFonts w:ascii="宋体" w:hAnsi="宋体" w:cs="宋体"/>
                <w:color w:val="auto"/>
                <w:sz w:val="22"/>
                <w:highlight w:val="none"/>
              </w:rPr>
            </w:pPr>
            <w:r>
              <w:rPr>
                <w:rFonts w:hint="eastAsia" w:ascii="宋体" w:hAnsi="宋体" w:cs="宋体"/>
                <w:color w:val="auto"/>
                <w:sz w:val="22"/>
                <w:highlight w:val="none"/>
              </w:rPr>
              <w:t xml:space="preserve">□合格</w:t>
            </w:r>
            <w:r/>
          </w:p>
          <w:p>
            <w:pPr>
              <w:widowControl w:val="off"/>
              <w:rPr>
                <w:rFonts w:ascii="宋体" w:hAnsi="宋体" w:cs="宋体"/>
                <w:color w:val="auto"/>
                <w:sz w:val="22"/>
                <w:highlight w:val="none"/>
              </w:rPr>
            </w:pPr>
            <w:r>
              <w:rPr>
                <w:rFonts w:hint="eastAsia" w:ascii="宋体" w:hAnsi="宋体" w:cs="宋体"/>
                <w:color w:val="auto"/>
                <w:sz w:val="22"/>
                <w:highlight w:val="none"/>
              </w:rPr>
              <w:t xml:space="preserve">□不合格</w:t>
            </w:r>
            <w:r/>
          </w:p>
        </w:tc>
      </w:tr>
      <w:tr>
        <w:trPr>
          <w:jc w:val="center"/>
          <w:trHeight w:val="675"/>
        </w:trPr>
        <w:tc>
          <w:tcPr>
            <w:tcBorders>
              <w:top w:val="single" w:color="000000" w:sz="4" w:space="0"/>
              <w:left w:val="single" w:color="000000" w:sz="4" w:space="0"/>
              <w:bottom w:val="none" w:color="000000" w:sz="4" w:space="0"/>
              <w:right w:val="single" w:color="000000" w:sz="4" w:space="0"/>
            </w:tcBorders>
            <w:tcW w:w="857" w:type="pct"/>
            <w:vAlign w:val="center"/>
            <w:vMerge w:val="continue"/>
            <w:textDirection w:val="lrTb"/>
            <w:noWrap/>
          </w:tcPr>
          <w:p>
            <w:pPr>
              <w:ind w:firstLine="440"/>
              <w:jc w:val="center"/>
              <w:widowControl w:val="off"/>
              <w:rPr>
                <w:rFonts w:ascii="宋体" w:hAnsi="宋体" w:cs="宋体"/>
                <w:color w:val="auto"/>
                <w:sz w:val="22"/>
                <w:highlight w:val="none"/>
              </w:rPr>
            </w:pPr>
            <w:r>
              <w:rPr>
                <w:rFonts w:ascii="宋体" w:hAnsi="宋体" w:cs="宋体"/>
                <w:color w:val="auto"/>
                <w:sz w:val="22"/>
                <w:highlight w:val="none"/>
              </w:rPr>
            </w:r>
            <w:r/>
          </w:p>
        </w:tc>
        <w:tc>
          <w:tcPr>
            <w:gridSpan w:val="2"/>
            <w:tcBorders>
              <w:top w:val="single" w:color="000000" w:sz="4" w:space="0"/>
              <w:left w:val="single" w:color="000000" w:sz="4" w:space="0"/>
              <w:bottom w:val="single" w:color="000000" w:sz="4" w:space="0"/>
              <w:right w:val="single" w:color="000000" w:sz="4" w:space="0"/>
            </w:tcBorders>
            <w:tcW w:w="2204" w:type="pct"/>
            <w:textDirection w:val="lrTb"/>
            <w:noWrap w:val="false"/>
          </w:tcPr>
          <w:p>
            <w:pPr>
              <w:widowControl w:val="off"/>
              <w:rPr>
                <w:rFonts w:ascii="宋体" w:hAnsi="宋体" w:cs="宋体"/>
                <w:color w:val="auto"/>
                <w:sz w:val="22"/>
                <w:highlight w:val="none"/>
              </w:rPr>
            </w:pPr>
            <w:r>
              <w:rPr>
                <w:rFonts w:hint="eastAsia" w:ascii="宋体" w:hAnsi="宋体" w:cs="宋体"/>
                <w:color w:val="auto"/>
                <w:sz w:val="22"/>
                <w:highlight w:val="none"/>
              </w:rPr>
              <w:t xml:space="preserve">□其他供应商：</w:t>
            </w:r>
            <w:r/>
          </w:p>
        </w:tc>
        <w:tc>
          <w:tcPr>
            <w:gridSpan w:val="2"/>
            <w:tcBorders>
              <w:top w:val="single" w:color="000000" w:sz="4" w:space="0"/>
              <w:left w:val="single" w:color="000000" w:sz="4" w:space="0"/>
              <w:bottom w:val="single" w:color="000000" w:sz="4" w:space="0"/>
              <w:right w:val="single" w:color="000000" w:sz="4" w:space="0"/>
            </w:tcBorders>
            <w:tcW w:w="1207" w:type="pct"/>
            <w:vAlign w:val="center"/>
            <w:textDirection w:val="lrTb"/>
            <w:noWrap w:val="false"/>
          </w:tcPr>
          <w:p>
            <w:pPr>
              <w:ind w:firstLine="440"/>
              <w:jc w:val="center"/>
              <w:widowControl w:val="off"/>
              <w:rPr>
                <w:rFonts w:ascii="宋体" w:hAnsi="宋体" w:cs="宋体"/>
                <w:color w:val="auto"/>
                <w:sz w:val="22"/>
                <w:highlight w:val="none"/>
              </w:rPr>
            </w:pPr>
            <w:r>
              <w:rPr>
                <w:rFonts w:ascii="宋体" w:hAnsi="宋体" w:cs="宋体"/>
                <w:color w:val="auto"/>
                <w:sz w:val="22"/>
                <w:highlight w:val="none"/>
              </w:rPr>
            </w:r>
            <w:r/>
          </w:p>
        </w:tc>
        <w:tc>
          <w:tcPr>
            <w:tcBorders>
              <w:top w:val="single" w:color="000000" w:sz="4" w:space="0"/>
              <w:left w:val="single" w:color="000000" w:sz="4" w:space="0"/>
              <w:bottom w:val="single" w:color="000000" w:sz="4" w:space="0"/>
              <w:right w:val="single" w:color="000000" w:sz="4" w:space="0"/>
            </w:tcBorders>
            <w:tcW w:w="730" w:type="pct"/>
            <w:vAlign w:val="center"/>
            <w:textDirection w:val="lrTb"/>
            <w:noWrap w:val="false"/>
          </w:tcPr>
          <w:p>
            <w:pPr>
              <w:widowControl w:val="off"/>
              <w:rPr>
                <w:rFonts w:ascii="宋体" w:hAnsi="宋体" w:cs="宋体"/>
                <w:color w:val="auto"/>
                <w:sz w:val="22"/>
                <w:highlight w:val="none"/>
              </w:rPr>
            </w:pPr>
            <w:r>
              <w:rPr>
                <w:rFonts w:hint="eastAsia" w:ascii="宋体" w:hAnsi="宋体" w:cs="宋体"/>
                <w:color w:val="auto"/>
                <w:sz w:val="22"/>
                <w:highlight w:val="none"/>
              </w:rPr>
              <w:t xml:space="preserve">□合格</w:t>
            </w:r>
            <w:r/>
          </w:p>
          <w:p>
            <w:pPr>
              <w:widowControl w:val="off"/>
              <w:rPr>
                <w:rFonts w:ascii="宋体" w:hAnsi="宋体" w:cs="宋体"/>
                <w:color w:val="auto"/>
                <w:sz w:val="22"/>
                <w:highlight w:val="none"/>
              </w:rPr>
            </w:pPr>
            <w:r>
              <w:rPr>
                <w:rFonts w:hint="eastAsia" w:ascii="宋体" w:hAnsi="宋体" w:cs="宋体"/>
                <w:color w:val="auto"/>
                <w:sz w:val="22"/>
                <w:highlight w:val="none"/>
              </w:rPr>
              <w:t xml:space="preserve">□不合格</w:t>
            </w:r>
            <w:r/>
          </w:p>
        </w:tc>
      </w:tr>
      <w:tr>
        <w:trPr>
          <w:jc w:val="center"/>
          <w:trHeight w:val="1400"/>
        </w:trPr>
        <w:tc>
          <w:tcPr>
            <w:tcBorders>
              <w:top w:val="single" w:color="000000" w:sz="4" w:space="0"/>
              <w:left w:val="single" w:color="000000" w:sz="4" w:space="0"/>
              <w:bottom w:val="single" w:color="000000" w:sz="4" w:space="0"/>
              <w:right w:val="single" w:color="000000" w:sz="4" w:space="0"/>
            </w:tcBorders>
            <w:tcW w:w="857" w:type="pct"/>
            <w:vAlign w:val="center"/>
            <w:textDirection w:val="lrTb"/>
            <w:noWrap/>
          </w:tcPr>
          <w:p>
            <w:pPr>
              <w:jc w:val="center"/>
              <w:widowControl w:val="off"/>
              <w:rPr>
                <w:rFonts w:ascii="宋体" w:hAnsi="宋体" w:cs="宋体"/>
                <w:color w:val="auto"/>
                <w:sz w:val="22"/>
                <w:highlight w:val="none"/>
              </w:rPr>
            </w:pPr>
            <w:r>
              <w:rPr>
                <w:rFonts w:hint="eastAsia" w:ascii="宋体" w:hAnsi="宋体" w:cs="宋体"/>
                <w:color w:val="auto"/>
                <w:sz w:val="22"/>
                <w:highlight w:val="none"/>
              </w:rPr>
              <w:t xml:space="preserve">验收意见</w:t>
            </w:r>
            <w:r/>
          </w:p>
        </w:tc>
        <w:tc>
          <w:tcPr>
            <w:gridSpan w:val="5"/>
            <w:tcBorders>
              <w:top w:val="single" w:color="000000" w:sz="4" w:space="0"/>
              <w:left w:val="single" w:color="000000" w:sz="4" w:space="0"/>
              <w:bottom w:val="single" w:color="000000" w:sz="4" w:space="0"/>
              <w:right w:val="single" w:color="000000" w:sz="4" w:space="0"/>
            </w:tcBorders>
            <w:tcW w:w="4142" w:type="pct"/>
            <w:vAlign w:val="bottom"/>
            <w:textDirection w:val="lrTb"/>
            <w:noWrap w:val="false"/>
          </w:tcPr>
          <w:p>
            <w:pPr>
              <w:widowControl w:val="off"/>
              <w:rPr>
                <w:rFonts w:ascii="宋体" w:hAnsi="宋体" w:cs="宋体"/>
                <w:color w:val="auto"/>
                <w:sz w:val="22"/>
                <w:highlight w:val="none"/>
              </w:rPr>
            </w:pPr>
            <w:r>
              <w:rPr>
                <w:rFonts w:hint="eastAsia" w:ascii="宋体" w:hAnsi="宋体" w:cs="宋体"/>
                <w:color w:val="auto"/>
                <w:sz w:val="22"/>
                <w:highlight w:val="none"/>
              </w:rPr>
              <w:t xml:space="preserve">（如意见一致，请全体验收小组成员分别签名，如有异议，请分别签署意见并签名）</w:t>
            </w:r>
            <w:r/>
          </w:p>
          <w:p>
            <w:pPr>
              <w:widowControl w:val="off"/>
              <w:rPr>
                <w:rFonts w:ascii="宋体" w:hAnsi="宋体" w:cs="宋体"/>
                <w:color w:val="auto"/>
                <w:sz w:val="22"/>
                <w:highlight w:val="none"/>
              </w:rPr>
            </w:pPr>
            <w:r>
              <w:rPr>
                <w:rFonts w:ascii="宋体" w:hAnsi="宋体" w:cs="宋体"/>
                <w:color w:val="auto"/>
                <w:sz w:val="22"/>
                <w:highlight w:val="none"/>
              </w:rPr>
            </w:r>
            <w:r/>
          </w:p>
          <w:p>
            <w:pPr>
              <w:widowControl w:val="off"/>
              <w:rPr>
                <w:rFonts w:ascii="宋体" w:hAnsi="宋体" w:cs="宋体"/>
                <w:color w:val="auto"/>
                <w:sz w:val="22"/>
                <w:highlight w:val="none"/>
              </w:rPr>
            </w:pPr>
            <w:r>
              <w:rPr>
                <w:rFonts w:ascii="宋体" w:hAnsi="宋体" w:cs="宋体"/>
                <w:color w:val="auto"/>
                <w:sz w:val="22"/>
                <w:highlight w:val="none"/>
              </w:rPr>
            </w:r>
            <w:r/>
          </w:p>
          <w:p>
            <w:pPr>
              <w:widowControl w:val="off"/>
              <w:rPr>
                <w:rFonts w:ascii="宋体" w:hAnsi="宋体" w:cs="宋体"/>
                <w:color w:val="auto"/>
                <w:sz w:val="22"/>
                <w:highlight w:val="none"/>
              </w:rPr>
            </w:pPr>
            <w:r>
              <w:rPr>
                <w:rFonts w:hint="eastAsia" w:ascii="宋体" w:hAnsi="宋体" w:cs="宋体"/>
                <w:color w:val="auto"/>
                <w:sz w:val="22"/>
                <w:highlight w:val="none"/>
              </w:rPr>
              <w:t xml:space="preserve">全体验收小组成员签字：                                            </w:t>
            </w:r>
            <w:r/>
          </w:p>
        </w:tc>
      </w:tr>
      <w:tr>
        <w:trPr>
          <w:jc w:val="center"/>
          <w:trHeight w:val="1400"/>
        </w:trPr>
        <w:tc>
          <w:tcPr>
            <w:tcBorders>
              <w:top w:val="single" w:color="000000" w:sz="4" w:space="0"/>
              <w:left w:val="single" w:color="000000" w:sz="4" w:space="0"/>
              <w:bottom w:val="single" w:color="000000" w:sz="4" w:space="0"/>
              <w:right w:val="single" w:color="000000" w:sz="4" w:space="0"/>
            </w:tcBorders>
            <w:tcW w:w="857" w:type="pct"/>
            <w:vAlign w:val="center"/>
            <w:textDirection w:val="lrTb"/>
            <w:noWrap/>
          </w:tcPr>
          <w:p>
            <w:pPr>
              <w:jc w:val="center"/>
              <w:widowControl w:val="off"/>
              <w:rPr>
                <w:rFonts w:ascii="宋体" w:hAnsi="宋体" w:cs="宋体"/>
                <w:color w:val="auto"/>
                <w:sz w:val="22"/>
                <w:highlight w:val="none"/>
              </w:rPr>
            </w:pPr>
            <w:r>
              <w:rPr>
                <w:rFonts w:hint="eastAsia" w:ascii="宋体" w:hAnsi="宋体" w:cs="宋体"/>
                <w:color w:val="auto"/>
                <w:sz w:val="22"/>
                <w:highlight w:val="none"/>
              </w:rPr>
              <w:t xml:space="preserve">异议复核</w:t>
            </w:r>
            <w:r/>
          </w:p>
        </w:tc>
        <w:tc>
          <w:tcPr>
            <w:gridSpan w:val="5"/>
            <w:tcBorders>
              <w:top w:val="single" w:color="000000" w:sz="4" w:space="0"/>
              <w:left w:val="single" w:color="000000" w:sz="4" w:space="0"/>
              <w:bottom w:val="single" w:color="000000" w:sz="4" w:space="0"/>
              <w:right w:val="single" w:color="000000" w:sz="4" w:space="0"/>
            </w:tcBorders>
            <w:tcW w:w="4142" w:type="pct"/>
            <w:vAlign w:val="center"/>
            <w:textDirection w:val="lrTb"/>
            <w:noWrap w:val="false"/>
          </w:tcPr>
          <w:p>
            <w:pPr>
              <w:widowControl w:val="off"/>
              <w:rPr>
                <w:rFonts w:ascii="宋体" w:hAnsi="宋体" w:cs="宋体"/>
                <w:color w:val="auto"/>
                <w:sz w:val="22"/>
                <w:highlight w:val="none"/>
              </w:rPr>
            </w:pPr>
            <w:r>
              <w:rPr>
                <w:rFonts w:hint="eastAsia" w:ascii="宋体" w:hAnsi="宋体" w:cs="宋体"/>
                <w:color w:val="auto"/>
                <w:sz w:val="22"/>
                <w:highlight w:val="none"/>
              </w:rPr>
              <w:t xml:space="preserve">异议事项：</w:t>
            </w:r>
            <w:r/>
          </w:p>
          <w:p>
            <w:pPr>
              <w:widowControl w:val="off"/>
              <w:rPr>
                <w:rFonts w:ascii="宋体" w:hAnsi="宋体" w:cs="宋体"/>
                <w:color w:val="auto"/>
                <w:sz w:val="22"/>
                <w:highlight w:val="none"/>
              </w:rPr>
            </w:pPr>
            <w:r>
              <w:rPr>
                <w:rFonts w:ascii="宋体" w:hAnsi="宋体" w:cs="宋体"/>
                <w:color w:val="auto"/>
                <w:sz w:val="22"/>
                <w:highlight w:val="none"/>
              </w:rPr>
            </w:r>
            <w:r/>
          </w:p>
          <w:p>
            <w:pPr>
              <w:widowControl w:val="off"/>
              <w:rPr>
                <w:rFonts w:ascii="宋体" w:hAnsi="宋体" w:cs="宋体"/>
                <w:color w:val="auto"/>
                <w:sz w:val="22"/>
                <w:highlight w:val="none"/>
              </w:rPr>
            </w:pPr>
            <w:r>
              <w:rPr>
                <w:rFonts w:hint="eastAsia" w:ascii="宋体" w:hAnsi="宋体" w:cs="宋体"/>
                <w:color w:val="auto"/>
                <w:sz w:val="22"/>
                <w:highlight w:val="none"/>
              </w:rPr>
              <w:t xml:space="preserve">复核意见：</w:t>
            </w:r>
            <w:r/>
          </w:p>
          <w:p>
            <w:pPr>
              <w:widowControl w:val="off"/>
              <w:rPr>
                <w:rFonts w:ascii="宋体" w:hAnsi="宋体" w:cs="宋体"/>
                <w:color w:val="auto"/>
                <w:sz w:val="22"/>
                <w:highlight w:val="none"/>
              </w:rPr>
            </w:pPr>
            <w:r>
              <w:rPr>
                <w:rFonts w:ascii="宋体" w:hAnsi="宋体" w:cs="宋体"/>
                <w:color w:val="auto"/>
                <w:sz w:val="22"/>
                <w:highlight w:val="none"/>
              </w:rPr>
            </w:r>
            <w:r/>
          </w:p>
          <w:p>
            <w:pPr>
              <w:widowControl w:val="off"/>
              <w:rPr>
                <w:rFonts w:ascii="宋体" w:hAnsi="宋体" w:cs="宋体"/>
                <w:color w:val="auto"/>
                <w:sz w:val="22"/>
                <w:highlight w:val="none"/>
              </w:rPr>
            </w:pPr>
            <w:r>
              <w:rPr>
                <w:rFonts w:hint="eastAsia" w:ascii="宋体" w:hAnsi="宋体" w:cs="宋体"/>
                <w:color w:val="auto"/>
                <w:sz w:val="22"/>
                <w:highlight w:val="none"/>
              </w:rPr>
              <w:t xml:space="preserve">签字：</w:t>
            </w:r>
            <w:r/>
          </w:p>
        </w:tc>
      </w:tr>
      <w:tr>
        <w:trPr>
          <w:jc w:val="center"/>
          <w:trHeight w:val="1400"/>
        </w:trPr>
        <w:tc>
          <w:tcPr>
            <w:tcBorders>
              <w:top w:val="single" w:color="000000" w:sz="4" w:space="0"/>
              <w:left w:val="single" w:color="000000" w:sz="4" w:space="0"/>
              <w:bottom w:val="single" w:color="000000" w:sz="4" w:space="0"/>
              <w:right w:val="single" w:color="000000" w:sz="4" w:space="0"/>
            </w:tcBorders>
            <w:tcW w:w="857" w:type="pct"/>
            <w:vAlign w:val="center"/>
            <w:textDirection w:val="lrTb"/>
            <w:noWrap/>
          </w:tcPr>
          <w:p>
            <w:pPr>
              <w:jc w:val="center"/>
              <w:widowControl w:val="off"/>
              <w:rPr>
                <w:rFonts w:ascii="宋体" w:hAnsi="宋体" w:cs="宋体"/>
                <w:color w:val="auto"/>
                <w:sz w:val="22"/>
                <w:highlight w:val="none"/>
              </w:rPr>
            </w:pPr>
            <w:r>
              <w:rPr>
                <w:rFonts w:hint="eastAsia" w:ascii="宋体" w:hAnsi="宋体" w:cs="宋体"/>
                <w:color w:val="auto"/>
                <w:sz w:val="22"/>
                <w:highlight w:val="none"/>
              </w:rPr>
              <w:t xml:space="preserve">验收结论</w:t>
            </w:r>
            <w:r/>
          </w:p>
        </w:tc>
        <w:tc>
          <w:tcPr>
            <w:gridSpan w:val="5"/>
            <w:tcBorders>
              <w:top w:val="single" w:color="000000" w:sz="4" w:space="0"/>
              <w:left w:val="single" w:color="000000" w:sz="4" w:space="0"/>
              <w:bottom w:val="single" w:color="000000" w:sz="4" w:space="0"/>
              <w:right w:val="single" w:color="000000" w:sz="4" w:space="0"/>
            </w:tcBorders>
            <w:tcW w:w="4142" w:type="pct"/>
            <w:vAlign w:val="center"/>
            <w:textDirection w:val="lrTb"/>
            <w:noWrap/>
          </w:tcPr>
          <w:p>
            <w:pPr>
              <w:ind w:firstLine="440"/>
              <w:widowControl w:val="off"/>
              <w:rPr>
                <w:rFonts w:ascii="宋体" w:hAnsi="宋体" w:cs="宋体"/>
                <w:color w:val="auto"/>
                <w:sz w:val="22"/>
                <w:highlight w:val="none"/>
              </w:rPr>
            </w:pPr>
            <w:r>
              <w:rPr>
                <w:rFonts w:hint="eastAsia" w:ascii="宋体" w:hAnsi="宋体" w:cs="宋体"/>
                <w:color w:val="auto"/>
                <w:sz w:val="22"/>
                <w:highlight w:val="none"/>
              </w:rPr>
              <w:t xml:space="preserve">（采购人签署验收意见并盖章）</w:t>
            </w:r>
            <w:r/>
          </w:p>
        </w:tc>
      </w:tr>
      <w:tr>
        <w:trPr>
          <w:jc w:val="center"/>
          <w:trHeight w:val="837"/>
        </w:trPr>
        <w:tc>
          <w:tcPr>
            <w:tcBorders>
              <w:top w:val="single" w:color="000000" w:sz="4" w:space="0"/>
              <w:left w:val="single" w:color="000000" w:sz="4" w:space="0"/>
              <w:bottom w:val="single" w:color="000000" w:sz="4" w:space="0"/>
              <w:right w:val="single" w:color="000000" w:sz="4" w:space="0"/>
            </w:tcBorders>
            <w:tcW w:w="857" w:type="pct"/>
            <w:vAlign w:val="center"/>
            <w:textDirection w:val="lrTb"/>
            <w:noWrap/>
          </w:tcPr>
          <w:p>
            <w:pPr>
              <w:jc w:val="center"/>
              <w:widowControl w:val="off"/>
              <w:rPr>
                <w:rFonts w:ascii="宋体" w:hAnsi="宋体" w:cs="宋体"/>
                <w:color w:val="auto"/>
                <w:sz w:val="22"/>
                <w:highlight w:val="none"/>
              </w:rPr>
            </w:pPr>
            <w:r>
              <w:rPr>
                <w:rFonts w:hint="eastAsia" w:ascii="宋体" w:hAnsi="宋体" w:cs="宋体"/>
                <w:color w:val="auto"/>
                <w:sz w:val="22"/>
                <w:highlight w:val="none"/>
              </w:rPr>
              <w:t xml:space="preserve">验收依据和过程</w:t>
            </w:r>
            <w:r/>
          </w:p>
        </w:tc>
        <w:tc>
          <w:tcPr>
            <w:gridSpan w:val="5"/>
            <w:tcBorders>
              <w:top w:val="single" w:color="000000" w:sz="4" w:space="0"/>
              <w:left w:val="single" w:color="000000" w:sz="4" w:space="0"/>
              <w:bottom w:val="single" w:color="000000" w:sz="4" w:space="0"/>
              <w:right w:val="single" w:color="000000" w:sz="4" w:space="0"/>
            </w:tcBorders>
            <w:tcW w:w="4142" w:type="pct"/>
            <w:vAlign w:val="center"/>
            <w:textDirection w:val="lrTb"/>
            <w:noWrap/>
          </w:tcPr>
          <w:p>
            <w:pPr>
              <w:ind w:firstLine="440"/>
              <w:widowControl w:val="off"/>
              <w:rPr>
                <w:rFonts w:ascii="宋体" w:hAnsi="宋体" w:cs="宋体"/>
                <w:color w:val="auto"/>
                <w:sz w:val="22"/>
                <w:highlight w:val="none"/>
              </w:rPr>
            </w:pPr>
            <w:r>
              <w:rPr>
                <w:rFonts w:ascii="宋体" w:hAnsi="宋体" w:cs="宋体"/>
                <w:color w:val="auto"/>
                <w:sz w:val="22"/>
                <w:highlight w:val="none"/>
              </w:rPr>
            </w:r>
            <w:r/>
          </w:p>
        </w:tc>
      </w:tr>
    </w:tbl>
    <w:p>
      <w:pPr>
        <w:spacing w:line="400" w:lineRule="exact"/>
        <w:widowControl w:val="off"/>
        <w:rPr>
          <w:rFonts w:ascii="宋体" w:hAnsi="宋体" w:cs="宋体"/>
          <w:color w:val="auto"/>
          <w:spacing w:val="-1"/>
          <w:sz w:val="1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pacing w:val="-1"/>
          <w:sz w:val="18"/>
          <w:highlight w:val="none"/>
        </w:rPr>
      </w:r>
      <w:r/>
    </w:p>
    <w:p>
      <w:pPr>
        <w:spacing w:line="400" w:lineRule="exact"/>
        <w:widowControl w:val="off"/>
        <w:rPr>
          <w:rFonts w:ascii="宋体" w:hAnsi="宋体" w:cs="宋体"/>
          <w:color w:val="auto"/>
          <w:spacing w:val="-1"/>
          <w:sz w:val="1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pacing w:val="-1"/>
          <w:sz w:val="18"/>
          <w:highlight w:val="none"/>
        </w:rPr>
      </w:r>
      <w:r/>
    </w:p>
    <w:p>
      <w:pPr>
        <w:spacing w:line="400" w:lineRule="exact"/>
        <w:widowControl w:val="off"/>
        <w:rPr>
          <w:rFonts w:ascii="宋体" w:hAnsi="宋体" w:cs="宋体"/>
          <w:color w:val="auto"/>
          <w:spacing w:val="-1"/>
          <w:sz w:val="18"/>
          <w:highlight w:val="none"/>
        </w:rPr>
        <w:pBdr>
          <w:top w:val="none" w:color="000000" w:sz="0" w:space="0"/>
          <w:left w:val="none" w:color="000000" w:sz="0" w:space="0"/>
          <w:bottom w:val="none" w:color="000000" w:sz="0" w:space="0"/>
          <w:right w:val="none" w:color="000000" w:sz="0" w:space="0"/>
        </w:pBdr>
        <w:sectPr>
          <w:footnotePr/>
          <w:endnotePr/>
          <w:type w:val="nextPage"/>
          <w:pgSz w:w="16838" w:h="11906" w:orient="landscape"/>
          <w:pgMar w:top="1179" w:right="1100" w:bottom="1179" w:left="1100" w:header="709" w:footer="709" w:gutter="0"/>
          <w:cols w:num="1" w:sep="0" w:space="1701" w:equalWidth="1"/>
          <w:docGrid w:linePitch="360"/>
        </w:sectPr>
      </w:pPr>
      <w:r>
        <w:rPr>
          <w:rFonts w:ascii="宋体" w:hAnsi="宋体" w:cs="宋体"/>
          <w:color w:val="auto"/>
          <w:spacing w:val="-1"/>
          <w:sz w:val="18"/>
          <w:highlight w:val="none"/>
        </w:rPr>
      </w:r>
      <w:r/>
    </w:p>
    <w:p>
      <w:pPr>
        <w:pStyle w:val="966"/>
        <w:jc w:val="center"/>
        <w:spacing w:before="75" w:beforeAutospacing="0" w:after="75" w:afterAutospacing="0"/>
        <w:widowControl w:val="off"/>
        <w:rPr>
          <w:rFonts w:hint="default" w:cs="宋体"/>
          <w:color w:val="auto"/>
          <w:spacing w:val="-1"/>
          <w:sz w:val="18"/>
          <w:szCs w:val="18"/>
          <w:highlight w:val="none"/>
        </w:rPr>
        <w:outlineLvl w:val="0"/>
      </w:pPr>
      <w:r/>
      <w:bookmarkStart w:id="81" w:name="_Toc7610"/>
      <w:r/>
      <w:bookmarkStart w:id="82" w:name="_Toc3895"/>
      <w:r/>
      <w:bookmarkStart w:id="83" w:name="_Toc19861"/>
      <w:r>
        <w:rPr>
          <w:rStyle w:val="933"/>
          <w:color w:val="auto"/>
          <w:sz w:val="32"/>
          <w:szCs w:val="32"/>
          <w:highlight w:val="none"/>
        </w:rPr>
        <w:t xml:space="preserve">第六章 评审方法及评分标准</w:t>
      </w:r>
      <w:bookmarkEnd w:id="81"/>
      <w:r/>
      <w:bookmarkEnd w:id="82"/>
      <w:r/>
      <w:bookmarkEnd w:id="83"/>
      <w:r/>
      <w:r/>
    </w:p>
    <w:p>
      <w:pPr>
        <w:ind w:firstLine="422"/>
        <w:spacing w:line="360" w:lineRule="auto"/>
        <w:widowControl w:val="off"/>
        <w:tabs>
          <w:tab w:val="left" w:pos="287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一、评审方法</w:t>
      </w:r>
      <w:r/>
    </w:p>
    <w:p>
      <w:pPr>
        <w:ind w:firstLine="42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本次磋商采用综合评分法，即响应文件满足采购文件全部实质性要求且按评审因素的量化指标评审得分最高的供应商为排名第一的成交候选供应商。采购人从评审报告提出的成交候选供应商中，按照排序由高到低的原则确定成交供应商。</w:t>
      </w:r>
      <w:r/>
    </w:p>
    <w:p>
      <w:pPr>
        <w:ind w:firstLine="42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2.磋商小组各成员独立对每个有效响应的文件进行评价、打分。</w:t>
      </w:r>
      <w:r/>
    </w:p>
    <w:p>
      <w:pPr>
        <w:ind w:firstLine="42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3.对评委的评分（除价格分外）进行统计汇总，直接算术平均计算出每个供应商的得分，加上价格得分即为每个供应商的综合得分。</w:t>
      </w:r>
      <w:r/>
    </w:p>
    <w:p>
      <w:pPr>
        <w:ind w:firstLine="42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4.如出现评审总得分最高的供应商有两个或两个以上的，以最后报价较低者优先作为成交候选供应商，如果最后报价也相同的，则由采购人或采购代理机构组织以抽签方式确定排名第一的成交候选供应商。</w:t>
      </w:r>
      <w:r/>
    </w:p>
    <w:p>
      <w:pPr>
        <w:ind w:firstLine="422"/>
        <w:jc w:val="both"/>
        <w:spacing w:line="360" w:lineRule="auto"/>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二、评分标准</w:t>
      </w:r>
      <w:r/>
    </w:p>
    <w:p>
      <w:pPr>
        <w:ind w:firstLine="422"/>
        <w:spacing w:line="360" w:lineRule="auto"/>
        <w:widowControl w:val="off"/>
        <w:rPr>
          <w:rFonts w:ascii="宋体" w:hAnsi="宋体" w:cs="宋体"/>
          <w:b/>
          <w:color w:val="auto"/>
          <w:sz w:val="21"/>
          <w:szCs w:val="21"/>
          <w:highlight w:val="none"/>
        </w:rPr>
      </w:pPr>
      <w:r>
        <w:rPr>
          <w:rFonts w:hint="eastAsia" w:ascii="宋体" w:hAnsi="宋体" w:cs="宋体"/>
          <w:b/>
          <w:color w:val="auto"/>
          <w:sz w:val="21"/>
          <w:szCs w:val="21"/>
          <w:highlight w:val="none"/>
        </w:rPr>
        <w:t xml:space="preserve">（一）报价得分（20分）</w:t>
      </w:r>
      <w:r/>
    </w:p>
    <w:p>
      <w:pPr>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1.价格分统一采用低价优先法计算，即满足磋商文件要求且最后报价最低的供应商的价格为磋商基准价，其价格分为20分。其他供应商的价格分统一按照下列公式计算：</w:t>
      </w:r>
      <w:r/>
    </w:p>
    <w:p>
      <w:pPr>
        <w:ind w:firstLine="42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磋商报价得分=（磋商基准价/最后磋商报价）×价格权值（本项目为20%）×100</w:t>
      </w:r>
      <w:r>
        <w:rPr>
          <w:rFonts w:hint="eastAsia" w:ascii="宋体" w:hAnsi="宋体" w:cs="宋体"/>
          <w:color w:val="auto"/>
          <w:sz w:val="21"/>
          <w:szCs w:val="21"/>
          <w:highlight w:val="none"/>
          <w:lang w:bidi="ar"/>
        </w:rPr>
        <w:t xml:space="preserve">（计算结果四舍五入保留小数点后两位）</w:t>
      </w:r>
      <w:r>
        <w:rPr>
          <w:rFonts w:hint="eastAsia" w:ascii="宋体" w:hAnsi="宋体" w:cs="宋体"/>
          <w:color w:val="auto"/>
          <w:sz w:val="21"/>
          <w:szCs w:val="21"/>
          <w:highlight w:val="none"/>
        </w:rPr>
        <w:t xml:space="preserve">。</w:t>
      </w:r>
      <w:r/>
    </w:p>
    <w:p>
      <w:pPr>
        <w:ind w:firstLine="422"/>
        <w:spacing w:line="360" w:lineRule="auto"/>
        <w:widowControl w:val="off"/>
        <w:rPr>
          <w:rFonts w:ascii="宋体" w:hAnsi="宋体" w:cs="宋体"/>
          <w:b/>
          <w:color w:val="auto"/>
          <w:sz w:val="21"/>
          <w:szCs w:val="21"/>
          <w:highlight w:val="none"/>
        </w:rPr>
      </w:pPr>
      <w:r/>
      <w:bookmarkStart w:id="84" w:name="OLE_LINK32"/>
      <w:r>
        <w:rPr>
          <w:rFonts w:hint="eastAsia" w:ascii="宋体" w:hAnsi="宋体" w:cs="宋体"/>
          <w:b/>
          <w:color w:val="auto"/>
          <w:sz w:val="21"/>
          <w:szCs w:val="21"/>
          <w:highlight w:val="none"/>
        </w:rPr>
        <w:t xml:space="preserve">（二）实施方案（46分）</w:t>
      </w:r>
      <w:r/>
    </w:p>
    <w:p>
      <w:pPr>
        <w:ind w:firstLine="422"/>
        <w:spacing w:line="360" w:lineRule="auto"/>
        <w:widowControl w:val="off"/>
        <w:rPr>
          <w:rFonts w:ascii="宋体" w:hAnsi="宋体" w:cs="宋体"/>
          <w:b/>
          <w:color w:val="auto"/>
          <w:sz w:val="21"/>
          <w:szCs w:val="21"/>
          <w:highlight w:val="none"/>
        </w:rPr>
      </w:pPr>
      <w:r>
        <w:rPr>
          <w:rFonts w:hint="eastAsia" w:ascii="宋体" w:hAnsi="宋体" w:cs="宋体"/>
          <w:b/>
          <w:color w:val="auto"/>
          <w:sz w:val="21"/>
          <w:szCs w:val="21"/>
          <w:highlight w:val="none"/>
        </w:rPr>
        <w:t xml:space="preserve">1.项目理解与分析（10分）</w:t>
      </w:r>
      <w:r/>
    </w:p>
    <w:p>
      <w:pPr>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供应商基于项目背景、服务内容及实际情况，详细阐述对本项目需求的理解和分析。理解透彻、思路清晰、可行性高、针对性强、符合项目实际的得10分；理解较透彻、思路较清晰、可行性较高、针对性较强、较符合项目实际的得7分；理解一般、思路一般、可行性、针对性一般、与项目实际符合性一般的得4分；理解不够透彻、思路模糊、可行性较差、针对性较差、不太符合项目实际的得1分；未提供相应内容的不得分。</w:t>
      </w:r>
      <w:r/>
    </w:p>
    <w:p>
      <w:pPr>
        <w:ind w:firstLine="422"/>
        <w:spacing w:line="360" w:lineRule="auto"/>
        <w:widowControl w:val="off"/>
        <w:rPr>
          <w:rFonts w:ascii="宋体" w:hAnsi="宋体" w:cs="宋体"/>
          <w:b/>
          <w:color w:val="auto"/>
          <w:sz w:val="21"/>
          <w:szCs w:val="21"/>
          <w:highlight w:val="none"/>
        </w:rPr>
      </w:pPr>
      <w:r>
        <w:rPr>
          <w:rFonts w:hint="eastAsia" w:ascii="宋体" w:hAnsi="宋体" w:cs="宋体"/>
          <w:b/>
          <w:color w:val="auto"/>
          <w:sz w:val="21"/>
          <w:szCs w:val="21"/>
          <w:highlight w:val="none"/>
        </w:rPr>
        <w:t xml:space="preserve">2.重难点分析（7分）</w:t>
      </w:r>
      <w:r/>
    </w:p>
    <w:p>
      <w:pPr>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评委根据供应商供应商针对针对本项目提供的重难点分析进行综合评审。供应商针对本项目的重点难点分析全面精准、切实合理的得7分；重点难点分析较全面、较合理的得4分；重点难点分析简略、合理性一般的得1分；未提供相应内容的不得分。</w:t>
      </w:r>
      <w:r/>
    </w:p>
    <w:p>
      <w:pPr>
        <w:ind w:firstLine="422"/>
        <w:spacing w:line="360" w:lineRule="auto"/>
        <w:widowControl w:val="off"/>
        <w:rPr>
          <w:rFonts w:ascii="宋体" w:hAnsi="宋体" w:cs="宋体"/>
          <w:b/>
          <w:color w:val="auto"/>
          <w:sz w:val="21"/>
          <w:szCs w:val="21"/>
          <w:highlight w:val="none"/>
        </w:rPr>
      </w:pPr>
      <w:r>
        <w:rPr>
          <w:rFonts w:hint="eastAsia" w:ascii="宋体" w:hAnsi="宋体" w:cs="宋体"/>
          <w:b/>
          <w:color w:val="auto"/>
          <w:sz w:val="21"/>
          <w:szCs w:val="21"/>
          <w:highlight w:val="none"/>
        </w:rPr>
        <w:t xml:space="preserve">3.网格化巡查工作方案（14分）</w:t>
      </w:r>
      <w:r/>
    </w:p>
    <w:p>
      <w:pPr>
        <w:ind w:firstLine="422"/>
        <w:spacing w:line="360" w:lineRule="auto"/>
        <w:widowControl w:val="off"/>
        <w:rPr>
          <w:rFonts w:ascii="宋体" w:hAnsi="宋体" w:cs="宋体"/>
          <w:b/>
          <w:color w:val="auto"/>
          <w:sz w:val="21"/>
          <w:szCs w:val="21"/>
          <w:highlight w:val="none"/>
        </w:rPr>
      </w:pPr>
      <w:r>
        <w:rPr>
          <w:rFonts w:hint="eastAsia" w:ascii="宋体" w:hAnsi="宋体" w:cs="宋体"/>
          <w:b/>
          <w:color w:val="auto"/>
          <w:sz w:val="21"/>
          <w:szCs w:val="21"/>
          <w:highlight w:val="none"/>
        </w:rPr>
        <w:t xml:space="preserve">（1）巡查工作方案（7分）</w:t>
      </w:r>
      <w:r/>
    </w:p>
    <w:p>
      <w:pPr>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供应商针对本项目提供的巡查工作方案，包括但不限于巡查对象范围、工作技术路线、巡查工作方法等；方案全面、巡查对象完整、技术路线合理、针对性强、与用户需求贴合度高的得7分；方案较全面、巡查对象较完整、技术路线较合理、针对性较强、与用户需求贴合度较高的得4分；方案不够全面、巡查对象有所缺失、技术路线合理性一般、针对性一般、与用户需求贴合度一般的得1分；未提供相应内容的不得分。</w:t>
      </w:r>
      <w:r/>
    </w:p>
    <w:p>
      <w:pPr>
        <w:ind w:firstLine="422"/>
        <w:spacing w:line="360" w:lineRule="auto"/>
        <w:widowControl w:val="off"/>
        <w:rPr>
          <w:rFonts w:ascii="宋体" w:hAnsi="宋体" w:cs="宋体"/>
          <w:b/>
          <w:color w:val="auto"/>
          <w:sz w:val="21"/>
          <w:szCs w:val="21"/>
          <w:highlight w:val="none"/>
        </w:rPr>
      </w:pPr>
      <w:r>
        <w:rPr>
          <w:rFonts w:hint="eastAsia" w:ascii="宋体" w:hAnsi="宋体" w:cs="宋体"/>
          <w:b/>
          <w:color w:val="auto"/>
          <w:sz w:val="21"/>
          <w:szCs w:val="21"/>
          <w:highlight w:val="none"/>
        </w:rPr>
        <w:t xml:space="preserve">（2）成果整理工作方案（7分）</w:t>
      </w:r>
      <w:r/>
    </w:p>
    <w:p>
      <w:pPr>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供应商针对本项目提供的成果整理工作方案，包括但不限于项目成果内容、成果形式、成果编制方法等；方案全面、合理、与用户需求贴合度高的得7分；方案较全面、较合理、与用户需求贴合度较高的得4分；方案不够全面、不够合理、与用户需求贴合度一般的得1分；未提供相应内容的不得分。</w:t>
      </w:r>
      <w:r/>
    </w:p>
    <w:p>
      <w:pPr>
        <w:ind w:firstLine="422"/>
        <w:spacing w:line="360" w:lineRule="auto"/>
        <w:widowControl w:val="off"/>
        <w:rPr>
          <w:rFonts w:ascii="宋体" w:hAnsi="宋体" w:cs="宋体"/>
          <w:b/>
          <w:color w:val="auto"/>
          <w:sz w:val="21"/>
          <w:szCs w:val="21"/>
          <w:highlight w:val="none"/>
        </w:rPr>
      </w:pPr>
      <w:r>
        <w:rPr>
          <w:rFonts w:hint="eastAsia" w:ascii="宋体" w:hAnsi="宋体" w:cs="宋体"/>
          <w:b/>
          <w:color w:val="auto"/>
          <w:sz w:val="21"/>
          <w:szCs w:val="21"/>
          <w:highlight w:val="none"/>
        </w:rPr>
        <w:t xml:space="preserve">4.项目响应时间（5分）</w:t>
      </w:r>
      <w:r/>
    </w:p>
    <w:p>
      <w:pPr>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供应商提供响应方案，方案需说明行程、交通方式的描述和行程截图（包括到达采购方单位和项目现场），方案能充分保证可到达的理由，响应效率高、保障性高的得5分；响应效率和保障性较高的得3分；响应效率和保障性一般的得1分；未提供相应内容的不得分。</w:t>
      </w:r>
      <w:r/>
    </w:p>
    <w:p>
      <w:pPr>
        <w:ind w:firstLine="422"/>
        <w:spacing w:line="360" w:lineRule="auto"/>
        <w:widowControl w:val="off"/>
        <w:rPr>
          <w:rFonts w:ascii="宋体" w:hAnsi="宋体" w:cs="宋体"/>
          <w:b/>
          <w:color w:val="auto"/>
          <w:sz w:val="21"/>
          <w:szCs w:val="21"/>
          <w:highlight w:val="none"/>
        </w:rPr>
      </w:pPr>
      <w:r>
        <w:rPr>
          <w:rFonts w:hint="eastAsia" w:ascii="宋体" w:hAnsi="宋体" w:cs="宋体"/>
          <w:b/>
          <w:color w:val="auto"/>
          <w:sz w:val="21"/>
          <w:szCs w:val="21"/>
          <w:highlight w:val="none"/>
        </w:rPr>
        <w:t xml:space="preserve">5.进度安排及控制措施（5分）</w:t>
      </w:r>
      <w:r/>
    </w:p>
    <w:p>
      <w:pPr>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针对本项目的进度安排及控制措施进行评审。进度安排及控制措施全面、透彻且详细，能建立专业化且有效的项目管理工作台账进行整体项目流程控制的得5分；进度安排及控制措施分析一般、较完整、项目管理工作台账较合理的得3分；进度安排及控制措施分析一般、不尽完整，未能建立专业化的项目管理工作台账的得1分；未提供相应内容的不得分。</w:t>
      </w:r>
      <w:r/>
    </w:p>
    <w:p>
      <w:pPr>
        <w:ind w:firstLine="422"/>
        <w:spacing w:line="360" w:lineRule="auto"/>
        <w:widowControl w:val="off"/>
        <w:rPr>
          <w:rFonts w:ascii="宋体" w:hAnsi="宋体" w:cs="宋体"/>
          <w:b/>
          <w:color w:val="auto"/>
          <w:sz w:val="21"/>
          <w:szCs w:val="21"/>
          <w:highlight w:val="none"/>
        </w:rPr>
      </w:pPr>
      <w:r>
        <w:rPr>
          <w:rFonts w:hint="eastAsia" w:ascii="宋体" w:hAnsi="宋体" w:cs="宋体"/>
          <w:b/>
          <w:color w:val="auto"/>
          <w:sz w:val="21"/>
          <w:szCs w:val="21"/>
          <w:highlight w:val="none"/>
        </w:rPr>
        <w:t xml:space="preserve">6.项目质量保证及安全保密措施（5分）</w:t>
      </w:r>
      <w:r/>
    </w:p>
    <w:p>
      <w:pPr>
        <w:ind w:firstLine="420"/>
        <w:spacing w:line="360" w:lineRule="auto"/>
        <w:widowControl w:val="off"/>
        <w:rPr>
          <w:rFonts w:ascii="宋体" w:hAnsi="宋体" w:cs="宋体"/>
          <w:bCs/>
          <w:color w:val="auto"/>
          <w:sz w:val="21"/>
          <w:szCs w:val="21"/>
          <w:highlight w:val="none"/>
        </w:rPr>
      </w:pPr>
      <w:r>
        <w:rPr>
          <w:rFonts w:hint="eastAsia" w:ascii="宋体" w:hAnsi="宋体" w:cs="宋体"/>
          <w:color w:val="auto"/>
          <w:sz w:val="21"/>
          <w:szCs w:val="21"/>
          <w:highlight w:val="none"/>
        </w:rPr>
        <w:t xml:space="preserve">针对本项目的质量保证及安全保密措施进行评审。质量保证及安全保密措施全面、透彻且详细的得5分；质量保证及安全保密措施分析一般、较完整的得3分；质量保证及安全保密措施分析简单、完整性一般的得1分；未提供相应内容的不得分。</w:t>
      </w:r>
      <w:r/>
    </w:p>
    <w:p>
      <w:pPr>
        <w:ind w:firstLine="422"/>
        <w:spacing w:line="360" w:lineRule="auto"/>
        <w:widowControl w:val="off"/>
        <w:rPr>
          <w:rFonts w:ascii="宋体" w:hAnsi="宋体" w:cs="宋体"/>
          <w:b/>
          <w:color w:val="auto"/>
          <w:sz w:val="21"/>
          <w:szCs w:val="21"/>
          <w:highlight w:val="none"/>
        </w:rPr>
      </w:pPr>
      <w:r>
        <w:rPr>
          <w:rFonts w:hint="eastAsia" w:ascii="宋体" w:hAnsi="宋体" w:cs="宋体"/>
          <w:b/>
          <w:color w:val="auto"/>
          <w:sz w:val="21"/>
          <w:szCs w:val="21"/>
          <w:highlight w:val="none"/>
        </w:rPr>
        <w:t xml:space="preserve">（三）项目人员配备情况（15分）</w:t>
      </w:r>
      <w:r/>
    </w:p>
    <w:p>
      <w:pPr>
        <w:ind w:firstLine="422"/>
        <w:spacing w:line="360" w:lineRule="auto"/>
        <w:widowControl w:val="off"/>
        <w:rPr>
          <w:rFonts w:ascii="宋体" w:hAnsi="宋体" w:cs="宋体"/>
          <w:b/>
          <w:color w:val="auto"/>
          <w:sz w:val="21"/>
          <w:szCs w:val="21"/>
          <w:highlight w:val="none"/>
        </w:rPr>
      </w:pPr>
      <w:r>
        <w:rPr>
          <w:rFonts w:hint="eastAsia" w:ascii="宋体" w:hAnsi="宋体" w:cs="宋体"/>
          <w:b/>
          <w:color w:val="auto"/>
          <w:sz w:val="21"/>
          <w:szCs w:val="21"/>
          <w:highlight w:val="none"/>
        </w:rPr>
        <w:t xml:space="preserve">1.拟投入项目负责人（3分）</w:t>
      </w:r>
      <w:r/>
    </w:p>
    <w:p>
      <w:pPr>
        <w:ind w:firstLine="42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供应商拟投入本项目的项目负责人具有一级注册结构工程师执业资格的得2分，具有建设工程专业高级及以上工程师职称的得1分。本项最高得3分。</w:t>
      </w:r>
      <w:r/>
    </w:p>
    <w:p>
      <w:pPr>
        <w:ind w:firstLine="420"/>
        <w:spacing w:line="360" w:lineRule="auto"/>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注：响应文件中需提供人员有效证书扫描件及响应单位为其缴纳最近一期社保证明资料扫描件并加盖公章，未提供或提供不全的不得分。</w:t>
      </w:r>
      <w:r/>
    </w:p>
    <w:p>
      <w:pPr>
        <w:ind w:firstLine="422"/>
        <w:spacing w:line="360" w:lineRule="auto"/>
        <w:widowControl w:val="off"/>
        <w:rPr>
          <w:rFonts w:ascii="宋体" w:hAnsi="宋体" w:cs="宋体"/>
          <w:b/>
          <w:color w:val="auto"/>
          <w:sz w:val="21"/>
          <w:szCs w:val="21"/>
          <w:highlight w:val="none"/>
        </w:rPr>
      </w:pPr>
      <w:r>
        <w:rPr>
          <w:rFonts w:hint="eastAsia" w:ascii="宋体" w:hAnsi="宋体" w:cs="宋体"/>
          <w:b/>
          <w:color w:val="auto"/>
          <w:sz w:val="21"/>
          <w:szCs w:val="21"/>
          <w:highlight w:val="none"/>
        </w:rPr>
        <w:t xml:space="preserve">2.拟投入技术负责人（4分）</w:t>
      </w:r>
      <w:r/>
    </w:p>
    <w:p>
      <w:pPr>
        <w:ind w:firstLine="420"/>
        <w:spacing w:line="360" w:lineRule="auto"/>
        <w:widowControl w:val="off"/>
        <w:rPr>
          <w:rFonts w:ascii="宋体" w:hAnsi="宋体" w:cs="宋体"/>
          <w:bCs/>
          <w:color w:val="auto"/>
          <w:sz w:val="21"/>
          <w:szCs w:val="21"/>
          <w:highlight w:val="none"/>
        </w:rPr>
      </w:pPr>
      <w:r/>
      <w:bookmarkStart w:id="85" w:name="OLE_LINK34"/>
      <w:r>
        <w:rPr>
          <w:rFonts w:hint="eastAsia" w:ascii="宋体" w:hAnsi="宋体" w:cs="宋体"/>
          <w:bCs/>
          <w:color w:val="auto"/>
          <w:sz w:val="21"/>
          <w:szCs w:val="21"/>
          <w:highlight w:val="none"/>
        </w:rPr>
        <w:t xml:space="preserve">供应商拟投入本项目的技术负责人具有一级注册</w:t>
      </w:r>
      <w:r>
        <w:rPr>
          <w:rFonts w:hint="eastAsia" w:ascii="宋体" w:hAnsi="宋体" w:cs="宋体"/>
          <w:bCs/>
          <w:color w:val="auto"/>
          <w:sz w:val="21"/>
          <w:szCs w:val="21"/>
          <w:highlight w:val="none"/>
          <w:lang w:eastAsia="zh-CN"/>
        </w:rPr>
        <w:t xml:space="preserve">结构</w:t>
      </w:r>
      <w:r>
        <w:rPr>
          <w:rFonts w:hint="eastAsia" w:ascii="宋体" w:hAnsi="宋体" w:cs="宋体"/>
          <w:bCs/>
          <w:color w:val="auto"/>
          <w:sz w:val="21"/>
          <w:szCs w:val="21"/>
          <w:highlight w:val="none"/>
        </w:rPr>
        <w:t xml:space="preserve">工程师执业资格的得 2分，具有一级注册建造师（建筑工程）得1分,</w:t>
      </w:r>
      <w:r>
        <w:rPr>
          <w:rFonts w:hint="eastAsia" w:ascii="宋体" w:hAnsi="宋体" w:cs="宋体"/>
          <w:color w:val="auto"/>
          <w:sz w:val="21"/>
          <w:szCs w:val="21"/>
          <w:highlight w:val="none"/>
        </w:rPr>
        <w:t xml:space="preserve">具有建设工程专业高级及以上工程师职称的得1分</w:t>
      </w:r>
      <w:r>
        <w:rPr>
          <w:rFonts w:hint="eastAsia" w:ascii="宋体" w:hAnsi="宋体" w:cs="宋体"/>
          <w:bCs/>
          <w:color w:val="auto"/>
          <w:sz w:val="21"/>
          <w:szCs w:val="21"/>
          <w:highlight w:val="none"/>
        </w:rPr>
        <w:t xml:space="preserve">。本项最高得4分。</w:t>
      </w:r>
      <w:bookmarkEnd w:id="85"/>
      <w:r/>
      <w:r/>
    </w:p>
    <w:p>
      <w:pPr>
        <w:ind w:firstLine="420"/>
        <w:spacing w:line="360" w:lineRule="auto"/>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注：响应文件中需提供人员有效证书扫描件及响应单位为其缴纳最近一期社保证明资料扫描件并加盖公章，未提供或提供不全的不得分。</w:t>
      </w:r>
      <w:r/>
    </w:p>
    <w:p>
      <w:pPr>
        <w:ind w:firstLine="422"/>
        <w:spacing w:line="360" w:lineRule="auto"/>
        <w:widowControl w:val="off"/>
        <w:rPr>
          <w:rFonts w:ascii="宋体" w:hAnsi="宋体" w:cs="宋体"/>
          <w:b/>
          <w:color w:val="auto"/>
          <w:sz w:val="21"/>
          <w:szCs w:val="21"/>
          <w:highlight w:val="none"/>
        </w:rPr>
      </w:pPr>
      <w:r>
        <w:rPr>
          <w:rFonts w:hint="eastAsia" w:ascii="宋体" w:hAnsi="宋体" w:cs="宋体"/>
          <w:b/>
          <w:color w:val="auto"/>
          <w:sz w:val="21"/>
          <w:szCs w:val="21"/>
          <w:highlight w:val="none"/>
        </w:rPr>
        <w:t xml:space="preserve">3.项目团队人员配备（除项目负责人、技术负责人外）（8分）</w:t>
      </w:r>
      <w:r/>
    </w:p>
    <w:p>
      <w:pPr>
        <w:ind w:firstLine="420"/>
        <w:spacing w:line="360" w:lineRule="auto"/>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供应商拟投入本项目的项目团队人员（项目负责人及技术负责人除外）具有建设工程专业的高级及以上工程师职称证书的，有一人得1分，具有建设工程专业的中级及以上工程师职称证书的，有一人得0.5分，本项限评4人，本项最高得4分。</w:t>
      </w:r>
      <w:r/>
    </w:p>
    <w:p>
      <w:pPr>
        <w:ind w:firstLine="420"/>
        <w:spacing w:line="360" w:lineRule="auto"/>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2）供应商拟投入本项目的项目团队人员（项目负责人及技术负责人除外）具有房屋安全专业的高级及以上工程师职称证书的，有一人得2分，具有房屋安全专业的中级及以上工程师职称证书的，有一人得1分，本项限评1人，本项最高得2分。</w:t>
      </w:r>
      <w:r/>
    </w:p>
    <w:p>
      <w:pPr>
        <w:ind w:firstLine="420"/>
        <w:spacing w:line="360" w:lineRule="auto"/>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（3）供应商拟投入本项目的项目团队人员（项目负责人及技术负责人除外）具有民用无人驾驶航空器操作相关资格执照的，有一人得2分，本项最高得2分。</w:t>
      </w:r>
      <w:r/>
    </w:p>
    <w:p>
      <w:pPr>
        <w:ind w:firstLine="420"/>
        <w:spacing w:line="360" w:lineRule="auto"/>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注：响应文件中需提供人员有效证书扫描件及响应单位为其缴纳最近一期社保证明资料扫描件并加盖公章，未提供或提供不全的不得分。</w:t>
      </w:r>
      <w:r/>
    </w:p>
    <w:p>
      <w:pPr>
        <w:ind w:firstLine="422"/>
        <w:spacing w:line="360" w:lineRule="auto"/>
        <w:widowControl w:val="off"/>
        <w:rPr>
          <w:rFonts w:ascii="宋体" w:hAnsi="宋体" w:cs="宋体"/>
          <w:b/>
          <w:color w:val="auto"/>
          <w:sz w:val="21"/>
          <w:szCs w:val="21"/>
          <w:highlight w:val="none"/>
        </w:rPr>
      </w:pPr>
      <w:r>
        <w:rPr>
          <w:rFonts w:hint="eastAsia" w:ascii="宋体" w:hAnsi="宋体" w:cs="宋体"/>
          <w:b/>
          <w:color w:val="auto"/>
          <w:sz w:val="21"/>
          <w:szCs w:val="21"/>
          <w:highlight w:val="none"/>
        </w:rPr>
        <w:t xml:space="preserve">（四）综合实力（15分）</w:t>
      </w:r>
      <w:r/>
    </w:p>
    <w:p>
      <w:pPr>
        <w:ind w:firstLine="420"/>
        <w:spacing w:line="360" w:lineRule="auto"/>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1.类似项目业绩（6分）</w:t>
      </w:r>
      <w:r/>
    </w:p>
    <w:p>
      <w:pPr>
        <w:ind w:firstLine="420"/>
        <w:spacing w:line="360" w:lineRule="auto"/>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供应商自2023年5月1日以来（以合同签订日期为准），承担过</w:t>
      </w:r>
      <w:r>
        <w:rPr>
          <w:rFonts w:hint="eastAsia" w:ascii="宋体" w:hAnsi="宋体" w:cs="宋体"/>
          <w:bCs/>
          <w:color w:val="auto"/>
          <w:sz w:val="21"/>
          <w:szCs w:val="21"/>
          <w:highlight w:val="none"/>
        </w:rPr>
        <w:t xml:space="preserve">类似房屋调查类</w:t>
      </w:r>
      <w:r>
        <w:rPr>
          <w:rFonts w:hint="eastAsia" w:ascii="宋体" w:hAnsi="宋体" w:cs="宋体"/>
          <w:bCs/>
          <w:color w:val="auto"/>
          <w:sz w:val="21"/>
          <w:szCs w:val="21"/>
          <w:highlight w:val="none"/>
        </w:rPr>
        <w:t xml:space="preserve">项目业绩，每提供一个得1分，本项最高得6分。</w:t>
      </w:r>
      <w:r/>
    </w:p>
    <w:p>
      <w:pPr>
        <w:ind w:firstLine="420"/>
        <w:spacing w:line="360" w:lineRule="auto"/>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注：响应文件中需提供合同扫描件并加盖公章，合同需体现相关信息，未</w:t>
      </w:r>
      <w:bookmarkEnd w:id="84"/>
      <w:r>
        <w:rPr>
          <w:rFonts w:hint="eastAsia" w:ascii="宋体" w:hAnsi="宋体" w:cs="宋体"/>
          <w:bCs/>
          <w:color w:val="auto"/>
          <w:sz w:val="21"/>
          <w:szCs w:val="21"/>
          <w:highlight w:val="none"/>
        </w:rPr>
        <w:t xml:space="preserve">提供或提供不全不得分。</w:t>
      </w:r>
      <w:r/>
    </w:p>
    <w:p>
      <w:pPr>
        <w:ind w:firstLine="420"/>
        <w:spacing w:line="360" w:lineRule="auto"/>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2.体系认证（5分）</w:t>
      </w:r>
      <w:r/>
    </w:p>
    <w:p>
      <w:pPr>
        <w:ind w:firstLine="420"/>
        <w:spacing w:line="360" w:lineRule="auto"/>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供应商具有有效期内的质量管理体系认证、环境管理体系认证、诚信管理体系认证、合规管理体系认证、信息安全管理体系认证的，每有一个得1分，本项最高得5分。</w:t>
      </w:r>
      <w:r/>
    </w:p>
    <w:p>
      <w:pPr>
        <w:ind w:firstLine="420"/>
        <w:jc w:val="both"/>
        <w:spacing w:line="360" w:lineRule="auto"/>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注：响应文件中需提供认证证书扫描件及在中国国家认证认可监督管理委员会网站http://www.cnca.gov.cn/的查询结果截图（须为有效状态）并加盖公章，未提供或提供不全的不得分。</w:t>
      </w:r>
      <w:r/>
    </w:p>
    <w:p>
      <w:pPr>
        <w:ind w:firstLine="420"/>
        <w:spacing w:line="360" w:lineRule="auto"/>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3.荣誉奖项（4分）</w:t>
      </w:r>
      <w:r/>
    </w:p>
    <w:p>
      <w:pPr>
        <w:ind w:firstLine="420"/>
        <w:spacing w:line="360" w:lineRule="auto"/>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供应商获得过政府部门颁发的质量管理相关优秀荣誉奖项的，有一个得2分，本项最高得4分。</w:t>
      </w:r>
      <w:r/>
    </w:p>
    <w:p>
      <w:pPr>
        <w:ind w:firstLine="420"/>
        <w:spacing w:line="360" w:lineRule="auto"/>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注：响应文件中需提供获奖证书扫描件并加盖公章，未提供或提供不全不得分。</w:t>
      </w:r>
      <w:r/>
    </w:p>
    <w:p>
      <w:pPr>
        <w:ind w:firstLine="422"/>
        <w:spacing w:line="360" w:lineRule="auto"/>
        <w:widowControl w:val="off"/>
        <w:rPr>
          <w:rFonts w:ascii="宋体" w:hAnsi="宋体" w:cs="宋体"/>
          <w:b/>
          <w:color w:val="auto"/>
          <w:sz w:val="21"/>
          <w:szCs w:val="21"/>
          <w:highlight w:val="none"/>
        </w:rPr>
      </w:pPr>
      <w:r>
        <w:rPr>
          <w:rFonts w:hint="eastAsia" w:ascii="宋体" w:hAnsi="宋体" w:cs="宋体"/>
          <w:b/>
          <w:color w:val="auto"/>
          <w:sz w:val="21"/>
          <w:szCs w:val="21"/>
          <w:highlight w:val="none"/>
        </w:rPr>
        <w:t xml:space="preserve">（五）拟投入设备情况（4分）</w:t>
      </w:r>
      <w:r/>
    </w:p>
    <w:p>
      <w:pPr>
        <w:ind w:firstLine="420"/>
        <w:spacing w:line="360" w:lineRule="auto"/>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1.供应商拟投入无人机4台以上（含）的得1分，没有或数量不足不得分。</w:t>
      </w:r>
      <w:r/>
    </w:p>
    <w:p>
      <w:pPr>
        <w:ind w:firstLine="420"/>
        <w:spacing w:line="360" w:lineRule="auto"/>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2.供应商拟投入内窥镜4台以上（含）的得1分，没有或数量不足不得分。</w:t>
      </w:r>
      <w:r/>
    </w:p>
    <w:p>
      <w:pPr>
        <w:ind w:firstLine="420"/>
        <w:spacing w:line="360" w:lineRule="auto"/>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3.供应商拟投入裂缝检测仪4台以上（含）的得1分，没有或数量不足不得分。</w:t>
      </w:r>
      <w:r/>
    </w:p>
    <w:p>
      <w:pPr>
        <w:ind w:firstLine="420"/>
        <w:spacing w:line="360" w:lineRule="auto"/>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4.供应商拟投入钢筋检测仪4台以上（含）的得1分，没有或数量不足不得分。</w:t>
      </w:r>
      <w:r/>
    </w:p>
    <w:p>
      <w:pPr>
        <w:ind w:firstLine="420"/>
        <w:spacing w:line="360" w:lineRule="auto"/>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注：以上设备若自有的需提供设备购置发票，若租赁的，需提供租赁合同、租赁发票和出租方的设备购置发票。响应文件中需提供相关证明材料扫描件并加盖公章。</w:t>
      </w:r>
      <w:r/>
    </w:p>
    <w:p>
      <w:pPr>
        <w:ind w:firstLine="422"/>
        <w:jc w:val="both"/>
        <w:spacing w:line="360" w:lineRule="auto"/>
        <w:widowControl w:val="off"/>
        <w:rPr>
          <w:rFonts w:ascii="宋体" w:hAnsi="宋体" w:cs="宋体"/>
          <w:b/>
          <w:color w:val="auto"/>
          <w:sz w:val="21"/>
          <w:szCs w:val="21"/>
          <w:highlight w:val="none"/>
        </w:rPr>
      </w:pPr>
      <w:r>
        <w:rPr>
          <w:rFonts w:hint="eastAsia" w:ascii="宋体" w:hAnsi="宋体" w:cs="宋体"/>
          <w:b/>
          <w:color w:val="auto"/>
          <w:sz w:val="21"/>
          <w:szCs w:val="21"/>
          <w:highlight w:val="none"/>
        </w:rPr>
        <w:t xml:space="preserve">备注：1.报价超过采购预算的将作无效响应处理。</w:t>
      </w:r>
      <w:r/>
    </w:p>
    <w:p>
      <w:pPr>
        <w:ind w:firstLine="422"/>
        <w:jc w:val="both"/>
        <w:spacing w:line="360" w:lineRule="auto"/>
        <w:widowControl w:val="off"/>
        <w:rPr>
          <w:rFonts w:ascii="宋体" w:hAnsi="宋体" w:cs="宋体"/>
          <w:b/>
          <w:color w:val="auto"/>
          <w:sz w:val="21"/>
          <w:szCs w:val="21"/>
          <w:highlight w:val="none"/>
        </w:rPr>
      </w:pPr>
      <w:r>
        <w:rPr>
          <w:rFonts w:hint="eastAsia" w:ascii="宋体" w:hAnsi="宋体" w:cs="宋体"/>
          <w:b/>
          <w:color w:val="auto"/>
          <w:sz w:val="21"/>
          <w:szCs w:val="21"/>
          <w:highlight w:val="none"/>
        </w:rPr>
        <w:t xml:space="preserve">2.针对评分标准中评分的每一条，供应商均应提供相关资料并作出相应说明供评委评判，不提供相关资料的视为不具备该项得分的条件。</w:t>
      </w:r>
      <w:r/>
    </w:p>
    <w:p>
      <w:pPr>
        <w:ind w:firstLine="422"/>
        <w:jc w:val="both"/>
        <w:spacing w:line="360" w:lineRule="auto"/>
        <w:widowControl w:val="off"/>
        <w:rPr>
          <w:rFonts w:ascii="宋体" w:hAnsi="宋体" w:cs="宋体"/>
          <w:b/>
          <w:color w:val="auto"/>
          <w:sz w:val="21"/>
          <w:szCs w:val="21"/>
          <w:highlight w:val="none"/>
        </w:rPr>
      </w:pPr>
      <w:r>
        <w:rPr>
          <w:rFonts w:hint="eastAsia" w:ascii="宋体" w:hAnsi="宋体" w:cs="宋体"/>
          <w:b/>
          <w:color w:val="auto"/>
          <w:sz w:val="21"/>
          <w:szCs w:val="21"/>
          <w:highlight w:val="none"/>
        </w:rPr>
        <w:t xml:space="preserve">3.响应文件中如出现前后不一致时，磋商小组有权请供应商澄清说明，澄清说明事项涉及评分时，磋商小组有权酌情扣分。</w:t>
      </w:r>
      <w:r/>
    </w:p>
    <w:p>
      <w:pPr>
        <w:pStyle w:val="982"/>
        <w:ind w:firstLine="422"/>
        <w:widowControl w:val="off"/>
        <w:rPr>
          <w:rFonts w:hAnsi="宋体" w:cs="宋体"/>
          <w:color w:val="auto"/>
          <w:sz w:val="21"/>
          <w:szCs w:val="21"/>
          <w:highlight w:val="none"/>
        </w:rPr>
      </w:pPr>
      <w:r>
        <w:rPr>
          <w:rFonts w:hint="eastAsia" w:hAnsi="宋体" w:cs="宋体"/>
          <w:b/>
          <w:color w:val="auto"/>
          <w:sz w:val="21"/>
          <w:szCs w:val="21"/>
          <w:highlight w:val="none"/>
        </w:rPr>
        <w:t xml:space="preserve">4.供应商必须保证全部响应资料的真实性，如有虚假或对采购文件所要求说明的情况故意隐瞒或虚报，视为不实质性响应采购文件，响应无效，同时按政府采购相关规定报请政府监管部门处理。</w:t>
      </w:r>
      <w:r/>
    </w:p>
    <w:p>
      <w:pPr>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（全文完）</w:t>
      </w:r>
      <w:r/>
    </w:p>
    <w:sectPr>
      <w:footnotePr/>
      <w:endnotePr/>
      <w:type w:val="nextPage"/>
      <w:pgSz w:w="11906" w:h="16838" w:orient="portrait"/>
      <w:pgMar w:top="1327" w:right="1519" w:bottom="1327" w:left="1519"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等线">
    <w:panose1 w:val="02010600030101010101"/>
  </w:font>
  <w:font w:name="Symbol">
    <w:panose1 w:val="05050102010706020507"/>
  </w:font>
  <w:font w:name="Wingdings">
    <w:panose1 w:val="05000000000000000000"/>
  </w:font>
  <w:font w:name="Tahoma">
    <w:panose1 w:val="020B0604030504040204"/>
  </w:font>
  <w:font w:name="Calibri">
    <w:panose1 w:val="020F0502020204030204"/>
  </w:font>
  <w:font w:name="Cambria">
    <w:panose1 w:val="02040503050406030204"/>
  </w:font>
  <w:font w:name="Courier New">
    <w:panose1 w:val="02070309020205020404"/>
  </w:font>
  <w:font w:name="仿宋_GB2312">
    <w:panose1 w:val="02010609060101010101"/>
  </w:font>
  <w:font w:name="黑体">
    <w:panose1 w:val="02010609060101010101"/>
  </w:font>
  <w:font w:name="楷体_GB2312">
    <w:panose1 w:val="02010609060101010101"/>
  </w:font>
  <w:font w:name="Arial">
    <w:panose1 w:val="020B0604020202020204"/>
  </w:font>
  <w:font w:name="宋体">
    <w:panose1 w:val="02010600030101010101"/>
  </w:font>
  <w:font w:name="@楷体_GB2312">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79135" cy="172938"/>
              <wp:effectExtent l="3175" t="3175" r="3175" b="3175"/>
              <wp:wrapNone/>
              <wp:docPr id="1" name="文本框 2"/>
              <wp:cNvGraphicFramePr/>
              <a:graphic xmlns:a="http://schemas.openxmlformats.org/drawingml/2006/main">
                <a:graphicData uri="http://schemas.microsoft.com/office/word/2010/wordprocessingShape">
                  <wps:wsp>
                    <wps:cNvPr id="0" name=""/>
                    <wps:cNvSpPr txBox="1"/>
                    <wps:spPr bwMode="auto">
                      <a:xfrm flipH="0" flipV="0">
                        <a:off x="0" y="0"/>
                        <a:ext cx="1179134" cy="172938"/>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9"/>
                            <w:rPr>
                              <w:sz w:val="21"/>
                              <w:szCs w:val="21"/>
                            </w:rPr>
                          </w:pPr>
                          <w:r>
                            <w:rPr>
                              <w:sz w:val="21"/>
                              <w:szCs w:val="21"/>
                            </w:rPr>
                            <w:t xml:space="preserve">第 </w:t>
                          </w: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50</w:t>
                          </w:r>
                          <w:r>
                            <w:rPr>
                              <w:sz w:val="21"/>
                              <w:szCs w:val="21"/>
                            </w:rPr>
                            <w:fldChar w:fldCharType="end"/>
                          </w:r>
                          <w:r>
                            <w:rPr>
                              <w:sz w:val="21"/>
                              <w:szCs w:val="21"/>
                            </w:rPr>
                            <w:t xml:space="preserve"> 页 共 </w:t>
                          </w:r>
                          <w:r>
                            <w:rPr>
                              <w:sz w:val="21"/>
                              <w:szCs w:val="21"/>
                            </w:rPr>
                            <w:fldChar w:fldCharType="begin"/>
                          </w:r>
                          <w:r>
                            <w:rPr>
                              <w:sz w:val="21"/>
                              <w:szCs w:val="21"/>
                            </w:rPr>
                            <w:instrText xml:space="preserve"> NUMPAGES  \* MERGEFORMAT </w:instrText>
                          </w:r>
                          <w:r>
                            <w:rPr>
                              <w:sz w:val="21"/>
                              <w:szCs w:val="21"/>
                            </w:rPr>
                            <w:fldChar w:fldCharType="separate"/>
                          </w:r>
                          <w:r>
                            <w:rPr>
                              <w:sz w:val="21"/>
                              <w:szCs w:val="21"/>
                            </w:rPr>
                            <w:t xml:space="preserve">63</w:t>
                          </w:r>
                          <w:r>
                            <w:rPr>
                              <w:sz w:val="21"/>
                              <w:szCs w:val="21"/>
                            </w:rPr>
                            <w:fldChar w:fldCharType="end"/>
                          </w:r>
                          <w:r>
                            <w:rPr>
                              <w:sz w:val="21"/>
                              <w:szCs w:val="21"/>
                            </w:rPr>
                            <w:t xml:space="preserve"> 页</w:t>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92.8pt;height:13.6pt;mso-wrap-distance-left:9.0pt;mso-wrap-distance-top:0.0pt;mso-wrap-distance-right:9.0pt;mso-wrap-distance-bottom:0.0pt;v-text-anchor:top;visibility:visible;" filled="f" stroked="f" strokeweight="0.50pt">
              <v:textbox inset="0,0,0,0">
                <w:txbxContent>
                  <w:p>
                    <w:pPr>
                      <w:pStyle w:val="759"/>
                      <w:rPr>
                        <w:sz w:val="21"/>
                        <w:szCs w:val="21"/>
                      </w:rPr>
                    </w:pPr>
                    <w:r>
                      <w:rPr>
                        <w:sz w:val="21"/>
                        <w:szCs w:val="21"/>
                      </w:rPr>
                      <w:t xml:space="preserve">第 </w:t>
                    </w: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50</w:t>
                    </w:r>
                    <w:r>
                      <w:rPr>
                        <w:sz w:val="21"/>
                        <w:szCs w:val="21"/>
                      </w:rPr>
                      <w:fldChar w:fldCharType="end"/>
                    </w:r>
                    <w:r>
                      <w:rPr>
                        <w:sz w:val="21"/>
                        <w:szCs w:val="21"/>
                      </w:rPr>
                      <w:t xml:space="preserve"> 页 共 </w:t>
                    </w:r>
                    <w:r>
                      <w:rPr>
                        <w:sz w:val="21"/>
                        <w:szCs w:val="21"/>
                      </w:rPr>
                      <w:fldChar w:fldCharType="begin"/>
                    </w:r>
                    <w:r>
                      <w:rPr>
                        <w:sz w:val="21"/>
                        <w:szCs w:val="21"/>
                      </w:rPr>
                      <w:instrText xml:space="preserve"> NUMPAGES  \* MERGEFORMAT </w:instrText>
                    </w:r>
                    <w:r>
                      <w:rPr>
                        <w:sz w:val="21"/>
                        <w:szCs w:val="21"/>
                      </w:rPr>
                      <w:fldChar w:fldCharType="separate"/>
                    </w:r>
                    <w:r>
                      <w:rPr>
                        <w:sz w:val="21"/>
                        <w:szCs w:val="21"/>
                      </w:rPr>
                      <w:t xml:space="preserve">63</w:t>
                    </w:r>
                    <w:r>
                      <w:rPr>
                        <w:sz w:val="21"/>
                        <w:szCs w:val="21"/>
                      </w:rPr>
                      <w:fldChar w:fldCharType="end"/>
                    </w:r>
                    <w:r>
                      <w:rPr>
                        <w:sz w:val="21"/>
                        <w:szCs w:val="21"/>
                      </w:rPr>
                      <w:t xml:space="preserve"> 页</w:t>
                    </w:r>
                    <w:r/>
                  </w:p>
                </w:txbxContent>
              </v:textbox>
            </v:shape>
          </w:pict>
        </mc:Fallback>
      </mc:AlternateContent>
    </w:r>
    <w:r/>
  </w:p>
  <w:p>
    <w:pPr>
      <w:pStyle w:val="95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Pr>
        <w:rFonts w:hint="eastAsia"/>
      </w:rPr>
      <w:tab/>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38"/>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chineseCounting"/>
      <w:isLgl w:val="false"/>
      <w:suff w:val="nothing"/>
      <w:lvlText w:val="%1、"/>
      <w:lvlJc w:val="left"/>
      <w:pPr>
        <w:ind w:left="0" w:firstLine="0"/>
      </w:pPr>
      <w:rPr>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lvlOverride w:ilvl="0">
      <w:startOverride w:val="1"/>
    </w:lvlOverride>
  </w:num>
  <w:num w:numId="3">
    <w:abstractNumId w:val="2"/>
    <w:lvlOverride w:ilvl="0">
      <w:startOverride w:val="1"/>
    </w:lvlOverride>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9">
    <w:name w:val="Heading 2 Char"/>
    <w:basedOn w:val="745"/>
    <w:link w:val="737"/>
    <w:uiPriority w:val="9"/>
    <w:rPr>
      <w:rFonts w:ascii="Arial" w:hAnsi="Arial" w:eastAsia="Arial" w:cs="Arial"/>
      <w:sz w:val="34"/>
    </w:rPr>
  </w:style>
  <w:style w:type="character" w:styleId="700">
    <w:name w:val="Heading 3 Char"/>
    <w:basedOn w:val="745"/>
    <w:link w:val="738"/>
    <w:uiPriority w:val="9"/>
    <w:rPr>
      <w:rFonts w:ascii="Arial" w:hAnsi="Arial" w:eastAsia="Arial" w:cs="Arial"/>
      <w:sz w:val="30"/>
      <w:szCs w:val="30"/>
    </w:rPr>
  </w:style>
  <w:style w:type="character" w:styleId="701">
    <w:name w:val="Heading 4 Char"/>
    <w:basedOn w:val="745"/>
    <w:link w:val="739"/>
    <w:uiPriority w:val="9"/>
    <w:rPr>
      <w:rFonts w:ascii="Arial" w:hAnsi="Arial" w:eastAsia="Arial" w:cs="Arial"/>
      <w:b/>
      <w:bCs/>
      <w:sz w:val="26"/>
      <w:szCs w:val="26"/>
    </w:rPr>
  </w:style>
  <w:style w:type="character" w:styleId="702">
    <w:name w:val="Heading 5 Char"/>
    <w:basedOn w:val="745"/>
    <w:link w:val="740"/>
    <w:uiPriority w:val="9"/>
    <w:rPr>
      <w:rFonts w:ascii="Arial" w:hAnsi="Arial" w:eastAsia="Arial" w:cs="Arial"/>
      <w:b/>
      <w:bCs/>
      <w:sz w:val="24"/>
      <w:szCs w:val="24"/>
    </w:rPr>
  </w:style>
  <w:style w:type="character" w:styleId="703">
    <w:name w:val="Heading 6 Char"/>
    <w:basedOn w:val="745"/>
    <w:link w:val="741"/>
    <w:uiPriority w:val="9"/>
    <w:rPr>
      <w:rFonts w:ascii="Arial" w:hAnsi="Arial" w:eastAsia="Arial" w:cs="Arial"/>
      <w:b/>
      <w:bCs/>
      <w:sz w:val="22"/>
      <w:szCs w:val="22"/>
    </w:rPr>
  </w:style>
  <w:style w:type="character" w:styleId="704">
    <w:name w:val="Heading 7 Char"/>
    <w:basedOn w:val="745"/>
    <w:link w:val="742"/>
    <w:uiPriority w:val="9"/>
    <w:rPr>
      <w:rFonts w:ascii="Arial" w:hAnsi="Arial" w:eastAsia="Arial" w:cs="Arial"/>
      <w:b/>
      <w:bCs/>
      <w:i/>
      <w:iCs/>
      <w:sz w:val="22"/>
      <w:szCs w:val="22"/>
    </w:rPr>
  </w:style>
  <w:style w:type="character" w:styleId="705">
    <w:name w:val="Heading 8 Char"/>
    <w:basedOn w:val="745"/>
    <w:link w:val="743"/>
    <w:uiPriority w:val="9"/>
    <w:rPr>
      <w:rFonts w:ascii="Arial" w:hAnsi="Arial" w:eastAsia="Arial" w:cs="Arial"/>
      <w:i/>
      <w:iCs/>
      <w:sz w:val="22"/>
      <w:szCs w:val="22"/>
    </w:rPr>
  </w:style>
  <w:style w:type="character" w:styleId="706">
    <w:name w:val="Heading 9 Char"/>
    <w:basedOn w:val="745"/>
    <w:link w:val="744"/>
    <w:uiPriority w:val="9"/>
    <w:rPr>
      <w:rFonts w:ascii="Arial" w:hAnsi="Arial" w:eastAsia="Arial" w:cs="Arial"/>
      <w:i/>
      <w:iCs/>
      <w:sz w:val="21"/>
      <w:szCs w:val="21"/>
    </w:rPr>
  </w:style>
  <w:style w:type="character" w:styleId="707">
    <w:name w:val="Title Char"/>
    <w:basedOn w:val="745"/>
    <w:link w:val="769"/>
    <w:uiPriority w:val="10"/>
    <w:rPr>
      <w:sz w:val="48"/>
      <w:szCs w:val="48"/>
    </w:rPr>
  </w:style>
  <w:style w:type="character" w:styleId="708">
    <w:name w:val="Subtitle Char"/>
    <w:basedOn w:val="745"/>
    <w:link w:val="763"/>
    <w:uiPriority w:val="11"/>
    <w:rPr>
      <w:sz w:val="24"/>
      <w:szCs w:val="24"/>
    </w:rPr>
  </w:style>
  <w:style w:type="character" w:styleId="709">
    <w:name w:val="Quote Char"/>
    <w:link w:val="791"/>
    <w:uiPriority w:val="29"/>
    <w:rPr>
      <w:i/>
    </w:rPr>
  </w:style>
  <w:style w:type="character" w:styleId="710">
    <w:name w:val="Intense Quote Char"/>
    <w:link w:val="793"/>
    <w:uiPriority w:val="30"/>
    <w:rPr>
      <w:i/>
    </w:rPr>
  </w:style>
  <w:style w:type="character" w:styleId="711">
    <w:name w:val="Header Char"/>
    <w:basedOn w:val="745"/>
    <w:link w:val="760"/>
    <w:uiPriority w:val="99"/>
  </w:style>
  <w:style w:type="character" w:styleId="712">
    <w:name w:val="Caption Char"/>
    <w:basedOn w:val="749"/>
    <w:link w:val="759"/>
    <w:uiPriority w:val="99"/>
  </w:style>
  <w:style w:type="table" w:styleId="713">
    <w:name w:val="Plain Table 1"/>
    <w:basedOn w:val="74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4">
    <w:name w:val="Plain Table 2"/>
    <w:basedOn w:val="74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5">
    <w:name w:val="Plain Table 3"/>
    <w:basedOn w:val="7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6">
    <w:name w:val="Plain Table 4"/>
    <w:basedOn w:val="7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7">
    <w:name w:val="Plain Table 5"/>
    <w:basedOn w:val="7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8">
    <w:name w:val="Grid Table 1 Light"/>
    <w:basedOn w:val="74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9">
    <w:name w:val="Grid Table 2"/>
    <w:basedOn w:val="7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0">
    <w:name w:val="Grid Table 3"/>
    <w:basedOn w:val="7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1">
    <w:name w:val="Grid Table 4"/>
    <w:basedOn w:val="74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2">
    <w:name w:val="Grid Table 5 Dark"/>
    <w:basedOn w:val="7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3">
    <w:name w:val="Grid Table 6 Colorful"/>
    <w:basedOn w:val="74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4">
    <w:name w:val="Grid Table 7 Colorful"/>
    <w:basedOn w:val="74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5">
    <w:name w:val="List Table 1 Light"/>
    <w:basedOn w:val="74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6">
    <w:name w:val="List Table 2"/>
    <w:basedOn w:val="74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7">
    <w:name w:val="List Table 3"/>
    <w:basedOn w:val="7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8">
    <w:name w:val="List Table 4"/>
    <w:basedOn w:val="7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9">
    <w:name w:val="List Table 5 Dark"/>
    <w:basedOn w:val="74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30">
    <w:name w:val="List Table 6 Colorful"/>
    <w:basedOn w:val="74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31">
    <w:name w:val="List Table 7 Colorful"/>
    <w:basedOn w:val="74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32">
    <w:name w:val="Footnote Text Char"/>
    <w:link w:val="764"/>
    <w:uiPriority w:val="99"/>
    <w:rPr>
      <w:sz w:val="18"/>
    </w:rPr>
  </w:style>
  <w:style w:type="character" w:styleId="733">
    <w:name w:val="Endnote Text Char"/>
    <w:link w:val="757"/>
    <w:uiPriority w:val="99"/>
    <w:rPr>
      <w:sz w:val="20"/>
    </w:rPr>
  </w:style>
  <w:style w:type="paragraph" w:styleId="734">
    <w:name w:val="TOC Heading"/>
    <w:uiPriority w:val="39"/>
    <w:unhideWhenUsed/>
  </w:style>
  <w:style w:type="paragraph" w:styleId="735" w:default="1">
    <w:name w:val="Normal"/>
    <w:uiPriority w:val="0"/>
    <w:qFormat/>
    <w:rPr>
      <w:rFonts w:ascii="Times New Roman" w:hAnsi="Times New Roman" w:eastAsia="宋体" w:cs="Times New Roman"/>
      <w:sz w:val="24"/>
      <w:szCs w:val="24"/>
      <w:lang w:val="en-US" w:eastAsia="zh-CN" w:bidi="ar-SA"/>
    </w:rPr>
  </w:style>
  <w:style w:type="paragraph" w:styleId="736">
    <w:name w:val="Heading 1"/>
    <w:basedOn w:val="735"/>
    <w:next w:val="735"/>
    <w:link w:val="933"/>
    <w:uiPriority w:val="9"/>
    <w:qFormat/>
    <w:pPr>
      <w:keepLines/>
      <w:keepNext/>
      <w:spacing w:before="480" w:after="200"/>
      <w:outlineLvl w:val="0"/>
    </w:pPr>
    <w:rPr>
      <w:rFonts w:ascii="Arial" w:hAnsi="Arial" w:eastAsia="Arial" w:cs="Arial"/>
      <w:sz w:val="40"/>
      <w:szCs w:val="40"/>
    </w:rPr>
  </w:style>
  <w:style w:type="paragraph" w:styleId="737">
    <w:name w:val="Heading 2"/>
    <w:basedOn w:val="735"/>
    <w:next w:val="735"/>
    <w:link w:val="779"/>
    <w:uiPriority w:val="9"/>
    <w:unhideWhenUsed/>
    <w:qFormat/>
    <w:pPr>
      <w:keepLines/>
      <w:keepNext/>
      <w:spacing w:before="360" w:after="200"/>
      <w:outlineLvl w:val="1"/>
    </w:pPr>
    <w:rPr>
      <w:rFonts w:ascii="Arial" w:hAnsi="Arial" w:eastAsia="Arial" w:cs="Arial"/>
      <w:sz w:val="34"/>
    </w:rPr>
  </w:style>
  <w:style w:type="paragraph" w:styleId="738">
    <w:name w:val="Heading 3"/>
    <w:basedOn w:val="735"/>
    <w:next w:val="735"/>
    <w:link w:val="780"/>
    <w:uiPriority w:val="9"/>
    <w:unhideWhenUsed/>
    <w:qFormat/>
    <w:pPr>
      <w:keepLines/>
      <w:keepNext/>
      <w:spacing w:before="320" w:after="200"/>
      <w:outlineLvl w:val="2"/>
    </w:pPr>
    <w:rPr>
      <w:rFonts w:ascii="Arial" w:hAnsi="Arial" w:eastAsia="Arial" w:cs="Arial"/>
      <w:sz w:val="30"/>
      <w:szCs w:val="30"/>
    </w:rPr>
  </w:style>
  <w:style w:type="paragraph" w:styleId="739">
    <w:name w:val="Heading 4"/>
    <w:basedOn w:val="735"/>
    <w:next w:val="735"/>
    <w:link w:val="781"/>
    <w:uiPriority w:val="9"/>
    <w:unhideWhenUsed/>
    <w:qFormat/>
    <w:pPr>
      <w:keepLines/>
      <w:keepNext/>
      <w:spacing w:before="320" w:after="200"/>
      <w:outlineLvl w:val="3"/>
    </w:pPr>
    <w:rPr>
      <w:rFonts w:ascii="Arial" w:hAnsi="Arial" w:eastAsia="Arial" w:cs="Arial"/>
      <w:b/>
      <w:bCs/>
      <w:sz w:val="26"/>
      <w:szCs w:val="26"/>
    </w:rPr>
  </w:style>
  <w:style w:type="paragraph" w:styleId="740">
    <w:name w:val="Heading 5"/>
    <w:basedOn w:val="735"/>
    <w:next w:val="735"/>
    <w:link w:val="782"/>
    <w:uiPriority w:val="9"/>
    <w:unhideWhenUsed/>
    <w:qFormat/>
    <w:pPr>
      <w:keepLines/>
      <w:keepNext/>
      <w:spacing w:before="320" w:after="200"/>
      <w:outlineLvl w:val="4"/>
    </w:pPr>
    <w:rPr>
      <w:rFonts w:ascii="Arial" w:hAnsi="Arial" w:eastAsia="Arial" w:cs="Arial"/>
      <w:b/>
      <w:bCs/>
    </w:rPr>
  </w:style>
  <w:style w:type="paragraph" w:styleId="741">
    <w:name w:val="Heading 6"/>
    <w:basedOn w:val="735"/>
    <w:next w:val="735"/>
    <w:link w:val="783"/>
    <w:uiPriority w:val="9"/>
    <w:unhideWhenUsed/>
    <w:qFormat/>
    <w:pPr>
      <w:keepLines/>
      <w:keepNext/>
      <w:spacing w:before="320" w:after="200"/>
      <w:outlineLvl w:val="5"/>
    </w:pPr>
    <w:rPr>
      <w:rFonts w:ascii="Arial" w:hAnsi="Arial" w:eastAsia="Arial" w:cs="Arial"/>
      <w:b/>
      <w:bCs/>
      <w:sz w:val="22"/>
      <w:szCs w:val="22"/>
    </w:rPr>
  </w:style>
  <w:style w:type="paragraph" w:styleId="742">
    <w:name w:val="Heading 7"/>
    <w:basedOn w:val="735"/>
    <w:next w:val="735"/>
    <w:link w:val="784"/>
    <w:uiPriority w:val="9"/>
    <w:unhideWhenUsed/>
    <w:qFormat/>
    <w:pPr>
      <w:keepLines/>
      <w:keepNext/>
      <w:spacing w:before="320" w:after="200"/>
      <w:outlineLvl w:val="6"/>
    </w:pPr>
    <w:rPr>
      <w:rFonts w:ascii="Arial" w:hAnsi="Arial" w:eastAsia="Arial" w:cs="Arial"/>
      <w:b/>
      <w:bCs/>
      <w:i/>
      <w:iCs/>
      <w:sz w:val="22"/>
      <w:szCs w:val="22"/>
    </w:rPr>
  </w:style>
  <w:style w:type="paragraph" w:styleId="743">
    <w:name w:val="Heading 8"/>
    <w:basedOn w:val="735"/>
    <w:next w:val="735"/>
    <w:link w:val="785"/>
    <w:uiPriority w:val="9"/>
    <w:unhideWhenUsed/>
    <w:qFormat/>
    <w:pPr>
      <w:keepLines/>
      <w:keepNext/>
      <w:spacing w:before="320" w:after="200"/>
      <w:outlineLvl w:val="7"/>
    </w:pPr>
    <w:rPr>
      <w:rFonts w:ascii="Arial" w:hAnsi="Arial" w:eastAsia="Arial" w:cs="Arial"/>
      <w:i/>
      <w:iCs/>
      <w:sz w:val="22"/>
      <w:szCs w:val="22"/>
    </w:rPr>
  </w:style>
  <w:style w:type="paragraph" w:styleId="744">
    <w:name w:val="Heading 9"/>
    <w:basedOn w:val="735"/>
    <w:next w:val="735"/>
    <w:link w:val="786"/>
    <w:uiPriority w:val="9"/>
    <w:unhideWhenUsed/>
    <w:qFormat/>
    <w:pPr>
      <w:keepLines/>
      <w:keepNext/>
      <w:spacing w:before="320" w:after="200"/>
      <w:outlineLvl w:val="8"/>
    </w:pPr>
    <w:rPr>
      <w:rFonts w:ascii="Arial" w:hAnsi="Arial" w:eastAsia="Arial" w:cs="Arial"/>
      <w:i/>
      <w:iCs/>
      <w:sz w:val="21"/>
      <w:szCs w:val="21"/>
    </w:rPr>
  </w:style>
  <w:style w:type="character" w:styleId="745" w:default="1">
    <w:name w:val="Default Paragraph Font"/>
    <w:uiPriority w:val="1"/>
    <w:semiHidden/>
    <w:unhideWhenUsed/>
    <w:qFormat/>
  </w:style>
  <w:style w:type="table" w:styleId="746" w:default="1">
    <w:name w:val="Normal Table"/>
    <w:uiPriority w:val="99"/>
    <w:semiHidden/>
    <w:unhideWhenUsed/>
    <w:qFormat/>
    <w:tblPr>
      <w:tblCellMar>
        <w:left w:w="108" w:type="dxa"/>
        <w:top w:w="0" w:type="dxa"/>
        <w:right w:w="108" w:type="dxa"/>
        <w:bottom w:w="0" w:type="dxa"/>
      </w:tblCellMar>
    </w:tblPr>
  </w:style>
  <w:style w:type="paragraph" w:styleId="747">
    <w:name w:val="toc 7"/>
    <w:basedOn w:val="735"/>
    <w:next w:val="735"/>
    <w:uiPriority w:val="39"/>
    <w:unhideWhenUsed/>
    <w:qFormat/>
    <w:pPr>
      <w:ind w:left="1701"/>
      <w:spacing w:after="57"/>
    </w:pPr>
  </w:style>
  <w:style w:type="paragraph" w:styleId="748">
    <w:name w:val="Normal Indent"/>
    <w:basedOn w:val="735"/>
    <w:next w:val="735"/>
    <w:uiPriority w:val="0"/>
    <w:qFormat/>
    <w:pPr>
      <w:ind w:firstLine="420"/>
      <w:jc w:val="both"/>
      <w:widowControl w:val="off"/>
    </w:pPr>
    <w:rPr>
      <w:sz w:val="21"/>
      <w:szCs w:val="20"/>
    </w:rPr>
  </w:style>
  <w:style w:type="paragraph" w:styleId="749">
    <w:name w:val="Caption"/>
    <w:basedOn w:val="735"/>
    <w:next w:val="73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0">
    <w:name w:val="annotation text"/>
    <w:basedOn w:val="735"/>
    <w:next w:val="751"/>
    <w:link w:val="1014"/>
    <w:uiPriority w:val="99"/>
    <w:semiHidden/>
    <w:unhideWhenUsed/>
    <w:qFormat/>
  </w:style>
  <w:style w:type="paragraph" w:styleId="751" w:customStyle="1">
    <w:name w:val="目录 21"/>
    <w:basedOn w:val="735"/>
    <w:next w:val="735"/>
    <w:uiPriority w:val="0"/>
    <w:qFormat/>
    <w:pPr>
      <w:ind w:left="420"/>
      <w:jc w:val="both"/>
      <w:widowControl w:val="off"/>
    </w:pPr>
    <w:rPr>
      <w:rFonts w:eastAsia="楷体_GB2312"/>
      <w:sz w:val="28"/>
      <w:szCs w:val="20"/>
    </w:rPr>
  </w:style>
  <w:style w:type="paragraph" w:styleId="752">
    <w:name w:val="Body Text"/>
    <w:basedOn w:val="735"/>
    <w:next w:val="748"/>
    <w:uiPriority w:val="0"/>
    <w:qFormat/>
    <w:pPr>
      <w:spacing w:line="360" w:lineRule="auto"/>
    </w:pPr>
    <w:rPr>
      <w:szCs w:val="20"/>
    </w:rPr>
  </w:style>
  <w:style w:type="paragraph" w:styleId="753">
    <w:name w:val="toc 5"/>
    <w:basedOn w:val="735"/>
    <w:next w:val="735"/>
    <w:uiPriority w:val="39"/>
    <w:unhideWhenUsed/>
    <w:qFormat/>
    <w:pPr>
      <w:ind w:left="1134"/>
      <w:spacing w:after="57"/>
    </w:pPr>
  </w:style>
  <w:style w:type="paragraph" w:styleId="754">
    <w:name w:val="toc 3"/>
    <w:basedOn w:val="735"/>
    <w:next w:val="735"/>
    <w:uiPriority w:val="39"/>
    <w:unhideWhenUsed/>
    <w:qFormat/>
    <w:pPr>
      <w:ind w:left="567"/>
      <w:spacing w:after="57"/>
    </w:pPr>
  </w:style>
  <w:style w:type="paragraph" w:styleId="755">
    <w:name w:val="toc 8"/>
    <w:basedOn w:val="735"/>
    <w:next w:val="735"/>
    <w:uiPriority w:val="39"/>
    <w:unhideWhenUsed/>
    <w:qFormat/>
    <w:pPr>
      <w:ind w:left="1984"/>
      <w:spacing w:after="57"/>
    </w:pPr>
  </w:style>
  <w:style w:type="paragraph" w:styleId="756">
    <w:name w:val="Date"/>
    <w:basedOn w:val="735"/>
    <w:next w:val="735"/>
    <w:link w:val="1016"/>
    <w:uiPriority w:val="99"/>
    <w:semiHidden/>
    <w:unhideWhenUsed/>
    <w:qFormat/>
    <w:pPr>
      <w:ind w:left="100"/>
    </w:pPr>
  </w:style>
  <w:style w:type="paragraph" w:styleId="757">
    <w:name w:val="endnote text"/>
    <w:basedOn w:val="735"/>
    <w:link w:val="924"/>
    <w:uiPriority w:val="99"/>
    <w:semiHidden/>
    <w:unhideWhenUsed/>
    <w:qFormat/>
    <w:rPr>
      <w:sz w:val="20"/>
    </w:rPr>
  </w:style>
  <w:style w:type="paragraph" w:styleId="758">
    <w:name w:val="Balloon Text"/>
    <w:basedOn w:val="735"/>
    <w:link w:val="1017"/>
    <w:uiPriority w:val="99"/>
    <w:semiHidden/>
    <w:unhideWhenUsed/>
    <w:qFormat/>
    <w:rPr>
      <w:sz w:val="18"/>
      <w:szCs w:val="18"/>
    </w:rPr>
  </w:style>
  <w:style w:type="paragraph" w:styleId="759">
    <w:name w:val="Footer"/>
    <w:basedOn w:val="735"/>
    <w:link w:val="797"/>
    <w:uiPriority w:val="99"/>
    <w:unhideWhenUsed/>
    <w:qFormat/>
    <w:pPr>
      <w:tabs>
        <w:tab w:val="center" w:pos="7143" w:leader="none"/>
        <w:tab w:val="right" w:pos="14287" w:leader="none"/>
      </w:tabs>
    </w:pPr>
  </w:style>
  <w:style w:type="paragraph" w:styleId="760">
    <w:name w:val="Header"/>
    <w:basedOn w:val="735"/>
    <w:link w:val="795"/>
    <w:uiPriority w:val="99"/>
    <w:unhideWhenUsed/>
    <w:qFormat/>
    <w:pPr>
      <w:tabs>
        <w:tab w:val="center" w:pos="7143" w:leader="none"/>
        <w:tab w:val="right" w:pos="14287" w:leader="none"/>
      </w:tabs>
    </w:pPr>
  </w:style>
  <w:style w:type="paragraph" w:styleId="761">
    <w:name w:val="toc 1"/>
    <w:basedOn w:val="735"/>
    <w:next w:val="735"/>
    <w:uiPriority w:val="39"/>
    <w:unhideWhenUsed/>
    <w:qFormat/>
    <w:pPr>
      <w:spacing w:after="57"/>
    </w:pPr>
  </w:style>
  <w:style w:type="paragraph" w:styleId="762">
    <w:name w:val="toc 4"/>
    <w:basedOn w:val="735"/>
    <w:next w:val="735"/>
    <w:uiPriority w:val="39"/>
    <w:unhideWhenUsed/>
    <w:qFormat/>
    <w:pPr>
      <w:ind w:left="850"/>
      <w:spacing w:after="57"/>
    </w:pPr>
  </w:style>
  <w:style w:type="paragraph" w:styleId="763">
    <w:name w:val="Subtitle"/>
    <w:basedOn w:val="735"/>
    <w:next w:val="735"/>
    <w:link w:val="790"/>
    <w:uiPriority w:val="11"/>
    <w:qFormat/>
    <w:pPr>
      <w:spacing w:before="200" w:after="200"/>
    </w:pPr>
  </w:style>
  <w:style w:type="paragraph" w:styleId="764">
    <w:name w:val="footnote text"/>
    <w:basedOn w:val="735"/>
    <w:link w:val="923"/>
    <w:uiPriority w:val="99"/>
    <w:semiHidden/>
    <w:unhideWhenUsed/>
    <w:qFormat/>
    <w:pPr>
      <w:spacing w:after="40"/>
    </w:pPr>
    <w:rPr>
      <w:sz w:val="18"/>
    </w:rPr>
  </w:style>
  <w:style w:type="paragraph" w:styleId="765">
    <w:name w:val="toc 6"/>
    <w:basedOn w:val="735"/>
    <w:next w:val="735"/>
    <w:uiPriority w:val="39"/>
    <w:unhideWhenUsed/>
    <w:qFormat/>
    <w:pPr>
      <w:ind w:left="1417"/>
      <w:spacing w:after="57"/>
    </w:pPr>
  </w:style>
  <w:style w:type="paragraph" w:styleId="766">
    <w:name w:val="table of figures"/>
    <w:basedOn w:val="735"/>
    <w:next w:val="735"/>
    <w:uiPriority w:val="99"/>
    <w:unhideWhenUsed/>
    <w:qFormat/>
  </w:style>
  <w:style w:type="paragraph" w:styleId="767">
    <w:name w:val="toc 2"/>
    <w:basedOn w:val="735"/>
    <w:next w:val="735"/>
    <w:uiPriority w:val="39"/>
    <w:unhideWhenUsed/>
    <w:qFormat/>
    <w:pPr>
      <w:ind w:left="283"/>
      <w:spacing w:after="57"/>
    </w:pPr>
  </w:style>
  <w:style w:type="paragraph" w:styleId="768">
    <w:name w:val="toc 9"/>
    <w:basedOn w:val="735"/>
    <w:next w:val="735"/>
    <w:uiPriority w:val="39"/>
    <w:unhideWhenUsed/>
    <w:qFormat/>
    <w:pPr>
      <w:ind w:left="2268"/>
      <w:spacing w:after="57"/>
    </w:pPr>
  </w:style>
  <w:style w:type="paragraph" w:styleId="769">
    <w:name w:val="Title"/>
    <w:basedOn w:val="735"/>
    <w:next w:val="735"/>
    <w:link w:val="789"/>
    <w:uiPriority w:val="10"/>
    <w:qFormat/>
    <w:pPr>
      <w:contextualSpacing/>
      <w:spacing w:before="300" w:after="200"/>
    </w:pPr>
    <w:rPr>
      <w:sz w:val="48"/>
      <w:szCs w:val="48"/>
    </w:rPr>
  </w:style>
  <w:style w:type="paragraph" w:styleId="770">
    <w:name w:val="annotation subject"/>
    <w:basedOn w:val="750"/>
    <w:next w:val="750"/>
    <w:link w:val="1015"/>
    <w:uiPriority w:val="99"/>
    <w:semiHidden/>
    <w:unhideWhenUsed/>
    <w:qFormat/>
    <w:rPr>
      <w:b/>
      <w:bCs/>
    </w:rPr>
  </w:style>
  <w:style w:type="table" w:styleId="77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2">
    <w:name w:val="endnote reference"/>
    <w:uiPriority w:val="99"/>
    <w:semiHidden/>
    <w:unhideWhenUsed/>
    <w:qFormat/>
    <w:rPr>
      <w:vertAlign w:val="superscript"/>
    </w:rPr>
  </w:style>
  <w:style w:type="character" w:styleId="773">
    <w:name w:val="Hyperlink"/>
    <w:uiPriority w:val="99"/>
    <w:unhideWhenUsed/>
    <w:qFormat/>
    <w:rPr>
      <w:color w:val="0000ff" w:themeColor="hyperlink"/>
      <w:u w:val="single"/>
      <w14:textFill>
        <w14:solidFill>
          <w14:schemeClr w14:val="hlink"/>
        </w14:solidFill>
      </w14:textFill>
    </w:rPr>
  </w:style>
  <w:style w:type="character" w:styleId="774">
    <w:name w:val="annotation reference"/>
    <w:basedOn w:val="745"/>
    <w:uiPriority w:val="0"/>
    <w:unhideWhenUsed/>
    <w:qFormat/>
    <w:rPr>
      <w:sz w:val="21"/>
      <w:szCs w:val="21"/>
    </w:rPr>
  </w:style>
  <w:style w:type="character" w:styleId="775">
    <w:name w:val="footnote reference"/>
    <w:uiPriority w:val="99"/>
    <w:unhideWhenUsed/>
    <w:qFormat/>
    <w:rPr>
      <w:vertAlign w:val="superscript"/>
    </w:rPr>
  </w:style>
  <w:style w:type="paragraph" w:styleId="776" w:customStyle="1">
    <w:name w:val="标题 11"/>
    <w:basedOn w:val="735"/>
    <w:next w:val="735"/>
    <w:uiPriority w:val="0"/>
    <w:qFormat/>
    <w:pPr>
      <w:jc w:val="both"/>
      <w:keepLines/>
      <w:keepNext/>
      <w:spacing w:before="340" w:after="330" w:line="578" w:lineRule="auto"/>
      <w:widowControl w:val="off"/>
      <w:outlineLvl w:val="0"/>
    </w:pPr>
    <w:rPr>
      <w:b/>
      <w:sz w:val="44"/>
      <w:szCs w:val="20"/>
    </w:rPr>
  </w:style>
  <w:style w:type="paragraph" w:styleId="777" w:customStyle="1">
    <w:name w:val="首行缩进"/>
    <w:basedOn w:val="735"/>
    <w:uiPriority w:val="0"/>
    <w:qFormat/>
    <w:pPr>
      <w:ind w:firstLine="480"/>
    </w:pPr>
    <w:rPr>
      <w:szCs w:val="20"/>
      <w:lang w:val="zh-CN"/>
    </w:rPr>
  </w:style>
  <w:style w:type="character" w:styleId="778" w:customStyle="1">
    <w:name w:val="Heading 1 Char"/>
    <w:uiPriority w:val="9"/>
    <w:qFormat/>
    <w:rPr>
      <w:rFonts w:ascii="Arial" w:hAnsi="Arial" w:eastAsia="Arial" w:cs="Arial"/>
      <w:sz w:val="40"/>
      <w:szCs w:val="40"/>
    </w:rPr>
  </w:style>
  <w:style w:type="character" w:styleId="779" w:customStyle="1">
    <w:name w:val="标题 2 字符"/>
    <w:link w:val="737"/>
    <w:uiPriority w:val="9"/>
    <w:qFormat/>
    <w:rPr>
      <w:rFonts w:ascii="Arial" w:hAnsi="Arial" w:eastAsia="Arial" w:cs="Arial"/>
      <w:sz w:val="34"/>
    </w:rPr>
  </w:style>
  <w:style w:type="character" w:styleId="780" w:customStyle="1">
    <w:name w:val="标题 3 字符"/>
    <w:link w:val="738"/>
    <w:uiPriority w:val="9"/>
    <w:qFormat/>
    <w:rPr>
      <w:rFonts w:ascii="Arial" w:hAnsi="Arial" w:eastAsia="Arial" w:cs="Arial"/>
      <w:sz w:val="30"/>
      <w:szCs w:val="30"/>
    </w:rPr>
  </w:style>
  <w:style w:type="character" w:styleId="781" w:customStyle="1">
    <w:name w:val="标题 4 字符"/>
    <w:link w:val="739"/>
    <w:uiPriority w:val="9"/>
    <w:qFormat/>
    <w:rPr>
      <w:rFonts w:ascii="Arial" w:hAnsi="Arial" w:eastAsia="Arial" w:cs="Arial"/>
      <w:b/>
      <w:bCs/>
      <w:sz w:val="26"/>
      <w:szCs w:val="26"/>
    </w:rPr>
  </w:style>
  <w:style w:type="character" w:styleId="782" w:customStyle="1">
    <w:name w:val="标题 5 字符"/>
    <w:link w:val="740"/>
    <w:uiPriority w:val="9"/>
    <w:qFormat/>
    <w:rPr>
      <w:rFonts w:ascii="Arial" w:hAnsi="Arial" w:eastAsia="Arial" w:cs="Arial"/>
      <w:b/>
      <w:bCs/>
      <w:sz w:val="24"/>
      <w:szCs w:val="24"/>
    </w:rPr>
  </w:style>
  <w:style w:type="character" w:styleId="783" w:customStyle="1">
    <w:name w:val="标题 6 字符"/>
    <w:link w:val="741"/>
    <w:uiPriority w:val="9"/>
    <w:qFormat/>
    <w:rPr>
      <w:rFonts w:ascii="Arial" w:hAnsi="Arial" w:eastAsia="Arial" w:cs="Arial"/>
      <w:b/>
      <w:bCs/>
      <w:sz w:val="22"/>
      <w:szCs w:val="22"/>
    </w:rPr>
  </w:style>
  <w:style w:type="character" w:styleId="784" w:customStyle="1">
    <w:name w:val="标题 7 字符"/>
    <w:link w:val="742"/>
    <w:uiPriority w:val="9"/>
    <w:qFormat/>
    <w:rPr>
      <w:rFonts w:ascii="Arial" w:hAnsi="Arial" w:eastAsia="Arial" w:cs="Arial"/>
      <w:b/>
      <w:bCs/>
      <w:i/>
      <w:iCs/>
      <w:sz w:val="22"/>
      <w:szCs w:val="22"/>
    </w:rPr>
  </w:style>
  <w:style w:type="character" w:styleId="785" w:customStyle="1">
    <w:name w:val="标题 8 字符"/>
    <w:link w:val="743"/>
    <w:uiPriority w:val="9"/>
    <w:qFormat/>
    <w:rPr>
      <w:rFonts w:ascii="Arial" w:hAnsi="Arial" w:eastAsia="Arial" w:cs="Arial"/>
      <w:i/>
      <w:iCs/>
      <w:sz w:val="22"/>
      <w:szCs w:val="22"/>
    </w:rPr>
  </w:style>
  <w:style w:type="character" w:styleId="786" w:customStyle="1">
    <w:name w:val="标题 9 字符"/>
    <w:link w:val="744"/>
    <w:uiPriority w:val="9"/>
    <w:qFormat/>
    <w:rPr>
      <w:rFonts w:ascii="Arial" w:hAnsi="Arial" w:eastAsia="Arial" w:cs="Arial"/>
      <w:i/>
      <w:iCs/>
      <w:sz w:val="21"/>
      <w:szCs w:val="21"/>
    </w:rPr>
  </w:style>
  <w:style w:type="paragraph" w:styleId="787">
    <w:name w:val="List Paragraph"/>
    <w:basedOn w:val="735"/>
    <w:uiPriority w:val="34"/>
    <w:qFormat/>
    <w:pPr>
      <w:contextualSpacing/>
      <w:ind w:left="720"/>
    </w:pPr>
  </w:style>
  <w:style w:type="paragraph" w:styleId="788">
    <w:name w:val="No Spacing"/>
    <w:uiPriority w:val="1"/>
    <w:qFormat/>
    <w:rPr>
      <w:rFonts w:ascii="Times New Roman" w:hAnsi="Times New Roman" w:eastAsia="宋体" w:cs="Times New Roman"/>
      <w:lang w:val="en-US" w:eastAsia="zh-CN" w:bidi="ar-SA"/>
    </w:rPr>
  </w:style>
  <w:style w:type="character" w:styleId="789" w:customStyle="1">
    <w:name w:val="标题 字符"/>
    <w:link w:val="769"/>
    <w:uiPriority w:val="10"/>
    <w:qFormat/>
    <w:rPr>
      <w:sz w:val="48"/>
      <w:szCs w:val="48"/>
    </w:rPr>
  </w:style>
  <w:style w:type="character" w:styleId="790" w:customStyle="1">
    <w:name w:val="副标题 字符"/>
    <w:link w:val="763"/>
    <w:uiPriority w:val="11"/>
    <w:qFormat/>
    <w:rPr>
      <w:sz w:val="24"/>
      <w:szCs w:val="24"/>
    </w:rPr>
  </w:style>
  <w:style w:type="paragraph" w:styleId="791">
    <w:name w:val="Quote"/>
    <w:basedOn w:val="735"/>
    <w:next w:val="735"/>
    <w:link w:val="792"/>
    <w:uiPriority w:val="29"/>
    <w:qFormat/>
    <w:pPr>
      <w:ind w:left="720" w:right="720"/>
    </w:pPr>
    <w:rPr>
      <w:i/>
    </w:rPr>
  </w:style>
  <w:style w:type="character" w:styleId="792" w:customStyle="1">
    <w:name w:val="引用 字符"/>
    <w:link w:val="791"/>
    <w:uiPriority w:val="29"/>
    <w:qFormat/>
    <w:rPr>
      <w:i/>
    </w:rPr>
  </w:style>
  <w:style w:type="paragraph" w:styleId="793">
    <w:name w:val="Intense Quote"/>
    <w:basedOn w:val="735"/>
    <w:next w:val="735"/>
    <w:link w:val="79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4" w:customStyle="1">
    <w:name w:val="明显引用 字符"/>
    <w:link w:val="793"/>
    <w:uiPriority w:val="30"/>
    <w:qFormat/>
    <w:rPr>
      <w:i/>
    </w:rPr>
  </w:style>
  <w:style w:type="character" w:styleId="795" w:customStyle="1">
    <w:name w:val="页眉 字符1"/>
    <w:link w:val="760"/>
    <w:uiPriority w:val="99"/>
    <w:qFormat/>
  </w:style>
  <w:style w:type="character" w:styleId="796" w:customStyle="1">
    <w:name w:val="Footer Char"/>
    <w:uiPriority w:val="99"/>
    <w:qFormat/>
  </w:style>
  <w:style w:type="character" w:styleId="797" w:customStyle="1">
    <w:name w:val="页脚 字符1"/>
    <w:link w:val="759"/>
    <w:uiPriority w:val="99"/>
    <w:qFormat/>
  </w:style>
  <w:style w:type="table" w:styleId="79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9"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0"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1"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2"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3"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4"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1"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8"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2"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9"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4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6"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8"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3"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0"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7"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4"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1"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5"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7"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8"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3" w:customStyle="1">
    <w:name w:val="脚注文本 字符"/>
    <w:link w:val="764"/>
    <w:uiPriority w:val="99"/>
    <w:qFormat/>
    <w:rPr>
      <w:sz w:val="18"/>
    </w:rPr>
  </w:style>
  <w:style w:type="character" w:styleId="924" w:customStyle="1">
    <w:name w:val="尾注文本 字符"/>
    <w:link w:val="757"/>
    <w:uiPriority w:val="99"/>
    <w:qFormat/>
    <w:rPr>
      <w:sz w:val="20"/>
    </w:rPr>
  </w:style>
  <w:style w:type="paragraph" w:styleId="925" w:customStyle="1">
    <w:name w:val="TOC 标题1"/>
    <w:uiPriority w:val="39"/>
    <w:unhideWhenUsed/>
    <w:qFormat/>
    <w:rPr>
      <w:rFonts w:ascii="Times New Roman" w:hAnsi="Times New Roman" w:eastAsia="宋体" w:cs="Times New Roman"/>
      <w:lang w:val="en-US" w:eastAsia="zh-CN" w:bidi="ar-SA"/>
    </w:rPr>
  </w:style>
  <w:style w:type="paragraph" w:styleId="926" w:customStyle="1">
    <w:name w:val="标题 21"/>
    <w:basedOn w:val="735"/>
    <w:next w:val="735"/>
    <w:uiPriority w:val="0"/>
    <w:qFormat/>
    <w:pPr>
      <w:jc w:val="center"/>
      <w:keepLines/>
      <w:keepNext/>
      <w:widowControl w:val="off"/>
      <w:outlineLvl w:val="1"/>
    </w:pPr>
    <w:rPr>
      <w:rFonts w:ascii="宋体" w:hAnsi="宋体" w:eastAsia="楷体_GB2312"/>
      <w:b/>
      <w:sz w:val="44"/>
      <w:szCs w:val="20"/>
    </w:rPr>
  </w:style>
  <w:style w:type="paragraph" w:styleId="927" w:customStyle="1">
    <w:name w:val="标题 31"/>
    <w:basedOn w:val="735"/>
    <w:next w:val="735"/>
    <w:uiPriority w:val="0"/>
    <w:qFormat/>
    <w:pPr>
      <w:jc w:val="center"/>
      <w:keepLines/>
      <w:keepNext/>
      <w:widowControl w:val="off"/>
      <w:outlineLvl w:val="2"/>
    </w:pPr>
    <w:rPr>
      <w:rFonts w:eastAsia="楷体_GB2312"/>
      <w:b/>
      <w:sz w:val="32"/>
      <w:szCs w:val="20"/>
    </w:rPr>
  </w:style>
  <w:style w:type="paragraph" w:styleId="928" w:customStyle="1">
    <w:name w:val="标题 41"/>
    <w:basedOn w:val="735"/>
    <w:next w:val="735"/>
    <w:uiPriority w:val="0"/>
    <w:qFormat/>
    <w:pPr>
      <w:jc w:val="both"/>
      <w:keepLines/>
      <w:keepNext/>
      <w:spacing w:before="280" w:after="290" w:line="376" w:lineRule="auto"/>
      <w:widowControl w:val="off"/>
      <w:outlineLvl w:val="3"/>
    </w:pPr>
    <w:rPr>
      <w:rFonts w:ascii="Arial" w:hAnsi="Arial" w:eastAsia="黑体"/>
      <w:b/>
      <w:bCs/>
      <w:sz w:val="28"/>
      <w:szCs w:val="28"/>
    </w:rPr>
  </w:style>
  <w:style w:type="paragraph" w:styleId="929" w:customStyle="1">
    <w:name w:val="标题 51"/>
    <w:basedOn w:val="735"/>
    <w:next w:val="735"/>
    <w:uiPriority w:val="0"/>
    <w:qFormat/>
    <w:pPr>
      <w:jc w:val="both"/>
      <w:keepNext/>
      <w:widowControl w:val="off"/>
      <w:outlineLvl w:val="4"/>
    </w:pPr>
    <w:rPr>
      <w:rFonts w:hint="eastAsia" w:ascii="宋体" w:hAnsi="宋体"/>
      <w:color w:val="000000"/>
      <w:sz w:val="28"/>
      <w:szCs w:val="20"/>
    </w:rPr>
  </w:style>
  <w:style w:type="paragraph" w:styleId="930" w:customStyle="1">
    <w:name w:val="标题 61"/>
    <w:basedOn w:val="735"/>
    <w:next w:val="735"/>
    <w:uiPriority w:val="0"/>
    <w:qFormat/>
    <w:pPr>
      <w:jc w:val="both"/>
      <w:keepNext/>
      <w:widowControl w:val="off"/>
      <w:outlineLvl w:val="5"/>
    </w:pPr>
    <w:rPr>
      <w:rFonts w:hint="eastAsia" w:ascii="宋体" w:hAnsi="宋体"/>
      <w:sz w:val="28"/>
      <w:szCs w:val="20"/>
    </w:rPr>
  </w:style>
  <w:style w:type="character" w:styleId="931" w:customStyle="1">
    <w:name w:val="默认段落字体1"/>
    <w:uiPriority w:val="0"/>
    <w:qFormat/>
  </w:style>
  <w:style w:type="table" w:styleId="932" w:customStyle="1">
    <w:name w:val="普通表格1"/>
    <w:uiPriority w:val="0"/>
    <w:semiHidden/>
    <w:qFormat/>
    <w:tblPr>
      <w:tblCellMar>
        <w:left w:w="0" w:type="dxa"/>
        <w:top w:w="0" w:type="dxa"/>
        <w:right w:w="0" w:type="dxa"/>
        <w:bottom w:w="0" w:type="dxa"/>
      </w:tblCellMar>
    </w:tblPr>
  </w:style>
  <w:style w:type="character" w:styleId="933" w:customStyle="1">
    <w:name w:val="标题 1 字符"/>
    <w:link w:val="736"/>
    <w:uiPriority w:val="0"/>
    <w:qFormat/>
    <w:rPr>
      <w:rFonts w:ascii="Times New Roman" w:hAnsi="Times New Roman" w:eastAsia="宋体"/>
      <w:b/>
      <w:sz w:val="44"/>
      <w:szCs w:val="20"/>
    </w:rPr>
  </w:style>
  <w:style w:type="paragraph" w:styleId="934" w:customStyle="1">
    <w:name w:val="目录 71"/>
    <w:basedOn w:val="776"/>
    <w:next w:val="735"/>
    <w:uiPriority w:val="0"/>
    <w:qFormat/>
    <w:pPr>
      <w:ind w:left="1640" w:firstLine="3784"/>
      <w:spacing w:before="0" w:after="0" w:line="360" w:lineRule="auto"/>
    </w:pPr>
  </w:style>
  <w:style w:type="paragraph" w:styleId="935" w:customStyle="1">
    <w:name w:val="正文缩进1"/>
    <w:basedOn w:val="735"/>
    <w:next w:val="735"/>
    <w:link w:val="936"/>
    <w:uiPriority w:val="0"/>
    <w:qFormat/>
    <w:pPr>
      <w:ind w:firstLine="420"/>
      <w:jc w:val="both"/>
      <w:widowControl w:val="off"/>
    </w:pPr>
    <w:rPr>
      <w:sz w:val="21"/>
      <w:szCs w:val="20"/>
    </w:rPr>
  </w:style>
  <w:style w:type="character" w:styleId="936" w:customStyle="1">
    <w:name w:val="正文缩进 字符"/>
    <w:link w:val="935"/>
    <w:uiPriority w:val="0"/>
    <w:qFormat/>
    <w:rPr>
      <w:rFonts w:eastAsia="宋体"/>
      <w:sz w:val="21"/>
      <w:lang w:val="en-US" w:eastAsia="zh-CN" w:bidi="ar-SA"/>
    </w:rPr>
  </w:style>
  <w:style w:type="paragraph" w:styleId="937" w:customStyle="1">
    <w:name w:val="索引 51"/>
    <w:basedOn w:val="735"/>
    <w:next w:val="735"/>
    <w:uiPriority w:val="0"/>
    <w:qFormat/>
    <w:pPr>
      <w:ind w:left="1680"/>
      <w:jc w:val="both"/>
      <w:widowControl w:val="off"/>
    </w:pPr>
    <w:rPr>
      <w:rFonts w:eastAsia="楷体_GB2312"/>
      <w:sz w:val="26"/>
      <w:szCs w:val="20"/>
    </w:rPr>
  </w:style>
  <w:style w:type="paragraph" w:styleId="938" w:customStyle="1">
    <w:name w:val="列表项目符号1"/>
    <w:basedOn w:val="776"/>
    <w:next w:val="735"/>
    <w:uiPriority w:val="0"/>
    <w:qFormat/>
    <w:pPr>
      <w:numPr>
        <w:ilvl w:val="0"/>
        <w:numId w:val="1"/>
      </w:numPr>
      <w:tabs>
        <w:tab w:val="left" w:pos="1155" w:leader="none"/>
      </w:tabs>
    </w:pPr>
    <w:rPr>
      <w:rFonts w:eastAsia="仿宋_GB2312"/>
      <w:sz w:val="30"/>
    </w:rPr>
  </w:style>
  <w:style w:type="paragraph" w:styleId="939" w:customStyle="1">
    <w:name w:val="文档结构图1"/>
    <w:basedOn w:val="735"/>
    <w:uiPriority w:val="0"/>
    <w:qFormat/>
    <w:pPr>
      <w:shd w:val="clear" w:color="auto" w:fill="000080"/>
    </w:pPr>
  </w:style>
  <w:style w:type="paragraph" w:styleId="940" w:customStyle="1">
    <w:name w:val="批注文字1"/>
    <w:basedOn w:val="735"/>
    <w:uiPriority w:val="0"/>
    <w:qFormat/>
    <w:pPr>
      <w:widowControl w:val="off"/>
    </w:pPr>
    <w:rPr>
      <w:rFonts w:eastAsia="楷体_GB2312"/>
      <w:sz w:val="28"/>
      <w:szCs w:val="20"/>
    </w:rPr>
  </w:style>
  <w:style w:type="paragraph" w:styleId="941" w:customStyle="1">
    <w:name w:val="正文文本 31"/>
    <w:basedOn w:val="735"/>
    <w:uiPriority w:val="0"/>
    <w:qFormat/>
    <w:pPr>
      <w:jc w:val="both"/>
      <w:spacing w:after="120"/>
      <w:widowControl w:val="off"/>
    </w:pPr>
    <w:rPr>
      <w:rFonts w:eastAsia="楷体_GB2312"/>
      <w:sz w:val="16"/>
      <w:szCs w:val="16"/>
    </w:rPr>
  </w:style>
  <w:style w:type="paragraph" w:styleId="942" w:customStyle="1">
    <w:name w:val="正文文本1"/>
    <w:basedOn w:val="735"/>
    <w:uiPriority w:val="0"/>
    <w:qFormat/>
    <w:pPr>
      <w:spacing w:line="360" w:lineRule="auto"/>
    </w:pPr>
    <w:rPr>
      <w:szCs w:val="20"/>
    </w:rPr>
  </w:style>
  <w:style w:type="paragraph" w:styleId="943" w:customStyle="1">
    <w:name w:val="正文文本缩进1"/>
    <w:basedOn w:val="735"/>
    <w:uiPriority w:val="0"/>
    <w:qFormat/>
    <w:pPr>
      <w:ind w:left="420"/>
      <w:spacing w:after="120"/>
    </w:pPr>
  </w:style>
  <w:style w:type="paragraph" w:styleId="944" w:customStyle="1">
    <w:name w:val="列表 21"/>
    <w:basedOn w:val="776"/>
    <w:next w:val="934"/>
    <w:uiPriority w:val="0"/>
    <w:qFormat/>
    <w:pPr>
      <w:ind w:left="100" w:firstLine="3640"/>
      <w:spacing w:before="0" w:after="0" w:line="240" w:lineRule="auto"/>
    </w:pPr>
  </w:style>
  <w:style w:type="paragraph" w:styleId="945" w:customStyle="1">
    <w:name w:val="文本块1"/>
    <w:basedOn w:val="735"/>
    <w:uiPriority w:val="0"/>
    <w:qFormat/>
    <w:pPr>
      <w:ind w:left="630" w:right="-609" w:firstLine="420"/>
      <w:jc w:val="both"/>
      <w:spacing w:line="360" w:lineRule="auto"/>
      <w:widowControl w:val="off"/>
    </w:pPr>
    <w:rPr>
      <w:rFonts w:hint="eastAsia" w:ascii="仿宋_GB2312" w:eastAsia="仿宋_GB2312"/>
      <w:sz w:val="21"/>
      <w:szCs w:val="20"/>
    </w:rPr>
  </w:style>
  <w:style w:type="paragraph" w:styleId="946" w:customStyle="1">
    <w:name w:val="目录 31"/>
    <w:basedOn w:val="735"/>
    <w:next w:val="735"/>
    <w:uiPriority w:val="0"/>
    <w:qFormat/>
    <w:pPr>
      <w:ind w:left="840"/>
      <w:jc w:val="both"/>
      <w:widowControl w:val="off"/>
    </w:pPr>
    <w:rPr>
      <w:rFonts w:eastAsia="楷体_GB2312"/>
      <w:sz w:val="28"/>
      <w:szCs w:val="20"/>
    </w:rPr>
  </w:style>
  <w:style w:type="paragraph" w:styleId="947" w:customStyle="1">
    <w:name w:val="纯文本1"/>
    <w:basedOn w:val="735"/>
    <w:link w:val="948"/>
    <w:uiPriority w:val="0"/>
    <w:qFormat/>
    <w:pPr>
      <w:jc w:val="both"/>
      <w:widowControl w:val="off"/>
    </w:pPr>
    <w:rPr>
      <w:rFonts w:ascii="宋体" w:hAnsi="Courier New"/>
      <w:sz w:val="21"/>
      <w:szCs w:val="20"/>
    </w:rPr>
  </w:style>
  <w:style w:type="character" w:styleId="948" w:customStyle="1">
    <w:name w:val="纯文本 字符"/>
    <w:link w:val="947"/>
    <w:uiPriority w:val="0"/>
    <w:qFormat/>
    <w:rPr>
      <w:rFonts w:ascii="宋体" w:hAnsi="Courier New" w:eastAsia="宋体"/>
      <w:sz w:val="21"/>
      <w:lang w:val="en-US" w:eastAsia="zh-CN" w:bidi="ar-SA"/>
    </w:rPr>
  </w:style>
  <w:style w:type="paragraph" w:styleId="949" w:customStyle="1">
    <w:name w:val="日期1"/>
    <w:basedOn w:val="776"/>
    <w:next w:val="735"/>
    <w:link w:val="950"/>
    <w:uiPriority w:val="0"/>
    <w:qFormat/>
    <w:pPr>
      <w:ind w:left="100"/>
    </w:pPr>
    <w:rPr>
      <w:b w:val="0"/>
      <w:sz w:val="24"/>
      <w:szCs w:val="24"/>
    </w:rPr>
  </w:style>
  <w:style w:type="character" w:styleId="950" w:customStyle="1">
    <w:name w:val="日期 字符"/>
    <w:link w:val="949"/>
    <w:uiPriority w:val="0"/>
    <w:qFormat/>
    <w:rPr>
      <w:rFonts w:eastAsia="宋体"/>
      <w:sz w:val="24"/>
      <w:szCs w:val="24"/>
      <w:lang w:val="en-US" w:eastAsia="zh-CN" w:bidi="ar-SA"/>
    </w:rPr>
  </w:style>
  <w:style w:type="paragraph" w:styleId="951" w:customStyle="1">
    <w:name w:val="正文文本缩进 21"/>
    <w:basedOn w:val="735"/>
    <w:uiPriority w:val="0"/>
    <w:qFormat/>
    <w:pPr>
      <w:ind w:left="420"/>
      <w:jc w:val="both"/>
      <w:spacing w:after="120" w:line="480" w:lineRule="auto"/>
      <w:widowControl w:val="off"/>
    </w:pPr>
    <w:rPr>
      <w:rFonts w:eastAsia="楷体_GB2312"/>
      <w:sz w:val="28"/>
      <w:szCs w:val="20"/>
    </w:rPr>
  </w:style>
  <w:style w:type="paragraph" w:styleId="952" w:customStyle="1">
    <w:name w:val="批注框文本1"/>
    <w:basedOn w:val="735"/>
    <w:uiPriority w:val="0"/>
    <w:qFormat/>
    <w:rPr>
      <w:sz w:val="18"/>
      <w:szCs w:val="18"/>
    </w:rPr>
  </w:style>
  <w:style w:type="paragraph" w:styleId="953" w:customStyle="1">
    <w:name w:val="页脚1"/>
    <w:basedOn w:val="735"/>
    <w:next w:val="954"/>
    <w:link w:val="955"/>
    <w:uiPriority w:val="99"/>
    <w:qFormat/>
    <w:pPr>
      <w:widowControl w:val="off"/>
      <w:tabs>
        <w:tab w:val="center" w:pos="4153" w:leader="none"/>
        <w:tab w:val="right" w:pos="8306" w:leader="none"/>
      </w:tabs>
    </w:pPr>
    <w:rPr>
      <w:sz w:val="18"/>
      <w:szCs w:val="18"/>
    </w:rPr>
  </w:style>
  <w:style w:type="paragraph" w:styleId="954" w:customStyle="1">
    <w:name w:val="Char Char Char Char Char Char Char Char Char Char Char Char Char"/>
    <w:basedOn w:val="776"/>
    <w:next w:val="735"/>
    <w:uiPriority w:val="0"/>
    <w:qFormat/>
    <w:pPr>
      <w:ind w:firstLine="3584"/>
      <w:spacing w:before="0" w:after="160" w:line="240" w:lineRule="exact"/>
    </w:pPr>
  </w:style>
  <w:style w:type="character" w:styleId="955" w:customStyle="1">
    <w:name w:val="页脚 字符"/>
    <w:link w:val="953"/>
    <w:uiPriority w:val="99"/>
    <w:qFormat/>
    <w:rPr>
      <w:sz w:val="18"/>
      <w:szCs w:val="18"/>
    </w:rPr>
  </w:style>
  <w:style w:type="paragraph" w:styleId="956" w:customStyle="1">
    <w:name w:val="寄信人地址1"/>
    <w:basedOn w:val="735"/>
    <w:uiPriority w:val="0"/>
    <w:qFormat/>
    <w:rPr>
      <w:rFonts w:ascii="Arial" w:hAnsi="Arial"/>
    </w:rPr>
  </w:style>
  <w:style w:type="paragraph" w:styleId="957" w:customStyle="1">
    <w:name w:val="页眉1"/>
    <w:basedOn w:val="735"/>
    <w:link w:val="958"/>
    <w:uiPriority w:val="99"/>
    <w:qFormat/>
    <w:pPr>
      <w:jc w:val="center"/>
      <w:widowControl w:val="off"/>
      <w:tabs>
        <w:tab w:val="center" w:pos="4153" w:leader="none"/>
        <w:tab w:val="right" w:pos="8306" w:leader="none"/>
      </w:tabs>
      <w:pBdr>
        <w:bottom w:val="none" w:color="000000" w:sz="0" w:space="1"/>
      </w:pBdr>
    </w:pPr>
    <w:rPr>
      <w:b/>
      <w:sz w:val="18"/>
      <w:szCs w:val="18"/>
    </w:rPr>
  </w:style>
  <w:style w:type="character" w:styleId="958" w:customStyle="1">
    <w:name w:val="页眉 字符"/>
    <w:link w:val="957"/>
    <w:uiPriority w:val="99"/>
    <w:qFormat/>
    <w:rPr>
      <w:sz w:val="18"/>
      <w:szCs w:val="18"/>
    </w:rPr>
  </w:style>
  <w:style w:type="paragraph" w:styleId="959" w:customStyle="1">
    <w:name w:val="目录 11"/>
    <w:basedOn w:val="735"/>
    <w:next w:val="735"/>
    <w:uiPriority w:val="0"/>
    <w:qFormat/>
    <w:pPr>
      <w:widowControl w:val="off"/>
    </w:pPr>
    <w:rPr>
      <w:rFonts w:eastAsia="楷体_GB2312"/>
      <w:szCs w:val="20"/>
    </w:rPr>
  </w:style>
  <w:style w:type="paragraph" w:styleId="960" w:customStyle="1">
    <w:name w:val="副标题1"/>
    <w:basedOn w:val="735"/>
    <w:next w:val="735"/>
    <w:uiPriority w:val="0"/>
    <w:qFormat/>
    <w:pPr>
      <w:jc w:val="center"/>
      <w:spacing w:before="240" w:after="60" w:line="312" w:lineRule="auto"/>
      <w:widowControl w:val="off"/>
      <w:outlineLvl w:val="1"/>
    </w:pPr>
    <w:rPr>
      <w:rFonts w:ascii="Cambria" w:hAnsi="Cambria"/>
      <w:b/>
      <w:bCs/>
      <w:sz w:val="32"/>
      <w:szCs w:val="32"/>
    </w:rPr>
  </w:style>
  <w:style w:type="paragraph" w:styleId="961" w:customStyle="1">
    <w:name w:val="脚注文本1"/>
    <w:basedOn w:val="735"/>
    <w:uiPriority w:val="0"/>
    <w:qFormat/>
    <w:pPr>
      <w:widowControl w:val="off"/>
    </w:pPr>
    <w:rPr>
      <w:sz w:val="18"/>
      <w:szCs w:val="18"/>
    </w:rPr>
  </w:style>
  <w:style w:type="paragraph" w:styleId="962" w:customStyle="1">
    <w:name w:val="正文文本缩进 31"/>
    <w:basedOn w:val="735"/>
    <w:uiPriority w:val="0"/>
    <w:qFormat/>
    <w:pPr>
      <w:ind w:firstLine="480"/>
      <w:spacing w:line="300" w:lineRule="auto"/>
      <w:widowControl w:val="off"/>
    </w:pPr>
  </w:style>
  <w:style w:type="paragraph" w:styleId="963" w:customStyle="1">
    <w:name w:val="正文文本 21"/>
    <w:basedOn w:val="776"/>
    <w:next w:val="938"/>
    <w:uiPriority w:val="0"/>
    <w:qFormat/>
    <w:pPr>
      <w:spacing w:line="180" w:lineRule="exact"/>
    </w:pPr>
    <w:rPr>
      <w:sz w:val="15"/>
    </w:rPr>
  </w:style>
  <w:style w:type="paragraph" w:styleId="964" w:customStyle="1">
    <w:name w:val="列表 41"/>
    <w:basedOn w:val="735"/>
    <w:uiPriority w:val="0"/>
    <w:qFormat/>
    <w:pPr>
      <w:ind w:left="100" w:hanging="200"/>
      <w:jc w:val="both"/>
      <w:widowControl w:val="off"/>
    </w:pPr>
    <w:rPr>
      <w:sz w:val="21"/>
    </w:rPr>
  </w:style>
  <w:style w:type="paragraph" w:styleId="965" w:customStyle="1">
    <w:name w:val="HTML 预设格式1"/>
    <w:basedOn w:val="735"/>
    <w:uiPriority w:val="0"/>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rPr>
  </w:style>
  <w:style w:type="paragraph" w:styleId="966" w:customStyle="1">
    <w:name w:val="普通(网站)1"/>
    <w:basedOn w:val="735"/>
    <w:next w:val="944"/>
    <w:uiPriority w:val="0"/>
    <w:qFormat/>
    <w:pPr>
      <w:spacing w:before="100" w:beforeAutospacing="1" w:after="100" w:afterAutospacing="1"/>
    </w:pPr>
    <w:rPr>
      <w:rFonts w:hint="eastAsia" w:ascii="宋体" w:hAnsi="宋体"/>
    </w:rPr>
  </w:style>
  <w:style w:type="paragraph" w:styleId="967" w:customStyle="1">
    <w:name w:val="索引 11"/>
    <w:basedOn w:val="735"/>
    <w:next w:val="735"/>
    <w:uiPriority w:val="0"/>
    <w:qFormat/>
    <w:pPr>
      <w:jc w:val="both"/>
      <w:widowControl w:val="off"/>
    </w:pPr>
    <w:rPr>
      <w:sz w:val="21"/>
    </w:rPr>
  </w:style>
  <w:style w:type="paragraph" w:styleId="968" w:customStyle="1">
    <w:name w:val="批注主题1"/>
    <w:basedOn w:val="940"/>
    <w:next w:val="940"/>
    <w:uiPriority w:val="0"/>
    <w:qFormat/>
    <w:rPr>
      <w:b/>
      <w:bCs/>
    </w:rPr>
  </w:style>
  <w:style w:type="paragraph" w:styleId="969" w:customStyle="1">
    <w:name w:val="正文首行缩进1"/>
    <w:basedOn w:val="942"/>
    <w:uiPriority w:val="0"/>
    <w:qFormat/>
    <w:pPr>
      <w:ind w:firstLine="420"/>
      <w:tabs>
        <w:tab w:val="left" w:pos="5250" w:leader="none"/>
      </w:tabs>
    </w:pPr>
    <w:rPr>
      <w:rFonts w:ascii="宋体" w:hAnsi="宋体"/>
    </w:rPr>
  </w:style>
  <w:style w:type="paragraph" w:styleId="970" w:customStyle="1">
    <w:name w:val="正文首行缩进 21"/>
    <w:basedOn w:val="943"/>
    <w:link w:val="971"/>
    <w:uiPriority w:val="0"/>
    <w:qFormat/>
    <w:pPr>
      <w:ind w:firstLine="420"/>
      <w:jc w:val="both"/>
      <w:widowControl w:val="off"/>
    </w:pPr>
    <w:rPr>
      <w:rFonts w:eastAsia="楷体_GB2312"/>
      <w:sz w:val="28"/>
      <w:szCs w:val="20"/>
    </w:rPr>
  </w:style>
  <w:style w:type="character" w:styleId="971" w:customStyle="1">
    <w:name w:val="正文文本首行缩进 2 字符"/>
    <w:link w:val="970"/>
    <w:uiPriority w:val="0"/>
    <w:qFormat/>
    <w:rPr>
      <w:rFonts w:eastAsia="楷体_GB2312"/>
      <w:sz w:val="28"/>
      <w:lang w:bidi="ar-SA"/>
    </w:rPr>
  </w:style>
  <w:style w:type="table" w:styleId="972" w:customStyle="1">
    <w:name w:val="网格型1"/>
    <w:basedOn w:val="932"/>
    <w:uiPriority w:val="0"/>
    <w:qFormat/>
    <w:tblPr/>
  </w:style>
  <w:style w:type="character" w:styleId="973" w:customStyle="1">
    <w:name w:val="要点1"/>
    <w:uiPriority w:val="0"/>
    <w:qFormat/>
    <w:rPr>
      <w:b/>
      <w:bCs/>
    </w:rPr>
  </w:style>
  <w:style w:type="character" w:styleId="974" w:customStyle="1">
    <w:name w:val="页码1"/>
    <w:uiPriority w:val="0"/>
    <w:qFormat/>
  </w:style>
  <w:style w:type="character" w:styleId="975" w:customStyle="1">
    <w:name w:val="已访问的超链接1"/>
    <w:uiPriority w:val="0"/>
    <w:qFormat/>
    <w:rPr>
      <w:color w:val="800080"/>
      <w:u w:val="single"/>
    </w:rPr>
  </w:style>
  <w:style w:type="character" w:styleId="976" w:customStyle="1">
    <w:name w:val="超链接1"/>
    <w:uiPriority w:val="0"/>
    <w:qFormat/>
    <w:rPr>
      <w:color w:val="0000ff"/>
      <w:u w:val="single"/>
    </w:rPr>
  </w:style>
  <w:style w:type="character" w:styleId="977" w:customStyle="1">
    <w:name w:val="批注引用1"/>
    <w:uiPriority w:val="0"/>
    <w:qFormat/>
    <w:rPr>
      <w:sz w:val="21"/>
      <w:szCs w:val="21"/>
    </w:rPr>
  </w:style>
  <w:style w:type="character" w:styleId="978" w:customStyle="1">
    <w:name w:val="脚注引用1"/>
    <w:uiPriority w:val="0"/>
    <w:qFormat/>
    <w:rPr>
      <w:vertAlign w:val="superscript"/>
    </w:rPr>
  </w:style>
  <w:style w:type="paragraph" w:styleId="979" w:customStyle="1">
    <w:name w:val="无间隔1"/>
    <w:basedOn w:val="735"/>
    <w:uiPriority w:val="1"/>
    <w:qFormat/>
    <w:rPr>
      <w:rFonts w:ascii="@楷体_GB2312" w:hAnsi="@楷体_GB2312"/>
      <w:szCs w:val="32"/>
    </w:rPr>
  </w:style>
  <w:style w:type="paragraph" w:styleId="980" w:customStyle="1">
    <w:name w:val="一级条标题"/>
    <w:basedOn w:val="981"/>
    <w:next w:val="982"/>
    <w:uiPriority w:val="0"/>
    <w:qFormat/>
    <w:pPr>
      <w:ind w:left="420"/>
      <w:spacing w:line="240" w:lineRule="auto"/>
      <w:outlineLvl w:val="2"/>
    </w:pPr>
  </w:style>
  <w:style w:type="paragraph" w:styleId="981" w:customStyle="1">
    <w:name w:val="章标题"/>
    <w:next w:val="735"/>
    <w:uiPriority w:val="0"/>
    <w:qFormat/>
    <w:pPr>
      <w:jc w:val="both"/>
      <w:spacing w:line="360" w:lineRule="auto"/>
      <w:outlineLvl w:val="1"/>
    </w:pPr>
    <w:rPr>
      <w:rFonts w:ascii="黑体" w:hAnsi="Calibri" w:eastAsia="黑体" w:cs="黑体"/>
      <w:sz w:val="21"/>
      <w:szCs w:val="21"/>
      <w:lang w:val="en-US" w:eastAsia="zh-CN" w:bidi="ar-SA"/>
    </w:rPr>
  </w:style>
  <w:style w:type="paragraph" w:styleId="982" w:customStyle="1">
    <w:name w:val="段"/>
    <w:next w:val="735"/>
    <w:uiPriority w:val="0"/>
    <w:qFormat/>
    <w:pPr>
      <w:ind w:firstLine="200"/>
      <w:jc w:val="both"/>
      <w:spacing w:line="360" w:lineRule="auto"/>
    </w:pPr>
    <w:rPr>
      <w:rFonts w:ascii="宋体" w:hAnsi="Times New Roman" w:eastAsia="宋体" w:cs="Times New Roman"/>
      <w:sz w:val="24"/>
      <w:szCs w:val="22"/>
      <w:lang w:val="en-US" w:eastAsia="zh-CN" w:bidi="ar-SA"/>
    </w:rPr>
  </w:style>
  <w:style w:type="character" w:styleId="983" w:customStyle="1">
    <w:name w:val="正文缩进 Char1"/>
    <w:uiPriority w:val="0"/>
    <w:qFormat/>
    <w:rPr>
      <w:rFonts w:eastAsia="宋体"/>
      <w:sz w:val="21"/>
      <w:lang w:val="en-US" w:eastAsia="zh-CN" w:bidi="ar-SA"/>
    </w:rPr>
  </w:style>
  <w:style w:type="character" w:styleId="984" w:customStyle="1">
    <w:name w:val="zihao_18 jiacu"/>
    <w:uiPriority w:val="0"/>
    <w:qFormat/>
  </w:style>
  <w:style w:type="character" w:styleId="985" w:customStyle="1">
    <w:name w:val="Andy_正文 Char"/>
    <w:link w:val="986"/>
    <w:uiPriority w:val="0"/>
    <w:qFormat/>
    <w:rPr>
      <w:rFonts w:ascii="Calibri" w:hAnsi="Calibri"/>
      <w:sz w:val="24"/>
      <w:szCs w:val="24"/>
    </w:rPr>
  </w:style>
  <w:style w:type="paragraph" w:styleId="986" w:customStyle="1">
    <w:name w:val="Andy_正文"/>
    <w:basedOn w:val="735"/>
    <w:link w:val="985"/>
    <w:uiPriority w:val="0"/>
    <w:qFormat/>
    <w:pPr>
      <w:ind w:firstLine="480"/>
      <w:jc w:val="both"/>
      <w:spacing w:line="360" w:lineRule="auto"/>
      <w:widowControl w:val="off"/>
    </w:pPr>
    <w:rPr>
      <w:rFonts w:ascii="Calibri" w:hAnsi="Calibri"/>
    </w:rPr>
  </w:style>
  <w:style w:type="character" w:styleId="987" w:customStyle="1">
    <w:name w:val="普通文字1 Char1"/>
    <w:uiPriority w:val="0"/>
    <w:qFormat/>
    <w:rPr>
      <w:rFonts w:ascii="宋体" w:hAnsi="Courier New" w:eastAsia="楷体_GB2312"/>
      <w:sz w:val="28"/>
      <w:lang w:val="en-US" w:eastAsia="zh-CN" w:bidi="ar-SA"/>
    </w:rPr>
  </w:style>
  <w:style w:type="character" w:styleId="988" w:customStyle="1">
    <w:name w:val="grame"/>
    <w:uiPriority w:val="0"/>
    <w:qFormat/>
  </w:style>
  <w:style w:type="character" w:styleId="989" w:customStyle="1">
    <w:name w:val="s1"/>
    <w:uiPriority w:val="0"/>
    <w:qFormat/>
  </w:style>
  <w:style w:type="character" w:styleId="990" w:customStyle="1">
    <w:name w:val="正文缩进 Char"/>
    <w:uiPriority w:val="0"/>
    <w:qFormat/>
    <w:rPr>
      <w:rFonts w:eastAsia="宋体"/>
      <w:sz w:val="21"/>
      <w:lang w:val="en-US" w:eastAsia="zh-CN" w:bidi="ar-SA"/>
    </w:rPr>
  </w:style>
  <w:style w:type="character" w:styleId="991" w:customStyle="1">
    <w:name w:val="apple-converted-space"/>
    <w:uiPriority w:val="0"/>
    <w:qFormat/>
  </w:style>
  <w:style w:type="character" w:styleId="992" w:customStyle="1">
    <w:name w:val="Char Char33"/>
    <w:uiPriority w:val="0"/>
    <w:qFormat/>
    <w:rPr>
      <w:rFonts w:eastAsia="楷体_GB2312"/>
      <w:sz w:val="24"/>
      <w:lang w:val="en-US" w:eastAsia="zh-CN" w:bidi="ar-SA"/>
    </w:rPr>
  </w:style>
  <w:style w:type="character" w:styleId="993" w:customStyle="1">
    <w:name w:val="headline-content2"/>
    <w:uiPriority w:val="0"/>
    <w:qFormat/>
  </w:style>
  <w:style w:type="character" w:styleId="994" w:customStyle="1">
    <w:name w:val="正文双线 Char"/>
    <w:uiPriority w:val="0"/>
    <w:qFormat/>
    <w:rPr>
      <w:rFonts w:eastAsia="楷体_GB2312"/>
      <w:sz w:val="24"/>
    </w:rPr>
  </w:style>
  <w:style w:type="paragraph" w:styleId="995" w:customStyle="1">
    <w:name w:val="xl66"/>
    <w:basedOn w:val="73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996" w:customStyle="1">
    <w:name w:val="xl41"/>
    <w:basedOn w:val="73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仿宋_GB2312" w:hAnsi="宋体" w:eastAsia="仿宋_GB2312" w:cs="宋体"/>
      <w:sz w:val="18"/>
      <w:szCs w:val="18"/>
    </w:rPr>
  </w:style>
  <w:style w:type="paragraph" w:styleId="997" w:customStyle="1">
    <w:name w:val="Char Char Char Char1"/>
    <w:basedOn w:val="735"/>
    <w:uiPriority w:val="0"/>
    <w:qFormat/>
    <w:rPr>
      <w:rFonts w:ascii="Tahoma" w:hAnsi="Tahoma"/>
      <w:szCs w:val="20"/>
    </w:rPr>
  </w:style>
  <w:style w:type="paragraph" w:styleId="998" w:customStyle="1">
    <w:name w:val="xl31"/>
    <w:basedOn w:val="735"/>
    <w:uiPriority w:val="0"/>
    <w:qFormat/>
    <w:pPr>
      <w:jc w:val="center"/>
      <w:spacing w:before="100" w:beforeAutospacing="1" w:after="100" w:afterAutospacing="1"/>
    </w:pPr>
    <w:rPr>
      <w:rFonts w:ascii="宋体" w:hAnsi="宋体" w:cs="宋体"/>
      <w:sz w:val="18"/>
      <w:szCs w:val="18"/>
    </w:rPr>
  </w:style>
  <w:style w:type="paragraph" w:styleId="999" w:customStyle="1">
    <w:name w:val="Char Char Char1 Char Char Char Char"/>
    <w:basedOn w:val="735"/>
    <w:uiPriority w:val="0"/>
    <w:qFormat/>
    <w:pPr>
      <w:jc w:val="both"/>
      <w:spacing w:after="160" w:line="240" w:lineRule="exact"/>
      <w:widowControl w:val="off"/>
    </w:pPr>
    <w:rPr>
      <w:sz w:val="21"/>
    </w:rPr>
  </w:style>
  <w:style w:type="paragraph" w:styleId="1000" w:customStyle="1">
    <w:name w:val="Plain Text1"/>
    <w:basedOn w:val="735"/>
    <w:uiPriority w:val="0"/>
    <w:qFormat/>
    <w:pPr>
      <w:jc w:val="both"/>
      <w:widowControl w:val="off"/>
    </w:pPr>
    <w:rPr>
      <w:rFonts w:hint="eastAsia" w:ascii="宋体" w:hAnsi="Courier New" w:eastAsia="楷体_GB2312"/>
      <w:sz w:val="28"/>
      <w:szCs w:val="20"/>
    </w:rPr>
  </w:style>
  <w:style w:type="paragraph" w:styleId="1001" w:customStyle="1">
    <w:name w:val="默认段落字体 Para Char Char Char Char Char Char Char"/>
    <w:basedOn w:val="735"/>
    <w:uiPriority w:val="0"/>
    <w:qFormat/>
    <w:pPr>
      <w:jc w:val="both"/>
      <w:spacing w:line="360" w:lineRule="auto"/>
      <w:widowControl w:val="off"/>
    </w:pPr>
  </w:style>
  <w:style w:type="paragraph" w:styleId="1002" w:customStyle="1">
    <w:name w:val="xl32"/>
    <w:basedOn w:val="735"/>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sz w:val="18"/>
      <w:szCs w:val="18"/>
    </w:rPr>
  </w:style>
  <w:style w:type="paragraph" w:styleId="1003" w:customStyle="1">
    <w:name w:val="Blockquote"/>
    <w:basedOn w:val="735"/>
    <w:uiPriority w:val="0"/>
    <w:qFormat/>
    <w:pPr>
      <w:ind w:left="360" w:right="360"/>
      <w:spacing w:before="100" w:after="100"/>
      <w:widowControl w:val="off"/>
    </w:pPr>
    <w:rPr>
      <w:rFonts w:eastAsia="楷体_GB2312"/>
      <w:szCs w:val="20"/>
    </w:rPr>
  </w:style>
  <w:style w:type="paragraph" w:styleId="1004" w:customStyle="1">
    <w:name w:val="xl60"/>
    <w:basedOn w:val="735"/>
    <w:uiPriority w:val="0"/>
    <w:qFormat/>
    <w:pPr>
      <w:spacing w:before="100" w:beforeAutospacing="1" w:after="100" w:afterAutospacing="1"/>
      <w:pBdr>
        <w:left w:val="single" w:color="000000" w:sz="4" w:space="0"/>
        <w:bottom w:val="single" w:color="000000" w:sz="4" w:space="0"/>
      </w:pBdr>
    </w:pPr>
    <w:rPr>
      <w:b/>
      <w:bCs/>
      <w:sz w:val="18"/>
      <w:szCs w:val="18"/>
    </w:rPr>
  </w:style>
  <w:style w:type="paragraph" w:styleId="1005" w:customStyle="1">
    <w:name w:val="xl39"/>
    <w:basedOn w:val="735"/>
    <w:uiPriority w:val="0"/>
    <w:qFormat/>
    <w:pPr>
      <w:spacing w:before="100" w:beforeAutospacing="1" w:after="100" w:afterAutospacing="1"/>
      <w:pBdr>
        <w:top w:val="single" w:color="000000" w:sz="4" w:space="0"/>
        <w:bottom w:val="single" w:color="000000" w:sz="4" w:space="0"/>
        <w:right w:val="single" w:color="000000" w:sz="4" w:space="0"/>
      </w:pBdr>
    </w:pPr>
    <w:rPr>
      <w:b/>
      <w:bCs/>
      <w:sz w:val="18"/>
      <w:szCs w:val="18"/>
    </w:rPr>
  </w:style>
  <w:style w:type="paragraph" w:styleId="1006" w:customStyle="1">
    <w:name w:val="xl52"/>
    <w:basedOn w:val="735"/>
    <w:uiPriority w:val="0"/>
    <w:qFormat/>
    <w:pPr>
      <w:jc w:val="right"/>
      <w:spacing w:before="100" w:beforeAutospacing="1" w:after="100" w:afterAutospacing="1"/>
    </w:pPr>
    <w:rPr>
      <w:sz w:val="18"/>
      <w:szCs w:val="18"/>
    </w:rPr>
  </w:style>
  <w:style w:type="paragraph" w:styleId="1007" w:customStyle="1">
    <w:name w:val="xl70"/>
    <w:basedOn w:val="735"/>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008" w:customStyle="1">
    <w:name w:val="修订1"/>
    <w:uiPriority w:val="99"/>
    <w:semiHidden/>
    <w:qFormat/>
    <w:rPr>
      <w:rFonts w:ascii="Times New Roman" w:hAnsi="Times New Roman" w:eastAsia="宋体" w:cs="Times New Roman"/>
      <w:sz w:val="24"/>
      <w:szCs w:val="24"/>
      <w:lang w:val="en-US" w:eastAsia="zh-CN" w:bidi="ar-SA"/>
    </w:rPr>
  </w:style>
  <w:style w:type="paragraph" w:styleId="1009" w:customStyle="1">
    <w:name w:val="表格文字"/>
    <w:basedOn w:val="735"/>
    <w:uiPriority w:val="0"/>
    <w:qFormat/>
    <w:pPr>
      <w:jc w:val="both"/>
      <w:widowControl w:val="off"/>
    </w:pPr>
    <w:rPr>
      <w:sz w:val="21"/>
    </w:rPr>
  </w:style>
  <w:style w:type="paragraph" w:styleId="1010" w:customStyle="1">
    <w:name w:val="xl40"/>
    <w:basedOn w:val="735"/>
    <w:uiPriority w:val="0"/>
    <w:qFormat/>
    <w:pPr>
      <w:jc w:val="center"/>
      <w:spacing w:before="100" w:beforeAutospacing="1" w:after="100" w:afterAutospacing="1"/>
      <w:pBdr>
        <w:left w:val="single" w:color="000000" w:sz="4" w:space="0"/>
        <w:bottom w:val="single" w:color="000000" w:sz="4" w:space="0"/>
      </w:pBdr>
    </w:pPr>
    <w:rPr>
      <w:b/>
      <w:bCs/>
      <w:sz w:val="18"/>
      <w:szCs w:val="18"/>
    </w:rPr>
  </w:style>
  <w:style w:type="paragraph" w:styleId="1011" w:customStyle="1">
    <w:name w:val="xl71"/>
    <w:basedOn w:val="735"/>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style>
  <w:style w:type="paragraph" w:styleId="1012" w:customStyle="1">
    <w:name w:val="Default"/>
    <w:uiPriority w:val="0"/>
    <w:qFormat/>
    <w:pPr>
      <w:widowControl w:val="off"/>
    </w:pPr>
    <w:rPr>
      <w:rFonts w:ascii="Times New Roman" w:hAnsi="Times New Roman" w:eastAsia="宋体" w:cs="Times New Roman"/>
      <w:sz w:val="24"/>
      <w:lang w:val="en-US" w:eastAsia="zh-CN" w:bidi="ar-SA"/>
    </w:rPr>
  </w:style>
  <w:style w:type="paragraph" w:styleId="1013" w:customStyle="1">
    <w:name w:val="Table Paragraph"/>
    <w:basedOn w:val="735"/>
    <w:uiPriority w:val="1"/>
    <w:qFormat/>
  </w:style>
  <w:style w:type="character" w:styleId="1014" w:customStyle="1">
    <w:name w:val="批注文字 字符"/>
    <w:basedOn w:val="745"/>
    <w:link w:val="750"/>
    <w:uiPriority w:val="99"/>
    <w:semiHidden/>
    <w:qFormat/>
    <w:rPr>
      <w:sz w:val="24"/>
      <w:szCs w:val="24"/>
    </w:rPr>
  </w:style>
  <w:style w:type="character" w:styleId="1015" w:customStyle="1">
    <w:name w:val="批注主题 字符"/>
    <w:basedOn w:val="1014"/>
    <w:link w:val="770"/>
    <w:uiPriority w:val="99"/>
    <w:semiHidden/>
    <w:qFormat/>
    <w:rPr>
      <w:b/>
      <w:bCs/>
      <w:sz w:val="24"/>
      <w:szCs w:val="24"/>
    </w:rPr>
  </w:style>
  <w:style w:type="character" w:styleId="1016" w:customStyle="1">
    <w:name w:val="日期 字符1"/>
    <w:basedOn w:val="745"/>
    <w:link w:val="756"/>
    <w:uiPriority w:val="99"/>
    <w:semiHidden/>
    <w:qFormat/>
    <w:rPr>
      <w:sz w:val="24"/>
      <w:szCs w:val="24"/>
    </w:rPr>
  </w:style>
  <w:style w:type="character" w:styleId="1017" w:customStyle="1">
    <w:name w:val="批注框文本 字符"/>
    <w:basedOn w:val="745"/>
    <w:link w:val="758"/>
    <w:uiPriority w:val="99"/>
    <w:semiHidden/>
    <w:qFormat/>
    <w:rPr>
      <w:sz w:val="18"/>
      <w:szCs w:val="18"/>
    </w:rPr>
  </w:style>
  <w:style w:type="numbering" w:styleId="101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97457995-8f13-487f-a328-137c07b744de</errorID>
      <errorWord>(</errorWord>
      <group>L1_Format</group>
      <groupName>格式问题</groupName>
      <ability>L2_HalfPunc</ability>
      <abilityName>全半角检查</abilityName>
      <candidateList>
        <item>（</item>
      </candidateList>
      <explain>文本全半角错误。</explain>
      <paraID>24D78959</paraID>
      <start>6</start>
      <end>7</end>
      <status>unmodified</status>
      <modifiedWord/>
      <trackRevisions>false</trackRevisions>
    </reviewItem>
    <reviewItem>
      <errorID>18ca897e-253f-4d5a-a36d-d057de62aadd</errorID>
      <errorWord>)</errorWord>
      <group>L1_Format</group>
      <groupName>格式问题</groupName>
      <ability>L2_HalfPunc</ability>
      <abilityName>全半角检查</abilityName>
      <candidateList>
        <item>）</item>
      </candidateList>
      <explain>文本全半角错误。</explain>
      <paraID>24D78959</paraID>
      <start>12</start>
      <end>13</end>
      <status>unmodified</status>
      <modifiedWord/>
      <trackRevisions>false</trackRevisions>
    </reviewItem>
    <reviewItem>
      <errorID>bbba5ec4-9af9-4fe0-9744-9fbf3be2598f</errorID>
      <errorWord>“.</errorWord>
      <group>L1_Punc</group>
      <groupName>标点问题</groupName>
      <ability>L2_Punc</ability>
      <abilityName>标点符号检查</abilityName>
      <candidateList>
        <item>“</item>
      </candidateList>
      <explain/>
      <paraID>6A0BFF03</paraID>
      <start>48</start>
      <end>50</end>
      <status>unmodified</status>
      <modifiedWord/>
      <trackRevisions>false</trackRevisions>
    </reviewItem>
    <reviewItem>
      <errorID>0918a0c2-0bef-45d8-91e5-56a1d8e15063</errorID>
      <errorWord>(</errorWord>
      <group>L1_Format</group>
      <groupName>格式问题</groupName>
      <ability>L2_HalfPunc</ability>
      <abilityName>全半角检查</abilityName>
      <candidateList>
        <item>（</item>
      </candidateList>
      <explain>文本全半角错误。</explain>
      <paraID>4F240FC8</paraID>
      <start>8</start>
      <end>9</end>
      <status>unmodified</status>
      <modifiedWord/>
      <trackRevisions>false</trackRevisions>
    </reviewItem>
    <reviewItem>
      <errorID>17c4f7e2-496e-42f8-aba2-56f775c847c3</errorID>
      <errorWord>)</errorWord>
      <group>L1_Format</group>
      <groupName>格式问题</groupName>
      <ability>L2_HalfPunc</ability>
      <abilityName>全半角检查</abilityName>
      <candidateList>
        <item>）</item>
      </candidateList>
      <explain>文本全半角错误。</explain>
      <paraID>4F240FC8</paraID>
      <start>14</start>
      <end>15</end>
      <status>unmodified</status>
      <modifiedWord/>
      <trackRevisions>false</trackRevisions>
    </reviewItem>
    <reviewItem>
      <errorID>b2966a85-2635-467d-88ca-e555ab9e34ba</errorID>
      <errorWord>(</errorWord>
      <group>L1_Format</group>
      <groupName>格式问题</groupName>
      <ability>L2_HalfPunc</ability>
      <abilityName>全半角检查</abilityName>
      <candidateList>
        <item>（</item>
      </candidateList>
      <explain>文本全半角错误。</explain>
      <paraID>7D5E06F3</paraID>
      <start>8</start>
      <end>9</end>
      <status>unmodified</status>
      <modifiedWord/>
      <trackRevisions>false</trackRevisions>
    </reviewItem>
    <reviewItem>
      <errorID>a06c100d-608c-4faa-81d6-10831488b000</errorID>
      <errorWord>)</errorWord>
      <group>L1_Format</group>
      <groupName>格式问题</groupName>
      <ability>L2_HalfPunc</ability>
      <abilityName>全半角检查</abilityName>
      <candidateList>
        <item>）</item>
      </candidateList>
      <explain>文本全半角错误。</explain>
      <paraID>7D5E06F3</paraID>
      <start>14</start>
      <end>15</end>
      <status>unmodified</status>
      <modifiedWord/>
      <trackRevisions>false</trackRevisions>
    </reviewItem>
    <reviewItem>
      <errorID>84632c05-4559-466d-8ca1-7df522de6440</errorID>
      <errorWord>(</errorWord>
      <group>L1_Format</group>
      <groupName>格式问题</groupName>
      <ability>L2_HalfPunc</ability>
      <abilityName>全半角检查</abilityName>
      <candidateList>
        <item>（</item>
      </candidateList>
      <explain>文本全半角错误。</explain>
      <paraID> 6273920</paraID>
      <start>9</start>
      <end>10</end>
      <status>unmodified</status>
      <modifiedWord/>
      <trackRevisions>false</trackRevisions>
    </reviewItem>
    <reviewItem>
      <errorID>d0d8a930-6ff2-49c1-8e87-16f4dda10b58</errorID>
      <errorWord>)</errorWord>
      <group>L1_Format</group>
      <groupName>格式问题</groupName>
      <ability>L2_HalfPunc</ability>
      <abilityName>全半角检查</abilityName>
      <candidateList>
        <item>）</item>
      </candidateList>
      <explain>文本全半角错误。</explain>
      <paraID> 6273920</paraID>
      <start>21</start>
      <end>22</end>
      <status>unmodified</status>
      <modifiedWord/>
      <trackRevisions>false</trackRevisions>
    </reviewItem>
    <reviewItem>
      <errorID>d9bf2fbd-85f3-4662-b25c-80ef8231962e</errorID>
      <errorWord>涉及到</errorWord>
      <group>L1_Grammar</group>
      <groupName>语法问题</groupName>
      <ability>L2_Grammar</ability>
      <abilityName>语法错误</abilityName>
      <candidateList>
        <item>涉及</item>
      </candidateList>
      <explain>〈动〉牵涉到；关联到：案子～好几个人｜这个问题～面很广。</explain>
      <paraID>4FE54899</paraID>
      <start>14</start>
      <end>17</end>
      <status>unmodified</status>
      <modifiedWord/>
      <trackRevisions>false</trackRevisions>
    </reviewItem>
    <reviewItem>
      <errorID>46135f88-9a78-4b65-a0d0-9060ddbc29b9</errorID>
      <errorWord>须</errorWord>
      <group>L1_Word</group>
      <groupName>字词问题</groupName>
      <ability>L2_Typo</ability>
      <abilityName>字词错误</abilityName>
      <candidateList>
        <item>需</item>
      </candidateList>
      <explain>存在发音相同字词的误用。</explain>
      <paraID> 1C70E4F</paraID>
      <start>15</start>
      <end>16</end>
      <status>unmodified</status>
      <modifiedWord/>
      <trackRevisions>false</trackRevisions>
    </reviewItem>
    <reviewItem>
      <errorID>8e56358e-06b9-46c3-b229-0b79e7e9f8b9</errorID>
      <errorWord>做出评价</errorWord>
      <group>L1_Word</group>
      <groupName>字词问题</groupName>
      <ability>L2_Typo</ability>
      <abilityName>字词错误</abilityName>
      <candidateList>
        <item>作出评价</item>
      </candidateList>
      <explain>存在发音相同字词的误用。</explain>
      <paraID>7310929C</paraID>
      <start>29</start>
      <end>33</end>
      <status>unmodified</status>
      <modifiedWord/>
      <trackRevisions>false</trackRevisions>
    </reviewItem>
    <reviewItem>
      <errorID>256956d3-fb46-40f9-9fb6-0dd804cbe813</errorID>
      <errorWord>做出解释</errorWord>
      <group>L1_Word</group>
      <groupName>字词问题</groupName>
      <ability>L2_Typo</ability>
      <abilityName>字词错误</abilityName>
      <candidateList>
        <item>作出解释</item>
      </candidateList>
      <explain/>
      <paraID>5DD572E4</paraID>
      <start>26</start>
      <end>30</end>
      <status>unmodified</status>
      <modifiedWord/>
      <trackRevisions>false</trackRevisions>
    </reviewItem>
    <reviewItem>
      <errorID>3485f3b8-6bb6-4e76-8c1b-d765cc5bb56b</errorID>
      <errorWord>&lt;</errorWord>
      <group>L1_Format</group>
      <groupName>格式问题</groupName>
      <ability>L2_HalfPunc</ability>
      <abilityName>全半角检查</abilityName>
      <candidateList>
        <item>〈</item>
      </candidateList>
      <explain>文本全半角错误。</explain>
      <paraID>193F6A9D</paraID>
      <start>49</start>
      <end>50</end>
      <status>unmodified</status>
      <modifiedWord/>
      <trackRevisions>false</trackRevisions>
    </reviewItem>
    <reviewItem>
      <errorID>66e4b338-52f1-4fa7-9804-73590185bc02</errorID>
      <errorWord>&lt;</errorWord>
      <group>L1_Format</group>
      <groupName>格式问题</groupName>
      <ability>L2_HalfPunc</ability>
      <abilityName>全半角检查</abilityName>
      <candidateList>
        <item>〈</item>
      </candidateList>
      <explain>文本全半角错误。</explain>
      <paraID>30E9CBCC</paraID>
      <start>49</start>
      <end>50</end>
      <status>unmodified</status>
      <modifiedWord/>
      <trackRevisions>false</trackRevisions>
    </reviewItem>
    <reviewItem>
      <errorID>33902bea-478c-48ea-bf94-742fd051cf19</errorID>
      <errorWord>&lt;</errorWord>
      <group>L1_Format</group>
      <groupName>格式问题</groupName>
      <ability>L2_HalfPunc</ability>
      <abilityName>全半角检查</abilityName>
      <candidateList>
        <item>〈</item>
      </candidateList>
      <explain>文本全半角错误。</explain>
      <paraID>143C24E2</paraID>
      <start>34</start>
      <end>35</end>
      <status>unmodified</status>
      <modifiedWord/>
      <trackRevisions>false</trackRevisions>
    </reviewItem>
    <reviewItem>
      <errorID>6c1232ab-3b0f-4e5a-a8fe-296a5546620c</errorID>
      <errorWord>，</errorWord>
      <group>L1_Word</group>
      <groupName>字词问题</groupName>
      <ability>L2_Typo</ability>
      <abilityName>字词错误</abilityName>
      <candidateList>
        <item>，并</item>
      </candidateList>
      <explain/>
      <paraID> ACD2B87</paraID>
      <start>77</start>
      <end>78</end>
      <status>unmodified</status>
      <modifiedWord/>
      <trackRevisions>false</trackRevisions>
    </reviewItem>
    <reviewItem>
      <errorID>cc6b3d0b-37d3-430b-a7de-fd96ff5651ad</errorID>
      <errorWord>（</errorWord>
      <group>L1_Punc</group>
      <groupName>标点问题</groupName>
      <ability>L2_Punc</ability>
      <abilityName>标点符号检查</abilityName>
      <candidateList/>
      <explain>同一形式括号套用。</explain>
      <paraID>36A2A2F4</paraID>
      <start>37</start>
      <end>38</end>
      <status>unmodified</status>
      <modifiedWord/>
      <trackRevisions>false</trackRevisions>
    </reviewItem>
    <reviewItem>
      <errorID>6c919c35-65bf-4925-9506-756e7fbb64b6</errorID>
      <errorWord>）</errorWord>
      <group>L1_Punc</group>
      <groupName>标点问题</groupName>
      <ability>L2_Punc</ability>
      <abilityName>标点符号检查</abilityName>
      <candidateList/>
      <explain>同一形式括号套用。</explain>
      <paraID>36A2A2F4</paraID>
      <start>41</start>
      <end>42</end>
      <status>unmodified</status>
      <modifiedWord/>
      <trackRevisions>false</trackRevisions>
    </reviewItem>
    <reviewItem>
      <errorID>3eb76274-b269-490b-a8ba-155e7a704e62</errorID>
      <errorWord>，</errorWord>
      <group>L1_Word</group>
      <groupName>字词问题</groupName>
      <ability>L2_Typo</ability>
      <abilityName>字词错误</abilityName>
      <candidateList>
        <item>，包</item>
      </candidateList>
      <explain/>
      <paraID>36A2A2F4</paraID>
      <start>143</start>
      <end>144</end>
      <status>unmodified</status>
      <modifiedWord/>
      <trackRevisions>false</trackRevisions>
    </reviewItem>
    <reviewItem>
      <errorID>a74f5ba6-3223-460f-a0f5-2a7945d5c5eb</errorID>
      <errorWord>&lt;</errorWord>
      <group>L1_Format</group>
      <groupName>格式问题</groupName>
      <ability>L2_HalfPunc</ability>
      <abilityName>全半角检查</abilityName>
      <candidateList>
        <item>〈</item>
      </candidateList>
      <explain>文本全半角错误。</explain>
      <paraID>54507E3F</paraID>
      <start>80</start>
      <end>81</end>
      <status>unmodified</status>
      <modifiedWord/>
      <trackRevisions>false</trackRevisions>
    </reviewItem>
    <reviewItem>
      <errorID>7e775ed4-cbb4-459a-bd77-8574c8e7cb50</errorID>
      <errorWord>&gt;的通知》</errorWord>
      <group>L1_Punc</group>
      <groupName>标点问题</groupName>
      <ability>L2_Punc</ability>
      <abilityName>标点符号检查</abilityName>
      <candidateList>
        <item>〉的通知》</item>
      </candidateList>
      <explain/>
      <paraID>54507E3F</paraID>
      <start>100</start>
      <end>105</end>
      <status>unmodified</status>
      <modifiedWord/>
      <trackRevisions>false</trackRevisions>
    </reviewItem>
    <reviewItem>
      <errorID>64f063db-1dbd-4864-969f-c6d8bdf913aa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DD60786</paraID>
      <start>65</start>
      <end>68</end>
      <status>unmodified</status>
      <modifiedWord/>
      <trackRevisions>false</trackRevisions>
    </reviewItem>
    <reviewItem>
      <errorID>0bd381e0-e63b-4881-a503-53e3655d38d6</errorID>
      <errorWord>其它</errorWord>
      <group>L1_Word</group>
      <groupName>字词问题</groupName>
      <ability>L2_Alias</ability>
      <abilityName>也作/曾用词</abilityName>
      <candidateList>
        <item>其他</item>
      </candidateList>
      <explain>词汇[其它]为不规范表述或旧称，其规范书面表述为[其他]。</explain>
      <paraID>76B5E1A0</paraID>
      <start>13</start>
      <end>15</end>
      <status>unmodified</status>
      <modifiedWord/>
      <trackRevisions>false</trackRevisions>
    </reviewItem>
    <reviewItem>
      <errorID>98c36284-ff21-429c-a4c7-8793d6c76176</errorID>
      <errorWord>果</errorWord>
      <group>L1_Word</group>
      <groupName>字词问题</groupName>
      <ability>L2_Typo</ability>
      <abilityName>字词错误</abilityName>
      <candidateList>
        <item>果以</item>
      </candidateList>
      <explain/>
      <paraID>3D5C12DF</paraID>
      <start>9</start>
      <end>10</end>
      <status>unmodified</status>
      <modifiedWord/>
      <trackRevisions>false</trackRevisions>
    </reviewItem>
    <reviewItem>
      <errorID>6e742b03-6e4f-43e2-9266-16bd2ae42299</errorID>
      <errorWord>:</errorWord>
      <group>L1_Format</group>
      <groupName>格式问题</groupName>
      <ability>L2_HalfPunc</ability>
      <abilityName>全半角检查</abilityName>
      <candidateList>
        <item>：</item>
      </candidateList>
      <explain>文本全半角错误。</explain>
      <paraID>7827C0BA</paraID>
      <start>25</start>
      <end>26</end>
      <status>unmodified</status>
      <modifiedWord/>
      <trackRevisions>false</trackRevisions>
    </reviewItem>
    <reviewItem>
      <errorID>d5cfb627-df00-4aa7-9379-3b60572018cd</errorID>
      <errorWord>至少达到以上</errorWord>
      <group>L1_Grammar</group>
      <groupName>语法问题</groupName>
      <ability>L2_Grammar</ability>
      <abilityName>语法错误</abilityName>
      <candidateList>
        <item>至少达到</item>
      </candidateList>
      <explain/>
      <paraID>3ED1CAB1</paraID>
      <start>10</start>
      <end>16</end>
      <status>unmodified</status>
      <modifiedWord/>
      <trackRevisions>false</trackRevisions>
    </reviewItem>
    <reviewItem>
      <errorID>a81c0b28-e18f-4098-989e-0deaa8df6f56</errorID>
      <errorWord>如果以</errorWord>
      <group>L1_Word</group>
      <groupName>字词问题</groupName>
      <ability>L2_Typo</ability>
      <abilityName>字词错误</abilityName>
      <candidateList>
        <item>如果</item>
      </candidateList>
      <explain>〈连〉表示假设：你～有困难，我可以帮助你。</explain>
      <paraID>1159C477</paraID>
      <start>22</start>
      <end>25</end>
      <status>unmodified</status>
      <modifiedWord/>
      <trackRevisions>false</trackRevisions>
    </reviewItem>
    <reviewItem>
      <errorID>2979b363-34ff-48a1-a7bb-1163721836c3</errorID>
      <errorWord>其它</errorWord>
      <group>L1_Word</group>
      <groupName>字词问题</groupName>
      <ability>L2_Alias</ability>
      <abilityName>也作/曾用词</abilityName>
      <candidateList>
        <item>其他</item>
      </candidateList>
      <explain>词汇[其它]为不规范表述或旧称，其规范书面表述为[其他]。</explain>
      <paraID>210561C1</paraID>
      <start>61</start>
      <end>63</end>
      <status>unmodified</status>
      <modifiedWord/>
      <trackRevisions>false</trackRevisions>
    </reviewItem>
    <reviewItem>
      <errorID>49f3a2fa-b920-4026-8cdc-e9d0cef61f6b</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6683DC96</paraID>
      <start>13</start>
      <end>19</end>
      <status>unmodified</status>
      <modifiedWord/>
      <trackRevisions>false</trackRevisions>
    </reviewItem>
    <reviewItem>
      <errorID>acd698f3-4d8f-4251-aa16-5c9f96205dcc</errorID>
      <errorWord>须</errorWord>
      <group>L1_Word</group>
      <groupName>字词问题</groupName>
      <ability>L2_Typo</ability>
      <abilityName>字词错误</abilityName>
      <candidateList>
        <item>需</item>
      </candidateList>
      <explain>存在发音相同字词的误用。</explain>
      <paraID>76A56062</paraID>
      <start>7</start>
      <end>8</end>
      <status>unmodified</status>
      <modifiedWord/>
      <trackRevisions>false</trackRevisions>
    </reviewItem>
    <reviewItem>
      <errorID>87c03270-7c62-4505-9d6b-406e204bc36f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416F9499</paraID>
      <start>0</start>
      <end>2</end>
      <status>unmodified</status>
      <modifiedWord/>
      <trackRevisions>false</trackRevisions>
    </reviewItem>
    <reviewItem>
      <errorID>bd2fd1bb-3a2e-4453-80db-745340d148ff</errorID>
      <errorWord>交于</errorWord>
      <group>L1_Word</group>
      <groupName>字词问题</groupName>
      <ability>L2_Typo</ability>
      <abilityName>字词错误</abilityName>
      <candidateList>
        <item>交予</item>
      </candidateList>
      <explain/>
      <paraID>45BB9C1D</paraID>
      <start>32</start>
      <end>34</end>
      <status>unmodified</status>
      <modifiedWord/>
      <trackRevisions>false</trackRevisions>
    </reviewItem>
    <reviewItem>
      <errorID>677fc037-a304-4ff7-b7d0-082a858fbea2</errorID>
      <errorWord>、</errorWord>
      <group>L1_Punc</group>
      <groupName>标点问题</groupName>
      <ability>L2_Punc</ability>
      <abilityName>标点符号检查</abilityName>
      <candidateList>
        <item>.</item>
      </candidateList>
      <explain/>
      <paraID>3D583BF4</paraID>
      <start>1</start>
      <end>2</end>
      <status>unmodified</status>
      <modifiedWord/>
      <trackRevisions>false</trackRevisions>
    </reviewItem>
    <reviewItem>
      <errorID>dd814fb0-0771-40d5-bc9a-a83f5cd04ae7</errorID>
      <errorWord>、</errorWord>
      <group>L1_Punc</group>
      <groupName>标点问题</groupName>
      <ability>L2_Punc</ability>
      <abilityName>标点符号检查</abilityName>
      <candidateList>
        <item>.</item>
      </candidateList>
      <explain/>
      <paraID>7D00E444</paraID>
      <start>1</start>
      <end>2</end>
      <status>unmodified</status>
      <modifiedWord/>
      <trackRevisions>false</trackRevisions>
    </reviewItem>
    <reviewItem>
      <errorID>18f4574c-b0ba-43a2-894f-0f499bc3e5c5</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4D6FADDA</paraID>
      <start>14</start>
      <end>20</end>
      <status>unmodified</status>
      <modifiedWord/>
      <trackRevisions>false</trackRevisions>
    </reviewItem>
    <reviewItem>
      <errorID>c042e133-ea8c-4fcf-9e7b-dfa02bb46e2b</errorID>
      <errorWord>涉及到</errorWord>
      <group>L1_Grammar</group>
      <groupName>语法问题</groupName>
      <ability>L2_Grammar</ability>
      <abilityName>语法错误</abilityName>
      <candidateList>
        <item>涉及</item>
      </candidateList>
      <explain>〈动〉牵涉到；关联到：案子～好几个人｜这个问题～面很广。</explain>
      <paraID>1ACCE630</paraID>
      <start>56</start>
      <end>59</end>
      <status>unmodified</status>
      <modifiedWord/>
      <trackRevisions>false</trackRevisions>
    </reviewItem>
    <reviewItem>
      <errorID>785f61c0-0d3f-4e58-af78-36707cf5e08d</errorID>
      <errorWord>仍</errorWord>
      <group>L1_Word</group>
      <groupName>字词问题</groupName>
      <ability>L2_Typo</ability>
      <abilityName>字词错误</abilityName>
      <candidateList>
        <item>仍有</item>
      </candidateList>
      <explain/>
      <paraID>631F0306</paraID>
      <start>26</start>
      <end>27</end>
      <status>unmodified</status>
      <modifiedWord/>
      <trackRevisions>false</trackRevisions>
    </reviewItem>
    <reviewItem>
      <errorID>ee78eeaa-47c5-425e-95ad-45fb75eb43f1</errorID>
      <errorWord>釆购</errorWord>
      <group>L1_Word</group>
      <groupName>字词问题</groupName>
      <ability>L2_Typo</ability>
      <abilityName>字词错误</abilityName>
      <candidateList>
        <item>采购</item>
      </candidateList>
      <explain>❶〈动〉选择购买（多指为机关或企业）：～员｜～建筑材料。❷〈名〉担任采购工作的人：他在食堂当～。</explain>
      <paraID>595FED43</paraID>
      <start>43</start>
      <end>45</end>
      <status>unmodified</status>
      <modifiedWord/>
      <trackRevisions>false</trackRevisions>
    </reviewItem>
    <reviewItem>
      <errorID>bf4834ce-f409-4718-b1ac-38c41cc0b320</errorID>
      <errorWord>按《中华人民共和国</errorWord>
      <group>L1_Word</group>
      <groupName>字词问题</groupName>
      <ability>L2_Typo</ability>
      <abilityName>字词错误</abilityName>
      <candidateList>
        <item>按照《中华人民共和国</item>
      </candidateList>
      <explain/>
      <paraID>37A9E8C3</paraID>
      <start>8</start>
      <end>17</end>
      <status>unmodified</status>
      <modifiedWord/>
      <trackRevisions>false</trackRevisions>
    </reviewItem>
    <reviewItem>
      <errorID>e8d37ef1-f0d9-4c36-9829-c471c823e74a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37A9E8C3</paraID>
      <start>20</start>
      <end>23</end>
      <status>unmodified</status>
      <modifiedWord/>
      <trackRevisions>false</trackRevisions>
    </reviewItem>
    <reviewItem>
      <errorID>fec4f0df-b500-4197-ab9f-96cc274453ba</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37A9E8C3</paraID>
      <start>38</start>
      <end>40</end>
      <status>unmodified</status>
      <modifiedWord/>
      <trackRevisions>false</trackRevisions>
    </reviewItem>
    <reviewItem>
      <errorID>a0b75835-99ed-4fb6-a693-1246c1c003dd</errorID>
      <errorWord>法律、法规</errorWord>
      <group>L1_Word</group>
      <groupName>字词问题</groupName>
      <ability>L2_Typo</ability>
      <abilityName>字词错误</abilityName>
      <candidateList>
        <item>法律法规</item>
      </candidateList>
      <explain/>
      <paraID>37A9E8C3</paraID>
      <start>42</start>
      <end>47</end>
      <status>unmodified</status>
      <modifiedWord/>
      <trackRevisions>false</trackRevisions>
    </reviewItem>
    <reviewItem>
      <errorID>f7be2d32-95f2-484b-9ca9-f8b6e2525dcc</errorID>
      <errorWord>(</errorWord>
      <group>L1_Format</group>
      <groupName>格式问题</groupName>
      <ability>L2_HalfPunc</ability>
      <abilityName>全半角检查</abilityName>
      <candidateList>
        <item>（</item>
      </candidateList>
      <explain>文本全半角错误。</explain>
      <paraID> 1F068E5</paraID>
      <start>0</start>
      <end>1</end>
      <status>unmodified</status>
      <modifiedWord/>
      <trackRevisions>false</trackRevisions>
    </reviewItem>
    <reviewItem>
      <errorID>f83559e1-804a-4e97-8bc8-edd463b4ff0c</errorID>
      <errorWord>)</errorWord>
      <group>L1_Format</group>
      <groupName>格式问题</groupName>
      <ability>L2_HalfPunc</ability>
      <abilityName>全半角检查</abilityName>
      <candidateList>
        <item>）</item>
      </candidateList>
      <explain>文本全半角错误。</explain>
      <paraID> 1F068E5</paraID>
      <start>9</start>
      <end>10</end>
      <status>unmodified</status>
      <modifiedWord/>
      <trackRevisions>false</trackRevisions>
    </reviewItem>
    <reviewItem>
      <errorID>4b479ed5-210f-4012-a063-aaa47ab3d43b</errorID>
      <errorWord>(</errorWord>
      <group>L1_Format</group>
      <groupName>格式问题</groupName>
      <ability>L2_HalfPunc</ability>
      <abilityName>全半角检查</abilityName>
      <candidateList>
        <item>（</item>
      </candidateList>
      <explain>文本全半角错误。</explain>
      <paraID> 1F068E5</paraID>
      <start>45</start>
      <end>46</end>
      <status>unmodified</status>
      <modifiedWord/>
      <trackRevisions>false</trackRevisions>
    </reviewItem>
    <reviewItem>
      <errorID>82909d89-77a6-48a0-ad6c-0bda20631c4f</errorID>
      <errorWord>)</errorWord>
      <group>L1_Format</group>
      <groupName>格式问题</groupName>
      <ability>L2_HalfPunc</ability>
      <abilityName>全半角检查</abilityName>
      <candidateList>
        <item>）</item>
      </candidateList>
      <explain>文本全半角错误。</explain>
      <paraID> 1F068E5</paraID>
      <start>54</start>
      <end>55</end>
      <status>unmodified</status>
      <modifiedWord/>
      <trackRevisions>false</trackRevisions>
    </reviewItem>
    <reviewItem>
      <errorID>35f43ce0-8ed4-4e73-a78f-345bfeb14fda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26550607</paraID>
      <start>0</start>
      <end>2</end>
      <status>unmodified</status>
      <modifiedWord/>
      <trackRevisions>false</trackRevisions>
    </reviewItem>
    <reviewItem>
      <errorID>6b01d0ec-156d-4818-8d3c-bdf2fb8f3de5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26D503AD</paraID>
      <start>0</start>
      <end>2</end>
      <status>unmodified</status>
      <modifiedWord/>
      <trackRevisions>false</trackRevisions>
    </reviewItem>
    <reviewItem>
      <errorID>17ace57c-b202-4906-9b01-480cf9b2cefe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54FAC21D</paraID>
      <start>0</start>
      <end>2</end>
      <status>unmodified</status>
      <modifiedWord/>
      <trackRevisions>false</trackRevisions>
    </reviewItem>
    <reviewItem>
      <errorID>edf10703-480e-42c6-9bc4-5748d8a04f75</errorID>
      <errorWord>(</errorWord>
      <group>L1_Format</group>
      <groupName>格式问题</groupName>
      <ability>L2_HalfPunc</ability>
      <abilityName>全半角检查</abilityName>
      <candidateList>
        <item>（</item>
      </candidateList>
      <explain>文本全半角错误。</explain>
      <paraID>54FAC21D</paraID>
      <start>24</start>
      <end>25</end>
      <status>unmodified</status>
      <modifiedWord/>
      <trackRevisions>false</trackRevisions>
    </reviewItem>
    <reviewItem>
      <errorID>e849c261-4ed2-44f7-aa57-2bf0ab74d96b</errorID>
      <errorWord>)</errorWord>
      <group>L1_Format</group>
      <groupName>格式问题</groupName>
      <ability>L2_HalfPunc</ability>
      <abilityName>全半角检查</abilityName>
      <candidateList>
        <item>）</item>
      </candidateList>
      <explain>文本全半角错误。</explain>
      <paraID>54FAC21D</paraID>
      <start>28</start>
      <end>29</end>
      <status>unmodified</status>
      <modifiedWord/>
      <trackRevisions>false</trackRevisions>
    </reviewItem>
    <reviewItem>
      <errorID>adef4851-83de-4320-a2dc-c6e105996cb2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32F5AA34</paraID>
      <start>0</start>
      <end>2</end>
      <status>unmodified</status>
      <modifiedWord/>
      <trackRevisions>false</trackRevisions>
    </reviewItem>
    <reviewItem>
      <errorID>a318b72f-e1c1-4f66-a243-4cb4aeb9d284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5E6AD8E2</paraID>
      <start>0</start>
      <end>2</end>
      <status>unmodified</status>
      <modifiedWord/>
      <trackRevisions>false</trackRevisions>
    </reviewItem>
    <reviewItem>
      <errorID>b1fbe67a-b8f7-4d94-8acc-94495cb2530d</errorID>
      <errorWord>管理台帐</errorWord>
      <group>L1_Word</group>
      <groupName>字词问题</groupName>
      <ability>L2_Alias</ability>
      <abilityName>也作/曾用词</abilityName>
      <candidateList>
        <item>管理台账</item>
      </candidateList>
      <explain>词汇[管理台帐]为不规范表述或旧称，其规范书面表述为[管理台账]。</explain>
      <paraID>5E6AD8E2</paraID>
      <start>8</start>
      <end>12</end>
      <status>unmodified</status>
      <modifiedWord/>
      <trackRevisions>false</trackRevisions>
    </reviewItem>
    <reviewItem>
      <errorID>adb89862-816a-472b-80b6-65f8bcb92a25</errorID>
      <errorWord>台帐不健全</errorWord>
      <group>L1_Word</group>
      <groupName>字词问题</groupName>
      <ability>L2_Alias</ability>
      <abilityName>也作/曾用词</abilityName>
      <candidateList>
        <item>台账不健全</item>
      </candidateList>
      <explain>词汇[台帐不健全]为不规范表述或旧称，其规范书面表述为[台账不健全]。</explain>
      <paraID>5E6AD8E2</paraID>
      <start>13</start>
      <end>18</end>
      <status>unmodified</status>
      <modifiedWord/>
      <trackRevisions>false</trackRevisions>
    </reviewItem>
    <reviewItem>
      <errorID>b558d0fa-2399-4c5d-89a1-b5fe8b9ea0a3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440F2E4B</paraID>
      <start>0</start>
      <end>2</end>
      <status>unmodified</status>
      <modifiedWord/>
      <trackRevisions>false</trackRevisions>
    </reviewItem>
    <reviewItem>
      <errorID>e1bb6514-9869-4e8e-a870-5d7a33d2b74f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14AA52EC</paraID>
      <start>0</start>
      <end>2</end>
      <status>unmodified</status>
      <modifiedWord/>
      <trackRevisions>false</trackRevisions>
    </reviewItem>
    <reviewItem>
      <errorID>2c031925-c62c-4fdb-9535-f866a43e357d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653BD729</paraID>
      <start>0</start>
      <end>2</end>
      <status>unmodified</status>
      <modifiedWord/>
      <trackRevisions>false</trackRevisions>
    </reviewItem>
    <reviewItem>
      <errorID>019a7598-bd17-44e0-a97b-7610f84ecd7d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43BA3F46</paraID>
      <start>0</start>
      <end>2</end>
      <status>unmodified</status>
      <modifiedWord/>
      <trackRevisions>false</trackRevisions>
    </reviewItem>
    <reviewItem>
      <errorID>478f0555-50d1-44d4-8c7f-b261ffece2b0</errorID>
      <errorWord>(</errorWord>
      <group>L1_Format</group>
      <groupName>格式问题</groupName>
      <ability>L2_HalfPunc</ability>
      <abilityName>全半角检查</abilityName>
      <candidateList>
        <item>（</item>
      </candidateList>
      <explain>文本全半角错误。</explain>
      <paraID>2574C82E</paraID>
      <start>16</start>
      <end>17</end>
      <status>unmodified</status>
      <modifiedWord/>
      <trackRevisions>false</trackRevisions>
    </reviewItem>
    <reviewItem>
      <errorID>02ab26fe-36e1-420d-9913-9ee556d3daca</errorID>
      <errorWord>)</errorWord>
      <group>L1_Format</group>
      <groupName>格式问题</groupName>
      <ability>L2_HalfPunc</ability>
      <abilityName>全半角检查</abilityName>
      <candidateList>
        <item>）</item>
      </candidateList>
      <explain>文本全半角错误。</explain>
      <paraID>2574C82E</paraID>
      <start>27</start>
      <end>28</end>
      <status>unmodified</status>
      <modifiedWord/>
      <trackRevisions>false</trackRevisions>
    </reviewItem>
    <reviewItem>
      <errorID>cff250dd-6f61-46a0-9492-1648cb173975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C305911</paraID>
      <start>0</start>
      <end>2</end>
      <status>unmodified</status>
      <modifiedWord/>
      <trackRevisions>false</trackRevisions>
    </reviewItem>
    <reviewItem>
      <errorID>4393bc59-2018-4cc1-b4f1-f4f89a1273f7</errorID>
      <errorWord>(</errorWord>
      <group>L1_Format</group>
      <groupName>格式问题</groupName>
      <ability>L2_HalfPunc</ability>
      <abilityName>全半角检查</abilityName>
      <candidateList>
        <item>（</item>
      </candidateList>
      <explain>文本全半角错误。</explain>
      <paraID> C305911</paraID>
      <start>34</start>
      <end>35</end>
      <status>unmodified</status>
      <modifiedWord/>
      <trackRevisions>false</trackRevisions>
    </reviewItem>
    <reviewItem>
      <errorID>797471bc-6366-4e2e-9744-aecaa57f97a0</errorID>
      <errorWord>)</errorWord>
      <group>L1_Format</group>
      <groupName>格式问题</groupName>
      <ability>L2_HalfPunc</ability>
      <abilityName>全半角检查</abilityName>
      <candidateList>
        <item>）</item>
      </candidateList>
      <explain>文本全半角错误。</explain>
      <paraID> C305911</paraID>
      <start>40</start>
      <end>41</end>
      <status>unmodified</status>
      <modifiedWord/>
      <trackRevisions>false</trackRevisions>
    </reviewItem>
    <reviewItem>
      <errorID>507147f3-0294-4895-88bc-e031442c8dd0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4A696661</paraID>
      <start>0</start>
      <end>2</end>
      <status>unmodified</status>
      <modifiedWord/>
      <trackRevisions>false</trackRevisions>
    </reviewItem>
    <reviewItem>
      <errorID>395b203d-e92c-48e1-8f6e-d951359fc90e</errorID>
      <errorWord>(</errorWord>
      <group>L1_Format</group>
      <groupName>格式问题</groupName>
      <ability>L2_HalfPunc</ability>
      <abilityName>全半角检查</abilityName>
      <candidateList>
        <item>（</item>
      </candidateList>
      <explain>文本全半角错误。</explain>
      <paraID>4A696661</paraID>
      <start>6</start>
      <end>7</end>
      <status>unmodified</status>
      <modifiedWord/>
      <trackRevisions>false</trackRevisions>
    </reviewItem>
    <reviewItem>
      <errorID>9141cf5d-2215-4ba9-8ed1-15335e0a19b7</errorID>
      <errorWord>)</errorWord>
      <group>L1_Format</group>
      <groupName>格式问题</groupName>
      <ability>L2_HalfPunc</ability>
      <abilityName>全半角检查</abilityName>
      <candidateList>
        <item>）</item>
      </candidateList>
      <explain>文本全半角错误。</explain>
      <paraID>4A696661</paraID>
      <start>19</start>
      <end>20</end>
      <status>unmodified</status>
      <modifiedWord/>
      <trackRevisions>false</trackRevisions>
    </reviewItem>
    <reviewItem>
      <errorID>c7e2e6cd-a58b-409d-a7b3-1bd7f11bcc10</errorID>
      <errorWord>(</errorWord>
      <group>L1_Format</group>
      <groupName>格式问题</groupName>
      <ability>L2_HalfPunc</ability>
      <abilityName>全半角检查</abilityName>
      <candidateList>
        <item>（</item>
      </candidateList>
      <explain>文本全半角错误。</explain>
      <paraID>4A696661</paraID>
      <start>23</start>
      <end>24</end>
      <status>unmodified</status>
      <modifiedWord/>
      <trackRevisions>false</trackRevisions>
    </reviewItem>
    <reviewItem>
      <errorID>e5e9dd21-e39f-43b4-9592-dacee06b53e3</errorID>
      <errorWord>)</errorWord>
      <group>L1_Format</group>
      <groupName>格式问题</groupName>
      <ability>L2_HalfPunc</ability>
      <abilityName>全半角检查</abilityName>
      <candidateList>
        <item>）</item>
      </candidateList>
      <explain>文本全半角错误。</explain>
      <paraID>4A696661</paraID>
      <start>29</start>
      <end>30</end>
      <status>unmodified</status>
      <modifiedWord/>
      <trackRevisions>false</trackRevisions>
    </reviewItem>
    <reviewItem>
      <errorID>be1a04d7-1d88-4a51-9d94-bc47e53b0f3a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48898036</paraID>
      <start>0</start>
      <end>2</end>
      <status>unmodified</status>
      <modifiedWord/>
      <trackRevisions>false</trackRevisions>
    </reviewItem>
    <reviewItem>
      <errorID>cfebf571-992f-4914-b4c0-f3969c35771f</errorID>
      <errorWord>(</errorWord>
      <group>L1_Format</group>
      <groupName>格式问题</groupName>
      <ability>L2_HalfPunc</ability>
      <abilityName>全半角检查</abilityName>
      <candidateList>
        <item>（</item>
      </candidateList>
      <explain>文本全半角错误。</explain>
      <paraID>48898036</paraID>
      <start>18</start>
      <end>19</end>
      <status>unmodified</status>
      <modifiedWord/>
      <trackRevisions>false</trackRevisions>
    </reviewItem>
    <reviewItem>
      <errorID>8e385c4e-f4fc-489f-b029-ac8ef639b157</errorID>
      <errorWord>)</errorWord>
      <group>L1_Format</group>
      <groupName>格式问题</groupName>
      <ability>L2_HalfPunc</ability>
      <abilityName>全半角检查</abilityName>
      <candidateList>
        <item>）</item>
      </candidateList>
      <explain>文本全半角错误。</explain>
      <paraID>48898036</paraID>
      <start>24</start>
      <end>25</end>
      <status>unmodified</status>
      <modifiedWord/>
      <trackRevisions>false</trackRevisions>
    </reviewItem>
    <reviewItem>
      <errorID>61a0b3d3-89c0-4a54-ac1b-71dcbdc438ab</errorID>
      <errorWord>采胸</errorWord>
      <group>L1_Word</group>
      <groupName>字词问题</groupName>
      <ability>L2_Typo</ability>
      <abilityName>字词错误</abilityName>
      <candidateList>
        <item>采购</item>
      </candidateList>
      <explain>存在字形相近字词的误用。</explain>
      <paraID>7CE85CA9</paraID>
      <start>20</start>
      <end>22</end>
      <status>unmodified</status>
      <modifiedWord/>
      <trackRevisions>false</trackRevisions>
    </reviewItem>
    <reviewItem>
      <errorID>8009a2a3-29b4-4d0f-83c8-1045efbcb99a</errorID>
      <errorWord>(</errorWord>
      <group>L1_Format</group>
      <groupName>格式问题</groupName>
      <ability>L2_HalfPunc</ability>
      <abilityName>全半角检查</abilityName>
      <candidateList>
        <item>（</item>
      </candidateList>
      <explain>文本全半角错误。</explain>
      <paraID>7CE85CA9</paraID>
      <start>73</start>
      <end>74</end>
      <status>unmodified</status>
      <modifiedWord/>
      <trackRevisions>false</trackRevisions>
    </reviewItem>
    <reviewItem>
      <errorID>91c141f1-b329-4022-ae10-9766c05afd40</errorID>
      <errorWord>)</errorWord>
      <group>L1_Format</group>
      <groupName>格式问题</groupName>
      <ability>L2_HalfPunc</ability>
      <abilityName>全半角检查</abilityName>
      <candidateList>
        <item>）</item>
      </candidateList>
      <explain>文本全半角错误。</explain>
      <paraID>7CE85CA9</paraID>
      <start>76</start>
      <end>77</end>
      <status>unmodified</status>
      <modifiedWord/>
      <trackRevisions>false</trackRevisions>
    </reviewItem>
    <reviewItem>
      <errorID>be0c8083-556a-4733-ae0e-67e610411b50</errorID>
      <errorWord>(</errorWord>
      <group>L1_Format</group>
      <groupName>格式问题</groupName>
      <ability>L2_HalfPunc</ability>
      <abilityName>全半角检查</abilityName>
      <candidateList>
        <item>（</item>
      </candidateList>
      <explain>文本全半角错误。</explain>
      <paraID>4F4C35FA</paraID>
      <start>0</start>
      <end>1</end>
      <status>unmodified</status>
      <modifiedWord/>
      <trackRevisions>false</trackRevisions>
    </reviewItem>
    <reviewItem>
      <errorID>43ddaa89-48bb-40cd-8855-c26c5ff20eb9</errorID>
      <errorWord>)</errorWord>
      <group>L1_Format</group>
      <groupName>格式问题</groupName>
      <ability>L2_HalfPunc</ability>
      <abilityName>全半角检查</abilityName>
      <candidateList>
        <item>）</item>
      </candidateList>
      <explain>文本全半角错误。</explain>
      <paraID>4F4C35FA</paraID>
      <start>9</start>
      <end>10</end>
      <status>unmodified</status>
      <modifiedWord/>
      <trackRevisions>false</trackRevisions>
    </reviewItem>
    <reviewItem>
      <errorID>3da4bfc7-8df5-4564-b75c-c102f4676da2</errorID>
      <errorWord>(</errorWord>
      <group>L1_Format</group>
      <groupName>格式问题</groupName>
      <ability>L2_HalfPunc</ability>
      <abilityName>全半角检查</abilityName>
      <candidateList>
        <item>（</item>
      </candidateList>
      <explain>文本全半角错误。</explain>
      <paraID>3C44B529</paraID>
      <start>4</start>
      <end>5</end>
      <status>unmodified</status>
      <modifiedWord/>
      <trackRevisions>false</trackRevisions>
    </reviewItem>
    <reviewItem>
      <errorID>3dc060a5-b28b-422f-a1f6-3c3fb5dc5adb</errorID>
      <errorWord>)</errorWord>
      <group>L1_Format</group>
      <groupName>格式问题</groupName>
      <ability>L2_HalfPunc</ability>
      <abilityName>全半角检查</abilityName>
      <candidateList>
        <item>）</item>
      </candidateList>
      <explain>文本全半角错误。</explain>
      <paraID>3C44B529</paraID>
      <start>13</start>
      <end>14</end>
      <status>unmodified</status>
      <modifiedWord/>
      <trackRevisions>false</trackRevisions>
    </reviewItem>
    <reviewItem>
      <errorID>67789a24-39e1-4972-92f7-64fe9b742e46</errorID>
      <errorWord>(</errorWord>
      <group>L1_Format</group>
      <groupName>格式问题</groupName>
      <ability>L2_HalfPunc</ability>
      <abilityName>全半角检查</abilityName>
      <candidateList>
        <item>（</item>
      </candidateList>
      <explain>文本全半角错误。</explain>
      <paraID>173DE007</paraID>
      <start>6</start>
      <end>7</end>
      <status>unmodified</status>
      <modifiedWord/>
      <trackRevisions>false</trackRevisions>
    </reviewItem>
    <reviewItem>
      <errorID>2b7a4a8d-0f57-410d-a4a6-c11d5ca86acb</errorID>
      <errorWord>)</errorWord>
      <group>L1_Format</group>
      <groupName>格式问题</groupName>
      <ability>L2_HalfPunc</ability>
      <abilityName>全半角检查</abilityName>
      <candidateList>
        <item>）</item>
      </candidateList>
      <explain>文本全半角错误。</explain>
      <paraID>1B08AD11</paraID>
      <start>5</start>
      <end>6</end>
      <status>unmodified</status>
      <modifiedWord/>
      <trackRevisions>false</trackRevisions>
    </reviewItem>
    <reviewItem>
      <errorID>abe8e6b7-29ca-4925-b01c-4d31f1692a31</errorID>
      <errorWord>*</errorWord>
      <group>L1_Punc</group>
      <groupName>标点问题</groupName>
      <ability>L2_Punc</ability>
      <abilityName>标点符号检查</abilityName>
      <candidateList/>
      <explain/>
      <paraID>4F84583E</paraID>
      <start>0</start>
      <end>1</end>
      <status>unmodified</status>
      <modifiedWord/>
      <trackRevisions>false</trackRevisions>
    </reviewItem>
    <reviewItem>
      <errorID>e43a4da7-8d6e-4eb8-ab2a-52db9ee82976</errorID>
      <errorWord>*</errorWord>
      <group>L1_Punc</group>
      <groupName>标点问题</groupName>
      <ability>L2_Punc</ability>
      <abilityName>标点符号检查</abilityName>
      <candidateList/>
      <explain/>
      <paraID>21EF1728</paraID>
      <start>0</start>
      <end>1</end>
      <status>unmodified</status>
      <modifiedWord/>
      <trackRevisions>false</trackRevisions>
    </reviewItem>
    <reviewItem>
      <errorID>6da22f9c-8726-40c0-9f4b-35160807492f</errorID>
      <errorWord>*</errorWord>
      <group>L1_Punc</group>
      <groupName>标点问题</groupName>
      <ability>L2_Punc</ability>
      <abilityName>标点符号检查</abilityName>
      <candidateList/>
      <explain/>
      <paraID>235B4B98</paraID>
      <start>0</start>
      <end>1</end>
      <status>unmodified</status>
      <modifiedWord/>
      <trackRevisions>false</trackRevisions>
    </reviewItem>
    <reviewItem>
      <errorID>c71c3076-4773-495f-b331-d81893afba47</errorID>
      <errorWord>:</errorWord>
      <group>L1_Format</group>
      <groupName>格式问题</groupName>
      <ability>L2_HalfPunc</ability>
      <abilityName>全半角检查</abilityName>
      <candidateList>
        <item>：</item>
      </candidateList>
      <explain>文本全半角错误。</explain>
      <paraID>11B95100</paraID>
      <start>3</start>
      <end>4</end>
      <status>unmodified</status>
      <modifiedWord/>
      <trackRevisions>false</trackRevisions>
    </reviewItem>
    <reviewItem>
      <errorID>ea508b3d-3dd0-484a-b354-af34bec5a6e9</errorID>
      <errorWord>-</errorWord>
      <group>L1_Format</group>
      <groupName>格式问题</groupName>
      <ability>L2_HalfPunc</ability>
      <abilityName>全半角检查</abilityName>
      <candidateList>
        <item>－</item>
      </candidateList>
      <explain>文本全半角错误。</explain>
      <paraID>507F0A40</paraID>
      <start>7</start>
      <end>8</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EAC94CB1-6391-4629-8246-634DD74771F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HP Inc.</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陆玲</cp:lastModifiedBy>
  <cp:revision>58</cp:revision>
  <dcterms:created xsi:type="dcterms:W3CDTF">2025-04-20T10:23:00Z</dcterms:created>
  <dcterms:modified xsi:type="dcterms:W3CDTF">2026-05-28T02:46:26Z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eyJoZGlkIjoiNThiYmI4YjZiOTc2NTBiY2RmN2M5ODhmNDYxOGFlNzUiLCJ1c2VySWQiOiIyMjYwNTE2NCJ9</vt:lpwstr>
  </property>
  <property fmtid="{D5CDD505-2E9C-101B-9397-08002B2CF9AE}" pid="3" name="KSOProductBuildVer">
    <vt:lpwstr>2052-12.1.0.26375</vt:lpwstr>
  </property>
  <property fmtid="{D5CDD505-2E9C-101B-9397-08002B2CF9AE}" pid="4" name="ICV">
    <vt:lpwstr>E6AA7D6FE4F64CE5B98890D4483F32F2_13</vt:lpwstr>
  </property>
</Properties>
</file>