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eastAsiaTheme="minorEastAsia"/>
          <w:bCs/>
          <w:color w:val="auto"/>
          <w:sz w:val="72"/>
          <w:highlight w:val="none"/>
        </w:rPr>
      </w:pPr>
      <w:r/>
      <w:bookmarkStart w:id="0" w:name="_Hlk168668489"/>
      <w:r/>
      <w:bookmarkEnd w:id="0"/>
      <w:r>
        <w:rPr>
          <w:rFonts w:hint="eastAsia" w:eastAsiaTheme="minorEastAsia"/>
          <w:bCs/>
          <w:color w:val="auto"/>
          <w:sz w:val="72"/>
          <w:highlight w:val="none"/>
        </w:rPr>
        <w:t xml:space="preserve">  </w:t>
      </w:r>
      <w:r/>
    </w:p>
    <w:p>
      <w:pPr>
        <w:jc w:val="center"/>
        <w:spacing w:line="360" w:lineRule="auto"/>
        <w:rPr>
          <w:rFonts w:eastAsia="楷体"/>
          <w:b/>
          <w:color w:val="auto"/>
          <w:sz w:val="72"/>
          <w:szCs w:val="72"/>
          <w:highlight w:val="none"/>
        </w:rPr>
      </w:pPr>
      <w:r>
        <w:rPr>
          <w:rFonts w:hint="eastAsia" w:eastAsia="楷体"/>
          <w:b/>
          <w:color w:val="auto"/>
          <w:sz w:val="72"/>
          <w:szCs w:val="72"/>
          <w:highlight w:val="none"/>
        </w:rPr>
        <w:t xml:space="preserve">相城区</w:t>
      </w:r>
      <w:r>
        <w:rPr>
          <w:rFonts w:eastAsia="楷体"/>
          <w:b/>
          <w:color w:val="auto"/>
          <w:sz w:val="72"/>
          <w:szCs w:val="72"/>
          <w:highlight w:val="none"/>
        </w:rPr>
        <w:t xml:space="preserve">政府采购</w:t>
      </w:r>
      <w:r/>
    </w:p>
    <w:p>
      <w:pPr>
        <w:jc w:val="center"/>
        <w:spacing w:line="360" w:lineRule="auto"/>
        <w:rPr>
          <w:rFonts w:eastAsia="楷体"/>
          <w:b/>
          <w:color w:val="auto"/>
          <w:sz w:val="72"/>
          <w:szCs w:val="72"/>
          <w:highlight w:val="none"/>
        </w:rPr>
      </w:pPr>
      <w:r>
        <w:rPr>
          <w:rFonts w:eastAsia="楷体"/>
          <w:b/>
          <w:color w:val="auto"/>
          <w:sz w:val="72"/>
          <w:szCs w:val="72"/>
          <w:highlight w:val="none"/>
        </w:rPr>
        <w:t xml:space="preserve">招标文件</w:t>
      </w:r>
      <w:r/>
    </w:p>
    <w:p>
      <w:pPr>
        <w:pStyle w:val="860"/>
        <w:rPr>
          <w:rFonts w:eastAsia="楷体"/>
          <w:color w:val="auto"/>
          <w:highlight w:val="none"/>
        </w:rPr>
      </w:pPr>
      <w:r>
        <w:rPr>
          <w:rFonts w:hint="eastAsia" w:eastAsia="楷体"/>
          <w:color w:val="auto"/>
          <w:highlight w:val="none"/>
        </w:rPr>
        <w:t xml:space="preserve">、</w:t>
      </w:r>
      <w:r/>
    </w:p>
    <w:p>
      <w:pPr>
        <w:pStyle w:val="860"/>
        <w:rPr>
          <w:rFonts w:eastAsia="楷体"/>
          <w:color w:val="auto"/>
          <w:highlight w:val="none"/>
        </w:rPr>
      </w:pPr>
      <w:r>
        <w:rPr>
          <w:rFonts w:eastAsia="楷体"/>
          <w:color w:val="auto"/>
          <w:highlight w:val="none"/>
        </w:rPr>
      </w:r>
      <w:r/>
    </w:p>
    <w:p>
      <w:pPr>
        <w:pStyle w:val="860"/>
        <w:rPr>
          <w:rFonts w:eastAsia="楷体"/>
          <w:color w:val="auto"/>
          <w:highlight w:val="none"/>
        </w:rPr>
      </w:pPr>
      <w:r>
        <w:rPr>
          <w:rFonts w:eastAsia="楷体"/>
          <w:color w:val="auto"/>
          <w:highlight w:val="none"/>
        </w:rPr>
      </w:r>
      <w:r/>
    </w:p>
    <w:tbl>
      <w:tblPr>
        <w:tblStyle w:val="849"/>
        <w:tblpPr w:horzAnchor="page" w:tblpX="1892" w:vertAnchor="text" w:tblpY="195" w:leftFromText="180" w:topFromText="0" w:rightFromText="180" w:bottomFromText="0"/>
        <w:tblW w:w="8931" w:type="dxa"/>
        <w:tblInd w:w="0" w:type="dxa"/>
        <w:tblLayout w:type="fixed"/>
        <w:tblCellMar>
          <w:left w:w="108" w:type="dxa"/>
          <w:top w:w="0" w:type="dxa"/>
          <w:right w:w="108" w:type="dxa"/>
          <w:bottom w:w="0" w:type="dxa"/>
        </w:tblCellMar>
        <w:tblLook w:val="04A0" w:firstRow="1" w:lastRow="0" w:firstColumn="1" w:lastColumn="0" w:noHBand="0" w:noVBand="1"/>
      </w:tblPr>
      <w:tblGrid>
        <w:gridCol w:w="2544"/>
        <w:gridCol w:w="6387"/>
      </w:tblGrid>
      <w:tr>
        <w:trPr>
          <w:trHeight w:val="678"/>
        </w:trPr>
        <w:tc>
          <w:tcPr>
            <w:shd w:val="clear" w:color="auto" w:fill="auto"/>
            <w:tcW w:w="2544" w:type="dxa"/>
            <w:vAlign w:val="center"/>
            <w:textDirection w:val="lrTb"/>
            <w:noWrap/>
          </w:tcPr>
          <w:p>
            <w:pPr>
              <w:jc w:val="right"/>
              <w:widowControl/>
              <w:rPr>
                <w:rFonts w:asciiTheme="minorEastAsia" w:hAnsiTheme="minorEastAsia" w:eastAsiaTheme="minorEastAsia" w:cstheme="minorEastAsia"/>
                <w:b/>
                <w:bCs/>
                <w:color w:val="auto"/>
                <w:sz w:val="28"/>
                <w:szCs w:val="28"/>
                <w:highlight w:val="none"/>
              </w:rPr>
            </w:pPr>
            <w:r/>
            <w:bookmarkStart w:id="1" w:name="_Hlk90649612"/>
            <w:r>
              <w:rPr>
                <w:rFonts w:hint="eastAsia" w:asciiTheme="minorEastAsia" w:hAnsiTheme="minorEastAsia" w:eastAsiaTheme="minorEastAsia" w:cstheme="minorEastAsia"/>
                <w:b/>
                <w:bCs/>
                <w:color w:val="auto"/>
                <w:sz w:val="28"/>
                <w:szCs w:val="28"/>
                <w:highlight w:val="none"/>
              </w:rPr>
              <w:t xml:space="preserve">采购编号：</w:t>
            </w:r>
            <w:r/>
          </w:p>
        </w:tc>
        <w:tc>
          <w:tcPr>
            <w:shd w:val="clear" w:color="auto" w:fill="auto"/>
            <w:tcW w:w="6387" w:type="dxa"/>
            <w:vAlign w:val="center"/>
            <w:textDirection w:val="lrTb"/>
            <w:noWrap w:val="false"/>
          </w:tcPr>
          <w:p>
            <w:pPr>
              <w:jc w:val="left"/>
              <w:widowControl/>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JSZC-320507-YLCG-G2026-0001</w:t>
            </w:r>
            <w:r/>
          </w:p>
        </w:tc>
      </w:tr>
      <w:tr>
        <w:trPr>
          <w:trHeight w:val="693"/>
        </w:trPr>
        <w:tc>
          <w:tcPr>
            <w:shd w:val="clear" w:color="auto" w:fill="auto"/>
            <w:tcW w:w="2544" w:type="dxa"/>
            <w:vAlign w:val="center"/>
            <w:textDirection w:val="lrTb"/>
            <w:noWrap/>
          </w:tcPr>
          <w:p>
            <w:pPr>
              <w:jc w:val="right"/>
              <w:widowControl/>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项目名称：</w:t>
            </w:r>
            <w:r/>
          </w:p>
        </w:tc>
        <w:tc>
          <w:tcPr>
            <w:shd w:val="clear" w:color="auto" w:fill="auto"/>
            <w:tcW w:w="6387" w:type="dxa"/>
            <w:vAlign w:val="center"/>
            <w:textDirection w:val="lrTb"/>
            <w:noWrap w:val="false"/>
          </w:tcPr>
          <w:p>
            <w:pPr>
              <w:jc w:val="left"/>
              <w:widowControl/>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2026年污染源在线监控质量管理及生物多样性站点运维</w:t>
            </w:r>
            <w:r/>
          </w:p>
        </w:tc>
      </w:tr>
      <w:tr>
        <w:trPr>
          <w:trHeight w:val="573"/>
        </w:trPr>
        <w:tc>
          <w:tcPr>
            <w:shd w:val="clear" w:color="auto" w:fill="auto"/>
            <w:tcW w:w="2544" w:type="dxa"/>
            <w:vAlign w:val="center"/>
            <w:textDirection w:val="lrTb"/>
            <w:noWrap/>
          </w:tcPr>
          <w:p>
            <w:pPr>
              <w:jc w:val="right"/>
              <w:widowControl/>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 采购人：</w:t>
            </w:r>
            <w:r/>
          </w:p>
        </w:tc>
        <w:tc>
          <w:tcPr>
            <w:shd w:val="clear" w:color="auto" w:fill="auto"/>
            <w:tcW w:w="6387" w:type="dxa"/>
            <w:vAlign w:val="center"/>
            <w:textDirection w:val="lrTb"/>
            <w:noWrap w:val="false"/>
          </w:tcPr>
          <w:p>
            <w:pPr>
              <w:widowControl/>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苏州市相城生态环境局</w:t>
            </w:r>
            <w:r/>
          </w:p>
        </w:tc>
      </w:tr>
      <w:tr>
        <w:trPr>
          <w:trHeight w:val="633"/>
        </w:trPr>
        <w:tc>
          <w:tcPr>
            <w:shd w:val="clear" w:color="auto" w:fill="auto"/>
            <w:tcW w:w="2544" w:type="dxa"/>
            <w:vAlign w:val="center"/>
            <w:textDirection w:val="lrTb"/>
            <w:noWrap/>
          </w:tcPr>
          <w:p>
            <w:pPr>
              <w:jc w:val="right"/>
              <w:widowControl/>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项目类别：</w:t>
            </w:r>
            <w:bookmarkEnd w:id="1"/>
            <w:r/>
            <w:r/>
          </w:p>
        </w:tc>
        <w:tc>
          <w:tcPr>
            <w:shd w:val="clear" w:color="auto" w:fill="auto"/>
            <w:tcW w:w="6387" w:type="dxa"/>
            <w:vAlign w:val="center"/>
            <w:textDirection w:val="lrTb"/>
            <w:noWrap w:val="false"/>
          </w:tcPr>
          <w:p>
            <w:pPr>
              <w:widowControl/>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服务类</w:t>
            </w:r>
            <w:r/>
          </w:p>
        </w:tc>
      </w:tr>
    </w:tbl>
    <w:p>
      <w:pPr>
        <w:pStyle w:val="860"/>
        <w:rPr>
          <w:rFonts w:eastAsia="楷体"/>
          <w:color w:val="auto"/>
          <w:highlight w:val="none"/>
        </w:rPr>
      </w:pPr>
      <w:r>
        <w:rPr>
          <w:rFonts w:eastAsia="楷体"/>
          <w:color w:val="auto"/>
          <w:highlight w:val="none"/>
        </w:rPr>
      </w:r>
      <w:r/>
    </w:p>
    <w:p>
      <w:pPr>
        <w:pStyle w:val="860"/>
        <w:rPr>
          <w:rFonts w:eastAsia="楷体"/>
          <w:color w:val="auto"/>
          <w:highlight w:val="none"/>
        </w:rPr>
      </w:pPr>
      <w:r>
        <w:rPr>
          <w:rFonts w:eastAsia="楷体"/>
          <w:color w:val="auto"/>
          <w:highlight w:val="none"/>
        </w:rPr>
      </w:r>
      <w:r/>
    </w:p>
    <w:p>
      <w:pPr>
        <w:pStyle w:val="860"/>
        <w:rPr>
          <w:rFonts w:eastAsia="楷体"/>
          <w:color w:val="auto"/>
          <w:highlight w:val="none"/>
        </w:rPr>
      </w:pPr>
      <w:r>
        <w:rPr>
          <w:rFonts w:eastAsia="楷体"/>
          <w:color w:val="auto"/>
          <w:highlight w:val="none"/>
        </w:rPr>
      </w:r>
      <w:r/>
    </w:p>
    <w:p>
      <w:pPr>
        <w:pStyle w:val="860"/>
        <w:rPr>
          <w:rFonts w:eastAsia="楷体"/>
          <w:color w:val="auto"/>
          <w:highlight w:val="none"/>
        </w:rPr>
      </w:pPr>
      <w:r>
        <w:rPr>
          <w:rFonts w:eastAsia="楷体"/>
          <w:color w:val="auto"/>
          <w:highlight w:val="none"/>
        </w:rPr>
      </w:r>
      <w:r/>
    </w:p>
    <w:p>
      <w:pPr>
        <w:pStyle w:val="860"/>
        <w:rPr>
          <w:rFonts w:eastAsia="楷体"/>
          <w:color w:val="auto"/>
          <w:highlight w:val="none"/>
        </w:rPr>
      </w:pPr>
      <w:r>
        <w:rPr>
          <w:rFonts w:eastAsia="楷体"/>
          <w:color w:val="auto"/>
          <w:highlight w:val="none"/>
        </w:rPr>
      </w:r>
      <w:r/>
    </w:p>
    <w:p>
      <w:pPr>
        <w:pStyle w:val="860"/>
        <w:rPr>
          <w:rFonts w:eastAsia="楷体"/>
          <w:color w:val="auto"/>
          <w:highlight w:val="none"/>
        </w:rPr>
      </w:pPr>
      <w:r>
        <w:rPr>
          <w:rFonts w:eastAsia="楷体"/>
          <w:color w:val="auto"/>
          <w:highlight w:val="none"/>
        </w:rPr>
      </w:r>
      <w:r/>
    </w:p>
    <w:p>
      <w:pPr>
        <w:pStyle w:val="860"/>
        <w:rPr>
          <w:rFonts w:eastAsia="楷体"/>
          <w:color w:val="auto"/>
          <w:highlight w:val="none"/>
        </w:rPr>
      </w:pPr>
      <w:r>
        <w:rPr>
          <w:rFonts w:eastAsia="楷体"/>
          <w:color w:val="auto"/>
          <w:highlight w:val="none"/>
        </w:rPr>
      </w:r>
      <w:r/>
    </w:p>
    <w:p>
      <w:pPr>
        <w:pStyle w:val="860"/>
        <w:rPr>
          <w:rFonts w:eastAsia="楷体"/>
          <w:color w:val="auto"/>
          <w:highlight w:val="none"/>
        </w:rPr>
      </w:pPr>
      <w:r>
        <w:rPr>
          <w:rFonts w:eastAsia="楷体"/>
          <w:color w:val="auto"/>
          <w:highlight w:val="none"/>
        </w:rPr>
      </w:r>
      <w:r/>
    </w:p>
    <w:p>
      <w:pPr>
        <w:pStyle w:val="860"/>
        <w:rPr>
          <w:rFonts w:eastAsia="楷体"/>
          <w:color w:val="auto"/>
          <w:highlight w:val="none"/>
        </w:rPr>
      </w:pPr>
      <w:r>
        <w:rPr>
          <w:rFonts w:eastAsia="楷体"/>
          <w:color w:val="auto"/>
          <w:highlight w:val="none"/>
        </w:rPr>
      </w:r>
      <w:r/>
    </w:p>
    <w:p>
      <w:pPr>
        <w:spacing w:line="360" w:lineRule="auto"/>
        <w:rPr>
          <w:rFonts w:eastAsia="楷体"/>
          <w:bCs/>
          <w:color w:val="auto"/>
          <w:sz w:val="32"/>
          <w:highlight w:val="none"/>
        </w:rPr>
      </w:pPr>
      <w:r>
        <w:rPr>
          <w:rFonts w:eastAsia="楷体"/>
          <w:bCs/>
          <w:color w:val="auto"/>
          <w:sz w:val="32"/>
          <w:highlight w:val="none"/>
        </w:rPr>
      </w:r>
      <w:r/>
    </w:p>
    <w:p>
      <w:pPr>
        <w:spacing w:line="360" w:lineRule="auto"/>
        <w:rPr>
          <w:rFonts w:eastAsia="楷体"/>
          <w:bCs/>
          <w:color w:val="auto"/>
          <w:sz w:val="32"/>
          <w:highlight w:val="none"/>
        </w:rPr>
      </w:pPr>
      <w:r>
        <w:rPr>
          <w:rFonts w:eastAsia="楷体"/>
          <w:bCs/>
          <w:color w:val="auto"/>
          <w:sz w:val="32"/>
          <w:highlight w:val="none"/>
        </w:rPr>
      </w:r>
      <w:r/>
    </w:p>
    <w:p>
      <w:pPr>
        <w:spacing w:line="360" w:lineRule="auto"/>
        <w:rPr>
          <w:rFonts w:eastAsia="楷体"/>
          <w:bCs/>
          <w:color w:val="auto"/>
          <w:sz w:val="24"/>
          <w:szCs w:val="20"/>
          <w:highlight w:val="none"/>
        </w:rPr>
      </w:pPr>
      <w:r>
        <w:rPr>
          <w:rFonts w:eastAsia="楷体"/>
          <w:bCs/>
          <w:color w:val="auto"/>
          <w:sz w:val="24"/>
          <w:szCs w:val="20"/>
          <w:highlight w:val="none"/>
        </w:rPr>
      </w:r>
      <w:r/>
    </w:p>
    <w:p>
      <w:pPr>
        <w:spacing w:line="360" w:lineRule="auto"/>
        <w:rPr>
          <w:rFonts w:eastAsia="楷体"/>
          <w:bCs/>
          <w:color w:val="auto"/>
          <w:sz w:val="24"/>
          <w:szCs w:val="20"/>
          <w:highlight w:val="none"/>
        </w:rPr>
      </w:pPr>
      <w:r>
        <w:rPr>
          <w:rFonts w:eastAsia="楷体"/>
          <w:bCs/>
          <w:color w:val="auto"/>
          <w:sz w:val="24"/>
          <w:szCs w:val="20"/>
          <w:highlight w:val="none"/>
        </w:rPr>
      </w:r>
      <w:r/>
    </w:p>
    <w:p>
      <w:pPr>
        <w:spacing w:line="360" w:lineRule="auto"/>
        <w:rPr>
          <w:rFonts w:eastAsia="楷体"/>
          <w:bCs/>
          <w:color w:val="auto"/>
          <w:sz w:val="24"/>
          <w:szCs w:val="20"/>
          <w:highlight w:val="none"/>
        </w:rPr>
      </w:pPr>
      <w:r>
        <w:rPr>
          <w:rFonts w:eastAsia="楷体"/>
          <w:bCs/>
          <w:color w:val="auto"/>
          <w:sz w:val="24"/>
          <w:szCs w:val="20"/>
          <w:highlight w:val="none"/>
        </w:rPr>
      </w:r>
      <w:r/>
    </w:p>
    <w:p>
      <w:pPr>
        <w:jc w:val="center"/>
        <w:spacing w:line="360" w:lineRule="auto"/>
        <w:rPr>
          <w:rFonts w:ascii="宋体" w:hAnsi="宋体" w:cs="宋体"/>
          <w:b/>
          <w:bCs/>
          <w:color w:val="auto"/>
          <w:sz w:val="28"/>
          <w:highlight w:val="none"/>
        </w:rPr>
      </w:pPr>
      <w:r>
        <w:rPr>
          <w:rFonts w:ascii="宋体" w:hAnsi="宋体" w:cs="宋体"/>
          <w:b/>
          <w:bCs/>
          <w:color w:val="auto"/>
          <w:sz w:val="28"/>
          <w:highlight w:val="none"/>
        </w:rPr>
      </w:r>
      <w:r/>
    </w:p>
    <w:p>
      <w:pPr>
        <w:jc w:val="center"/>
        <w:spacing w:line="360" w:lineRule="auto"/>
        <w:rPr>
          <w:rFonts w:ascii="宋体" w:hAnsi="宋体" w:cs="宋体"/>
          <w:b/>
          <w:bCs/>
          <w:color w:val="auto"/>
          <w:sz w:val="28"/>
          <w:highlight w:val="none"/>
        </w:rPr>
      </w:pPr>
      <w:r>
        <w:rPr>
          <w:rFonts w:ascii="宋体" w:hAnsi="宋体" w:cs="宋体"/>
          <w:b/>
          <w:bCs/>
          <w:color w:val="auto"/>
          <w:sz w:val="28"/>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永立工程咨询（江苏）有限公司</w:t>
      </w:r>
      <w:r/>
    </w:p>
    <w:p>
      <w:pPr>
        <w:jc w:val="center"/>
        <w:spacing w:line="360" w:lineRule="auto"/>
        <w:rPr>
          <w:rFonts w:ascii="宋体" w:hAnsi="宋体" w:cs="宋体"/>
          <w:b/>
          <w:bCs/>
          <w:color w:val="auto"/>
          <w:sz w:val="28"/>
          <w:highlight w:val="none"/>
        </w:rPr>
      </w:pPr>
      <w:r/>
      <w:bookmarkStart w:id="2" w:name="_Hlk159250057"/>
      <w:r>
        <w:rPr>
          <w:rFonts w:hint="eastAsia" w:ascii="宋体" w:hAnsi="宋体" w:cs="宋体"/>
          <w:b/>
          <w:bCs/>
          <w:color w:val="auto"/>
          <w:sz w:val="28"/>
          <w:highlight w:val="none"/>
        </w:rPr>
        <w:t xml:space="preserve">二零二六年五月</w:t>
      </w:r>
      <w:bookmarkEnd w:id="2"/>
      <w:r/>
      <w:r/>
    </w:p>
    <w:p>
      <w:pPr>
        <w:jc w:val="center"/>
        <w:spacing w:line="360" w:lineRule="auto"/>
        <w:rPr>
          <w:rFonts w:eastAsiaTheme="minorEastAsia"/>
          <w:b/>
          <w:bCs/>
          <w:color w:val="auto"/>
          <w:sz w:val="44"/>
          <w:szCs w:val="44"/>
          <w:highlight w:val="none"/>
        </w:rPr>
        <w:sectPr>
          <w:headerReference w:type="default" r:id="rId9"/>
          <w:footerReference w:type="default" r:id="rId10"/>
          <w:footerReference w:type="first" r:id="rId11"/>
          <w:footnotePr/>
          <w:endnotePr/>
          <w:type w:val="nextPage"/>
          <w:pgSz w:w="11906" w:h="16838" w:orient="portrait"/>
          <w:pgMar w:top="993" w:right="907" w:bottom="794" w:left="907" w:header="737" w:footer="454" w:gutter="0"/>
          <w:cols w:num="1" w:sep="0" w:space="720" w:equalWidth="1"/>
          <w:docGrid w:linePitch="360"/>
        </w:sectPr>
      </w:pPr>
      <w:r>
        <w:rPr>
          <w:rFonts w:eastAsiaTheme="minorEastAsia"/>
          <w:b/>
          <w:bCs/>
          <w:color w:val="auto"/>
          <w:sz w:val="44"/>
          <w:szCs w:val="44"/>
          <w:highlight w:val="none"/>
        </w:rPr>
      </w:r>
      <w:r/>
    </w:p>
    <w:p>
      <w:pPr>
        <w:jc w:val="center"/>
        <w:spacing w:line="500" w:lineRule="exact"/>
        <w:rPr>
          <w:rFonts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t xml:space="preserve">前附表</w:t>
      </w:r>
      <w:r/>
    </w:p>
    <w:tbl>
      <w:tblPr>
        <w:tblStyle w:val="8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843"/>
        <w:gridCol w:w="6886"/>
      </w:tblGrid>
      <w:tr>
        <w:trPr>
          <w:jc w:val="center"/>
          <w:trHeight w:val="680"/>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条目</w:t>
            </w:r>
            <w:r/>
          </w:p>
        </w:tc>
        <w:tc>
          <w:tcPr>
            <w:tcW w:w="688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内               容</w:t>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项目编号</w:t>
            </w:r>
            <w:r/>
          </w:p>
        </w:tc>
        <w:tc>
          <w:tcPr>
            <w:tcW w:w="688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JSZC-320507-YLCG-G2026-0001</w:t>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6886" w:type="dxa"/>
            <w:vAlign w:val="center"/>
            <w:textDirection w:val="lrTb"/>
            <w:noWrap w:val="false"/>
          </w:tcPr>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2026年污染源在线监控质量管理及生物多样性站点运维</w:t>
            </w:r>
            <w:r/>
          </w:p>
        </w:tc>
      </w:tr>
      <w:tr>
        <w:trPr>
          <w:jc w:val="center"/>
          <w:trHeight w:val="680"/>
        </w:trPr>
        <w:tc>
          <w:tcPr>
            <w:tcW w:w="992" w:type="dxa"/>
            <w:vAlign w:val="center"/>
            <w:textDirection w:val="lrTb"/>
            <w:noWrap w:val="false"/>
          </w:tcPr>
          <w:p>
            <w:pPr>
              <w:jc w:val="center"/>
              <w:spacing w:line="440" w:lineRule="exact"/>
              <w:tabs>
                <w:tab w:val="left" w:pos="252"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采购代理机构名称及地址</w:t>
            </w:r>
            <w:r/>
          </w:p>
        </w:tc>
        <w:tc>
          <w:tcPr>
            <w:tcW w:w="688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 称：永立工程咨询（江苏）有限公司</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址：苏州市吴中区澄湖路888号恒润国际广场B座219室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联系人：安磊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电　话：13862099132</w:t>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采购单位</w:t>
            </w:r>
            <w:r/>
          </w:p>
        </w:tc>
        <w:tc>
          <w:tcPr>
            <w:tcW w:w="688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名称：苏州市相城生态环境局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联系人：宋蕾</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联系方式：0512-66151670</w:t>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标书组成</w:t>
            </w:r>
            <w:r/>
          </w:p>
        </w:tc>
        <w:tc>
          <w:tcPr>
            <w:tcW w:w="688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投标保证金</w:t>
            </w:r>
            <w:r/>
          </w:p>
        </w:tc>
        <w:tc>
          <w:tcPr>
            <w:tcW w:w="6886" w:type="dxa"/>
            <w:vAlign w:val="center"/>
            <w:textDirection w:val="lrTb"/>
            <w:noWrap w:val="false"/>
          </w:tcPr>
          <w:p>
            <w:pPr>
              <w:spacing w:line="440" w:lineRule="exact"/>
              <w:rPr>
                <w:rFonts w:cs="宋体"/>
                <w:color w:val="auto"/>
                <w:szCs w:val="21"/>
                <w:highlight w:val="none"/>
              </w:rPr>
            </w:pPr>
            <w:r>
              <w:rPr>
                <w:rFonts w:hint="eastAsia" w:cs="宋体"/>
                <w:color w:val="auto"/>
                <w:szCs w:val="21"/>
                <w:highlight w:val="none"/>
              </w:rPr>
              <w:t xml:space="preserve">本项目免收投标保证金</w:t>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688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六十天（日历日）</w:t>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W w:w="688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Arial"/>
                <w:color w:val="auto"/>
                <w:szCs w:val="21"/>
                <w:highlight w:val="none"/>
              </w:rPr>
              <w:t xml:space="preserve">本项目接收电子投标文件，投标人按照招标文件要求制作上传电子投标文件，开标现场无需提供纸质投标文件。中标后，根据采购人需求提交三份纸质投标文件。</w:t>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W w:w="688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2026年6月15日13:30（北京时间）</w:t>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开标地点</w:t>
            </w:r>
            <w:r/>
          </w:p>
        </w:tc>
        <w:tc>
          <w:tcPr>
            <w:tcW w:w="688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2026年6月15日13:30（北京时间）</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03"/>
                <w:rFonts w:hint="eastAsia" w:ascii="宋体" w:hAnsi="宋体" w:cs="宋体"/>
                <w:color w:val="auto"/>
                <w:szCs w:val="21"/>
                <w:highlight w:val="none"/>
              </w:rPr>
              <w:t xml:space="preserve">http://jszfcg.jsczt.cn/）“开标大厅”</w:t>
            </w:r>
            <w:r>
              <w:rPr>
                <w:rStyle w:val="903"/>
                <w:rFonts w:hint="eastAsia" w:ascii="宋体" w:hAnsi="宋体" w:cs="宋体"/>
                <w:color w:val="auto"/>
                <w:szCs w:val="21"/>
                <w:highlight w:val="none"/>
              </w:rPr>
              <w:fldChar w:fldCharType="end"/>
            </w:r>
            <w:r/>
          </w:p>
          <w:p>
            <w:pPr>
              <w:spacing w:line="440" w:lineRule="exact"/>
              <w:rPr>
                <w:rFonts w:ascii="宋体" w:hAnsi="宋体" w:cs="宋体"/>
                <w:color w:val="auto"/>
                <w:szCs w:val="21"/>
                <w:highlight w:val="none"/>
              </w:rPr>
            </w:pPr>
            <w:r>
              <w:rPr>
                <w:rFonts w:ascii="宋体" w:hAnsi="宋体"/>
                <w:b/>
                <w:bCs/>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904"/>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评标地点</w:t>
            </w:r>
            <w:r/>
          </w:p>
        </w:tc>
        <w:tc>
          <w:tcPr>
            <w:tcW w:w="688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2026年6月15日13:30（北京时间）</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投标报价本位币</w:t>
            </w:r>
            <w:r/>
          </w:p>
        </w:tc>
        <w:tc>
          <w:tcPr>
            <w:tcW w:w="688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1843" w:type="dxa"/>
            <w:vAlign w:val="center"/>
            <w:textDirection w:val="lrTb"/>
            <w:noWrap w:val="false"/>
          </w:tcPr>
          <w:p>
            <w:pPr>
              <w:jc w:val="center"/>
              <w:spacing w:line="440" w:lineRule="exact"/>
              <w:rPr>
                <w:rFonts w:cs="宋体"/>
                <w:color w:val="auto"/>
                <w:szCs w:val="21"/>
                <w:highlight w:val="none"/>
              </w:rPr>
            </w:pPr>
            <w:r>
              <w:rPr>
                <w:rFonts w:hint="eastAsia"/>
                <w:color w:val="auto"/>
                <w:szCs w:val="21"/>
                <w:highlight w:val="none"/>
              </w:rPr>
              <w:t xml:space="preserve">中标通知书</w:t>
            </w:r>
            <w:r/>
          </w:p>
        </w:tc>
        <w:tc>
          <w:tcPr>
            <w:tcW w:w="6886" w:type="dxa"/>
            <w:vAlign w:val="center"/>
            <w:textDirection w:val="lrTb"/>
            <w:noWrap w:val="false"/>
          </w:tcPr>
          <w:p>
            <w:pPr>
              <w:spacing w:line="440" w:lineRule="exact"/>
              <w:rPr>
                <w:rFonts w:cs="宋体"/>
                <w:color w:val="auto"/>
                <w:szCs w:val="21"/>
                <w:highlight w:val="none"/>
                <w:lang w:val="zh-CN"/>
              </w:rPr>
            </w:pPr>
            <w:r>
              <w:rPr>
                <w:rFonts w:hint="eastAsia" w:cs="宋体"/>
                <w:color w:val="auto"/>
                <w:szCs w:val="21"/>
                <w:highlight w:val="none"/>
                <w:lang w:val="zh-CN"/>
              </w:rPr>
              <w:t xml:space="preserve">确定中标人后，采购代理机构在法定时间内向中标人发出中标通知书。中标通知书将成为合同的组成部分。</w:t>
            </w:r>
            <w:r/>
          </w:p>
          <w:p>
            <w:pPr>
              <w:jc w:val="left"/>
              <w:spacing w:line="440" w:lineRule="exact"/>
              <w:rPr>
                <w:rFonts w:cs="宋体"/>
                <w:color w:val="auto"/>
                <w:szCs w:val="21"/>
                <w:highlight w:val="none"/>
              </w:rPr>
            </w:pPr>
            <w:r>
              <w:rPr>
                <w:rFonts w:hint="eastAsia" w:cs="宋体"/>
                <w:b/>
                <w:color w:val="auto"/>
                <w:szCs w:val="21"/>
                <w:highlight w:val="none"/>
              </w:rPr>
              <w:t xml:space="preserve">请中标人在中标结果公告届满之日起30日内,使用CA证书登录“苏采云”系统及时下载中标通知书。</w:t>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履约保证金</w:t>
            </w:r>
            <w:r/>
          </w:p>
        </w:tc>
        <w:tc>
          <w:tcPr>
            <w:tcW w:w="6886" w:type="dxa"/>
            <w:vAlign w:val="center"/>
            <w:textDirection w:val="lrTb"/>
            <w:noWrap w:val="false"/>
          </w:tcPr>
          <w:p>
            <w:pPr>
              <w:jc w:val="center"/>
              <w:spacing w:line="312" w:lineRule="auto"/>
              <w:rPr>
                <w:rFonts w:ascii="宋体" w:hAnsi="宋体" w:cs="宋体"/>
                <w:color w:val="auto"/>
                <w:sz w:val="22"/>
                <w:highlight w:val="none"/>
              </w:rPr>
            </w:pPr>
            <w:r>
              <w:rPr>
                <w:rFonts w:hint="eastAsia" w:ascii="宋体" w:hAnsi="宋体" w:cs="宋体"/>
                <w:color w:val="auto"/>
                <w:sz w:val="22"/>
                <w:highlight w:val="none"/>
              </w:rPr>
              <w:t xml:space="preserve">无</w:t>
            </w:r>
            <w:r/>
          </w:p>
        </w:tc>
      </w:tr>
      <w:tr>
        <w:trPr>
          <w:jc w:val="center"/>
          <w:trHeight w:val="680"/>
        </w:trPr>
        <w:tc>
          <w:tcPr>
            <w:tcW w:w="992"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p>
        </w:tc>
        <w:tc>
          <w:tcPr>
            <w:tcW w:w="1843"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代理服务费</w:t>
            </w:r>
            <w:r/>
          </w:p>
        </w:tc>
        <w:tc>
          <w:tcPr>
            <w:tcW w:w="6886"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收费标准：按照预算金额的如下比例进行计算：即100万元以内1.35%、100～500万元0.935%，按照差额定率累进法计算。</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具体收费金额为：一标段：￥20045.00元；二标段￥6750.00元。</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本项目代理服务费由采购人支付。</w:t>
            </w:r>
            <w:r/>
          </w:p>
        </w:tc>
      </w:tr>
      <w:tr>
        <w:trPr>
          <w:jc w:val="center"/>
          <w:trHeight w:val="680"/>
        </w:trPr>
        <w:tc>
          <w:tcPr>
            <w:tcW w:w="992"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16</w:t>
            </w:r>
            <w:r/>
          </w:p>
        </w:tc>
        <w:tc>
          <w:tcPr>
            <w:tcW w:w="184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导致无效</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投标因素</w:t>
            </w:r>
            <w:r/>
          </w:p>
        </w:tc>
        <w:tc>
          <w:tcPr>
            <w:tcW w:w="688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投标文件属下列情况之一的，在资格性、符合性检查时按照无效投标处理：</w:t>
            </w:r>
            <w:r/>
          </w:p>
          <w:p>
            <w:pPr>
              <w:numPr>
                <w:ilvl w:val="0"/>
                <w:numId w:val="1"/>
              </w:numPr>
              <w:spacing w:line="440" w:lineRule="exact"/>
              <w:rPr>
                <w:rFonts w:cs="宋体"/>
                <w:color w:val="auto"/>
                <w:szCs w:val="21"/>
                <w:highlight w:val="none"/>
              </w:rPr>
            </w:pPr>
            <w:r>
              <w:rPr>
                <w:rFonts w:hint="eastAsia" w:cs="宋体"/>
                <w:color w:val="auto"/>
                <w:szCs w:val="21"/>
                <w:highlight w:val="none"/>
              </w:rPr>
              <w:t xml:space="preserve">投标文件未按照招标文件要求签署、盖章的；</w:t>
            </w:r>
            <w:r/>
          </w:p>
          <w:p>
            <w:pPr>
              <w:numPr>
                <w:ilvl w:val="0"/>
                <w:numId w:val="1"/>
              </w:numPr>
              <w:spacing w:line="440" w:lineRule="exact"/>
              <w:rPr>
                <w:rFonts w:cs="宋体"/>
                <w:color w:val="auto"/>
                <w:szCs w:val="21"/>
                <w:highlight w:val="none"/>
              </w:rPr>
            </w:pPr>
            <w:r>
              <w:rPr>
                <w:rFonts w:hint="eastAsia" w:cs="宋体"/>
                <w:color w:val="auto"/>
                <w:szCs w:val="21"/>
                <w:highlight w:val="none"/>
              </w:rPr>
              <w:t xml:space="preserve">不具备招标文件中规定资格要求的；</w:t>
            </w:r>
            <w:r/>
          </w:p>
          <w:p>
            <w:pPr>
              <w:numPr>
                <w:ilvl w:val="0"/>
                <w:numId w:val="1"/>
              </w:numPr>
              <w:spacing w:line="440" w:lineRule="exact"/>
              <w:rPr>
                <w:rFonts w:cs="宋体"/>
                <w:color w:val="auto"/>
                <w:szCs w:val="21"/>
                <w:highlight w:val="none"/>
              </w:rPr>
            </w:pPr>
            <w:r>
              <w:rPr>
                <w:rFonts w:hint="eastAsia" w:cs="宋体"/>
                <w:color w:val="auto"/>
                <w:szCs w:val="21"/>
                <w:highlight w:val="none"/>
              </w:rPr>
              <w:t xml:space="preserve">报价超过招标文件中规定的预算金额或者最高限价的；</w:t>
            </w:r>
            <w:r/>
          </w:p>
          <w:p>
            <w:pPr>
              <w:numPr>
                <w:ilvl w:val="0"/>
                <w:numId w:val="1"/>
              </w:numPr>
              <w:spacing w:line="440" w:lineRule="exact"/>
              <w:rPr>
                <w:rFonts w:cs="宋体"/>
                <w:color w:val="auto"/>
                <w:szCs w:val="21"/>
                <w:highlight w:val="none"/>
              </w:rPr>
            </w:pPr>
            <w:r>
              <w:rPr>
                <w:rFonts w:hint="eastAsia" w:cs="宋体"/>
                <w:color w:val="auto"/>
                <w:szCs w:val="21"/>
                <w:highlight w:val="none"/>
              </w:rPr>
              <w:t xml:space="preserve">投标文件含有采购人不能接受的附加条件的；</w:t>
            </w:r>
            <w:r/>
          </w:p>
          <w:p>
            <w:pPr>
              <w:numPr>
                <w:ilvl w:val="0"/>
                <w:numId w:val="1"/>
              </w:numPr>
              <w:spacing w:line="440" w:lineRule="exact"/>
              <w:rPr>
                <w:rFonts w:cs="宋体"/>
                <w:color w:val="auto"/>
                <w:szCs w:val="21"/>
                <w:highlight w:val="none"/>
              </w:rPr>
            </w:pPr>
            <w:r>
              <w:rPr>
                <w:rFonts w:hint="eastAsia" w:cs="宋体"/>
                <w:color w:val="auto"/>
                <w:szCs w:val="21"/>
                <w:highlight w:val="none"/>
              </w:rPr>
              <w:t xml:space="preserve">不同投标人存在投标(响应)文件制作机器码一致的，视为无效响应；</w:t>
            </w:r>
            <w:r/>
          </w:p>
          <w:p>
            <w:pPr>
              <w:numPr>
                <w:ilvl w:val="0"/>
                <w:numId w:val="1"/>
              </w:num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法律、法规和招标文件规定的其他无效情形。</w:t>
            </w:r>
            <w:r/>
          </w:p>
        </w:tc>
      </w:tr>
      <w:tr>
        <w:trPr>
          <w:jc w:val="center"/>
          <w:trHeight w:val="680"/>
        </w:trPr>
        <w:tc>
          <w:tcPr>
            <w:tcW w:w="992"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17</w:t>
            </w:r>
            <w:r/>
          </w:p>
        </w:tc>
        <w:tc>
          <w:tcPr>
            <w:tcW w:w="1843" w:type="dxa"/>
            <w:vAlign w:val="center"/>
            <w:textDirection w:val="lrTb"/>
            <w:noWrap w:val="false"/>
          </w:tcPr>
          <w:p>
            <w:pPr>
              <w:jc w:val="center"/>
              <w:spacing w:line="440" w:lineRule="exact"/>
              <w:rPr>
                <w:rFonts w:cs="宋体"/>
                <w:color w:val="auto"/>
                <w:szCs w:val="21"/>
                <w:highlight w:val="none"/>
              </w:rPr>
            </w:pPr>
            <w:r>
              <w:rPr>
                <w:rFonts w:hint="eastAsia"/>
                <w:color w:val="auto"/>
                <w:szCs w:val="21"/>
                <w:highlight w:val="none"/>
              </w:rPr>
              <w:t xml:space="preserve">导致废标因素</w:t>
            </w:r>
            <w:r/>
          </w:p>
        </w:tc>
        <w:tc>
          <w:tcPr>
            <w:tcW w:w="6886" w:type="dxa"/>
            <w:vAlign w:val="center"/>
            <w:textDirection w:val="lrTb"/>
            <w:noWrap w:val="false"/>
          </w:tcPr>
          <w:p>
            <w:pPr>
              <w:jc w:val="left"/>
              <w:spacing w:line="440" w:lineRule="exact"/>
              <w:tabs>
                <w:tab w:val="left" w:pos="420" w:leader="none"/>
              </w:tabs>
              <w:rPr>
                <w:color w:val="auto"/>
                <w:szCs w:val="21"/>
                <w:highlight w:val="none"/>
              </w:rPr>
            </w:pPr>
            <w:r>
              <w:rPr>
                <w:rFonts w:hint="eastAsia"/>
                <w:color w:val="auto"/>
                <w:szCs w:val="21"/>
                <w:highlight w:val="none"/>
              </w:rPr>
              <w:t xml:space="preserve">出现下列情形之一的，为废标： </w:t>
            </w:r>
            <w:r/>
          </w:p>
          <w:p>
            <w:pPr>
              <w:jc w:val="left"/>
              <w:spacing w:line="440" w:lineRule="exact"/>
              <w:tabs>
                <w:tab w:val="left" w:pos="420" w:leader="none"/>
              </w:tabs>
              <w:rPr>
                <w:color w:val="auto"/>
                <w:szCs w:val="21"/>
                <w:highlight w:val="none"/>
              </w:rPr>
            </w:pPr>
            <w:r>
              <w:rPr>
                <w:rFonts w:hint="eastAsia"/>
                <w:color w:val="auto"/>
                <w:szCs w:val="21"/>
                <w:highlight w:val="none"/>
              </w:rPr>
              <w:t xml:space="preserve">（一）符合专业条件的投标人或者对招标文件作实质响应的投标人不足三家的；</w:t>
            </w:r>
            <w:r/>
          </w:p>
          <w:p>
            <w:pPr>
              <w:jc w:val="left"/>
              <w:spacing w:line="440" w:lineRule="exact"/>
              <w:tabs>
                <w:tab w:val="left" w:pos="420" w:leader="none"/>
              </w:tabs>
              <w:rPr>
                <w:color w:val="auto"/>
                <w:szCs w:val="21"/>
                <w:highlight w:val="none"/>
              </w:rPr>
            </w:pPr>
            <w:r>
              <w:rPr>
                <w:rFonts w:hint="eastAsia"/>
                <w:color w:val="auto"/>
                <w:szCs w:val="21"/>
                <w:highlight w:val="none"/>
              </w:rPr>
              <w:t xml:space="preserve">（二）出现影响采购公正的违法、违规行为的； </w:t>
            </w:r>
            <w:r/>
          </w:p>
          <w:p>
            <w:pPr>
              <w:jc w:val="left"/>
              <w:spacing w:line="440" w:lineRule="exact"/>
              <w:tabs>
                <w:tab w:val="left" w:pos="420" w:leader="none"/>
              </w:tabs>
              <w:rPr>
                <w:color w:val="auto"/>
                <w:szCs w:val="21"/>
                <w:highlight w:val="none"/>
              </w:rPr>
            </w:pPr>
            <w:r>
              <w:rPr>
                <w:rFonts w:hint="eastAsia"/>
                <w:color w:val="auto"/>
                <w:szCs w:val="21"/>
                <w:highlight w:val="none"/>
              </w:rPr>
              <w:t xml:space="preserve">（三）投标人的报价均超过了采购预算，采购人不能支付的； </w:t>
            </w:r>
            <w:r/>
          </w:p>
          <w:p>
            <w:pPr>
              <w:jc w:val="left"/>
              <w:spacing w:line="440" w:lineRule="exact"/>
              <w:tabs>
                <w:tab w:val="left" w:pos="420" w:leader="none"/>
              </w:tabs>
              <w:rPr>
                <w:rFonts w:cs="宋体"/>
                <w:color w:val="auto"/>
                <w:szCs w:val="21"/>
                <w:highlight w:val="none"/>
              </w:rPr>
            </w:pPr>
            <w:r>
              <w:rPr>
                <w:rFonts w:hint="eastAsia"/>
                <w:color w:val="auto"/>
                <w:szCs w:val="21"/>
                <w:highlight w:val="none"/>
              </w:rPr>
              <w:t xml:space="preserve">（四）因重大变故，采购任务取消的。</w:t>
            </w:r>
            <w:r/>
          </w:p>
        </w:tc>
      </w:tr>
    </w:tbl>
    <w:p>
      <w:pPr>
        <w:pStyle w:val="850"/>
        <w:rPr>
          <w:rFonts w:eastAsiaTheme="minorEastAsia"/>
          <w:b/>
          <w:bCs/>
          <w:color w:val="auto"/>
          <w:sz w:val="44"/>
          <w:szCs w:val="44"/>
          <w:highlight w:val="none"/>
        </w:rPr>
      </w:pPr>
      <w:r>
        <w:rPr>
          <w:rFonts w:eastAsiaTheme="minorEastAsia"/>
          <w:b/>
          <w:bCs/>
          <w:color w:val="auto"/>
          <w:sz w:val="44"/>
          <w:szCs w:val="44"/>
          <w:highlight w:val="none"/>
        </w:rPr>
      </w:r>
      <w:r/>
    </w:p>
    <w:p>
      <w:pPr>
        <w:rPr>
          <w:rFonts w:eastAsiaTheme="minorEastAsia"/>
          <w:b/>
          <w:bCs/>
          <w:color w:val="auto"/>
          <w:sz w:val="44"/>
          <w:szCs w:val="44"/>
          <w:highlight w:val="none"/>
        </w:rPr>
      </w:pPr>
      <w:r>
        <w:rPr>
          <w:rFonts w:eastAsiaTheme="minorEastAsia"/>
          <w:b/>
          <w:bCs/>
          <w:color w:val="auto"/>
          <w:sz w:val="44"/>
          <w:szCs w:val="44"/>
          <w:highlight w:val="none"/>
        </w:rPr>
      </w:r>
      <w:r/>
    </w:p>
    <w:p>
      <w:pPr>
        <w:pStyle w:val="850"/>
        <w:rPr>
          <w:color w:val="auto"/>
          <w:highlight w:val="none"/>
        </w:rPr>
      </w:pPr>
      <w:r>
        <w:rPr>
          <w:color w:val="auto"/>
          <w:highlight w:val="none"/>
        </w:rPr>
      </w:r>
      <w:r/>
    </w:p>
    <w:p>
      <w:pPr>
        <w:jc w:val="center"/>
        <w:spacing w:line="360" w:lineRule="auto"/>
        <w:rPr>
          <w:rFonts w:eastAsiaTheme="minorEastAsia"/>
          <w:b/>
          <w:bCs/>
          <w:color w:val="auto"/>
          <w:sz w:val="44"/>
          <w:szCs w:val="44"/>
          <w:highlight w:val="none"/>
        </w:rPr>
        <w:sectPr>
          <w:footerReference w:type="default" r:id="rId12"/>
          <w:footerReference w:type="first" r:id="rId13"/>
          <w:footnotePr/>
          <w:endnotePr/>
          <w:type w:val="nextPage"/>
          <w:pgSz w:w="11906" w:h="16838" w:orient="portrait"/>
          <w:pgMar w:top="993" w:right="907" w:bottom="794" w:left="907" w:header="737" w:footer="454" w:gutter="0"/>
          <w:cols w:num="1" w:sep="0" w:space="720" w:equalWidth="1"/>
          <w:docGrid w:linePitch="360"/>
          <w:titlePg/>
        </w:sectPr>
      </w:pPr>
      <w:r>
        <w:rPr>
          <w:rFonts w:eastAsiaTheme="minorEastAsia"/>
          <w:b/>
          <w:bCs/>
          <w:color w:val="auto"/>
          <w:sz w:val="44"/>
          <w:szCs w:val="44"/>
          <w:highlight w:val="none"/>
        </w:rPr>
      </w:r>
      <w:r/>
    </w:p>
    <w:p>
      <w:pPr>
        <w:jc w:val="center"/>
        <w:spacing w:line="360" w:lineRule="auto"/>
        <w:rPr>
          <w:rFonts w:eastAsiaTheme="minorEastAsia"/>
          <w:b/>
          <w:bCs/>
          <w:color w:val="auto"/>
          <w:sz w:val="44"/>
          <w:szCs w:val="44"/>
          <w:highlight w:val="none"/>
        </w:rPr>
      </w:pPr>
      <w:r>
        <w:rPr>
          <w:rFonts w:eastAsiaTheme="minorEastAsia"/>
          <w:b/>
          <w:bCs/>
          <w:color w:val="auto"/>
          <w:sz w:val="44"/>
          <w:szCs w:val="44"/>
          <w:highlight w:val="none"/>
        </w:rPr>
      </w:r>
      <w:r/>
    </w:p>
    <w:p>
      <w:pPr>
        <w:jc w:val="center"/>
        <w:spacing w:line="360" w:lineRule="auto"/>
        <w:rPr>
          <w:rFonts w:eastAsiaTheme="minorEastAsia"/>
          <w:b/>
          <w:bCs/>
          <w:color w:val="auto"/>
          <w:sz w:val="44"/>
          <w:szCs w:val="44"/>
          <w:highlight w:val="none"/>
        </w:rPr>
      </w:pPr>
      <w:r>
        <w:rPr>
          <w:rFonts w:eastAsiaTheme="minorEastAsia"/>
          <w:b/>
          <w:bCs/>
          <w:color w:val="auto"/>
          <w:sz w:val="44"/>
          <w:szCs w:val="44"/>
          <w:highlight w:val="none"/>
        </w:rPr>
      </w:r>
      <w:r/>
    </w:p>
    <w:p>
      <w:pPr>
        <w:jc w:val="center"/>
        <w:spacing w:line="360" w:lineRule="auto"/>
        <w:rPr>
          <w:rFonts w:eastAsiaTheme="minorEastAsia"/>
          <w:b/>
          <w:bCs/>
          <w:color w:val="auto"/>
          <w:sz w:val="44"/>
          <w:szCs w:val="44"/>
          <w:highlight w:val="none"/>
        </w:rPr>
      </w:pPr>
      <w:r>
        <w:rPr>
          <w:rFonts w:eastAsiaTheme="minorEastAsia"/>
          <w:b/>
          <w:bCs/>
          <w:color w:val="auto"/>
          <w:sz w:val="44"/>
          <w:szCs w:val="44"/>
          <w:highlight w:val="none"/>
        </w:rPr>
        <w:t xml:space="preserve">目录</w:t>
      </w:r>
      <w:r/>
    </w:p>
    <w:sdt>
      <w:sdtPr>
        <w15:appearance w15:val="boundingBox"/>
        <w:id w:val="147463377"/>
        <w:docPartObj>
          <w:docPartGallery w:val="Table of Contents"/>
          <w:docPartUnique w:val="true"/>
        </w:docPartObj>
        <w:rPr>
          <w:rFonts w:ascii="宋体" w:hAnsi="宋体" w:eastAsia="宋体"/>
          <w:color w:val="auto"/>
          <w:sz w:val="21"/>
          <w:szCs w:val="22"/>
          <w:highlight w:val="none"/>
        </w:rPr>
      </w:sdtPr>
      <w:sdtContent>
        <w:p>
          <w:pPr>
            <w:pStyle w:val="875"/>
            <w:jc w:val="center"/>
            <w:spacing w:line="360" w:lineRule="auto"/>
            <w:tabs>
              <w:tab w:val="right" w:pos="8306" w:leader="dot"/>
            </w:tabs>
            <w:rPr>
              <w:color w:val="auto"/>
              <w:highlight w:val="none"/>
            </w:rPr>
          </w:pPr>
          <w:r>
            <w:rPr>
              <w:rFonts w:eastAsiaTheme="minorEastAsia"/>
              <w:color w:val="auto"/>
              <w:sz w:val="32"/>
              <w:szCs w:val="32"/>
              <w:highlight w:val="none"/>
            </w:rPr>
            <w:fldChar w:fldCharType="begin"/>
          </w:r>
          <w:r>
            <w:rPr>
              <w:rFonts w:eastAsiaTheme="minorEastAsia"/>
              <w:color w:val="auto"/>
              <w:sz w:val="32"/>
              <w:szCs w:val="32"/>
              <w:highlight w:val="none"/>
            </w:rPr>
            <w:instrText xml:space="preserve">TOC \o "1-1" \h \u </w:instrText>
          </w:r>
          <w:r>
            <w:rPr>
              <w:rFonts w:eastAsiaTheme="minorEastAsia"/>
              <w:color w:val="auto"/>
              <w:sz w:val="32"/>
              <w:szCs w:val="32"/>
              <w:highlight w:val="none"/>
            </w:rPr>
            <w:fldChar w:fldCharType="separate"/>
          </w:r>
          <w:r>
            <w:rPr>
              <w:color w:val="auto"/>
              <w:highlight w:val="none"/>
            </w:rPr>
            <w:fldChar w:fldCharType="begin"/>
          </w:r>
          <w:r>
            <w:rPr>
              <w:color w:val="auto"/>
              <w:highlight w:val="none"/>
            </w:rPr>
            <w:instrText xml:space="preserve"> HYPERLINK \l "_Toc30021" </w:instrText>
          </w:r>
          <w:r>
            <w:rPr>
              <w:color w:val="auto"/>
              <w:highlight w:val="none"/>
            </w:rPr>
            <w:fldChar w:fldCharType="separate"/>
          </w:r>
          <w:r>
            <w:rPr>
              <w:rFonts w:hint="eastAsia" w:eastAsiaTheme="minorEastAsia"/>
              <w:bCs/>
              <w:color w:val="auto"/>
              <w:szCs w:val="44"/>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_Toc30021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75"/>
            <w:jc w:val="center"/>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"_Toc4375" </w:instrText>
          </w:r>
          <w:r>
            <w:rPr>
              <w:color w:val="auto"/>
              <w:highlight w:val="none"/>
            </w:rPr>
            <w:fldChar w:fldCharType="separate"/>
          </w:r>
          <w:r>
            <w:rPr>
              <w:rFonts w:hint="eastAsia" w:eastAsiaTheme="minorEastAsia"/>
              <w:bCs/>
              <w:color w:val="auto"/>
              <w:szCs w:val="44"/>
              <w:highlight w:val="none"/>
            </w:rPr>
            <w:t xml:space="preserve">第二章 </w:t>
          </w:r>
          <w:r>
            <w:rPr>
              <w:rFonts w:eastAsiaTheme="minorEastAsia"/>
              <w:bCs/>
              <w:color w:val="auto"/>
              <w:szCs w:val="44"/>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_Toc4375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875"/>
            <w:jc w:val="center"/>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"_Toc6422" </w:instrText>
          </w:r>
          <w:r>
            <w:rPr>
              <w:color w:val="auto"/>
              <w:highlight w:val="none"/>
            </w:rPr>
            <w:fldChar w:fldCharType="separate"/>
          </w:r>
          <w:r>
            <w:rPr>
              <w:rFonts w:eastAsiaTheme="minorEastAsia"/>
              <w:bCs/>
              <w:color w:val="auto"/>
              <w:szCs w:val="44"/>
              <w:highlight w:val="none"/>
            </w:rPr>
            <w:t xml:space="preserve">第三章</w:t>
          </w:r>
          <w:r>
            <w:rPr>
              <w:rFonts w:hint="eastAsia" w:eastAsiaTheme="minorEastAsia"/>
              <w:bCs/>
              <w:color w:val="auto"/>
              <w:szCs w:val="44"/>
              <w:highlight w:val="none"/>
            </w:rPr>
            <w:t xml:space="preserve"> </w:t>
          </w:r>
          <w:r>
            <w:rPr>
              <w:rFonts w:eastAsiaTheme="minorEastAsia"/>
              <w:bCs/>
              <w:color w:val="auto"/>
              <w:szCs w:val="44"/>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_Toc6422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75"/>
            <w:jc w:val="center"/>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"_Toc22762" </w:instrText>
          </w:r>
          <w:r>
            <w:rPr>
              <w:color w:val="auto"/>
              <w:highlight w:val="none"/>
            </w:rPr>
            <w:fldChar w:fldCharType="separate"/>
          </w:r>
          <w:r>
            <w:rPr>
              <w:rFonts w:eastAsiaTheme="minorEastAsia"/>
              <w:bCs/>
              <w:color w:val="auto"/>
              <w:szCs w:val="44"/>
              <w:highlight w:val="none"/>
            </w:rPr>
            <w:t xml:space="preserve">第四章</w:t>
          </w:r>
          <w:r>
            <w:rPr>
              <w:rFonts w:hint="eastAsia" w:eastAsiaTheme="minorEastAsia"/>
              <w:bCs/>
              <w:color w:val="auto"/>
              <w:szCs w:val="44"/>
              <w:highlight w:val="none"/>
            </w:rPr>
            <w:t xml:space="preserve"> </w:t>
          </w:r>
          <w:r>
            <w:rPr>
              <w:rFonts w:eastAsiaTheme="minorEastAsia"/>
              <w:bCs/>
              <w:color w:val="auto"/>
              <w:szCs w:val="44"/>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_Toc22762 \h </w:instrText>
          </w:r>
          <w:r>
            <w:rPr>
              <w:color w:val="auto"/>
              <w:highlight w:val="none"/>
            </w:rPr>
            <w:fldChar w:fldCharType="separate"/>
          </w:r>
          <w:r>
            <w:rPr>
              <w:color w:val="auto"/>
              <w:highlight w:val="none"/>
            </w:rPr>
            <w:t xml:space="preserve">39</w:t>
          </w:r>
          <w:r>
            <w:rPr>
              <w:color w:val="auto"/>
              <w:highlight w:val="none"/>
            </w:rPr>
            <w:fldChar w:fldCharType="end"/>
          </w:r>
          <w:r>
            <w:rPr>
              <w:color w:val="auto"/>
              <w:highlight w:val="none"/>
            </w:rPr>
            <w:fldChar w:fldCharType="end"/>
          </w:r>
          <w:r/>
        </w:p>
        <w:p>
          <w:pPr>
            <w:pStyle w:val="875"/>
            <w:jc w:val="center"/>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"_Toc4969" </w:instrText>
          </w:r>
          <w:r>
            <w:rPr>
              <w:color w:val="auto"/>
              <w:highlight w:val="none"/>
            </w:rPr>
            <w:fldChar w:fldCharType="separate"/>
          </w:r>
          <w:r>
            <w:rPr>
              <w:rFonts w:eastAsiaTheme="minorEastAsia"/>
              <w:bCs/>
              <w:color w:val="auto"/>
              <w:szCs w:val="44"/>
              <w:highlight w:val="none"/>
            </w:rPr>
            <w:t xml:space="preserve">第五章</w:t>
          </w:r>
          <w:r>
            <w:rPr>
              <w:rFonts w:hint="eastAsia" w:eastAsiaTheme="minorEastAsia"/>
              <w:bCs/>
              <w:color w:val="auto"/>
              <w:szCs w:val="44"/>
              <w:highlight w:val="none"/>
            </w:rPr>
            <w:t xml:space="preserve"> </w:t>
          </w:r>
          <w:r>
            <w:rPr>
              <w:rFonts w:eastAsiaTheme="minorEastAsia"/>
              <w:bCs/>
              <w:color w:val="auto"/>
              <w:szCs w:val="44"/>
              <w:highlight w:val="none"/>
            </w:rPr>
            <w:t xml:space="preserve">合同文本</w:t>
          </w:r>
          <w:r>
            <w:rPr>
              <w:color w:val="auto"/>
              <w:highlight w:val="none"/>
            </w:rPr>
            <w:tab/>
          </w:r>
          <w:r>
            <w:rPr>
              <w:color w:val="auto"/>
              <w:highlight w:val="none"/>
            </w:rPr>
            <w:fldChar w:fldCharType="begin"/>
          </w:r>
          <w:r>
            <w:rPr>
              <w:color w:val="auto"/>
              <w:highlight w:val="none"/>
            </w:rPr>
            <w:instrText xml:space="preserve"> PAGEREF _Toc4969 \h </w:instrText>
          </w:r>
          <w:r>
            <w:rPr>
              <w:color w:val="auto"/>
              <w:highlight w:val="none"/>
            </w:rPr>
            <w:fldChar w:fldCharType="separate"/>
          </w:r>
          <w:r>
            <w:rPr>
              <w:color w:val="auto"/>
              <w:highlight w:val="none"/>
            </w:rPr>
            <w:t xml:space="preserve">51</w:t>
          </w:r>
          <w:r>
            <w:rPr>
              <w:color w:val="auto"/>
              <w:highlight w:val="none"/>
            </w:rPr>
            <w:fldChar w:fldCharType="end"/>
          </w:r>
          <w:r>
            <w:rPr>
              <w:color w:val="auto"/>
              <w:highlight w:val="none"/>
            </w:rPr>
            <w:fldChar w:fldCharType="end"/>
          </w:r>
          <w:r/>
        </w:p>
        <w:p>
          <w:pPr>
            <w:pStyle w:val="875"/>
            <w:jc w:val="center"/>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"_Toc12714" </w:instrText>
          </w:r>
          <w:r>
            <w:rPr>
              <w:color w:val="auto"/>
              <w:highlight w:val="none"/>
            </w:rPr>
            <w:fldChar w:fldCharType="separate"/>
          </w:r>
          <w:r>
            <w:rPr>
              <w:rFonts w:eastAsiaTheme="minorEastAsia"/>
              <w:bCs/>
              <w:color w:val="auto"/>
              <w:szCs w:val="44"/>
              <w:highlight w:val="none"/>
            </w:rPr>
            <w:t xml:space="preserve">第六章</w:t>
          </w:r>
          <w:r>
            <w:rPr>
              <w:rFonts w:hint="eastAsia" w:eastAsiaTheme="minorEastAsia"/>
              <w:bCs/>
              <w:color w:val="auto"/>
              <w:szCs w:val="44"/>
              <w:highlight w:val="none"/>
            </w:rPr>
            <w:t xml:space="preserve"> </w:t>
          </w:r>
          <w:r>
            <w:rPr>
              <w:rFonts w:eastAsiaTheme="minorEastAsia"/>
              <w:bCs/>
              <w:color w:val="auto"/>
              <w:szCs w:val="44"/>
              <w:highlight w:val="none"/>
            </w:rPr>
            <w:t xml:space="preserve">评标办法及评分标准</w:t>
          </w:r>
          <w:r>
            <w:rPr>
              <w:color w:val="auto"/>
              <w:highlight w:val="none"/>
            </w:rPr>
            <w:tab/>
          </w:r>
          <w:r>
            <w:rPr>
              <w:color w:val="auto"/>
              <w:highlight w:val="none"/>
            </w:rPr>
            <w:fldChar w:fldCharType="begin"/>
          </w:r>
          <w:r>
            <w:rPr>
              <w:color w:val="auto"/>
              <w:highlight w:val="none"/>
            </w:rPr>
            <w:instrText xml:space="preserve"> PAGEREF _Toc12714 \h </w:instrText>
          </w:r>
          <w:r>
            <w:rPr>
              <w:color w:val="auto"/>
              <w:highlight w:val="none"/>
            </w:rPr>
            <w:fldChar w:fldCharType="separate"/>
          </w:r>
          <w:r>
            <w:rPr>
              <w:color w:val="auto"/>
              <w:highlight w:val="none"/>
            </w:rPr>
            <w:t xml:space="preserve">64</w:t>
          </w:r>
          <w:r>
            <w:rPr>
              <w:color w:val="auto"/>
              <w:highlight w:val="none"/>
            </w:rPr>
            <w:fldChar w:fldCharType="end"/>
          </w:r>
          <w:r>
            <w:rPr>
              <w:color w:val="auto"/>
              <w:highlight w:val="none"/>
            </w:rPr>
            <w:fldChar w:fldCharType="end"/>
          </w:r>
          <w:r/>
        </w:p>
        <w:p>
          <w:pPr>
            <w:ind w:firstLine="640"/>
            <w:jc w:val="center"/>
            <w:spacing w:line="360" w:lineRule="auto"/>
            <w:rPr>
              <w:rFonts w:eastAsiaTheme="minorEastAsia"/>
              <w:color w:val="auto"/>
              <w:szCs w:val="32"/>
              <w:highlight w:val="none"/>
            </w:rPr>
          </w:pPr>
          <w:r>
            <w:rPr>
              <w:rFonts w:eastAsiaTheme="minorEastAsia"/>
              <w:color w:val="auto"/>
              <w:szCs w:val="32"/>
              <w:highlight w:val="none"/>
            </w:rPr>
            <w:fldChar w:fldCharType="end"/>
          </w:r>
          <w:r/>
        </w:p>
      </w:sdtContent>
    </w:sdt>
    <w:p>
      <w:pPr>
        <w:pStyle w:val="906"/>
        <w:rPr>
          <w:color w:val="auto"/>
          <w:highlight w:val="none"/>
        </w:rPr>
      </w:pPr>
      <w:r>
        <w:rPr>
          <w:color w:val="auto"/>
          <w:highlight w:val="none"/>
        </w:rPr>
      </w:r>
      <w:r/>
    </w:p>
    <w:p>
      <w:pPr>
        <w:ind w:left="850"/>
        <w:jc w:val="center"/>
        <w:spacing w:line="360" w:lineRule="auto"/>
        <w:rPr>
          <w:rFonts w:eastAsiaTheme="minorEastAsia"/>
          <w:bCs/>
          <w:color w:val="auto"/>
          <w:sz w:val="44"/>
          <w:szCs w:val="44"/>
          <w:highlight w:val="none"/>
        </w:rPr>
        <w:outlineLvl w:val="0"/>
      </w:pPr>
      <w:r>
        <w:rPr>
          <w:rFonts w:eastAsiaTheme="minorEastAsia"/>
          <w:bCs/>
          <w:color w:val="auto"/>
          <w:spacing w:val="20"/>
          <w:sz w:val="32"/>
          <w:szCs w:val="32"/>
          <w:highlight w:val="none"/>
        </w:rPr>
        <w:br w:type="page" w:clear="all"/>
      </w:r>
      <w:bookmarkStart w:id="3" w:name="_Toc30021"/>
      <w:r>
        <w:rPr>
          <w:rFonts w:hint="eastAsia" w:eastAsiaTheme="minorEastAsia"/>
          <w:bCs/>
          <w:color w:val="auto"/>
          <w:sz w:val="44"/>
          <w:szCs w:val="44"/>
          <w:highlight w:val="none"/>
        </w:rPr>
        <w:t xml:space="preserve">第一章 招标公告</w:t>
      </w:r>
      <w:bookmarkEnd w:id="3"/>
      <w:r/>
      <w:r/>
    </w:p>
    <w:tbl>
      <w:tblPr>
        <w:tblStyle w:val="849"/>
        <w:tblpPr w:horzAnchor="page" w:tblpX="1382" w:vertAnchor="text" w:tblpY="45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项目概况：</w:t>
            </w:r>
            <w:r/>
          </w:p>
          <w:p>
            <w:pPr>
              <w:ind w:left="105" w:firstLine="315"/>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2026年污染源在线监控质量管理及生物多样性站点运维</w:t>
            </w:r>
            <w:r>
              <w:rPr>
                <w:rFonts w:hint="eastAsia" w:asciiTheme="minorEastAsia" w:hAnsiTheme="minorEastAsia" w:eastAsiaTheme="minorEastAsia" w:cstheme="minorEastAsia"/>
                <w:color w:val="auto"/>
                <w:szCs w:val="21"/>
                <w:highlight w:val="none"/>
              </w:rPr>
              <w:t xml:space="preserve">的潜在投标人应在</w:t>
            </w:r>
            <w:r>
              <w:rPr>
                <w:rFonts w:hint="eastAsia" w:asciiTheme="minorEastAsia" w:hAnsiTheme="minorEastAsia" w:eastAsiaTheme="minorEastAsia" w:cstheme="minorEastAsia"/>
                <w:color w:val="auto"/>
                <w:highlight w:val="none"/>
              </w:rPr>
              <w:t xml:space="preserve">江苏省政府采购一体化平台“苏采云”系统自行免费下载</w:t>
            </w:r>
            <w:r>
              <w:rPr>
                <w:rFonts w:hint="eastAsia" w:asciiTheme="minorEastAsia" w:hAnsiTheme="minorEastAsia" w:eastAsiaTheme="minorEastAsia" w:cstheme="minorEastAsia"/>
                <w:color w:val="auto"/>
                <w:szCs w:val="21"/>
                <w:highlight w:val="none"/>
              </w:rPr>
              <w:t xml:space="preserve">招标文件，并于</w:t>
            </w:r>
            <w:r>
              <w:rPr>
                <w:rFonts w:hint="eastAsia" w:ascii="宋体" w:hAnsi="宋体" w:cs="宋体" w:eastAsiaTheme="minorEastAsia"/>
                <w:color w:val="auto"/>
                <w:szCs w:val="21"/>
                <w:highlight w:val="none"/>
                <w:u w:val="single"/>
              </w:rPr>
              <w:t xml:space="preserve">2026年6月15日13:30</w:t>
            </w:r>
            <w:r>
              <w:rPr>
                <w:rFonts w:hint="eastAsia" w:asciiTheme="minorEastAsia" w:hAnsiTheme="minorEastAsia" w:eastAsiaTheme="minorEastAsia" w:cstheme="minorEastAsia"/>
                <w:color w:val="auto"/>
                <w:szCs w:val="21"/>
                <w:highlight w:val="none"/>
              </w:rPr>
              <w:t xml:space="preserve">（北京时间）前递交投标文件。</w:t>
            </w:r>
            <w:r/>
          </w:p>
        </w:tc>
      </w:tr>
    </w:tbl>
    <w:p>
      <w:pPr>
        <w:pStyle w:val="859"/>
        <w:ind w:left="602"/>
        <w:jc w:val="center"/>
        <w:spacing w:line="360" w:lineRule="auto"/>
        <w:rPr>
          <w:rFonts w:eastAsiaTheme="minorEastAsia"/>
          <w:bCs/>
          <w:color w:val="auto"/>
          <w:sz w:val="21"/>
          <w:szCs w:val="21"/>
          <w:highlight w:val="none"/>
        </w:rPr>
      </w:pPr>
      <w:r>
        <w:rPr>
          <w:rFonts w:eastAsiaTheme="minorEastAsia"/>
          <w:bCs/>
          <w:color w:val="auto"/>
          <w:sz w:val="21"/>
          <w:szCs w:val="21"/>
          <w:highlight w:val="none"/>
        </w:rPr>
      </w:r>
      <w:r/>
    </w:p>
    <w:p>
      <w:pPr>
        <w:jc w:val="left"/>
        <w:spacing w:line="360" w:lineRule="auto"/>
        <w:widowControl/>
        <w:rPr>
          <w:rFonts w:asciiTheme="minorEastAsia" w:hAnsiTheme="minorEastAsia" w:eastAsiaTheme="minorEastAsia" w:cstheme="minorEastAsia"/>
          <w:b/>
          <w:color w:val="auto"/>
          <w:szCs w:val="21"/>
          <w:highlight w:val="none"/>
        </w:rPr>
      </w:pPr>
      <w:r/>
      <w:bookmarkStart w:id="4" w:name="OLE_LINK3"/>
      <w:r>
        <w:rPr>
          <w:rFonts w:hint="eastAsia" w:asciiTheme="minorEastAsia" w:hAnsiTheme="minorEastAsia" w:eastAsiaTheme="minorEastAsia" w:cstheme="minorEastAsia"/>
          <w:b/>
          <w:color w:val="auto"/>
          <w:szCs w:val="21"/>
          <w:highlight w:val="none"/>
        </w:rPr>
        <w:t xml:space="preserve">一、项目基本情况</w:t>
      </w:r>
      <w:r/>
    </w:p>
    <w:p>
      <w:pPr>
        <w:ind w:firstLine="420"/>
        <w:spacing w:line="360" w:lineRule="auto"/>
        <w:rPr>
          <w:rFonts w:ascii="宋体" w:hAnsi="宋体" w:cs="宋体" w:eastAsia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项目编号：</w:t>
      </w:r>
      <w:r>
        <w:rPr>
          <w:rFonts w:hint="eastAsia" w:ascii="宋体" w:hAnsi="宋体" w:cs="宋体" w:eastAsiaTheme="minorEastAsia"/>
          <w:color w:val="auto"/>
          <w:szCs w:val="21"/>
          <w:highlight w:val="none"/>
        </w:rPr>
        <w:t xml:space="preserve">JSZC-320507-YLCG-G2026-0001</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bookmarkStart w:id="5" w:name="OLE_LINK12"/>
      <w:r>
        <w:rPr>
          <w:rFonts w:hint="eastAsia" w:asciiTheme="minorEastAsia" w:hAnsiTheme="minorEastAsia" w:eastAsiaTheme="minorEastAsia" w:cstheme="minorEastAsia"/>
          <w:color w:val="auto"/>
          <w:szCs w:val="21"/>
          <w:highlight w:val="none"/>
          <w:lang w:bidi="ar"/>
        </w:rPr>
        <w:t xml:space="preserve">2026年污染源在线监控质量管理及生物多样性站点运维</w:t>
      </w:r>
      <w:bookmarkEnd w:id="5"/>
      <w:r/>
      <w:r/>
    </w:p>
    <w:p>
      <w:pPr>
        <w:ind w:firstLine="420"/>
        <w:spacing w:line="360" w:lineRule="auto"/>
        <w:rPr>
          <w:rFonts w:asciiTheme="minorEastAsia" w:hAnsiTheme="minorEastAsia" w:eastAsiaTheme="minorEastAsia" w:cstheme="minorEastAsia"/>
          <w:color w:val="auto"/>
          <w:szCs w:val="21"/>
          <w:highlight w:val="none"/>
        </w:rPr>
      </w:pPr>
      <w:r/>
      <w:bookmarkStart w:id="6" w:name="OLE_LINK20"/>
      <w:r/>
      <w:bookmarkStart w:id="7" w:name="OLE_LINK24"/>
      <w:r>
        <w:rPr>
          <w:rFonts w:hint="eastAsia" w:asciiTheme="minorEastAsia" w:hAnsiTheme="minorEastAsia" w:eastAsiaTheme="minorEastAsia" w:cstheme="minorEastAsia"/>
          <w:color w:val="auto"/>
          <w:szCs w:val="21"/>
          <w:highlight w:val="none"/>
        </w:rPr>
        <w:t xml:space="preserve">预算金额：人民币贰佰贰拾万元整（￥2200000.00），其中</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一标段：污染源在线监控质量管理，采购预算：人民币壹佰柒拾万元整（￥1700000.00）</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二标段：生物多样性站点运维，采购预算：人民币伍拾万元整（￥500000.00）</w:t>
      </w:r>
      <w:bookmarkEnd w:id="6"/>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采购需求：</w:t>
      </w:r>
      <w:r/>
    </w:p>
    <w:p>
      <w:pPr>
        <w:ind w:firstLine="420"/>
        <w:jc w:val="left"/>
        <w:spacing w:line="360" w:lineRule="auto"/>
        <w:rPr>
          <w:rFonts w:asciiTheme="minorEastAsia" w:hAnsiTheme="minorEastAsia" w:eastAsiaTheme="minorEastAsia" w:cstheme="minorEastAsia"/>
          <w:color w:val="auto"/>
          <w:szCs w:val="21"/>
          <w:highlight w:val="none"/>
        </w:rPr>
      </w:pPr>
      <w:r/>
      <w:bookmarkStart w:id="8" w:name="OLE_LINK14"/>
      <w:r>
        <w:rPr>
          <w:rFonts w:hint="eastAsia" w:asciiTheme="minorEastAsia" w:hAnsiTheme="minorEastAsia" w:eastAsiaTheme="minorEastAsia" w:cstheme="minorEastAsia"/>
          <w:color w:val="auto"/>
          <w:szCs w:val="21"/>
          <w:highlight w:val="none"/>
        </w:rPr>
        <w:t xml:space="preserve">一标段：</w:t>
      </w:r>
      <w:bookmarkEnd w:id="8"/>
      <w:r>
        <w:rPr>
          <w:rFonts w:hint="eastAsia" w:asciiTheme="minorEastAsia" w:hAnsiTheme="minorEastAsia" w:eastAsiaTheme="minorEastAsia" w:cstheme="minorEastAsia"/>
          <w:color w:val="auto"/>
          <w:szCs w:val="21"/>
          <w:highlight w:val="none"/>
        </w:rPr>
        <w:t xml:space="preserve">根据《江苏省污染源自动监测监控管理办法》、《2025 年全市生态环境监测方案》，对相城区污染源在线监控点位，包括废水、废气点位、用电监控、视频监控点位开展平台巡查、应急监理、AI非现场技术研判服务、自动监控比对等各项污染源在线监控管理工作，辅助开展污染源在线监测设备运维服务质量等级评价，对污染源在线监控安装和运维质量开展检查和评价。 具体详见采购文件采购需求。</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二标段：根据国家《关于进一步加强生物多样性保护的意见》、《中国生物多样性</w:t>
      </w:r>
      <w:bookmarkStart w:id="73" w:name="_GoBack"/>
      <w:r/>
      <w:bookmarkEnd w:id="73"/>
      <w:r>
        <w:rPr>
          <w:rFonts w:hint="eastAsia" w:asciiTheme="minorEastAsia" w:hAnsiTheme="minorEastAsia" w:eastAsiaTheme="minorEastAsia" w:cstheme="minorEastAsia"/>
          <w:color w:val="auto"/>
          <w:szCs w:val="21"/>
          <w:highlight w:val="none"/>
        </w:rPr>
        <w:t xml:space="preserve">保护战略与行动计划(2023-2030年)》《关于进一步加强生物多样性保护的实施意见》(苏办发[2022]18号)等文件，计划购买2026年度生物多样性站点运维服务，包括站点维护、系统维护、日常观测及科普实践，定期形成运维报告和观测报告等。具体详见采购文件采购需求。</w:t>
      </w:r>
      <w:r/>
    </w:p>
    <w:p>
      <w:pPr>
        <w:ind w:firstLine="420"/>
        <w:spacing w:line="360" w:lineRule="auto"/>
        <w:rPr>
          <w:rFonts w:ascii="宋体" w:hAnsi="宋体" w:cs="宋体"/>
          <w:color w:val="auto"/>
          <w:szCs w:val="21"/>
          <w:highlight w:val="none"/>
        </w:rPr>
      </w:pPr>
      <w:r>
        <w:rPr>
          <w:rFonts w:hint="eastAsia" w:asciiTheme="minorEastAsia" w:hAnsiTheme="minorEastAsia" w:eastAsiaTheme="minorEastAsia" w:cstheme="minorEastAsia"/>
          <w:color w:val="auto"/>
          <w:szCs w:val="21"/>
          <w:highlight w:val="none"/>
        </w:rPr>
        <w:t xml:space="preserve">合同履行期限：第一标段：</w:t>
      </w:r>
      <w:r>
        <w:rPr>
          <w:rFonts w:hint="eastAsia" w:ascii="宋体" w:hAnsi="宋体" w:cs="宋体"/>
          <w:color w:val="auto"/>
          <w:szCs w:val="21"/>
          <w:highlight w:val="none"/>
        </w:rPr>
        <w:t xml:space="preserve">2026年6月30日至2027年6月29日；</w:t>
      </w:r>
      <w:bookmarkEnd w:id="7"/>
      <w:r>
        <w:rPr>
          <w:rFonts w:hint="eastAsia" w:ascii="宋体" w:hAnsi="宋体" w:cs="宋体"/>
          <w:color w:val="auto"/>
          <w:szCs w:val="21"/>
          <w:highlight w:val="none"/>
        </w:rPr>
        <w:t xml:space="preserve">第二标段：2026年11月2日至2027年11月1日。</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本项目不接受联合体投标。</w:t>
      </w:r>
      <w:bookmarkEnd w:id="4"/>
      <w:r/>
      <w:r/>
    </w:p>
    <w:p>
      <w:pPr>
        <w:jc w:val="left"/>
        <w:spacing w:line="360" w:lineRule="auto"/>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二、申请人的资格要求：</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1.满足《中华人民共和国政府采购法》第二十二条规定：</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（1）具有独立承担民事责任的能力；</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（2）具有良好的商业信誉和健全的财务会计制度；</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（3）具有履行合同所必需的设备和专业技术能力；</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（4）有依法缴纳税收和社会保障资金的良好记录；</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（5）参加政府采购活动前三年内，在经营活动中没有出现重大违法记录；</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（6）法律、行政法规规定的其他条件。</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2.落实政府采购政策需满足的资格要求：</w:t>
      </w:r>
      <w:r>
        <w:rPr>
          <w:rFonts w:hint="eastAsia" w:asciiTheme="minorEastAsia" w:hAnsiTheme="minorEastAsia" w:eastAsiaTheme="minorEastAsia" w:cstheme="minorEastAsia"/>
          <w:b/>
          <w:bCs/>
          <w:color w:val="auto"/>
          <w:szCs w:val="21"/>
          <w:highlight w:val="none"/>
        </w:rPr>
        <w:t xml:space="preserve">（1）本项目专门面向中小微企业，供应商应为中小微企业或监狱企业或残疾人福利性单位。</w:t>
      </w:r>
      <w:r>
        <w:rPr>
          <w:rFonts w:hint="eastAsia" w:asciiTheme="minorEastAsia" w:hAnsiTheme="minorEastAsia" w:eastAsiaTheme="minorEastAsia" w:cstheme="minorEastAsia"/>
          <w:color w:val="auto"/>
          <w:szCs w:val="21"/>
          <w:highlight w:val="none"/>
        </w:rPr>
        <w:t xml:space="preserve"> </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3.本项目的特定资格要求：</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（1）未被“信用中国”网站（www.creditchina.gov.cn）列入失信被执行人、重大税收违法案件当事人名单、政府采购严重失信行为记录名单。</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360" w:lineRule="auto"/>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Cs/>
          <w:color w:val="auto"/>
          <w:szCs w:val="21"/>
          <w:highlight w:val="none"/>
        </w:rPr>
        <w:t xml:space="preserve">（3）公益一类事业单位、使用事业编制且由财政拨款保障的群团组织，不作为政府购买服务的购买主体和承接主体。</w:t>
      </w:r>
      <w:r/>
    </w:p>
    <w:p>
      <w:pPr>
        <w:jc w:val="left"/>
        <w:spacing w:line="360" w:lineRule="auto"/>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三、获取招标文件</w:t>
      </w:r>
      <w:r/>
    </w:p>
    <w:p>
      <w:pPr>
        <w:ind w:firstLine="630"/>
        <w:jc w:val="left"/>
        <w:spacing w:line="360" w:lineRule="auto"/>
        <w:widowControl/>
        <w:rPr>
          <w:rFonts w:asciiTheme="minorEastAsia" w:hAnsiTheme="minorEastAsia" w:eastAsiaTheme="minorEastAsia" w:cstheme="minorEastAsia"/>
          <w:color w:val="auto"/>
          <w:szCs w:val="21"/>
          <w:highlight w:val="none"/>
        </w:rPr>
      </w:pPr>
      <w:r/>
      <w:bookmarkStart w:id="9" w:name="_Hlk159250121"/>
      <w:r>
        <w:rPr>
          <w:rFonts w:hint="eastAsia" w:asciiTheme="minorEastAsia" w:hAnsiTheme="minorEastAsia" w:eastAsiaTheme="minorEastAsia" w:cstheme="minorEastAsia"/>
          <w:color w:val="auto"/>
          <w:szCs w:val="21"/>
          <w:highlight w:val="none"/>
        </w:rPr>
        <w:t xml:space="preserve">时间：</w:t>
      </w:r>
      <w:r>
        <w:rPr>
          <w:rFonts w:hint="eastAsia" w:ascii="宋体" w:hAnsi="宋体" w:cs="宋体"/>
          <w:color w:val="auto"/>
          <w:szCs w:val="21"/>
          <w:highlight w:val="none"/>
        </w:rPr>
        <w:t xml:space="preserve">自公告发布之日起五个工作日</w:t>
      </w:r>
      <w:r>
        <w:rPr>
          <w:rFonts w:hint="eastAsia" w:asciiTheme="minorEastAsia" w:hAnsiTheme="minorEastAsia" w:eastAsiaTheme="minorEastAsia" w:cstheme="minorEastAsia"/>
          <w:color w:val="auto"/>
          <w:szCs w:val="21"/>
          <w:highlight w:val="none"/>
        </w:rPr>
        <w:t xml:space="preserve">。</w:t>
      </w:r>
      <w:r/>
    </w:p>
    <w:p>
      <w:pPr>
        <w:ind w:firstLine="63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地点：“苏采云”系统 （网址：http://jszfcg.jsczt.cn/） </w:t>
      </w:r>
      <w:r/>
    </w:p>
    <w:p>
      <w:pPr>
        <w:ind w:firstLine="63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方式：自行下载 </w:t>
      </w:r>
      <w:r/>
    </w:p>
    <w:p>
      <w:pPr>
        <w:ind w:firstLine="63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售价：0.00元 </w:t>
      </w:r>
      <w:r/>
    </w:p>
    <w:p>
      <w:pPr>
        <w:jc w:val="left"/>
        <w:spacing w:line="360" w:lineRule="auto"/>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四、响应文件提交 </w:t>
      </w:r>
      <w:r/>
    </w:p>
    <w:p>
      <w:pPr>
        <w:jc w:val="left"/>
        <w:spacing w:line="360" w:lineRule="auto"/>
        <w:widowControl/>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截止时间：2026年6月15日13:30（北京时间）</w:t>
      </w:r>
      <w:r/>
    </w:p>
    <w:p>
      <w:pPr>
        <w:jc w:val="left"/>
        <w:spacing w:line="360" w:lineRule="auto"/>
        <w:widowControl/>
        <w:rPr>
          <w:color w:val="auto"/>
          <w:highlight w:val="none"/>
        </w:rPr>
      </w:pPr>
      <w:r>
        <w:rPr>
          <w:rFonts w:hint="eastAsia" w:asciiTheme="minorEastAsia" w:hAnsiTheme="minorEastAsia" w:eastAsiaTheme="minorEastAsia" w:cstheme="minorEastAsia"/>
          <w:bCs/>
          <w:color w:val="auto"/>
          <w:szCs w:val="21"/>
          <w:highlight w:val="none"/>
        </w:rPr>
        <w:t xml:space="preserve">地点：“苏采云”系统（网址：http://jszfcg.jsczt.cn/），响应文件网上递交，不需要现场参加采购活动。</w:t>
      </w:r>
      <w:bookmarkEnd w:id="9"/>
      <w:r/>
      <w:r/>
    </w:p>
    <w:p>
      <w:pPr>
        <w:jc w:val="left"/>
        <w:spacing w:line="360" w:lineRule="auto"/>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五、公告期限</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自本公告发布之日起5个工作日。</w:t>
      </w:r>
      <w:r/>
    </w:p>
    <w:p>
      <w:pPr>
        <w:jc w:val="left"/>
        <w:spacing w:line="360" w:lineRule="auto"/>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六、其他补充事宜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1、报名方式（网上报名）：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（1）CA证书办理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电话：0512-65737699；地址：苏州市高新区邓蔚路105号狮山科技馆一楼服务大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系统使用指导与咨询：联系电话：18261002950；智能客服：登录苏采云系统后，联系系统右下方智能客服图标进行咨询。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color w:val="auto"/>
          <w:szCs w:val="21"/>
          <w:highlight w:val="none"/>
        </w:rPr>
        <w:t xml:space="preserve">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 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Cs w:val="21"/>
          <w:highlight w:val="none"/>
        </w:rPr>
        <w:t xml:space="preserve">本项目为不见面开标项目，开标阶段供应商在【供应商解密】环节必须使用 CA证书解密电子投标文件，如在系统规定的解密时间内未能完成解密的视为放弃投标。</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请供应商确保电脑、系统及其他设备（视频输入输出设备等）无误，且开标直至项目结束始终保持系统在线状态。</w:t>
      </w:r>
      <w:r>
        <w:rPr>
          <w:rFonts w:hint="eastAsia" w:ascii="宋体" w:hAnsi="宋体" w:cs="宋体"/>
          <w:bCs/>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4、本次采购的有关信息将刊登在中国政府采购网、江苏政府采购网、苏州市政府采购网</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ascii="宋体" w:hAnsi="宋体" w:cs="宋体"/>
          <w:color w:val="auto"/>
          <w:szCs w:val="21"/>
          <w:highlight w:val="none"/>
        </w:rPr>
        <w:t xml:space="preserve">，敬请留意！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5、政府采购监督电话：0512-67591005/67591006。 </w:t>
      </w:r>
      <w:r/>
    </w:p>
    <w:p>
      <w:pPr>
        <w:ind w:firstLine="420"/>
        <w:spacing w:line="360" w:lineRule="auto"/>
        <w:rPr>
          <w:rFonts w:asciiTheme="minorEastAsia" w:hAnsiTheme="minorEastAsia" w:eastAsiaTheme="minorEastAsia" w:cstheme="minorEastAsia"/>
          <w:b/>
          <w:color w:val="auto"/>
          <w:szCs w:val="21"/>
          <w:highlight w:val="none"/>
        </w:rPr>
      </w:pPr>
      <w:r>
        <w:rPr>
          <w:rFonts w:hint="eastAsia" w:ascii="宋体" w:hAnsi="宋体" w:cs="宋体"/>
          <w:color w:val="auto"/>
          <w:szCs w:val="21"/>
          <w:highlight w:val="none"/>
        </w:rPr>
        <w:t xml:space="preserve">6、本项目支持政府采购合同信用融资。</w:t>
      </w:r>
      <w:r/>
    </w:p>
    <w:p>
      <w:pPr>
        <w:jc w:val="left"/>
        <w:spacing w:line="360" w:lineRule="auto"/>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七、对本次招标提出询问，请按以下方式联系</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1、采购人信息</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名称：苏州市相城生态环境局</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地址：苏州市相城区阳澄湖东路8号 </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联系人：宋蕾 </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联系方式：0512-66151670</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2、采购代理机构信息</w:t>
      </w:r>
      <w:r/>
    </w:p>
    <w:p>
      <w:pPr>
        <w:pStyle w:val="859"/>
        <w:ind w:firstLine="420"/>
        <w:spacing w:line="360" w:lineRule="auto"/>
        <w:rPr>
          <w:rFonts w:eastAsiaTheme="minorEastAsia"/>
          <w:bCs/>
          <w:color w:val="auto"/>
          <w:sz w:val="21"/>
          <w:szCs w:val="21"/>
          <w:highlight w:val="none"/>
        </w:rPr>
      </w:pPr>
      <w:r>
        <w:rPr>
          <w:rFonts w:hint="eastAsia" w:eastAsiaTheme="minorEastAsia"/>
          <w:bCs/>
          <w:color w:val="auto"/>
          <w:sz w:val="21"/>
          <w:szCs w:val="21"/>
          <w:highlight w:val="none"/>
        </w:rPr>
        <w:t xml:space="preserve">名 称：永立工程咨询（江苏）有限公司</w:t>
      </w:r>
      <w:r/>
    </w:p>
    <w:p>
      <w:pPr>
        <w:pStyle w:val="859"/>
        <w:ind w:firstLine="420"/>
        <w:spacing w:line="360" w:lineRule="auto"/>
        <w:rPr>
          <w:rFonts w:eastAsiaTheme="minorEastAsia"/>
          <w:bCs/>
          <w:color w:val="auto"/>
          <w:sz w:val="21"/>
          <w:szCs w:val="21"/>
          <w:highlight w:val="none"/>
        </w:rPr>
      </w:pPr>
      <w:r>
        <w:rPr>
          <w:rFonts w:hint="eastAsia" w:eastAsiaTheme="minorEastAsia"/>
          <w:bCs/>
          <w:color w:val="auto"/>
          <w:sz w:val="21"/>
          <w:szCs w:val="21"/>
          <w:highlight w:val="none"/>
        </w:rPr>
        <w:t xml:space="preserve">地 址：苏州市吴中区澄湖路888号恒润国际广场B座219室 </w:t>
      </w:r>
      <w:r/>
    </w:p>
    <w:p>
      <w:pPr>
        <w:pStyle w:val="859"/>
        <w:ind w:firstLine="420"/>
        <w:spacing w:line="360" w:lineRule="auto"/>
        <w:rPr>
          <w:rFonts w:eastAsiaTheme="minorEastAsia"/>
          <w:bCs/>
          <w:color w:val="auto"/>
          <w:sz w:val="21"/>
          <w:szCs w:val="21"/>
          <w:highlight w:val="none"/>
        </w:rPr>
      </w:pPr>
      <w:r>
        <w:rPr>
          <w:rFonts w:hint="eastAsia" w:eastAsiaTheme="minorEastAsia"/>
          <w:bCs/>
          <w:color w:val="auto"/>
          <w:sz w:val="21"/>
          <w:szCs w:val="21"/>
          <w:highlight w:val="none"/>
        </w:rPr>
        <w:t xml:space="preserve">联系人：安磊         </w:t>
      </w:r>
      <w:r/>
    </w:p>
    <w:p>
      <w:pPr>
        <w:pStyle w:val="859"/>
        <w:ind w:firstLine="420"/>
        <w:spacing w:line="360" w:lineRule="auto"/>
        <w:rPr>
          <w:rFonts w:eastAsiaTheme="minorEastAsia"/>
          <w:bCs/>
          <w:color w:val="auto"/>
          <w:sz w:val="21"/>
          <w:szCs w:val="21"/>
          <w:highlight w:val="none"/>
        </w:rPr>
      </w:pPr>
      <w:r>
        <w:rPr>
          <w:rFonts w:hint="eastAsia" w:eastAsiaTheme="minorEastAsia"/>
          <w:bCs/>
          <w:color w:val="auto"/>
          <w:sz w:val="21"/>
          <w:szCs w:val="21"/>
          <w:highlight w:val="none"/>
        </w:rPr>
        <w:t xml:space="preserve">电　话：13862099132</w:t>
      </w:r>
      <w:r/>
    </w:p>
    <w:p>
      <w:pPr>
        <w:pStyle w:val="859"/>
        <w:ind w:firstLine="420"/>
        <w:spacing w:line="360" w:lineRule="auto"/>
        <w:rPr>
          <w:rFonts w:eastAsiaTheme="minorEastAsia"/>
          <w:bCs/>
          <w:color w:val="auto"/>
          <w:sz w:val="21"/>
          <w:szCs w:val="21"/>
          <w:highlight w:val="none"/>
        </w:rPr>
      </w:pPr>
      <w:r>
        <w:rPr>
          <w:rFonts w:eastAsiaTheme="minorEastAsia"/>
          <w:bCs/>
          <w:color w:val="auto"/>
          <w:sz w:val="21"/>
          <w:szCs w:val="21"/>
          <w:highlight w:val="none"/>
        </w:rPr>
      </w:r>
      <w:r/>
    </w:p>
    <w:p>
      <w:pPr>
        <w:pStyle w:val="859"/>
        <w:ind w:right="420"/>
        <w:jc w:val="right"/>
        <w:spacing w:line="360" w:lineRule="auto"/>
        <w:rPr>
          <w:rFonts w:eastAsiaTheme="minorEastAsia"/>
          <w:bCs/>
          <w:color w:val="auto"/>
          <w:sz w:val="21"/>
          <w:szCs w:val="21"/>
          <w:highlight w:val="none"/>
        </w:rPr>
      </w:pPr>
      <w:r>
        <w:rPr>
          <w:rFonts w:eastAsiaTheme="minorEastAsia"/>
          <w:bCs/>
          <w:color w:val="auto"/>
          <w:sz w:val="21"/>
          <w:szCs w:val="21"/>
          <w:highlight w:val="none"/>
        </w:rPr>
      </w:r>
      <w:r/>
    </w:p>
    <w:p>
      <w:pPr>
        <w:jc w:val="center"/>
        <w:spacing w:line="360" w:lineRule="auto"/>
        <w:rPr>
          <w:rFonts w:eastAsiaTheme="minorEastAsia"/>
          <w:bCs/>
          <w:color w:val="auto"/>
          <w:sz w:val="44"/>
          <w:szCs w:val="44"/>
          <w:highlight w:val="none"/>
        </w:rPr>
        <w:outlineLvl w:val="0"/>
      </w:pPr>
      <w:r>
        <w:rPr>
          <w:rFonts w:eastAsiaTheme="minorEastAsia"/>
          <w:color w:val="auto"/>
          <w:szCs w:val="21"/>
          <w:highlight w:val="none"/>
        </w:rPr>
        <w:br w:type="page" w:clear="all"/>
      </w:r>
      <w:bookmarkStart w:id="10" w:name="投标人须知"/>
      <w:r/>
      <w:bookmarkStart w:id="11" w:name="_Toc4375"/>
      <w:r>
        <w:rPr>
          <w:rFonts w:hint="eastAsia" w:eastAsiaTheme="minorEastAsia"/>
          <w:bCs/>
          <w:color w:val="auto"/>
          <w:sz w:val="44"/>
          <w:szCs w:val="44"/>
          <w:highlight w:val="none"/>
        </w:rPr>
        <w:t xml:space="preserve">第二章 </w:t>
      </w:r>
      <w:r>
        <w:rPr>
          <w:rFonts w:eastAsiaTheme="minorEastAsia"/>
          <w:bCs/>
          <w:color w:val="auto"/>
          <w:sz w:val="44"/>
          <w:szCs w:val="44"/>
          <w:highlight w:val="none"/>
        </w:rPr>
        <w:t xml:space="preserve">投标人须知</w:t>
      </w:r>
      <w:bookmarkEnd w:id="10"/>
      <w:r/>
      <w:bookmarkEnd w:id="11"/>
      <w:r/>
      <w:r/>
    </w:p>
    <w:p>
      <w:pPr>
        <w:pStyle w:val="850"/>
        <w:ind w:firstLine="422"/>
        <w:spacing w:line="360" w:lineRule="auto"/>
        <w:rPr>
          <w:rFonts w:asciiTheme="minorEastAsia" w:hAnsiTheme="minorEastAsia" w:eastAsiaTheme="minorEastAsia" w:cstheme="minorEastAsia"/>
          <w:b/>
          <w:color w:val="auto"/>
          <w:sz w:val="21"/>
          <w:szCs w:val="21"/>
          <w:highlight w:val="none"/>
        </w:rPr>
      </w:pPr>
      <w:r/>
      <w:bookmarkStart w:id="12" w:name="_Toc13437"/>
      <w:r/>
      <w:bookmarkStart w:id="13" w:name="_Toc20132"/>
      <w:r>
        <w:rPr>
          <w:rFonts w:hint="eastAsia" w:asciiTheme="minorEastAsia" w:hAnsiTheme="minorEastAsia" w:eastAsiaTheme="minorEastAsia" w:cstheme="minorEastAsia"/>
          <w:b/>
          <w:color w:val="auto"/>
          <w:sz w:val="21"/>
          <w:szCs w:val="21"/>
          <w:highlight w:val="none"/>
        </w:rPr>
        <w:t xml:space="preserve">一、说明和释义</w:t>
      </w:r>
      <w:bookmarkEnd w:id="12"/>
      <w:r/>
      <w:bookmarkEnd w:id="13"/>
      <w:r/>
      <w:r/>
    </w:p>
    <w:p>
      <w:pPr>
        <w:pStyle w:val="1170"/>
        <w:ind w:firstLine="422"/>
        <w:spacing w:line="360" w:lineRule="auto"/>
        <w:rPr>
          <w:rFonts w:asciiTheme="minorEastAsia" w:hAnsiTheme="minorEastAsia" w:eastAsiaTheme="minorEastAsia" w:cstheme="minorEastAsia"/>
          <w:b/>
          <w:color w:val="auto"/>
          <w:sz w:val="21"/>
          <w:szCs w:val="21"/>
          <w:highlight w:val="none"/>
        </w:rPr>
      </w:pPr>
      <w:r/>
      <w:bookmarkStart w:id="14" w:name="_Toc9408"/>
      <w:r>
        <w:rPr>
          <w:rFonts w:hint="eastAsia" w:asciiTheme="minorEastAsia" w:hAnsiTheme="minorEastAsia" w:eastAsiaTheme="minorEastAsia" w:cstheme="minorEastAsia"/>
          <w:b/>
          <w:color w:val="auto"/>
          <w:sz w:val="21"/>
          <w:szCs w:val="21"/>
          <w:highlight w:val="none"/>
        </w:rPr>
        <w:t xml:space="preserve">1.说明</w:t>
      </w:r>
      <w:bookmarkEnd w:id="14"/>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1.1本招标文件仅适用永立工程咨询（江苏）有限公司组织的招标活动。</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1.2本次招标活动及因本次招标产生的合同受中国法律制约和保护。</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1.3本招标文件的解释权属永立工程咨询（江苏）有限公司。</w:t>
      </w:r>
      <w:r/>
    </w:p>
    <w:p>
      <w:pPr>
        <w:pStyle w:val="1170"/>
        <w:ind w:firstLine="422"/>
        <w:spacing w:line="360" w:lineRule="auto"/>
        <w:rPr>
          <w:rFonts w:asciiTheme="minorEastAsia" w:hAnsiTheme="minorEastAsia" w:eastAsiaTheme="minorEastAsia" w:cstheme="minorEastAsia"/>
          <w:b/>
          <w:color w:val="auto"/>
          <w:sz w:val="21"/>
          <w:szCs w:val="21"/>
          <w:highlight w:val="none"/>
        </w:rPr>
      </w:pPr>
      <w:r/>
      <w:bookmarkStart w:id="15" w:name="_Toc27555"/>
      <w:r>
        <w:rPr>
          <w:rFonts w:hint="eastAsia" w:asciiTheme="minorEastAsia" w:hAnsiTheme="minorEastAsia" w:eastAsiaTheme="minorEastAsia" w:cstheme="minorEastAsia"/>
          <w:b/>
          <w:color w:val="auto"/>
          <w:sz w:val="21"/>
          <w:szCs w:val="21"/>
          <w:highlight w:val="none"/>
        </w:rPr>
        <w:t xml:space="preserve">2.词语释义</w:t>
      </w:r>
      <w:bookmarkEnd w:id="15"/>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2.1 采购人：指依法进行政府采购的国家机关、事业单位、团体组织。</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2.2采购代理机构：指依法接受采购人委托，从事货物、工程和服务等政府采购业务的采购代理机构。本项目的采购代理机构是永立工程咨询（江苏）有限公司。</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 投标人：指投标招标、参加投标竞争的法人、其他组织或自然人。</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 投标：投标人根据采购人或采购代理机构发布的招标文件，编制投标文件并按规定投标的行为。</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2.5合同：采供双方根据招标文件和中标的投标文件及中标通知书规定的内容签署的以书面形式所达成的协议，包括所有的附件、附录和构成协议的所有文件。</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2.6甲方（采购人）：指招标文件中载明的，依法进行政府采购的国家机关、事业单位、团体组织。</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2.7乙方（投标人）：合同中规定的向采购人提供货物和服务的法人或其他组织和自然人。</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2.8天：日历日。</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2.9时间：除特别说明，均指北京时间。</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2.10知识产权:指专利权、商标权、著作权等无形财产专有权的统称。</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2.11交货地点:合同中明确约定的乙方提交的货物和服务最终到达地点。</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2.12合同价款:根据合同规定,乙方在正确地履行合同义务后甲方应支付乙方的价款。</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2.14不可抗力：不能预见、不能避免并且不能克服的客观情况。</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2.15实质性投标：满足有关本次采购标的、数量、质量、价款或者报酬、履行期限、履行地点和方式、违约责任和解决争议方法等要求。</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2.16进口产品：指通过中国海关报关验放进入中国境内且产自境外的产品。</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2.17书面形式：指书面文字、合同书、信件和传真等可以有形地表现所载内容的形式。</w:t>
      </w:r>
      <w:bookmarkStart w:id="16" w:name="_Toc13350"/>
      <w:r/>
      <w:bookmarkStart w:id="17" w:name="_Toc14976"/>
      <w:r/>
      <w:r/>
    </w:p>
    <w:p>
      <w:pPr>
        <w:pStyle w:val="85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二、投标人</w:t>
      </w:r>
      <w:bookmarkEnd w:id="16"/>
      <w:r/>
      <w:bookmarkEnd w:id="17"/>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3.合格投标人的资格条件：详见招标公告</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4.投标人代表</w:t>
      </w:r>
      <w:r/>
    </w:p>
    <w:p>
      <w:pPr>
        <w:pStyle w:val="890"/>
        <w:ind w:left="0" w:firstLine="420"/>
        <w:spacing w:before="0" w:after="0"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5.投标费用</w:t>
      </w:r>
      <w:r/>
    </w:p>
    <w:p>
      <w:pPr>
        <w:pStyle w:val="890"/>
        <w:ind w:left="0" w:firstLine="420"/>
        <w:spacing w:before="0" w:after="0"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5.1无论投标过程中的做法和结果如何，投标人自行承担所有与参加投标有关的全部费用。</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6.联合投标及转包、分包</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6.1本项目不接受联合体投标。</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6.2本项目不接受转包、分包。</w:t>
      </w:r>
      <w:bookmarkStart w:id="18" w:name="_Toc31958"/>
      <w:r/>
      <w:bookmarkStart w:id="19" w:name="_Toc5764"/>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6.3本项目不接受进口产品。</w:t>
      </w:r>
      <w:r/>
    </w:p>
    <w:p>
      <w:pPr>
        <w:pStyle w:val="85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三、招标文件的说明</w:t>
      </w:r>
      <w:bookmarkEnd w:id="18"/>
      <w:r/>
      <w:bookmarkEnd w:id="19"/>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7.招标文件</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8.招标文件的澄清和修改</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8.4招标文件的澄清、修改、补充等内容均以苏州市政府采购网上发布的内容为准。</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9.勘察现场（不涉及此条的忽略）</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9.1根据自身投标需要，投标人可对有关现场和周围环境进行勘察，以获取编制投标文件和签署合同所需的信息。勘察现场所发生的费用由投标人自己承担。</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10.投标质疑</w:t>
      </w:r>
      <w:r/>
    </w:p>
    <w:p>
      <w:pPr>
        <w:pStyle w:val="850"/>
        <w:spacing w:line="360" w:lineRule="auto"/>
        <w:rPr>
          <w:rFonts w:asciiTheme="minorEastAsia" w:hAnsiTheme="minorEastAsia" w:eastAsiaTheme="minorEastAsia" w:cstheme="minorEastAsia"/>
          <w:bCs/>
          <w:color w:val="auto"/>
          <w:sz w:val="21"/>
          <w:szCs w:val="21"/>
          <w:highlight w:val="none"/>
        </w:rPr>
      </w:pPr>
      <w:r/>
      <w:bookmarkStart w:id="20" w:name="_Toc19463"/>
      <w:r/>
      <w:bookmarkStart w:id="21" w:name="_Toc16745"/>
      <w:r>
        <w:rPr>
          <w:rFonts w:hint="eastAsia" w:asciiTheme="minorEastAsia" w:hAnsiTheme="minorEastAsia" w:eastAsiaTheme="minorEastAsia" w:cstheme="minorEastAsia"/>
          <w:bCs/>
          <w:color w:val="auto"/>
          <w:sz w:val="21"/>
          <w:szCs w:val="21"/>
          <w:highlight w:val="none"/>
        </w:rPr>
        <w:t xml:space="preserve">10.1投标人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10.2本次招标文件要求投标人在法定质疑期内一次性提出针对同一采购程序环节的质疑，否则不予受理。</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10.3投标人提出质疑应当提交质疑函和必要的证明材料，质疑函应当包括下列内容：</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（1）投标人的姓名或者名称（以提供的营业执照副本扫描件为准）、地址、邮编、联系人及联系电话；</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（2）质疑项目的名称、编号；</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（3）具体、明确的质疑事项和与质疑事项相关的请求；</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（4）事实依据；</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（5）必要的法律依据；</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（6）提出质疑的日期。</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为自然人的，应当由本人签字；投标人为法人或者其他组织的，应当由法定代表人、主要负责人，或者其授权代表签字或者盖章，并加盖公章。投标人委托代理进行质疑的，其授权委托书上应当载明代理人的姓名或者名称、代理事项、具体权限、期限和相关事项。</w:t>
      </w:r>
      <w:r/>
    </w:p>
    <w:p>
      <w:pPr>
        <w:pStyle w:val="850"/>
        <w:ind w:firstLine="422"/>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投标人提交的质疑函必须按照《政府采购投标人质疑函范本》要求的格式和内容进行填写，质疑函范本下载网址详见链接：https://czju.suzhou.gov.cn/zfcg/html/content/20180305093615738.shtml。</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10.4根据《政府采购质疑和投诉办法》（财政部第94号令）第十一条规定，提出质疑的投标人应当是参与所质疑项目采购活动的投标人。因此凡是对招标文件提出质疑的投标人，必须是依法获取招标文件，请将合法获取招标文件的证明材料（即《投标投标人确认函》）与质疑函一起递交，否则不予受理。</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10.5接收质疑函的方式：书面形式（当场送达或邮寄方式）。</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质疑联系人：安磊 </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联系电话：13862099132</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现场递交地址:苏州市吴中区澄湖路888号恒润国际广场B座219室 。</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邮寄收取地址:苏州市吴中区澄湖路888号恒润国际广场B座219室 。</w:t>
      </w:r>
      <w:r/>
    </w:p>
    <w:p>
      <w:pPr>
        <w:pStyle w:val="85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四、投标文件说明</w:t>
      </w:r>
      <w:bookmarkEnd w:id="20"/>
      <w:r/>
      <w:bookmarkEnd w:id="21"/>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11.提示与要求</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11.1投标人应仔细阅读招标文件的所有内容，应当按照招标文件的要求编制投标文件，并保证所提供全部资料的真实性，以使其投标对招标文件作出实质性投标，否则，其投标可能被拒绝。</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11.2无论是否递交投标文件，投标人都应将招标文件及以后的所有通知、文件等视为保密文件。</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12.投标文件计量单位和使用文字</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12.1投标文件中所使用的计量单位，除招标文件中有特殊要求外，均应使用中华人民共和国法定计量单位。</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13. 知识产权</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tabs>
          <w:tab w:val="left" w:pos="567" w:leader="none"/>
        </w:tabs>
        <w:rPr>
          <w:rFonts w:asciiTheme="minorEastAsia" w:hAnsiTheme="minorEastAsia" w:eastAsiaTheme="minorEastAsia" w:cstheme="minorEastAsia"/>
          <w:b/>
          <w:color w:val="auto"/>
          <w:szCs w:val="21"/>
          <w:highlight w:val="none"/>
        </w:rPr>
        <w:outlineLvl w:val="1"/>
      </w:pPr>
      <w:r>
        <w:rPr>
          <w:rFonts w:hint="eastAsia" w:asciiTheme="minorEastAsia" w:hAnsiTheme="minorEastAsia" w:eastAsiaTheme="minorEastAsia" w:cstheme="minorEastAsia"/>
          <w:b/>
          <w:color w:val="auto"/>
          <w:szCs w:val="21"/>
          <w:highlight w:val="none"/>
        </w:rPr>
        <w:t xml:space="preserve">14.投标文件的组成</w:t>
      </w:r>
      <w:r/>
    </w:p>
    <w:p>
      <w:pPr>
        <w:ind w:firstLine="422"/>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14.1投标文件</w:t>
      </w:r>
      <w:r/>
    </w:p>
    <w:p>
      <w:pPr>
        <w:ind w:firstLine="422"/>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14.1.1封面</w:t>
      </w:r>
      <w:r/>
    </w:p>
    <w:p>
      <w:pPr>
        <w:ind w:firstLine="422"/>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14.1.2开标一览表（详见系统格式）</w:t>
      </w:r>
      <w:r/>
    </w:p>
    <w:p>
      <w:pPr>
        <w:ind w:firstLine="422"/>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14.1.3分项报价表（格式见第三章）</w:t>
      </w:r>
      <w:r/>
    </w:p>
    <w:p>
      <w:pPr>
        <w:ind w:firstLine="422"/>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14.1.4资格审查文件</w:t>
      </w:r>
      <w:r/>
    </w:p>
    <w:p>
      <w:pPr>
        <w:pStyle w:val="890"/>
        <w:ind w:left="0" w:right="0" w:firstLine="420"/>
        <w:spacing w:before="0" w:after="0"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14.1.4.1具有独立承担民事责任的能力证明（包括法人或者其他组织的营业执照等证明文件，自然人的身份证明）；</w:t>
      </w:r>
      <w:r/>
    </w:p>
    <w:p>
      <w:pPr>
        <w:pStyle w:val="890"/>
        <w:ind w:left="0" w:right="0" w:firstLine="420"/>
        <w:spacing w:before="0" w:after="0"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14.1.4.2具有良好的商业信誉和健全的财务会计制度证明（</w:t>
      </w:r>
      <w:r>
        <w:rPr>
          <w:rFonts w:hint="eastAsia" w:asciiTheme="minorEastAsia" w:hAnsiTheme="minorEastAsia" w:eastAsiaTheme="minorEastAsia" w:cstheme="minorEastAsia"/>
          <w:bCs/>
          <w:color w:val="auto"/>
          <w:sz w:val="21"/>
          <w:szCs w:val="21"/>
          <w:highlight w:val="none"/>
          <w:lang w:val="zh-CN"/>
        </w:rPr>
        <w:t xml:space="preserve">包括但不限于</w:t>
      </w:r>
      <w:r>
        <w:rPr>
          <w:rFonts w:hint="eastAsia" w:asciiTheme="minorEastAsia" w:hAnsiTheme="minorEastAsia" w:eastAsiaTheme="minorEastAsia" w:cstheme="minorEastAsia"/>
          <w:bCs/>
          <w:color w:val="auto"/>
          <w:sz w:val="21"/>
          <w:szCs w:val="21"/>
          <w:highlight w:val="none"/>
        </w:rPr>
        <w:t xml:space="preserve">最近一期的财务报表</w:t>
      </w:r>
      <w:r>
        <w:rPr>
          <w:rFonts w:hint="eastAsia" w:asciiTheme="minorEastAsia" w:hAnsiTheme="minorEastAsia" w:eastAsiaTheme="minorEastAsia" w:cstheme="minorEastAsia"/>
          <w:bCs/>
          <w:color w:val="auto"/>
          <w:sz w:val="21"/>
          <w:szCs w:val="21"/>
          <w:highlight w:val="none"/>
          <w:lang w:val="zh-CN"/>
        </w:rPr>
        <w:t xml:space="preserve">，其他组织、自然人及成立未满一年的法人应提供银行出具的资信证明</w:t>
      </w:r>
      <w:r>
        <w:rPr>
          <w:rFonts w:hint="eastAsia" w:asciiTheme="minorEastAsia" w:hAnsiTheme="minorEastAsia" w:eastAsiaTheme="minorEastAsia" w:cstheme="minorEastAsia"/>
          <w:bCs/>
          <w:color w:val="auto"/>
          <w:sz w:val="21"/>
          <w:szCs w:val="21"/>
          <w:highlight w:val="none"/>
        </w:rPr>
        <w:t xml:space="preserve">）；</w:t>
      </w:r>
      <w:r/>
    </w:p>
    <w:p>
      <w:pPr>
        <w:pStyle w:val="890"/>
        <w:ind w:left="0" w:right="0" w:firstLine="420"/>
        <w:spacing w:before="0" w:after="0" w:line="360" w:lineRule="auto"/>
        <w:rPr>
          <w:rFonts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 xml:space="preserve">14.1.4.3具备履行合同所必需的设备和专业技术能力的证明材料或承诺；</w:t>
      </w:r>
      <w:r/>
    </w:p>
    <w:p>
      <w:pPr>
        <w:pStyle w:val="890"/>
        <w:ind w:left="0" w:right="0" w:firstLine="420"/>
        <w:spacing w:before="0" w:after="0" w:line="360" w:lineRule="auto"/>
        <w:rPr>
          <w:rFonts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 xml:space="preserve">14.1.4.4依法缴纳税收和社会保障资金的良好记录（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pStyle w:val="850"/>
        <w:spacing w:line="360" w:lineRule="auto"/>
        <w:tabs>
          <w:tab w:val="left" w:pos="0" w:leader="none"/>
        </w:tabs>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14.1.4.5参加政府采购活动前三年内，在经营活动中没有出现重大违法记录的书面声明函（格式见第三章）；</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14.1.4.6供应商应提供中小企业声明函或残疾人福利性单位声明函或省级以上监狱管理局、戒毒管理局（含新疆生产建设兵团）出具的属于监狱企业的证明文件；（同步上传至企业报价折扣模块）</w:t>
      </w:r>
      <w:r/>
    </w:p>
    <w:p>
      <w:pPr>
        <w:ind w:firstLine="42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Cs/>
          <w:color w:val="auto"/>
          <w:szCs w:val="21"/>
          <w:highlight w:val="none"/>
        </w:rPr>
        <w:t xml:space="preserve">14.1.4.7供应商与其他单位存在控股、管理关系情况表，</w:t>
      </w:r>
      <w:r>
        <w:rPr>
          <w:rFonts w:hint="eastAsia" w:asciiTheme="minorEastAsia" w:hAnsiTheme="minorEastAsia" w:eastAsiaTheme="minorEastAsia" w:cstheme="minorEastAsia"/>
          <w:b/>
          <w:color w:val="auto"/>
          <w:szCs w:val="21"/>
          <w:highlight w:val="none"/>
        </w:rPr>
        <w:t xml:space="preserve">且需提供相关证明截图（企查查或类似平台证明截图）。</w:t>
      </w:r>
      <w:r/>
    </w:p>
    <w:p>
      <w:pPr>
        <w:ind w:firstLine="42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Cs/>
          <w:color w:val="auto"/>
          <w:szCs w:val="21"/>
          <w:highlight w:val="none"/>
        </w:rPr>
        <w:t xml:space="preserve">14.1.4.8其它有关资格证明的文件：（如有）。</w:t>
      </w:r>
      <w:r/>
    </w:p>
    <w:p>
      <w:pPr>
        <w:ind w:firstLine="422"/>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14.1.5符合性审查文件</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14.1.5.1投标函（格式见第三章）；</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14.1.5.2投标（响应）保证承诺书（格式见第三章）；</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14.1.5.3投标单位情况表（格式见第三章）；</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14.1.5.4投标人法定代表人身份证扫描件；</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14.1.5.5法定代表人授权委托书（如有授权，格式见第三章）；</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14.1.5.6投标人授权代理人身份证扫描件（如有授权）；</w:t>
      </w:r>
      <w:r/>
    </w:p>
    <w:p>
      <w:pPr>
        <w:ind w:firstLine="408"/>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14.1.5.7技术要求偏离表、商务条款偏离表（格式见第三章）；</w:t>
      </w:r>
      <w:r/>
    </w:p>
    <w:p>
      <w:pPr>
        <w:ind w:firstLine="420"/>
        <w:spacing w:line="360" w:lineRule="auto"/>
        <w:rPr>
          <w:rFonts w:eastAsiaTheme="minorEastAsia"/>
          <w:color w:val="auto"/>
          <w:highlight w:val="none"/>
        </w:rPr>
      </w:pPr>
      <w:r>
        <w:rPr>
          <w:rFonts w:hint="eastAsia" w:asciiTheme="minorEastAsia" w:hAnsiTheme="minorEastAsia" w:eastAsiaTheme="minorEastAsia" w:cstheme="minorEastAsia"/>
          <w:bCs/>
          <w:color w:val="auto"/>
          <w:szCs w:val="21"/>
          <w:highlight w:val="none"/>
        </w:rPr>
        <w:t xml:space="preserve">14.1.5.8</w:t>
      </w:r>
      <w:r>
        <w:rPr>
          <w:rFonts w:hint="eastAsia" w:ascii="宋体" w:hAnsi="宋体" w:cs="宋体"/>
          <w:b/>
          <w:bCs/>
          <w:color w:val="auto"/>
          <w:szCs w:val="21"/>
          <w:highlight w:val="none"/>
        </w:rPr>
        <w:t xml:space="preserve">提供合同履行期内严格执行回避制度的</w:t>
      </w:r>
      <w:r>
        <w:rPr>
          <w:rFonts w:hint="eastAsia" w:asciiTheme="minorEastAsia" w:hAnsiTheme="minorEastAsia" w:eastAsiaTheme="minorEastAsia" w:cstheme="minorEastAsia"/>
          <w:bCs/>
          <w:color w:val="auto"/>
          <w:szCs w:val="21"/>
          <w:highlight w:val="none"/>
        </w:rPr>
        <w:t xml:space="preserve">承诺函（仅限一标段：提供关于采购需求中“本项目的特定要求”的承诺函，格式自拟）。</w:t>
      </w:r>
      <w:r/>
    </w:p>
    <w:p>
      <w:pPr>
        <w:ind w:firstLine="408"/>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14.1.5.</w:t>
      </w:r>
      <w:r>
        <w:rPr>
          <w:rFonts w:hint="eastAsia" w:asciiTheme="minorEastAsia" w:hAnsiTheme="minorEastAsia" w:eastAsiaTheme="minorEastAsia" w:cstheme="minorEastAsia"/>
          <w:bCs/>
          <w:color w:val="auto"/>
          <w:szCs w:val="21"/>
          <w:highlight w:val="none"/>
          <w:lang w:val="en-US" w:eastAsia="zh-CN"/>
        </w:rPr>
        <w:t xml:space="preserve">9</w:t>
      </w:r>
      <w:r>
        <w:rPr>
          <w:rFonts w:hint="eastAsia" w:asciiTheme="minorEastAsia" w:hAnsiTheme="minorEastAsia" w:eastAsiaTheme="minorEastAsia" w:cstheme="minorEastAsia"/>
          <w:bCs/>
          <w:color w:val="auto"/>
          <w:szCs w:val="21"/>
          <w:highlight w:val="none"/>
        </w:rPr>
        <w:t xml:space="preserve">服务人员配置表（格式见第三章）；</w:t>
      </w:r>
      <w:r/>
    </w:p>
    <w:p>
      <w:pPr>
        <w:ind w:firstLine="408"/>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Cs/>
          <w:color w:val="auto"/>
          <w:szCs w:val="21"/>
          <w:highlight w:val="none"/>
        </w:rPr>
        <w:t xml:space="preserve">14.1.5.</w:t>
      </w:r>
      <w:r>
        <w:rPr>
          <w:rFonts w:hint="eastAsia" w:asciiTheme="minorEastAsia" w:hAnsiTheme="minorEastAsia" w:eastAsiaTheme="minorEastAsia" w:cstheme="minorEastAsia"/>
          <w:bCs/>
          <w:color w:val="auto"/>
          <w:szCs w:val="21"/>
          <w:highlight w:val="none"/>
          <w:lang w:val="en-US" w:eastAsia="zh-CN"/>
        </w:rPr>
        <w:t xml:space="preserve">10</w:t>
      </w:r>
      <w:r>
        <w:rPr>
          <w:rFonts w:hint="eastAsia" w:asciiTheme="minorEastAsia" w:hAnsiTheme="minorEastAsia" w:eastAsiaTheme="minorEastAsia" w:cstheme="minorEastAsia"/>
          <w:bCs/>
          <w:color w:val="auto"/>
          <w:szCs w:val="21"/>
          <w:highlight w:val="none"/>
          <w:lang w:val="zh-CN"/>
        </w:rPr>
        <w:t xml:space="preserve"> </w:t>
      </w:r>
      <w:r>
        <w:rPr>
          <w:rFonts w:hint="eastAsia" w:ascii="宋体" w:hAnsi="宋体" w:cs="宋体"/>
          <w:color w:val="auto"/>
          <w:highlight w:val="none"/>
          <w:lang w:val="zh-CN"/>
        </w:rPr>
        <w:t xml:space="preserve">类似</w:t>
      </w:r>
      <w:r>
        <w:rPr>
          <w:rFonts w:hint="eastAsia" w:ascii="宋体" w:hAnsi="宋体" w:cs="宋体"/>
          <w:color w:val="auto"/>
          <w:highlight w:val="none"/>
        </w:rPr>
        <w:t xml:space="preserve">业绩</w:t>
      </w:r>
      <w:r>
        <w:rPr>
          <w:rFonts w:hint="eastAsia" w:ascii="宋体" w:hAnsi="宋体" w:cs="宋体"/>
          <w:color w:val="auto"/>
          <w:highlight w:val="none"/>
          <w:lang w:val="zh-CN"/>
        </w:rPr>
        <w:t xml:space="preserve">一览表</w:t>
      </w:r>
      <w:r>
        <w:rPr>
          <w:rFonts w:hint="eastAsia" w:asciiTheme="minorEastAsia" w:hAnsiTheme="minorEastAsia" w:eastAsiaTheme="minorEastAsia" w:cstheme="minorEastAsia"/>
          <w:bCs/>
          <w:color w:val="auto"/>
          <w:szCs w:val="21"/>
          <w:highlight w:val="none"/>
        </w:rPr>
        <w:t xml:space="preserve">（格式见第三章）</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bCs/>
          <w:color w:val="auto"/>
          <w:szCs w:val="21"/>
          <w:highlight w:val="none"/>
          <w:lang w:val="en-US" w:eastAsia="zh-CN"/>
        </w:rPr>
        <w:t xml:space="preserve">如有）</w:t>
      </w:r>
      <w:r>
        <w:rPr>
          <w:rFonts w:hint="eastAsia" w:asciiTheme="minorEastAsia" w:hAnsiTheme="minorEastAsia" w:eastAsiaTheme="minorEastAsia" w:cstheme="minorEastAsia"/>
          <w:bCs/>
          <w:color w:val="auto"/>
          <w:szCs w:val="21"/>
          <w:highlight w:val="none"/>
        </w:rPr>
        <w:t xml:space="preserve">；</w:t>
      </w:r>
      <w:r/>
    </w:p>
    <w:p>
      <w:pPr>
        <w:ind w:firstLine="408"/>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14.1.6综合评审文件</w:t>
      </w:r>
      <w:r/>
    </w:p>
    <w:p>
      <w:pPr>
        <w:ind w:firstLine="408"/>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zh-CN"/>
        </w:rPr>
        <w:t xml:space="preserve">14.1.</w:t>
      </w:r>
      <w:r>
        <w:rPr>
          <w:rFonts w:hint="eastAsia" w:asciiTheme="minorEastAsia" w:hAnsiTheme="minorEastAsia" w:eastAsiaTheme="minorEastAsia" w:cstheme="minorEastAsia"/>
          <w:bCs/>
          <w:color w:val="auto"/>
          <w:szCs w:val="21"/>
          <w:highlight w:val="none"/>
        </w:rPr>
        <w:t xml:space="preserve">6.</w:t>
      </w:r>
      <w:r>
        <w:rPr>
          <w:rFonts w:hint="eastAsia" w:asciiTheme="minorEastAsia" w:hAnsiTheme="minorEastAsia" w:eastAsiaTheme="minorEastAsia" w:cstheme="minorEastAsia"/>
          <w:bCs/>
          <w:color w:val="auto"/>
          <w:szCs w:val="21"/>
          <w:highlight w:val="none"/>
          <w:lang w:val="zh-CN"/>
        </w:rPr>
        <w:t xml:space="preserve">1</w:t>
      </w:r>
      <w:r>
        <w:rPr>
          <w:rFonts w:hint="eastAsia" w:asciiTheme="minorEastAsia" w:hAnsiTheme="minorEastAsia" w:eastAsiaTheme="minorEastAsia" w:cstheme="minorEastAsia"/>
          <w:bCs/>
          <w:color w:val="auto"/>
          <w:szCs w:val="21"/>
          <w:highlight w:val="none"/>
        </w:rPr>
        <w:t xml:space="preserve">服务</w:t>
      </w:r>
      <w:r>
        <w:rPr>
          <w:rFonts w:hint="eastAsia" w:asciiTheme="minorEastAsia" w:hAnsiTheme="minorEastAsia" w:eastAsiaTheme="minorEastAsia" w:cstheme="minorEastAsia"/>
          <w:bCs/>
          <w:color w:val="auto"/>
          <w:szCs w:val="21"/>
          <w:highlight w:val="none"/>
          <w:lang w:val="zh-CN"/>
        </w:rPr>
        <w:t xml:space="preserve">方案</w:t>
      </w:r>
      <w:r/>
    </w:p>
    <w:p>
      <w:pPr>
        <w:ind w:firstLine="408"/>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zh-CN"/>
        </w:rPr>
        <w:t xml:space="preserve">14.1.</w:t>
      </w:r>
      <w:r>
        <w:rPr>
          <w:rFonts w:hint="eastAsia" w:asciiTheme="minorEastAsia" w:hAnsiTheme="minorEastAsia" w:eastAsiaTheme="minorEastAsia" w:cstheme="minorEastAsia"/>
          <w:bCs/>
          <w:color w:val="auto"/>
          <w:szCs w:val="21"/>
          <w:highlight w:val="none"/>
        </w:rPr>
        <w:t xml:space="preserve">6</w:t>
      </w:r>
      <w:r>
        <w:rPr>
          <w:rFonts w:hint="eastAsia" w:asciiTheme="minorEastAsia" w:hAnsiTheme="minorEastAsia" w:eastAsiaTheme="minorEastAsia" w:cstheme="minorEastAsia"/>
          <w:bCs/>
          <w:color w:val="auto"/>
          <w:szCs w:val="21"/>
          <w:highlight w:val="none"/>
          <w:lang w:val="zh-CN"/>
        </w:rPr>
        <w:t xml:space="preserve">.</w:t>
      </w:r>
      <w:r>
        <w:rPr>
          <w:rFonts w:hint="eastAsia" w:asciiTheme="minorEastAsia" w:hAnsiTheme="minorEastAsia" w:eastAsiaTheme="minorEastAsia" w:cstheme="minorEastAsia"/>
          <w:bCs/>
          <w:color w:val="auto"/>
          <w:szCs w:val="21"/>
          <w:highlight w:val="none"/>
          <w:lang w:val="en-US" w:eastAsia="zh-CN"/>
        </w:rPr>
        <w:t xml:space="preserve">2</w:t>
      </w:r>
      <w:r>
        <w:rPr>
          <w:rFonts w:hint="eastAsia" w:asciiTheme="minorEastAsia" w:hAnsiTheme="minorEastAsia" w:eastAsiaTheme="minorEastAsia" w:cstheme="minorEastAsia"/>
          <w:bCs/>
          <w:color w:val="auto"/>
          <w:szCs w:val="21"/>
          <w:highlight w:val="none"/>
        </w:rPr>
        <w:t xml:space="preserve">采购需求及评分标准中所涉及到的其他材料等。</w:t>
      </w:r>
      <w:r/>
    </w:p>
    <w:p>
      <w:pPr>
        <w:pStyle w:val="1170"/>
        <w:ind w:firstLine="430"/>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注：（1）以上14.1.</w:t>
      </w:r>
      <w:r>
        <w:rPr>
          <w:rFonts w:hint="eastAsia" w:asciiTheme="minorEastAsia" w:hAnsiTheme="minorEastAsia" w:eastAsiaTheme="minorEastAsia" w:cstheme="minorEastAsia"/>
          <w:b/>
          <w:color w:val="auto"/>
          <w:sz w:val="21"/>
          <w:szCs w:val="21"/>
          <w:highlight w:val="none"/>
          <w:lang w:val="en-US"/>
        </w:rPr>
        <w:t xml:space="preserve">4</w:t>
      </w:r>
      <w:r>
        <w:rPr>
          <w:rFonts w:hint="eastAsia" w:asciiTheme="minorEastAsia" w:hAnsiTheme="minorEastAsia" w:eastAsiaTheme="minorEastAsia" w:cstheme="minorEastAsia"/>
          <w:b/>
          <w:color w:val="auto"/>
          <w:sz w:val="21"/>
          <w:szCs w:val="21"/>
          <w:highlight w:val="none"/>
        </w:rPr>
        <w:t xml:space="preserve">.1-</w:t>
      </w:r>
      <w:r>
        <w:rPr>
          <w:rFonts w:hint="eastAsia" w:asciiTheme="minorEastAsia" w:hAnsiTheme="minorEastAsia" w:eastAsiaTheme="minorEastAsia" w:cstheme="minorEastAsia"/>
          <w:b/>
          <w:color w:val="auto"/>
          <w:sz w:val="21"/>
          <w:szCs w:val="21"/>
          <w:highlight w:val="none"/>
          <w:lang w:val="en-US"/>
        </w:rPr>
        <w:t xml:space="preserve">14.1.4.8</w:t>
      </w:r>
      <w:r>
        <w:rPr>
          <w:rFonts w:hint="eastAsia" w:asciiTheme="minorEastAsia" w:hAnsiTheme="minorEastAsia" w:eastAsiaTheme="minorEastAsia" w:cstheme="minorEastAsia"/>
          <w:b/>
          <w:color w:val="auto"/>
          <w:sz w:val="21"/>
          <w:szCs w:val="21"/>
          <w:highlight w:val="none"/>
        </w:rPr>
        <w:t xml:space="preserve">为资格审查要求提供的材料，是作为对投标人资格审查、质疑身份认定的依据，投标人必须提供并加盖电子公章。否则，投标文件将被认定为不符合资格审查要求。</w:t>
      </w:r>
      <w:r/>
    </w:p>
    <w:p>
      <w:pPr>
        <w:pStyle w:val="1170"/>
        <w:ind w:firstLine="430"/>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（2）以上14.1.</w:t>
      </w:r>
      <w:r>
        <w:rPr>
          <w:rFonts w:hint="eastAsia" w:asciiTheme="minorEastAsia" w:hAnsiTheme="minorEastAsia" w:eastAsiaTheme="minorEastAsia" w:cstheme="minorEastAsia"/>
          <w:b/>
          <w:color w:val="auto"/>
          <w:sz w:val="21"/>
          <w:szCs w:val="21"/>
          <w:highlight w:val="none"/>
          <w:lang w:val="en-US"/>
        </w:rPr>
        <w:t xml:space="preserve">5.</w:t>
      </w:r>
      <w:r>
        <w:rPr>
          <w:rFonts w:hint="eastAsia" w:asciiTheme="minorEastAsia" w:hAnsiTheme="minorEastAsia" w:eastAsiaTheme="minorEastAsia" w:cstheme="minorEastAsia"/>
          <w:b/>
          <w:color w:val="auto"/>
          <w:sz w:val="21"/>
          <w:szCs w:val="21"/>
          <w:highlight w:val="none"/>
        </w:rPr>
        <w:t xml:space="preserve">1-14.1.</w:t>
      </w:r>
      <w:r>
        <w:rPr>
          <w:rFonts w:hint="eastAsia" w:asciiTheme="minorEastAsia" w:hAnsiTheme="minorEastAsia" w:eastAsiaTheme="minorEastAsia" w:cstheme="minorEastAsia"/>
          <w:b/>
          <w:color w:val="auto"/>
          <w:sz w:val="21"/>
          <w:szCs w:val="21"/>
          <w:highlight w:val="none"/>
          <w:lang w:val="en-US"/>
        </w:rPr>
        <w:t xml:space="preserve">5</w:t>
      </w:r>
      <w:r>
        <w:rPr>
          <w:rFonts w:hint="eastAsia" w:asciiTheme="minorEastAsia" w:hAnsiTheme="minorEastAsia" w:eastAsiaTheme="minorEastAsia" w:cstheme="minorEastAsia"/>
          <w:b/>
          <w:color w:val="auto"/>
          <w:sz w:val="21"/>
          <w:szCs w:val="21"/>
          <w:highlight w:val="none"/>
        </w:rPr>
        <w:t xml:space="preserve">.10</w:t>
      </w:r>
      <w:r>
        <w:rPr>
          <w:rFonts w:hint="eastAsia" w:asciiTheme="minorEastAsia" w:hAnsiTheme="minorEastAsia" w:eastAsiaTheme="minorEastAsia" w:cstheme="minorEastAsia"/>
          <w:b/>
          <w:color w:val="auto"/>
          <w:sz w:val="21"/>
          <w:szCs w:val="21"/>
          <w:highlight w:val="none"/>
        </w:rPr>
        <w:t xml:space="preserve">为符合性审查须提供的资料，投标人必须提供并加盖电子公章。否则，投标文件将被认定为未实质性响应。</w:t>
      </w:r>
      <w:r/>
    </w:p>
    <w:p>
      <w:pPr>
        <w:pStyle w:val="1170"/>
        <w:ind w:firstLine="430"/>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（3）“14.1.</w:t>
      </w:r>
      <w:r>
        <w:rPr>
          <w:rFonts w:hint="eastAsia" w:asciiTheme="minorEastAsia" w:hAnsiTheme="minorEastAsia" w:eastAsiaTheme="minorEastAsia" w:cstheme="minorEastAsia"/>
          <w:b/>
          <w:color w:val="auto"/>
          <w:sz w:val="21"/>
          <w:szCs w:val="21"/>
          <w:highlight w:val="none"/>
          <w:lang w:val="en-US"/>
        </w:rPr>
        <w:t xml:space="preserve">4</w:t>
      </w:r>
      <w:r>
        <w:rPr>
          <w:rFonts w:hint="eastAsia" w:asciiTheme="minorEastAsia" w:hAnsiTheme="minorEastAsia" w:eastAsiaTheme="minorEastAsia" w:cstheme="minorEastAsia"/>
          <w:b/>
          <w:color w:val="auto"/>
          <w:sz w:val="21"/>
          <w:szCs w:val="21"/>
          <w:highlight w:val="none"/>
        </w:rPr>
        <w:t xml:space="preserve">-14.1.</w:t>
      </w:r>
      <w:r>
        <w:rPr>
          <w:rFonts w:hint="eastAsia" w:asciiTheme="minorEastAsia" w:hAnsiTheme="minorEastAsia" w:eastAsiaTheme="minorEastAsia" w:cstheme="minorEastAsia"/>
          <w:b/>
          <w:color w:val="auto"/>
          <w:sz w:val="21"/>
          <w:szCs w:val="21"/>
          <w:highlight w:val="none"/>
          <w:lang w:val="en-US"/>
        </w:rPr>
        <w:t xml:space="preserve">6</w:t>
      </w:r>
      <w:r>
        <w:rPr>
          <w:rFonts w:hint="eastAsia" w:asciiTheme="minorEastAsia" w:hAnsiTheme="minorEastAsia" w:eastAsiaTheme="minorEastAsia" w:cstheme="minorEastAsia"/>
          <w:b/>
          <w:color w:val="auto"/>
          <w:sz w:val="21"/>
          <w:szCs w:val="21"/>
          <w:highlight w:val="none"/>
        </w:rPr>
        <w:t xml:space="preserve">”中不得出现投标总报价。投标人所提交的资料的完整与否，将直接影响投标人的评分。</w:t>
      </w:r>
      <w:r/>
    </w:p>
    <w:p>
      <w:pPr>
        <w:pStyle w:val="1170"/>
        <w:ind w:firstLine="43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（4）制作电子投标文件时必须与投标文件制作软件目录一一对应，将相关资料上传至相应模块。</w:t>
      </w:r>
      <w:r/>
    </w:p>
    <w:p>
      <w:pPr>
        <w:pStyle w:val="1170"/>
        <w:ind w:firstLine="43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rPr>
        <w:t xml:space="preserve">5）</w:t>
      </w:r>
      <w:r>
        <w:rPr>
          <w:rFonts w:hint="eastAsia" w:asciiTheme="minorEastAsia" w:hAnsiTheme="minorEastAsia" w:eastAsiaTheme="minorEastAsia" w:cstheme="minorEastAsia"/>
          <w:bCs/>
          <w:color w:val="auto"/>
          <w:sz w:val="21"/>
          <w:szCs w:val="21"/>
          <w:highlight w:val="none"/>
        </w:rPr>
        <w:t xml:space="preserve">投标人必须保证全部投标资料的真实性，如有虚假或对招标文件所要求说明的情况故意隐瞒或虚报，视为不实质性响应招标文件，投标无效。</w:t>
      </w:r>
      <w:r/>
    </w:p>
    <w:p>
      <w:pPr>
        <w:pStyle w:val="1170"/>
        <w:ind w:firstLine="43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rPr>
        <w:t xml:space="preserve">6）</w:t>
      </w:r>
      <w:r>
        <w:rPr>
          <w:rFonts w:hint="eastAsia" w:asciiTheme="minorEastAsia" w:hAnsiTheme="minorEastAsia" w:eastAsiaTheme="minorEastAsia" w:cstheme="minorEastAsia"/>
          <w:bCs/>
          <w:color w:val="auto"/>
          <w:sz w:val="21"/>
          <w:szCs w:val="21"/>
          <w:highlight w:val="none"/>
        </w:rPr>
        <w:t xml:space="preserve">如投标人投标文件中某些条款不响应招标文件提出的全部服务内容与要求，须在偏离表中逐条列出，未列出的视同响应。</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15.投标文件编制要求</w:t>
      </w:r>
      <w:r/>
    </w:p>
    <w:p>
      <w:pPr>
        <w:ind w:firstLine="422"/>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15.1投标文件按统一格式、顺序编写。</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15.2《开标一览表》为在开标仪式上唱标的内容，要求按格式填写，统一规范，不得自行增减内容。</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16.投标报价（编制）要求的说明</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16.1除非合同中另有规定，投标人对《开标一览表》中的报价</w:t>
      </w:r>
      <w:r>
        <w:rPr>
          <w:rFonts w:hint="eastAsia" w:asciiTheme="minorEastAsia" w:hAnsiTheme="minorEastAsia" w:eastAsiaTheme="minorEastAsia" w:cstheme="minorEastAsia"/>
          <w:bCs/>
          <w:color w:val="auto"/>
          <w:szCs w:val="21"/>
          <w:highlight w:val="none"/>
          <w:lang w:val="zh-CN"/>
        </w:rPr>
        <w:t xml:space="preserve">应综合考量</w:t>
      </w:r>
      <w:r>
        <w:rPr>
          <w:rFonts w:hint="eastAsia" w:asciiTheme="minorEastAsia" w:hAnsiTheme="minorEastAsia" w:eastAsiaTheme="minorEastAsia" w:cstheme="minorEastAsia"/>
          <w:bCs/>
          <w:color w:val="auto"/>
          <w:szCs w:val="21"/>
          <w:highlight w:val="none"/>
        </w:rPr>
        <w:t xml:space="preserve">完成本次项目所需的成本、经营成本、法定税费和管理企业的利润、保险及合同包含的所有风险、责任等各项应有费用。</w:t>
      </w:r>
      <w:r>
        <w:rPr>
          <w:rFonts w:hint="eastAsia" w:asciiTheme="minorEastAsia" w:hAnsiTheme="minorEastAsia" w:eastAsiaTheme="minorEastAsia" w:cstheme="minorEastAsia"/>
          <w:bCs/>
          <w:color w:val="auto"/>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Theme="minorEastAsia" w:hAnsiTheme="minorEastAsia" w:eastAsiaTheme="minorEastAsia" w:cstheme="minorEastAsia"/>
          <w:bCs/>
          <w:color w:val="auto"/>
          <w:szCs w:val="21"/>
          <w:highlight w:val="none"/>
        </w:rPr>
        <w:t xml:space="preserve">。</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16.2如果招标文件要求分标段投标的，则投标人可以根据自身经营许可范围，选择投标其中部分或者全部标段，但各标段应分别计算填写单价和总价。</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16.3投标人应对招标文件内所要采购的全部内容进行报价，只投其中部分内容者，其标书将被拒绝（如为多标段项目，则上述提到的全部内容是指所投标段对应采购的全部内容）。</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16.4一项投标内容只允许一个报价，招标人不接受任何有选择性的投标报价。</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16.5</w:t>
      </w:r>
      <w:r>
        <w:rPr>
          <w:rFonts w:hint="eastAsia" w:asciiTheme="minorEastAsia" w:hAnsiTheme="minorEastAsia" w:eastAsiaTheme="minorEastAsia" w:cstheme="minorEastAsia"/>
          <w:bCs/>
          <w:color w:val="auto"/>
          <w:sz w:val="21"/>
          <w:szCs w:val="21"/>
          <w:highlight w:val="none"/>
        </w:rPr>
        <w:t xml:space="preserve">投标报价超过招标文件中规定的预算金额或者最高限价的，或者各标的物的单价超过该项预算单价的（针对采购文件标明预算单价的项目），其投标无效。</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w:t>
      </w:r>
      <w:r>
        <w:rPr>
          <w:rFonts w:hint="eastAsia" w:asciiTheme="minorEastAsia" w:hAnsiTheme="minorEastAsia" w:eastAsiaTheme="minorEastAsia" w:cstheme="minorEastAsia"/>
          <w:bCs/>
          <w:color w:val="auto"/>
          <w:sz w:val="21"/>
          <w:szCs w:val="21"/>
          <w:highlight w:val="none"/>
          <w:lang w:val="en-US"/>
        </w:rPr>
        <w:t xml:space="preserve">6</w:t>
      </w:r>
      <w:r>
        <w:rPr>
          <w:rFonts w:hint="eastAsia" w:asciiTheme="minorEastAsia" w:hAnsiTheme="minorEastAsia" w:eastAsiaTheme="minorEastAsia" w:cstheme="minorEastAsia"/>
          <w:bCs/>
          <w:color w:val="auto"/>
          <w:sz w:val="21"/>
          <w:szCs w:val="21"/>
          <w:highlight w:val="none"/>
        </w:rPr>
        <w:t xml:space="preserve">投标文件报价采用人民币表示，除非合同的特殊条款另有规定。</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16.6最低的报价或最高的折扣率不能作为中标的保证。</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17.投标保证金：</w:t>
      </w:r>
      <w:r>
        <w:rPr>
          <w:rFonts w:hint="eastAsia" w:asciiTheme="minorEastAsia" w:hAnsiTheme="minorEastAsia" w:eastAsiaTheme="minorEastAsia" w:cstheme="minorEastAsia"/>
          <w:b/>
          <w:color w:val="auto"/>
          <w:sz w:val="21"/>
          <w:szCs w:val="21"/>
          <w:highlight w:val="none"/>
          <w:lang w:val="en-US"/>
        </w:rPr>
        <w:t xml:space="preserve">本项目不收取投标保证金。</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18.投标文件的有效期</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18.1自提交投标文件截止之日起</w:t>
      </w:r>
      <w:r>
        <w:rPr>
          <w:rFonts w:hint="eastAsia" w:asciiTheme="minorEastAsia" w:hAnsiTheme="minorEastAsia" w:eastAsiaTheme="minorEastAsia" w:cstheme="minorEastAsia"/>
          <w:bCs/>
          <w:color w:val="auto"/>
          <w:sz w:val="21"/>
          <w:szCs w:val="21"/>
          <w:highlight w:val="none"/>
          <w:lang w:val="en-US"/>
        </w:rPr>
        <w:t xml:space="preserve">6</w:t>
      </w:r>
      <w:r>
        <w:rPr>
          <w:rFonts w:hint="eastAsia" w:asciiTheme="minorEastAsia" w:hAnsiTheme="minorEastAsia" w:eastAsiaTheme="minorEastAsia" w:cstheme="minorEastAsia"/>
          <w:bCs/>
          <w:color w:val="auto"/>
          <w:sz w:val="21"/>
          <w:szCs w:val="21"/>
          <w:highlight w:val="none"/>
        </w:rPr>
        <w:t xml:space="preserve">0天内，投标文件中承诺的投标有效期应当不少于招标文件中载明的投标有效期。</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18.2在特殊情况下，采购人、采购代理机构可与投标人协商延长投标书的有效期。这种要求和答复都应以书面形式进行。同意延长有效期的投标人不能修改投标文件。</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19.投标文件的制作、签署、上传</w:t>
      </w:r>
      <w:r/>
    </w:p>
    <w:p>
      <w:pPr>
        <w:pStyle w:val="1170"/>
        <w:ind w:firstLine="428"/>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19.1本项目采用电子招投标形式，请投标人按照《苏采云系统投标人操作手册》进行制作、上传电子投标文件。</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19.2制作电子投标文件时，应按照招标文件要求加盖投标人电子公章。</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19.3电子投标文件制作完成后请于投标文件网上提交截止时间前成功上传至“苏采云”系统，否则视为放弃参加该采购项目。</w:t>
      </w:r>
      <w:bookmarkStart w:id="22" w:name="_Toc31150"/>
      <w:r/>
      <w:bookmarkStart w:id="23" w:name="_Toc25608"/>
      <w:r>
        <w:rPr>
          <w:rFonts w:hint="eastAsia" w:asciiTheme="minorEastAsia" w:hAnsiTheme="minorEastAsia" w:eastAsiaTheme="minorEastAsia" w:cstheme="minorEastAsia"/>
          <w:bCs/>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r/>
      <w:bookmarkEnd w:id="23"/>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五、投标文件的递交、补充、修改和撤回</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20.投标文件的递交</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20.1投标人应当在在投标截止时间前制作并上传电子投标文件。</w:t>
      </w:r>
      <w:r/>
    </w:p>
    <w:p>
      <w:pPr>
        <w:pStyle w:val="85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20.2投标人通过“苏采云”系统不见面开标大厅在线参与开标活动。（具体操作详见《苏采云系统投标人操作手册》，网址链接https://czju.suzhou.gov.cn/zfcg/html/content/20231220161910031.shtml）</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21.投标截止时间</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21.1投标人应当在招标文件要求投标文件网上提交截止时间前，将投标文件完成提交（上传）。逾期提交（上传）的投标文件，采购人和采购代理机构拒绝接收。</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21.3在投标截止时间止成功解密的投标文件少于三份，采购代理机构有权宣布本次招标失败。</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22.投标文件的补充、修改和撤回</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22.1投标人在投标文件网上提交截止时间前，可以对其电子投标文件进行补充、修改，具体操作方法见《苏采云系统投标人操作手册》。在投标文件网上提交截止时间之后，投标人不得对其电子投标文件作任何修改。</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22.2投标人在投标文件网上提交截止时间前，可以撤回其电子投标文件，具体操作方法见《苏采云系统投标人操作手册》。</w:t>
      </w:r>
      <w:bookmarkStart w:id="24" w:name="_Toc29371"/>
      <w:r/>
      <w:bookmarkStart w:id="25" w:name="_Toc22837"/>
      <w:r>
        <w:rPr>
          <w:rFonts w:hint="eastAsia" w:asciiTheme="minorEastAsia" w:hAnsiTheme="minorEastAsia" w:eastAsiaTheme="minorEastAsia" w:cstheme="minorEastAsia"/>
          <w:bCs/>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1170"/>
        <w:ind w:firstLine="420"/>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六、开标和评标</w:t>
      </w:r>
      <w:bookmarkEnd w:id="24"/>
      <w:r/>
      <w:bookmarkEnd w:id="25"/>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23.开标</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23.1</w:t>
      </w:r>
      <w:r>
        <w:rPr>
          <w:rFonts w:hint="eastAsia" w:asciiTheme="minorEastAsia" w:hAnsiTheme="minorEastAsia" w:eastAsiaTheme="minorEastAsia" w:cstheme="minorEastAsia"/>
          <w:bCs/>
          <w:color w:val="auto"/>
          <w:sz w:val="21"/>
          <w:szCs w:val="21"/>
          <w:highlight w:val="none"/>
        </w:rPr>
        <w:t xml:space="preserve">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23.2</w:t>
      </w:r>
      <w:r>
        <w:rPr>
          <w:rFonts w:hint="eastAsia" w:asciiTheme="minorEastAsia" w:hAnsiTheme="minorEastAsia" w:eastAsiaTheme="minorEastAsia" w:cstheme="minorEastAsia"/>
          <w:bCs/>
          <w:color w:val="auto"/>
          <w:sz w:val="21"/>
          <w:szCs w:val="21"/>
          <w:highlight w:val="none"/>
        </w:rPr>
        <w:t xml:space="preserve">线上参加（观看）开标（开启）会方式：登录“苏采云”系统，点击“开标大厅”，选择对应项目，点击进入不见面开标系统。</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23.3</w:t>
      </w:r>
      <w:r>
        <w:rPr>
          <w:rFonts w:hint="eastAsia" w:asciiTheme="minorEastAsia" w:hAnsiTheme="minorEastAsia" w:eastAsiaTheme="minorEastAsia" w:cstheme="minorEastAsia"/>
          <w:bCs/>
          <w:color w:val="auto"/>
          <w:sz w:val="21"/>
          <w:szCs w:val="21"/>
          <w:highlight w:val="none"/>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23.4</w:t>
      </w:r>
      <w:r>
        <w:rPr>
          <w:rFonts w:hint="eastAsia" w:asciiTheme="minorEastAsia" w:hAnsiTheme="minorEastAsia" w:eastAsiaTheme="minorEastAsia" w:cstheme="minorEastAsia"/>
          <w:bCs/>
          <w:color w:val="auto"/>
          <w:sz w:val="21"/>
          <w:szCs w:val="21"/>
          <w:highlight w:val="none"/>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23.5</w:t>
      </w:r>
      <w:r>
        <w:rPr>
          <w:rFonts w:hint="eastAsia" w:asciiTheme="minorEastAsia" w:hAnsiTheme="minorEastAsia" w:eastAsiaTheme="minorEastAsia" w:cstheme="minorEastAsia"/>
          <w:bCs/>
          <w:color w:val="auto"/>
          <w:sz w:val="21"/>
          <w:szCs w:val="21"/>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23.6</w:t>
      </w:r>
      <w:r>
        <w:rPr>
          <w:rFonts w:hint="eastAsia" w:asciiTheme="minorEastAsia" w:hAnsiTheme="minorEastAsia" w:eastAsiaTheme="minorEastAsia" w:cstheme="minorEastAsia"/>
          <w:bCs/>
          <w:color w:val="auto"/>
          <w:sz w:val="21"/>
          <w:szCs w:val="21"/>
          <w:highlight w:val="none"/>
        </w:rPr>
        <w:t xml:space="preserve">投标人在“苏采云”系统规定的时间内未成功解密电子投标文件的，投标无效。</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23.7</w:t>
      </w:r>
      <w:r>
        <w:rPr>
          <w:rFonts w:hint="eastAsia" w:asciiTheme="minorEastAsia" w:hAnsiTheme="minorEastAsia" w:eastAsiaTheme="minorEastAsia" w:cstheme="minorEastAsia"/>
          <w:bCs/>
          <w:color w:val="auto"/>
          <w:sz w:val="21"/>
          <w:szCs w:val="21"/>
          <w:highlight w:val="none"/>
        </w:rPr>
        <w:t xml:space="preserve">至投标文件提交截止时间，递交投标文件的投标人不足三家的，不得开标。</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23.8</w:t>
      </w:r>
      <w:r>
        <w:rPr>
          <w:rFonts w:hint="eastAsia" w:asciiTheme="minorEastAsia" w:hAnsiTheme="minorEastAsia" w:eastAsiaTheme="minorEastAsia" w:cstheme="minorEastAsia"/>
          <w:bCs/>
          <w:color w:val="auto"/>
          <w:sz w:val="21"/>
          <w:szCs w:val="21"/>
          <w:highlight w:val="none"/>
        </w:rPr>
        <w:t xml:space="preserve">开标在招标文件规定的时间、地点进行，由采购人或采购代理机构主持，投标人参加（观看），评标委员会成员不得参加开标活动。</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w:t>
      </w:r>
      <w:r>
        <w:rPr>
          <w:rFonts w:hint="eastAsia" w:asciiTheme="minorEastAsia" w:hAnsiTheme="minorEastAsia" w:eastAsiaTheme="minorEastAsia" w:cstheme="minorEastAsia"/>
          <w:bCs/>
          <w:color w:val="auto"/>
          <w:sz w:val="21"/>
          <w:szCs w:val="21"/>
          <w:highlight w:val="none"/>
          <w:lang w:val="en-US"/>
        </w:rPr>
        <w:t xml:space="preserve">9</w:t>
      </w:r>
      <w:r>
        <w:rPr>
          <w:rFonts w:hint="eastAsia" w:asciiTheme="minorEastAsia" w:hAnsiTheme="minorEastAsia" w:eastAsiaTheme="minorEastAsia" w:cstheme="minorEastAsia"/>
          <w:bCs/>
          <w:color w:val="auto"/>
          <w:sz w:val="21"/>
          <w:szCs w:val="21"/>
          <w:highlight w:val="none"/>
        </w:rPr>
        <w:t xml:space="preserve">资格审查</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w:t>
      </w:r>
      <w:r>
        <w:rPr>
          <w:rFonts w:hint="eastAsia" w:asciiTheme="minorEastAsia" w:hAnsiTheme="minorEastAsia" w:eastAsiaTheme="minorEastAsia" w:cstheme="minorEastAsia"/>
          <w:bCs/>
          <w:color w:val="auto"/>
          <w:sz w:val="21"/>
          <w:szCs w:val="21"/>
          <w:highlight w:val="none"/>
          <w:lang w:val="en-US"/>
        </w:rPr>
        <w:t xml:space="preserve">9</w:t>
      </w:r>
      <w:r>
        <w:rPr>
          <w:rFonts w:hint="eastAsia" w:asciiTheme="minorEastAsia" w:hAnsiTheme="minorEastAsia" w:eastAsiaTheme="minorEastAsia" w:cstheme="minorEastAsia"/>
          <w:bCs/>
          <w:color w:val="auto"/>
          <w:sz w:val="21"/>
          <w:szCs w:val="21"/>
          <w:highlight w:val="none"/>
        </w:rPr>
        <w:t xml:space="preserve">.1公开招标采购项目开标结束后，采购人应当依法对投标人的资格进行审查，未通过资格审查的视为无效投标。</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w:t>
      </w:r>
      <w:r>
        <w:rPr>
          <w:rFonts w:hint="eastAsia" w:asciiTheme="minorEastAsia" w:hAnsiTheme="minorEastAsia" w:eastAsiaTheme="minorEastAsia" w:cstheme="minorEastAsia"/>
          <w:bCs/>
          <w:color w:val="auto"/>
          <w:sz w:val="21"/>
          <w:szCs w:val="21"/>
          <w:highlight w:val="none"/>
          <w:lang w:val="en-US"/>
        </w:rPr>
        <w:t xml:space="preserve">9</w:t>
      </w:r>
      <w:r>
        <w:rPr>
          <w:rFonts w:hint="eastAsia" w:asciiTheme="minorEastAsia" w:hAnsiTheme="minorEastAsia" w:eastAsiaTheme="minorEastAsia" w:cstheme="minorEastAsia"/>
          <w:bCs/>
          <w:color w:val="auto"/>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.2根据政府采购法及相关法规，以及苏州市财政局《关于印发苏州市市级政府采购信用记录查询和使用工作试行办法的通知》（苏财购（2017）11号）文件的规定，采购代理机构将对投标人进行信用查询：</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w:t>
      </w:r>
      <w:r>
        <w:rPr>
          <w:rFonts w:hint="eastAsia" w:asciiTheme="minorEastAsia" w:hAnsiTheme="minorEastAsia" w:eastAsiaTheme="minorEastAsia" w:cstheme="minorEastAsia"/>
          <w:bCs/>
          <w:color w:val="auto"/>
          <w:sz w:val="21"/>
          <w:szCs w:val="21"/>
          <w:highlight w:val="none"/>
          <w:lang w:val="en-US"/>
        </w:rPr>
        <w:t xml:space="preserve">9</w:t>
      </w:r>
      <w:r>
        <w:rPr>
          <w:rFonts w:hint="eastAsia" w:asciiTheme="minorEastAsia" w:hAnsiTheme="minorEastAsia" w:eastAsiaTheme="minorEastAsia" w:cstheme="minorEastAsia"/>
          <w:bCs/>
          <w:color w:val="auto"/>
          <w:sz w:val="21"/>
          <w:szCs w:val="21"/>
          <w:highlight w:val="none"/>
        </w:rPr>
        <w:t xml:space="preserve">.2.1查询时间：投标文件递交截止时间。</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w:t>
      </w:r>
      <w:r>
        <w:rPr>
          <w:rFonts w:hint="eastAsia" w:asciiTheme="minorEastAsia" w:hAnsiTheme="minorEastAsia" w:eastAsiaTheme="minorEastAsia" w:cstheme="minorEastAsia"/>
          <w:bCs/>
          <w:color w:val="auto"/>
          <w:sz w:val="21"/>
          <w:szCs w:val="21"/>
          <w:highlight w:val="none"/>
          <w:lang w:val="en-US"/>
        </w:rPr>
        <w:t xml:space="preserve">9</w:t>
      </w:r>
      <w:r>
        <w:rPr>
          <w:rFonts w:hint="eastAsia" w:asciiTheme="minorEastAsia" w:hAnsiTheme="minorEastAsia" w:eastAsiaTheme="minorEastAsia" w:cstheme="minorEastAsia"/>
          <w:bCs/>
          <w:color w:val="auto"/>
          <w:sz w:val="21"/>
          <w:szCs w:val="21"/>
          <w:highlight w:val="none"/>
        </w:rPr>
        <w:t xml:space="preserve">.2.2查询渠道：通过“信用中国”</w:t>
      </w:r>
      <w:r>
        <w:rPr>
          <w:rFonts w:hint="eastAsia" w:asciiTheme="minorEastAsia" w:hAnsiTheme="minorEastAsia" w:eastAsiaTheme="minorEastAsia" w:cstheme="minorEastAsia"/>
          <w:bCs/>
          <w:color w:val="auto"/>
          <w:sz w:val="21"/>
          <w:szCs w:val="21"/>
          <w:highlight w:val="none"/>
          <w:lang w:val="en-US"/>
        </w:rPr>
        <w:t xml:space="preserve">或</w:t>
      </w:r>
      <w:r>
        <w:rPr>
          <w:rFonts w:hint="eastAsia" w:asciiTheme="minorEastAsia" w:hAnsiTheme="minorEastAsia" w:eastAsiaTheme="minorEastAsia" w:cstheme="minorEastAsia"/>
          <w:bCs/>
          <w:color w:val="auto"/>
          <w:sz w:val="21"/>
          <w:szCs w:val="21"/>
          <w:highlight w:val="none"/>
        </w:rPr>
        <w:t xml:space="preserve">“中国政府采购网”上的信用信息查询供应商的信用记录。</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w:t>
      </w:r>
      <w:r>
        <w:rPr>
          <w:rFonts w:hint="eastAsia" w:asciiTheme="minorEastAsia" w:hAnsiTheme="minorEastAsia" w:eastAsiaTheme="minorEastAsia" w:cstheme="minorEastAsia"/>
          <w:bCs/>
          <w:color w:val="auto"/>
          <w:sz w:val="21"/>
          <w:szCs w:val="21"/>
          <w:highlight w:val="none"/>
          <w:lang w:val="en-US"/>
        </w:rPr>
        <w:t xml:space="preserve">9</w:t>
      </w:r>
      <w:r>
        <w:rPr>
          <w:rFonts w:hint="eastAsia" w:asciiTheme="minorEastAsia" w:hAnsiTheme="minorEastAsia" w:eastAsiaTheme="minorEastAsia" w:cstheme="minorEastAsia"/>
          <w:bCs/>
          <w:color w:val="auto"/>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w:t>
      </w:r>
      <w:r>
        <w:rPr>
          <w:rFonts w:hint="eastAsia" w:asciiTheme="minorEastAsia" w:hAnsiTheme="minorEastAsia" w:eastAsiaTheme="minorEastAsia" w:cstheme="minorEastAsia"/>
          <w:bCs/>
          <w:color w:val="auto"/>
          <w:sz w:val="21"/>
          <w:szCs w:val="21"/>
          <w:highlight w:val="none"/>
          <w:lang w:val="en-US"/>
        </w:rPr>
        <w:t xml:space="preserve">9</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rPr>
        <w:t xml:space="preserve">2.4</w:t>
      </w:r>
      <w:r>
        <w:rPr>
          <w:rFonts w:hint="eastAsia" w:asciiTheme="minorEastAsia" w:hAnsiTheme="minorEastAsia" w:eastAsiaTheme="minorEastAsia" w:cstheme="minorEastAsia"/>
          <w:bCs/>
          <w:color w:val="auto"/>
          <w:sz w:val="21"/>
          <w:szCs w:val="21"/>
          <w:highlight w:val="none"/>
        </w:rPr>
        <w:t xml:space="preserve">信用记录使用规则：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（一）政府采购严重违法记录，即供应商被全国各级财政部门列入“政府采购严重违法失信行为记录名单”，且在处罚有效期内的。</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（二）财政部门与法院、工商、税务等部门联合惩戒的失信信息，包括：</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（1）被列入失信被执行人名单；</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（2）被列入重大税收违法案件当事人名单；</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23.9.2.5</w:t>
      </w:r>
      <w:r>
        <w:rPr>
          <w:rFonts w:hint="eastAsia" w:asciiTheme="minorEastAsia" w:hAnsiTheme="minorEastAsia" w:eastAsiaTheme="minorEastAsia" w:cstheme="minorEastAsia"/>
          <w:bCs/>
          <w:color w:val="auto"/>
          <w:sz w:val="21"/>
          <w:szCs w:val="21"/>
          <w:highlight w:val="none"/>
        </w:rPr>
        <w:t xml:space="preserve">接受联合体的项目，两个以上的自然人、法人或者其他组织组成一个联合体，以一个投标人的身份共同参加政府采购活动的，联合体成员其中一名成员存在失信信息的，视同联合体存在失信信息。</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24.评标委员会</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24.1评标委员会负责具体评标事务，并独立履行下列职责：</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24.1.1审查、评价投标文件是否符合招标文件的商务、技术等实质性要求；</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24.1.2要求投标人对投标文件有关事项作出澄清或者说明；</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24.1.3对投标文件进行比较和评价；</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24.1.4确定中标候选人名单，以及根据采购人委托直接确定中标人；</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24.1.5向采购人、采购代理机构或者有关部门报告评标中发现的违法行为。</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24.2评标委员会成员应当履行下列义务：</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24.2.1遵纪守法，客观、公正、廉洁地履行职责；</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24.2.2按照招标文件规定的评标办法和评标标准进行评标，对评审意见承担个人责任；</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24.2.3对评标过程和结果，以及投标人的商业秘密保密；</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24.2.4评标委员会根据全体评标成员签字的原始评标记录和评标结果编写评标报告。评标报告应当包括以下内容： </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（一）招标公告刊登的媒体名称、开标日期和地点；</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（二）投标人名单和评标委员会成员名单；</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（三）评标方法和标准；</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（四）开标记录和评标情况及说明，包括无效投标人名单及原因；</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（五）评标结果，确定的中标候选人名单或者经采购人委托直接确定的中标人；</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（六）其他需要说明的情况，包括评标过程中投标人根据评标委员会要求进行的澄清、说明或者补正，评标委员会成员的更换等。</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24.2.5配合相关部门的投诉处理工作；</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24.2.6配合采购人和采购代理机构答复投标人提出的质疑。</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25.评标内容的保密</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25.1公开开标后，直到宣布授予中标合同为止，凡属于审查、澄清、评价和比较投标的所有资料，有关授予合同的信息都不应向投标人或与评标无关的其他人泄露。</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25.2在投标文件的审查、澄清、评价和比较以及授予合同的过程中，投标人对采购人、采购代理机构和评标委员会成员施加影响的任何行为，都将取消其中标资格。</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26.对投标文件初审</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26.1评标委员会应当对符合资格的投标人的投标文件进行符合性审查，以确定其是否满足招标文件的实质性要求。</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投标文件有下列情况之一者评标委员会有权将其拒绝：</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26.1.1投标人的投标文件未按照本须知规定制作的；</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26.1.2未按本须知规定提交资格文件；</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26.1.3与招标文件有重大偏离；</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26.1.4投标人拒绝修正错误；</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26.1.5投标人的报价是选择性的；</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26.1.6投标人的报价只投了部分内容；</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26.1.7投标人的投标文件出现了评标委员会认为不应当雷同的情况；</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26.1.8其他被评委会认定无效的情况。</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26.3投标文件报价出现前后不一致的，除招标文件另有规定外，按照下列规定修正：</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（一）投标文件中开标一览表（报价表）内容与投标文件中相应内容不一致的，以开标一览表（报价表）为准；</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（二）大写金额和小写金额不一致的，以大写金额为准；</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（三）单价金额小数点或者百分比有明显错位的，以开标一览表的总价为准，并修改单价；</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（四）总价金额与按单价汇总金额不一致的，以单价金额计算结果为准。</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70"/>
        <w:ind w:firstLine="420"/>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26.4异常低价响应审查：</w:t>
      </w:r>
      <w:r/>
    </w:p>
    <w:p>
      <w:pPr>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*（一）评审过程中出现下列情形之一的，评审委员会应当启动异常低价投标（响应）审查程序： </w:t>
      </w:r>
      <w:r/>
    </w:p>
    <w:p>
      <w:pPr>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1．投标（响应）报价低于全部通过符合性审查供应商投标（响应）报价平均值50%的，即投标（响应）报价&lt;全部通过符合性审查供应商投标（响应）报价平均值×50%； </w:t>
      </w:r>
      <w:r/>
    </w:p>
    <w:p>
      <w:pPr>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2．投标（响应）报价低于通过符合性审查的次低报价供应商投标（响应）报价50%的，即投标（响应）报价&lt;通过符合性审查的次低报价供应商投标（响应）报价×50%； </w:t>
      </w:r>
      <w:r/>
    </w:p>
    <w:p>
      <w:pPr>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3．投标（响应）报价低于采购项目最高限价45%的，即投标（响应）报价&lt;采购项目最高限价×45%；</w:t>
      </w:r>
      <w:r/>
    </w:p>
    <w:p>
      <w:pPr>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4.评审委员会基于专业判断，认为供应商报价过低，有可能影响产品质量或者不能诚信履约的其他情形。 </w:t>
      </w:r>
      <w:r/>
    </w:p>
    <w:p>
      <w:pPr>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42"/>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Theme="minorEastAsia" w:hAnsiTheme="minorEastAsia" w:eastAsiaTheme="minorEastAsia" w:cstheme="minorEastAsia"/>
          <w:bCs/>
          <w:color w:val="auto"/>
          <w:szCs w:val="21"/>
          <w:highlight w:val="none"/>
        </w:rPr>
      </w:pPr>
      <w:r>
        <w:rPr>
          <w:rFonts w:hint="eastAsia" w:ascii="宋体" w:hAnsi="宋体" w:cs="宋体"/>
          <w:b/>
          <w:bCs/>
          <w:color w:val="auto"/>
          <w:sz w:val="22"/>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26.5 评标委员会成员对需要共同认定的事项存在争议的，应当按照少数服从多数的原则作出结论。持不同意见的评标委员会成员应当在评标报告上签署不同意见及理由，否则视为同意评标报告。</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27.投标的澄清</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27.1对于投标文件中含义不明确、同类问题表述不一致或者有明显文字和计算错误的内容，评标委员会应当以书面形式要求投标人作出必要的澄清、说明或者补正。</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27.2投标人的澄清、说明或者补正应当采用书面形式，并加盖</w:t>
      </w:r>
      <w:r>
        <w:rPr>
          <w:rFonts w:hint="eastAsia" w:asciiTheme="minorEastAsia" w:hAnsiTheme="minorEastAsia" w:eastAsiaTheme="minorEastAsia" w:cstheme="minorEastAsia"/>
          <w:bCs/>
          <w:color w:val="auto"/>
          <w:sz w:val="21"/>
          <w:szCs w:val="21"/>
          <w:highlight w:val="none"/>
          <w:lang w:val="en-US"/>
        </w:rPr>
        <w:t xml:space="preserve">其单位电子</w:t>
      </w:r>
      <w:r>
        <w:rPr>
          <w:rFonts w:hint="eastAsia" w:asciiTheme="minorEastAsia" w:hAnsiTheme="minorEastAsia" w:eastAsiaTheme="minorEastAsia" w:cstheme="minorEastAsia"/>
          <w:bCs/>
          <w:color w:val="auto"/>
          <w:sz w:val="21"/>
          <w:szCs w:val="21"/>
          <w:highlight w:val="none"/>
        </w:rPr>
        <w:t xml:space="preserve">公章。投标人的澄清、说明或者补正不得超出投标文件的范围或者改变投标文件的实质性内容。</w:t>
      </w:r>
      <w:r/>
    </w:p>
    <w:p>
      <w:pPr>
        <w:pStyle w:val="1170"/>
        <w:ind w:firstLine="422"/>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28.投标无效</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28.1投标人存在下列情况之一的，投标无效:</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rPr>
        <w:t xml:space="preserve">一</w:t>
      </w:r>
      <w:r>
        <w:rPr>
          <w:rFonts w:hint="eastAsia" w:asciiTheme="minorEastAsia" w:hAnsiTheme="minorEastAsia" w:eastAsiaTheme="minorEastAsia" w:cstheme="minorEastAsia"/>
          <w:bCs/>
          <w:color w:val="auto"/>
          <w:sz w:val="21"/>
          <w:szCs w:val="21"/>
          <w:highlight w:val="none"/>
        </w:rPr>
        <w:t xml:space="preserve">）投标文件未按招标文件要求签署、盖章的；</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rPr>
        <w:t xml:space="preserve">二</w:t>
      </w:r>
      <w:r>
        <w:rPr>
          <w:rFonts w:hint="eastAsia" w:asciiTheme="minorEastAsia" w:hAnsiTheme="minorEastAsia" w:eastAsiaTheme="minorEastAsia" w:cstheme="minorEastAsia"/>
          <w:bCs/>
          <w:color w:val="auto"/>
          <w:sz w:val="21"/>
          <w:szCs w:val="21"/>
          <w:highlight w:val="none"/>
        </w:rPr>
        <w:t xml:space="preserve">）不具备招标文件中规定的资格要求的；</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rPr>
        <w:t xml:space="preserve">三</w:t>
      </w:r>
      <w:r>
        <w:rPr>
          <w:rFonts w:hint="eastAsia" w:asciiTheme="minorEastAsia" w:hAnsiTheme="minorEastAsia" w:eastAsiaTheme="minorEastAsia" w:cstheme="minorEastAsia"/>
          <w:bCs/>
          <w:color w:val="auto"/>
          <w:sz w:val="21"/>
          <w:szCs w:val="21"/>
          <w:highlight w:val="none"/>
        </w:rPr>
        <w:t xml:space="preserve">）报价超过招标文件中规定的预算金额或者最高限价的；</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rPr>
        <w:t xml:space="preserve">四</w:t>
      </w:r>
      <w:r>
        <w:rPr>
          <w:rFonts w:hint="eastAsia" w:asciiTheme="minorEastAsia" w:hAnsiTheme="minorEastAsia" w:eastAsiaTheme="minorEastAsia" w:cstheme="minorEastAsia"/>
          <w:bCs/>
          <w:color w:val="auto"/>
          <w:sz w:val="21"/>
          <w:szCs w:val="21"/>
          <w:highlight w:val="none"/>
        </w:rPr>
        <w:t xml:space="preserve">）投标文件含有采购人不能接受的附加条件的；</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（五）法律、法规和招标文件规定的其他无效情形。</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28.2投标人应当遵循公平竞争的原则，不得恶意串通，不得妨碍其他投标人的竞争行为，不得损害采购人或者其他投标人的合法权益。</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在评标过程中发现投标人有上述情形的，评标委员会应当认定其投标无效，并书面报告本级财政部门。</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28.3有下列情形之一的，视为投标人串通投标，其投标无效：</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（一）不同投标人的投标文件由同一单位或者个人编制；</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（二）不同投标人委托同一单位或者个人办理投标事宜；</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（三）不同投标人的投标文件载明的项目管理成员或者联系人员为同一人；</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（四）不同投标人的投标文件异常一致或者投标报价呈规律性差异；</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（五）不同投标人的投标文件相互混装。</w:t>
      </w:r>
      <w:r/>
    </w:p>
    <w:p>
      <w:pPr>
        <w:pStyle w:val="1170"/>
        <w:ind w:firstLine="420"/>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w:t>
      </w:r>
      <w:r>
        <w:rPr>
          <w:rFonts w:hint="eastAsia" w:asciiTheme="minorEastAsia" w:hAnsiTheme="minorEastAsia" w:eastAsiaTheme="minorEastAsia" w:cstheme="minorEastAsia"/>
          <w:b/>
          <w:color w:val="auto"/>
          <w:sz w:val="21"/>
          <w:szCs w:val="21"/>
          <w:highlight w:val="none"/>
          <w:lang w:val="en-US"/>
        </w:rPr>
        <w:t xml:space="preserve">六</w:t>
      </w:r>
      <w:r>
        <w:rPr>
          <w:rFonts w:hint="eastAsia" w:asciiTheme="minorEastAsia" w:hAnsiTheme="minorEastAsia" w:eastAsiaTheme="minorEastAsia" w:cstheme="minorEastAsia"/>
          <w:b/>
          <w:color w:val="auto"/>
          <w:sz w:val="21"/>
          <w:szCs w:val="21"/>
          <w:highlight w:val="none"/>
        </w:rPr>
        <w:t xml:space="preserve">）不同</w:t>
      </w:r>
      <w:r>
        <w:rPr>
          <w:rFonts w:hint="eastAsia" w:asciiTheme="minorEastAsia" w:hAnsiTheme="minorEastAsia" w:eastAsiaTheme="minorEastAsia" w:cstheme="minorEastAsia"/>
          <w:b/>
          <w:color w:val="auto"/>
          <w:sz w:val="21"/>
          <w:szCs w:val="21"/>
          <w:highlight w:val="none"/>
          <w:lang w:val="en-US"/>
        </w:rPr>
        <w:t xml:space="preserve">投标人</w:t>
      </w:r>
      <w:r>
        <w:rPr>
          <w:rFonts w:hint="eastAsia" w:asciiTheme="minorEastAsia" w:hAnsiTheme="minorEastAsia" w:eastAsiaTheme="minorEastAsia" w:cstheme="minorEastAsia"/>
          <w:b/>
          <w:color w:val="auto"/>
          <w:sz w:val="21"/>
          <w:szCs w:val="21"/>
          <w:highlight w:val="none"/>
        </w:rPr>
        <w:t xml:space="preserve">投标（响应）文件‘机器码一致’</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29.废标</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29.1在招标过程中，出现下列情况之一的，应予废标：</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29.1.1符合专业条件的投标人或者对招标文件作实质投标的投标人不足</w:t>
      </w:r>
      <w:r>
        <w:rPr>
          <w:rFonts w:hint="eastAsia" w:asciiTheme="minorEastAsia" w:hAnsiTheme="minorEastAsia" w:eastAsiaTheme="minorEastAsia" w:cstheme="minorEastAsia"/>
          <w:bCs/>
          <w:color w:val="auto"/>
          <w:sz w:val="21"/>
          <w:szCs w:val="21"/>
          <w:highlight w:val="none"/>
          <w:lang w:val="en-US"/>
        </w:rPr>
        <w:t xml:space="preserve">三</w:t>
      </w:r>
      <w:r>
        <w:rPr>
          <w:rFonts w:hint="eastAsia" w:asciiTheme="minorEastAsia" w:hAnsiTheme="minorEastAsia" w:eastAsiaTheme="minorEastAsia" w:cstheme="minorEastAsia"/>
          <w:bCs/>
          <w:color w:val="auto"/>
          <w:sz w:val="21"/>
          <w:szCs w:val="21"/>
          <w:highlight w:val="none"/>
        </w:rPr>
        <w:t xml:space="preserve">家的；</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29.1.2出现影响采购公正的违法、违规行为的；</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29.1.3投标人的报价均超过了采购预算，采购人不能支付的；</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28.1.4因重大变故，采购任务取消的；</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29.2废标后，采购人和采购代理机构将把废标的理由通知所有投标人。</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30.投标文件的评价和比较</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30.2最低的投标报价或最高的折扣比例是中标的重要条件，但不是唯一条件。</w:t>
      </w:r>
      <w:bookmarkStart w:id="26" w:name="_Toc18442"/>
      <w:r/>
      <w:bookmarkStart w:id="27" w:name="_Toc19501"/>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31.中标单位的确认</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31.1评标委员会根据投标人资格审查情况，对投标文件进行评价和比较，按照评标办法和标准进行评标，并按采购人的委托向采购人推荐中标人。</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31.2</w:t>
      </w:r>
      <w:r>
        <w:rPr>
          <w:rFonts w:hint="eastAsia" w:asciiTheme="minorEastAsia" w:hAnsiTheme="minorEastAsia" w:eastAsiaTheme="minorEastAsia" w:cstheme="minorEastAsia"/>
          <w:bCs/>
          <w:color w:val="auto"/>
          <w:sz w:val="21"/>
          <w:szCs w:val="21"/>
          <w:highlight w:val="none"/>
        </w:rPr>
        <w:t xml:space="preserve">评标委员会根据招标文件评标办法及评分标准推荐3名中标候选人，并编写评审报告。中标候选人并列的，按照招标文件规定的方式确定排序；招标文件未规定的，采取随机抽取的方式确定排序。</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bookmarkStart w:id="28" w:name="_Hlk141978847"/>
      <w:r>
        <w:rPr>
          <w:rFonts w:hint="eastAsia" w:asciiTheme="minorEastAsia" w:hAnsiTheme="minorEastAsia" w:eastAsiaTheme="minorEastAsia" w:cstheme="minorEastAsia"/>
          <w:bCs/>
          <w:color w:val="auto"/>
          <w:sz w:val="21"/>
          <w:szCs w:val="21"/>
          <w:highlight w:val="none"/>
          <w:lang w:val="en-US"/>
        </w:rPr>
        <w:t xml:space="preserve">31.3</w:t>
      </w:r>
      <w:r>
        <w:rPr>
          <w:rFonts w:hint="eastAsia" w:asciiTheme="minorEastAsia" w:hAnsiTheme="minorEastAsia" w:eastAsiaTheme="minorEastAsia" w:cstheme="minorEastAsia"/>
          <w:bCs/>
          <w:color w:val="auto"/>
          <w:sz w:val="21"/>
          <w:szCs w:val="21"/>
          <w:highlight w:val="none"/>
        </w:rPr>
        <w:t xml:space="preserve">采购代理机构应当在评审结束后2个工作日内将评审报告送采购人确认。</w:t>
      </w:r>
      <w:bookmarkEnd w:id="28"/>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31.4</w:t>
      </w:r>
      <w:r>
        <w:rPr>
          <w:rFonts w:hint="eastAsia" w:asciiTheme="minorEastAsia" w:hAnsiTheme="minorEastAsia" w:eastAsiaTheme="minorEastAsia" w:cstheme="minorEastAsia"/>
          <w:bCs/>
          <w:color w:val="auto"/>
          <w:sz w:val="21"/>
          <w:szCs w:val="21"/>
          <w:highlight w:val="none"/>
        </w:rPr>
        <w:t xml:space="preserve">采购人或者采购代理机构应当自中标人确定之日起2个工作日内将中标人在政府采购信息媒体上发布中标公告，中标公告期限为1个工作日。</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bookmarkStart w:id="29" w:name="_Hlk159251073"/>
      <w:r>
        <w:rPr>
          <w:rFonts w:hint="eastAsia" w:asciiTheme="minorEastAsia" w:hAnsiTheme="minorEastAsia" w:eastAsiaTheme="minorEastAsia" w:cstheme="minorEastAsia"/>
          <w:bCs/>
          <w:color w:val="auto"/>
          <w:sz w:val="21"/>
          <w:szCs w:val="21"/>
          <w:highlight w:val="none"/>
          <w:lang w:val="en-US"/>
        </w:rPr>
        <w:t xml:space="preserve">31.5</w:t>
      </w:r>
      <w:r>
        <w:rPr>
          <w:rFonts w:hint="eastAsia" w:asciiTheme="minorEastAsia" w:hAnsiTheme="minorEastAsia" w:eastAsiaTheme="minorEastAsia" w:cstheme="minorEastAsia"/>
          <w:bCs/>
          <w:color w:val="auto"/>
          <w:sz w:val="21"/>
          <w:szCs w:val="21"/>
          <w:highlight w:val="none"/>
        </w:rPr>
        <w:t xml:space="preserve">在公告中标结果的同时，</w:t>
      </w:r>
      <w:bookmarkStart w:id="30" w:name="_Hlk132385599"/>
      <w:r/>
      <w:bookmarkStart w:id="31" w:name="_Hlk132385577"/>
      <w:r>
        <w:rPr>
          <w:rFonts w:hint="eastAsia" w:asciiTheme="minorEastAsia" w:hAnsiTheme="minorEastAsia" w:eastAsiaTheme="minorEastAsia" w:cstheme="minorEastAsia"/>
          <w:bCs/>
          <w:color w:val="auto"/>
          <w:sz w:val="21"/>
          <w:szCs w:val="21"/>
          <w:highlight w:val="none"/>
        </w:rPr>
        <w:t xml:space="preserve">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30"/>
      <w:r/>
      <w:bookmarkEnd w:id="31"/>
      <w:r>
        <w:rPr>
          <w:rFonts w:hint="eastAsia" w:asciiTheme="minorEastAsia" w:hAnsiTheme="minorEastAsia" w:eastAsiaTheme="minorEastAsia" w:cstheme="minorEastAsia"/>
          <w:bCs/>
          <w:color w:val="auto"/>
          <w:sz w:val="21"/>
          <w:szCs w:val="21"/>
          <w:highlight w:val="none"/>
        </w:rPr>
        <w:t xml:space="preserve">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bookmarkEnd w:id="29"/>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31.6</w:t>
      </w:r>
      <w:r>
        <w:rPr>
          <w:rFonts w:hint="eastAsia" w:asciiTheme="minorEastAsia" w:hAnsiTheme="minorEastAsia" w:eastAsiaTheme="minorEastAsia" w:cstheme="minorEastAsia"/>
          <w:bCs/>
          <w:color w:val="auto"/>
          <w:sz w:val="21"/>
          <w:szCs w:val="21"/>
          <w:highlight w:val="none"/>
        </w:rPr>
        <w:t xml:space="preserve">中标通知书发出后，采购人不得违法改变中标结果，中标人无正当理由不得放弃中标。</w:t>
      </w:r>
      <w:r/>
    </w:p>
    <w:p>
      <w:pPr>
        <w:pStyle w:val="1170"/>
        <w:ind w:firstLine="420"/>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rPr>
        <w:t xml:space="preserve">32.</w:t>
      </w:r>
      <w:r>
        <w:rPr>
          <w:rFonts w:hint="eastAsia" w:asciiTheme="minorEastAsia" w:hAnsiTheme="minorEastAsia" w:eastAsiaTheme="minorEastAsia" w:cstheme="minorEastAsia"/>
          <w:b/>
          <w:color w:val="auto"/>
          <w:sz w:val="21"/>
          <w:szCs w:val="21"/>
          <w:highlight w:val="none"/>
        </w:rPr>
        <w:t xml:space="preserve">履约保证金（</w:t>
      </w:r>
      <w:r>
        <w:rPr>
          <w:rFonts w:hint="eastAsia" w:asciiTheme="minorEastAsia" w:hAnsiTheme="minorEastAsia" w:eastAsiaTheme="minorEastAsia" w:cstheme="minorEastAsia"/>
          <w:b/>
          <w:color w:val="auto"/>
          <w:sz w:val="21"/>
          <w:szCs w:val="21"/>
          <w:highlight w:val="none"/>
          <w:lang w:val="en-US"/>
        </w:rPr>
        <w:t xml:space="preserve">本项目无</w:t>
      </w:r>
      <w:r>
        <w:rPr>
          <w:rFonts w:hint="eastAsia" w:asciiTheme="minorEastAsia" w:hAnsiTheme="minorEastAsia" w:eastAsiaTheme="minorEastAsia" w:cstheme="minorEastAsia"/>
          <w:b/>
          <w:color w:val="auto"/>
          <w:sz w:val="21"/>
          <w:szCs w:val="21"/>
          <w:highlight w:val="none"/>
        </w:rPr>
        <w:t xml:space="preserve">）</w:t>
      </w:r>
      <w:r/>
    </w:p>
    <w:p>
      <w:pPr>
        <w:pStyle w:val="1170"/>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在签订政府采购合同后，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七、授予合同</w:t>
      </w:r>
      <w:bookmarkEnd w:id="26"/>
      <w:r/>
      <w:bookmarkEnd w:id="27"/>
      <w:r/>
      <w:r/>
    </w:p>
    <w:p>
      <w:pPr>
        <w:pStyle w:val="1170"/>
        <w:ind w:firstLine="420"/>
        <w:spacing w:line="360" w:lineRule="auto"/>
        <w:rPr>
          <w:rFonts w:asciiTheme="minorEastAsia" w:hAnsiTheme="minorEastAsia" w:eastAsiaTheme="minorEastAsia" w:cstheme="minorEastAsia"/>
          <w:b/>
          <w:color w:val="auto"/>
          <w:sz w:val="21"/>
          <w:szCs w:val="21"/>
          <w:highlight w:val="none"/>
          <w:lang w:val="en-US"/>
        </w:rPr>
      </w:pPr>
      <w:r/>
      <w:bookmarkStart w:id="32" w:name="_Toc8186"/>
      <w:r/>
      <w:bookmarkStart w:id="33" w:name="_Toc21029"/>
      <w:r>
        <w:rPr>
          <w:rFonts w:hint="eastAsia" w:asciiTheme="minorEastAsia" w:hAnsiTheme="minorEastAsia" w:eastAsiaTheme="minorEastAsia" w:cstheme="minorEastAsia"/>
          <w:b/>
          <w:color w:val="auto"/>
          <w:sz w:val="21"/>
          <w:szCs w:val="21"/>
          <w:highlight w:val="none"/>
          <w:lang w:val="en-US"/>
        </w:rPr>
        <w:t xml:space="preserve">33.合同</w:t>
      </w:r>
      <w:r/>
    </w:p>
    <w:p>
      <w:pPr>
        <w:pStyle w:val="1170"/>
        <w:ind w:firstLine="420"/>
        <w:spacing w:line="360" w:lineRule="auto"/>
        <w:rPr>
          <w:rFonts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sz w:val="21"/>
          <w:szCs w:val="21"/>
          <w:highlight w:val="none"/>
          <w:lang w:val="en-US"/>
        </w:rPr>
        <w:t xml:space="preserve">33.1采购人应当原则上应当自中标通知书发出之日起15日内（最迟30日内），按照招标文件及投标文件规定与中标人签订政府采购合同。</w:t>
      </w:r>
      <w:r/>
    </w:p>
    <w:p>
      <w:pPr>
        <w:pStyle w:val="1170"/>
        <w:ind w:firstLine="420"/>
        <w:spacing w:line="360" w:lineRule="auto"/>
        <w:rPr>
          <w:rFonts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sz w:val="21"/>
          <w:szCs w:val="21"/>
          <w:highlight w:val="none"/>
          <w:lang w:val="en-US"/>
        </w:rPr>
        <w:t xml:space="preserve">33.2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pStyle w:val="1170"/>
        <w:ind w:firstLine="420"/>
        <w:spacing w:line="360" w:lineRule="auto"/>
        <w:rPr>
          <w:rFonts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sz w:val="21"/>
          <w:szCs w:val="21"/>
          <w:highlight w:val="none"/>
          <w:lang w:val="en-US"/>
        </w:rPr>
        <w:t xml:space="preserve">33.3采购合同履行中，采购人需追加与合同标的相同的服务或货物的，在不改变合同其他条款的前提下，可以与供应商协商签订补充合同，但所有补充合同的采购金额不得超过原合同采购金额的百分之十。</w:t>
      </w:r>
      <w:r/>
    </w:p>
    <w:p>
      <w:pPr>
        <w:pStyle w:val="1170"/>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八、其他事项</w:t>
      </w:r>
      <w:bookmarkEnd w:id="32"/>
      <w:r/>
      <w:bookmarkEnd w:id="33"/>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34.相关政策</w:t>
      </w:r>
      <w:r/>
    </w:p>
    <w:p>
      <w:pPr>
        <w:ind w:firstLine="420"/>
        <w:spacing w:line="360" w:lineRule="auto"/>
        <w:tabs>
          <w:tab w:val="left" w:pos="567" w:leader="none"/>
        </w:tabs>
        <w:rPr>
          <w:rFonts w:ascii="宋体" w:hAnsi="宋体" w:cs="宋体"/>
          <w:color w:val="auto"/>
          <w:szCs w:val="21"/>
          <w:highlight w:val="none"/>
        </w:rPr>
      </w:pPr>
      <w:r/>
      <w:bookmarkStart w:id="34" w:name="OLE_LINK10"/>
      <w:r>
        <w:rPr>
          <w:rFonts w:hint="eastAsia" w:ascii="宋体" w:hAnsi="宋体" w:cs="宋体"/>
          <w:color w:val="auto"/>
          <w:szCs w:val="21"/>
          <w:highlight w:val="none"/>
        </w:rPr>
        <w:t xml:space="preserve">34.1小、微企业</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40"/>
        <w:spacing w:line="360" w:lineRule="auto"/>
        <w:rPr>
          <w:rFonts w:ascii="宋体" w:hAnsi="宋体"/>
          <w:b/>
          <w:color w:val="auto"/>
          <w:highlight w:val="none"/>
          <w:u w:val="single"/>
        </w:rPr>
      </w:pPr>
      <w:r>
        <w:rPr>
          <w:rFonts w:hint="eastAsia" w:ascii="宋体" w:hAnsi="宋体"/>
          <w:bCs/>
          <w:color w:val="auto"/>
          <w:sz w:val="22"/>
          <w:highlight w:val="none"/>
        </w:rPr>
        <w:t xml:space="preserve">本项目属于</w:t>
      </w:r>
      <w:r>
        <w:rPr>
          <w:rFonts w:hint="eastAsia" w:ascii="宋体" w:hAnsi="宋体"/>
          <w:b/>
          <w:color w:val="auto"/>
          <w:highlight w:val="none"/>
          <w:u w:val="single"/>
        </w:rPr>
        <w:t xml:space="preserve">专门面向中小企业采购,不再执行价格评审优惠的扶持政策。</w:t>
      </w:r>
      <w:r/>
    </w:p>
    <w:p>
      <w:pPr>
        <w:ind w:firstLine="420"/>
        <w:spacing w:line="360" w:lineRule="auto"/>
        <w:tabs>
          <w:tab w:val="left" w:pos="567" w:leader="none"/>
        </w:tabs>
        <w:rPr>
          <w:b/>
          <w:bCs/>
          <w:color w:val="auto"/>
          <w:szCs w:val="21"/>
          <w:highlight w:val="none"/>
        </w:rPr>
      </w:pPr>
      <w:r>
        <w:rPr>
          <w:rFonts w:hint="eastAsia"/>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bCs/>
          <w:color w:val="auto"/>
          <w:szCs w:val="21"/>
          <w:highlight w:val="none"/>
        </w:rPr>
        <w:t xml:space="preserve">服务类项目中供应商若使用退休人员，将不享受相关扶持政策。</w:t>
      </w:r>
      <w:r/>
    </w:p>
    <w:p>
      <w:pPr>
        <w:ind w:firstLine="422"/>
        <w:spacing w:line="360" w:lineRule="auto"/>
        <w:tabs>
          <w:tab w:val="left" w:pos="567" w:leader="none"/>
        </w:tabs>
        <w:rPr>
          <w:rFonts w:cs="宋体"/>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w:t>
      </w:r>
      <w:bookmarkStart w:id="35" w:name="OLE_LINK16"/>
      <w:r>
        <w:rPr>
          <w:rFonts w:hint="eastAsia" w:ascii="宋体" w:hAnsi="宋体" w:cs="宋体"/>
          <w:b/>
          <w:bCs/>
          <w:color w:val="auto"/>
          <w:szCs w:val="21"/>
          <w:highlight w:val="none"/>
        </w:rPr>
        <w:t xml:space="preserve">其他未列明行业。</w:t>
      </w:r>
      <w:bookmarkEnd w:id="34"/>
      <w:r/>
      <w:bookmarkEnd w:id="35"/>
      <w:r/>
      <w:r/>
    </w:p>
    <w:p>
      <w:pPr>
        <w:ind w:firstLine="420"/>
        <w:spacing w:line="360" w:lineRule="auto"/>
        <w:tabs>
          <w:tab w:val="left" w:pos="567" w:leader="none"/>
        </w:tabs>
        <w:rPr>
          <w:color w:val="auto"/>
          <w:szCs w:val="21"/>
          <w:highlight w:val="none"/>
        </w:rPr>
      </w:pPr>
      <w:r>
        <w:rPr>
          <w:rFonts w:hint="eastAsia"/>
          <w:color w:val="auto"/>
          <w:szCs w:val="21"/>
          <w:highlight w:val="none"/>
        </w:rPr>
        <w:t xml:space="preserve">34.2残疾人福利性单位</w:t>
      </w:r>
      <w:r/>
    </w:p>
    <w:p>
      <w:pPr>
        <w:ind w:firstLine="420"/>
        <w:spacing w:line="360" w:lineRule="auto"/>
        <w:tabs>
          <w:tab w:val="left" w:pos="567" w:leader="none"/>
        </w:tabs>
        <w:rPr>
          <w:color w:val="auto"/>
          <w:szCs w:val="21"/>
          <w:highlight w:val="none"/>
        </w:rPr>
      </w:pPr>
      <w:r>
        <w:rPr>
          <w:rFonts w:hint="eastAsia"/>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color w:val="auto"/>
          <w:szCs w:val="21"/>
          <w:highlight w:val="none"/>
        </w:rPr>
      </w:pPr>
      <w:r>
        <w:rPr>
          <w:rFonts w:hint="eastAsia"/>
          <w:color w:val="auto"/>
          <w:szCs w:val="21"/>
          <w:highlight w:val="none"/>
        </w:rPr>
        <w:t xml:space="preserve">34.3监狱企业</w:t>
      </w:r>
      <w:r/>
    </w:p>
    <w:p>
      <w:pPr>
        <w:ind w:firstLine="420"/>
        <w:spacing w:line="360" w:lineRule="auto"/>
        <w:tabs>
          <w:tab w:val="left" w:pos="567" w:leader="none"/>
        </w:tabs>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34.4绿色采购</w:t>
      </w:r>
      <w:r/>
    </w:p>
    <w:p>
      <w:pPr>
        <w:ind w:firstLine="420"/>
        <w:spacing w:line="360" w:lineRule="auto"/>
        <w:tabs>
          <w:tab w:val="left" w:pos="567" w:leader="none"/>
        </w:tabs>
        <w:rPr>
          <w:color w:val="auto"/>
          <w:szCs w:val="21"/>
          <w:highlight w:val="none"/>
        </w:rPr>
      </w:pPr>
      <w:r>
        <w:rPr>
          <w:rFonts w:hint="eastAsia" w:ascii="宋体" w:hAnsi="宋体"/>
          <w:color w:val="auto"/>
          <w:szCs w:val="21"/>
          <w:highlight w:val="none"/>
        </w:rPr>
        <w:t xml:space="preserve">（1）根据《关于调整优化节能产品、环境标志产品政府采购执行机制的通知》（财库〔</w:t>
      </w:r>
      <w:r>
        <w:rPr>
          <w:rFonts w:ascii="宋体" w:hAnsi="宋体"/>
          <w:color w:val="auto"/>
          <w:szCs w:val="21"/>
          <w:highlight w:val="none"/>
        </w:rPr>
        <w:t xml:space="preserve">2019</w:t>
      </w:r>
      <w:r>
        <w:rPr>
          <w:rFonts w:hint="eastAsia" w:ascii="宋体" w:hAnsi="宋体"/>
          <w:color w:val="auto"/>
          <w:szCs w:val="21"/>
          <w:highlight w:val="none"/>
        </w:rPr>
        <w:t xml:space="preserve">〕</w:t>
      </w:r>
      <w:r>
        <w:rPr>
          <w:rFonts w:ascii="宋体" w:hAnsi="宋体"/>
          <w:color w:val="auto"/>
          <w:szCs w:val="21"/>
          <w:highlight w:val="none"/>
        </w:rPr>
        <w:t xml:space="preserve">9</w:t>
      </w:r>
      <w:r>
        <w:rPr>
          <w:rFonts w:hint="eastAsia" w:ascii="宋体" w:hAnsi="宋体"/>
          <w:color w:val="auto"/>
          <w:szCs w:val="21"/>
          <w:highlight w:val="none"/>
        </w:rPr>
        <w:t xml:space="preserve">号）等相关文件的规定，</w:t>
      </w:r>
      <w:r>
        <w:rPr>
          <w:rFonts w:hint="eastAsia" w:ascii="宋体" w:hAnsi="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olor w:val="auto"/>
          <w:highlight w:val="none"/>
        </w:rPr>
      </w:pPr>
      <w:r>
        <w:rPr>
          <w:rFonts w:hint="eastAsia" w:ascii="宋体" w:hAnsi="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4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34.5、关于对参与供应商信用记录的政府采购要求</w:t>
      </w:r>
      <w:r/>
    </w:p>
    <w:p>
      <w:pPr>
        <w:ind w:firstLine="420"/>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（1）采购代理机构会在接收响应文件截止时间后，登录</w:t>
      </w:r>
      <w:r>
        <w:rPr>
          <w:rFonts w:ascii="宋体" w:hAnsi="宋体" w:cs="宋体"/>
          <w:color w:val="auto"/>
          <w:szCs w:val="21"/>
          <w:highlight w:val="none"/>
        </w:rPr>
        <w:t xml:space="preserve">信用中国</w:t>
      </w:r>
      <w:r>
        <w:rPr>
          <w:rFonts w:hint="eastAsia" w:ascii="宋体" w:hAnsi="宋体" w:cs="宋体"/>
          <w:color w:val="auto"/>
          <w:szCs w:val="21"/>
          <w:highlight w:val="none"/>
        </w:rPr>
        <w:t xml:space="preserve">网站</w:t>
      </w:r>
      <w:r>
        <w:rPr>
          <w:rFonts w:ascii="宋体" w:hAnsi="宋体" w:cs="宋体"/>
          <w:color w:val="auto"/>
          <w:szCs w:val="21"/>
          <w:highlight w:val="none"/>
        </w:rPr>
        <w:t xml:space="preserve">（www.creditchina.gov.cn/）</w:t>
      </w:r>
      <w:r>
        <w:rPr>
          <w:rFonts w:hint="eastAsia" w:ascii="宋体" w:hAnsi="宋体" w:cs="宋体"/>
          <w:color w:val="auto"/>
          <w:szCs w:val="21"/>
          <w:highlight w:val="none"/>
        </w:rPr>
        <w:t xml:space="preserve">和</w:t>
      </w:r>
      <w:r>
        <w:rPr>
          <w:rFonts w:hint="eastAsia" w:ascii="宋体" w:hAnsi="宋体"/>
          <w:color w:val="auto"/>
          <w:szCs w:val="21"/>
          <w:highlight w:val="none"/>
        </w:rPr>
        <w:t xml:space="preserve">中国政府采购网（</w:t>
      </w:r>
      <w:r>
        <w:rPr>
          <w:rFonts w:ascii="宋体" w:hAnsi="宋体"/>
          <w:color w:val="auto"/>
          <w:szCs w:val="21"/>
          <w:highlight w:val="none"/>
        </w:rPr>
        <w:t xml:space="preserve">www.ccgp.gov.cn/</w:t>
      </w:r>
      <w:r>
        <w:rPr>
          <w:rFonts w:hint="eastAsia" w:ascii="宋体" w:hAnsi="宋体"/>
          <w:color w:val="auto"/>
          <w:szCs w:val="21"/>
          <w:highlight w:val="none"/>
        </w:rPr>
        <w:t xml:space="preserve">）</w:t>
      </w:r>
      <w:r>
        <w:rPr>
          <w:rFonts w:ascii="宋体" w:hAnsi="宋体" w:cs="宋体"/>
          <w:color w:val="auto"/>
          <w:szCs w:val="21"/>
          <w:highlight w:val="none"/>
        </w:rPr>
        <w:t xml:space="preserve">查询供应商的信用记录，并将查询结果递交</w:t>
      </w:r>
      <w:r>
        <w:rPr>
          <w:rFonts w:hint="eastAsia" w:ascii="宋体" w:hAnsi="宋体" w:cs="宋体"/>
          <w:color w:val="auto"/>
          <w:szCs w:val="21"/>
          <w:highlight w:val="none"/>
        </w:rPr>
        <w:t xml:space="preserve">评审小组。</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（4）对存在失信信息的供应商，由失信供应商进行确认。同时，采购代理机构工作人员应根据评审小组确认的失信信息，登陆到相关来源网站页面进行复核并打印，作为证据留存。</w:t>
      </w:r>
      <w:r/>
    </w:p>
    <w:p>
      <w:pPr>
        <w:pStyle w:val="1170"/>
        <w:ind w:firstLine="422"/>
        <w:spacing w:line="360" w:lineRule="auto"/>
        <w:rPr>
          <w:rFonts w:asciiTheme="minorEastAsia" w:hAnsiTheme="minorEastAsia" w:eastAsiaTheme="minorEastAsia" w:cstheme="minorEastAsia"/>
          <w:b/>
          <w:color w:val="auto"/>
          <w:sz w:val="21"/>
          <w:szCs w:val="21"/>
          <w:highlight w:val="none"/>
          <w:lang w:val="en-US"/>
        </w:rPr>
      </w:pPr>
      <w:r>
        <w:rPr>
          <w:rFonts w:hint="eastAsia" w:asciiTheme="minorEastAsia" w:hAnsiTheme="minorEastAsia" w:eastAsiaTheme="minorEastAsia" w:cstheme="minorEastAsia"/>
          <w:b/>
          <w:color w:val="auto"/>
          <w:sz w:val="21"/>
          <w:szCs w:val="21"/>
          <w:highlight w:val="none"/>
          <w:lang w:val="en-US"/>
        </w:rPr>
        <w:t xml:space="preserve">九、未尽事宜</w:t>
      </w:r>
      <w:r/>
    </w:p>
    <w:p>
      <w:pPr>
        <w:pStyle w:val="1170"/>
        <w:ind w:firstLine="422"/>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rPr>
          <w:rFonts w:hint="eastAsia" w:asciiTheme="minorEastAsia" w:hAnsiTheme="minorEastAsia" w:eastAsiaTheme="minorEastAsia" w:cstheme="minorEastAsia"/>
          <w:bCs/>
          <w:color w:val="auto"/>
          <w:sz w:val="21"/>
          <w:szCs w:val="21"/>
          <w:highlight w:val="none"/>
          <w:lang w:val="en-US"/>
        </w:rPr>
        <w:t xml:space="preserve">5</w:t>
      </w:r>
      <w:r>
        <w:rPr>
          <w:rFonts w:hint="eastAsia" w:asciiTheme="minorEastAsia" w:hAnsiTheme="minorEastAsia" w:eastAsiaTheme="minorEastAsia" w:cstheme="minorEastAsia"/>
          <w:bCs/>
          <w:color w:val="auto"/>
          <w:sz w:val="21"/>
          <w:szCs w:val="21"/>
          <w:highlight w:val="none"/>
        </w:rPr>
        <w:t xml:space="preserve">.有关监督部门将对招投标全过程进行监督。</w:t>
      </w:r>
      <w:r/>
    </w:p>
    <w:p>
      <w:pPr>
        <w:pStyle w:val="1170"/>
        <w:ind w:firstLine="422"/>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rPr>
          <w:rFonts w:hint="eastAsia" w:asciiTheme="minorEastAsia" w:hAnsiTheme="minorEastAsia" w:eastAsiaTheme="minorEastAsia" w:cstheme="minorEastAsia"/>
          <w:bCs/>
          <w:color w:val="auto"/>
          <w:sz w:val="21"/>
          <w:szCs w:val="21"/>
          <w:highlight w:val="none"/>
          <w:lang w:val="en-US"/>
        </w:rPr>
        <w:t xml:space="preserve">6</w:t>
      </w:r>
      <w:r>
        <w:rPr>
          <w:rFonts w:hint="eastAsia" w:asciiTheme="minorEastAsia" w:hAnsiTheme="minorEastAsia" w:eastAsiaTheme="minorEastAsia" w:cstheme="minorEastAsia"/>
          <w:bCs/>
          <w:color w:val="auto"/>
          <w:sz w:val="21"/>
          <w:szCs w:val="21"/>
          <w:highlight w:val="none"/>
        </w:rPr>
        <w:t xml:space="preserve">.未尽事宜：按《中华人民共和国政府采购法》及其他有关的法律法规的规定执行。</w:t>
      </w:r>
      <w:r/>
    </w:p>
    <w:p>
      <w:pPr>
        <w:spacing w:line="360" w:lineRule="auto"/>
        <w:tabs>
          <w:tab w:val="left" w:pos="142" w:leader="none"/>
          <w:tab w:val="left" w:pos="600" w:leader="none"/>
        </w:tabs>
        <w:rPr>
          <w:rFonts w:eastAsiaTheme="minorEastAsia"/>
          <w:color w:val="auto"/>
          <w:szCs w:val="21"/>
          <w:highlight w:val="none"/>
        </w:rPr>
      </w:pPr>
      <w:r>
        <w:rPr>
          <w:rFonts w:eastAsiaTheme="minorEastAsia"/>
          <w:color w:val="auto"/>
          <w:szCs w:val="21"/>
          <w:highlight w:val="none"/>
        </w:rPr>
        <w:br w:type="page" w:clear="all"/>
      </w:r>
      <w:r/>
    </w:p>
    <w:p>
      <w:pPr>
        <w:jc w:val="center"/>
        <w:spacing w:line="360" w:lineRule="auto"/>
        <w:rPr>
          <w:rFonts w:eastAsiaTheme="minorEastAsia"/>
          <w:bCs/>
          <w:color w:val="auto"/>
          <w:sz w:val="44"/>
          <w:szCs w:val="44"/>
          <w:highlight w:val="none"/>
        </w:rPr>
        <w:outlineLvl w:val="0"/>
      </w:pPr>
      <w:r/>
      <w:bookmarkStart w:id="36" w:name="_Toc6422"/>
      <w:r>
        <w:rPr>
          <w:rFonts w:eastAsiaTheme="minorEastAsia"/>
          <w:bCs/>
          <w:color w:val="auto"/>
          <w:sz w:val="44"/>
          <w:szCs w:val="44"/>
          <w:highlight w:val="none"/>
        </w:rPr>
        <w:t xml:space="preserve">第三章</w:t>
      </w:r>
      <w:bookmarkStart w:id="37" w:name="投标文件格式"/>
      <w:r>
        <w:rPr>
          <w:rFonts w:hint="eastAsia" w:eastAsiaTheme="minorEastAsia"/>
          <w:bCs/>
          <w:color w:val="auto"/>
          <w:sz w:val="44"/>
          <w:szCs w:val="44"/>
          <w:highlight w:val="none"/>
        </w:rPr>
        <w:t xml:space="preserve"> </w:t>
      </w:r>
      <w:r>
        <w:rPr>
          <w:rFonts w:eastAsiaTheme="minorEastAsia"/>
          <w:bCs/>
          <w:color w:val="auto"/>
          <w:sz w:val="44"/>
          <w:szCs w:val="44"/>
          <w:highlight w:val="none"/>
        </w:rPr>
        <w:t xml:space="preserve">投标文件格式</w:t>
      </w:r>
      <w:bookmarkEnd w:id="36"/>
      <w:r/>
      <w:bookmarkEnd w:id="37"/>
      <w:r/>
      <w:r/>
    </w:p>
    <w:p>
      <w:pPr>
        <w:spacing w:line="360" w:lineRule="auto"/>
        <w:rPr>
          <w:rFonts w:eastAsiaTheme="minorEastAsia"/>
          <w:bCs/>
          <w:color w:val="auto"/>
          <w:szCs w:val="21"/>
          <w:highlight w:val="none"/>
        </w:rPr>
      </w:pPr>
      <w:r/>
      <w:bookmarkStart w:id="38" w:name="_Hlk159251266"/>
      <w:r>
        <w:rPr>
          <w:rFonts w:eastAsiaTheme="minorEastAsia"/>
          <w:bCs/>
          <w:color w:val="auto"/>
          <w:szCs w:val="21"/>
          <w:highlight w:val="none"/>
        </w:rPr>
        <w:t xml:space="preserve">说明：</w:t>
      </w:r>
      <w:r/>
    </w:p>
    <w:p>
      <w:pPr>
        <w:ind w:firstLine="424"/>
        <w:spacing w:line="360" w:lineRule="auto"/>
        <w:rPr>
          <w:rFonts w:eastAsiaTheme="minorEastAsia"/>
          <w:color w:val="auto"/>
          <w:szCs w:val="21"/>
          <w:highlight w:val="none"/>
        </w:rPr>
      </w:pPr>
      <w:r>
        <w:rPr>
          <w:rFonts w:eastAsiaTheme="minorEastAsia"/>
          <w:color w:val="auto"/>
          <w:szCs w:val="21"/>
          <w:highlight w:val="none"/>
        </w:rPr>
        <w:t xml:space="preserve">对本章所有的投标书格式，投标人可根据自身情况进行补充和修改，但补充和修改不得造成与本格式内容有实质性的违背。</w:t>
      </w:r>
      <w:r/>
    </w:p>
    <w:p>
      <w:pPr>
        <w:jc w:val="center"/>
        <w:spacing w:line="360" w:lineRule="auto"/>
        <w:rPr>
          <w:rFonts w:eastAsiaTheme="minorEastAsia"/>
          <w:b/>
          <w:color w:val="auto"/>
          <w:sz w:val="32"/>
          <w:szCs w:val="32"/>
          <w:highlight w:val="none"/>
          <w:lang w:val="zh-CN"/>
        </w:rPr>
      </w:pPr>
      <w:r>
        <w:rPr>
          <w:rFonts w:eastAsiaTheme="minorEastAsia"/>
          <w:b/>
          <w:color w:val="auto"/>
          <w:sz w:val="32"/>
          <w:szCs w:val="32"/>
          <w:highlight w:val="none"/>
          <w:lang w:val="zh-CN"/>
        </w:rPr>
      </w:r>
      <w:r/>
    </w:p>
    <w:p>
      <w:pPr>
        <w:spacing w:line="360" w:lineRule="auto"/>
        <w:rPr>
          <w:rFonts w:eastAsiaTheme="minorEastAsia"/>
          <w:b/>
          <w:color w:val="auto"/>
          <w:szCs w:val="21"/>
          <w:highlight w:val="none"/>
        </w:rPr>
      </w:pPr>
      <w:r>
        <w:rPr>
          <w:rFonts w:hint="eastAsia" w:eastAsiaTheme="minorEastAsia"/>
          <w:b/>
          <w:color w:val="auto"/>
          <w:szCs w:val="21"/>
          <w:highlight w:val="none"/>
        </w:rPr>
        <w:t xml:space="preserve">一、法人授权委托书</w:t>
      </w:r>
      <w:r/>
    </w:p>
    <w:p>
      <w:pPr>
        <w:jc w:val="center"/>
        <w:spacing w:line="360" w:lineRule="auto"/>
        <w:rPr>
          <w:rFonts w:eastAsiaTheme="minorEastAsia"/>
          <w:b/>
          <w:color w:val="auto"/>
          <w:sz w:val="32"/>
          <w:szCs w:val="32"/>
          <w:highlight w:val="none"/>
          <w:lang w:val="zh-CN"/>
        </w:rPr>
      </w:pPr>
      <w:r>
        <w:rPr>
          <w:rFonts w:eastAsiaTheme="minorEastAsia"/>
          <w:b/>
          <w:color w:val="auto"/>
          <w:sz w:val="32"/>
          <w:szCs w:val="32"/>
          <w:highlight w:val="none"/>
          <w:lang w:val="zh-CN"/>
        </w:rPr>
        <w:t xml:space="preserve">法人授权委托书</w:t>
      </w:r>
      <w:r/>
    </w:p>
    <w:p>
      <w:pPr>
        <w:pStyle w:val="850"/>
        <w:ind w:firstLine="0"/>
        <w:jc w:val="center"/>
        <w:rPr>
          <w:rFonts w:eastAsiaTheme="minorEastAsia"/>
          <w:color w:val="auto"/>
          <w:sz w:val="21"/>
          <w:szCs w:val="21"/>
          <w:highlight w:val="none"/>
        </w:rPr>
      </w:pPr>
      <w:r>
        <w:rPr>
          <w:rFonts w:eastAsiaTheme="minorEastAsia"/>
          <w:color w:val="auto"/>
          <w:sz w:val="21"/>
          <w:szCs w:val="21"/>
          <w:highlight w:val="none"/>
        </w:rPr>
      </w:r>
      <w:r/>
    </w:p>
    <w:p>
      <w:pPr>
        <w:pStyle w:val="850"/>
        <w:ind w:firstLine="0"/>
        <w:jc w:val="center"/>
        <w:rPr>
          <w:rFonts w:eastAsiaTheme="minorEastAsia"/>
          <w:color w:val="auto"/>
          <w:sz w:val="21"/>
          <w:szCs w:val="21"/>
          <w:highlight w:val="none"/>
        </w:rPr>
      </w:pPr>
      <w:r>
        <w:rPr>
          <w:rFonts w:eastAsiaTheme="minorEastAsia"/>
          <w:color w:val="auto"/>
          <w:sz w:val="21"/>
          <w:szCs w:val="21"/>
          <w:highlight w:val="none"/>
        </w:rPr>
      </w:r>
      <w:r/>
    </w:p>
    <w:p>
      <w:pPr>
        <w:ind w:firstLine="420"/>
        <w:spacing w:line="360" w:lineRule="auto"/>
        <w:rPr>
          <w:color w:val="auto"/>
          <w:szCs w:val="21"/>
          <w:highlight w:val="none"/>
        </w:rPr>
      </w:pPr>
      <w:r>
        <w:rPr>
          <w:rFonts w:hAnsi="宋体"/>
          <w:color w:val="auto"/>
          <w:szCs w:val="21"/>
          <w:highlight w:val="none"/>
        </w:rPr>
        <w:t xml:space="preserve">本授权书声明：</w:t>
      </w:r>
      <w:r>
        <w:rPr>
          <w:rFonts w:hAnsi="宋体"/>
          <w:color w:val="auto"/>
          <w:szCs w:val="21"/>
          <w:highlight w:val="none"/>
          <w:u w:val="single"/>
        </w:rPr>
        <w:t xml:space="preserve">（供应商名称）</w:t>
      </w:r>
      <w:r>
        <w:rPr>
          <w:rFonts w:hAnsi="宋体"/>
          <w:color w:val="auto"/>
          <w:szCs w:val="21"/>
          <w:highlight w:val="none"/>
        </w:rPr>
        <w:t xml:space="preserve">授权</w:t>
      </w:r>
      <w:r>
        <w:rPr>
          <w:rFonts w:hAnsi="宋体"/>
          <w:color w:val="auto"/>
          <w:szCs w:val="21"/>
          <w:highlight w:val="none"/>
          <w:u w:val="single"/>
        </w:rPr>
        <w:t xml:space="preserve">（被授权人的姓名）</w:t>
      </w:r>
      <w:r>
        <w:rPr>
          <w:color w:val="auto"/>
          <w:szCs w:val="21"/>
          <w:highlight w:val="none"/>
          <w:u w:val="single"/>
        </w:rPr>
        <w:t xml:space="preserve">_  </w:t>
      </w:r>
      <w:r>
        <w:rPr>
          <w:rFonts w:hAnsi="宋体"/>
          <w:color w:val="auto"/>
          <w:szCs w:val="21"/>
          <w:highlight w:val="none"/>
        </w:rPr>
        <w:t xml:space="preserve">为我方授权代表（即代理人），参加</w:t>
      </w:r>
      <w:r>
        <w:rPr>
          <w:rFonts w:hint="eastAsia" w:hAnsi="宋体"/>
          <w:color w:val="auto"/>
          <w:szCs w:val="21"/>
          <w:highlight w:val="none"/>
          <w:u w:val="single"/>
        </w:rPr>
        <w:t xml:space="preserve">永立工程咨询（江苏）有限公司</w:t>
      </w:r>
      <w:r>
        <w:rPr>
          <w:rFonts w:hAnsi="宋体"/>
          <w:color w:val="auto"/>
          <w:szCs w:val="21"/>
          <w:highlight w:val="none"/>
        </w:rPr>
        <w:t xml:space="preserve">组织实施的编号为</w:t>
      </w:r>
      <w:r>
        <w:rPr>
          <w:rFonts w:hAnsi="宋体"/>
          <w:color w:val="auto"/>
          <w:szCs w:val="21"/>
          <w:highlight w:val="none"/>
          <w:u w:val="single"/>
        </w:rPr>
        <w:t xml:space="preserve">（采购编号）</w:t>
      </w:r>
      <w:r>
        <w:rPr>
          <w:rFonts w:hAnsi="宋体"/>
          <w:color w:val="auto"/>
          <w:szCs w:val="21"/>
          <w:highlight w:val="none"/>
        </w:rPr>
        <w:t xml:space="preserve">的招标活动。代理人在本次</w:t>
      </w:r>
      <w:r>
        <w:rPr>
          <w:rFonts w:eastAsiaTheme="minorEastAsia"/>
          <w:color w:val="auto"/>
          <w:szCs w:val="21"/>
          <w:highlight w:val="none"/>
        </w:rPr>
        <w:t xml:space="preserve">招投标</w:t>
      </w:r>
      <w:r>
        <w:rPr>
          <w:rFonts w:hAnsi="宋体"/>
          <w:color w:val="auto"/>
          <w:szCs w:val="21"/>
          <w:highlight w:val="none"/>
        </w:rPr>
        <w:t xml:space="preserve">活动过程、合同签订及处理有关事宜所作出的全部意思表示（包括签署的全部文件），我司均予以承认并由我司承担相应法律后果。</w:t>
      </w:r>
      <w:r/>
    </w:p>
    <w:p>
      <w:pPr>
        <w:ind w:firstLine="420"/>
        <w:spacing w:line="360" w:lineRule="auto"/>
        <w:rPr>
          <w:color w:val="auto"/>
          <w:szCs w:val="21"/>
          <w:highlight w:val="none"/>
        </w:rPr>
      </w:pPr>
      <w:r>
        <w:rPr>
          <w:rFonts w:hAnsi="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color w:val="auto"/>
          <w:szCs w:val="21"/>
          <w:highlight w:val="none"/>
        </w:rPr>
      </w:pPr>
      <w:r>
        <w:rPr>
          <w:rFonts w:hAnsi="宋体"/>
          <w:color w:val="auto"/>
          <w:szCs w:val="21"/>
          <w:highlight w:val="none"/>
        </w:rPr>
        <w:t xml:space="preserve">本授权委托书有效期自委托书作出之日起至本项目合同履行完毕之日止。</w:t>
      </w:r>
      <w:r/>
    </w:p>
    <w:p>
      <w:pPr>
        <w:ind w:firstLine="420"/>
        <w:spacing w:line="360" w:lineRule="auto"/>
        <w:rPr>
          <w:color w:val="auto"/>
          <w:szCs w:val="21"/>
          <w:highlight w:val="none"/>
        </w:rPr>
      </w:pPr>
      <w:r>
        <w:rPr>
          <w:rFonts w:hAnsi="宋体"/>
          <w:color w:val="auto"/>
          <w:szCs w:val="21"/>
          <w:highlight w:val="none"/>
        </w:rPr>
        <w:t xml:space="preserve">代理人无转委托权。</w:t>
      </w:r>
      <w:r/>
    </w:p>
    <w:p>
      <w:pPr>
        <w:ind w:firstLine="420"/>
        <w:spacing w:line="360" w:lineRule="auto"/>
        <w:rPr>
          <w:color w:val="auto"/>
          <w:szCs w:val="21"/>
          <w:highlight w:val="none"/>
        </w:rPr>
      </w:pPr>
      <w:r>
        <w:rPr>
          <w:rFonts w:hAnsi="宋体"/>
          <w:color w:val="auto"/>
          <w:szCs w:val="21"/>
          <w:highlight w:val="none"/>
        </w:rPr>
        <w:t xml:space="preserve">被授权人身份证号码：</w:t>
      </w:r>
      <w:r>
        <w:rPr>
          <w:color w:val="auto"/>
          <w:szCs w:val="21"/>
          <w:highlight w:val="none"/>
          <w:u w:val="single"/>
        </w:rPr>
        <w:t xml:space="preserve">          </w:t>
      </w:r>
      <w:r>
        <w:rPr>
          <w:rFonts w:hAnsi="宋体"/>
          <w:color w:val="auto"/>
          <w:szCs w:val="21"/>
          <w:highlight w:val="none"/>
        </w:rPr>
        <w:t xml:space="preserve">。</w:t>
      </w:r>
      <w:r/>
    </w:p>
    <w:p>
      <w:pPr>
        <w:ind w:firstLine="420"/>
        <w:spacing w:line="360" w:lineRule="auto"/>
        <w:rPr>
          <w:color w:val="auto"/>
          <w:szCs w:val="21"/>
          <w:highlight w:val="none"/>
        </w:rPr>
      </w:pPr>
      <w:r>
        <w:rPr>
          <w:rFonts w:hAnsi="宋体"/>
          <w:color w:val="auto"/>
          <w:szCs w:val="21"/>
          <w:highlight w:val="none"/>
        </w:rPr>
        <w:t xml:space="preserve">被授权人联系电话：</w:t>
      </w:r>
      <w:r>
        <w:rPr>
          <w:rFonts w:hAnsi="宋体"/>
          <w:color w:val="auto"/>
          <w:szCs w:val="21"/>
          <w:highlight w:val="none"/>
          <w:u w:val="single"/>
        </w:rPr>
        <w:t xml:space="preserve">（手机）</w:t>
      </w:r>
      <w:r>
        <w:rPr>
          <w:rFonts w:hAnsi="宋体"/>
          <w:color w:val="auto"/>
          <w:szCs w:val="21"/>
          <w:highlight w:val="none"/>
        </w:rPr>
        <w:t xml:space="preserve">。</w:t>
      </w:r>
      <w:r/>
    </w:p>
    <w:p>
      <w:pPr>
        <w:pStyle w:val="850"/>
        <w:ind w:firstLine="0"/>
        <w:jc w:val="center"/>
        <w:rPr>
          <w:rFonts w:eastAsiaTheme="minorEastAsia"/>
          <w:color w:val="auto"/>
          <w:sz w:val="21"/>
          <w:szCs w:val="21"/>
          <w:highlight w:val="none"/>
        </w:rPr>
      </w:pPr>
      <w:r>
        <w:rPr>
          <w:rFonts w:eastAsiaTheme="minorEastAsia"/>
          <w:color w:val="auto"/>
          <w:sz w:val="21"/>
          <w:szCs w:val="21"/>
          <w:highlight w:val="none"/>
        </w:rPr>
      </w:r>
      <w:r/>
    </w:p>
    <w:p>
      <w:pPr>
        <w:pStyle w:val="850"/>
        <w:ind w:firstLine="0"/>
        <w:jc w:val="center"/>
        <w:rPr>
          <w:rFonts w:eastAsiaTheme="minorEastAsia"/>
          <w:color w:val="auto"/>
          <w:sz w:val="21"/>
          <w:szCs w:val="21"/>
          <w:highlight w:val="none"/>
        </w:rPr>
      </w:pPr>
      <w:r>
        <w:rPr>
          <w:rFonts w:eastAsiaTheme="minorEastAsia"/>
          <w:color w:val="auto"/>
          <w:sz w:val="21"/>
          <w:szCs w:val="21"/>
          <w:highlight w:val="none"/>
        </w:rPr>
      </w:r>
      <w:r/>
    </w:p>
    <w:p>
      <w:pPr>
        <w:ind w:right="525" w:firstLine="480"/>
        <w:jc w:val="right"/>
        <w:spacing w:line="360" w:lineRule="auto"/>
        <w:rPr>
          <w:color w:val="auto"/>
          <w:szCs w:val="21"/>
          <w:highlight w:val="none"/>
        </w:rPr>
      </w:pPr>
      <w:r>
        <w:rPr>
          <w:rFonts w:hAnsi="宋体"/>
          <w:color w:val="auto"/>
          <w:szCs w:val="21"/>
          <w:highlight w:val="none"/>
        </w:rPr>
        <w:t xml:space="preserve">供应商名称：（加盖</w:t>
      </w:r>
      <w:r>
        <w:rPr>
          <w:color w:val="auto"/>
          <w:szCs w:val="21"/>
          <w:highlight w:val="none"/>
        </w:rPr>
        <w:t xml:space="preserve">CA</w:t>
      </w:r>
      <w:r>
        <w:rPr>
          <w:rFonts w:hAnsi="宋体"/>
          <w:color w:val="auto"/>
          <w:szCs w:val="21"/>
          <w:highlight w:val="none"/>
        </w:rPr>
        <w:t xml:space="preserve">电子公章）</w:t>
      </w:r>
      <w:r/>
    </w:p>
    <w:p>
      <w:pPr>
        <w:ind w:right="420" w:firstLine="480"/>
        <w:jc w:val="right"/>
        <w:spacing w:line="360" w:lineRule="auto"/>
        <w:rPr>
          <w:rFonts w:eastAsiaTheme="minorEastAsia"/>
          <w:color w:val="auto"/>
          <w:szCs w:val="21"/>
          <w:highlight w:val="none"/>
        </w:rPr>
      </w:pPr>
      <w:r>
        <w:rPr>
          <w:rFonts w:hAnsi="宋体"/>
          <w:color w:val="auto"/>
          <w:szCs w:val="21"/>
          <w:highlight w:val="none"/>
        </w:rPr>
        <w:t xml:space="preserve">日期：　　　　年　　月　　日</w:t>
      </w:r>
      <w:r/>
    </w:p>
    <w:p>
      <w:pPr>
        <w:ind w:right="630" w:firstLine="480"/>
        <w:jc w:val="left"/>
        <w:spacing w:line="360" w:lineRule="auto"/>
        <w:rPr>
          <w:color w:val="auto"/>
          <w:szCs w:val="21"/>
          <w:highlight w:val="none"/>
        </w:rPr>
      </w:pPr>
      <w:r>
        <w:rPr>
          <w:rFonts w:hAnsi="宋体"/>
          <w:color w:val="auto"/>
          <w:szCs w:val="21"/>
          <w:highlight w:val="none"/>
        </w:rPr>
        <w:t xml:space="preserve">后附：代理人身份证</w:t>
      </w:r>
      <w:r>
        <w:rPr>
          <w:rFonts w:hint="eastAsia" w:hAnsi="宋体"/>
          <w:color w:val="auto"/>
          <w:szCs w:val="21"/>
          <w:highlight w:val="none"/>
        </w:rPr>
        <w:t xml:space="preserve">扫描</w:t>
      </w:r>
      <w:r>
        <w:rPr>
          <w:rFonts w:hAnsi="宋体"/>
          <w:color w:val="auto"/>
          <w:szCs w:val="21"/>
          <w:highlight w:val="none"/>
        </w:rPr>
        <w:t xml:space="preserve">件</w:t>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widowControl/>
        <w:rPr>
          <w:b/>
          <w:color w:val="auto"/>
          <w:szCs w:val="21"/>
          <w:highlight w:val="none"/>
        </w:rPr>
      </w:pPr>
      <w:r>
        <w:rPr>
          <w:rFonts w:hAnsi="宋体"/>
          <w:b/>
          <w:color w:val="auto"/>
          <w:szCs w:val="21"/>
          <w:highlight w:val="none"/>
        </w:rPr>
        <w:t xml:space="preserve">备注：供应商如有授权委托，必须提供该法人授权委托书及代理人身份证，否则投标无效；</w:t>
      </w:r>
      <w:r/>
    </w:p>
    <w:p>
      <w:pPr>
        <w:pStyle w:val="860"/>
        <w:ind w:firstLine="211"/>
        <w:rPr>
          <w:rFonts w:eastAsiaTheme="minorEastAsia"/>
          <w:color w:val="auto"/>
          <w:highlight w:val="none"/>
        </w:rPr>
      </w:pPr>
      <w:r>
        <w:rPr>
          <w:rFonts w:hAnsi="宋体"/>
          <w:b/>
          <w:color w:val="auto"/>
          <w:szCs w:val="21"/>
          <w:highlight w:val="none"/>
        </w:rPr>
        <w:t xml:space="preserve">供应商无授权委托的情况下，必须提供法定代表人身份证，否则投标无效。</w:t>
      </w:r>
      <w:r/>
    </w:p>
    <w:p>
      <w:pPr>
        <w:pStyle w:val="1100"/>
        <w:ind w:firstLine="422"/>
        <w:spacing w:line="360" w:lineRule="auto"/>
        <w:rPr>
          <w:rFonts w:ascii="Times New Roman" w:hAnsi="Times New Roman" w:eastAsiaTheme="minorEastAsia"/>
          <w:b/>
          <w:color w:val="auto"/>
          <w:sz w:val="21"/>
          <w:szCs w:val="21"/>
          <w:highlight w:val="none"/>
        </w:rPr>
      </w:pPr>
      <w:r>
        <w:rPr>
          <w:rFonts w:ascii="Times New Roman" w:hAnsi="Times New Roman" w:eastAsiaTheme="minorEastAsia"/>
          <w:b/>
          <w:color w:val="auto"/>
          <w:sz w:val="21"/>
          <w:szCs w:val="21"/>
          <w:highlight w:val="none"/>
        </w:rPr>
        <w:br w:type="page" w:clear="all"/>
      </w:r>
      <w:r>
        <w:rPr>
          <w:rFonts w:ascii="Times New Roman" w:hAnsi="Times New Roman" w:eastAsiaTheme="minorEastAsia"/>
          <w:b/>
          <w:color w:val="auto"/>
          <w:sz w:val="21"/>
          <w:szCs w:val="21"/>
          <w:highlight w:val="none"/>
        </w:rPr>
        <w:t xml:space="preserve">二、开标一览表</w:t>
      </w:r>
      <w:r/>
    </w:p>
    <w:p>
      <w:pPr>
        <w:jc w:val="center"/>
        <w:spacing w:line="360" w:lineRule="auto"/>
        <w:rPr>
          <w:rFonts w:eastAsiaTheme="minorEastAsia"/>
          <w:b/>
          <w:color w:val="auto"/>
          <w:szCs w:val="21"/>
          <w:highlight w:val="none"/>
        </w:rPr>
      </w:pPr>
      <w:r>
        <w:rPr>
          <w:rFonts w:eastAsiaTheme="minorEastAsia"/>
          <w:b/>
          <w:color w:val="auto"/>
          <w:szCs w:val="21"/>
          <w:highlight w:val="none"/>
        </w:rPr>
      </w:r>
      <w:r/>
    </w:p>
    <w:p>
      <w:pPr>
        <w:jc w:val="center"/>
        <w:spacing w:line="360" w:lineRule="auto"/>
        <w:rPr>
          <w:b/>
          <w:color w:val="auto"/>
          <w:szCs w:val="21"/>
          <w:highlight w:val="none"/>
        </w:rPr>
      </w:pPr>
      <w:r>
        <w:rPr>
          <w:b/>
          <w:color w:val="auto"/>
          <w:szCs w:val="21"/>
          <w:highlight w:val="none"/>
        </w:rPr>
        <w:t xml:space="preserve">开标一览表</w:t>
      </w:r>
      <w:r>
        <w:rPr>
          <w:rFonts w:hint="eastAsia"/>
          <w:b/>
          <w:color w:val="auto"/>
          <w:szCs w:val="21"/>
          <w:highlight w:val="none"/>
        </w:rPr>
        <w:t xml:space="preserve">（以系统内格式为准 ）</w:t>
      </w:r>
      <w:r/>
    </w:p>
    <w:p>
      <w:pPr>
        <w:ind w:firstLine="420"/>
        <w:spacing w:line="360" w:lineRule="auto"/>
        <w:rPr>
          <w:rFonts w:eastAsiaTheme="minorEastAsia"/>
          <w:color w:val="auto"/>
          <w:szCs w:val="21"/>
          <w:highlight w:val="none"/>
        </w:rPr>
      </w:pPr>
      <w:r>
        <w:rPr>
          <w:rFonts w:hint="eastAsia" w:eastAsiaTheme="minorEastAsia"/>
          <w:color w:val="auto"/>
          <w:szCs w:val="21"/>
          <w:highlight w:val="none"/>
        </w:rPr>
        <w:t xml:space="preserve">投标单位全称（加盖公章）：</w:t>
      </w:r>
      <w:r/>
    </w:p>
    <w:p>
      <w:pPr>
        <w:ind w:firstLine="420"/>
        <w:spacing w:line="360" w:lineRule="auto"/>
        <w:rPr>
          <w:rFonts w:eastAsiaTheme="minorEastAsia"/>
          <w:color w:val="auto"/>
          <w:szCs w:val="21"/>
          <w:highlight w:val="none"/>
        </w:rPr>
      </w:pPr>
      <w:r>
        <w:rPr>
          <w:rFonts w:hint="eastAsia" w:eastAsiaTheme="minorEastAsia"/>
          <w:color w:val="auto"/>
          <w:szCs w:val="21"/>
          <w:highlight w:val="none"/>
        </w:rPr>
        <w:t xml:space="preserve">项目编号：  </w:t>
      </w:r>
      <w:r/>
    </w:p>
    <w:p>
      <w:pPr>
        <w:ind w:firstLine="420"/>
        <w:spacing w:line="360" w:lineRule="auto"/>
        <w:rPr>
          <w:rFonts w:eastAsiaTheme="minorEastAsia"/>
          <w:color w:val="auto"/>
          <w:szCs w:val="21"/>
          <w:highlight w:val="none"/>
        </w:rPr>
      </w:pPr>
      <w:r>
        <w:rPr>
          <w:rFonts w:hint="eastAsia" w:eastAsiaTheme="minorEastAsia"/>
          <w:color w:val="auto"/>
          <w:szCs w:val="21"/>
          <w:highlight w:val="none"/>
        </w:rPr>
        <w:t xml:space="preserve">标段号：</w:t>
      </w:r>
      <w:r/>
    </w:p>
    <w:tbl>
      <w:tblPr>
        <w:tblStyle w:val="849"/>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600" w:lineRule="exact"/>
              <w:widowControl/>
              <w:rPr>
                <w:rFonts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center"/>
              <w:spacing w:line="600" w:lineRule="exact"/>
              <w:widowControl/>
              <w:rPr>
                <w:rFonts w:ascii="宋体" w:hAnsi="宋体"/>
                <w:color w:val="auto"/>
                <w:sz w:val="24"/>
                <w:szCs w:val="24"/>
                <w:highlight w:val="none"/>
              </w:rPr>
            </w:pPr>
            <w:r>
              <w:rPr>
                <w:rFonts w:ascii="宋体" w:hAnsi="宋体"/>
                <w:color w:val="auto"/>
                <w:sz w:val="24"/>
                <w:szCs w:val="24"/>
                <w:highlight w:val="none"/>
              </w:rPr>
              <w:t xml:space="preserve">投标总报价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widowControl/>
              <w:rPr>
                <w:rFonts w:ascii="宋体" w:hAnsi="宋体"/>
                <w:color w:val="auto"/>
                <w:sz w:val="24"/>
                <w:szCs w:val="24"/>
                <w:highlight w:val="none"/>
              </w:rPr>
            </w:pPr>
            <w:r/>
            <w:bookmarkStart w:id="39" w:name="XMMC"/>
            <w:r/>
            <w:bookmarkEnd w:id="39"/>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spacing w:line="600" w:lineRule="exact"/>
              <w:widowControl/>
              <w:rPr>
                <w:rFonts w:ascii="宋体" w:hAnsi="宋体"/>
                <w:color w:val="auto"/>
                <w:sz w:val="24"/>
                <w:szCs w:val="24"/>
                <w:highlight w:val="none"/>
              </w:rPr>
            </w:pPr>
            <w:r>
              <w:rPr>
                <w:rFonts w:ascii="宋体" w:hAnsi="宋体"/>
                <w:color w:val="auto"/>
                <w:sz w:val="24"/>
                <w:szCs w:val="24"/>
                <w:highlight w:val="none"/>
              </w:rPr>
              <w:t xml:space="preserve">小写：</w:t>
            </w:r>
            <w:bookmarkStart w:id="40" w:name="JEXX"/>
            <w:r/>
            <w:bookmarkEnd w:id="40"/>
            <w:r>
              <w:rPr>
                <w:rFonts w:ascii="宋体" w:hAnsi="宋体"/>
                <w:color w:val="auto"/>
                <w:sz w:val="24"/>
                <w:szCs w:val="24"/>
                <w:highlight w:val="none"/>
              </w:rPr>
              <w:t xml:space="preserve">     （元人民币）</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600" w:lineRule="exact"/>
              <w:widowControl/>
              <w:rPr>
                <w:rFonts w:ascii="宋体" w:hAnsi="宋体"/>
                <w:color w:val="auto"/>
                <w:sz w:val="24"/>
                <w:szCs w:val="24"/>
                <w:highlight w:val="none"/>
              </w:rPr>
            </w:pPr>
            <w:r>
              <w:rPr>
                <w:rFonts w:ascii="宋体" w:hAnsi="宋体"/>
                <w:color w:val="auto"/>
                <w:sz w:val="24"/>
                <w:szCs w:val="24"/>
                <w:highlight w:val="none"/>
              </w:rPr>
              <w:t xml:space="preserve">投标报价大写金额</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spacing w:line="600" w:lineRule="exact"/>
              <w:widowControl/>
              <w:rPr>
                <w:rFonts w:ascii="宋体" w:hAnsi="宋体"/>
                <w:color w:val="auto"/>
                <w:sz w:val="24"/>
                <w:szCs w:val="24"/>
                <w:highlight w:val="none"/>
              </w:rPr>
            </w:pPr>
            <w:r/>
            <w:bookmarkStart w:id="41" w:name="JEDX"/>
            <w:r/>
            <w:bookmarkEnd w:id="41"/>
            <w:r/>
            <w:r/>
          </w:p>
        </w:tc>
      </w:tr>
    </w:tbl>
    <w:p>
      <w:pPr>
        <w:pStyle w:val="860"/>
        <w:rPr>
          <w:color w:val="auto"/>
          <w:highlight w:val="none"/>
        </w:rPr>
      </w:pPr>
      <w:r>
        <w:rPr>
          <w:color w:val="auto"/>
          <w:highlight w:val="none"/>
        </w:rPr>
      </w:r>
      <w:r/>
    </w:p>
    <w:p>
      <w:pPr>
        <w:ind w:firstLine="420"/>
        <w:spacing w:line="360" w:lineRule="auto"/>
        <w:rPr>
          <w:rFonts w:eastAsiaTheme="minorEastAsia"/>
          <w:color w:val="auto"/>
          <w:szCs w:val="21"/>
          <w:highlight w:val="none"/>
        </w:rPr>
      </w:pPr>
      <w:r>
        <w:rPr>
          <w:rFonts w:eastAsiaTheme="minorEastAsia"/>
          <w:color w:val="auto"/>
          <w:szCs w:val="21"/>
          <w:highlight w:val="none"/>
        </w:rPr>
      </w:r>
      <w:r/>
    </w:p>
    <w:p>
      <w:pPr>
        <w:ind w:firstLine="420"/>
        <w:spacing w:line="360" w:lineRule="auto"/>
        <w:rPr>
          <w:rFonts w:eastAsiaTheme="minorEastAsia"/>
          <w:color w:val="auto"/>
          <w:szCs w:val="21"/>
          <w:highlight w:val="none"/>
          <w:lang w:val="zh-CN"/>
        </w:rPr>
      </w:pPr>
      <w:r>
        <w:rPr>
          <w:rFonts w:hint="eastAsia"/>
          <w:color w:val="auto"/>
          <w:szCs w:val="21"/>
          <w:highlight w:val="none"/>
          <w:lang w:val="zh-CN"/>
        </w:rPr>
        <w:t xml:space="preserve">填写说明：如分标段，投标人投任何一个标段（包）标的，都需单独填写开标一览表。</w:t>
      </w:r>
      <w:r/>
    </w:p>
    <w:p>
      <w:pPr>
        <w:ind w:firstLine="420"/>
        <w:spacing w:line="360" w:lineRule="auto"/>
        <w:rPr>
          <w:color w:val="auto"/>
          <w:highlight w:val="none"/>
          <w:lang w:val="zh-CN"/>
        </w:rPr>
      </w:pPr>
      <w:r>
        <w:rPr>
          <w:color w:val="auto"/>
          <w:highlight w:val="none"/>
          <w:lang w:val="zh-CN"/>
        </w:rPr>
      </w:r>
      <w:r/>
    </w:p>
    <w:p>
      <w:pPr>
        <w:spacing w:line="360" w:lineRule="auto"/>
        <w:rPr>
          <w:rFonts w:eastAsiaTheme="minorEastAsia"/>
          <w:color w:val="auto"/>
          <w:szCs w:val="21"/>
          <w:highlight w:val="none"/>
        </w:rPr>
      </w:pPr>
      <w:r>
        <w:rPr>
          <w:rFonts w:eastAsiaTheme="minorEastAsia"/>
          <w:color w:val="auto"/>
          <w:szCs w:val="21"/>
          <w:highlight w:val="none"/>
        </w:rPr>
        <w:br w:type="page" w:clear="all"/>
      </w:r>
      <w:r/>
    </w:p>
    <w:p>
      <w:pPr>
        <w:spacing w:line="360" w:lineRule="auto"/>
        <w:rPr>
          <w:rFonts w:eastAsiaTheme="minorEastAsia"/>
          <w:b/>
          <w:bCs/>
          <w:color w:val="auto"/>
          <w:szCs w:val="21"/>
          <w:highlight w:val="none"/>
        </w:rPr>
      </w:pPr>
      <w:r>
        <w:rPr>
          <w:rFonts w:eastAsiaTheme="minorEastAsia"/>
          <w:b/>
          <w:bCs/>
          <w:color w:val="auto"/>
          <w:szCs w:val="21"/>
          <w:highlight w:val="none"/>
          <w:lang w:val="zh-CN"/>
        </w:rPr>
        <w:t xml:space="preserve">三、</w:t>
      </w:r>
      <w:bookmarkStart w:id="42" w:name="OLE_LINK1"/>
      <w:r>
        <w:rPr>
          <w:rFonts w:hint="eastAsia" w:eastAsiaTheme="minorEastAsia"/>
          <w:b/>
          <w:bCs/>
          <w:color w:val="auto"/>
          <w:szCs w:val="21"/>
          <w:highlight w:val="none"/>
          <w:lang w:val="zh-CN"/>
        </w:rPr>
        <w:t xml:space="preserve">分项报价</w:t>
      </w:r>
      <w:r>
        <w:rPr>
          <w:rFonts w:hint="eastAsia" w:eastAsiaTheme="minorEastAsia"/>
          <w:b/>
          <w:bCs/>
          <w:color w:val="auto"/>
          <w:szCs w:val="21"/>
          <w:highlight w:val="none"/>
        </w:rPr>
        <w:t xml:space="preserve">表</w:t>
      </w:r>
      <w:bookmarkEnd w:id="42"/>
      <w:r/>
      <w:r/>
    </w:p>
    <w:p>
      <w:pPr>
        <w:jc w:val="center"/>
        <w:spacing w:line="360" w:lineRule="auto"/>
        <w:rPr>
          <w:rFonts w:eastAsiaTheme="minorEastAsia"/>
          <w:b/>
          <w:bCs/>
          <w:color w:val="auto"/>
          <w:szCs w:val="21"/>
          <w:highlight w:val="none"/>
          <w:lang w:val="zh-CN"/>
        </w:rPr>
      </w:pPr>
      <w:r>
        <w:rPr>
          <w:rFonts w:eastAsiaTheme="minorEastAsia"/>
          <w:b/>
          <w:bCs/>
          <w:color w:val="auto"/>
          <w:szCs w:val="21"/>
          <w:highlight w:val="none"/>
          <w:lang w:val="zh-CN"/>
        </w:rPr>
      </w:r>
      <w:r/>
    </w:p>
    <w:p>
      <w:pPr>
        <w:jc w:val="center"/>
        <w:rPr>
          <w:color w:val="auto"/>
          <w:spacing w:val="20"/>
          <w:sz w:val="24"/>
          <w:szCs w:val="24"/>
          <w:highlight w:val="none"/>
        </w:rPr>
      </w:pPr>
      <w:r>
        <w:rPr>
          <w:rFonts w:hint="eastAsia"/>
          <w:b/>
          <w:bCs/>
          <w:color w:val="auto"/>
          <w:sz w:val="24"/>
          <w:szCs w:val="24"/>
          <w:highlight w:val="none"/>
        </w:rPr>
        <w:t xml:space="preserve">分项报价</w:t>
      </w:r>
      <w:r>
        <w:rPr>
          <w:b/>
          <w:bCs/>
          <w:color w:val="auto"/>
          <w:sz w:val="24"/>
          <w:szCs w:val="24"/>
          <w:highlight w:val="none"/>
        </w:rPr>
        <w:t xml:space="preserve">表</w:t>
      </w:r>
      <w:r/>
    </w:p>
    <w:p>
      <w:pPr>
        <w:pStyle w:val="859"/>
        <w:rPr>
          <w:color w:val="auto"/>
          <w:highlight w:val="none"/>
        </w:rPr>
      </w:pPr>
      <w:r>
        <w:rPr>
          <w:color w:val="auto"/>
          <w:highlight w:val="none"/>
        </w:rPr>
      </w:r>
      <w:r/>
    </w:p>
    <w:p>
      <w:pPr>
        <w:spacing w:line="360" w:lineRule="auto"/>
        <w:tabs>
          <w:tab w:val="left" w:pos="7635" w:leader="none"/>
        </w:tabs>
        <w:rPr>
          <w:color w:val="auto"/>
          <w:szCs w:val="21"/>
          <w:highlight w:val="none"/>
        </w:rPr>
      </w:pPr>
      <w:r>
        <w:rPr>
          <w:color w:val="auto"/>
          <w:szCs w:val="21"/>
          <w:highlight w:val="none"/>
          <w:lang w:val="zh-CN"/>
        </w:rPr>
        <w:t xml:space="preserve">项目编号：</w:t>
      </w:r>
      <w:r>
        <w:rPr>
          <w:rFonts w:hint="eastAsia"/>
          <w:color w:val="auto"/>
          <w:szCs w:val="21"/>
          <w:highlight w:val="none"/>
        </w:rPr>
        <w:t xml:space="preserve">              </w:t>
      </w:r>
      <w:r/>
    </w:p>
    <w:p>
      <w:pPr>
        <w:jc w:val="left"/>
        <w:spacing w:line="360" w:lineRule="auto"/>
        <w:tabs>
          <w:tab w:val="left" w:pos="7635" w:leader="none"/>
        </w:tabs>
        <w:rPr>
          <w:color w:val="auto"/>
          <w:szCs w:val="21"/>
          <w:highlight w:val="none"/>
          <w:lang w:val="zh-CN"/>
        </w:rPr>
      </w:pPr>
      <w:r>
        <w:rPr>
          <w:rFonts w:hint="eastAsia"/>
          <w:color w:val="auto"/>
          <w:szCs w:val="21"/>
          <w:highlight w:val="none"/>
          <w:lang w:val="zh-CN"/>
        </w:rPr>
        <w:t xml:space="preserve">第</w:t>
      </w:r>
      <w:r>
        <w:rPr>
          <w:rFonts w:hint="eastAsia"/>
          <w:color w:val="auto"/>
          <w:szCs w:val="21"/>
          <w:highlight w:val="none"/>
          <w:u w:val="single"/>
          <w:lang w:val="zh-CN"/>
        </w:rPr>
        <w:t xml:space="preserve">   </w:t>
      </w:r>
      <w:r>
        <w:rPr>
          <w:rFonts w:hint="eastAsia"/>
          <w:color w:val="auto"/>
          <w:szCs w:val="21"/>
          <w:highlight w:val="none"/>
          <w:lang w:val="zh-CN"/>
        </w:rPr>
        <w:t xml:space="preserve">标段：</w:t>
      </w:r>
      <w:r>
        <w:rPr>
          <w:rFonts w:hint="eastAsia"/>
          <w:color w:val="auto"/>
          <w:szCs w:val="21"/>
          <w:highlight w:val="none"/>
        </w:rPr>
        <w:t xml:space="preserve">                                                  单</w:t>
      </w:r>
      <w:r>
        <w:rPr>
          <w:color w:val="auto"/>
          <w:szCs w:val="21"/>
          <w:highlight w:val="none"/>
          <w:lang w:val="zh-CN"/>
        </w:rPr>
        <w:t xml:space="preserve">位（人民币）：元</w:t>
      </w:r>
      <w:r/>
    </w:p>
    <w:tbl>
      <w:tblPr>
        <w:tblStyle w:val="84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1222"/>
        <w:gridCol w:w="2384"/>
        <w:gridCol w:w="764"/>
        <w:gridCol w:w="1494"/>
        <w:gridCol w:w="1516"/>
        <w:gridCol w:w="915"/>
      </w:tblGrid>
      <w:tr>
        <w:trPr>
          <w:cantSplit/>
          <w:jc w:val="center"/>
          <w:trHeight w:val="674"/>
        </w:trPr>
        <w:tc>
          <w:tcPr>
            <w:tcW w:w="768" w:type="dxa"/>
            <w:vAlign w:val="center"/>
            <w:textDirection w:val="lrTb"/>
            <w:noWrap w:val="false"/>
          </w:tcPr>
          <w:p>
            <w:pPr>
              <w:jc w:val="center"/>
              <w:rPr>
                <w:rFonts w:ascii="宋体" w:hAnsi="Courier New"/>
                <w:color w:val="auto"/>
                <w:highlight w:val="none"/>
              </w:rPr>
            </w:pPr>
            <w:r>
              <w:rPr>
                <w:rFonts w:hint="eastAsia" w:ascii="宋体" w:hAnsi="Courier New"/>
                <w:color w:val="auto"/>
                <w:highlight w:val="none"/>
              </w:rPr>
              <w:t xml:space="preserve">序号</w:t>
            </w:r>
            <w:r/>
          </w:p>
        </w:tc>
        <w:tc>
          <w:tcPr>
            <w:tcBorders>
              <w:right w:val="single" w:color="auto" w:sz="4" w:space="0"/>
            </w:tcBorders>
            <w:tcW w:w="1222" w:type="dxa"/>
            <w:vAlign w:val="center"/>
            <w:textDirection w:val="lrTb"/>
            <w:noWrap w:val="false"/>
          </w:tcPr>
          <w:p>
            <w:pPr>
              <w:jc w:val="center"/>
              <w:rPr>
                <w:rFonts w:ascii="宋体" w:hAnsi="Courier New"/>
                <w:color w:val="auto"/>
                <w:highlight w:val="none"/>
              </w:rPr>
            </w:pPr>
            <w:r>
              <w:rPr>
                <w:rFonts w:hint="eastAsia" w:ascii="宋体" w:hAnsi="Courier New"/>
                <w:color w:val="auto"/>
                <w:highlight w:val="none"/>
              </w:rPr>
              <w:t xml:space="preserve">名称</w:t>
            </w:r>
            <w:r/>
          </w:p>
        </w:tc>
        <w:tc>
          <w:tcPr>
            <w:tcBorders>
              <w:left w:val="single" w:color="auto" w:sz="4" w:space="0"/>
              <w:right w:val="single" w:color="auto" w:sz="4" w:space="0"/>
            </w:tcBorders>
            <w:tcW w:w="2384" w:type="dxa"/>
            <w:vAlign w:val="center"/>
            <w:textDirection w:val="lrTb"/>
            <w:noWrap w:val="false"/>
          </w:tcPr>
          <w:p>
            <w:pPr>
              <w:jc w:val="center"/>
              <w:rPr>
                <w:rFonts w:ascii="宋体" w:hAnsi="Courier New"/>
                <w:color w:val="auto"/>
                <w:highlight w:val="none"/>
              </w:rPr>
            </w:pPr>
            <w:r>
              <w:rPr>
                <w:rFonts w:hint="eastAsia" w:ascii="宋体" w:hAnsi="Courier New"/>
                <w:color w:val="auto"/>
                <w:highlight w:val="none"/>
              </w:rPr>
              <w:t xml:space="preserve">服务内容</w:t>
            </w:r>
            <w:r/>
          </w:p>
        </w:tc>
        <w:tc>
          <w:tcPr>
            <w:tcBorders>
              <w:left w:val="single" w:color="auto" w:sz="4" w:space="0"/>
            </w:tcBorders>
            <w:tcW w:w="764" w:type="dxa"/>
            <w:vAlign w:val="center"/>
            <w:textDirection w:val="lrTb"/>
            <w:noWrap w:val="false"/>
          </w:tcPr>
          <w:p>
            <w:pPr>
              <w:jc w:val="center"/>
              <w:rPr>
                <w:rFonts w:ascii="宋体" w:hAnsi="Courier New"/>
                <w:color w:val="auto"/>
                <w:highlight w:val="none"/>
              </w:rPr>
            </w:pPr>
            <w:r>
              <w:rPr>
                <w:rFonts w:hint="eastAsia" w:ascii="宋体" w:hAnsi="Courier New"/>
                <w:color w:val="auto"/>
                <w:highlight w:val="none"/>
              </w:rPr>
              <w:t xml:space="preserve">数量</w:t>
            </w:r>
            <w:r/>
          </w:p>
        </w:tc>
        <w:tc>
          <w:tcPr>
            <w:tcBorders>
              <w:bottom w:val="single" w:color="auto" w:sz="4" w:space="0"/>
              <w:right w:val="single" w:color="auto" w:sz="4" w:space="0"/>
            </w:tcBorders>
            <w:tcW w:w="1494" w:type="dxa"/>
            <w:vAlign w:val="center"/>
            <w:textDirection w:val="lrTb"/>
            <w:noWrap w:val="false"/>
          </w:tcPr>
          <w:p>
            <w:pPr>
              <w:jc w:val="center"/>
              <w:rPr>
                <w:rFonts w:ascii="宋体" w:hAnsi="Courier New"/>
                <w:color w:val="auto"/>
                <w:highlight w:val="none"/>
              </w:rPr>
            </w:pPr>
            <w:r>
              <w:rPr>
                <w:rFonts w:hint="eastAsia" w:ascii="宋体" w:hAnsi="Courier New"/>
                <w:color w:val="auto"/>
                <w:highlight w:val="none"/>
              </w:rPr>
              <w:t xml:space="preserve">单价（元）</w:t>
            </w:r>
            <w:r/>
          </w:p>
        </w:tc>
        <w:tc>
          <w:tcPr>
            <w:tcBorders>
              <w:left w:val="single" w:color="auto" w:sz="4" w:space="0"/>
              <w:bottom w:val="single" w:color="auto" w:sz="4" w:space="0"/>
            </w:tcBorders>
            <w:tcW w:w="1516" w:type="dxa"/>
            <w:vAlign w:val="center"/>
            <w:textDirection w:val="lrTb"/>
            <w:noWrap w:val="false"/>
          </w:tcPr>
          <w:p>
            <w:pPr>
              <w:rPr>
                <w:rFonts w:ascii="宋体" w:hAnsi="Courier New"/>
                <w:color w:val="auto"/>
                <w:highlight w:val="none"/>
              </w:rPr>
            </w:pPr>
            <w:r>
              <w:rPr>
                <w:rFonts w:hint="eastAsia" w:ascii="宋体" w:hAnsi="Courier New"/>
                <w:color w:val="auto"/>
                <w:highlight w:val="none"/>
              </w:rPr>
              <w:t xml:space="preserve">合价（元）</w:t>
            </w:r>
            <w:r/>
          </w:p>
        </w:tc>
        <w:tc>
          <w:tcPr>
            <w:tcBorders>
              <w:right w:val="single" w:color="auto" w:sz="4" w:space="0"/>
            </w:tcBorders>
            <w:tcW w:w="915" w:type="dxa"/>
            <w:vAlign w:val="center"/>
            <w:textDirection w:val="lrTb"/>
            <w:noWrap w:val="false"/>
          </w:tcPr>
          <w:p>
            <w:pPr>
              <w:jc w:val="center"/>
              <w:rPr>
                <w:rFonts w:ascii="宋体" w:hAnsi="Courier New"/>
                <w:color w:val="auto"/>
                <w:highlight w:val="none"/>
              </w:rPr>
            </w:pPr>
            <w:r>
              <w:rPr>
                <w:rFonts w:hint="eastAsia" w:ascii="宋体" w:hAnsi="Courier New"/>
                <w:color w:val="auto"/>
                <w:highlight w:val="none"/>
              </w:rPr>
              <w:t xml:space="preserve">备注</w:t>
            </w:r>
            <w:r/>
          </w:p>
        </w:tc>
      </w:tr>
      <w:tr>
        <w:trPr>
          <w:cantSplit/>
          <w:jc w:val="center"/>
          <w:trHeight w:val="510"/>
        </w:trPr>
        <w:tc>
          <w:tcPr>
            <w:tcW w:w="768"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right w:val="single" w:color="auto" w:sz="4" w:space="0"/>
            </w:tcBorders>
            <w:tcW w:w="1222"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left w:val="single" w:color="auto" w:sz="4" w:space="0"/>
              <w:right w:val="single" w:color="auto" w:sz="4" w:space="0"/>
            </w:tcBorders>
            <w:tcW w:w="2384"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left w:val="single" w:color="auto" w:sz="4" w:space="0"/>
            </w:tcBorders>
            <w:tcW w:w="764"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top w:val="single" w:color="auto" w:sz="4" w:space="0"/>
              <w:right w:val="single" w:color="auto" w:sz="4" w:space="0"/>
            </w:tcBorders>
            <w:tcW w:w="1494"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top w:val="single" w:color="auto" w:sz="4" w:space="0"/>
              <w:left w:val="single" w:color="auto" w:sz="4" w:space="0"/>
            </w:tcBorders>
            <w:tcW w:w="1516"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right w:val="single" w:color="auto" w:sz="4" w:space="0"/>
            </w:tcBorders>
            <w:tcW w:w="915"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r>
      <w:tr>
        <w:trPr>
          <w:cantSplit/>
          <w:jc w:val="center"/>
          <w:trHeight w:val="510"/>
        </w:trPr>
        <w:tc>
          <w:tcPr>
            <w:tcW w:w="768"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right w:val="single" w:color="auto" w:sz="4" w:space="0"/>
            </w:tcBorders>
            <w:tcW w:w="1222"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left w:val="single" w:color="auto" w:sz="4" w:space="0"/>
              <w:right w:val="single" w:color="auto" w:sz="4" w:space="0"/>
            </w:tcBorders>
            <w:tcW w:w="2384"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left w:val="single" w:color="auto" w:sz="4" w:space="0"/>
            </w:tcBorders>
            <w:tcW w:w="764"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right w:val="single" w:color="auto" w:sz="4" w:space="0"/>
            </w:tcBorders>
            <w:tcW w:w="1494"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left w:val="single" w:color="auto" w:sz="4" w:space="0"/>
            </w:tcBorders>
            <w:tcW w:w="1516"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right w:val="single" w:color="auto" w:sz="4" w:space="0"/>
            </w:tcBorders>
            <w:tcW w:w="915"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r>
      <w:tr>
        <w:trPr>
          <w:cantSplit/>
          <w:jc w:val="center"/>
          <w:trHeight w:val="510"/>
        </w:trPr>
        <w:tc>
          <w:tcPr>
            <w:tcW w:w="768"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right w:val="single" w:color="auto" w:sz="4" w:space="0"/>
            </w:tcBorders>
            <w:tcW w:w="1222"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left w:val="single" w:color="auto" w:sz="4" w:space="0"/>
              <w:right w:val="single" w:color="auto" w:sz="4" w:space="0"/>
            </w:tcBorders>
            <w:tcW w:w="2384"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left w:val="single" w:color="auto" w:sz="4" w:space="0"/>
            </w:tcBorders>
            <w:tcW w:w="764"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right w:val="single" w:color="auto" w:sz="4" w:space="0"/>
            </w:tcBorders>
            <w:tcW w:w="1494"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left w:val="single" w:color="auto" w:sz="4" w:space="0"/>
            </w:tcBorders>
            <w:tcW w:w="1516"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right w:val="single" w:color="auto" w:sz="4" w:space="0"/>
            </w:tcBorders>
            <w:tcW w:w="915"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r>
      <w:tr>
        <w:trPr>
          <w:cantSplit/>
          <w:jc w:val="center"/>
          <w:trHeight w:val="510"/>
        </w:trPr>
        <w:tc>
          <w:tcPr>
            <w:tcW w:w="768"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right w:val="single" w:color="auto" w:sz="4" w:space="0"/>
            </w:tcBorders>
            <w:tcW w:w="1222"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left w:val="single" w:color="auto" w:sz="4" w:space="0"/>
              <w:right w:val="single" w:color="auto" w:sz="4" w:space="0"/>
            </w:tcBorders>
            <w:tcW w:w="2384"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left w:val="single" w:color="auto" w:sz="4" w:space="0"/>
            </w:tcBorders>
            <w:tcW w:w="764"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right w:val="single" w:color="auto" w:sz="4" w:space="0"/>
            </w:tcBorders>
            <w:tcW w:w="1494"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left w:val="single" w:color="auto" w:sz="4" w:space="0"/>
            </w:tcBorders>
            <w:tcW w:w="1516"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c>
          <w:tcPr>
            <w:tcBorders>
              <w:right w:val="single" w:color="auto" w:sz="4" w:space="0"/>
            </w:tcBorders>
            <w:tcW w:w="915" w:type="dxa"/>
            <w:vAlign w:val="center"/>
            <w:textDirection w:val="lrTb"/>
            <w:noWrap w:val="false"/>
          </w:tcPr>
          <w:p>
            <w:pPr>
              <w:jc w:val="center"/>
              <w:rPr>
                <w:rFonts w:ascii="宋体" w:hAnsi="Courier New"/>
                <w:color w:val="auto"/>
                <w:highlight w:val="none"/>
              </w:rPr>
            </w:pPr>
            <w:r>
              <w:rPr>
                <w:rFonts w:ascii="宋体" w:hAnsi="Courier New"/>
                <w:color w:val="auto"/>
                <w:highlight w:val="none"/>
              </w:rPr>
            </w:r>
            <w:r/>
          </w:p>
        </w:tc>
      </w:tr>
      <w:tr>
        <w:trPr>
          <w:cantSplit/>
          <w:jc w:val="center"/>
          <w:trHeight w:val="510"/>
        </w:trPr>
        <w:tc>
          <w:tcPr>
            <w:gridSpan w:val="7"/>
            <w:tcBorders>
              <w:right w:val="single" w:color="auto" w:sz="4" w:space="0"/>
            </w:tcBorders>
            <w:tcW w:w="9063" w:type="dxa"/>
            <w:vAlign w:val="center"/>
            <w:textDirection w:val="lrTb"/>
            <w:noWrap w:val="false"/>
          </w:tcPr>
          <w:p>
            <w:pPr>
              <w:jc w:val="center"/>
              <w:rPr>
                <w:rFonts w:ascii="宋体" w:hAnsi="Courier New"/>
                <w:color w:val="auto"/>
                <w:highlight w:val="none"/>
              </w:rPr>
            </w:pPr>
            <w:r>
              <w:rPr>
                <w:rFonts w:hint="eastAsia" w:ascii="宋体" w:hAnsi="Courier New"/>
                <w:color w:val="auto"/>
                <w:highlight w:val="none"/>
              </w:rPr>
              <w:t xml:space="preserve">总报价：人民币（大写）：                         （小写）：￥                    </w:t>
            </w:r>
            <w:r/>
          </w:p>
        </w:tc>
      </w:tr>
    </w:tbl>
    <w:p>
      <w:pPr>
        <w:jc w:val="center"/>
        <w:spacing w:line="360" w:lineRule="auto"/>
        <w:rPr>
          <w:rFonts w:eastAsiaTheme="minorEastAsia"/>
          <w:color w:val="auto"/>
          <w:szCs w:val="21"/>
          <w:highlight w:val="none"/>
        </w:rPr>
      </w:pPr>
      <w:r>
        <w:rPr>
          <w:rFonts w:eastAsiaTheme="minorEastAsia"/>
          <w:color w:val="auto"/>
          <w:szCs w:val="21"/>
          <w:highlight w:val="none"/>
        </w:rPr>
      </w:r>
      <w:r/>
    </w:p>
    <w:p>
      <w:pPr>
        <w:spacing w:line="400" w:lineRule="exact"/>
        <w:rPr>
          <w:color w:val="auto"/>
          <w:szCs w:val="21"/>
          <w:highlight w:val="none"/>
        </w:rPr>
      </w:pPr>
      <w:r>
        <w:rPr>
          <w:color w:val="auto"/>
          <w:szCs w:val="21"/>
          <w:highlight w:val="none"/>
        </w:rPr>
        <w:t xml:space="preserve">注：1、上述报价包含一切由供方承担的费用，各投标人可参照上述格式自制《分项报价表》参加投标。</w:t>
      </w:r>
      <w:r/>
    </w:p>
    <w:p>
      <w:pPr>
        <w:pStyle w:val="860"/>
        <w:rPr>
          <w:color w:val="auto"/>
          <w:highlight w:val="none"/>
        </w:rPr>
      </w:pPr>
      <w:r>
        <w:rPr>
          <w:color w:val="auto"/>
          <w:highlight w:val="none"/>
        </w:rPr>
        <w:t xml:space="preserve">2、投标总报价超采购预算，或各标的物单价超该项预算单价的（针对采购文件标明预算单价的），投标无效。</w:t>
      </w:r>
      <w:r/>
    </w:p>
    <w:p>
      <w:pPr>
        <w:ind w:firstLine="420"/>
        <w:spacing w:line="360" w:lineRule="auto"/>
        <w:rPr>
          <w:rFonts w:eastAsiaTheme="minorEastAsia"/>
          <w:color w:val="auto"/>
          <w:szCs w:val="21"/>
          <w:highlight w:val="none"/>
        </w:rPr>
      </w:pPr>
      <w:r>
        <w:rPr>
          <w:rFonts w:hint="eastAsia"/>
          <w:color w:val="auto"/>
          <w:highlight w:val="none"/>
        </w:rPr>
        <w:t xml:space="preserve">3、</w:t>
      </w:r>
      <w:r>
        <w:rPr>
          <w:rFonts w:eastAsiaTheme="minorEastAsia"/>
          <w:color w:val="auto"/>
          <w:szCs w:val="21"/>
          <w:highlight w:val="none"/>
        </w:rPr>
        <w:t xml:space="preserve">此处按所投采购包</w:t>
      </w:r>
      <w:r>
        <w:rPr>
          <w:rFonts w:hint="eastAsia" w:eastAsiaTheme="minorEastAsia"/>
          <w:color w:val="auto"/>
          <w:szCs w:val="21"/>
          <w:highlight w:val="none"/>
        </w:rPr>
        <w:t xml:space="preserve">填写</w:t>
      </w:r>
      <w:r>
        <w:rPr>
          <w:rFonts w:eastAsiaTheme="minorEastAsia"/>
          <w:color w:val="auto"/>
          <w:szCs w:val="21"/>
          <w:highlight w:val="none"/>
        </w:rPr>
        <w:t xml:space="preserve">对应采购包的分项报价。</w:t>
      </w:r>
      <w:r/>
    </w:p>
    <w:p>
      <w:pPr>
        <w:pStyle w:val="860"/>
        <w:rPr>
          <w:color w:val="auto"/>
          <w:highlight w:val="none"/>
        </w:rPr>
      </w:pPr>
      <w:r>
        <w:rPr>
          <w:rFonts w:hint="eastAsia"/>
          <w:color w:val="auto"/>
          <w:highlight w:val="none"/>
        </w:rPr>
        <w:t xml:space="preserve">4、本表各分项报价合计金额应当与“开标一览表”投标总价相等，如不相等，以“开标一览表”为准。</w:t>
      </w:r>
      <w:r/>
    </w:p>
    <w:p>
      <w:pP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r>
      <w:r/>
    </w:p>
    <w:p>
      <w:pPr>
        <w:pStyle w:val="860"/>
        <w:ind w:left="0"/>
        <w:rPr>
          <w:color w:val="auto"/>
          <w:highlight w:val="none"/>
        </w:rPr>
      </w:pPr>
      <w:r>
        <w:rPr>
          <w:color w:val="auto"/>
          <w:highlight w:val="none"/>
        </w:rPr>
      </w:r>
      <w:r/>
    </w:p>
    <w:p>
      <w:pPr>
        <w:pStyle w:val="860"/>
        <w:ind w:left="0"/>
        <w:rPr>
          <w:color w:val="auto"/>
          <w:highlight w:val="none"/>
        </w:rPr>
      </w:pPr>
      <w:r>
        <w:rPr>
          <w:color w:val="auto"/>
          <w:highlight w:val="none"/>
        </w:rPr>
      </w:r>
      <w:r/>
    </w:p>
    <w:p>
      <w:pPr>
        <w:jc w:val="left"/>
        <w:widowControl/>
        <w:rPr>
          <w:rFonts w:eastAsiaTheme="minorEastAsia"/>
          <w:b/>
          <w:color w:val="auto"/>
          <w:szCs w:val="21"/>
          <w:highlight w:val="none"/>
        </w:rPr>
      </w:pPr>
      <w:r>
        <w:rPr>
          <w:rFonts w:eastAsiaTheme="minorEastAsia"/>
          <w:b/>
          <w:color w:val="auto"/>
          <w:szCs w:val="21"/>
          <w:highlight w:val="none"/>
        </w:rPr>
        <w:br w:type="page" w:clear="all"/>
      </w:r>
      <w:r/>
    </w:p>
    <w:p>
      <w:pPr>
        <w:spacing w:line="360" w:lineRule="auto"/>
        <w:rPr>
          <w:rFonts w:eastAsiaTheme="minorEastAsia"/>
          <w:b/>
          <w:color w:val="auto"/>
          <w:szCs w:val="21"/>
          <w:highlight w:val="none"/>
        </w:rPr>
      </w:pPr>
      <w:r>
        <w:rPr>
          <w:rFonts w:eastAsiaTheme="minorEastAsia"/>
          <w:b/>
          <w:color w:val="auto"/>
          <w:szCs w:val="21"/>
          <w:highlight w:val="none"/>
        </w:rPr>
        <w:t xml:space="preserve">四、投标函</w:t>
      </w:r>
      <w:r/>
    </w:p>
    <w:p>
      <w:pPr>
        <w:spacing w:line="360" w:lineRule="auto"/>
        <w:rPr>
          <w:rFonts w:eastAsiaTheme="minorEastAsia"/>
          <w:b/>
          <w:color w:val="auto"/>
          <w:szCs w:val="21"/>
          <w:highlight w:val="none"/>
        </w:rPr>
      </w:pPr>
      <w:r>
        <w:rPr>
          <w:rFonts w:eastAsiaTheme="minorEastAsia"/>
          <w:b/>
          <w:color w:val="auto"/>
          <w:szCs w:val="21"/>
          <w:highlight w:val="none"/>
        </w:rPr>
      </w:r>
      <w:r/>
    </w:p>
    <w:p>
      <w:pPr>
        <w:pStyle w:val="1488"/>
        <w:jc w:val="center"/>
        <w:spacing w:line="360" w:lineRule="auto"/>
        <w:rPr>
          <w:rFonts w:hint="default" w:hAnsi="宋体" w:eastAsia="宋体" w:cs="宋体"/>
          <w:b/>
          <w:color w:val="auto"/>
          <w:sz w:val="21"/>
          <w:szCs w:val="21"/>
          <w:highlight w:val="none"/>
        </w:rPr>
      </w:pPr>
      <w:r>
        <w:rPr>
          <w:rFonts w:hAnsi="宋体" w:eastAsia="宋体" w:cs="宋体"/>
          <w:b/>
          <w:color w:val="auto"/>
          <w:sz w:val="21"/>
          <w:szCs w:val="21"/>
          <w:highlight w:val="none"/>
        </w:rPr>
        <w:t xml:space="preserve">投标函</w:t>
      </w:r>
      <w:r/>
    </w:p>
    <w:p>
      <w:pPr>
        <w:pStyle w:val="1488"/>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u w:val="single"/>
        </w:rPr>
        <w:t xml:space="preserve">永立工程咨询（江苏）有限公司 </w:t>
      </w:r>
      <w:r>
        <w:rPr>
          <w:rFonts w:hAnsi="宋体" w:eastAsia="宋体" w:cs="宋体"/>
          <w:color w:val="auto"/>
          <w:sz w:val="21"/>
          <w:szCs w:val="21"/>
          <w:highlight w:val="none"/>
        </w:rPr>
        <w:t xml:space="preserve">：</w:t>
      </w:r>
      <w:r/>
    </w:p>
    <w:p>
      <w:pPr>
        <w:pStyle w:val="1488"/>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  我们收到贵公司</w:t>
      </w:r>
      <w:r>
        <w:rPr>
          <w:rFonts w:hAnsi="宋体" w:eastAsia="宋体" w:cs="宋体"/>
          <w:color w:val="auto"/>
          <w:sz w:val="21"/>
          <w:szCs w:val="21"/>
          <w:highlight w:val="none"/>
          <w:u w:val="single"/>
        </w:rPr>
        <w:t xml:space="preserve">             号</w:t>
      </w:r>
      <w:r>
        <w:rPr>
          <w:rFonts w:hAnsi="宋体" w:eastAsia="宋体" w:cs="宋体"/>
          <w:color w:val="auto"/>
          <w:sz w:val="21"/>
          <w:szCs w:val="21"/>
          <w:highlight w:val="none"/>
        </w:rPr>
        <w:t xml:space="preserve">采购文件，经仔细阅读和研究，我们决定参加投标。</w:t>
      </w:r>
      <w:r/>
    </w:p>
    <w:p>
      <w:pPr>
        <w:pStyle w:val="1488"/>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我们愿意按照采购文件的一切要求，提供完成该项目的全部内容应</w:t>
      </w:r>
      <w:r>
        <w:rPr>
          <w:rFonts w:hAnsi="宋体" w:eastAsia="宋体" w:cs="宋体"/>
          <w:color w:val="auto"/>
          <w:sz w:val="21"/>
          <w:szCs w:val="21"/>
          <w:highlight w:val="none"/>
          <w:lang w:val="zh-CN"/>
        </w:rPr>
        <w:t xml:space="preserve">包括完成本项目所需的成本、经营成本、法定税费和管理企业的利润、保险及合同包含的所有风险、责任等各项应有费用，甲方不再支付其他任何费用。</w:t>
      </w:r>
      <w:r/>
    </w:p>
    <w:p>
      <w:pPr>
        <w:pStyle w:val="1488"/>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已详细审查全部采购文件，我们认为采购文件中不存在以不合理的要求限制或者排斥潜在投标单位、不存在对潜在投标单位实行差别待遇或者歧视待遇、不存在指定特定的投标单位、不存在含有倾向性或者排斥潜在投标单位的其他内容，且对本项目采购文件我们已完全知悉所有内容，对采购文件无异议，我们完全理解并同意放弃对这方面有不明及误解的权力。</w:t>
      </w:r>
      <w:r/>
    </w:p>
    <w:p>
      <w:pPr>
        <w:pStyle w:val="1488"/>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我们同意按采购文件中的规定，本投标书的有效期限为开标后60天。如果我们在开标后规定的投标有效期内撤回投标，我们的投标保证金可被贵方没收。</w:t>
      </w:r>
      <w:r/>
    </w:p>
    <w:p>
      <w:pPr>
        <w:pStyle w:val="1488"/>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我们愿意提供采购方在采购文件中要求的所有资料，也同意向贵方提供贵方可能另外要求的与其投标有关的任何证据或资料。并保证所提供的资料全部是真实的、有效的，若有虚假，我们愿承担一切责任。</w:t>
      </w:r>
      <w:r/>
    </w:p>
    <w:p>
      <w:pPr>
        <w:pStyle w:val="1488"/>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我们认为你们有权决定中标者，还认为你们有权接受或拒绝所有的投标者。</w:t>
      </w:r>
      <w:r/>
    </w:p>
    <w:p>
      <w:pPr>
        <w:pStyle w:val="1488"/>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如果我们中标，我们愿意在签订合同时支付履约保证金。（如有）</w:t>
      </w:r>
      <w:r/>
    </w:p>
    <w:p>
      <w:pPr>
        <w:pStyle w:val="1488"/>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在接受业务过程中，我方将严格遵守国家的有关法律、法规、制度规定及有关执业规范的要求，客观公正的开展服务工作，确保项目服务质量，按时完成业务，并承担相应的责任。</w:t>
      </w:r>
      <w:r/>
    </w:p>
    <w:p>
      <w:pPr>
        <w:pStyle w:val="1488"/>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我方同意采购方关于违约责任的认定方式和相关对违约责任的处罚；在承接业务过程中，如我方违约，我方愿意承担相应违约责任。</w:t>
      </w:r>
      <w:r/>
    </w:p>
    <w:p>
      <w:pPr>
        <w:pStyle w:val="1488"/>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与本投标有关的通讯地址：</w:t>
      </w:r>
      <w:r/>
    </w:p>
    <w:p>
      <w:pPr>
        <w:pStyle w:val="1488"/>
        <w:ind w:firstLine="480"/>
        <w:rPr>
          <w:rFonts w:hint="default" w:hAnsi="宋体" w:eastAsia="宋体" w:cs="宋体"/>
          <w:color w:val="auto"/>
          <w:sz w:val="21"/>
          <w:szCs w:val="21"/>
          <w:highlight w:val="none"/>
        </w:rPr>
      </w:pPr>
      <w:r>
        <w:rPr>
          <w:rFonts w:hAnsi="宋体" w:eastAsia="宋体" w:cs="宋体"/>
          <w:color w:val="auto"/>
          <w:sz w:val="21"/>
          <w:szCs w:val="21"/>
          <w:highlight w:val="none"/>
        </w:rPr>
        <w:t xml:space="preserve">单    位：                                 联 系 人：                   </w:t>
      </w:r>
      <w:r/>
    </w:p>
    <w:p>
      <w:pPr>
        <w:pStyle w:val="1488"/>
        <w:ind w:firstLine="480"/>
        <w:rPr>
          <w:rFonts w:hint="default" w:hAnsi="宋体" w:eastAsia="宋体" w:cs="宋体"/>
          <w:color w:val="auto"/>
          <w:sz w:val="21"/>
          <w:szCs w:val="21"/>
          <w:highlight w:val="none"/>
        </w:rPr>
      </w:pPr>
      <w:r>
        <w:rPr>
          <w:rFonts w:hAnsi="宋体" w:eastAsia="宋体" w:cs="宋体"/>
          <w:color w:val="auto"/>
          <w:sz w:val="21"/>
          <w:szCs w:val="21"/>
          <w:highlight w:val="none"/>
        </w:rPr>
        <w:t xml:space="preserve">地    址：                                 邮政编码：                </w:t>
      </w:r>
      <w:r/>
    </w:p>
    <w:p>
      <w:pPr>
        <w:pStyle w:val="1488"/>
        <w:ind w:firstLine="480"/>
        <w:rPr>
          <w:rFonts w:hint="default" w:hAnsi="宋体" w:eastAsia="宋体" w:cs="宋体"/>
          <w:color w:val="auto"/>
          <w:sz w:val="21"/>
          <w:szCs w:val="21"/>
          <w:highlight w:val="none"/>
        </w:rPr>
      </w:pPr>
      <w:r>
        <w:rPr>
          <w:rFonts w:hAnsi="宋体" w:eastAsia="宋体" w:cs="宋体"/>
          <w:color w:val="auto"/>
          <w:sz w:val="21"/>
          <w:szCs w:val="21"/>
          <w:highlight w:val="none"/>
        </w:rPr>
        <w:t xml:space="preserve">联系电话：                                 传    真：                    </w:t>
      </w:r>
      <w:r/>
    </w:p>
    <w:p>
      <w:pPr>
        <w:pStyle w:val="1488"/>
        <w:ind w:firstLine="420"/>
        <w:jc w:val="left"/>
        <w:rPr>
          <w:rFonts w:hint="default" w:hAnsi="宋体" w:eastAsia="宋体" w:cs="宋体"/>
          <w:color w:val="auto"/>
          <w:sz w:val="21"/>
          <w:szCs w:val="21"/>
          <w:highlight w:val="none"/>
        </w:rPr>
      </w:pPr>
      <w:r>
        <w:rPr>
          <w:rFonts w:hint="default" w:hAnsi="宋体" w:eastAsia="宋体" w:cs="宋体"/>
          <w:color w:val="auto"/>
          <w:sz w:val="21"/>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ind w:right="525" w:firstLine="480"/>
        <w:spacing w:line="360" w:lineRule="auto"/>
        <w:rPr>
          <w:rFonts w:hAnsi="宋体"/>
          <w:color w:val="auto"/>
          <w:szCs w:val="21"/>
          <w:highlight w:val="none"/>
        </w:rPr>
      </w:pPr>
      <w:r>
        <w:rPr>
          <w:rFonts w:hint="eastAsia" w:ascii="宋体" w:hAnsi="宋体" w:cs="宋体"/>
          <w:color w:val="auto"/>
          <w:szCs w:val="21"/>
          <w:highlight w:val="none"/>
        </w:rPr>
        <w:t xml:space="preserve">日期：　　　　年　　  月　　  日</w:t>
      </w:r>
      <w:r/>
    </w:p>
    <w:p>
      <w:pPr>
        <w:jc w:val="center"/>
        <w:spacing w:line="360" w:lineRule="auto"/>
        <w:rPr>
          <w:rFonts w:eastAsiaTheme="minorEastAsia"/>
          <w:b/>
          <w:color w:val="auto"/>
          <w:szCs w:val="21"/>
          <w:highlight w:val="none"/>
        </w:rPr>
      </w:pPr>
      <w:r>
        <w:rPr>
          <w:rFonts w:eastAsiaTheme="minorEastAsia"/>
          <w:b/>
          <w:color w:val="auto"/>
          <w:szCs w:val="21"/>
          <w:highlight w:val="none"/>
        </w:rPr>
        <w:br w:type="page" w:clear="all"/>
      </w:r>
      <w:r/>
    </w:p>
    <w:p>
      <w:pPr>
        <w:spacing w:line="360" w:lineRule="auto"/>
        <w:rPr>
          <w:rFonts w:eastAsiaTheme="minorEastAsia"/>
          <w:b/>
          <w:color w:val="auto"/>
          <w:szCs w:val="21"/>
          <w:highlight w:val="none"/>
        </w:rPr>
      </w:pPr>
      <w:r>
        <w:rPr>
          <w:rFonts w:hint="eastAsia" w:eastAsiaTheme="minorEastAsia"/>
          <w:b/>
          <w:color w:val="auto"/>
          <w:szCs w:val="21"/>
          <w:highlight w:val="none"/>
        </w:rPr>
        <w:t xml:space="preserve">五、投标（响应）保证承诺书</w:t>
      </w:r>
      <w:r/>
    </w:p>
    <w:p>
      <w:pPr>
        <w:spacing w:line="360" w:lineRule="auto"/>
        <w:rPr>
          <w:rFonts w:eastAsiaTheme="minorEastAsia"/>
          <w:b/>
          <w:color w:val="auto"/>
          <w:szCs w:val="21"/>
          <w:highlight w:val="none"/>
        </w:rPr>
      </w:pPr>
      <w:r>
        <w:rPr>
          <w:rFonts w:eastAsiaTheme="minorEastAsia"/>
          <w:b/>
          <w:color w:val="auto"/>
          <w:szCs w:val="21"/>
          <w:highlight w:val="none"/>
        </w:rPr>
      </w:r>
      <w:r/>
    </w:p>
    <w:p>
      <w:pPr>
        <w:pStyle w:val="890"/>
        <w:jc w:val="center"/>
        <w:spacing w:before="0" w:after="0" w:line="600" w:lineRule="atLeast"/>
        <w:widowControl/>
        <w:rPr>
          <w:rFonts w:ascii="宋体" w:hAnsi="宋体" w:cs="宋体"/>
          <w:b/>
          <w:bCs/>
          <w:color w:val="auto"/>
          <w:highlight w:val="none"/>
        </w:rPr>
      </w:pPr>
      <w:r>
        <w:rPr>
          <w:rFonts w:hint="eastAsia" w:ascii="宋体" w:hAnsi="宋体" w:cs="宋体"/>
          <w:b/>
          <w:bCs/>
          <w:color w:val="auto"/>
          <w:highlight w:val="none"/>
        </w:rPr>
        <w:t xml:space="preserve">投标（响应）保证承诺书</w:t>
      </w:r>
      <w:r/>
    </w:p>
    <w:p>
      <w:pPr>
        <w:pStyle w:val="890"/>
        <w:jc w:val="center"/>
        <w:spacing w:before="0" w:after="0" w:line="6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890"/>
        <w:spacing w:before="0" w:after="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hAnsi="宋体" w:cs="宋体"/>
          <w:color w:val="auto"/>
          <w:sz w:val="21"/>
          <w:szCs w:val="21"/>
          <w:highlight w:val="none"/>
          <w:u w:val="single"/>
        </w:rPr>
        <w:t xml:space="preserve">永立工程咨询（江苏）有限公司</w:t>
      </w:r>
      <w:r/>
    </w:p>
    <w:p>
      <w:pPr>
        <w:pStyle w:val="890"/>
        <w:ind w:firstLine="600"/>
        <w:spacing w:before="0" w:after="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的投标（响应）,并做出如下承诺：</w:t>
      </w:r>
      <w:r/>
    </w:p>
    <w:p>
      <w:pPr>
        <w:pStyle w:val="890"/>
        <w:ind w:firstLine="600"/>
        <w:spacing w:before="0" w:after="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一、除不可抗力外，我单位如果发生以下行为，将在行为发生的10个工作日内，向贵方支付本采购文件公布的预算金额（或最高限价）的2%作为违约赔偿金（数量不确定的单价采购须约定具体金额）。</w:t>
      </w:r>
      <w:r/>
    </w:p>
    <w:p>
      <w:pPr>
        <w:pStyle w:val="890"/>
        <w:ind w:firstLine="555"/>
        <w:spacing w:before="0" w:after="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1.自投标（响应）截止时间至本项目发布中标（成交）公告为止，撤销投标（响应）；</w:t>
      </w:r>
      <w:r/>
    </w:p>
    <w:p>
      <w:pPr>
        <w:pStyle w:val="890"/>
        <w:ind w:firstLine="555"/>
        <w:spacing w:before="0" w:after="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2.中标（成交）后不依法与采购人签订合同；</w:t>
      </w:r>
      <w:r/>
    </w:p>
    <w:p>
      <w:pPr>
        <w:pStyle w:val="890"/>
        <w:ind w:firstLine="555"/>
        <w:spacing w:before="0" w:after="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3.中标（成交）后不按本采购文件规定向采购人提交履约保证金；</w:t>
      </w:r>
      <w:r/>
    </w:p>
    <w:p>
      <w:pPr>
        <w:pStyle w:val="890"/>
        <w:ind w:firstLine="600"/>
        <w:spacing w:before="0" w:after="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二、我单位知晓上述行为的法律后果，承认本承诺书作为贵方要求我单位履行违约赔偿义务的依据作用。</w:t>
      </w:r>
      <w:r/>
    </w:p>
    <w:p>
      <w:pPr>
        <w:pStyle w:val="890"/>
        <w:ind w:left="1560"/>
        <w:spacing w:before="0" w:after="0" w:line="3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eastAsiaTheme="minorEastAsia"/>
          <w:b/>
          <w:color w:val="auto"/>
          <w:szCs w:val="21"/>
          <w:highlight w:val="none"/>
        </w:rPr>
      </w:pPr>
      <w:r>
        <w:rPr>
          <w:rFonts w:eastAsiaTheme="minorEastAsia"/>
          <w:b/>
          <w:color w:val="auto"/>
          <w:szCs w:val="21"/>
          <w:highlight w:val="none"/>
        </w:rPr>
        <w:br w:type="page" w:clear="all"/>
      </w:r>
      <w:r/>
    </w:p>
    <w:p>
      <w:pPr>
        <w:spacing w:line="360" w:lineRule="auto"/>
        <w:rPr>
          <w:rFonts w:eastAsiaTheme="minorEastAsia"/>
          <w:color w:val="auto"/>
          <w:szCs w:val="21"/>
          <w:highlight w:val="none"/>
        </w:rPr>
      </w:pPr>
      <w:r>
        <w:rPr>
          <w:rFonts w:hint="eastAsia" w:eastAsiaTheme="minorEastAsia"/>
          <w:b/>
          <w:color w:val="auto"/>
          <w:szCs w:val="21"/>
          <w:highlight w:val="none"/>
        </w:rPr>
        <w:t xml:space="preserve">六</w:t>
      </w:r>
      <w:r>
        <w:rPr>
          <w:rFonts w:eastAsiaTheme="minorEastAsia"/>
          <w:b/>
          <w:color w:val="auto"/>
          <w:szCs w:val="21"/>
          <w:highlight w:val="none"/>
        </w:rPr>
        <w:t xml:space="preserve">、参加政府采购活动前三年内，在经营活动中没有重大违法记录声明</w:t>
      </w:r>
      <w:r/>
    </w:p>
    <w:p>
      <w:pPr>
        <w:spacing w:line="360" w:lineRule="auto"/>
        <w:rPr>
          <w:rFonts w:eastAsiaTheme="minorEastAsia"/>
          <w:color w:val="auto"/>
          <w:szCs w:val="21"/>
          <w:highlight w:val="none"/>
        </w:rPr>
      </w:pPr>
      <w:r>
        <w:rPr>
          <w:rFonts w:eastAsiaTheme="minorEastAsia"/>
          <w:color w:val="auto"/>
          <w:szCs w:val="21"/>
          <w:highlight w:val="none"/>
        </w:rPr>
      </w:r>
      <w:r/>
    </w:p>
    <w:p>
      <w:pPr>
        <w:spacing w:line="360" w:lineRule="auto"/>
        <w:rPr>
          <w:rFonts w:eastAsiaTheme="minorEastAsia"/>
          <w:color w:val="auto"/>
          <w:szCs w:val="21"/>
          <w:highlight w:val="none"/>
          <w:u w:val="single"/>
        </w:rPr>
      </w:pPr>
      <w:r>
        <w:rPr>
          <w:rFonts w:eastAsiaTheme="minorEastAsia"/>
          <w:color w:val="auto"/>
          <w:szCs w:val="21"/>
          <w:highlight w:val="none"/>
          <w:u w:val="single"/>
        </w:rPr>
      </w:r>
      <w:r/>
    </w:p>
    <w:p>
      <w:pPr>
        <w:pStyle w:val="1488"/>
        <w:jc w:val="center"/>
        <w:spacing w:line="360" w:lineRule="auto"/>
        <w:rPr>
          <w:rFonts w:hint="default" w:hAnsi="宋体" w:eastAsia="宋体" w:cs="宋体"/>
          <w:b/>
          <w:color w:val="auto"/>
          <w:sz w:val="21"/>
          <w:szCs w:val="21"/>
          <w:highlight w:val="none"/>
        </w:rPr>
      </w:pPr>
      <w:r>
        <w:rPr>
          <w:rFonts w:hAnsi="宋体" w:eastAsia="宋体" w:cs="宋体"/>
          <w:b/>
          <w:color w:val="auto"/>
          <w:sz w:val="21"/>
          <w:szCs w:val="21"/>
          <w:highlight w:val="none"/>
        </w:rPr>
        <w:t xml:space="preserve">声明函</w:t>
      </w:r>
      <w:r/>
    </w:p>
    <w:p>
      <w:pPr>
        <w:spacing w:line="360" w:lineRule="auto"/>
        <w:rPr>
          <w:rFonts w:eastAsiaTheme="minorEastAsia"/>
          <w:color w:val="auto"/>
          <w:szCs w:val="21"/>
          <w:highlight w:val="none"/>
          <w:u w:val="single"/>
        </w:rPr>
      </w:pPr>
      <w:r>
        <w:rPr>
          <w:rFonts w:eastAsiaTheme="minorEastAsia"/>
          <w:color w:val="auto"/>
          <w:szCs w:val="21"/>
          <w:highlight w:val="none"/>
          <w:u w:val="single"/>
        </w:rPr>
        <w:t xml:space="preserve">致：</w:t>
      </w:r>
      <w:r>
        <w:rPr>
          <w:rFonts w:hint="eastAsia" w:eastAsiaTheme="minorEastAsia"/>
          <w:color w:val="auto"/>
          <w:szCs w:val="21"/>
          <w:highlight w:val="none"/>
          <w:u w:val="single"/>
        </w:rPr>
        <w:t xml:space="preserve">永立工程咨询（江苏）有限公司</w:t>
      </w:r>
      <w:r>
        <w:rPr>
          <w:rFonts w:eastAsiaTheme="minorEastAsia"/>
          <w:color w:val="auto"/>
          <w:szCs w:val="21"/>
          <w:highlight w:val="none"/>
          <w:u w:val="single"/>
        </w:rPr>
        <w:t xml:space="preserve">：</w:t>
      </w:r>
      <w:r/>
    </w:p>
    <w:p>
      <w:pPr>
        <w:ind w:firstLine="420"/>
        <w:spacing w:line="360" w:lineRule="auto"/>
        <w:rPr>
          <w:rFonts w:eastAsiaTheme="minorEastAsia"/>
          <w:color w:val="auto"/>
          <w:szCs w:val="21"/>
          <w:highlight w:val="none"/>
        </w:rPr>
      </w:pPr>
      <w:r>
        <w:rPr>
          <w:rFonts w:eastAsiaTheme="minorEastAsia"/>
          <w:color w:val="auto"/>
          <w:szCs w:val="21"/>
          <w:highlight w:val="none"/>
        </w:rPr>
        <w:t xml:space="preserve">我单位</w:t>
      </w:r>
      <w:r>
        <w:rPr>
          <w:rFonts w:eastAsiaTheme="minorEastAsia"/>
          <w:color w:val="auto"/>
          <w:szCs w:val="21"/>
          <w:highlight w:val="none"/>
          <w:u w:val="single"/>
        </w:rPr>
        <w:t xml:space="preserve">（投标人名称）</w:t>
      </w:r>
      <w:r>
        <w:rPr>
          <w:rFonts w:eastAsiaTheme="minorEastAsia"/>
          <w:color w:val="auto"/>
          <w:szCs w:val="21"/>
          <w:highlight w:val="none"/>
        </w:rPr>
        <w:t xml:space="preserve">在参加政府采购活动前三年内，没有重大违法记录，特此声明。</w:t>
      </w:r>
      <w:r/>
    </w:p>
    <w:p>
      <w:pPr>
        <w:ind w:firstLine="420"/>
        <w:spacing w:line="360" w:lineRule="auto"/>
        <w:rPr>
          <w:rFonts w:eastAsiaTheme="minorEastAsia"/>
          <w:color w:val="auto"/>
          <w:szCs w:val="21"/>
          <w:highlight w:val="none"/>
        </w:rPr>
      </w:pPr>
      <w:r>
        <w:rPr>
          <w:rFonts w:eastAsiaTheme="minorEastAsia"/>
          <w:color w:val="auto"/>
          <w:szCs w:val="21"/>
          <w:highlight w:val="none"/>
        </w:rPr>
        <w:t xml:space="preserve">若采购代理机构在本项目采购过程中发现我单位近三年内在经营活动中有重大违法记录，我单位将无条件退出本项目的投标，并承担因此引起的一起后果。</w:t>
      </w:r>
      <w:r/>
    </w:p>
    <w:p>
      <w:pPr>
        <w:ind w:firstLine="6090"/>
        <w:jc w:val="right"/>
        <w:spacing w:line="360" w:lineRule="auto"/>
        <w:rPr>
          <w:rFonts w:ascii="宋体" w:hAnsi="宋体" w:cs="宋体"/>
          <w:color w:val="auto"/>
          <w:szCs w:val="21"/>
          <w:highlight w:val="none"/>
        </w:rPr>
      </w:pPr>
      <w:r>
        <w:rPr>
          <w:rFonts w:ascii="宋体" w:hAnsi="宋体" w:cs="宋体"/>
          <w:color w:val="auto"/>
          <w:szCs w:val="21"/>
          <w:highlight w:val="none"/>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w:t>
      </w:r>
      <w:bookmarkStart w:id="43" w:name="OLE_LINK2"/>
      <w:r>
        <w:rPr>
          <w:rFonts w:hint="eastAsia" w:ascii="宋体" w:hAnsi="宋体" w:cs="宋体"/>
          <w:color w:val="auto"/>
          <w:szCs w:val="21"/>
          <w:highlight w:val="none"/>
        </w:rPr>
        <w:t xml:space="preserve">（加盖CA电子公章）</w:t>
      </w:r>
      <w:bookmarkEnd w:id="43"/>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860"/>
        <w:rPr>
          <w:color w:val="auto"/>
          <w:highlight w:val="none"/>
        </w:rPr>
      </w:pPr>
      <w:r>
        <w:rPr>
          <w:color w:val="auto"/>
          <w:highlight w:val="none"/>
        </w:rPr>
      </w:r>
      <w:r/>
    </w:p>
    <w:p>
      <w:pPr>
        <w:spacing w:line="360" w:lineRule="auto"/>
        <w:rPr>
          <w:rFonts w:eastAsiaTheme="minorEastAsia"/>
          <w:color w:val="auto"/>
          <w:szCs w:val="21"/>
          <w:highlight w:val="none"/>
        </w:rPr>
      </w:pPr>
      <w:r>
        <w:rPr>
          <w:rFonts w:eastAsiaTheme="minorEastAsia"/>
          <w:color w:val="auto"/>
          <w:szCs w:val="21"/>
          <w:highlight w:val="none"/>
        </w:rPr>
      </w:r>
      <w:r/>
    </w:p>
    <w:p>
      <w:pPr>
        <w:ind w:firstLine="420"/>
        <w:jc w:val="center"/>
        <w:spacing w:line="360" w:lineRule="auto"/>
        <w:rPr>
          <w:rFonts w:eastAsiaTheme="minorEastAsia"/>
          <w:color w:val="auto"/>
          <w:szCs w:val="21"/>
          <w:highlight w:val="none"/>
        </w:rPr>
      </w:pPr>
      <w:r>
        <w:rPr>
          <w:rFonts w:eastAsiaTheme="minorEastAsia"/>
          <w:color w:val="auto"/>
          <w:szCs w:val="21"/>
          <w:highlight w:val="none"/>
        </w:rPr>
        <w:br w:type="page" w:clear="all"/>
      </w:r>
      <w:r/>
    </w:p>
    <w:p>
      <w:pPr>
        <w:spacing w:line="400" w:lineRule="exact"/>
        <w:rPr>
          <w:b/>
          <w:color w:val="auto"/>
          <w:szCs w:val="21"/>
          <w:highlight w:val="none"/>
          <w:lang w:val="zh-CN"/>
        </w:rPr>
      </w:pPr>
      <w:r>
        <w:rPr>
          <w:rFonts w:hint="eastAsia" w:eastAsiaTheme="minorEastAsia"/>
          <w:b/>
          <w:color w:val="auto"/>
          <w:szCs w:val="21"/>
          <w:highlight w:val="none"/>
        </w:rPr>
        <w:t xml:space="preserve">七</w:t>
      </w:r>
      <w:r>
        <w:rPr>
          <w:rFonts w:eastAsiaTheme="minorEastAsia"/>
          <w:b/>
          <w:color w:val="auto"/>
          <w:szCs w:val="21"/>
          <w:highlight w:val="none"/>
          <w:lang w:val="zh-CN"/>
        </w:rPr>
        <w:t xml:space="preserve">、</w:t>
      </w:r>
      <w:bookmarkStart w:id="44" w:name="_Hlk75808397"/>
      <w:r>
        <w:rPr>
          <w:b/>
          <w:color w:val="auto"/>
          <w:szCs w:val="21"/>
          <w:highlight w:val="none"/>
          <w:lang w:val="zh-CN"/>
        </w:rPr>
        <w:t xml:space="preserve">中小企业声明函</w:t>
      </w:r>
      <w:r/>
    </w:p>
    <w:p>
      <w:pPr>
        <w:pStyle w:val="907"/>
        <w:rPr>
          <w:color w:val="auto"/>
          <w:highlight w:val="none"/>
          <w:lang w:val="zh-CN"/>
        </w:rPr>
      </w:pPr>
      <w:r>
        <w:rPr>
          <w:color w:val="auto"/>
          <w:highlight w:val="none"/>
          <w:lang w:val="zh-CN"/>
        </w:rPr>
      </w:r>
      <w:r/>
    </w:p>
    <w:p>
      <w:pPr>
        <w:jc w:val="center"/>
        <w:spacing w:line="400" w:lineRule="exact"/>
        <w:rPr>
          <w:rFonts w:hAnsi="宋体" w:cs="宋体"/>
          <w:b/>
          <w:color w:val="auto"/>
          <w:sz w:val="22"/>
          <w:szCs w:val="28"/>
          <w:highlight w:val="none"/>
        </w:rPr>
      </w:pPr>
      <w:r/>
      <w:bookmarkStart w:id="45" w:name="OLE_LINK18"/>
      <w:r>
        <w:rPr>
          <w:rFonts w:hint="eastAsia" w:hAnsi="宋体" w:cs="宋体"/>
          <w:b/>
          <w:color w:val="auto"/>
          <w:sz w:val="22"/>
          <w:szCs w:val="28"/>
          <w:highlight w:val="none"/>
        </w:rPr>
        <w:t xml:space="preserve">中小企业声明函（服务）</w:t>
      </w:r>
      <w:bookmarkEnd w:id="45"/>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t xml:space="preserve">本公司（联合体）郑重声明，根据《政府采购促进中小企业发展管理办法》（财库﹝2020﹞46 号）的规定，本公司 （联合体）参加</w:t>
      </w:r>
      <w:r>
        <w:rPr>
          <w:rFonts w:ascii="宋体" w:hAnsi="宋体" w:cs="宋体"/>
          <w:color w:val="auto"/>
          <w:szCs w:val="21"/>
          <w:highlight w:val="none"/>
          <w:u w:val="single"/>
        </w:rPr>
        <w:t xml:space="preserve">（单位名称）</w:t>
      </w:r>
      <w:r>
        <w:rPr>
          <w:rFonts w:ascii="宋体" w:hAnsi="宋体" w:cs="宋体"/>
          <w:color w:val="auto"/>
          <w:szCs w:val="21"/>
          <w:highlight w:val="none"/>
        </w:rPr>
        <w:t xml:space="preserve">的</w:t>
      </w:r>
      <w:r>
        <w:rPr>
          <w:rFonts w:ascii="宋体" w:hAnsi="宋体" w:cs="宋体"/>
          <w:color w:val="auto"/>
          <w:szCs w:val="21"/>
          <w:highlight w:val="none"/>
          <w:u w:val="single"/>
        </w:rPr>
        <w:t xml:space="preserve">（项目名称）</w:t>
      </w:r>
      <w:r>
        <w:rPr>
          <w:rFonts w:ascii="宋体" w:hAnsi="宋体" w:cs="宋体"/>
          <w:color w:val="auto"/>
          <w:szCs w:val="21"/>
          <w:highlight w:val="none"/>
        </w:rPr>
        <w:t xml:space="preserve">采购活动，服务全部由符合政策要求的中小企业承接。相关企业（含联合体中的中小企业、签订分包意向协议的中小企业）的具体情况如下： </w:t>
      </w:r>
      <w:r/>
    </w:p>
    <w:p>
      <w:pPr>
        <w:numPr>
          <w:ilvl w:val="0"/>
          <w:numId w:val="3"/>
        </w:numPr>
        <w:ind w:firstLine="480"/>
        <w:spacing w:line="360" w:lineRule="auto"/>
        <w:rPr>
          <w:rFonts w:ascii="宋体" w:hAnsi="宋体" w:cs="宋体"/>
          <w:color w:val="auto"/>
          <w:szCs w:val="21"/>
          <w:highlight w:val="none"/>
        </w:rPr>
      </w:pPr>
      <w:r>
        <w:rPr>
          <w:rFonts w:ascii="宋体" w:hAnsi="宋体" w:cs="宋体"/>
          <w:color w:val="auto"/>
          <w:szCs w:val="21"/>
          <w:highlight w:val="none"/>
          <w:u w:val="single"/>
        </w:rPr>
        <w:t xml:space="preserve">（标的名称）</w:t>
      </w:r>
      <w:r>
        <w:rPr>
          <w:rFonts w:ascii="宋体" w:hAnsi="宋体" w:cs="宋体"/>
          <w:color w:val="auto"/>
          <w:szCs w:val="21"/>
          <w:highlight w:val="none"/>
        </w:rPr>
        <w:t xml:space="preserve">，属于</w:t>
      </w:r>
      <w:r>
        <w:rPr>
          <w:rFonts w:hint="eastAsia" w:ascii="宋体" w:hAnsi="宋体" w:cs="宋体"/>
          <w:color w:val="auto"/>
          <w:szCs w:val="21"/>
          <w:highlight w:val="none"/>
          <w:u w:val="single"/>
        </w:rPr>
        <w:t xml:space="preserve"> （采购文件中明确的所属行业） </w:t>
      </w:r>
      <w:r>
        <w:rPr>
          <w:rFonts w:ascii="宋体" w:hAnsi="宋体" w:cs="宋体"/>
          <w:color w:val="auto"/>
          <w:szCs w:val="21"/>
          <w:highlight w:val="none"/>
        </w:rPr>
        <w:t xml:space="preserve">；承接企业为</w:t>
      </w:r>
      <w:r>
        <w:rPr>
          <w:rFonts w:ascii="宋体" w:hAnsi="宋体" w:cs="宋体"/>
          <w:color w:val="auto"/>
          <w:szCs w:val="21"/>
          <w:highlight w:val="none"/>
          <w:u w:val="single"/>
        </w:rPr>
        <w:t xml:space="preserve">（企业名称）</w:t>
      </w:r>
      <w:r>
        <w:rPr>
          <w:rFonts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人，营业收入为</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万元，资产总额为</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万元，属于</w:t>
      </w:r>
      <w:r>
        <w:rPr>
          <w:rFonts w:ascii="宋体" w:hAnsi="宋体" w:cs="宋体"/>
          <w:color w:val="auto"/>
          <w:szCs w:val="21"/>
          <w:highlight w:val="none"/>
          <w:u w:val="single"/>
        </w:rPr>
        <w:t xml:space="preserve">（中型企业、小型企业、微型企业）</w:t>
      </w:r>
      <w:r>
        <w:rPr>
          <w:rFonts w:ascii="宋体" w:hAnsi="宋体" w:cs="宋体"/>
          <w:color w:val="auto"/>
          <w:szCs w:val="21"/>
          <w:highlight w:val="none"/>
        </w:rPr>
        <w:t xml:space="preserve">； </w:t>
      </w:r>
      <w:r/>
    </w:p>
    <w:p>
      <w:pPr>
        <w:numPr>
          <w:ilvl w:val="0"/>
          <w:numId w:val="3"/>
        </w:numPr>
        <w:ind w:firstLine="480"/>
        <w:spacing w:line="360" w:lineRule="auto"/>
        <w:rPr>
          <w:rFonts w:ascii="宋体" w:hAnsi="宋体" w:cs="宋体"/>
          <w:color w:val="auto"/>
          <w:szCs w:val="21"/>
          <w:highlight w:val="none"/>
        </w:rPr>
      </w:pPr>
      <w:r>
        <w:rPr>
          <w:rFonts w:ascii="宋体" w:hAnsi="宋体" w:cs="宋体"/>
          <w:color w:val="auto"/>
          <w:szCs w:val="21"/>
          <w:highlight w:val="none"/>
          <w:u w:val="single"/>
        </w:rPr>
        <w:t xml:space="preserve">（标的名称）</w:t>
      </w:r>
      <w:r>
        <w:rPr>
          <w:rFonts w:ascii="宋体" w:hAnsi="宋体" w:cs="宋体"/>
          <w:color w:val="auto"/>
          <w:szCs w:val="21"/>
          <w:highlight w:val="none"/>
        </w:rPr>
        <w:t xml:space="preserve">，属于</w:t>
      </w:r>
      <w:r>
        <w:rPr>
          <w:rFonts w:hint="eastAsia" w:ascii="宋体" w:hAnsi="宋体" w:cs="宋体"/>
          <w:color w:val="auto"/>
          <w:szCs w:val="21"/>
          <w:highlight w:val="none"/>
          <w:u w:val="single"/>
        </w:rPr>
        <w:t xml:space="preserve"> （采购文件中明确的所属行业） </w:t>
      </w:r>
      <w:r>
        <w:rPr>
          <w:rFonts w:ascii="宋体" w:hAnsi="宋体" w:cs="宋体"/>
          <w:color w:val="auto"/>
          <w:szCs w:val="21"/>
          <w:highlight w:val="none"/>
        </w:rPr>
        <w:t xml:space="preserve">；承接企业为</w:t>
      </w:r>
      <w:r>
        <w:rPr>
          <w:rFonts w:ascii="宋体" w:hAnsi="宋体" w:cs="宋体"/>
          <w:color w:val="auto"/>
          <w:szCs w:val="21"/>
          <w:highlight w:val="none"/>
          <w:u w:val="single"/>
        </w:rPr>
        <w:t xml:space="preserve">（企业名称）</w:t>
      </w:r>
      <w:r>
        <w:rPr>
          <w:rFonts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人，营业收入为</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万元，资产总额为</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万元，属于</w:t>
      </w:r>
      <w:r>
        <w:rPr>
          <w:rFonts w:ascii="宋体" w:hAnsi="宋体" w:cs="宋体"/>
          <w:color w:val="auto"/>
          <w:szCs w:val="21"/>
          <w:highlight w:val="none"/>
          <w:u w:val="single"/>
        </w:rPr>
        <w:t xml:space="preserve">（中型企业、小型企业、微型企业）</w:t>
      </w:r>
      <w:r>
        <w:rPr>
          <w:rFonts w:ascii="宋体" w:hAnsi="宋体" w:cs="宋体"/>
          <w:color w:val="auto"/>
          <w:szCs w:val="21"/>
          <w:highlight w:val="none"/>
        </w:rPr>
        <w:t xml:space="preserve">； </w:t>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t xml:space="preserve">本企业对上述声明内容的真实性负责。如有虚假，将依法承担相应责任。 </w:t>
      </w:r>
      <w:r/>
    </w:p>
    <w:p>
      <w:pPr>
        <w:ind w:firstLine="600"/>
        <w:spacing w:line="360" w:lineRule="auto"/>
        <w:rPr>
          <w:rFonts w:ascii="宋体" w:hAnsi="宋体"/>
          <w:color w:val="auto"/>
          <w:szCs w:val="21"/>
          <w:highlight w:val="none"/>
          <w:lang w:val="zh-CN"/>
        </w:rPr>
      </w:pPr>
      <w:r>
        <w:rPr>
          <w:rFonts w:ascii="宋体" w:hAnsi="宋体"/>
          <w:color w:val="auto"/>
          <w:szCs w:val="21"/>
          <w:highlight w:val="none"/>
          <w:lang w:val="zh-CN"/>
        </w:rPr>
      </w:r>
      <w:r/>
    </w:p>
    <w:p>
      <w:pPr>
        <w:ind w:right="480"/>
        <w:jc w:val="center"/>
        <w:spacing w:line="360" w:lineRule="auto"/>
        <w:rPr>
          <w:rFonts w:ascii="宋体" w:hAnsi="宋体"/>
          <w:color w:val="auto"/>
          <w:szCs w:val="21"/>
          <w:highlight w:val="none"/>
          <w:lang w:val="zh-CN"/>
        </w:rPr>
      </w:pPr>
      <w:r>
        <w:rPr>
          <w:rFonts w:hint="eastAsia" w:ascii="宋体" w:hAnsi="宋体"/>
          <w:color w:val="auto"/>
          <w:szCs w:val="21"/>
          <w:highlight w:val="none"/>
        </w:rPr>
        <w:t xml:space="preserve">                                                   供应商：（盖章）</w:t>
      </w:r>
      <w:r/>
    </w:p>
    <w:p>
      <w:pPr>
        <w:jc w:val="center"/>
        <w:spacing w:line="360" w:lineRule="auto"/>
        <w:rPr>
          <w:rFonts w:ascii="宋体" w:hAnsi="宋体" w:cs="宋体"/>
          <w:b/>
          <w:bCs/>
          <w:color w:val="auto"/>
          <w:sz w:val="20"/>
          <w:szCs w:val="20"/>
          <w:highlight w:val="none"/>
        </w:rPr>
      </w:pPr>
      <w:r>
        <w:rPr>
          <w:rFonts w:hint="eastAsia" w:ascii="宋体" w:hAnsi="宋体"/>
          <w:color w:val="auto"/>
          <w:szCs w:val="21"/>
          <w:highlight w:val="none"/>
        </w:rPr>
        <w:t xml:space="preserve">                                      日期：</w:t>
      </w:r>
      <w:bookmarkStart w:id="46" w:name="_Toc18847"/>
      <w:r/>
      <w:bookmarkStart w:id="47" w:name="_Toc3037"/>
      <w:r/>
      <w:r/>
    </w:p>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p>
      <w:pPr>
        <w:jc w:val="left"/>
        <w:widowControl/>
        <w:rPr>
          <w:rFonts w:ascii="宋体" w:hAnsi="Calibri"/>
          <w:color w:val="auto"/>
          <w:sz w:val="20"/>
          <w:szCs w:val="20"/>
          <w:highlight w:val="none"/>
        </w:rPr>
      </w:pPr>
      <w:r>
        <w:rPr>
          <w:rFonts w:hint="eastAsia" w:ascii="宋体" w:hAnsi="宋体" w:cs="宋体"/>
          <w:b/>
          <w:bCs/>
          <w:color w:val="auto"/>
          <w:sz w:val="20"/>
          <w:szCs w:val="20"/>
          <w:highlight w:val="none"/>
        </w:rPr>
        <w:t xml:space="preserve">备注：</w:t>
      </w:r>
      <w:r>
        <w:rPr>
          <w:rFonts w:ascii="宋体" w:hAnsi="宋体" w:cs="宋体"/>
          <w:color w:val="auto"/>
          <w:sz w:val="20"/>
          <w:szCs w:val="20"/>
          <w:highlight w:val="none"/>
        </w:rPr>
        <w:t xml:space="preserve">1</w:t>
      </w:r>
      <w:r>
        <w:rPr>
          <w:rFonts w:ascii="宋体" w:hAnsi="Calibri" w:cs="宋体"/>
          <w:color w:val="auto"/>
          <w:sz w:val="20"/>
          <w:szCs w:val="20"/>
          <w:highlight w:val="none"/>
        </w:rPr>
        <w:t xml:space="preserve">.</w:t>
      </w:r>
      <w:r>
        <w:rPr>
          <w:rFonts w:hint="eastAsia" w:ascii="宋体" w:hAnsi="宋体" w:cs="宋体"/>
          <w:color w:val="auto"/>
          <w:sz w:val="20"/>
          <w:szCs w:val="20"/>
          <w:highlight w:val="none"/>
        </w:rPr>
        <w:t xml:space="preserve">从业人员、营业收入、资产总额填报上一年度数据，无上一年度数据的新成立企业可不填报。</w:t>
      </w:r>
      <w:bookmarkEnd w:id="46"/>
      <w:r/>
      <w:bookmarkEnd w:id="47"/>
      <w:r/>
      <w:r/>
    </w:p>
    <w:p>
      <w:pPr>
        <w:ind w:firstLine="600"/>
        <w:jc w:val="left"/>
        <w:widowControl/>
        <w:rPr>
          <w:rFonts w:ascii="宋体" w:hAnsi="Calibri"/>
          <w:color w:val="auto"/>
          <w:sz w:val="20"/>
          <w:szCs w:val="20"/>
          <w:highlight w:val="none"/>
        </w:rPr>
      </w:pPr>
      <w:r/>
      <w:bookmarkStart w:id="48" w:name="_Toc28271"/>
      <w:r/>
      <w:bookmarkStart w:id="49" w:name="_Toc3060"/>
      <w:r>
        <w:rPr>
          <w:rFonts w:ascii="宋体" w:hAnsi="宋体" w:cs="宋体"/>
          <w:color w:val="auto"/>
          <w:sz w:val="20"/>
          <w:szCs w:val="20"/>
          <w:highlight w:val="none"/>
        </w:rPr>
        <w:t xml:space="preserve">2.</w:t>
      </w:r>
      <w:bookmarkStart w:id="50" w:name="OLE_LINK17"/>
      <w:r>
        <w:rPr>
          <w:rFonts w:hint="eastAsia" w:ascii="宋体" w:hAnsi="宋体" w:cs="宋体"/>
          <w:color w:val="auto"/>
          <w:sz w:val="20"/>
          <w:szCs w:val="20"/>
          <w:highlight w:val="none"/>
        </w:rPr>
        <w:t xml:space="preserve">在服务采购项目中，服务由中小企业承接，即提供服务的人员为中小企业依照《中华人民共和国劳动合同法》订立劳动合同的从业人员。</w:t>
      </w:r>
      <w:r>
        <w:rPr>
          <w:rFonts w:hint="eastAsia" w:ascii="宋体" w:hAnsi="宋体" w:cs="宋体"/>
          <w:b/>
          <w:bCs/>
          <w:color w:val="auto"/>
          <w:sz w:val="20"/>
          <w:szCs w:val="20"/>
          <w:highlight w:val="none"/>
        </w:rPr>
        <w:t xml:space="preserve">服务类项目中供应商若使用退休人员，将不享受相应扶持政策。</w:t>
      </w:r>
      <w:bookmarkEnd w:id="48"/>
      <w:r/>
      <w:bookmarkEnd w:id="49"/>
      <w:r/>
      <w:bookmarkEnd w:id="50"/>
      <w:r/>
      <w:r/>
    </w:p>
    <w:p>
      <w:pPr>
        <w:ind w:firstLine="600"/>
        <w:jc w:val="left"/>
        <w:widowControl/>
        <w:rPr>
          <w:rFonts w:ascii="宋体" w:hAnsi="Calibri"/>
          <w:color w:val="auto"/>
          <w:sz w:val="20"/>
          <w:szCs w:val="20"/>
          <w:highlight w:val="none"/>
        </w:rPr>
      </w:pPr>
      <w:r/>
      <w:bookmarkStart w:id="51" w:name="_Toc27300"/>
      <w:r/>
      <w:bookmarkStart w:id="52" w:name="_Toc23256"/>
      <w:r>
        <w:rPr>
          <w:rFonts w:ascii="宋体" w:hAnsi="宋体" w:cs="宋体"/>
          <w:color w:val="auto"/>
          <w:sz w:val="20"/>
          <w:szCs w:val="20"/>
          <w:highlight w:val="none"/>
        </w:rPr>
        <w:t xml:space="preserve">3</w:t>
      </w:r>
      <w:r>
        <w:rPr>
          <w:rFonts w:ascii="宋体" w:hAnsi="Calibri" w:cs="宋体"/>
          <w:color w:val="auto"/>
          <w:sz w:val="20"/>
          <w:szCs w:val="20"/>
          <w:highlight w:val="none"/>
        </w:rPr>
        <w:t xml:space="preserve">.</w:t>
      </w:r>
      <w:r>
        <w:rPr>
          <w:rFonts w:hint="eastAsia" w:ascii="宋体" w:hAnsi="宋体" w:cs="宋体"/>
          <w:color w:val="auto"/>
          <w:sz w:val="20"/>
          <w:szCs w:val="20"/>
          <w:highlight w:val="none"/>
        </w:rPr>
        <w:t xml:space="preserve">《中小企业声明函》中所填的行业应与本采购标的对应的中小企业划分标准所属行业一致，不一致的不可享受相应政策优惠。</w:t>
      </w:r>
      <w:r>
        <w:rPr>
          <w:rFonts w:hint="eastAsia" w:ascii="宋体" w:hAnsi="宋体" w:cs="宋体"/>
          <w:b/>
          <w:bCs/>
          <w:color w:val="auto"/>
          <w:sz w:val="20"/>
          <w:szCs w:val="20"/>
          <w:highlight w:val="none"/>
        </w:rPr>
        <w:t xml:space="preserve">本采购标的对应的中小企业划分标准所属行业，以采购文件中具体规定为准。</w:t>
      </w:r>
      <w:bookmarkEnd w:id="51"/>
      <w:r/>
      <w:bookmarkEnd w:id="52"/>
      <w:r/>
      <w:r/>
    </w:p>
    <w:p>
      <w:pPr>
        <w:ind w:firstLine="600"/>
        <w:jc w:val="left"/>
        <w:widowControl/>
        <w:rPr>
          <w:rFonts w:ascii="宋体" w:hAnsi="Calibri"/>
          <w:color w:val="auto"/>
          <w:sz w:val="20"/>
          <w:szCs w:val="20"/>
          <w:highlight w:val="none"/>
        </w:rPr>
      </w:pPr>
      <w:r/>
      <w:bookmarkStart w:id="53" w:name="_Toc29092"/>
      <w:r/>
      <w:bookmarkStart w:id="54" w:name="_Toc32007"/>
      <w:r>
        <w:rPr>
          <w:rFonts w:ascii="宋体" w:hAnsi="宋体" w:cs="宋体"/>
          <w:color w:val="auto"/>
          <w:sz w:val="20"/>
          <w:szCs w:val="20"/>
          <w:highlight w:val="none"/>
        </w:rPr>
        <w:t xml:space="preserve">4.</w:t>
      </w:r>
      <w:r>
        <w:rPr>
          <w:rFonts w:hint="eastAsia" w:ascii="宋体" w:hAnsi="宋体" w:cs="宋体"/>
          <w:b/>
          <w:bCs/>
          <w:color w:val="auto"/>
          <w:sz w:val="20"/>
          <w:szCs w:val="20"/>
          <w:highlight w:val="none"/>
        </w:rPr>
        <w:t xml:space="preserve">如未对（中型企业、小型企业、微型企业）进行勾选，视同非小微企业，不可享受相应扶持政策</w:t>
      </w:r>
      <w:r>
        <w:rPr>
          <w:rFonts w:hint="eastAsia" w:ascii="宋体" w:hAnsi="宋体" w:cs="宋体"/>
          <w:color w:val="auto"/>
          <w:sz w:val="20"/>
          <w:szCs w:val="20"/>
          <w:highlight w:val="none"/>
        </w:rPr>
        <w:t xml:space="preserve">。</w:t>
      </w:r>
      <w:bookmarkEnd w:id="53"/>
      <w:r/>
      <w:bookmarkEnd w:id="54"/>
      <w:r/>
      <w:r/>
    </w:p>
    <w:p>
      <w:pPr>
        <w:ind w:firstLine="600"/>
        <w:jc w:val="left"/>
        <w:widowControl/>
        <w:rPr>
          <w:rFonts w:ascii="Calibri" w:hAnsi="Calibri"/>
          <w:color w:val="auto"/>
          <w:sz w:val="20"/>
          <w:szCs w:val="20"/>
          <w:highlight w:val="none"/>
        </w:rPr>
      </w:pPr>
      <w:r/>
      <w:bookmarkStart w:id="55" w:name="_Toc4100"/>
      <w:r/>
      <w:bookmarkStart w:id="56" w:name="_Toc7180"/>
      <w:r>
        <w:rPr>
          <w:rFonts w:ascii="宋体" w:hAnsi="宋体" w:cs="宋体"/>
          <w:color w:val="auto"/>
          <w:sz w:val="20"/>
          <w:szCs w:val="20"/>
          <w:highlight w:val="none"/>
        </w:rPr>
        <w:t xml:space="preserve">5</w:t>
      </w:r>
      <w:r>
        <w:rPr>
          <w:rFonts w:ascii="宋体" w:hAnsi="Calibri" w:cs="宋体"/>
          <w:color w:val="auto"/>
          <w:sz w:val="20"/>
          <w:szCs w:val="20"/>
          <w:highlight w:val="none"/>
        </w:rPr>
        <w:t xml:space="preserve">.</w:t>
      </w:r>
      <w:r>
        <w:rPr>
          <w:rFonts w:hint="eastAsia" w:ascii="宋体" w:hAnsi="宋体" w:cs="宋体"/>
          <w:color w:val="auto"/>
          <w:sz w:val="20"/>
          <w:szCs w:val="20"/>
          <w:highlight w:val="none"/>
        </w:rPr>
        <w:t xml:space="preserve">中标供应商为中小企业的，《中小企业声明函》将随成交结果同时公告。</w:t>
      </w:r>
      <w:bookmarkEnd w:id="55"/>
      <w:r/>
      <w:bookmarkEnd w:id="56"/>
      <w:r/>
      <w:r/>
    </w:p>
    <w:p>
      <w:pPr>
        <w:jc w:val="left"/>
        <w:widowControl/>
        <w:rPr>
          <w:color w:val="auto"/>
          <w:highlight w:val="none"/>
        </w:rPr>
      </w:pPr>
      <w:r>
        <w:rPr>
          <w:color w:val="auto"/>
          <w:highlight w:val="none"/>
        </w:rPr>
        <w:br w:type="page" w:clear="all"/>
      </w:r>
      <w:r/>
    </w:p>
    <w:p>
      <w:pPr>
        <w:spacing w:before="156" w:line="240" w:lineRule="exact"/>
        <w:rPr>
          <w:b/>
          <w:color w:val="auto"/>
          <w:highlight w:val="none"/>
        </w:rPr>
      </w:pPr>
      <w:r>
        <w:rPr>
          <w:b/>
          <w:color w:val="auto"/>
          <w:highlight w:val="none"/>
        </w:rPr>
        <w:t xml:space="preserve">附：中小企业划型标准规定（工信部联企业〔2011〕300号）</w:t>
      </w:r>
      <w:r/>
    </w:p>
    <w:p>
      <w:pPr>
        <w:pStyle w:val="1214"/>
        <w:ind w:firstLine="420"/>
        <w:rPr>
          <w:rFonts w:ascii="Times New Roman"/>
          <w:color w:val="auto"/>
          <w:highlight w:val="none"/>
        </w:rPr>
      </w:pPr>
      <w:r>
        <w:rPr>
          <w:rFonts w:ascii="Times New Roman"/>
          <w:color w:val="auto"/>
          <w:highlight w:val="none"/>
        </w:rPr>
      </w:r>
      <w:r/>
    </w:p>
    <w:p>
      <w:pPr>
        <w:ind w:firstLine="422"/>
        <w:spacing w:before="156" w:line="240" w:lineRule="exact"/>
        <w:rPr>
          <w:color w:val="auto"/>
          <w:highlight w:val="none"/>
        </w:rPr>
      </w:pPr>
      <w:r>
        <w:rPr>
          <w:b/>
          <w:color w:val="auto"/>
          <w:highlight w:val="none"/>
        </w:rPr>
        <w:t xml:space="preserve">（一）农、林、牧、渔业。</w:t>
      </w:r>
      <w:r>
        <w:rPr>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color w:val="auto"/>
          <w:highlight w:val="none"/>
        </w:rPr>
      </w:pPr>
      <w:r>
        <w:rPr>
          <w:b/>
          <w:color w:val="auto"/>
          <w:highlight w:val="none"/>
        </w:rPr>
        <w:t xml:space="preserve">（二）工业。</w:t>
      </w:r>
      <w:r>
        <w:rPr>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color w:val="auto"/>
          <w:highlight w:val="none"/>
        </w:rPr>
      </w:pPr>
      <w:r>
        <w:rPr>
          <w:b/>
          <w:color w:val="auto"/>
          <w:highlight w:val="none"/>
        </w:rPr>
        <w:t xml:space="preserve">（三）建筑业。</w:t>
      </w:r>
      <w:r>
        <w:rPr>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color w:val="auto"/>
          <w:highlight w:val="none"/>
        </w:rPr>
      </w:pPr>
      <w:r>
        <w:rPr>
          <w:b/>
          <w:color w:val="auto"/>
          <w:highlight w:val="none"/>
        </w:rPr>
        <w:t xml:space="preserve">（四）批发业。</w:t>
      </w:r>
      <w:r>
        <w:rPr>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color w:val="auto"/>
          <w:highlight w:val="none"/>
        </w:rPr>
      </w:pPr>
      <w:r>
        <w:rPr>
          <w:b/>
          <w:color w:val="auto"/>
          <w:highlight w:val="none"/>
        </w:rPr>
        <w:t xml:space="preserve">（五）零售业。</w:t>
      </w:r>
      <w:r>
        <w:rPr>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color w:val="auto"/>
          <w:highlight w:val="none"/>
        </w:rPr>
      </w:pPr>
      <w:r>
        <w:rPr>
          <w:b/>
          <w:color w:val="auto"/>
          <w:highlight w:val="none"/>
        </w:rPr>
        <w:t xml:space="preserve">（六）交通运输业。</w:t>
      </w:r>
      <w:r>
        <w:rPr>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color w:val="auto"/>
          <w:highlight w:val="none"/>
        </w:rPr>
      </w:pPr>
      <w:r>
        <w:rPr>
          <w:b/>
          <w:color w:val="auto"/>
          <w:highlight w:val="none"/>
        </w:rPr>
        <w:t xml:space="preserve">（七）仓储业。</w:t>
      </w:r>
      <w:r>
        <w:rPr>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color w:val="auto"/>
          <w:highlight w:val="none"/>
        </w:rPr>
      </w:pPr>
      <w:r>
        <w:rPr>
          <w:b/>
          <w:color w:val="auto"/>
          <w:highlight w:val="none"/>
        </w:rPr>
        <w:t xml:space="preserve">（八）邮政业。</w:t>
      </w:r>
      <w:r>
        <w:rPr>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color w:val="auto"/>
          <w:highlight w:val="none"/>
        </w:rPr>
      </w:pPr>
      <w:r>
        <w:rPr>
          <w:b/>
          <w:color w:val="auto"/>
          <w:highlight w:val="none"/>
        </w:rPr>
        <w:t xml:space="preserve">（九）住宿业。</w:t>
      </w:r>
      <w:r>
        <w:rPr>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color w:val="auto"/>
          <w:highlight w:val="none"/>
        </w:rPr>
      </w:pPr>
      <w:r>
        <w:rPr>
          <w:b/>
          <w:color w:val="auto"/>
          <w:highlight w:val="none"/>
        </w:rPr>
        <w:t xml:space="preserve">（十）餐饮业。</w:t>
      </w:r>
      <w:r>
        <w:rPr>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color w:val="auto"/>
          <w:highlight w:val="none"/>
        </w:rPr>
      </w:pPr>
      <w:r>
        <w:rPr>
          <w:b/>
          <w:color w:val="auto"/>
          <w:highlight w:val="none"/>
        </w:rPr>
        <w:t xml:space="preserve">（十一）信息传输业。</w:t>
      </w:r>
      <w:r>
        <w:rPr>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color w:val="auto"/>
          <w:highlight w:val="none"/>
        </w:rPr>
      </w:pPr>
      <w:r>
        <w:rPr>
          <w:b/>
          <w:color w:val="auto"/>
          <w:highlight w:val="none"/>
        </w:rPr>
        <w:t xml:space="preserve">（十二）软件和信息技术服务业。</w:t>
      </w:r>
      <w:r>
        <w:rPr>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color w:val="auto"/>
          <w:highlight w:val="none"/>
        </w:rPr>
      </w:pPr>
      <w:r>
        <w:rPr>
          <w:b/>
          <w:color w:val="auto"/>
          <w:highlight w:val="none"/>
        </w:rPr>
        <w:t xml:space="preserve">（十三）房地产开发经营。</w:t>
      </w:r>
      <w:r>
        <w:rPr>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color w:val="auto"/>
          <w:highlight w:val="none"/>
        </w:rPr>
      </w:pPr>
      <w:r>
        <w:rPr>
          <w:b/>
          <w:color w:val="auto"/>
          <w:highlight w:val="none"/>
        </w:rPr>
        <w:t xml:space="preserve">（十四）物业管理。</w:t>
      </w:r>
      <w:r>
        <w:rPr>
          <w:color w:val="auto"/>
          <w:highlight w:val="none"/>
        </w:rPr>
        <w:t xml:space="preserve">从业人员1000人以下或营业收入5000万元以下的为中小微型企业。其中，从业人员</w:t>
      </w:r>
      <w:r/>
    </w:p>
    <w:p>
      <w:pPr>
        <w:spacing w:before="156" w:line="240" w:lineRule="exact"/>
        <w:rPr>
          <w:color w:val="auto"/>
          <w:highlight w:val="none"/>
        </w:rPr>
      </w:pPr>
      <w:r>
        <w:rPr>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color w:val="auto"/>
          <w:highlight w:val="none"/>
        </w:rPr>
      </w:pPr>
      <w:r>
        <w:rPr>
          <w:b/>
          <w:color w:val="auto"/>
          <w:highlight w:val="none"/>
        </w:rPr>
        <w:t xml:space="preserve">（十五）租赁和商务服务业。</w:t>
      </w:r>
      <w:r>
        <w:rPr>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color w:val="auto"/>
          <w:highlight w:val="none"/>
        </w:rPr>
      </w:pPr>
      <w:r>
        <w:rPr>
          <w:b/>
          <w:color w:val="auto"/>
          <w:highlight w:val="none"/>
        </w:rPr>
        <w:t xml:space="preserve">（十六）其他未列明行业。</w:t>
      </w:r>
      <w:r>
        <w:rPr>
          <w:color w:val="auto"/>
          <w:highlight w:val="none"/>
        </w:rPr>
        <w:t xml:space="preserve">从业人员300人以下的为中小微型企业。其中，从业人员100人及以上的为中型企业；从业人员10人及以上的为小型企业；从业人员10人以下的为微型企业。</w:t>
      </w:r>
      <w:r/>
    </w:p>
    <w:p>
      <w:pPr>
        <w:pStyle w:val="860"/>
        <w:ind w:left="0"/>
        <w:rPr>
          <w:color w:val="auto"/>
          <w:highlight w:val="none"/>
        </w:rPr>
      </w:pPr>
      <w:r>
        <w:rPr>
          <w:color w:val="auto"/>
          <w:highlight w:val="none"/>
        </w:rPr>
      </w:r>
      <w:r/>
    </w:p>
    <w:p>
      <w:pPr>
        <w:ind w:firstLine="420"/>
        <w:jc w:val="left"/>
        <w:spacing w:line="360" w:lineRule="auto"/>
        <w:rPr>
          <w:rFonts w:eastAsiaTheme="minorEastAsia"/>
          <w:b/>
          <w:color w:val="auto"/>
          <w:szCs w:val="21"/>
          <w:highlight w:val="none"/>
          <w:lang w:val="zh-CN"/>
        </w:rPr>
      </w:pPr>
      <w:r>
        <w:rPr>
          <w:rFonts w:eastAsiaTheme="minorEastAsia"/>
          <w:color w:val="auto"/>
          <w:szCs w:val="21"/>
          <w:highlight w:val="none"/>
          <w:lang w:val="zh-CN"/>
        </w:rPr>
        <w:br w:type="page" w:clear="all"/>
      </w:r>
      <w:bookmarkEnd w:id="44"/>
      <w:r/>
      <w:r/>
    </w:p>
    <w:p>
      <w:pPr>
        <w:spacing w:line="360" w:lineRule="auto"/>
        <w:rPr>
          <w:rFonts w:eastAsiaTheme="minorEastAsia"/>
          <w:b/>
          <w:color w:val="auto"/>
          <w:spacing w:val="6"/>
          <w:szCs w:val="21"/>
          <w:highlight w:val="none"/>
          <w:lang w:val="zh-CN"/>
        </w:rPr>
      </w:pPr>
      <w:r>
        <w:rPr>
          <w:rFonts w:hint="eastAsia" w:eastAsiaTheme="minorEastAsia"/>
          <w:b/>
          <w:color w:val="auto"/>
          <w:spacing w:val="6"/>
          <w:szCs w:val="21"/>
          <w:highlight w:val="none"/>
        </w:rPr>
        <w:t xml:space="preserve">八</w:t>
      </w:r>
      <w:r>
        <w:rPr>
          <w:rFonts w:eastAsiaTheme="minorEastAsia"/>
          <w:b/>
          <w:color w:val="auto"/>
          <w:spacing w:val="6"/>
          <w:szCs w:val="21"/>
          <w:highlight w:val="none"/>
          <w:lang w:val="zh-CN"/>
        </w:rPr>
        <w:t xml:space="preserve">、残疾人福利性单位声明函</w:t>
      </w:r>
      <w:r/>
    </w:p>
    <w:p>
      <w:pPr>
        <w:spacing w:line="360" w:lineRule="auto"/>
        <w:widowControl/>
        <w:rPr>
          <w:rFonts w:eastAsiaTheme="minorEastAsia"/>
          <w:color w:val="auto"/>
          <w:szCs w:val="21"/>
          <w:highlight w:val="none"/>
          <w:lang w:val="zh-CN"/>
        </w:rPr>
      </w:pPr>
      <w:r>
        <w:rPr>
          <w:rFonts w:eastAsiaTheme="minorEastAsia"/>
          <w:color w:val="auto"/>
          <w:szCs w:val="21"/>
          <w:highlight w:val="none"/>
          <w:lang w:val="zh-CN"/>
        </w:rPr>
      </w:r>
      <w:r/>
    </w:p>
    <w:p>
      <w:pPr>
        <w:pStyle w:val="907"/>
        <w:jc w:val="center"/>
        <w:rPr>
          <w:rFonts w:eastAsiaTheme="minorEastAsia"/>
          <w:b/>
          <w:color w:val="auto"/>
          <w:spacing w:val="6"/>
          <w:highlight w:val="none"/>
          <w:lang w:val="zh-CN"/>
        </w:rPr>
      </w:pPr>
      <w:r>
        <w:rPr>
          <w:rFonts w:eastAsiaTheme="minorEastAsia"/>
          <w:b/>
          <w:color w:val="auto"/>
          <w:spacing w:val="6"/>
          <w:highlight w:val="none"/>
          <w:lang w:val="zh-CN"/>
        </w:rPr>
        <w:t xml:space="preserve">残疾人福利性单位声明函</w:t>
      </w:r>
      <w:r/>
    </w:p>
    <w:p>
      <w:pPr>
        <w:pStyle w:val="907"/>
        <w:jc w:val="center"/>
        <w:rPr>
          <w:rFonts w:eastAsiaTheme="minorEastAsia"/>
          <w:b/>
          <w:color w:val="auto"/>
          <w:spacing w:val="6"/>
          <w:highlight w:val="none"/>
          <w:lang w:val="zh-CN"/>
        </w:rPr>
      </w:pPr>
      <w:r>
        <w:rPr>
          <w:rFonts w:eastAsiaTheme="minorEastAsia"/>
          <w:b/>
          <w:color w:val="auto"/>
          <w:spacing w:val="6"/>
          <w:highlight w:val="none"/>
          <w:lang w:val="zh-CN"/>
        </w:rPr>
      </w:r>
      <w:r/>
    </w:p>
    <w:p>
      <w:pPr>
        <w:ind w:firstLine="420"/>
        <w:spacing w:line="360" w:lineRule="auto"/>
        <w:widowControl/>
        <w:rPr>
          <w:rFonts w:eastAsiaTheme="minorEastAsia"/>
          <w:color w:val="auto"/>
          <w:szCs w:val="21"/>
          <w:highlight w:val="none"/>
        </w:rPr>
      </w:pPr>
      <w:r>
        <w:rPr>
          <w:rFonts w:eastAsiaTheme="minorEastAsia"/>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eastAsiaTheme="minorEastAsia"/>
          <w:color w:val="auto"/>
          <w:szCs w:val="21"/>
          <w:highlight w:val="none"/>
        </w:rPr>
      </w:pPr>
      <w:r>
        <w:rPr>
          <w:rFonts w:eastAsiaTheme="minorEastAsia"/>
          <w:color w:val="auto"/>
          <w:szCs w:val="21"/>
          <w:highlight w:val="none"/>
        </w:rPr>
      </w:r>
      <w:r/>
    </w:p>
    <w:p>
      <w:pPr>
        <w:spacing w:line="360" w:lineRule="auto"/>
        <w:widowControl/>
        <w:rPr>
          <w:rFonts w:eastAsiaTheme="minorEastAsia"/>
          <w:color w:val="auto"/>
          <w:szCs w:val="21"/>
          <w:highlight w:val="none"/>
        </w:rPr>
      </w:pPr>
      <w:r>
        <w:rPr>
          <w:rFonts w:eastAsiaTheme="minorEastAsia"/>
          <w:color w:val="auto"/>
          <w:szCs w:val="21"/>
          <w:highlight w:val="none"/>
        </w:rPr>
        <w:t xml:space="preserve">本单位对上述声明的真实性负责。如有虚假，将依法承担相应责任。</w:t>
      </w:r>
      <w:r/>
    </w:p>
    <w:p>
      <w:pPr>
        <w:spacing w:line="360" w:lineRule="auto"/>
        <w:widowControl/>
        <w:rPr>
          <w:rFonts w:eastAsiaTheme="minorEastAsia"/>
          <w:color w:val="auto"/>
          <w:szCs w:val="21"/>
          <w:highlight w:val="none"/>
        </w:rPr>
      </w:pPr>
      <w:r>
        <w:rPr>
          <w:rFonts w:eastAsiaTheme="minorEastAsia"/>
          <w:color w:val="auto"/>
          <w:szCs w:val="21"/>
          <w:highlight w:val="none"/>
        </w:rPr>
      </w:r>
      <w:r/>
    </w:p>
    <w:p>
      <w:pPr>
        <w:ind w:firstLine="420"/>
        <w:spacing w:line="360" w:lineRule="auto"/>
        <w:rPr>
          <w:rFonts w:eastAsiaTheme="minorEastAsia"/>
          <w:color w:val="auto"/>
          <w:szCs w:val="21"/>
          <w:highlight w:val="none"/>
        </w:rPr>
      </w:pPr>
      <w:r>
        <w:rPr>
          <w:rFonts w:eastAsiaTheme="minorEastAsia"/>
          <w:color w:val="auto"/>
          <w:szCs w:val="21"/>
          <w:highlight w:val="none"/>
        </w:rPr>
        <w:t xml:space="preserve">单位名称（盖章）：</w:t>
      </w:r>
      <w:r/>
    </w:p>
    <w:p>
      <w:pPr>
        <w:ind w:firstLine="420"/>
        <w:spacing w:line="360" w:lineRule="auto"/>
        <w:rPr>
          <w:rFonts w:eastAsiaTheme="minorEastAsia"/>
          <w:color w:val="auto"/>
          <w:szCs w:val="21"/>
          <w:highlight w:val="none"/>
        </w:rPr>
      </w:pPr>
      <w:r>
        <w:rPr>
          <w:rFonts w:eastAsiaTheme="minorEastAsia"/>
          <w:color w:val="auto"/>
          <w:szCs w:val="21"/>
          <w:highlight w:val="none"/>
        </w:rPr>
        <w:t xml:space="preserve">日期：</w:t>
      </w:r>
      <w:r>
        <w:rPr>
          <w:rFonts w:hint="eastAsia" w:eastAsiaTheme="minorEastAsia"/>
          <w:color w:val="auto"/>
          <w:szCs w:val="21"/>
          <w:highlight w:val="none"/>
        </w:rPr>
        <w:t xml:space="preserve">   </w:t>
      </w:r>
      <w:r>
        <w:rPr>
          <w:rFonts w:eastAsiaTheme="minorEastAsia"/>
          <w:color w:val="auto"/>
          <w:szCs w:val="21"/>
          <w:highlight w:val="none"/>
        </w:rPr>
        <w:t xml:space="preserve">年</w:t>
      </w:r>
      <w:r>
        <w:rPr>
          <w:rFonts w:hint="eastAsia" w:eastAsiaTheme="minorEastAsia"/>
          <w:color w:val="auto"/>
          <w:szCs w:val="21"/>
          <w:highlight w:val="none"/>
        </w:rPr>
        <w:t xml:space="preserve"> </w:t>
      </w:r>
      <w:r>
        <w:rPr>
          <w:rFonts w:eastAsiaTheme="minorEastAsia"/>
          <w:color w:val="auto"/>
          <w:szCs w:val="21"/>
          <w:highlight w:val="none"/>
        </w:rPr>
        <w:t xml:space="preserve">月</w:t>
      </w:r>
      <w:r>
        <w:rPr>
          <w:rFonts w:hint="eastAsia" w:eastAsiaTheme="minorEastAsia"/>
          <w:color w:val="auto"/>
          <w:szCs w:val="21"/>
          <w:highlight w:val="none"/>
        </w:rPr>
        <w:t xml:space="preserve"> </w:t>
      </w:r>
      <w:r>
        <w:rPr>
          <w:rFonts w:eastAsiaTheme="minorEastAsia"/>
          <w:color w:val="auto"/>
          <w:szCs w:val="21"/>
          <w:highlight w:val="none"/>
        </w:rPr>
        <w:t xml:space="preserve">日</w:t>
      </w:r>
      <w:r/>
    </w:p>
    <w:p>
      <w:pPr>
        <w:spacing w:line="360" w:lineRule="auto"/>
        <w:widowControl/>
        <w:rPr>
          <w:rFonts w:eastAsiaTheme="minorEastAsia"/>
          <w:color w:val="auto"/>
          <w:szCs w:val="21"/>
          <w:highlight w:val="none"/>
        </w:rPr>
      </w:pPr>
      <w:r>
        <w:rPr>
          <w:rFonts w:eastAsiaTheme="minorEastAsia"/>
          <w:color w:val="auto"/>
          <w:szCs w:val="21"/>
          <w:highlight w:val="none"/>
        </w:rPr>
      </w:r>
      <w:r/>
    </w:p>
    <w:p>
      <w:pPr>
        <w:spacing w:line="360" w:lineRule="auto"/>
        <w:widowControl/>
        <w:rPr>
          <w:rFonts w:eastAsiaTheme="minorEastAsia"/>
          <w:color w:val="auto"/>
          <w:szCs w:val="21"/>
          <w:highlight w:val="none"/>
        </w:rPr>
      </w:pPr>
      <w:r>
        <w:rPr>
          <w:rFonts w:eastAsiaTheme="minorEastAsia"/>
          <w:color w:val="auto"/>
          <w:szCs w:val="21"/>
          <w:highlight w:val="none"/>
        </w:rPr>
      </w:r>
      <w:r/>
    </w:p>
    <w:p>
      <w:pPr>
        <w:spacing w:line="360" w:lineRule="auto"/>
        <w:widowControl/>
        <w:rPr>
          <w:rFonts w:eastAsiaTheme="minorEastAsia"/>
          <w:color w:val="auto"/>
          <w:szCs w:val="21"/>
          <w:highlight w:val="none"/>
        </w:rPr>
      </w:pPr>
      <w:r>
        <w:rPr>
          <w:rFonts w:eastAsiaTheme="minorEastAsia"/>
          <w:color w:val="auto"/>
          <w:szCs w:val="21"/>
          <w:highlight w:val="none"/>
        </w:rPr>
      </w:r>
      <w:r/>
    </w:p>
    <w:p>
      <w:pPr>
        <w:spacing w:line="360" w:lineRule="auto"/>
        <w:widowControl/>
        <w:rPr>
          <w:rFonts w:eastAsiaTheme="minorEastAsia"/>
          <w:color w:val="auto"/>
          <w:szCs w:val="21"/>
          <w:highlight w:val="none"/>
        </w:rPr>
      </w:pPr>
      <w:r>
        <w:rPr>
          <w:rFonts w:eastAsiaTheme="minorEastAsia"/>
          <w:color w:val="auto"/>
          <w:szCs w:val="21"/>
          <w:highlight w:val="none"/>
        </w:rPr>
      </w:r>
      <w:r/>
    </w:p>
    <w:p>
      <w:pPr>
        <w:spacing w:line="360" w:lineRule="auto"/>
        <w:widowControl/>
        <w:rPr>
          <w:rFonts w:eastAsiaTheme="minorEastAsia"/>
          <w:color w:val="auto"/>
          <w:szCs w:val="21"/>
          <w:highlight w:val="none"/>
        </w:rPr>
      </w:pPr>
      <w:r>
        <w:rPr>
          <w:rFonts w:eastAsiaTheme="minorEastAsia"/>
          <w:color w:val="auto"/>
          <w:szCs w:val="21"/>
          <w:highlight w:val="none"/>
        </w:rPr>
      </w:r>
      <w:r/>
    </w:p>
    <w:p>
      <w:pPr>
        <w:spacing w:line="360" w:lineRule="auto"/>
        <w:widowControl/>
        <w:rPr>
          <w:rFonts w:eastAsiaTheme="minorEastAsia"/>
          <w:color w:val="auto"/>
          <w:szCs w:val="21"/>
          <w:highlight w:val="none"/>
        </w:rPr>
      </w:pPr>
      <w:r>
        <w:rPr>
          <w:rFonts w:eastAsiaTheme="minorEastAsia"/>
          <w:color w:val="auto"/>
          <w:szCs w:val="21"/>
          <w:highlight w:val="none"/>
        </w:rPr>
      </w:r>
      <w:r/>
    </w:p>
    <w:p>
      <w:pPr>
        <w:jc w:val="left"/>
        <w:widowControl/>
        <w:rPr>
          <w:color w:val="auto"/>
          <w:sz w:val="24"/>
          <w:szCs w:val="24"/>
          <w:highlight w:val="none"/>
        </w:rPr>
      </w:pPr>
      <w:r>
        <w:rPr>
          <w:b/>
          <w:color w:val="auto"/>
          <w:szCs w:val="21"/>
          <w:highlight w:val="none"/>
        </w:rPr>
        <w:t xml:space="preserve">注：</w:t>
      </w:r>
      <w:bookmarkStart w:id="57" w:name="_Hlk158140990"/>
      <w:r>
        <w:rPr>
          <w:b/>
          <w:color w:val="auto"/>
          <w:szCs w:val="21"/>
          <w:highlight w:val="none"/>
        </w:rPr>
        <w:t xml:space="preserve">投标文件中的电子签章视为供应商对本声明进行了签署盖章并承担相应责任</w:t>
      </w:r>
      <w:bookmarkEnd w:id="57"/>
      <w:r>
        <w:rPr>
          <w:b/>
          <w:color w:val="auto"/>
          <w:szCs w:val="21"/>
          <w:highlight w:val="none"/>
        </w:rPr>
        <w:t xml:space="preserve">。</w:t>
      </w:r>
      <w:r/>
    </w:p>
    <w:p>
      <w:pPr>
        <w:pStyle w:val="857"/>
        <w:rPr>
          <w:color w:val="auto"/>
          <w:highlight w:val="none"/>
        </w:rPr>
      </w:pPr>
      <w:r>
        <w:rPr>
          <w:color w:val="auto"/>
          <w:highlight w:val="none"/>
        </w:rPr>
      </w:r>
      <w:r/>
    </w:p>
    <w:p>
      <w:pPr>
        <w:spacing w:line="400" w:lineRule="exact"/>
        <w:widowControl/>
        <w:rPr>
          <w:rFonts w:eastAsiaTheme="minorEastAsia"/>
          <w:color w:val="auto"/>
          <w:highlight w:val="none"/>
        </w:rPr>
      </w:pPr>
      <w:r>
        <w:rPr>
          <w:rFonts w:eastAsiaTheme="minorEastAsia"/>
          <w:color w:val="auto"/>
          <w:highlight w:val="none"/>
        </w:rPr>
      </w:r>
      <w:r/>
    </w:p>
    <w:p>
      <w:pPr>
        <w:jc w:val="left"/>
        <w:spacing w:line="360" w:lineRule="auto"/>
        <w:tabs>
          <w:tab w:val="center" w:pos="5258" w:leader="none"/>
        </w:tabs>
        <w:rPr>
          <w:rFonts w:eastAsiaTheme="minorEastAsia"/>
          <w:b/>
          <w:color w:val="auto"/>
          <w:sz w:val="32"/>
          <w:szCs w:val="32"/>
          <w:highlight w:val="none"/>
          <w:lang w:val="zh-CN"/>
        </w:rPr>
      </w:pPr>
      <w:r>
        <w:rPr>
          <w:rFonts w:eastAsiaTheme="minorEastAsia"/>
          <w:b/>
          <w:color w:val="auto"/>
          <w:sz w:val="32"/>
          <w:szCs w:val="32"/>
          <w:highlight w:val="none"/>
          <w:lang w:val="zh-CN"/>
        </w:rPr>
      </w:r>
      <w:r/>
    </w:p>
    <w:p>
      <w:pPr>
        <w:jc w:val="left"/>
        <w:spacing w:line="360" w:lineRule="auto"/>
        <w:tabs>
          <w:tab w:val="center" w:pos="5258" w:leader="none"/>
        </w:tabs>
        <w:rPr>
          <w:rFonts w:eastAsiaTheme="minorEastAsia"/>
          <w:color w:val="auto"/>
          <w:szCs w:val="21"/>
          <w:highlight w:val="none"/>
        </w:rPr>
      </w:pPr>
      <w:r>
        <w:rPr>
          <w:rFonts w:eastAsiaTheme="minorEastAsia"/>
          <w:b/>
          <w:color w:val="auto"/>
          <w:sz w:val="32"/>
          <w:szCs w:val="32"/>
          <w:highlight w:val="none"/>
          <w:lang w:val="zh-CN"/>
        </w:rPr>
        <w:br w:type="page" w:clear="all"/>
      </w:r>
      <w:r/>
    </w:p>
    <w:p>
      <w:pPr>
        <w:spacing w:line="360" w:lineRule="auto"/>
        <w:rPr>
          <w:b/>
          <w:color w:val="auto"/>
          <w:szCs w:val="21"/>
          <w:highlight w:val="none"/>
        </w:rPr>
      </w:pPr>
      <w:r>
        <w:rPr>
          <w:rFonts w:hint="eastAsia" w:eastAsiaTheme="minorEastAsia"/>
          <w:b/>
          <w:color w:val="auto"/>
          <w:szCs w:val="21"/>
          <w:highlight w:val="none"/>
        </w:rPr>
        <w:t xml:space="preserve">九</w:t>
      </w:r>
      <w:r>
        <w:rPr>
          <w:rFonts w:eastAsiaTheme="minorEastAsia"/>
          <w:b/>
          <w:color w:val="auto"/>
          <w:szCs w:val="21"/>
          <w:highlight w:val="none"/>
        </w:rPr>
        <w:t xml:space="preserve">、</w:t>
      </w:r>
      <w:bookmarkStart w:id="58" w:name="_Hlk75808617"/>
      <w:r>
        <w:rPr>
          <w:rFonts w:hint="eastAsia" w:eastAsiaTheme="minorEastAsia"/>
          <w:b/>
          <w:color w:val="auto"/>
          <w:szCs w:val="21"/>
          <w:highlight w:val="none"/>
        </w:rPr>
        <w:t xml:space="preserve">技术要求</w:t>
      </w:r>
      <w:r>
        <w:rPr>
          <w:b/>
          <w:color w:val="auto"/>
          <w:szCs w:val="21"/>
          <w:highlight w:val="none"/>
        </w:rPr>
        <w:t xml:space="preserve">偏离表</w:t>
      </w:r>
      <w:r/>
    </w:p>
    <w:p>
      <w:pPr>
        <w:ind w:firstLine="420"/>
        <w:rPr>
          <w:color w:val="auto"/>
          <w:szCs w:val="21"/>
          <w:highlight w:val="none"/>
        </w:rPr>
      </w:pPr>
      <w:r>
        <w:rPr>
          <w:color w:val="auto"/>
          <w:szCs w:val="21"/>
          <w:highlight w:val="none"/>
        </w:rPr>
      </w:r>
      <w:r/>
    </w:p>
    <w:p>
      <w:pPr>
        <w:pStyle w:val="850"/>
        <w:ind w:firstLine="0"/>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技术要求偏离表</w:t>
      </w:r>
      <w:r/>
    </w:p>
    <w:p>
      <w:pPr>
        <w:pStyle w:val="850"/>
        <w:ind w:firstLine="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标段：</w:t>
      </w:r>
      <w:r/>
    </w:p>
    <w:tbl>
      <w:tblPr>
        <w:tblStyle w:val="8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7"/>
        <w:gridCol w:w="2149"/>
        <w:gridCol w:w="1934"/>
        <w:gridCol w:w="1720"/>
        <w:gridCol w:w="2027"/>
        <w:gridCol w:w="1487"/>
      </w:tblGrid>
      <w:tr>
        <w:trPr>
          <w:jc w:val="center"/>
        </w:trPr>
        <w:tc>
          <w:tcPr>
            <w:tcW w:w="479" w:type="pct"/>
            <w:vAlign w:val="center"/>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04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服务内容</w:t>
            </w:r>
            <w:r/>
          </w:p>
        </w:tc>
        <w:tc>
          <w:tcPr>
            <w:tcW w:w="93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83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投标要求</w:t>
            </w:r>
            <w:r/>
          </w:p>
        </w:tc>
        <w:tc>
          <w:tcPr>
            <w:tcW w:w="98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偏离/响应</w:t>
            </w:r>
            <w:r/>
          </w:p>
        </w:tc>
        <w:tc>
          <w:tcPr>
            <w:tcW w:w="72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47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2"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834"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83"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1"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47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2"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834"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83"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1"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47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2"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834"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83"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1"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47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2"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834"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83"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1"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47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2"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834"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83"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1"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47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2"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834"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83"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1"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47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2"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834"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83"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1"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47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2"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834"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83"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1" w:type="pct"/>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hint="eastAsia" w:ascii="宋体" w:hAnsi="宋体" w:cs="宋体"/>
          <w:color w:val="auto"/>
          <w:szCs w:val="21"/>
          <w:highlight w:val="none"/>
        </w:rPr>
        <w:t xml:space="preserve">注：1、投标人应对照招标文件技术要求等要求，所投标的物与招标文件的规定有偏离的，应在此表中申明与技术要求条文的偏差和例外。</w:t>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2、未在上表中说明的，如在响应文件其他内容中已有文字说明的，则以已有文字说明为准，否则，将被认为完全响应招标文件的规定。但该表不作为投标人对所投标的物关于技术要求等详细描述和说明的替代。</w:t>
      </w:r>
      <w:r/>
    </w:p>
    <w:p>
      <w:pPr>
        <w:ind w:left="424" w:right="451"/>
        <w:rPr>
          <w:b/>
          <w:color w:val="auto"/>
          <w:highlight w:val="none"/>
        </w:rPr>
      </w:pPr>
      <w:r>
        <w:rPr>
          <w:b/>
          <w:color w:val="auto"/>
          <w:highlight w:val="none"/>
        </w:rPr>
      </w:r>
      <w:r/>
    </w:p>
    <w:p>
      <w:pPr>
        <w:ind w:left="424" w:right="451"/>
        <w:rPr>
          <w:color w:val="auto"/>
          <w:szCs w:val="21"/>
          <w:highlight w:val="none"/>
        </w:rPr>
      </w:pPr>
      <w:r>
        <w:rPr>
          <w:color w:val="auto"/>
          <w:szCs w:val="21"/>
          <w:highlight w:val="none"/>
        </w:rPr>
      </w:r>
      <w:r/>
    </w:p>
    <w:p>
      <w:pPr>
        <w:pStyle w:val="860"/>
        <w:rPr>
          <w:color w:val="auto"/>
          <w:highlight w:val="none"/>
        </w:rPr>
      </w:pPr>
      <w:r>
        <w:rPr>
          <w:color w:val="auto"/>
          <w:highlight w:val="none"/>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pStyle w:val="860"/>
        <w:jc w:val="righ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eastAsiaTheme="minorEastAsia"/>
          <w:b/>
          <w:color w:val="auto"/>
          <w:szCs w:val="21"/>
          <w:highlight w:val="none"/>
        </w:rPr>
      </w:pPr>
      <w:r>
        <w:rPr>
          <w:rFonts w:hint="eastAsia" w:eastAsiaTheme="minorEastAsia"/>
          <w:b/>
          <w:color w:val="auto"/>
          <w:szCs w:val="21"/>
          <w:highlight w:val="none"/>
        </w:rPr>
        <w:t xml:space="preserve">十、商务条款偏离表</w:t>
      </w:r>
      <w:r/>
    </w:p>
    <w:p>
      <w:pPr>
        <w:pStyle w:val="850"/>
        <w:ind w:firstLine="0"/>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商务条款偏离表</w:t>
      </w:r>
      <w:r/>
    </w:p>
    <w:p>
      <w:pPr>
        <w:pStyle w:val="850"/>
        <w:ind w:firstLine="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标段：</w:t>
      </w:r>
      <w:r/>
    </w:p>
    <w:tbl>
      <w:tblPr>
        <w:tblStyle w:val="84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63"/>
        <w:gridCol w:w="2705"/>
        <w:gridCol w:w="2705"/>
        <w:gridCol w:w="1935"/>
      </w:tblGrid>
      <w:tr>
        <w:trPr>
          <w:jc w:val="center"/>
        </w:trPr>
        <w:tc>
          <w:tcPr>
            <w:tcW w:w="387"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049"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W w:w="1312"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招标文件的商务条款</w:t>
            </w:r>
            <w:r/>
          </w:p>
        </w:tc>
        <w:tc>
          <w:tcPr>
            <w:tcW w:w="1312"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投标文件的商务条款</w:t>
            </w:r>
            <w:r/>
          </w:p>
        </w:tc>
        <w:tc>
          <w:tcPr>
            <w:tcW w:w="938" w:type="pct"/>
            <w:textDirection w:val="lrTb"/>
            <w:noWrap w:val="false"/>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38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8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8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8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8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8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8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8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8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87"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049"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312"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938" w:type="pct"/>
            <w:textDirection w:val="lrTb"/>
            <w:noWrap w:val="false"/>
          </w:tcPr>
          <w:p>
            <w:pPr>
              <w:spacing w:before="240" w:after="240"/>
              <w:rPr>
                <w:rFonts w:ascii="宋体" w:hAnsi="宋体" w:cs="宋体"/>
                <w:color w:val="auto"/>
                <w:szCs w:val="21"/>
                <w:highlight w:val="none"/>
              </w:rPr>
            </w:pPr>
            <w:r>
              <w:rPr>
                <w:rFonts w:ascii="宋体" w:hAnsi="宋体" w:cs="宋体"/>
                <w:color w:val="auto"/>
                <w:szCs w:val="21"/>
                <w:highlight w:val="none"/>
              </w:rPr>
            </w:r>
            <w:r/>
          </w:p>
        </w:tc>
      </w:tr>
    </w:tbl>
    <w:p>
      <w:pPr>
        <w:ind w:left="420" w:firstLine="221"/>
        <w:spacing w:line="360" w:lineRule="auto"/>
        <w:rPr>
          <w:b/>
          <w:color w:val="auto"/>
          <w:sz w:val="22"/>
          <w:szCs w:val="21"/>
          <w:highlight w:val="none"/>
        </w:rPr>
      </w:pPr>
      <w:r>
        <w:rPr>
          <w:rFonts w:hint="eastAsia" w:ascii="宋体" w:hAnsi="宋体" w:cs="宋体"/>
          <w:color w:val="auto"/>
          <w:szCs w:val="21"/>
          <w:highlight w:val="none"/>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服务关于商务条款等详细描述和说明的替代。</w:t>
      </w:r>
      <w:r/>
    </w:p>
    <w:p>
      <w:pPr>
        <w:pStyle w:val="860"/>
        <w:rPr>
          <w:color w:val="auto"/>
          <w:highlight w:val="none"/>
        </w:rPr>
      </w:pPr>
      <w:r>
        <w:rPr>
          <w:color w:val="auto"/>
          <w:highlight w:val="none"/>
        </w:rPr>
      </w:r>
      <w:r/>
    </w:p>
    <w:p>
      <w:pPr>
        <w:rPr>
          <w:color w:val="auto"/>
          <w:szCs w:val="21"/>
          <w:highlight w:val="none"/>
        </w:rPr>
      </w:pPr>
      <w:r>
        <w:rPr>
          <w:color w:val="auto"/>
          <w:szCs w:val="21"/>
          <w:highlight w:val="none"/>
        </w:rPr>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pStyle w:val="860"/>
        <w:ind w:left="0"/>
        <w:jc w:val="right"/>
        <w:spacing w:after="360"/>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rPr>
          <w:color w:val="auto"/>
          <w:highlight w:val="none"/>
        </w:rPr>
      </w:pPr>
      <w:r>
        <w:rPr>
          <w:rFonts w:hint="eastAsia" w:ascii="宋体" w:hAnsi="宋体" w:cs="宋体"/>
          <w:b/>
          <w:bCs/>
          <w:color w:val="auto"/>
          <w:szCs w:val="21"/>
          <w:highlight w:val="none"/>
        </w:rPr>
        <w:t xml:space="preserve">十一、</w:t>
      </w:r>
      <w:r>
        <w:rPr>
          <w:rFonts w:hint="eastAsia" w:ascii="宋体" w:hAnsi="宋体" w:cs="宋体"/>
          <w:b/>
          <w:bCs/>
          <w:color w:val="auto"/>
          <w:szCs w:val="21"/>
          <w:highlight w:val="none"/>
          <w:lang w:val="zh-CN"/>
        </w:rPr>
        <w:t xml:space="preserve">投标单位基本情况表</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投标单位基本情况表</w:t>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单位名称（盖章）</w:t>
      </w:r>
      <w:r/>
    </w:p>
    <w:tbl>
      <w:tblPr>
        <w:tblStyle w:val="849"/>
        <w:tblW w:w="4999"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833"/>
        <w:gridCol w:w="2550"/>
        <w:gridCol w:w="1983"/>
        <w:gridCol w:w="796"/>
        <w:gridCol w:w="2144"/>
      </w:tblGrid>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62"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1425"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62"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1425" w:type="pct"/>
            <w:textDirection w:val="lrTb"/>
            <w:noWrap w:val="false"/>
          </w:tcPr>
          <w:p>
            <w:pPr>
              <w:ind w:firstLine="168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026"/>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348"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039"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962"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1425"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r>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962"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1425"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年         万元</w:t>
            </w:r>
            <w:r/>
          </w:p>
        </w:tc>
      </w:tr>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年      万元</w:t>
            </w:r>
            <w:r/>
          </w:p>
        </w:tc>
        <w:tc>
          <w:tcPr>
            <w:tcBorders>
              <w:top w:val="single" w:color="000000" w:sz="6" w:space="0"/>
              <w:left w:val="single" w:color="000000" w:sz="6" w:space="0"/>
              <w:bottom w:val="single" w:color="000000" w:sz="6" w:space="0"/>
              <w:right w:val="single" w:color="000000" w:sz="6" w:space="0"/>
            </w:tcBorders>
            <w:tcW w:w="962"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25"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026"/>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营业面积</w:t>
            </w:r>
            <w:r/>
          </w:p>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（含厂房面积）</w:t>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962"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1425"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trHeight w:val="1026"/>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026"/>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2033"/>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trHeight w:val="1529"/>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026"/>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679"/>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bl>
    <w:p>
      <w:pPr>
        <w:jc w:val="left"/>
        <w:rPr>
          <w:rFonts w:ascii="宋体" w:hAnsi="宋体"/>
          <w:color w:val="auto"/>
          <w:sz w:val="24"/>
          <w:szCs w:val="20"/>
          <w:highlight w:val="none"/>
        </w:rPr>
      </w:pPr>
      <w:r>
        <w:rPr>
          <w:rFonts w:ascii="宋体" w:hAnsi="宋体"/>
          <w:color w:val="auto"/>
          <w:sz w:val="24"/>
          <w:szCs w:val="20"/>
          <w:highlight w:val="none"/>
        </w:rPr>
      </w:r>
      <w:r/>
    </w:p>
    <w:p>
      <w:pPr>
        <w:rPr>
          <w:color w:val="auto"/>
          <w:highlight w:val="none"/>
        </w:rPr>
      </w:pPr>
      <w:r>
        <w:rPr>
          <w:rFonts w:ascii="宋体" w:hAnsi="宋体"/>
          <w:b/>
          <w:color w:val="auto"/>
          <w:sz w:val="24"/>
          <w:szCs w:val="20"/>
          <w:highlight w:val="none"/>
        </w:rPr>
        <w:br w:type="page" w:clear="all"/>
      </w:r>
      <w:bookmarkEnd w:id="38"/>
      <w:r/>
      <w:bookmarkEnd w:id="58"/>
      <w:r/>
      <w:r/>
    </w:p>
    <w:p>
      <w:pPr>
        <w:rPr>
          <w:rFonts w:ascii="宋体" w:hAnsi="宋体" w:cs="宋体"/>
          <w:b/>
          <w:bCs/>
          <w:color w:val="auto"/>
          <w:szCs w:val="21"/>
          <w:highlight w:val="none"/>
        </w:rPr>
      </w:pPr>
      <w:r>
        <w:rPr>
          <w:rFonts w:hint="eastAsia" w:ascii="宋体" w:hAnsi="宋体" w:cs="宋体"/>
          <w:b/>
          <w:bCs/>
          <w:color w:val="auto"/>
          <w:szCs w:val="21"/>
          <w:highlight w:val="none"/>
        </w:rPr>
        <w:t xml:space="preserve">十二、类似项目一览表</w:t>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类似项目一览表</w:t>
      </w:r>
      <w:r/>
    </w:p>
    <w:p>
      <w:pPr>
        <w:pStyle w:val="850"/>
        <w:ind w:firstLine="0"/>
        <w:rPr>
          <w:color w:val="auto"/>
          <w:highlight w:val="none"/>
        </w:rPr>
      </w:pPr>
      <w:r>
        <w:rPr>
          <w:rFonts w:hint="eastAsia" w:ascii="宋体" w:hAnsi="宋体" w:cs="宋体"/>
          <w:b/>
          <w:bCs/>
          <w:color w:val="auto"/>
          <w:highlight w:val="none"/>
        </w:rPr>
        <w:t xml:space="preserve">第</w:t>
      </w:r>
      <w:r>
        <w:rPr>
          <w:rFonts w:hint="eastAsia" w:ascii="宋体" w:hAnsi="宋体" w:cs="宋体"/>
          <w:b/>
          <w:bCs/>
          <w:color w:val="auto"/>
          <w:highlight w:val="none"/>
          <w:u w:val="single"/>
        </w:rPr>
        <w:t xml:space="preserve">    </w:t>
      </w:r>
      <w:r>
        <w:rPr>
          <w:rFonts w:hint="eastAsia" w:ascii="宋体" w:hAnsi="宋体" w:cs="宋体"/>
          <w:b/>
          <w:bCs/>
          <w:color w:val="auto"/>
          <w:highlight w:val="none"/>
        </w:rPr>
        <w:t xml:space="preserve">标段：</w:t>
      </w:r>
      <w:r/>
    </w:p>
    <w:tbl>
      <w:tblPr>
        <w:tblStyle w:val="849"/>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85"/>
        <w:gridCol w:w="1762"/>
        <w:gridCol w:w="1762"/>
        <w:gridCol w:w="1799"/>
        <w:gridCol w:w="2142"/>
        <w:gridCol w:w="1594"/>
      </w:tblGrid>
      <w:tr>
        <w:trPr>
          <w:cantSplit/>
          <w:trHeight w:val="740"/>
        </w:trPr>
        <w:tc>
          <w:tcPr>
            <w:tcW w:w="535"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868"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868"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采购单位</w:t>
            </w:r>
            <w:r/>
          </w:p>
        </w:tc>
        <w:tc>
          <w:tcPr>
            <w:tcBorders>
              <w:right w:val="single" w:color="auto" w:sz="4" w:space="0"/>
            </w:tcBorders>
            <w:tcW w:w="886"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合同日期</w:t>
            </w:r>
            <w:r/>
          </w:p>
        </w:tc>
        <w:tc>
          <w:tcPr>
            <w:tcBorders>
              <w:left w:val="single" w:color="auto" w:sz="4" w:space="0"/>
              <w:right w:val="single" w:color="auto" w:sz="4" w:space="0"/>
            </w:tcBorders>
            <w:tcW w:w="1055"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785"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68"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W w:w="868"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886"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055"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W w:w="785"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68"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W w:w="868"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886"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055"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W w:w="785"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868"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W w:w="868"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886"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055"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W w:w="785"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68"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W w:w="868"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886"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055"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W w:w="785"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868"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W w:w="868"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886"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055"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W w:w="785"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535" w:type="pct"/>
            <w:vAlign w:val="center"/>
            <w:textDirection w:val="tbRlV"/>
            <w:noWrap w:val="false"/>
          </w:tcPr>
          <w:p>
            <w:pPr>
              <w:ind w:left="113" w:right="113"/>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868"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W w:w="868"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886"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055"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c>
          <w:tcPr>
            <w:tcW w:w="785" w:type="pct"/>
            <w:vAlign w:val="center"/>
            <w:textDirection w:val="lrTb"/>
            <w:noWrap w:val="false"/>
          </w:tcPr>
          <w:p>
            <w:pPr>
              <w:ind w:left="420"/>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868" w:type="pct"/>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868" w:type="pct"/>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886" w:type="pct"/>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055" w:type="pct"/>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785" w:type="pct"/>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868" w:type="pct"/>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868" w:type="pct"/>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886" w:type="pct"/>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055" w:type="pct"/>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785" w:type="pct"/>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pStyle w:val="907"/>
        <w:rPr>
          <w:b/>
          <w:bCs/>
          <w:color w:val="auto"/>
          <w:highlight w:val="none"/>
        </w:rPr>
      </w:pPr>
      <w:r>
        <w:rPr>
          <w:rFonts w:hint="eastAsia"/>
          <w:b/>
          <w:bCs/>
          <w:color w:val="auto"/>
          <w:highlight w:val="none"/>
        </w:rPr>
        <w:t xml:space="preserve">注：后附评分办法及评分标准中要求的业绩证明材料。</w:t>
      </w:r>
      <w:r/>
    </w:p>
    <w:p>
      <w:pPr>
        <w:jc w:val="left"/>
        <w:widowControl/>
        <w:rPr>
          <w:rFonts w:eastAsiaTheme="minorEastAsia"/>
          <w:color w:val="auto"/>
          <w:szCs w:val="21"/>
          <w:highlight w:val="none"/>
        </w:rPr>
      </w:pPr>
      <w:r>
        <w:rPr>
          <w:rFonts w:eastAsiaTheme="minorEastAsia"/>
          <w:color w:val="auto"/>
          <w:szCs w:val="21"/>
          <w:highlight w:val="none"/>
        </w:rPr>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pStyle w:val="860"/>
        <w:ind w:left="0"/>
        <w:jc w:val="right"/>
        <w:spacing w:after="360"/>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rPr>
          <w:color w:val="auto"/>
          <w:highlight w:val="none"/>
        </w:rPr>
      </w:pPr>
      <w:r>
        <w:rPr>
          <w:color w:val="auto"/>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t xml:space="preserve">十三、项目人员配置表</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项目人员配置表</w:t>
      </w:r>
      <w:r/>
    </w:p>
    <w:p>
      <w:pPr>
        <w:spacing w:line="400" w:lineRule="exact"/>
        <w:rPr>
          <w:rFonts w:ascii="宋体" w:hAnsi="宋体" w:cs="宋体"/>
          <w:color w:val="auto"/>
          <w:highlight w:val="none"/>
        </w:rPr>
      </w:pPr>
      <w:r>
        <w:rPr>
          <w:rFonts w:hint="eastAsia" w:ascii="宋体" w:hAnsi="宋体" w:cs="宋体"/>
          <w:color w:val="auto"/>
          <w:highlight w:val="none"/>
        </w:rPr>
        <w:t xml:space="preserve">项目名称：  </w:t>
      </w:r>
      <w:r/>
    </w:p>
    <w:p>
      <w:pPr>
        <w:spacing w:line="400" w:lineRule="exact"/>
        <w:rPr>
          <w:rFonts w:ascii="宋体" w:hAnsi="宋体" w:cs="宋体"/>
          <w:color w:val="auto"/>
          <w:highlight w:val="none"/>
        </w:rPr>
      </w:pPr>
      <w:r/>
      <w:bookmarkStart w:id="59" w:name="OLE_LINK5"/>
      <w:r>
        <w:rPr>
          <w:rFonts w:hint="eastAsia" w:ascii="宋体" w:hAnsi="宋体" w:cs="宋体"/>
          <w:color w:val="auto"/>
          <w:highlight w:val="none"/>
        </w:rPr>
        <w:t xml:space="preserve">第</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标段：</w:t>
      </w:r>
      <w:bookmarkEnd w:id="59"/>
      <w:r>
        <w:rPr>
          <w:rFonts w:hint="eastAsia" w:ascii="宋体" w:hAnsi="宋体" w:cs="宋体"/>
          <w:color w:val="auto"/>
          <w:highlight w:val="none"/>
        </w:rPr>
        <w:t xml:space="preserve">       </w:t>
      </w:r>
      <w:r/>
    </w:p>
    <w:tbl>
      <w:tblPr>
        <w:tblStyle w:val="849"/>
        <w:tblW w:w="48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2191"/>
        <w:gridCol w:w="1346"/>
        <w:gridCol w:w="949"/>
        <w:gridCol w:w="1026"/>
        <w:gridCol w:w="1238"/>
        <w:gridCol w:w="2474"/>
      </w:tblGrid>
      <w:tr>
        <w:trPr>
          <w:trHeight w:val="760"/>
        </w:trPr>
        <w:tc>
          <w:tcPr>
            <w:tcW w:w="392" w:type="pct"/>
            <w:vAlign w:val="center"/>
            <w:textDirection w:val="lrTb"/>
            <w:noWrap w:val="false"/>
          </w:tcPr>
          <w:p>
            <w:pPr>
              <w:jc w:val="center"/>
              <w:spacing w:line="400" w:lineRule="exact"/>
              <w:rPr>
                <w:rFonts w:ascii="宋体" w:hAnsi="宋体" w:cs="宋体"/>
                <w:color w:val="auto"/>
                <w:szCs w:val="21"/>
                <w:highlight w:val="none"/>
              </w:rPr>
            </w:pPr>
            <w:r/>
            <w:bookmarkStart w:id="60" w:name="OLE_LINK4"/>
            <w:r>
              <w:rPr>
                <w:rFonts w:hint="eastAsia" w:ascii="宋体" w:hAnsi="宋体" w:cs="宋体"/>
                <w:color w:val="auto"/>
                <w:szCs w:val="21"/>
                <w:highlight w:val="none"/>
              </w:rPr>
              <w:t xml:space="preserve">序号</w:t>
            </w:r>
            <w:r/>
          </w:p>
        </w:tc>
        <w:tc>
          <w:tcPr>
            <w:tcW w:w="1094"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拟在本项目担任职务</w:t>
            </w:r>
            <w:r/>
          </w:p>
        </w:tc>
        <w:tc>
          <w:tcPr>
            <w:tcW w:w="67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474"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512"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618"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专业</w:t>
            </w:r>
            <w:r/>
          </w:p>
        </w:tc>
        <w:tc>
          <w:tcPr>
            <w:tcW w:w="1235"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职称、上岗证或其他证书材料</w:t>
            </w:r>
            <w:bookmarkEnd w:id="60"/>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392" w:type="pct"/>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09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7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74"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512"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618"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tcW w:w="1235" w:type="pct"/>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pStyle w:val="907"/>
        <w:rPr>
          <w:color w:val="auto"/>
          <w:highlight w:val="none"/>
        </w:rPr>
      </w:pPr>
      <w:r>
        <w:rPr>
          <w:color w:val="auto"/>
          <w:highlight w:val="none"/>
        </w:rPr>
      </w:r>
      <w:r/>
    </w:p>
    <w:p>
      <w:pPr>
        <w:jc w:val="left"/>
        <w:widowControl/>
        <w:rPr>
          <w:rFonts w:eastAsiaTheme="minorEastAsia"/>
          <w:b/>
          <w:color w:val="auto"/>
          <w:sz w:val="22"/>
          <w:highlight w:val="none"/>
        </w:rPr>
      </w:pPr>
      <w:r>
        <w:rPr>
          <w:rFonts w:hint="eastAsia" w:eastAsiaTheme="minorEastAsia"/>
          <w:b/>
          <w:color w:val="auto"/>
          <w:sz w:val="22"/>
          <w:highlight w:val="none"/>
        </w:rPr>
        <w:t xml:space="preserve">注：1.服务类项目中供应商若使用退休人员，将不享受中小企业扶持政策。</w:t>
      </w:r>
      <w:r/>
    </w:p>
    <w:p>
      <w:pPr>
        <w:ind w:firstLine="420"/>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pStyle w:val="860"/>
        <w:ind w:left="0"/>
        <w:jc w:val="right"/>
        <w:spacing w:after="360"/>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before="36" w:after="36"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before="36" w:after="36"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before="36" w:after="36"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before="36" w:after="36"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before="36" w:after="36"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before="36" w:after="36"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十六、供应商与其他单位存在控股、管理关系情况表</w:t>
      </w:r>
      <w:r/>
    </w:p>
    <w:p>
      <w:pPr>
        <w:ind w:firstLine="480"/>
        <w:jc w:val="center"/>
        <w:spacing w:before="36" w:after="36"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供应商与其他单位存在控股、管理关系情况表</w:t>
      </w:r>
      <w:r/>
    </w:p>
    <w:tbl>
      <w:tblPr>
        <w:tblStyle w:val="8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ind w:firstLine="480"/>
              <w:jc w:val="center"/>
              <w:spacing w:before="36" w:after="36" w:line="360" w:lineRule="auto"/>
              <w:rPr>
                <w:rFonts w:ascii="宋体" w:hAnsi="宋体"/>
                <w:color w:val="auto"/>
                <w:sz w:val="24"/>
                <w:szCs w:val="24"/>
                <w:highlight w:val="none"/>
              </w:rPr>
            </w:pPr>
            <w:r>
              <w:rPr>
                <w:rFonts w:hint="eastAsia" w:ascii="宋体" w:hAnsi="宋体"/>
                <w:color w:val="auto"/>
                <w:sz w:val="24"/>
                <w:szCs w:val="24"/>
                <w:highlight w:val="none"/>
              </w:rPr>
              <w:t xml:space="preserve">与供应商存在控股、管理关系的单位名称</w:t>
            </w:r>
            <w:r/>
          </w:p>
        </w:tc>
        <w:tc>
          <w:tcPr>
            <w:tcW w:w="3594" w:type="dxa"/>
            <w:vAlign w:val="center"/>
            <w:textDirection w:val="lrTb"/>
            <w:noWrap w:val="false"/>
          </w:tcPr>
          <w:p>
            <w:pPr>
              <w:ind w:firstLine="480"/>
              <w:jc w:val="center"/>
              <w:spacing w:before="36" w:after="36" w:line="360" w:lineRule="auto"/>
              <w:rPr>
                <w:rFonts w:ascii="宋体" w:hAnsi="宋体"/>
                <w:color w:val="auto"/>
                <w:sz w:val="24"/>
                <w:szCs w:val="24"/>
                <w:highlight w:val="none"/>
              </w:rPr>
            </w:pPr>
            <w:r>
              <w:rPr>
                <w:rFonts w:hint="eastAsia" w:ascii="宋体" w:hAnsi="宋体"/>
                <w:color w:val="auto"/>
                <w:sz w:val="24"/>
                <w:szCs w:val="24"/>
                <w:highlight w:val="none"/>
              </w:rPr>
              <w:t xml:space="preserve">控股、管理关系情况说明</w:t>
            </w:r>
            <w:r/>
          </w:p>
        </w:tc>
      </w:tr>
      <w:tr>
        <w:trPr>
          <w:trHeight w:val="850"/>
        </w:trPr>
        <w:tc>
          <w:tcPr>
            <w:tcW w:w="49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594"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850"/>
        </w:trPr>
        <w:tc>
          <w:tcPr>
            <w:tcW w:w="49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594"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850"/>
        </w:trPr>
        <w:tc>
          <w:tcPr>
            <w:tcW w:w="49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594"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850"/>
        </w:trPr>
        <w:tc>
          <w:tcPr>
            <w:tcW w:w="49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594"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850"/>
        </w:trPr>
        <w:tc>
          <w:tcPr>
            <w:tcW w:w="49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594"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850"/>
        </w:trPr>
        <w:tc>
          <w:tcPr>
            <w:tcW w:w="4928"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3594" w:type="dxa"/>
            <w:vAlign w:val="center"/>
            <w:textDirection w:val="lrTb"/>
            <w:noWrap w:val="false"/>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bl>
    <w:p>
      <w:pPr>
        <w:spacing w:line="360" w:lineRule="auto"/>
        <w:rPr>
          <w:rFonts w:ascii="宋体" w:hAnsi="宋体"/>
          <w:bCs/>
          <w:color w:val="auto"/>
          <w:szCs w:val="21"/>
          <w:highlight w:val="none"/>
        </w:rPr>
      </w:pPr>
      <w:r>
        <w:rPr>
          <w:rFonts w:hint="eastAsia" w:ascii="宋体" w:hAnsi="宋体"/>
          <w:bCs/>
          <w:color w:val="auto"/>
          <w:highlight w:val="none"/>
        </w:rPr>
        <w:t xml:space="preserve">注：供应商应当按实填写所有与之有控股、管理关系的情况</w:t>
      </w:r>
      <w:r/>
    </w:p>
    <w:p>
      <w:pPr>
        <w:rPr>
          <w:rFonts w:ascii="宋体" w:hAnsi="宋体"/>
          <w:b/>
          <w:color w:val="auto"/>
          <w:sz w:val="24"/>
          <w:highlight w:val="none"/>
        </w:rPr>
      </w:pPr>
      <w:r>
        <w:rPr>
          <w:rFonts w:hint="eastAsia" w:ascii="宋体" w:hAnsi="宋体"/>
          <w:b/>
          <w:color w:val="auto"/>
          <w:sz w:val="24"/>
          <w:highlight w:val="none"/>
        </w:rPr>
        <w:t xml:space="preserve">提供相关证明截图（企查查或类似平台证明截图）：</w:t>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hint="eastAsia" w:ascii="宋体" w:hAnsi="宋体"/>
          <w:b/>
          <w:color w:val="auto"/>
          <w:sz w:val="24"/>
          <w:highlight w:val="none"/>
        </w:rPr>
        <w:t xml:space="preserve">十七、承诺函</w:t>
      </w:r>
      <w:r/>
    </w:p>
    <w:p>
      <w:pPr>
        <w:rPr>
          <w:rFonts w:ascii="宋体" w:hAnsi="宋体"/>
          <w:b/>
          <w:color w:val="auto"/>
          <w:sz w:val="24"/>
          <w:highlight w:val="none"/>
        </w:rPr>
      </w:pPr>
      <w:r>
        <w:rPr>
          <w:rFonts w:hint="eastAsia" w:asciiTheme="minorEastAsia" w:hAnsiTheme="minorEastAsia" w:eastAsiaTheme="minorEastAsia" w:cstheme="minorEastAsia"/>
          <w:bCs/>
          <w:color w:val="auto"/>
          <w:szCs w:val="21"/>
          <w:highlight w:val="none"/>
        </w:rPr>
        <w:t xml:space="preserve">（一标段：提供关于采购需求中“本项目的特定要求”的承诺函，格式自拟）。</w:t>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jc w:val="left"/>
        <w:widowControl/>
        <w:rPr>
          <w:rFonts w:ascii="宋体" w:hAnsi="宋体" w:cs="宋体"/>
          <w:b/>
          <w:bCs/>
          <w:color w:val="auto"/>
          <w:szCs w:val="21"/>
          <w:highlight w:val="none"/>
        </w:rPr>
        <w:outlineLvl w:val="0"/>
      </w:pPr>
      <w:r/>
      <w:bookmarkStart w:id="61" w:name="_Toc167285818"/>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宋体" w:cs="宋体"/>
          <w:b/>
          <w:bCs/>
          <w:color w:val="auto"/>
          <w:szCs w:val="21"/>
          <w:highlight w:val="none"/>
        </w:rPr>
        <w:outlineLvl w:val="0"/>
      </w:pPr>
      <w:r>
        <w:rPr>
          <w:rFonts w:ascii="宋体" w:hAnsi="宋体" w:cs="宋体"/>
          <w:b/>
          <w:bCs/>
          <w:color w:val="auto"/>
          <w:szCs w:val="21"/>
          <w:highlight w:val="none"/>
        </w:rPr>
      </w:r>
      <w:r/>
    </w:p>
    <w:p>
      <w:pPr>
        <w:jc w:val="left"/>
        <w:widowControl/>
        <w:rPr>
          <w:rFonts w:ascii="宋体" w:hAnsi="Calibri"/>
          <w:b/>
          <w:bCs/>
          <w:color w:val="auto"/>
          <w:szCs w:val="21"/>
          <w:highlight w:val="none"/>
        </w:rPr>
        <w:outlineLvl w:val="0"/>
      </w:pPr>
      <w:r>
        <w:rPr>
          <w:rFonts w:hint="eastAsia" w:ascii="宋体" w:hAnsi="宋体" w:cs="宋体"/>
          <w:b/>
          <w:bCs/>
          <w:color w:val="auto"/>
          <w:szCs w:val="21"/>
          <w:highlight w:val="none"/>
        </w:rPr>
        <w:t xml:space="preserve">十八、关于响应报价合理性的澄清说明</w:t>
      </w:r>
      <w:bookmarkEnd w:id="61"/>
      <w:r>
        <w:rPr>
          <w:rFonts w:hint="eastAsia" w:ascii="宋体" w:hAnsi="宋体" w:cs="宋体"/>
          <w:b/>
          <w:bCs/>
          <w:color w:val="auto"/>
          <w:szCs w:val="21"/>
          <w:highlight w:val="none"/>
        </w:rPr>
        <w:t xml:space="preserve">（如有）</w:t>
      </w:r>
      <w:r/>
    </w:p>
    <w:p>
      <w:pPr>
        <w:ind w:firstLine="420"/>
        <w:jc w:val="center"/>
        <w:widowControl/>
        <w:rPr>
          <w:rFonts w:ascii="宋体" w:hAnsi="Calibri"/>
          <w:b/>
          <w:bCs/>
          <w:color w:val="auto"/>
          <w:szCs w:val="21"/>
          <w:highlight w:val="none"/>
        </w:rPr>
      </w:pPr>
      <w:r>
        <w:rPr>
          <w:rFonts w:ascii="宋体" w:hAnsi="Calibri"/>
          <w:b/>
          <w:bCs/>
          <w:color w:val="auto"/>
          <w:szCs w:val="21"/>
          <w:highlight w:val="none"/>
        </w:rPr>
      </w:r>
      <w:r/>
    </w:p>
    <w:p>
      <w:pPr>
        <w:jc w:val="center"/>
        <w:widowControl/>
        <w:rPr>
          <w:rFonts w:ascii="宋体" w:hAnsi="Calibri"/>
          <w:b/>
          <w:bCs/>
          <w:color w:val="auto"/>
          <w:szCs w:val="21"/>
          <w:highlight w:val="none"/>
        </w:rPr>
      </w:pPr>
      <w:r>
        <w:rPr>
          <w:rFonts w:hint="eastAsia" w:ascii="宋体" w:hAnsi="宋体" w:cs="宋体"/>
          <w:b/>
          <w:bCs/>
          <w:color w:val="auto"/>
          <w:szCs w:val="21"/>
          <w:highlight w:val="none"/>
        </w:rPr>
        <w:t xml:space="preserve">关于响应报价合理性的澄清说明</w:t>
      </w:r>
      <w:r/>
    </w:p>
    <w:p>
      <w:pPr>
        <w:jc w:val="left"/>
        <w:spacing w:line="360" w:lineRule="auto"/>
        <w:widowControl/>
        <w:rPr>
          <w:rFonts w:ascii="宋体" w:hAnsi="Calibri"/>
          <w:color w:val="auto"/>
          <w:szCs w:val="21"/>
          <w:highlight w:val="none"/>
          <w:u w:val="single"/>
        </w:rPr>
      </w:pPr>
      <w:r>
        <w:rPr>
          <w:rFonts w:ascii="宋体" w:hAnsi="Calibri"/>
          <w:color w:val="auto"/>
          <w:szCs w:val="21"/>
          <w:highlight w:val="none"/>
          <w:u w:val="single"/>
        </w:rPr>
      </w:r>
      <w:r/>
    </w:p>
    <w:p>
      <w:pPr>
        <w:jc w:val="left"/>
        <w:spacing w:line="360" w:lineRule="auto"/>
        <w:widowControl/>
        <w:rPr>
          <w:rFonts w:ascii="宋体" w:hAnsi="Calibri"/>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jc w:val="left"/>
        <w:spacing w:line="360" w:lineRule="auto"/>
        <w:widowControl/>
        <w:rPr>
          <w:rFonts w:ascii="宋体" w:hAnsi="Calibri"/>
          <w:color w:val="auto"/>
          <w:szCs w:val="21"/>
          <w:highlight w:val="none"/>
        </w:rPr>
      </w:pPr>
      <w:r>
        <w:rPr>
          <w:rFonts w:hint="eastAsia" w:ascii="宋体" w:hAnsi="宋体" w:cs="宋体"/>
          <w:color w:val="auto"/>
          <w:szCs w:val="21"/>
          <w:highlight w:val="none"/>
        </w:rPr>
        <w:t xml:space="preserve">本公司愿就由贵中心组织实施的编号为</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号（项目编号）的采购活动进行响应，对于本公司的响应报价合理性作出说明如下：</w:t>
      </w:r>
      <w:r/>
    </w:p>
    <w:tbl>
      <w:tblPr>
        <w:tblStyle w:val="849"/>
        <w:tblW w:w="904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6"/>
      </w:tblGrid>
      <w:tr>
        <w:trPr>
          <w:trHeight w:val="3940"/>
        </w:trPr>
        <w:tc>
          <w:tcPr>
            <w:tcW w:w="9046" w:type="dxa"/>
            <w:vAlign w:val="center"/>
            <w:textDirection w:val="lrTb"/>
            <w:noWrap w:val="false"/>
          </w:tcPr>
          <w:p>
            <w:pPr>
              <w:spacing w:line="600" w:lineRule="auto"/>
              <w:rPr>
                <w:rFonts w:ascii="宋体" w:hAnsi="Calibri"/>
                <w:b/>
                <w:bCs/>
                <w:color w:val="auto"/>
                <w:szCs w:val="21"/>
                <w:highlight w:val="none"/>
                <w:shd w:val="pct10" w:color="auto" w:fill="ffffff"/>
              </w:rPr>
            </w:pPr>
            <w:r>
              <w:rPr>
                <w:rFonts w:hint="eastAsia" w:ascii="宋体" w:hAnsi="宋体" w:cs="宋体"/>
                <w:b/>
                <w:bCs/>
                <w:color w:val="auto"/>
                <w:szCs w:val="21"/>
                <w:highlight w:val="none"/>
              </w:rPr>
              <w:t xml:space="preserve">供应商应当根据实际情况自拟答复并根据评审小组关于澄清的要求提供相关证明材料作为附件。</w:t>
            </w:r>
            <w:r/>
          </w:p>
        </w:tc>
      </w:tr>
    </w:tbl>
    <w:p>
      <w:pPr>
        <w:rPr>
          <w:rFonts w:ascii="宋体" w:hAnsi="宋体"/>
          <w:b/>
          <w:color w:val="auto"/>
          <w:sz w:val="24"/>
          <w:highlight w:val="none"/>
        </w:rPr>
      </w:pPr>
      <w:r>
        <w:rPr>
          <w:rFonts w:ascii="宋体" w:hAnsi="宋体"/>
          <w:b/>
          <w:color w:val="auto"/>
          <w:sz w:val="24"/>
          <w:highlight w:val="none"/>
        </w:rPr>
      </w:r>
      <w:r/>
    </w:p>
    <w:p>
      <w:pPr>
        <w:ind w:firstLine="42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单位名称：（加盖CA电子公章）</w:t>
      </w:r>
      <w:r/>
    </w:p>
    <w:p>
      <w:pPr>
        <w:jc w:val="center"/>
        <w:spacing w:after="360"/>
        <w:rPr>
          <w:rFonts w:ascii="宋体" w:hAnsi="宋体" w:cs="宋体"/>
          <w:color w:val="auto"/>
          <w:szCs w:val="21"/>
          <w:highlight w:val="none"/>
        </w:rPr>
      </w:pPr>
      <w:r>
        <w:rPr>
          <w:rFonts w:hint="eastAsia" w:ascii="宋体" w:hAnsi="宋体" w:cs="宋体"/>
          <w:color w:val="auto"/>
          <w:szCs w:val="21"/>
          <w:highlight w:val="none"/>
        </w:rPr>
        <w:t xml:space="preserve">                                                 日期：　　　　年　　  月　　  日</w:t>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hint="eastAsia" w:ascii="宋体" w:hAnsi="宋体"/>
          <w:b/>
          <w:color w:val="auto"/>
          <w:sz w:val="24"/>
          <w:highlight w:val="none"/>
        </w:rPr>
        <w:t xml:space="preserve">附件：政府采购合同信用融资政策告知函</w:t>
      </w:r>
      <w:r/>
    </w:p>
    <w:p>
      <w:pPr>
        <w:rPr>
          <w:rFonts w:ascii="Arial" w:hAnsi="Arial" w:cs="Arial"/>
          <w:b/>
          <w:color w:val="auto"/>
          <w:sz w:val="30"/>
          <w:szCs w:val="30"/>
          <w:highlight w:val="none"/>
        </w:rPr>
      </w:pPr>
      <w:r>
        <w:rPr>
          <w:rFonts w:ascii="Arial" w:hAnsi="Arial" w:cs="Arial"/>
          <w:b/>
          <w:color w:val="auto"/>
          <w:sz w:val="30"/>
          <w:szCs w:val="30"/>
          <w:highlight w:val="none"/>
        </w:rPr>
      </w:r>
      <w:r/>
    </w:p>
    <w:p>
      <w:pPr>
        <w:jc w:val="center"/>
        <w:rPr>
          <w:rFonts w:ascii="宋体" w:hAnsi="宋体"/>
          <w:b/>
          <w:color w:val="auto"/>
          <w:sz w:val="24"/>
          <w:highlight w:val="none"/>
        </w:rPr>
      </w:pPr>
      <w:r>
        <w:rPr>
          <w:rFonts w:hint="eastAsia" w:ascii="宋体" w:hAnsi="宋体"/>
          <w:b/>
          <w:color w:val="auto"/>
          <w:sz w:val="24"/>
          <w:highlight w:val="none"/>
        </w:rPr>
        <w:t xml:space="preserve">政府采购合同信用融资政策告知函</w:t>
      </w:r>
      <w:r/>
    </w:p>
    <w:p>
      <w:pPr>
        <w:rPr>
          <w:rFonts w:ascii="宋体" w:hAnsi="宋体" w:cs="宋体"/>
          <w:color w:val="auto"/>
          <w:sz w:val="24"/>
          <w:highlight w:val="none"/>
        </w:rPr>
      </w:pPr>
      <w:r>
        <w:rPr>
          <w:rFonts w:hint="eastAsia" w:ascii="宋体" w:hAnsi="宋体" w:cs="宋体"/>
          <w:color w:val="auto"/>
          <w:sz w:val="24"/>
          <w:highlight w:val="none"/>
        </w:rPr>
        <w:t xml:space="preserve">各政府采购供应商：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欢迎贵公司参加苏州市政府采购活动！</w:t>
      </w:r>
      <w:r/>
    </w:p>
    <w:p>
      <w:pPr>
        <w:rPr>
          <w:rFonts w:ascii="宋体" w:hAnsi="宋体" w:cs="宋体"/>
          <w:color w:val="auto"/>
          <w:sz w:val="24"/>
          <w:highlight w:val="none"/>
        </w:rPr>
      </w:pPr>
      <w:r>
        <w:rPr>
          <w:rFonts w:hint="eastAsia" w:ascii="宋体" w:hAnsi="宋体" w:cs="宋体"/>
          <w:color w:val="auto"/>
          <w:sz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jc w:val="left"/>
        <w:keepLines/>
        <w:keepNext/>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jc w:val="center"/>
        <w:spacing w:line="360" w:lineRule="auto"/>
        <w:widowControl/>
        <w:rPr>
          <w:rFonts w:eastAsiaTheme="minorEastAsia"/>
          <w:color w:val="auto"/>
          <w:sz w:val="44"/>
          <w:szCs w:val="44"/>
          <w:highlight w:val="none"/>
        </w:rPr>
        <w:outlineLvl w:val="0"/>
      </w:pPr>
      <w:r/>
      <w:bookmarkStart w:id="62" w:name="_Toc22762"/>
      <w:r>
        <w:rPr>
          <w:rFonts w:eastAsiaTheme="minorEastAsia"/>
          <w:bCs/>
          <w:color w:val="auto"/>
          <w:sz w:val="44"/>
          <w:szCs w:val="44"/>
          <w:highlight w:val="none"/>
        </w:rPr>
        <w:t xml:space="preserve">第四章</w:t>
      </w:r>
      <w:r>
        <w:rPr>
          <w:rFonts w:hint="eastAsia" w:eastAsiaTheme="minorEastAsia"/>
          <w:bCs/>
          <w:color w:val="auto"/>
          <w:sz w:val="44"/>
          <w:szCs w:val="44"/>
          <w:highlight w:val="none"/>
        </w:rPr>
        <w:t xml:space="preserve"> </w:t>
      </w:r>
      <w:r>
        <w:rPr>
          <w:bCs/>
          <w:color w:val="auto"/>
          <w:sz w:val="44"/>
          <w:szCs w:val="44"/>
          <w:highlight w:val="none"/>
        </w:rPr>
        <w:t xml:space="preserve">采购需求</w:t>
      </w:r>
      <w:bookmarkEnd w:id="6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永立工程咨询（江苏）有限公司受苏州市相城生态环境局的委托，就其需要采购的2026年污染源在线监控质量管理及生物多样性站点运维采购进行国内公开招标，欢迎有资格的供应商前来参加投标。</w:t>
      </w:r>
      <w:r/>
    </w:p>
    <w:p>
      <w:pPr>
        <w:jc w:val="left"/>
        <w:spacing w:line="360" w:lineRule="auto"/>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一、项目基本情况</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1、项目编号：</w:t>
      </w:r>
      <w:r>
        <w:rPr>
          <w:rFonts w:hint="eastAsia" w:ascii="宋体" w:hAnsi="宋体" w:cs="宋体" w:eastAsiaTheme="minorEastAsia"/>
          <w:color w:val="auto"/>
          <w:szCs w:val="21"/>
          <w:highlight w:val="none"/>
        </w:rPr>
        <w:t xml:space="preserve">JSZC-320507-YLCG-G2026-0001</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2、项目名称：</w:t>
      </w:r>
      <w:r>
        <w:rPr>
          <w:rFonts w:hint="eastAsia" w:asciiTheme="minorEastAsia" w:hAnsiTheme="minorEastAsia" w:eastAsiaTheme="minorEastAsia" w:cstheme="minorEastAsia"/>
          <w:color w:val="auto"/>
          <w:szCs w:val="21"/>
          <w:highlight w:val="none"/>
          <w:lang w:bidi="ar"/>
        </w:rPr>
        <w:t xml:space="preserve">2026年污染源在线监控质量管理及生物多样性站点运维</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预算金额：人民币贰佰贰拾万元整（￥2200000.00），其中</w:t>
      </w:r>
      <w:r/>
    </w:p>
    <w:p>
      <w:pPr>
        <w:ind w:firstLine="420"/>
        <w:spacing w:line="360" w:lineRule="auto"/>
        <w:rPr>
          <w:rFonts w:ascii="宋体" w:hAnsi="宋体"/>
          <w:color w:val="auto"/>
          <w:spacing w:val="-8"/>
          <w:szCs w:val="21"/>
          <w:highlight w:val="none"/>
        </w:rPr>
      </w:pPr>
      <w:r>
        <w:rPr>
          <w:rFonts w:hint="eastAsia" w:ascii="宋体" w:hAnsi="宋体"/>
          <w:color w:val="auto"/>
          <w:szCs w:val="21"/>
          <w:highlight w:val="none"/>
        </w:rPr>
        <w:t xml:space="preserve">各标段内容如下：</w:t>
      </w:r>
      <w:r/>
    </w:p>
    <w:tbl>
      <w:tblPr>
        <w:tblStyle w:val="849"/>
        <w:tblW w:w="4918" w:type="pct"/>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4"/>
        <w:gridCol w:w="3471"/>
        <w:gridCol w:w="2315"/>
        <w:gridCol w:w="2699"/>
      </w:tblGrid>
      <w:tr>
        <w:trPr/>
        <w:tc>
          <w:tcPr>
            <w:tcW w:w="16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标段号</w:t>
            </w:r>
            <w:r/>
          </w:p>
        </w:tc>
        <w:tc>
          <w:tcPr>
            <w:tcW w:w="347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采购内容</w:t>
            </w:r>
            <w:r/>
          </w:p>
        </w:tc>
        <w:tc>
          <w:tcPr>
            <w:tcW w:w="231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预算</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（万元）</w:t>
            </w:r>
            <w:r/>
          </w:p>
        </w:tc>
        <w:tc>
          <w:tcPr>
            <w:tcW w:w="269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履约期限</w:t>
            </w:r>
            <w:r/>
          </w:p>
        </w:tc>
      </w:tr>
      <w:tr>
        <w:trPr>
          <w:cantSplit/>
          <w:trHeight w:val="573"/>
        </w:trPr>
        <w:tc>
          <w:tcPr>
            <w:tcW w:w="16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第一标段</w:t>
            </w:r>
            <w:r/>
          </w:p>
        </w:tc>
        <w:tc>
          <w:tcPr>
            <w:tcW w:w="347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污染源在线监控质量管理</w:t>
            </w:r>
            <w:r/>
          </w:p>
        </w:tc>
        <w:tc>
          <w:tcPr>
            <w:tcW w:w="231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170</w:t>
            </w:r>
            <w:r/>
          </w:p>
        </w:tc>
        <w:tc>
          <w:tcPr>
            <w:tcW w:w="269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2026年6月30日至2027年6月29日</w:t>
            </w:r>
            <w:r/>
          </w:p>
        </w:tc>
      </w:tr>
      <w:tr>
        <w:trPr>
          <w:cantSplit/>
          <w:trHeight w:val="658"/>
        </w:trPr>
        <w:tc>
          <w:tcPr>
            <w:tcW w:w="165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第二标段</w:t>
            </w:r>
            <w:r/>
          </w:p>
        </w:tc>
        <w:tc>
          <w:tcPr>
            <w:tcW w:w="347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生物多样性站点运维</w:t>
            </w:r>
            <w:r/>
          </w:p>
        </w:tc>
        <w:tc>
          <w:tcPr>
            <w:tcW w:w="231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50</w:t>
            </w:r>
            <w:r/>
          </w:p>
        </w:tc>
        <w:tc>
          <w:tcPr>
            <w:tcW w:w="269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2026年11月2日至2027年11月1日。</w:t>
            </w:r>
            <w:r/>
          </w:p>
        </w:tc>
      </w:tr>
    </w:tbl>
    <w:p>
      <w:pPr>
        <w:jc w:val="left"/>
        <w:spacing w:line="360" w:lineRule="auto"/>
        <w:widowControl/>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二、采购需求：</w:t>
      </w:r>
      <w:r/>
    </w:p>
    <w:p>
      <w:pPr>
        <w:ind w:firstLine="420"/>
        <w:jc w:val="cente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第一标段：污染源在线监控质量管理</w:t>
      </w:r>
      <w:r/>
    </w:p>
    <w:p>
      <w:pPr>
        <w:ind w:firstLine="420"/>
        <w:jc w:val="left"/>
        <w:spacing w:line="360" w:lineRule="auto"/>
        <w:rPr>
          <w:rFonts w:asciiTheme="minorEastAsia" w:hAnsiTheme="minorEastAsia" w:eastAsiaTheme="minorEastAsia" w:cstheme="minorEastAsia"/>
          <w:b/>
          <w:color w:val="auto"/>
          <w:szCs w:val="21"/>
          <w:highlight w:val="none"/>
        </w:rPr>
      </w:pPr>
      <w:r>
        <w:rPr>
          <w:rFonts w:asciiTheme="minorEastAsia" w:hAnsiTheme="minorEastAsia" w:eastAsiaTheme="minorEastAsia" w:cstheme="minorEastAsia"/>
          <w:b/>
          <w:color w:val="auto"/>
          <w:szCs w:val="21"/>
          <w:highlight w:val="none"/>
        </w:rPr>
        <w:t xml:space="preserve">（一）项目概况</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根据《江苏省污染源自动监测监控管理办法》、《2025 年全市生态环境监测方案》，对相城区污染源在线监控点位，包括废水、废气点位、用电监控、视频监控点位开展平台巡查、应急监理、AI非现场技术研判服务、自动监控比对等各项污染源在线监控管理工作，辅助开展污染源在线监测设备运维服务质量等级评价，对污染源在线监控安装和运维质量开展检查和评价。 </w:t>
      </w:r>
      <w:r/>
    </w:p>
    <w:p>
      <w:pPr>
        <w:ind w:left="420"/>
        <w:spacing w:line="360" w:lineRule="auto"/>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t xml:space="preserve">（二）服务内容</w:t>
      </w:r>
      <w:r/>
    </w:p>
    <w:p>
      <w:pPr>
        <w:ind w:firstLine="420"/>
        <w:jc w:val="left"/>
        <w:spacing w:line="360" w:lineRule="auto"/>
        <w:rPr>
          <w:rFonts w:asciiTheme="minorEastAsia" w:hAnsiTheme="minorEastAsia" w:eastAsiaTheme="minorEastAsia" w:cstheme="minorEastAsia"/>
          <w:color w:val="auto"/>
          <w:szCs w:val="21"/>
          <w:highlight w:val="none"/>
        </w:rPr>
      </w:pPr>
      <w:r/>
      <w:bookmarkStart w:id="63" w:name="OLE_LINK21"/>
      <w:r/>
      <w:bookmarkStart w:id="64" w:name="OLE_LINK22"/>
      <w:r>
        <w:rPr>
          <w:rFonts w:hint="eastAsia" w:asciiTheme="minorEastAsia" w:hAnsiTheme="minorEastAsia" w:eastAsiaTheme="minorEastAsia" w:cstheme="minorEastAsia"/>
          <w:color w:val="auto"/>
          <w:szCs w:val="21"/>
          <w:highlight w:val="none"/>
        </w:rPr>
        <w:t xml:space="preserve">(1) 监控平台日常巡查 </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对污染源在线监控平台进行数据监控和分析，对异常数据、问题线索和平台故障应及时梳理研判，排除误报警，保障自动监控设备正常运行</w:t>
      </w:r>
      <w:r>
        <w:rPr>
          <w:rFonts w:hint="eastAsia" w:asciiTheme="minorEastAsia" w:hAnsiTheme="minorEastAsia" w:eastAsiaTheme="minorEastAsia" w:cstheme="minorEastAsia"/>
          <w:color w:val="auto"/>
          <w:szCs w:val="21"/>
          <w:highlight w:val="none"/>
        </w:rPr>
        <w:t xml:space="preserve">率，有效防范企业数据长期中断、缺失问题，同时做好台账记录备查。中标单位须配备至少</w:t>
      </w:r>
      <w:r>
        <w:rPr>
          <w:rFonts w:hint="eastAsia" w:asciiTheme="minorEastAsia" w:hAnsiTheme="minorEastAsia" w:eastAsiaTheme="minorEastAsia" w:cstheme="minorEastAsia"/>
          <w:color w:val="auto"/>
          <w:szCs w:val="21"/>
          <w:highlight w:val="none"/>
        </w:rPr>
        <w:t xml:space="preserve"> 2 名</w:t>
      </w:r>
      <w:r>
        <w:rPr>
          <w:rFonts w:hint="eastAsia" w:asciiTheme="minorEastAsia" w:hAnsiTheme="minorEastAsia" w:eastAsiaTheme="minorEastAsia" w:cstheme="minorEastAsia"/>
          <w:color w:val="auto"/>
          <w:szCs w:val="21"/>
          <w:highlight w:val="none"/>
        </w:rPr>
        <w:t xml:space="preserve">专业技术人员，服务期内全程服务于本项目，确保服务响应的及时性，服从采购人日常工作安排，对采购人负责。 </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(2) 应急监理 </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对国发、省、本地平台污染源异常预警信息（包括废水点位、废气点位、用电监控点位和视频监控点位预警信息）结合企业报送的情况说明以及多渠道验证信息开展初步研判，根据情况填写记录单，并上传至“相城环境大数据平台”进行闭环操作。涉嫌违法行为的应书面报告并配合执法开展工作，包括但不限于开展比对监测、人工采集样品并送实验室分析等，于 24 小时内上报监测数据。开展比对监测的需出具合规检测报告。人工采集样品的需在3个工作日内出具 CMA 检测报告。 </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rPr>
        <w:t xml:space="preserve">AI </w:t>
      </w:r>
      <w:r>
        <w:rPr>
          <w:rFonts w:hint="eastAsia" w:asciiTheme="minorEastAsia" w:hAnsiTheme="minorEastAsia" w:eastAsiaTheme="minorEastAsia" w:cstheme="minorEastAsia"/>
          <w:color w:val="auto"/>
          <w:szCs w:val="21"/>
          <w:highlight w:val="none"/>
        </w:rPr>
        <w:t xml:space="preserve">非现场技术研判服务</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开展常态化非现场技术研判，主动识别潜在环境风险与违法线索。结合相城区内污染特征与监管重点配置定制化数据研判模型（如疑似真实超标排放、数据逻辑异常、氧含量异常等），定时自动巡检或指定企业抽检；对巡检发现的异常特征进行归集，结合企业运维台账、报备记录等信息关联形成完整线索。利用AI技术对收集的线索进行智能化分析并出具分析研判报告，报告内容应包含：分析结果、分析依据、相关法律法规解读及现场检查建议等内容。</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（4）手工比对监测</w:t>
      </w:r>
      <w:bookmarkEnd w:id="63"/>
      <w:r/>
      <w:bookmarkEnd w:id="64"/>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服务期内对2026年水重点排污单位和大气重点排污单位进行自动监控设施手工比对监测，并</w:t>
      </w:r>
      <w:r>
        <w:rPr>
          <w:rFonts w:hint="eastAsia" w:asciiTheme="minorEastAsia" w:hAnsiTheme="minorEastAsia" w:eastAsiaTheme="minorEastAsia" w:cstheme="minorEastAsia"/>
          <w:color w:val="auto"/>
          <w:szCs w:val="21"/>
          <w:highlight w:val="none"/>
        </w:rPr>
        <w:t xml:space="preserve">出具检验检测报告。</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 技术指导 </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对辖区内联网企业进行建设规范性资料检查和审核，包括：安装规范性、联网合规性，调试比对及验收比对材料准确性，验收备案资料完整性等。对不符合项提出整改建议并指导企业整改。辅助采购人做好技术指导，协助指导执法人员对在线仪进行操作，为重点企业抽查、信访检查等涉及自动监测监控的执法活动做好监理保障工作。</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（6）辅助运维质量评价 </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对相城区内社会化运维单位运维质量进行科学评估，开展运维质量分析。服务期内，对检查过的污染源开展社会化运维机构总结评价，发现社会化运维单位不规范运维、弄虚作假等行为的及时报告采购方。 </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（7）闭环管理 </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归纳汇总日常巡查、应急监理及技术帮扶中发现的问题并形成检查报告，完成周报、月报、年报并及时上报采购方，对其中影响数据准确性的问题及违法行为，现场报告采购方。</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（8）培训服务 </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服务期内对相城区自动监控设施联网的排污单位开展技术培训，不少于 2 次。</w:t>
      </w:r>
      <w:r/>
    </w:p>
    <w:p>
      <w:pPr>
        <w:ind w:firstLine="420"/>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（三）服务频次</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收到国发、省、本地平台预警信息，于2小时内结合企业报送的情况说明以及多渠道验证信息开展初步非现场研判，必要时配合执法活动开展现场仪器管路线路检查。检查方式包括但不限于质控样比对、人工采样送实验室分析等，于24小时内上报实验室分析结果，3 个工作日内递交监测/检测报告。每月预警处置闭环情况，现场检查情况按月度汇总后形成月度报告报采购人。 </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（2）服务期内对2026年水重点排污单位和大气重点排污单位进行自动监控设施手工比对监测，并出具检验检测报告。</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服务期内每月至少完成2次覆盖当年度重点排污单位及排污许可重点管理企业的非现场技术研判，每季度至少完成1次覆盖一般企业的非现场技术研判，研判结果汇总后形成报告上报采购人。并根据采购人需要，配合执法活动开展现场核查等工作。</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（4）服务期内对相城区自动监控设施联网的排污单位开展技术培训，不少于 2 次。</w:t>
      </w:r>
      <w:r/>
    </w:p>
    <w:p>
      <w:pPr>
        <w:ind w:firstLine="420"/>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（四）服务要求</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1．本项目的特定要求：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本项目服务期内，投标单位应保证在相城区无污染源相关仪器设备的运维业务；且与相城区内从事污染源在线监控企业端运维服务的单位不得有密切业务关系，提供承诺函（格式自拟）。</w:t>
      </w:r>
      <w:r>
        <w:rPr>
          <w:rFonts w:hint="eastAsia" w:ascii="宋体" w:hAnsi="宋体" w:cs="宋体"/>
          <w:b/>
          <w:color w:val="auto"/>
          <w:szCs w:val="21"/>
          <w:highlight w:val="none"/>
        </w:rPr>
        <w:t xml:space="preserve">未提供的视为无效投标， 虚假承诺的将追究中标单位相应责任</w:t>
      </w:r>
      <w:r>
        <w:rPr>
          <w:rFonts w:hint="eastAsia" w:ascii="宋体" w:hAnsi="宋体" w:cs="宋体"/>
          <w:bCs/>
          <w:color w:val="auto"/>
          <w:szCs w:val="21"/>
          <w:highlight w:val="none"/>
        </w:rPr>
        <w:t xml:space="preserve">，经采购人查实，采购人有权无条件解除合同，由此对采购人造成的损失及影响由中标单位全权负责承担。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2. 监理实施要求</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每次监理任务按实际情况开展监理工作，完成现场核查后现场填写《相城区在线监控第三方监理记录单》，并上传至“相城环境大数据平台”，按月汇总后报采购人。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(1)自动监测监控联网建设规范性和现场状况检查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按国家相关技术规范要求，分别对水、气污染源自动监控设施的排污口信息、自动监控设施基本情况进行规范性检查。按国家相关技术规范要求对水、气污染源自动监控设施的采样点位与监测站房信息、仪器参数设置情况进行检查。排查解决联网排口不全、监测因子上传不全、关键基础信息不准、数采仪不符合标准、验收不规范、备案不及时等问题，督促排污单位通过“环保脸谱”补充自动监测监控设备基本信息、设备与排放口关联信息、排污许可相关信息、验收备案信息、运维台账等关键信息。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(2)自动监测监控运维管理检查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按国家相关技术规范要求，运行状况的检查，对水、气污染源自动监控设施的联网情况、运维情况、台账情况、数据统计情况进行检查。配合对相城区内社会化运维单位运维质量进行评估，规范其工作质量，开展运维质量分析。对社会化运维单位自动监测设备运维不规范、弄虚作假行为发现后及时通报。按季度梳理运维单位存在问题，将自动监测监控运维管理检查情况形成总结评价报告，原则上每家运维单位每年不少于 1 份总结评价报告。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（3）非现场监管问题线索反馈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根据非现场监管问题线索，现场检查后对情况予以反馈，对数据超标、治污设施疑似不正常运行等时效性要求较强的问题线索 4 小时内反馈（开展现场采样的顺延 72 小时），其他问题线索 48 小时内反馈。动态化形成总结报告（原则上每月不少于 1 次）将线索办理、检查情况反馈给采购人。非现场监管问题线索包括污染源废水、废气自动监测监控异常、用电监控异常、视频监控异常等情况。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(4)质控样考核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水污染源自动监控设备的考核采用国家认可的质控样，水污染源自动监控设备的考核采用国家认可的质控样，选用浓度约为现场工作量程上限值 0.5 倍的标准样品进行标样考核。 废气污染源自动监控设备的考核，考核主要包括气态污染物 CEMS 和氧气 CMS 示值误差、系统响应时间等。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(5)现场采样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按照国家和省有关环境标准、技术规范安全开展现场即时采样，取得监测数据。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(6)手工比对监测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水污染源自动监控设备比对试验总数应不少于 3 对，实际水样比对试验相对误差应满足相关技术的要求。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固定污染源自动监控设备的准确度比对监测，颗粒物、流速、烟温、湿度至少取 3 个平均值数据对，气态污染物氧量至少获取 6 个数据对。准确度技术要求满足相关技术要求。 </w:t>
      </w:r>
      <w:r/>
    </w:p>
    <w:p>
      <w:pPr>
        <w:ind w:firstLine="482"/>
        <w:jc w:val="left"/>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服务期内对2026年水重点排污单位和大气重点排污单位进行自动监控设施手工比对监测，</w:t>
      </w:r>
      <w:r>
        <w:rPr>
          <w:rFonts w:hint="eastAsia" w:ascii="宋体" w:hAnsi="宋体" w:cs="宋体"/>
          <w:bCs/>
          <w:color w:val="auto"/>
          <w:szCs w:val="21"/>
          <w:highlight w:val="none"/>
        </w:rPr>
        <w:t xml:space="preserve">并出具检验检测报告。</w:t>
      </w:r>
      <w:r/>
    </w:p>
    <w:p>
      <w:pPr>
        <w:ind w:firstLine="482"/>
        <w:jc w:val="left"/>
        <w:spacing w:line="360" w:lineRule="auto"/>
        <w:tabs>
          <w:tab w:val="left" w:pos="567" w:leader="none"/>
        </w:tabs>
        <w:rPr>
          <w:rFonts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rPr>
        <w:t xml:space="preserve">）执</w:t>
      </w:r>
      <w:r>
        <w:rPr>
          <w:rFonts w:hint="eastAsia" w:ascii="宋体" w:hAnsi="宋体" w:cs="宋体"/>
          <w:b/>
          <w:color w:val="auto"/>
          <w:szCs w:val="21"/>
          <w:highlight w:val="none"/>
        </w:rPr>
        <w:t xml:space="preserve">行标准及技术要求</w:t>
      </w:r>
      <w:r/>
    </w:p>
    <w:p>
      <w:pPr>
        <w:numPr>
          <w:ilvl w:val="0"/>
          <w:numId w:val="4"/>
        </w:numPr>
        <w:ind w:left="0" w:firstLine="480"/>
        <w:jc w:val="left"/>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相关政策规定</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 中共中央办公厅 (厅字[2017]35 号)《关于深化环境监测改革提高环境监测数据质量的意见》的通知；</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(2)《排污许可管理条例》（国务院令 第736号）；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(3)《污染源自动监控管理办法》(环保总局令 第 28 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(4)《关于加强重点排污单位自动监控建设工作的通知》(环办环监[2018]25号)；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(5)《江苏省生态环境监测条例》(公告 第31号)；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(6)《江苏省污染源自动监测监控管理办法》(2022年修订)（苏环发[2022]5号）；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(7)《省生态环境厅关于加快推进生态环境非现场监管的意见》苏环发[2022]1号）；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(8)《省生态环境厅关于加快推进全省生态环境信息化工作的通知》苏环发[2023]121号）；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(9)《省生态环境厅关于进一步做好我省生态环境非现场监管工作的通知》苏环发[2023]221号）；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(10)《江苏省重点排污单位自动监测数据执法应用办法 (试行)的通知》苏环规[2020]2 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(11)《省生态环境厅关于加强全省重点排污单位自动监控数据异常情况督办工作的通知》苏环办 {2019}400号。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(12)苏州市生态环境局《关于加强排污单位自动监控异常数据调度处置工作的通知》；</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如有最新的政策规定要求，则根据采购人要求按规执行。</w:t>
      </w:r>
      <w:r/>
    </w:p>
    <w:p>
      <w:pPr>
        <w:numPr>
          <w:ilvl w:val="0"/>
          <w:numId w:val="4"/>
        </w:numPr>
        <w:ind w:left="0" w:firstLine="480"/>
        <w:jc w:val="left"/>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技术规范</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(1)《固定污染源烟气 (SO2、NOX、颗粒物) 排放连续监测技术规范》(HJ 75-2017)；</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(2)《固定污染源废气  非甲烷总烃连续监测技术规范》(HJ 1286-2023)；</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(3)《水污染源在线监测系统 (CODCr、NH3-N 等)安装、验收、运行、数据有效性判别技术规范》(HJ353、354、355、356－2019)；</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(4)《江苏省排污口设置及规范化整治管理办法》(苏环管 (97) 122 号，1997 年 09 月)；</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(5)《污染源自动监测监控系统数据传输技术要求》（HJ212-2025）；</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(6)《污染源自动监控设施现场监督检查办法》(环境保护部令第 19 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(7)《污染源自动监控设施现场监督检查技术指南》(环办〔2012〕57 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(8)《污染源排放自动监测设备标记规则》；</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(9)《生活垃圾焚烧发电厂自动监测数据应用管理规定》(生态环境部部令 第10号)。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(10)《生活垃圾焚烧发电厂自动监测数据标记规则》(公告2019年 第57 号)。</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如有最新的技术标准要求，则根据采购人要求按规执行。</w:t>
      </w:r>
      <w:r/>
    </w:p>
    <w:p>
      <w:pPr>
        <w:numPr>
          <w:ilvl w:val="0"/>
          <w:numId w:val="4"/>
        </w:numPr>
        <w:ind w:left="0" w:firstLine="480"/>
        <w:jc w:val="left"/>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现场核查人员、仪器、车辆及实验室要求</w:t>
      </w:r>
      <w:r/>
    </w:p>
    <w:p>
      <w:pPr>
        <w:ind w:firstLine="105"/>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本项目要求配置项目负责人1人，技术负责人1人，质量负责人1名，监理人员不少于4人，自动监控平台巡查人员2人，技术人员均应持证上岗。</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现场监测及实验室仪器均需经法定计量部门检定并在有效期内使用，监测仪器使用前应经过校准合格，监测数据严格执行三级审核制度，比对监测相关仪器以及标准物质不少于2套；服务专用车辆不少于2辆；保障质控工作的稳定连续开展，中标单位需自有CMA认证环境实验室。如实验室不满足采购人实际监理、服务响应等项目需求，采购人有权指定相应实验室保障本项目顺利实施，产生的相关费用由中标单位承担，包含在本次报价中。</w:t>
      </w:r>
      <w:r/>
    </w:p>
    <w:p>
      <w:pPr>
        <w:numPr>
          <w:ilvl w:val="0"/>
          <w:numId w:val="4"/>
        </w:numPr>
        <w:ind w:left="0" w:firstLine="480"/>
        <w:jc w:val="left"/>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报告要求</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报告编写规范，报告应写明监测依据及试验仪器 (包括仪器名称、制造商、型号、参数及校准有效期等)， 并说明评价依据、排放限值及试验结论，提供现场监测及实验室仪器检定证书复印件。</w:t>
      </w:r>
      <w:r/>
    </w:p>
    <w:p>
      <w:pPr>
        <w:numPr>
          <w:ilvl w:val="0"/>
          <w:numId w:val="4"/>
        </w:numPr>
        <w:ind w:left="0" w:firstLine="480"/>
        <w:jc w:val="left"/>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异常数据处置</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当现场监测数据出现异常数据，采购人提出质疑，中标单位应进行相关项目测定的复样(重新测定)工作，复样所产生费用含在合同总价内，不再进行追加或变更合同总价。</w:t>
      </w:r>
      <w:r/>
    </w:p>
    <w:p>
      <w:pPr>
        <w:numPr>
          <w:ilvl w:val="0"/>
          <w:numId w:val="4"/>
        </w:numPr>
        <w:ind w:left="0" w:firstLine="480"/>
        <w:jc w:val="left"/>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安全措施要求</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中标单位在项目服务期间应制定项目安全实施管理措施，并严格遵守安全管理要求，中标单位在项目服务过程中因管理不当、维护措施不当等因素或不按安全管理要求，造成人员安全或财产损失事故的，其责任均由中标单位自行承担，采购人不承担责任。</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中标单位应制定针对紧急情况及突发事件的处理方案、安全措施，并成立安全应急领导小组，并配备应急物资与装备保障，保证应急救援行动的迅速实施。</w:t>
      </w:r>
      <w:r/>
    </w:p>
    <w:p>
      <w:pPr>
        <w:ind w:firstLine="482"/>
        <w:jc w:val="left"/>
        <w:spacing w:line="360" w:lineRule="auto"/>
        <w:widowControl/>
        <w:tabs>
          <w:tab w:val="left" w:pos="420" w:leader="none"/>
        </w:tabs>
        <w:rPr>
          <w:rFonts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 </w:t>
      </w:r>
      <w:r>
        <w:rPr>
          <w:rFonts w:hint="eastAsia" w:ascii="宋体" w:hAnsi="宋体" w:cs="宋体"/>
          <w:b/>
          <w:color w:val="auto"/>
          <w:szCs w:val="21"/>
          <w:highlight w:val="none"/>
        </w:rPr>
        <w:t xml:space="preserve">考核办法</w:t>
      </w:r>
      <w:r/>
    </w:p>
    <w:p>
      <w:pPr>
        <w:numPr>
          <w:ilvl w:val="0"/>
          <w:numId w:val="5"/>
        </w:numPr>
        <w:ind w:left="0" w:firstLine="480"/>
        <w:jc w:val="left"/>
        <w:spacing w:line="360" w:lineRule="auto"/>
        <w:tabs>
          <w:tab w:val="left" w:pos="425" w:leader="none"/>
        </w:tabs>
        <w:rPr>
          <w:rFonts w:ascii="宋体" w:hAnsi="宋体" w:cs="宋体"/>
          <w:color w:val="auto"/>
          <w:szCs w:val="21"/>
          <w:highlight w:val="none"/>
        </w:rPr>
      </w:pPr>
      <w:r>
        <w:rPr>
          <w:rFonts w:hint="eastAsia" w:ascii="宋体" w:hAnsi="宋体" w:cs="宋体"/>
          <w:color w:val="auto"/>
          <w:szCs w:val="21"/>
          <w:highlight w:val="none"/>
        </w:rPr>
        <w:t xml:space="preserve">考核内容</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(1)频次考核</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污染源自动监测监控监理业务按照月度进行考核，应急监理一旦收到短信督办及重点企业平台数据超标等异常报警，第一时间赶往现场采样以及核查，并上传至“环境大数据平台”，自接到报警起24小时内上报数据；对重点监管企业每月至少完成2次全覆盖研判报告，对一般企业每季度至少完成1次研判报告；配合生态环境执法部门开展不定期重点企业抽查、突击检查、专项检查等工作。</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(2)实施方案及记录</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要求有完整的实施方案、计划和台账记录。</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完成《相城区在线监控第三方监理记录单》、《废气污染源自动监控设施现场核查表》、《废水污染源自动监控设施现场核查表》、《现场采样表单》、《周汇总报告》《月度汇总报告》等各项报告工作，并建立监理管理档案。</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2.考核计分</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(1)工作评价：收到短信督办、</w:t>
      </w:r>
      <w:r>
        <w:rPr>
          <w:rFonts w:hint="eastAsia" w:ascii="宋体" w:hAnsi="宋体" w:cs="宋体"/>
          <w:color w:val="auto"/>
          <w:szCs w:val="21"/>
          <w:highlight w:val="none"/>
        </w:rPr>
        <w:t xml:space="preserve">自动监测监控平台超标预警和其他现场检查任务时，及时响应开展工作，处置不及时一次扣0.5分。非现场技术研判未按频次要求（重点企业每月 2 次，一般企业每季度 1 次）覆盖，漏查一家重点企业扣 3 分，漏查一家一般企业扣 1 分。及时规范使用智慧平台进行预警任务处置，按要求上传现场检查和采样结果，上传任务反馈超过规定时间1个工作日扣0.5分，超时多日则累计扣分。配合生态环境部门开展不定期排污单位抽查检查任务时，未按要求配合发现一次扣10分。监理单位工作人员不满足工作要求，发现1次，扣5分。总计20分，扣完为止。</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资料管理：应急监测监理3个工作日内提交CMA报告及监理材料，监理月报在每月10日前报送提交，报送不及时发现一次扣1分。监理材料台账和信息收集资料检查发现出现错误或与实际不符合的，发现一项扣0.5分。监理材料台账和信息收集资料弄虚作假影响公正或造成严重后果的，查实一次，直接中止合同。总计30分，扣完为止。</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质控管理：不定期开展实验室和现场检查，发现违反相关技术规范要求或数据严重偏离，发现一次扣1分。质控标样考核或实验室考核不合格，发现一次扣2分。其他质控管理问题，发现一次扣1分。严重质控问题影响公正，查实一次直接中止合同。总计30分，扣完为止。</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其他情况：配合开展各类自动监测监控管理、检查等工作，检查发现问题一次扣3分。企业投诉服务质量，查实一次，扣10分；情节恶劣直接中止合同。擅自提供监理数据，发现一次，扣10分。总计20分，扣完为止。</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(5)加分项</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①发现并提供企业自动监测监控违法线索或建议被生态环境部门采纳，用于对企业实施立案查处的，一次加5分。</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②</w:t>
      </w:r>
      <w:r>
        <w:rPr>
          <w:rFonts w:hint="eastAsia" w:ascii="宋体" w:hAnsi="宋体" w:cs="宋体"/>
          <w:color w:val="auto"/>
          <w:szCs w:val="21"/>
          <w:highlight w:val="none"/>
        </w:rPr>
        <w:t xml:space="preserve">非现场技术研判线索经</w:t>
      </w:r>
      <w:r>
        <w:rPr>
          <w:rFonts w:hint="eastAsia" w:ascii="宋体" w:hAnsi="宋体" w:cs="宋体"/>
          <w:color w:val="auto"/>
          <w:szCs w:val="21"/>
          <w:highlight w:val="none"/>
        </w:rPr>
        <w:t xml:space="preserve">生态环境部门</w:t>
      </w:r>
      <w:r>
        <w:rPr>
          <w:rFonts w:hint="eastAsia" w:ascii="宋体" w:hAnsi="宋体" w:cs="宋体"/>
          <w:color w:val="auto"/>
          <w:szCs w:val="21"/>
          <w:highlight w:val="none"/>
        </w:rPr>
        <w:t xml:space="preserve">核实确认属实的，每条有效线索加 5 分。</w:t>
      </w:r>
      <w:r/>
    </w:p>
    <w:p>
      <w:pPr>
        <w:ind w:firstLine="480"/>
        <w:jc w:val="left"/>
        <w:spacing w:line="360" w:lineRule="auto"/>
        <w:tabs>
          <w:tab w:val="left" w:pos="2870" w:leader="none"/>
        </w:tabs>
        <w:rPr>
          <w:rFonts w:ascii="宋体" w:hAnsi="宋体" w:cs="宋体"/>
          <w:color w:val="auto"/>
          <w:szCs w:val="21"/>
          <w:highlight w:val="none"/>
        </w:rPr>
      </w:pPr>
      <w:r>
        <w:rPr>
          <w:rFonts w:ascii="宋体" w:hAnsi="宋体" w:cs="宋体"/>
          <w:color w:val="auto"/>
          <w:szCs w:val="21"/>
          <w:highlight w:val="none"/>
        </w:rPr>
      </w:r>
      <w:r/>
    </w:p>
    <w:p>
      <w:pPr>
        <w:ind w:firstLine="482"/>
        <w:jc w:val="center"/>
        <w:rPr>
          <w:rFonts w:ascii="宋体" w:hAnsi="宋体" w:cs="宋体"/>
          <w:color w:val="auto"/>
          <w:szCs w:val="21"/>
          <w:highlight w:val="none"/>
        </w:rPr>
      </w:pPr>
      <w:r>
        <w:rPr>
          <w:rFonts w:hint="eastAsia" w:ascii="宋体" w:hAnsi="宋体" w:cs="宋体"/>
          <w:b/>
          <w:bCs/>
          <w:color w:val="auto"/>
          <w:szCs w:val="21"/>
          <w:highlight w:val="none"/>
        </w:rPr>
        <w:t xml:space="preserve">苏州市相城区污染源自动监测监控监理业务月度考核办法</w:t>
      </w:r>
      <w:r/>
    </w:p>
    <w:tbl>
      <w:tblPr>
        <w:tblStyle w:val="849"/>
        <w:tblW w:w="10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6237"/>
        <w:gridCol w:w="1134"/>
        <w:gridCol w:w="1276"/>
        <w:gridCol w:w="1276"/>
      </w:tblGrid>
      <w:tr>
        <w:trPr>
          <w:trHeight w:val="433"/>
        </w:trPr>
        <w:tc>
          <w:tcPr>
            <w:shd w:val="pct10" w:color="auto" w:fill="auto"/>
            <w:tcW w:w="675" w:type="dxa"/>
            <w:vAlign w:val="center"/>
            <w:textDirection w:val="lrTb"/>
            <w:noWrap w:val="false"/>
          </w:tcPr>
          <w:p>
            <w:pPr>
              <w:jc w:val="center"/>
              <w:spacing w:line="24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考核内容</w:t>
            </w:r>
            <w:r/>
          </w:p>
        </w:tc>
        <w:tc>
          <w:tcPr>
            <w:shd w:val="pct10" w:color="auto" w:fill="auto"/>
            <w:tcW w:w="6237" w:type="dxa"/>
            <w:vAlign w:val="center"/>
            <w:textDirection w:val="lrTb"/>
            <w:noWrap w:val="false"/>
          </w:tcPr>
          <w:p>
            <w:pPr>
              <w:ind w:firstLine="482"/>
              <w:jc w:val="center"/>
              <w:spacing w:line="24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评分要求</w:t>
            </w:r>
            <w:r/>
          </w:p>
        </w:tc>
        <w:tc>
          <w:tcPr>
            <w:shd w:val="pct10" w:color="auto" w:fill="auto"/>
            <w:tcW w:w="1134" w:type="dxa"/>
            <w:vAlign w:val="center"/>
            <w:textDirection w:val="lrTb"/>
            <w:noWrap w:val="false"/>
          </w:tcPr>
          <w:p>
            <w:pPr>
              <w:jc w:val="center"/>
              <w:spacing w:line="24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c>
          <w:tcPr>
            <w:shd w:val="pct10" w:color="auto" w:fill="auto"/>
            <w:tcW w:w="1276" w:type="dxa"/>
            <w:vAlign w:val="center"/>
            <w:textDirection w:val="lrTb"/>
            <w:noWrap w:val="false"/>
          </w:tcPr>
          <w:p>
            <w:pPr>
              <w:ind w:firstLine="422"/>
              <w:spacing w:line="24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得分</w:t>
            </w:r>
            <w:r/>
          </w:p>
        </w:tc>
        <w:tc>
          <w:tcPr>
            <w:shd w:val="pct10" w:color="auto" w:fill="auto"/>
            <w:tcW w:w="1276" w:type="dxa"/>
            <w:vAlign w:val="center"/>
            <w:textDirection w:val="lrTb"/>
            <w:noWrap w:val="false"/>
          </w:tcPr>
          <w:p>
            <w:pPr>
              <w:ind w:firstLine="211"/>
              <w:spacing w:line="24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trHeight w:val="433"/>
        </w:trPr>
        <w:tc>
          <w:tcPr>
            <w:tcW w:w="675" w:type="dxa"/>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工作评价</w:t>
            </w:r>
            <w:r/>
          </w:p>
        </w:tc>
        <w:tc>
          <w:tcPr>
            <w:tcW w:w="6237" w:type="dxa"/>
            <w:vAlign w:val="center"/>
            <w:textDirection w:val="lrTb"/>
            <w:noWrap w:val="false"/>
          </w:tcPr>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1.收到短信督办、自动监测监控平台超标预警和其他现场检查任务时，及时响应开展工作，处置不及时一次扣0.5分。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2.非现场技术研判未按频次要求（重点企业每月 2 份研判报告，一般企业每季度 1 份研判报告）覆盖，漏查一家重点企业扣 3 分，漏查一家一般企业扣 1 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3.及时规范使用智慧平台进行预警任务处置，按要求上传现场检查和采样结果，上传任务反馈超过规定时间1个工作日扣0.5分，超时多日则累计扣分。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4.配合生态环境部门开展不定期排污单位抽查检查任务时，未按要求配合发现一次扣10分。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5.监理单位工作人员不满足工作要求，发现1次，扣5分。</w:t>
            </w:r>
            <w:r/>
          </w:p>
        </w:tc>
        <w:tc>
          <w:tcPr>
            <w:tcW w:w="1134" w:type="dxa"/>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r>
      <w:tr>
        <w:trPr>
          <w:trHeight w:val="994"/>
        </w:trPr>
        <w:tc>
          <w:tcPr>
            <w:tcW w:w="675" w:type="dxa"/>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资料管理</w:t>
            </w:r>
            <w:r/>
          </w:p>
        </w:tc>
        <w:tc>
          <w:tcPr>
            <w:tcW w:w="6237" w:type="dxa"/>
            <w:vAlign w:val="center"/>
            <w:textDirection w:val="lrTb"/>
            <w:noWrap w:val="false"/>
          </w:tcPr>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6.应急监测监理3个工作日内提交CMA报告和监理材料，监理月报在每月10日前报送提交，报送不及时发现一次扣1分。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7.监理材料台账和信息收集资料检查发现出现错误或与实际不符合的，发现一项扣0.5分。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8.监理材料台账和信息收集资料弄虚作假影响公正或造成严重后果的，查实一次，直接中止合同。</w:t>
            </w:r>
            <w:r/>
          </w:p>
        </w:tc>
        <w:tc>
          <w:tcPr>
            <w:tcW w:w="1134" w:type="dxa"/>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30</w:t>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r>
      <w:tr>
        <w:trPr>
          <w:trHeight w:val="1298"/>
        </w:trPr>
        <w:tc>
          <w:tcPr>
            <w:tcW w:w="675" w:type="dxa"/>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质控管理</w:t>
            </w:r>
            <w:r/>
          </w:p>
        </w:tc>
        <w:tc>
          <w:tcPr>
            <w:tcW w:w="6237" w:type="dxa"/>
            <w:vAlign w:val="center"/>
            <w:textDirection w:val="lrTb"/>
            <w:noWrap w:val="false"/>
          </w:tcPr>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9.不定期开展实验室和现场检查，发现违反相关技术规范要求或数据严重偏离，发现一次扣1分。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10.质控标样考核或实验室考核不合格，发现一次扣2分。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11.其他质控管理问题，发现一次扣1分。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12.严重质控问题影响公正，查实一次，直接中止合同。</w:t>
            </w:r>
            <w:r/>
          </w:p>
        </w:tc>
        <w:tc>
          <w:tcPr>
            <w:tcW w:w="1134" w:type="dxa"/>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30</w:t>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r>
      <w:tr>
        <w:trPr>
          <w:trHeight w:val="1298"/>
        </w:trPr>
        <w:tc>
          <w:tcPr>
            <w:tcW w:w="675" w:type="dxa"/>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其他情况</w:t>
            </w:r>
            <w:r/>
          </w:p>
        </w:tc>
        <w:tc>
          <w:tcPr>
            <w:tcW w:w="6237" w:type="dxa"/>
            <w:vAlign w:val="center"/>
            <w:textDirection w:val="lrTb"/>
            <w:noWrap w:val="false"/>
          </w:tcPr>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13.配合开展各类自动监测监控管理、检查等工作，检查发现问题一次扣3分。</w:t>
            </w:r>
            <w:r/>
          </w:p>
          <w:p>
            <w:pPr>
              <w:jc w:val="left"/>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14.企业投诉服务质量，查实一次，扣10分；情节恶劣直接中止合同。</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15.擅自提供监理数据，发现一次，扣10分。</w:t>
            </w:r>
            <w:r/>
          </w:p>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c>
          <w:tcPr>
            <w:tcW w:w="1134" w:type="dxa"/>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r>
      <w:tr>
        <w:trPr>
          <w:trHeight w:val="1298"/>
        </w:trPr>
        <w:tc>
          <w:tcPr>
            <w:tcW w:w="675" w:type="dxa"/>
            <w:vAlign w:val="center"/>
            <w:textDirection w:val="lrTb"/>
            <w:noWrap w:val="false"/>
          </w:tcPr>
          <w:p>
            <w:pPr>
              <w:spacing w:line="240" w:lineRule="atLeas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加分项</w:t>
            </w:r>
            <w:r/>
          </w:p>
        </w:tc>
        <w:tc>
          <w:tcPr>
            <w:tcW w:w="6237" w:type="dxa"/>
            <w:vAlign w:val="center"/>
            <w:textDirection w:val="lrTb"/>
            <w:noWrap w:val="false"/>
          </w:tcPr>
          <w:p>
            <w:pPr>
              <w:numPr>
                <w:ilvl w:val="0"/>
                <w:numId w:val="6"/>
              </w:numPr>
              <w:jc w:val="left"/>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①发现并提供企业自动监测监控违法线索或建议被生态环境部门采纳，用于对企业实施立案查处的，一次加5分。</w:t>
            </w:r>
            <w:r/>
          </w:p>
          <w:p>
            <w:pPr>
              <w:ind w:firstLine="420"/>
              <w:jc w:val="left"/>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②非现场技术研判线索</w:t>
            </w:r>
            <w:r>
              <w:rPr>
                <w:rFonts w:hint="eastAsia" w:ascii="宋体" w:hAnsi="宋体" w:cs="宋体"/>
                <w:color w:val="auto"/>
                <w:szCs w:val="21"/>
                <w:highlight w:val="none"/>
              </w:rPr>
              <w:t xml:space="preserve">经生态环境部门</w:t>
            </w:r>
            <w:r>
              <w:rPr>
                <w:rFonts w:hint="eastAsia" w:ascii="宋体" w:hAnsi="宋体" w:cs="宋体"/>
                <w:color w:val="auto"/>
                <w:szCs w:val="21"/>
                <w:highlight w:val="none"/>
              </w:rPr>
              <w:t xml:space="preserve">核实确认属实的，每条有效线索加 5 分。</w:t>
            </w:r>
            <w:r/>
          </w:p>
        </w:tc>
        <w:tc>
          <w:tcPr>
            <w:tcW w:w="1134" w:type="dxa"/>
            <w:vAlign w:val="center"/>
            <w:textDirection w:val="lrTb"/>
            <w:noWrap w:val="false"/>
          </w:tcPr>
          <w:p>
            <w:pPr>
              <w:jc w:val="cente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r>
    </w:tbl>
    <w:p>
      <w:pPr>
        <w:numPr>
          <w:ilvl w:val="0"/>
          <w:numId w:val="5"/>
        </w:numPr>
        <w:ind w:left="0" w:firstLine="480"/>
        <w:jc w:val="left"/>
        <w:spacing w:line="360" w:lineRule="auto"/>
        <w:tabs>
          <w:tab w:val="left" w:pos="425" w:leader="none"/>
        </w:tabs>
        <w:rPr>
          <w:rFonts w:ascii="宋体" w:hAnsi="宋体" w:cs="宋体"/>
          <w:color w:val="auto"/>
          <w:szCs w:val="21"/>
          <w:highlight w:val="none"/>
        </w:rPr>
      </w:pPr>
      <w:r>
        <w:rPr>
          <w:rFonts w:hint="eastAsia" w:ascii="宋体" w:hAnsi="宋体" w:cs="宋体"/>
          <w:color w:val="auto"/>
          <w:szCs w:val="21"/>
          <w:highlight w:val="none"/>
        </w:rPr>
        <w:t xml:space="preserve">惩罚办法</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 一旦发现篡改伪造数据，采购人有权终止合同，并按已支付费用要求中标单位进行双倍经济赔偿，按照环保部 《环境监测数据弄虚作假行为判定及处理办法》(环发[2015]175 号) 文件进行处理。</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 合同履行期间，若被第三方举报有严重数据质量问题，一经核实，采购人有权终止合同，并要求中标单位进行经济赔偿。</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 未经许可，对外泄露监测信息的，采购人有权终止合同，并要求中标单位进行经济赔偿。</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 合同履行期间，若中标单位出现违反廉政规定的情形，一经核实，采购人有权终止合同，情节严重的，移交司法部门处理。</w:t>
      </w:r>
      <w:r/>
    </w:p>
    <w:p>
      <w:pPr>
        <w:numPr>
          <w:ilvl w:val="0"/>
          <w:numId w:val="5"/>
        </w:numPr>
        <w:ind w:left="0" w:firstLine="480"/>
        <w:jc w:val="left"/>
        <w:spacing w:line="360" w:lineRule="auto"/>
        <w:tabs>
          <w:tab w:val="left" w:pos="425" w:leader="none"/>
        </w:tabs>
        <w:rPr>
          <w:rFonts w:ascii="宋体" w:hAnsi="宋体" w:cs="宋体"/>
          <w:color w:val="auto"/>
          <w:szCs w:val="21"/>
          <w:highlight w:val="none"/>
        </w:rPr>
      </w:pPr>
      <w:r>
        <w:rPr>
          <w:rFonts w:hint="eastAsia" w:ascii="宋体" w:hAnsi="宋体" w:cs="宋体"/>
          <w:color w:val="auto"/>
          <w:szCs w:val="21"/>
          <w:highlight w:val="none"/>
        </w:rPr>
        <w:t xml:space="preserve">考核结果应用</w:t>
      </w:r>
      <w:r/>
    </w:p>
    <w:p>
      <w:pPr>
        <w:ind w:firstLine="480"/>
        <w:jc w:val="left"/>
        <w:spacing w:line="360" w:lineRule="auto"/>
        <w:tabs>
          <w:tab w:val="left" w:pos="2870" w:leader="none"/>
        </w:tabs>
        <w:rPr>
          <w:rFonts w:ascii="宋体" w:hAnsi="宋体" w:cs="宋体"/>
          <w:bCs/>
          <w:color w:val="auto"/>
          <w:szCs w:val="21"/>
          <w:highlight w:val="none"/>
        </w:rPr>
      </w:pPr>
      <w:r>
        <w:rPr>
          <w:rFonts w:hint="eastAsia" w:ascii="宋体" w:hAnsi="宋体" w:cs="宋体"/>
          <w:bCs/>
          <w:color w:val="auto"/>
          <w:szCs w:val="21"/>
          <w:highlight w:val="none"/>
        </w:rPr>
        <w:t xml:space="preserve">采购人每月对中标单位实施考核，记录考核分数，并根据考核分数对应下列</w:t>
      </w:r>
      <w:r>
        <w:rPr>
          <w:rFonts w:hint="eastAsia" w:ascii="宋体" w:hAnsi="宋体" w:cs="宋体"/>
          <w:bCs/>
          <w:color w:val="auto"/>
          <w:szCs w:val="21"/>
          <w:highlight w:val="none"/>
          <w:lang w:val="en-US" w:eastAsia="zh-CN"/>
        </w:rPr>
        <w:t xml:space="preserve">扣款</w:t>
      </w:r>
      <w:r>
        <w:rPr>
          <w:rFonts w:hint="eastAsia" w:ascii="宋体" w:hAnsi="宋体" w:cs="宋体"/>
          <w:bCs/>
          <w:color w:val="auto"/>
          <w:szCs w:val="21"/>
          <w:highlight w:val="none"/>
        </w:rPr>
        <w:t xml:space="preserve">标准，如产生考核扣款，于项目整体验收合格后，在最后一笔合同金额支付时予以扣除。</w:t>
      </w:r>
      <w:r/>
    </w:p>
    <w:p>
      <w:pPr>
        <w:ind w:firstLine="480"/>
        <w:jc w:val="center"/>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考核扣款标准</w:t>
      </w:r>
      <w:r/>
    </w:p>
    <w:tbl>
      <w:tblPr>
        <w:tblStyle w:val="849"/>
        <w:tblW w:w="90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4"/>
        <w:gridCol w:w="1655"/>
        <w:gridCol w:w="5117"/>
      </w:tblGrid>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月考核分数</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评价等级</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bCs/>
                <w:color w:val="auto"/>
                <w:szCs w:val="21"/>
                <w:highlight w:val="none"/>
                <w:lang w:val="en-US" w:eastAsia="zh-CN"/>
              </w:rPr>
              <w:t xml:space="preserve">扣款</w:t>
            </w:r>
            <w:r>
              <w:rPr>
                <w:rFonts w:hint="eastAsia" w:ascii="宋体" w:hAnsi="宋体" w:cs="宋体"/>
                <w:color w:val="auto"/>
                <w:szCs w:val="21"/>
                <w:highlight w:val="none"/>
              </w:rPr>
              <w:t xml:space="preserve">标准</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≥90</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优秀</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0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80～89</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良好</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70～79</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20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＜70</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严重不合格</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采购人有权无条件解除合同，由中标单位承担由此对采购人造成的损失。</w:t>
            </w:r>
            <w:r/>
          </w:p>
        </w:tc>
      </w:tr>
    </w:tbl>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注：当月服务费用=合同总金额÷12</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b/>
          <w:color w:val="auto"/>
          <w:szCs w:val="21"/>
          <w:highlight w:val="none"/>
        </w:rPr>
        <w:t xml:space="preserve">安全责任</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中标单位应对项目组成员做好安全培训，在项目实施过程中应注意人员和财产安全，如造成相关人员安全和财产损失问题的，一律由中标单位全权承担负责，采购单位不承担任何责任。</w:t>
      </w:r>
      <w:r/>
    </w:p>
    <w:p>
      <w:pPr>
        <w:ind w:firstLine="420"/>
        <w:jc w:val="center"/>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第二标段：生物多样性站点运维 </w:t>
      </w:r>
      <w:r/>
    </w:p>
    <w:p>
      <w:pPr>
        <w:jc w:val="left"/>
        <w:spacing w:line="360" w:lineRule="auto"/>
        <w:rPr>
          <w:b/>
          <w:color w:val="auto"/>
          <w:sz w:val="24"/>
          <w:szCs w:val="24"/>
          <w:highlight w:val="none"/>
        </w:rPr>
        <w:outlineLvl w:val="0"/>
      </w:pPr>
      <w:r>
        <w:rPr>
          <w:b/>
          <w:color w:val="auto"/>
          <w:sz w:val="24"/>
          <w:szCs w:val="24"/>
          <w:highlight w:val="none"/>
        </w:rPr>
        <w:t xml:space="preserve">一、运维服务范围</w:t>
      </w:r>
      <w:r/>
    </w:p>
    <w:p>
      <w:pPr>
        <w:jc w:val="left"/>
        <w:spacing w:line="360" w:lineRule="auto"/>
        <w:rPr>
          <w:b/>
          <w:color w:val="auto"/>
          <w:spacing w:val="6"/>
          <w:sz w:val="24"/>
          <w:szCs w:val="24"/>
          <w:highlight w:val="none"/>
        </w:rPr>
        <w:outlineLvl w:val="1"/>
      </w:pPr>
      <w:r>
        <w:rPr>
          <w:b/>
          <w:color w:val="auto"/>
          <w:sz w:val="24"/>
          <w:szCs w:val="24"/>
          <w:highlight w:val="none"/>
        </w:rPr>
        <w:t xml:space="preserve">1</w:t>
      </w:r>
      <w:r>
        <w:rPr>
          <w:rFonts w:hint="eastAsia"/>
          <w:b/>
          <w:color w:val="auto"/>
          <w:sz w:val="24"/>
          <w:szCs w:val="24"/>
          <w:highlight w:val="none"/>
        </w:rPr>
        <w:t xml:space="preserve">）</w:t>
      </w:r>
      <w:r>
        <w:rPr>
          <w:rFonts w:hint="eastAsia"/>
          <w:b/>
          <w:color w:val="auto"/>
          <w:spacing w:val="6"/>
          <w:sz w:val="24"/>
          <w:szCs w:val="24"/>
          <w:highlight w:val="none"/>
        </w:rPr>
        <w:t xml:space="preserve">现有观测设施</w:t>
      </w:r>
      <w:r/>
    </w:p>
    <w:p>
      <w:pPr>
        <w:ind w:left="20" w:right="13" w:firstLine="464"/>
        <w:spacing w:line="360" w:lineRule="auto"/>
        <w:rPr>
          <w:color w:val="auto"/>
          <w:sz w:val="24"/>
          <w:szCs w:val="24"/>
          <w:highlight w:val="none"/>
        </w:rPr>
      </w:pPr>
      <w:r>
        <w:rPr>
          <w:color w:val="auto"/>
          <w:spacing w:val="-4"/>
          <w:sz w:val="24"/>
          <w:szCs w:val="24"/>
          <w:highlight w:val="none"/>
        </w:rPr>
        <w:t xml:space="preserve">结合生态空间管控区域分布，目前</w:t>
      </w:r>
      <w:r>
        <w:rPr>
          <w:rFonts w:hint="eastAsia"/>
          <w:color w:val="auto"/>
          <w:spacing w:val="-4"/>
          <w:sz w:val="24"/>
          <w:szCs w:val="24"/>
          <w:highlight w:val="none"/>
        </w:rPr>
        <w:t xml:space="preserve">在虎丘湿地公园建设生物多样性观测站点，</w:t>
      </w:r>
      <w:r>
        <w:rPr>
          <w:rFonts w:hint="eastAsia"/>
          <w:color w:val="auto"/>
          <w:spacing w:val="-4"/>
          <w:sz w:val="24"/>
          <w:szCs w:val="24"/>
          <w:highlight w:val="none"/>
          <w:lang w:val="en-US" w:eastAsia="zh-CN"/>
        </w:rPr>
        <w:t xml:space="preserve">在</w:t>
      </w:r>
      <w:r>
        <w:rPr>
          <w:color w:val="auto"/>
          <w:spacing w:val="-4"/>
          <w:sz w:val="24"/>
          <w:szCs w:val="24"/>
          <w:highlight w:val="none"/>
        </w:rPr>
        <w:t xml:space="preserve">阳澄湖湿地、虎丘湿</w:t>
      </w:r>
      <w:r>
        <w:rPr>
          <w:color w:val="auto"/>
          <w:spacing w:val="-5"/>
          <w:sz w:val="24"/>
          <w:szCs w:val="24"/>
          <w:highlight w:val="none"/>
        </w:rPr>
        <w:t xml:space="preserve">地公</w:t>
      </w:r>
      <w:r>
        <w:rPr>
          <w:color w:val="auto"/>
          <w:spacing w:val="-4"/>
          <w:sz w:val="24"/>
          <w:szCs w:val="24"/>
          <w:highlight w:val="none"/>
        </w:rPr>
        <w:t xml:space="preserve">园、漕湖湿地等生物多样性热点区域布设5台鸟类高</w:t>
      </w:r>
      <w:r>
        <w:rPr>
          <w:color w:val="auto"/>
          <w:spacing w:val="-5"/>
          <w:sz w:val="24"/>
          <w:szCs w:val="24"/>
          <w:highlight w:val="none"/>
        </w:rPr>
        <w:t xml:space="preserve">清鹰眼、2台红</w:t>
      </w:r>
      <w:r>
        <w:rPr>
          <w:color w:val="auto"/>
          <w:spacing w:val="3"/>
          <w:sz w:val="24"/>
          <w:szCs w:val="24"/>
          <w:highlight w:val="none"/>
        </w:rPr>
        <w:t xml:space="preserve">外观测相机和1台水下摄像头，实现了相城区生物多样性多类群的</w:t>
      </w:r>
      <w:r>
        <w:rPr>
          <w:color w:val="auto"/>
          <w:sz w:val="24"/>
          <w:szCs w:val="24"/>
          <w:highlight w:val="none"/>
        </w:rPr>
        <w:t xml:space="preserve">Al</w:t>
      </w:r>
      <w:r>
        <w:rPr>
          <w:color w:val="auto"/>
          <w:spacing w:val="4"/>
          <w:sz w:val="24"/>
          <w:szCs w:val="24"/>
          <w:highlight w:val="none"/>
        </w:rPr>
        <w:t xml:space="preserve">智能监测监控。生物多样性大数据智慧服务平台集成相城</w:t>
      </w:r>
      <w:r>
        <w:rPr>
          <w:color w:val="auto"/>
          <w:spacing w:val="3"/>
          <w:sz w:val="24"/>
          <w:szCs w:val="24"/>
          <w:highlight w:val="none"/>
        </w:rPr>
        <w:t xml:space="preserve">区生物</w:t>
      </w:r>
      <w:r>
        <w:rPr>
          <w:color w:val="auto"/>
          <w:spacing w:val="-3"/>
          <w:sz w:val="24"/>
          <w:szCs w:val="24"/>
          <w:highlight w:val="none"/>
        </w:rPr>
        <w:t xml:space="preserve">多样性本底调查基础数据及在线实时监测数据，构建</w:t>
      </w:r>
      <w:r>
        <w:rPr>
          <w:color w:val="auto"/>
          <w:spacing w:val="-4"/>
          <w:sz w:val="24"/>
          <w:szCs w:val="24"/>
          <w:highlight w:val="none"/>
        </w:rPr>
        <w:t xml:space="preserve">集展示与基础分</w:t>
      </w:r>
      <w:r>
        <w:rPr>
          <w:color w:val="auto"/>
          <w:spacing w:val="-2"/>
          <w:sz w:val="24"/>
          <w:szCs w:val="24"/>
          <w:highlight w:val="none"/>
        </w:rPr>
        <w:t xml:space="preserve">析为一体，形成生物多样性保护</w:t>
      </w:r>
      <w:r>
        <w:rPr>
          <w:rFonts w:ascii="宋体" w:hAnsi="宋体"/>
          <w:color w:val="auto"/>
          <w:spacing w:val="-2"/>
          <w:sz w:val="24"/>
          <w:szCs w:val="24"/>
          <w:highlight w:val="none"/>
        </w:rPr>
        <w:t xml:space="preserve">“</w:t>
      </w:r>
      <w:r>
        <w:rPr>
          <w:color w:val="auto"/>
          <w:spacing w:val="-2"/>
          <w:sz w:val="24"/>
          <w:szCs w:val="24"/>
          <w:highlight w:val="none"/>
        </w:rPr>
        <w:t xml:space="preserve">一张图</w:t>
      </w:r>
      <w:r>
        <w:rPr>
          <w:rFonts w:ascii="宋体" w:hAnsi="宋体"/>
          <w:color w:val="auto"/>
          <w:spacing w:val="-2"/>
          <w:sz w:val="24"/>
          <w:szCs w:val="24"/>
          <w:highlight w:val="none"/>
        </w:rPr>
        <w:t xml:space="preserve">”</w:t>
      </w:r>
      <w:r>
        <w:rPr>
          <w:color w:val="auto"/>
          <w:spacing w:val="-2"/>
          <w:sz w:val="24"/>
          <w:szCs w:val="24"/>
          <w:highlight w:val="none"/>
        </w:rPr>
        <w:t xml:space="preserve">系统并接入</w:t>
      </w:r>
      <w:r>
        <w:rPr>
          <w:rFonts w:hint="eastAsia"/>
          <w:color w:val="auto"/>
          <w:spacing w:val="-2"/>
          <w:sz w:val="24"/>
          <w:szCs w:val="24"/>
          <w:highlight w:val="none"/>
        </w:rPr>
        <w:t xml:space="preserve">相城生态环境局大数据平台</w:t>
      </w:r>
      <w:r>
        <w:rPr>
          <w:color w:val="auto"/>
          <w:spacing w:val="-1"/>
          <w:sz w:val="24"/>
          <w:szCs w:val="24"/>
          <w:highlight w:val="none"/>
        </w:rPr>
        <w:t xml:space="preserve">。</w:t>
      </w:r>
      <w:r/>
    </w:p>
    <w:p>
      <w:pPr>
        <w:jc w:val="left"/>
        <w:spacing w:line="360" w:lineRule="auto"/>
        <w:rPr>
          <w:b/>
          <w:color w:val="auto"/>
          <w:spacing w:val="6"/>
          <w:sz w:val="24"/>
          <w:szCs w:val="24"/>
          <w:highlight w:val="none"/>
        </w:rPr>
        <w:outlineLvl w:val="1"/>
      </w:pPr>
      <w:r>
        <w:rPr>
          <w:rFonts w:hint="eastAsia"/>
          <w:b/>
          <w:color w:val="auto"/>
          <w:sz w:val="24"/>
          <w:szCs w:val="24"/>
          <w:highlight w:val="none"/>
        </w:rPr>
        <w:t xml:space="preserve">2）</w:t>
      </w:r>
      <w:r>
        <w:rPr>
          <w:rFonts w:hint="eastAsia"/>
          <w:b/>
          <w:color w:val="auto"/>
          <w:spacing w:val="6"/>
          <w:sz w:val="24"/>
          <w:szCs w:val="24"/>
          <w:highlight w:val="none"/>
        </w:rPr>
        <w:t xml:space="preserve">现有野外固定观测样线</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目前，针对鸟类、维管束植物和昆虫观测，在盛泽荡湿地公园（昆虫）、虎丘湿地公园（鸟类）和阳澄湖湿地</w:t>
      </w:r>
      <w:r>
        <w:rPr>
          <w:color w:val="auto"/>
          <w:spacing w:val="-4"/>
          <w:sz w:val="24"/>
          <w:szCs w:val="24"/>
          <w:highlight w:val="none"/>
        </w:rPr>
        <w:t xml:space="preserve">公园（维管植物）等区域周边各布设1条固定观测样线。</w:t>
      </w:r>
      <w:r/>
    </w:p>
    <w:p>
      <w:pPr>
        <w:jc w:val="center"/>
        <w:spacing w:line="360" w:lineRule="auto"/>
        <w:rPr>
          <w:b/>
          <w:color w:val="auto"/>
          <w:spacing w:val="6"/>
          <w:szCs w:val="21"/>
          <w:highlight w:val="none"/>
        </w:rPr>
      </w:pPr>
      <w:r>
        <w:rPr>
          <w:b/>
          <w:color w:val="auto"/>
          <w:spacing w:val="6"/>
          <w:szCs w:val="21"/>
          <w:highlight w:val="none"/>
        </w:rPr>
        <w:t xml:space="preserve">表1 相城区生物多样性观测站点野外固定观测样线汇总表</w:t>
      </w:r>
      <w:r/>
    </w:p>
    <w:tbl>
      <w:tblPr>
        <w:tblStyle w:val="8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955"/>
        <w:gridCol w:w="1626"/>
        <w:gridCol w:w="3177"/>
      </w:tblGrid>
      <w:tr>
        <w:trPr>
          <w:jc w:val="center"/>
          <w:trHeight w:val="454"/>
        </w:trPr>
        <w:tc>
          <w:tcPr>
            <w:tcW w:w="705" w:type="dxa"/>
            <w:vAlign w:val="center"/>
            <w:textDirection w:val="lrTb"/>
            <w:noWrap w:val="false"/>
          </w:tcPr>
          <w:p>
            <w:pPr>
              <w:jc w:val="center"/>
              <w:spacing w:line="360" w:lineRule="auto"/>
              <w:rPr>
                <w:color w:val="auto"/>
                <w:szCs w:val="21"/>
                <w:highlight w:val="none"/>
              </w:rPr>
            </w:pPr>
            <w:r>
              <w:rPr>
                <w:color w:val="auto"/>
                <w:szCs w:val="21"/>
                <w:highlight w:val="none"/>
              </w:rPr>
              <w:t xml:space="preserve">序号</w:t>
            </w:r>
            <w:r/>
          </w:p>
        </w:tc>
        <w:tc>
          <w:tcPr>
            <w:tcW w:w="2955" w:type="dxa"/>
            <w:vAlign w:val="center"/>
            <w:textDirection w:val="lrTb"/>
            <w:noWrap w:val="false"/>
          </w:tcPr>
          <w:p>
            <w:pPr>
              <w:jc w:val="center"/>
              <w:spacing w:line="360" w:lineRule="auto"/>
              <w:rPr>
                <w:color w:val="auto"/>
                <w:szCs w:val="21"/>
                <w:highlight w:val="none"/>
              </w:rPr>
            </w:pPr>
            <w:r>
              <w:rPr>
                <w:color w:val="auto"/>
                <w:szCs w:val="21"/>
                <w:highlight w:val="none"/>
              </w:rPr>
              <w:t xml:space="preserve">样线</w:t>
            </w:r>
            <w:r/>
          </w:p>
        </w:tc>
        <w:tc>
          <w:tcPr>
            <w:tcW w:w="1626" w:type="dxa"/>
            <w:vAlign w:val="center"/>
            <w:textDirection w:val="lrTb"/>
            <w:noWrap w:val="false"/>
          </w:tcPr>
          <w:p>
            <w:pPr>
              <w:jc w:val="center"/>
              <w:spacing w:line="360" w:lineRule="auto"/>
              <w:rPr>
                <w:color w:val="auto"/>
                <w:szCs w:val="21"/>
                <w:highlight w:val="none"/>
              </w:rPr>
            </w:pPr>
            <w:r>
              <w:rPr>
                <w:color w:val="auto"/>
                <w:szCs w:val="21"/>
                <w:highlight w:val="none"/>
              </w:rPr>
              <w:t xml:space="preserve">长度</w:t>
            </w:r>
            <w:r/>
          </w:p>
        </w:tc>
        <w:tc>
          <w:tcPr>
            <w:tcW w:w="3177" w:type="dxa"/>
            <w:textDirection w:val="lrTb"/>
            <w:noWrap w:val="false"/>
          </w:tcPr>
          <w:p>
            <w:pPr>
              <w:jc w:val="center"/>
              <w:spacing w:line="360" w:lineRule="auto"/>
              <w:rPr>
                <w:color w:val="auto"/>
                <w:szCs w:val="21"/>
                <w:highlight w:val="none"/>
              </w:rPr>
            </w:pPr>
            <w:r>
              <w:rPr>
                <w:color w:val="auto"/>
                <w:szCs w:val="21"/>
                <w:highlight w:val="none"/>
              </w:rPr>
              <w:t xml:space="preserve">具体位置</w:t>
            </w:r>
            <w:r/>
          </w:p>
        </w:tc>
      </w:tr>
      <w:tr>
        <w:trPr>
          <w:jc w:val="center"/>
          <w:trHeight w:val="454"/>
        </w:trPr>
        <w:tc>
          <w:tcPr>
            <w:tcW w:w="705" w:type="dxa"/>
            <w:vAlign w:val="center"/>
            <w:textDirection w:val="lrTb"/>
            <w:noWrap w:val="false"/>
          </w:tcPr>
          <w:p>
            <w:pPr>
              <w:jc w:val="center"/>
              <w:spacing w:line="360" w:lineRule="auto"/>
              <w:rPr>
                <w:color w:val="auto"/>
                <w:szCs w:val="21"/>
                <w:highlight w:val="none"/>
              </w:rPr>
            </w:pPr>
            <w:r>
              <w:rPr>
                <w:color w:val="auto"/>
                <w:szCs w:val="21"/>
                <w:highlight w:val="none"/>
              </w:rPr>
              <w:t xml:space="preserve">1</w:t>
            </w:r>
            <w:r/>
          </w:p>
        </w:tc>
        <w:tc>
          <w:tcPr>
            <w:tcW w:w="2955" w:type="dxa"/>
            <w:vAlign w:val="center"/>
            <w:textDirection w:val="lrTb"/>
            <w:noWrap w:val="false"/>
          </w:tcPr>
          <w:p>
            <w:pPr>
              <w:jc w:val="center"/>
              <w:spacing w:line="360" w:lineRule="auto"/>
              <w:rPr>
                <w:color w:val="auto"/>
                <w:szCs w:val="21"/>
                <w:highlight w:val="none"/>
              </w:rPr>
            </w:pPr>
            <w:r>
              <w:rPr>
                <w:color w:val="auto"/>
                <w:szCs w:val="21"/>
                <w:highlight w:val="none"/>
              </w:rPr>
              <w:t xml:space="preserve">植物固定观测样线</w:t>
            </w:r>
            <w:r/>
          </w:p>
        </w:tc>
        <w:tc>
          <w:tcPr>
            <w:tcW w:w="1626" w:type="dxa"/>
            <w:vAlign w:val="center"/>
            <w:textDirection w:val="lrTb"/>
            <w:noWrap w:val="false"/>
          </w:tcPr>
          <w:p>
            <w:pPr>
              <w:jc w:val="center"/>
              <w:spacing w:line="360" w:lineRule="auto"/>
              <w:rPr>
                <w:color w:val="auto"/>
                <w:szCs w:val="21"/>
                <w:highlight w:val="none"/>
              </w:rPr>
            </w:pPr>
            <w:r>
              <w:rPr>
                <w:color w:val="auto"/>
                <w:szCs w:val="21"/>
                <w:highlight w:val="none"/>
              </w:rPr>
              <w:t xml:space="preserve">1km</w:t>
            </w:r>
            <w:r/>
          </w:p>
        </w:tc>
        <w:tc>
          <w:tcPr>
            <w:tcW w:w="3177" w:type="dxa"/>
            <w:textDirection w:val="lrTb"/>
            <w:noWrap w:val="false"/>
          </w:tcPr>
          <w:p>
            <w:pPr>
              <w:jc w:val="center"/>
              <w:spacing w:line="360" w:lineRule="auto"/>
              <w:rPr>
                <w:bCs/>
                <w:color w:val="auto"/>
                <w:szCs w:val="21"/>
                <w:highlight w:val="none"/>
              </w:rPr>
            </w:pPr>
            <w:r>
              <w:rPr>
                <w:bCs/>
                <w:color w:val="auto"/>
                <w:szCs w:val="21"/>
                <w:highlight w:val="none"/>
              </w:rPr>
              <w:t xml:space="preserve">阳澄湖湿地公园</w:t>
            </w:r>
            <w:r/>
          </w:p>
        </w:tc>
      </w:tr>
      <w:tr>
        <w:trPr>
          <w:jc w:val="center"/>
          <w:trHeight w:val="454"/>
        </w:trPr>
        <w:tc>
          <w:tcPr>
            <w:tcW w:w="705" w:type="dxa"/>
            <w:vAlign w:val="center"/>
            <w:textDirection w:val="lrTb"/>
            <w:noWrap w:val="false"/>
          </w:tcPr>
          <w:p>
            <w:pPr>
              <w:jc w:val="center"/>
              <w:spacing w:line="360" w:lineRule="auto"/>
              <w:rPr>
                <w:color w:val="auto"/>
                <w:szCs w:val="21"/>
                <w:highlight w:val="none"/>
              </w:rPr>
            </w:pPr>
            <w:r>
              <w:rPr>
                <w:color w:val="auto"/>
                <w:szCs w:val="21"/>
                <w:highlight w:val="none"/>
              </w:rPr>
              <w:t xml:space="preserve">2</w:t>
            </w:r>
            <w:r/>
          </w:p>
        </w:tc>
        <w:tc>
          <w:tcPr>
            <w:tcW w:w="2955" w:type="dxa"/>
            <w:vAlign w:val="center"/>
            <w:textDirection w:val="lrTb"/>
            <w:noWrap w:val="false"/>
          </w:tcPr>
          <w:p>
            <w:pPr>
              <w:jc w:val="center"/>
              <w:spacing w:line="360" w:lineRule="auto"/>
              <w:rPr>
                <w:color w:val="auto"/>
                <w:szCs w:val="21"/>
                <w:highlight w:val="none"/>
              </w:rPr>
            </w:pPr>
            <w:r>
              <w:rPr>
                <w:color w:val="auto"/>
                <w:szCs w:val="21"/>
                <w:highlight w:val="none"/>
              </w:rPr>
              <w:t xml:space="preserve">昆虫固定调查样线</w:t>
            </w:r>
            <w:r/>
          </w:p>
        </w:tc>
        <w:tc>
          <w:tcPr>
            <w:tcW w:w="1626" w:type="dxa"/>
            <w:vAlign w:val="center"/>
            <w:textDirection w:val="lrTb"/>
            <w:noWrap w:val="false"/>
          </w:tcPr>
          <w:p>
            <w:pPr>
              <w:jc w:val="center"/>
              <w:spacing w:line="360" w:lineRule="auto"/>
              <w:rPr>
                <w:color w:val="auto"/>
                <w:szCs w:val="21"/>
                <w:highlight w:val="none"/>
              </w:rPr>
            </w:pPr>
            <w:r>
              <w:rPr>
                <w:color w:val="auto"/>
                <w:szCs w:val="21"/>
                <w:highlight w:val="none"/>
              </w:rPr>
              <w:t xml:space="preserve">0.5km</w:t>
            </w:r>
            <w:r/>
          </w:p>
        </w:tc>
        <w:tc>
          <w:tcPr>
            <w:tcW w:w="3177" w:type="dxa"/>
            <w:textDirection w:val="lrTb"/>
            <w:noWrap w:val="false"/>
          </w:tcPr>
          <w:p>
            <w:pPr>
              <w:jc w:val="center"/>
              <w:spacing w:line="360" w:lineRule="auto"/>
              <w:rPr>
                <w:bCs/>
                <w:color w:val="auto"/>
                <w:szCs w:val="21"/>
                <w:highlight w:val="none"/>
              </w:rPr>
            </w:pPr>
            <w:r>
              <w:rPr>
                <w:bCs/>
                <w:color w:val="auto"/>
                <w:szCs w:val="21"/>
                <w:highlight w:val="none"/>
              </w:rPr>
              <w:t xml:space="preserve">盛泽荡湿地公园</w:t>
            </w:r>
            <w:r/>
          </w:p>
        </w:tc>
      </w:tr>
      <w:tr>
        <w:trPr>
          <w:jc w:val="center"/>
          <w:trHeight w:val="454"/>
        </w:trPr>
        <w:tc>
          <w:tcPr>
            <w:tcW w:w="705" w:type="dxa"/>
            <w:vAlign w:val="center"/>
            <w:textDirection w:val="lrTb"/>
            <w:noWrap w:val="false"/>
          </w:tcPr>
          <w:p>
            <w:pPr>
              <w:jc w:val="center"/>
              <w:spacing w:line="360" w:lineRule="auto"/>
              <w:rPr>
                <w:color w:val="auto"/>
                <w:szCs w:val="21"/>
                <w:highlight w:val="none"/>
              </w:rPr>
            </w:pPr>
            <w:r>
              <w:rPr>
                <w:color w:val="auto"/>
                <w:szCs w:val="21"/>
                <w:highlight w:val="none"/>
              </w:rPr>
              <w:t xml:space="preserve">3</w:t>
            </w:r>
            <w:r/>
          </w:p>
        </w:tc>
        <w:tc>
          <w:tcPr>
            <w:tcW w:w="2955" w:type="dxa"/>
            <w:vAlign w:val="center"/>
            <w:textDirection w:val="lrTb"/>
            <w:noWrap w:val="false"/>
          </w:tcPr>
          <w:p>
            <w:pPr>
              <w:jc w:val="center"/>
              <w:spacing w:line="360" w:lineRule="auto"/>
              <w:rPr>
                <w:color w:val="auto"/>
                <w:szCs w:val="21"/>
                <w:highlight w:val="none"/>
              </w:rPr>
            </w:pPr>
            <w:r>
              <w:rPr>
                <w:color w:val="auto"/>
                <w:szCs w:val="21"/>
                <w:highlight w:val="none"/>
              </w:rPr>
              <w:t xml:space="preserve">鸟类固定调查样线</w:t>
            </w:r>
            <w:r/>
          </w:p>
        </w:tc>
        <w:tc>
          <w:tcPr>
            <w:tcW w:w="1626" w:type="dxa"/>
            <w:vAlign w:val="center"/>
            <w:textDirection w:val="lrTb"/>
            <w:noWrap w:val="false"/>
          </w:tcPr>
          <w:p>
            <w:pPr>
              <w:jc w:val="center"/>
              <w:spacing w:line="360" w:lineRule="auto"/>
              <w:rPr>
                <w:color w:val="auto"/>
                <w:szCs w:val="21"/>
                <w:highlight w:val="none"/>
              </w:rPr>
            </w:pPr>
            <w:r>
              <w:rPr>
                <w:color w:val="auto"/>
                <w:szCs w:val="21"/>
                <w:highlight w:val="none"/>
              </w:rPr>
              <w:t xml:space="preserve">0.5km</w:t>
            </w:r>
            <w:r/>
          </w:p>
        </w:tc>
        <w:tc>
          <w:tcPr>
            <w:tcW w:w="3177" w:type="dxa"/>
            <w:textDirection w:val="lrTb"/>
            <w:noWrap w:val="false"/>
          </w:tcPr>
          <w:p>
            <w:pPr>
              <w:jc w:val="center"/>
              <w:spacing w:line="360" w:lineRule="auto"/>
              <w:rPr>
                <w:bCs/>
                <w:color w:val="auto"/>
                <w:szCs w:val="21"/>
                <w:highlight w:val="none"/>
              </w:rPr>
            </w:pPr>
            <w:r>
              <w:rPr>
                <w:bCs/>
                <w:color w:val="auto"/>
                <w:szCs w:val="21"/>
                <w:highlight w:val="none"/>
              </w:rPr>
              <w:t xml:space="preserve">虎丘湿地公园</w:t>
            </w:r>
            <w:r/>
          </w:p>
        </w:tc>
      </w:tr>
    </w:tbl>
    <w:p>
      <w:pPr>
        <w:rPr>
          <w:color w:val="auto"/>
          <w:highlight w:val="none"/>
        </w:rPr>
      </w:pPr>
      <w:r>
        <w:rPr>
          <w:color w:val="auto"/>
          <w:highlight w:val="none"/>
        </w:rPr>
      </w:r>
      <w:r/>
    </w:p>
    <w:p>
      <w:pPr>
        <w:ind w:left="420" w:firstLine="420"/>
        <w:spacing w:after="120"/>
        <w:rPr>
          <w:color w:val="auto"/>
          <w:sz w:val="20"/>
          <w:szCs w:val="21"/>
          <w:highlight w:val="none"/>
        </w:rPr>
      </w:pPr>
      <w:r>
        <w:rPr>
          <w:color w:val="auto"/>
          <w:sz w:val="20"/>
          <w:szCs w:val="21"/>
          <w:highlight w:val="none"/>
        </w:rPr>
      </w:r>
      <w:r/>
    </w:p>
    <w:p>
      <w:pPr>
        <w:jc w:val="left"/>
        <w:spacing w:line="360" w:lineRule="auto"/>
        <w:rPr>
          <w:b/>
          <w:color w:val="auto"/>
          <w:sz w:val="24"/>
          <w:szCs w:val="24"/>
          <w:highlight w:val="none"/>
        </w:rPr>
        <w:outlineLvl w:val="0"/>
      </w:pPr>
      <w:r>
        <w:rPr>
          <w:b/>
          <w:color w:val="auto"/>
          <w:sz w:val="24"/>
          <w:szCs w:val="24"/>
          <w:highlight w:val="none"/>
        </w:rPr>
        <w:t xml:space="preserve">二、运维服务要求</w:t>
      </w:r>
      <w:r/>
    </w:p>
    <w:p>
      <w:pPr>
        <w:jc w:val="left"/>
        <w:spacing w:line="360" w:lineRule="auto"/>
        <w:rPr>
          <w:b/>
          <w:color w:val="auto"/>
          <w:spacing w:val="6"/>
          <w:sz w:val="24"/>
          <w:szCs w:val="24"/>
          <w:highlight w:val="none"/>
        </w:rPr>
        <w:outlineLvl w:val="1"/>
      </w:pPr>
      <w:r>
        <w:rPr>
          <w:rFonts w:hint="eastAsia"/>
          <w:b/>
          <w:color w:val="auto"/>
          <w:spacing w:val="6"/>
          <w:sz w:val="24"/>
          <w:szCs w:val="24"/>
          <w:highlight w:val="none"/>
        </w:rPr>
        <w:t xml:space="preserve">（一）生物多样性保护智慧服务平台维护</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确保机房设备的持续稳定运行，降低故障发生的可能性，并能够对各类问题进行及时响应和解决。具体包括：</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①确保系统的正常运行并及时发现潜在问题；</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②确保系统在故障发生后在最短时间内可以恢复正常运行状态；</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③确保系统处于最佳运行状态；</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④确保系统数据的安全性及可靠性；</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⑤确保系统再次发生同类型故障时可以做出最快反应。</w:t>
      </w:r>
      <w:r/>
    </w:p>
    <w:p>
      <w:pPr>
        <w:jc w:val="left"/>
        <w:spacing w:line="360" w:lineRule="auto"/>
        <w:rPr>
          <w:b/>
          <w:color w:val="auto"/>
          <w:spacing w:val="6"/>
          <w:sz w:val="24"/>
          <w:szCs w:val="24"/>
          <w:highlight w:val="none"/>
        </w:rPr>
        <w:outlineLvl w:val="1"/>
      </w:pPr>
      <w:r>
        <w:rPr>
          <w:rFonts w:hint="eastAsia"/>
          <w:b/>
          <w:color w:val="auto"/>
          <w:spacing w:val="6"/>
          <w:sz w:val="24"/>
          <w:szCs w:val="24"/>
          <w:highlight w:val="none"/>
        </w:rPr>
        <w:t xml:space="preserve">（二）生物多样性体验地维护</w:t>
      </w:r>
      <w:r/>
    </w:p>
    <w:p>
      <w:pPr>
        <w:ind w:firstLine="504"/>
        <w:spacing w:line="360" w:lineRule="auto"/>
        <w:rPr>
          <w:color w:val="auto"/>
          <w:spacing w:val="6"/>
          <w:sz w:val="24"/>
          <w:szCs w:val="24"/>
          <w:highlight w:val="none"/>
        </w:rPr>
      </w:pPr>
      <w:r>
        <w:rPr>
          <w:color w:val="auto"/>
          <w:spacing w:val="6"/>
          <w:sz w:val="24"/>
          <w:szCs w:val="24"/>
          <w:highlight w:val="none"/>
        </w:rPr>
        <w:t xml:space="preserve">在满足生物多样性观测需求的基础上，将观测站点打造成科普宣教基地。主要包括</w:t>
      </w:r>
      <w:r>
        <w:rPr>
          <w:rFonts w:hint="eastAsia"/>
          <w:color w:val="auto"/>
          <w:spacing w:val="6"/>
          <w:sz w:val="24"/>
          <w:szCs w:val="24"/>
          <w:highlight w:val="none"/>
        </w:rPr>
        <w:t xml:space="preserve">两块</w:t>
      </w:r>
      <w:r>
        <w:rPr>
          <w:color w:val="auto"/>
          <w:spacing w:val="6"/>
          <w:sz w:val="24"/>
          <w:szCs w:val="24"/>
          <w:highlight w:val="none"/>
        </w:rPr>
        <w:t xml:space="preserve">内容：</w:t>
      </w:r>
      <w:r/>
    </w:p>
    <w:p>
      <w:pPr>
        <w:ind w:firstLine="482"/>
        <w:jc w:val="left"/>
        <w:spacing w:line="360" w:lineRule="auto"/>
        <w:rPr>
          <w:b/>
          <w:color w:val="auto"/>
          <w:sz w:val="24"/>
          <w:szCs w:val="24"/>
          <w:highlight w:val="none"/>
        </w:rPr>
      </w:pPr>
      <w:r>
        <w:rPr>
          <w:b/>
          <w:color w:val="auto"/>
          <w:sz w:val="24"/>
          <w:szCs w:val="24"/>
          <w:highlight w:val="none"/>
        </w:rPr>
        <w:t xml:space="preserve">1</w:t>
      </w:r>
      <w:r>
        <w:rPr>
          <w:rFonts w:hint="eastAsia"/>
          <w:b/>
          <w:color w:val="auto"/>
          <w:sz w:val="24"/>
          <w:szCs w:val="24"/>
          <w:highlight w:val="none"/>
        </w:rPr>
        <w:t xml:space="preserve">）</w:t>
      </w:r>
      <w:bookmarkStart w:id="65" w:name="_Hlk198411779"/>
      <w:r>
        <w:rPr>
          <w:b/>
          <w:color w:val="auto"/>
          <w:sz w:val="24"/>
          <w:szCs w:val="24"/>
          <w:highlight w:val="none"/>
        </w:rPr>
        <w:t xml:space="preserve">站房</w:t>
      </w:r>
      <w:r>
        <w:rPr>
          <w:rFonts w:hint="eastAsia"/>
          <w:b/>
          <w:color w:val="auto"/>
          <w:sz w:val="24"/>
          <w:szCs w:val="24"/>
          <w:highlight w:val="none"/>
        </w:rPr>
        <w:t xml:space="preserve">维护</w:t>
      </w:r>
      <w:r>
        <w:rPr>
          <w:b/>
          <w:color w:val="auto"/>
          <w:sz w:val="24"/>
          <w:szCs w:val="24"/>
          <w:highlight w:val="none"/>
        </w:rPr>
        <w:t xml:space="preserve">与展示区域布置</w:t>
      </w:r>
      <w:bookmarkEnd w:id="65"/>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在</w:t>
      </w:r>
      <w:r>
        <w:rPr>
          <w:color w:val="auto"/>
          <w:spacing w:val="-4"/>
          <w:sz w:val="24"/>
          <w:szCs w:val="24"/>
          <w:highlight w:val="none"/>
        </w:rPr>
        <w:t xml:space="preserve">现有</w:t>
      </w:r>
      <w:r>
        <w:rPr>
          <w:rFonts w:hint="eastAsia"/>
          <w:color w:val="auto"/>
          <w:spacing w:val="-4"/>
          <w:sz w:val="24"/>
          <w:szCs w:val="24"/>
          <w:highlight w:val="none"/>
        </w:rPr>
        <w:t xml:space="preserve">基础上，进行针对性</w:t>
      </w:r>
      <w:r>
        <w:rPr>
          <w:color w:val="auto"/>
          <w:spacing w:val="-4"/>
          <w:sz w:val="24"/>
          <w:szCs w:val="24"/>
          <w:highlight w:val="none"/>
        </w:rPr>
        <w:t xml:space="preserve">维护</w:t>
      </w:r>
      <w:r>
        <w:rPr>
          <w:rFonts w:hint="eastAsia"/>
          <w:color w:val="auto"/>
          <w:spacing w:val="-4"/>
          <w:sz w:val="24"/>
          <w:szCs w:val="24"/>
          <w:highlight w:val="none"/>
        </w:rPr>
        <w:t xml:space="preserve">，划分为标本展示区域和会议区两大部分。通过标本展示、3D展示技术等多种形式展现相城区生物多样性基本状况。</w:t>
      </w:r>
      <w:r>
        <w:rPr>
          <w:color w:val="auto"/>
          <w:spacing w:val="-4"/>
          <w:sz w:val="24"/>
          <w:szCs w:val="24"/>
          <w:highlight w:val="none"/>
        </w:rPr>
        <w:t xml:space="preserve">具体包括：</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①确保站点日常的整洁卫生，内部仪器得到有效维护，并及时维修问题设施设备</w:t>
      </w:r>
      <w:r>
        <w:rPr>
          <w:color w:val="auto"/>
          <w:spacing w:val="-4"/>
          <w:sz w:val="24"/>
          <w:szCs w:val="24"/>
          <w:highlight w:val="none"/>
        </w:rPr>
        <w:t xml:space="preserve">。</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②配合完成站点生物多样性</w:t>
      </w:r>
      <w:r>
        <w:rPr>
          <w:color w:val="auto"/>
          <w:spacing w:val="-4"/>
          <w:sz w:val="24"/>
          <w:szCs w:val="24"/>
          <w:highlight w:val="none"/>
        </w:rPr>
        <w:t xml:space="preserve">的</w:t>
      </w:r>
      <w:r>
        <w:rPr>
          <w:rFonts w:hint="eastAsia"/>
          <w:color w:val="auto"/>
          <w:spacing w:val="-4"/>
          <w:sz w:val="24"/>
          <w:szCs w:val="24"/>
          <w:highlight w:val="none"/>
        </w:rPr>
        <w:t xml:space="preserve">宣传活动，确保活动开展过程安全、有序，且在活动结束后进行广泛宣传，提升站点知名度与影响力；</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③确保配合完成站点日常任务，包括但不限于相关部门现场调研</w:t>
      </w:r>
      <w:r>
        <w:rPr>
          <w:color w:val="auto"/>
          <w:spacing w:val="-4"/>
          <w:sz w:val="24"/>
          <w:szCs w:val="24"/>
          <w:highlight w:val="none"/>
        </w:rPr>
        <w:t xml:space="preserve">、交流</w:t>
      </w:r>
      <w:r>
        <w:rPr>
          <w:rFonts w:hint="eastAsia"/>
          <w:color w:val="auto"/>
          <w:spacing w:val="-4"/>
          <w:sz w:val="24"/>
          <w:szCs w:val="24"/>
          <w:highlight w:val="none"/>
        </w:rPr>
        <w:t xml:space="preserve">工作；</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rPr>
        <w:t xml:space="preserve">）</w:t>
      </w:r>
      <w:r>
        <w:rPr>
          <w:b/>
          <w:color w:val="auto"/>
          <w:sz w:val="24"/>
          <w:szCs w:val="24"/>
          <w:highlight w:val="none"/>
        </w:rPr>
        <w:t xml:space="preserve">生物多样性室外体验地</w:t>
      </w:r>
      <w:r>
        <w:rPr>
          <w:rFonts w:hint="eastAsia"/>
          <w:b/>
          <w:color w:val="auto"/>
          <w:sz w:val="24"/>
          <w:szCs w:val="24"/>
          <w:highlight w:val="none"/>
        </w:rPr>
        <w:t xml:space="preserve">维护</w:t>
      </w:r>
      <w:r/>
    </w:p>
    <w:p>
      <w:pPr>
        <w:ind w:firstLine="504"/>
        <w:spacing w:line="360" w:lineRule="auto"/>
        <w:rPr>
          <w:color w:val="auto"/>
          <w:spacing w:val="6"/>
          <w:sz w:val="24"/>
          <w:szCs w:val="24"/>
          <w:highlight w:val="none"/>
        </w:rPr>
      </w:pPr>
      <w:r>
        <w:rPr>
          <w:color w:val="auto"/>
          <w:spacing w:val="6"/>
          <w:sz w:val="24"/>
          <w:szCs w:val="24"/>
          <w:highlight w:val="none"/>
        </w:rPr>
        <w:t xml:space="preserve">生物多样性室外体验地</w:t>
      </w:r>
      <w:r>
        <w:rPr>
          <w:rFonts w:hint="eastAsia"/>
          <w:color w:val="auto"/>
          <w:spacing w:val="6"/>
          <w:sz w:val="24"/>
          <w:szCs w:val="24"/>
          <w:highlight w:val="none"/>
        </w:rPr>
        <w:t xml:space="preserve">维护</w:t>
      </w:r>
      <w:r>
        <w:rPr>
          <w:color w:val="auto"/>
          <w:spacing w:val="6"/>
          <w:sz w:val="24"/>
          <w:szCs w:val="24"/>
          <w:highlight w:val="none"/>
        </w:rPr>
        <w:t xml:space="preserve">分为基本设施与体验路线两部分。根据不同的生态环境设计不同主题路径，沿途设置观察点，配备观测设备。</w:t>
      </w:r>
      <w:r/>
    </w:p>
    <w:p>
      <w:pPr>
        <w:jc w:val="left"/>
        <w:spacing w:line="360" w:lineRule="auto"/>
        <w:rPr>
          <w:b/>
          <w:color w:val="auto"/>
          <w:sz w:val="24"/>
          <w:szCs w:val="24"/>
          <w:highlight w:val="none"/>
        </w:rPr>
        <w:outlineLvl w:val="0"/>
      </w:pPr>
      <w:r>
        <w:rPr>
          <w:b/>
          <w:color w:val="auto"/>
          <w:sz w:val="24"/>
          <w:szCs w:val="24"/>
          <w:highlight w:val="none"/>
        </w:rPr>
        <w:t xml:space="preserve">三、项目运维内容</w:t>
      </w:r>
      <w:r/>
    </w:p>
    <w:p>
      <w:pPr>
        <w:ind w:firstLine="482"/>
        <w:jc w:val="left"/>
        <w:spacing w:line="360" w:lineRule="auto"/>
        <w:rPr>
          <w:b/>
          <w:color w:val="auto"/>
          <w:sz w:val="24"/>
          <w:szCs w:val="24"/>
          <w:highlight w:val="none"/>
        </w:rPr>
      </w:pPr>
      <w:r>
        <w:rPr>
          <w:b/>
          <w:color w:val="auto"/>
          <w:sz w:val="24"/>
          <w:szCs w:val="24"/>
          <w:highlight w:val="none"/>
        </w:rPr>
        <w:t xml:space="preserve">1</w:t>
      </w:r>
      <w:r>
        <w:rPr>
          <w:rFonts w:hint="eastAsia"/>
          <w:b/>
          <w:color w:val="auto"/>
          <w:sz w:val="24"/>
          <w:szCs w:val="24"/>
          <w:highlight w:val="none"/>
        </w:rPr>
        <w:t xml:space="preserve">）</w:t>
      </w:r>
      <w:r>
        <w:rPr>
          <w:b/>
          <w:color w:val="auto"/>
          <w:sz w:val="24"/>
          <w:szCs w:val="24"/>
          <w:highlight w:val="none"/>
        </w:rPr>
        <w:t xml:space="preserve">站点系统运维</w:t>
      </w:r>
      <w:r/>
    </w:p>
    <w:p>
      <w:pPr>
        <w:ind w:left="20" w:right="13" w:firstLine="464"/>
        <w:spacing w:line="360" w:lineRule="auto"/>
        <w:rPr>
          <w:color w:val="auto"/>
          <w:spacing w:val="-4"/>
          <w:sz w:val="24"/>
          <w:szCs w:val="24"/>
          <w:highlight w:val="none"/>
        </w:rPr>
      </w:pPr>
      <w:r>
        <w:rPr>
          <w:color w:val="auto"/>
          <w:spacing w:val="-4"/>
          <w:sz w:val="24"/>
          <w:szCs w:val="24"/>
          <w:highlight w:val="none"/>
        </w:rPr>
        <w:t xml:space="preserve">（1）机房设备巡检：定期巡检机房设备，检查设备运行状态是否正常，及时发现并排除故障；定期检查系统软件版本型号，及时进行版本升级，确保系统处于最佳运行状态；</w:t>
      </w:r>
      <w:r/>
    </w:p>
    <w:p>
      <w:pPr>
        <w:ind w:left="20" w:right="13" w:firstLine="464"/>
        <w:spacing w:line="360" w:lineRule="auto"/>
        <w:rPr>
          <w:color w:val="auto"/>
          <w:spacing w:val="-4"/>
          <w:sz w:val="24"/>
          <w:szCs w:val="24"/>
          <w:highlight w:val="none"/>
        </w:rPr>
      </w:pPr>
      <w:r>
        <w:rPr>
          <w:color w:val="auto"/>
          <w:spacing w:val="-4"/>
          <w:sz w:val="24"/>
          <w:szCs w:val="24"/>
          <w:highlight w:val="none"/>
        </w:rPr>
        <w:t xml:space="preserve">（2）故障应急响应：及时响应机房设备故障告警，提供7*24h应急响应服务，保障设备运行连续性和可靠性；</w:t>
      </w:r>
      <w:r/>
    </w:p>
    <w:p>
      <w:pPr>
        <w:ind w:left="20" w:right="13" w:firstLine="464"/>
        <w:spacing w:line="360" w:lineRule="auto"/>
        <w:rPr>
          <w:color w:val="auto"/>
          <w:spacing w:val="-4"/>
          <w:sz w:val="24"/>
          <w:szCs w:val="24"/>
          <w:highlight w:val="none"/>
        </w:rPr>
      </w:pPr>
      <w:r>
        <w:rPr>
          <w:color w:val="auto"/>
          <w:spacing w:val="-4"/>
          <w:sz w:val="24"/>
          <w:szCs w:val="24"/>
          <w:highlight w:val="none"/>
        </w:rPr>
        <w:t xml:space="preserve">（3）故障分析及应急预案：处理完成设备故障后，设计相关预案以保证再次出现类似故障时可以及时做出响应，确保在最短时间内恢复系统正常运行状态；</w:t>
      </w:r>
      <w:r/>
    </w:p>
    <w:p>
      <w:pPr>
        <w:ind w:left="20" w:right="13" w:firstLine="464"/>
        <w:spacing w:line="360" w:lineRule="auto"/>
        <w:rPr>
          <w:color w:val="auto"/>
          <w:spacing w:val="-4"/>
          <w:sz w:val="24"/>
          <w:szCs w:val="24"/>
          <w:highlight w:val="none"/>
        </w:rPr>
      </w:pPr>
      <w:r>
        <w:rPr>
          <w:color w:val="auto"/>
          <w:spacing w:val="-4"/>
          <w:sz w:val="24"/>
          <w:szCs w:val="24"/>
          <w:highlight w:val="none"/>
        </w:rPr>
        <w:t xml:space="preserve">（4）数据安全维护：定期查看设备日志，定期备份系统数据，保障设备数据的安全性；</w:t>
      </w:r>
      <w:r/>
    </w:p>
    <w:p>
      <w:pPr>
        <w:ind w:left="20" w:right="13" w:firstLine="464"/>
        <w:spacing w:line="360" w:lineRule="auto"/>
        <w:rPr>
          <w:color w:val="auto"/>
          <w:spacing w:val="6"/>
          <w:sz w:val="24"/>
          <w:szCs w:val="24"/>
          <w:highlight w:val="none"/>
        </w:rPr>
      </w:pPr>
      <w:r>
        <w:rPr>
          <w:color w:val="auto"/>
          <w:spacing w:val="-4"/>
          <w:sz w:val="24"/>
          <w:szCs w:val="24"/>
          <w:highlight w:val="none"/>
        </w:rPr>
        <w:t xml:space="preserve">（5）机房安全巡检：定期巡检机房内灭火系统状态是否正常，保障设备运行环境的安全性。设备维护与技术支持：硬件系统日常运行维护、故障</w:t>
      </w:r>
      <w:r>
        <w:rPr>
          <w:color w:val="auto"/>
          <w:spacing w:val="6"/>
          <w:sz w:val="24"/>
          <w:szCs w:val="24"/>
          <w:highlight w:val="none"/>
        </w:rPr>
        <w:t xml:space="preserve">处理</w:t>
      </w:r>
      <w:r>
        <w:rPr>
          <w:rFonts w:hint="eastAsia"/>
          <w:color w:val="auto"/>
          <w:spacing w:val="6"/>
          <w:sz w:val="24"/>
          <w:szCs w:val="24"/>
          <w:highlight w:val="none"/>
        </w:rPr>
        <w:t xml:space="preserve">；</w:t>
      </w:r>
      <w:r/>
    </w:p>
    <w:p>
      <w:pPr>
        <w:ind w:firstLine="504"/>
        <w:spacing w:line="360" w:lineRule="auto"/>
        <w:rPr>
          <w:color w:val="auto"/>
          <w:spacing w:val="6"/>
          <w:sz w:val="24"/>
          <w:szCs w:val="24"/>
          <w:highlight w:val="none"/>
        </w:rPr>
      </w:pPr>
      <w:r>
        <w:rPr>
          <w:rFonts w:hint="eastAsia"/>
          <w:color w:val="auto"/>
          <w:spacing w:val="6"/>
          <w:sz w:val="24"/>
          <w:szCs w:val="24"/>
          <w:highlight w:val="none"/>
        </w:rPr>
        <w:t xml:space="preserve">（6）用户支持和培训：提供用户支持服务，解决用户问题，进行培训和知识分享；</w:t>
      </w:r>
      <w:r/>
    </w:p>
    <w:p>
      <w:pPr>
        <w:ind w:firstLine="504"/>
        <w:spacing w:line="360" w:lineRule="auto"/>
        <w:rPr>
          <w:color w:val="auto"/>
          <w:spacing w:val="6"/>
          <w:sz w:val="24"/>
          <w:szCs w:val="24"/>
          <w:highlight w:val="none"/>
        </w:rPr>
      </w:pPr>
      <w:r>
        <w:rPr>
          <w:rFonts w:hint="eastAsia"/>
          <w:color w:val="auto"/>
          <w:spacing w:val="6"/>
          <w:sz w:val="24"/>
          <w:szCs w:val="24"/>
          <w:highlight w:val="none"/>
        </w:rPr>
        <w:t xml:space="preserve">（7）维护总结：定期撰写维护总结报告，总结回顾本期各项维护工作开展情况，重点描述和分析出现的技术问题和服务质量问题，并给出整改方案；</w:t>
      </w:r>
      <w:r/>
    </w:p>
    <w:p>
      <w:pPr>
        <w:ind w:firstLine="504"/>
        <w:spacing w:line="360" w:lineRule="auto"/>
        <w:rPr>
          <w:color w:val="auto"/>
          <w:spacing w:val="6"/>
          <w:sz w:val="24"/>
          <w:szCs w:val="24"/>
          <w:highlight w:val="none"/>
        </w:rPr>
      </w:pPr>
      <w:r>
        <w:rPr>
          <w:rFonts w:hint="eastAsia"/>
          <w:color w:val="auto"/>
          <w:spacing w:val="6"/>
          <w:sz w:val="24"/>
          <w:szCs w:val="24"/>
          <w:highlight w:val="none"/>
        </w:rPr>
        <w:t xml:space="preserve">（8）根据鸟类观测系统的观测情况，定期撰写生物多样性观测报告。</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rPr>
        <w:t xml:space="preserve">）</w:t>
      </w:r>
      <w:r>
        <w:rPr>
          <w:b/>
          <w:color w:val="auto"/>
          <w:sz w:val="24"/>
          <w:szCs w:val="24"/>
          <w:highlight w:val="none"/>
        </w:rPr>
        <w:t xml:space="preserve">站点站房日常运维</w:t>
      </w:r>
      <w:r/>
    </w:p>
    <w:p>
      <w:pPr>
        <w:ind w:left="20" w:right="13" w:firstLine="464"/>
        <w:spacing w:line="360" w:lineRule="auto"/>
        <w:rPr>
          <w:color w:val="auto"/>
          <w:spacing w:val="-4"/>
          <w:sz w:val="24"/>
          <w:szCs w:val="24"/>
          <w:highlight w:val="none"/>
        </w:rPr>
      </w:pPr>
      <w:r>
        <w:rPr>
          <w:color w:val="auto"/>
          <w:spacing w:val="-4"/>
          <w:sz w:val="24"/>
          <w:szCs w:val="24"/>
          <w:highlight w:val="none"/>
        </w:rPr>
        <w:t xml:space="preserve">观测站点站房（即科普馆）为半开放式运营，在生物多样性研讨、体验课程开展时对参与人员开放，日常为封闭状态。站点站房运维工作包含站点站房环境、站点体验活动两方面。</w:t>
      </w:r>
      <w:r/>
    </w:p>
    <w:p>
      <w:pPr>
        <w:ind w:left="20" w:right="13" w:firstLine="464"/>
        <w:spacing w:line="360" w:lineRule="auto"/>
        <w:rPr>
          <w:color w:val="auto"/>
          <w:spacing w:val="-4"/>
          <w:sz w:val="24"/>
          <w:szCs w:val="24"/>
          <w:highlight w:val="none"/>
        </w:rPr>
      </w:pPr>
      <w:r>
        <w:rPr>
          <w:color w:val="auto"/>
          <w:spacing w:val="-4"/>
          <w:sz w:val="24"/>
          <w:szCs w:val="24"/>
          <w:highlight w:val="none"/>
        </w:rPr>
        <w:t xml:space="preserve">（1）站点站房环境</w:t>
      </w:r>
      <w:r/>
    </w:p>
    <w:p>
      <w:pPr>
        <w:ind w:left="20" w:right="13" w:firstLine="464"/>
        <w:spacing w:line="360" w:lineRule="auto"/>
        <w:rPr>
          <w:color w:val="auto"/>
          <w:spacing w:val="-4"/>
          <w:sz w:val="24"/>
          <w:szCs w:val="24"/>
          <w:highlight w:val="none"/>
        </w:rPr>
      </w:pPr>
      <w:r>
        <w:rPr>
          <w:color w:val="auto"/>
          <w:spacing w:val="-4"/>
          <w:sz w:val="24"/>
          <w:szCs w:val="24"/>
          <w:highlight w:val="none"/>
        </w:rPr>
        <w:t xml:space="preserve">主要包括定期检查机房温度湿度、机房空调运行情况、灭火系统运行情况等，保障设备运行安全性。确保站房开放期间内部墙面、标本及设备等安全防护，防止设备被盗或人为破坏。</w:t>
      </w:r>
      <w:r/>
    </w:p>
    <w:p>
      <w:pPr>
        <w:ind w:left="20" w:right="13" w:firstLine="464"/>
        <w:spacing w:line="360" w:lineRule="auto"/>
        <w:rPr>
          <w:color w:val="auto"/>
          <w:spacing w:val="-4"/>
          <w:sz w:val="24"/>
          <w:szCs w:val="24"/>
          <w:highlight w:val="none"/>
        </w:rPr>
      </w:pPr>
      <w:r>
        <w:rPr>
          <w:color w:val="auto"/>
          <w:spacing w:val="-4"/>
          <w:sz w:val="24"/>
          <w:szCs w:val="24"/>
          <w:highlight w:val="none"/>
        </w:rPr>
        <w:t xml:space="preserve">（2）站点体验活动</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配合</w:t>
      </w:r>
      <w:r>
        <w:rPr>
          <w:color w:val="auto"/>
          <w:spacing w:val="-4"/>
          <w:sz w:val="24"/>
          <w:szCs w:val="24"/>
          <w:highlight w:val="none"/>
        </w:rPr>
        <w:t xml:space="preserve">带领完成植物体验、鸟类体验、昆虫体验路线等体验活动，在</w:t>
      </w:r>
      <w:bookmarkStart w:id="66" w:name="_Hlk198413466"/>
      <w:r>
        <w:rPr>
          <w:color w:val="auto"/>
          <w:spacing w:val="-4"/>
          <w:sz w:val="24"/>
          <w:szCs w:val="24"/>
          <w:highlight w:val="none"/>
        </w:rPr>
        <w:t xml:space="preserve">“江苏省爱鸟周”、“5·22国际生物多样性日”、“8·15国家生态日”等重要时段</w:t>
      </w:r>
      <w:bookmarkEnd w:id="66"/>
      <w:r>
        <w:rPr>
          <w:color w:val="auto"/>
          <w:spacing w:val="-4"/>
          <w:sz w:val="24"/>
          <w:szCs w:val="24"/>
          <w:highlight w:val="none"/>
        </w:rPr>
        <w:t xml:space="preserve">，开展不少于4次的生物多样性主题体验活动。以鸟类、植物和昆虫生物多样性固定观测样线和虎丘湿地生物多样性观测站点为依托，开展各类生物多样性体验活动。</w:t>
      </w:r>
      <w:r/>
    </w:p>
    <w:p>
      <w:pPr>
        <w:jc w:val="left"/>
        <w:spacing w:line="360" w:lineRule="auto"/>
        <w:rPr>
          <w:b/>
          <w:color w:val="auto"/>
          <w:sz w:val="24"/>
          <w:szCs w:val="24"/>
          <w:highlight w:val="none"/>
        </w:rPr>
        <w:outlineLvl w:val="0"/>
      </w:pPr>
      <w:r>
        <w:rPr>
          <w:rFonts w:hint="eastAsia"/>
          <w:b/>
          <w:color w:val="auto"/>
          <w:sz w:val="24"/>
          <w:szCs w:val="24"/>
          <w:highlight w:val="none"/>
        </w:rPr>
        <w:t xml:space="preserve">四、成果清单</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1）《生物多样性保护智慧服务平台月度运行维护报告》，包括：硬件设备更新、AI算法训练、鸟类数据库更新等系统维护总结；AI智能识别观测记录人工识别、报错纠正等。</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2）《生物多样性保护智慧服务平台季度运行维护报告》</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3）《生物多样性保护智慧服务平台年度运行维护报告》；</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4）《生物多样性观测月度报告》；</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5）《生物多样性观测季度报告》；</w:t>
      </w:r>
      <w:r/>
    </w:p>
    <w:p>
      <w:pPr>
        <w:ind w:left="20" w:right="13" w:firstLine="464"/>
        <w:spacing w:line="360" w:lineRule="auto"/>
        <w:rPr>
          <w:color w:val="auto"/>
          <w:spacing w:val="-4"/>
          <w:sz w:val="24"/>
          <w:szCs w:val="24"/>
          <w:highlight w:val="none"/>
        </w:rPr>
      </w:pPr>
      <w:r>
        <w:rPr>
          <w:rFonts w:hint="eastAsia"/>
          <w:color w:val="auto"/>
          <w:spacing w:val="-4"/>
          <w:sz w:val="24"/>
          <w:szCs w:val="24"/>
          <w:highlight w:val="none"/>
        </w:rPr>
        <w:t xml:space="preserve">6）《生物多样性观测年度报告》。</w:t>
      </w:r>
      <w:r/>
    </w:p>
    <w:p>
      <w:pPr>
        <w:jc w:val="left"/>
        <w:spacing w:line="360" w:lineRule="auto"/>
        <w:rPr>
          <w:b/>
          <w:color w:val="auto"/>
          <w:sz w:val="24"/>
          <w:szCs w:val="24"/>
          <w:highlight w:val="none"/>
        </w:rPr>
        <w:outlineLvl w:val="0"/>
      </w:pPr>
      <w:r>
        <w:rPr>
          <w:rFonts w:hint="eastAsia"/>
          <w:b/>
          <w:color w:val="auto"/>
          <w:sz w:val="24"/>
          <w:szCs w:val="24"/>
          <w:highlight w:val="none"/>
        </w:rPr>
        <w:t xml:space="preserve">五、监督考核要求</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、监督管理</w:t>
      </w:r>
      <w:r/>
    </w:p>
    <w:p>
      <w:pPr>
        <w:ind w:firstLine="420"/>
        <w:spacing w:line="360" w:lineRule="auto"/>
        <w:rPr>
          <w:color w:val="auto"/>
          <w:sz w:val="21"/>
          <w:szCs w:val="21"/>
          <w:highlight w:val="none"/>
        </w:rPr>
      </w:pPr>
      <w:r>
        <w:rPr>
          <w:rFonts w:hint="eastAsia"/>
          <w:color w:val="auto"/>
          <w:sz w:val="21"/>
          <w:szCs w:val="21"/>
          <w:highlight w:val="none"/>
        </w:rPr>
        <w:t xml:space="preserve">观测数据必须真实有效，响应单位在项目服务中有弄虚作假行为，按提供虚假资料处理，中标无效，且承担相关法律责任。</w:t>
      </w:r>
      <w:r/>
    </w:p>
    <w:p>
      <w:pPr>
        <w:ind w:firstLine="420"/>
        <w:spacing w:line="360" w:lineRule="auto"/>
        <w:rPr>
          <w:color w:val="auto"/>
          <w:sz w:val="21"/>
          <w:szCs w:val="21"/>
          <w:highlight w:val="none"/>
        </w:rPr>
      </w:pPr>
      <w:r>
        <w:rPr>
          <w:rFonts w:hint="eastAsia"/>
          <w:color w:val="auto"/>
          <w:sz w:val="21"/>
          <w:szCs w:val="21"/>
          <w:highlight w:val="none"/>
        </w:rPr>
        <w:t xml:space="preserve">响应单位应承担数据的保密责任，不得利用本项目的数据、档案或有关资料对外开展技术交流、业务联系、数据交换等。否则，采购方有权终止合同。</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、考核要求</w:t>
      </w:r>
      <w:r/>
    </w:p>
    <w:p>
      <w:pPr>
        <w:ind w:firstLine="420"/>
        <w:spacing w:line="360" w:lineRule="auto"/>
        <w:rPr>
          <w:color w:val="auto"/>
          <w:sz w:val="21"/>
          <w:szCs w:val="21"/>
          <w:highlight w:val="none"/>
        </w:rPr>
      </w:pPr>
      <w:r>
        <w:rPr>
          <w:rFonts w:hint="eastAsia"/>
          <w:color w:val="auto"/>
          <w:sz w:val="21"/>
          <w:szCs w:val="21"/>
          <w:highlight w:val="none"/>
        </w:rPr>
        <w:t xml:space="preserve">实行月度考核，根据考核分值计算当期扣款。</w:t>
      </w:r>
      <w:r/>
    </w:p>
    <w:tbl>
      <w:tblPr>
        <w:tblStyle w:val="849"/>
        <w:tblW w:w="8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8"/>
        <w:gridCol w:w="4620"/>
        <w:gridCol w:w="709"/>
        <w:gridCol w:w="708"/>
        <w:gridCol w:w="1098"/>
      </w:tblGrid>
      <w:tr>
        <w:trPr>
          <w:jc w:val="center"/>
          <w:trHeight w:val="57"/>
        </w:trPr>
        <w:tc>
          <w:tcPr>
            <w:shd w:val="clear" w:color="auto" w:fill="d8d8d8" w:themeFill="background1" w:themeFillShade="D9"/>
            <w:tcW w:w="14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考核项目</w:t>
            </w:r>
            <w:r/>
          </w:p>
        </w:tc>
        <w:tc>
          <w:tcPr>
            <w:shd w:val="clear" w:color="auto" w:fill="d8d8d8" w:themeFill="background1" w:themeFillShade="D9"/>
            <w:tcW w:w="4620"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考核要求</w:t>
            </w:r>
            <w:r/>
          </w:p>
        </w:tc>
        <w:tc>
          <w:tcPr>
            <w:shd w:val="clear" w:color="auto" w:fill="d8d8d8" w:themeFill="background1" w:themeFillShade="D9"/>
            <w:tcW w:w="7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分值</w:t>
            </w:r>
            <w:r/>
          </w:p>
        </w:tc>
        <w:tc>
          <w:tcPr>
            <w:shd w:val="clear" w:color="auto" w:fill="d8d8d8" w:themeFill="background1" w:themeFillShade="D9"/>
            <w:tcW w:w="70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得分</w:t>
            </w:r>
            <w:r/>
          </w:p>
        </w:tc>
        <w:tc>
          <w:tcPr>
            <w:shd w:val="clear" w:color="auto" w:fill="d8d8d8" w:themeFill="background1" w:themeFillShade="D9"/>
            <w:tcW w:w="10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备注</w:t>
            </w:r>
            <w:r/>
          </w:p>
        </w:tc>
      </w:tr>
      <w:tr>
        <w:trPr>
          <w:jc w:val="center"/>
          <w:trHeight w:val="57"/>
        </w:trPr>
        <w:tc>
          <w:tcPr>
            <w:tcW w:w="1498" w:type="dxa"/>
            <w:vAlign w:val="center"/>
            <w:vMerge w:val="restart"/>
            <w:textDirection w:val="lrTb"/>
            <w:noWrap w:val="false"/>
          </w:tcPr>
          <w:p>
            <w:pPr>
              <w:spacing w:line="360" w:lineRule="auto"/>
              <w:rPr>
                <w:color w:val="auto"/>
                <w:sz w:val="21"/>
                <w:szCs w:val="21"/>
                <w:highlight w:val="none"/>
              </w:rPr>
            </w:pPr>
            <w:r>
              <w:rPr>
                <w:color w:val="auto"/>
                <w:sz w:val="21"/>
                <w:szCs w:val="21"/>
                <w:highlight w:val="none"/>
              </w:rPr>
              <w:t xml:space="preserve">一、运行维护（50分）</w:t>
            </w:r>
            <w:r/>
          </w:p>
        </w:tc>
        <w:tc>
          <w:tcPr>
            <w:tcW w:w="4620" w:type="dxa"/>
            <w:vAlign w:val="center"/>
            <w:textDirection w:val="lrTb"/>
            <w:noWrap w:val="false"/>
          </w:tcPr>
          <w:p>
            <w:pPr>
              <w:spacing w:line="360" w:lineRule="auto"/>
              <w:rPr>
                <w:color w:val="auto"/>
                <w:sz w:val="21"/>
                <w:szCs w:val="21"/>
                <w:highlight w:val="none"/>
              </w:rPr>
            </w:pPr>
            <w:r>
              <w:rPr>
                <w:color w:val="auto"/>
                <w:sz w:val="21"/>
                <w:szCs w:val="21"/>
                <w:highlight w:val="none"/>
              </w:rPr>
              <w:t xml:space="preserve">服务期内，站点系统正常运行，观测数据要确保连贯性，非不可抗力的原因造成24小时及以上的数据缺失，且未能及时响应，发现一次扣2分。</w:t>
            </w:r>
            <w:r/>
          </w:p>
        </w:tc>
        <w:tc>
          <w:tcPr>
            <w:tcW w:w="7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30</w:t>
            </w:r>
            <w:r/>
          </w:p>
        </w:tc>
        <w:tc>
          <w:tcPr>
            <w:tcW w:w="70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0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jc w:val="center"/>
          <w:trHeight w:val="57"/>
        </w:trPr>
        <w:tc>
          <w:tcPr>
            <w:tcW w:w="1498" w:type="dxa"/>
            <w:vAlign w:val="center"/>
            <w:vMerge w:val="continue"/>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4620" w:type="dxa"/>
            <w:vAlign w:val="center"/>
            <w:textDirection w:val="lrTb"/>
            <w:noWrap w:val="false"/>
          </w:tcPr>
          <w:p>
            <w:pPr>
              <w:spacing w:line="360" w:lineRule="auto"/>
              <w:rPr>
                <w:color w:val="auto"/>
                <w:sz w:val="21"/>
                <w:szCs w:val="21"/>
                <w:highlight w:val="none"/>
              </w:rPr>
            </w:pPr>
            <w:r>
              <w:rPr>
                <w:color w:val="auto"/>
                <w:sz w:val="21"/>
                <w:szCs w:val="21"/>
                <w:highlight w:val="none"/>
              </w:rPr>
              <w:t xml:space="preserve">服务期内，保持站房整洁、干燥、通风，满足设备正常运行的环境要求。确保站房开放期间内部墙面、标本及设备等安全防护，防止设备被盗或人为破坏。发现一次扣2分。</w:t>
            </w:r>
            <w:r/>
          </w:p>
        </w:tc>
        <w:tc>
          <w:tcPr>
            <w:tcW w:w="7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20</w:t>
            </w:r>
            <w:r/>
          </w:p>
        </w:tc>
        <w:tc>
          <w:tcPr>
            <w:tcW w:w="70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0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jc w:val="center"/>
          <w:trHeight w:val="57"/>
        </w:trPr>
        <w:tc>
          <w:tcPr>
            <w:tcW w:w="14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二、数据报告（30分）</w:t>
            </w:r>
            <w:r/>
          </w:p>
        </w:tc>
        <w:tc>
          <w:tcPr>
            <w:tcW w:w="4620" w:type="dxa"/>
            <w:vAlign w:val="center"/>
            <w:textDirection w:val="lrTb"/>
            <w:noWrap w:val="false"/>
          </w:tcPr>
          <w:p>
            <w:pPr>
              <w:spacing w:line="360" w:lineRule="auto"/>
              <w:rPr>
                <w:color w:val="auto"/>
                <w:sz w:val="21"/>
                <w:szCs w:val="21"/>
                <w:highlight w:val="none"/>
              </w:rPr>
            </w:pPr>
            <w:r>
              <w:rPr>
                <w:color w:val="auto"/>
                <w:sz w:val="21"/>
                <w:szCs w:val="21"/>
                <w:highlight w:val="none"/>
              </w:rPr>
              <w:t xml:space="preserve">每月10日前提供</w:t>
            </w:r>
            <w:bookmarkStart w:id="67" w:name="_Hlk198413254"/>
            <w:r>
              <w:rPr>
                <w:rFonts w:hint="eastAsia"/>
                <w:color w:val="auto"/>
                <w:sz w:val="21"/>
                <w:szCs w:val="21"/>
                <w:highlight w:val="none"/>
              </w:rPr>
              <w:t xml:space="preserve">月度维护报告（包括</w:t>
            </w:r>
            <w:r>
              <w:rPr>
                <w:color w:val="auto"/>
                <w:sz w:val="21"/>
                <w:szCs w:val="21"/>
                <w:highlight w:val="none"/>
              </w:rPr>
              <w:t xml:space="preserve">系统维护总结</w:t>
            </w:r>
            <w:r>
              <w:rPr>
                <w:rFonts w:hint="eastAsia"/>
                <w:color w:val="auto"/>
                <w:sz w:val="21"/>
                <w:szCs w:val="21"/>
                <w:highlight w:val="none"/>
              </w:rPr>
              <w:t xml:space="preserve">和</w:t>
            </w:r>
            <w:r>
              <w:rPr>
                <w:color w:val="auto"/>
                <w:sz w:val="21"/>
                <w:szCs w:val="21"/>
                <w:highlight w:val="none"/>
              </w:rPr>
              <w:t xml:space="preserve">生物多样性观测</w:t>
            </w:r>
            <w:r>
              <w:rPr>
                <w:rFonts w:hint="eastAsia"/>
                <w:color w:val="auto"/>
                <w:sz w:val="21"/>
                <w:szCs w:val="21"/>
                <w:highlight w:val="none"/>
              </w:rPr>
              <w:t xml:space="preserve">总结</w:t>
            </w:r>
            <w:r>
              <w:rPr>
                <w:color w:val="auto"/>
                <w:sz w:val="21"/>
                <w:szCs w:val="21"/>
                <w:highlight w:val="none"/>
              </w:rPr>
              <w:t xml:space="preserve">报告</w:t>
            </w:r>
            <w:bookmarkEnd w:id="67"/>
            <w:r>
              <w:rPr>
                <w:rFonts w:hint="eastAsia"/>
                <w:color w:val="auto"/>
                <w:sz w:val="21"/>
                <w:szCs w:val="21"/>
                <w:highlight w:val="none"/>
              </w:rPr>
              <w:t xml:space="preserve">）</w:t>
            </w:r>
            <w:r>
              <w:rPr>
                <w:color w:val="auto"/>
                <w:sz w:val="21"/>
                <w:szCs w:val="21"/>
                <w:highlight w:val="none"/>
              </w:rPr>
              <w:t xml:space="preserve">，发现一次不及时扣2分。</w:t>
            </w:r>
            <w:r/>
          </w:p>
        </w:tc>
        <w:tc>
          <w:tcPr>
            <w:tcW w:w="7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30</w:t>
            </w:r>
            <w:r/>
          </w:p>
        </w:tc>
        <w:tc>
          <w:tcPr>
            <w:tcW w:w="70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0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jc w:val="center"/>
          <w:trHeight w:val="57"/>
        </w:trPr>
        <w:tc>
          <w:tcPr>
            <w:tcW w:w="14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三、站点体验活动（10分）</w:t>
            </w:r>
            <w:r/>
          </w:p>
        </w:tc>
        <w:tc>
          <w:tcPr>
            <w:tcW w:w="4620" w:type="dxa"/>
            <w:vAlign w:val="center"/>
            <w:textDirection w:val="lrTb"/>
            <w:noWrap w:val="false"/>
          </w:tcPr>
          <w:p>
            <w:pPr>
              <w:spacing w:line="360" w:lineRule="auto"/>
              <w:rPr>
                <w:color w:val="auto"/>
                <w:sz w:val="21"/>
                <w:szCs w:val="21"/>
                <w:highlight w:val="none"/>
              </w:rPr>
            </w:pPr>
            <w:r>
              <w:rPr>
                <w:color w:val="auto"/>
                <w:sz w:val="21"/>
                <w:szCs w:val="21"/>
                <w:highlight w:val="none"/>
              </w:rPr>
              <w:t xml:space="preserve">每年开展不少于4次的站点体验活动，未按要求组织开展的发现一次扣5分。</w:t>
            </w:r>
            <w:r/>
          </w:p>
        </w:tc>
        <w:tc>
          <w:tcPr>
            <w:tcW w:w="7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10</w:t>
            </w:r>
            <w:r/>
          </w:p>
        </w:tc>
        <w:tc>
          <w:tcPr>
            <w:tcW w:w="70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0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jc w:val="center"/>
          <w:trHeight w:val="57"/>
        </w:trPr>
        <w:tc>
          <w:tcPr>
            <w:tcW w:w="1498"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四</w:t>
            </w:r>
            <w:r>
              <w:rPr>
                <w:color w:val="auto"/>
                <w:sz w:val="21"/>
                <w:szCs w:val="21"/>
                <w:highlight w:val="none"/>
              </w:rPr>
              <w:t xml:space="preserve">、其他</w:t>
            </w:r>
            <w:r/>
          </w:p>
          <w:p>
            <w:pPr>
              <w:jc w:val="center"/>
              <w:spacing w:line="360" w:lineRule="auto"/>
              <w:rPr>
                <w:color w:val="auto"/>
                <w:sz w:val="21"/>
                <w:szCs w:val="21"/>
                <w:highlight w:val="none"/>
              </w:rPr>
            </w:pPr>
            <w:r>
              <w:rPr>
                <w:color w:val="auto"/>
                <w:sz w:val="21"/>
                <w:szCs w:val="21"/>
                <w:highlight w:val="none"/>
              </w:rPr>
              <w:t xml:space="preserve">（10分）</w:t>
            </w:r>
            <w:r/>
          </w:p>
        </w:tc>
        <w:tc>
          <w:tcPr>
            <w:tcW w:w="4620" w:type="dxa"/>
            <w:vAlign w:val="center"/>
            <w:textDirection w:val="lrTb"/>
            <w:noWrap w:val="false"/>
          </w:tcPr>
          <w:p>
            <w:pPr>
              <w:spacing w:line="360" w:lineRule="auto"/>
              <w:rPr>
                <w:color w:val="auto"/>
                <w:sz w:val="21"/>
                <w:szCs w:val="21"/>
                <w:highlight w:val="none"/>
              </w:rPr>
            </w:pPr>
            <w:r>
              <w:rPr>
                <w:color w:val="auto"/>
                <w:sz w:val="21"/>
                <w:szCs w:val="21"/>
                <w:highlight w:val="none"/>
              </w:rPr>
              <w:t xml:space="preserve">存在其他严重违反合同约定或相关规范要求的情形的。发现1次扣10分。</w:t>
            </w:r>
            <w:r/>
          </w:p>
        </w:tc>
        <w:tc>
          <w:tcPr>
            <w:tcW w:w="7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10</w:t>
            </w:r>
            <w:r/>
          </w:p>
        </w:tc>
        <w:tc>
          <w:tcPr>
            <w:tcW w:w="70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0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bl>
    <w:p>
      <w:pPr>
        <w:ind w:firstLine="420"/>
        <w:spacing w:line="360" w:lineRule="auto"/>
        <w:rPr>
          <w:color w:val="auto"/>
          <w:highlight w:val="none"/>
        </w:rPr>
      </w:pPr>
      <w:r>
        <w:rPr>
          <w:rFonts w:hint="eastAsia"/>
          <w:color w:val="auto"/>
          <w:highlight w:val="none"/>
        </w:rPr>
        <w:t xml:space="preserve">3、考核结果应用</w:t>
      </w:r>
      <w:r/>
    </w:p>
    <w:p>
      <w:pPr>
        <w:ind w:firstLine="480"/>
        <w:jc w:val="left"/>
        <w:spacing w:line="360" w:lineRule="auto"/>
        <w:tabs>
          <w:tab w:val="left" w:pos="2870" w:leader="none"/>
        </w:tabs>
        <w:rPr>
          <w:rFonts w:ascii="宋体" w:hAnsi="宋体" w:cs="宋体"/>
          <w:bCs/>
          <w:color w:val="auto"/>
          <w:szCs w:val="21"/>
          <w:highlight w:val="none"/>
        </w:rPr>
      </w:pPr>
      <w:r>
        <w:rPr>
          <w:rFonts w:hint="eastAsia" w:ascii="宋体" w:hAnsi="宋体" w:cs="宋体"/>
          <w:bCs/>
          <w:color w:val="auto"/>
          <w:szCs w:val="21"/>
          <w:highlight w:val="none"/>
        </w:rPr>
        <w:t xml:space="preserve">采购人每月对中标单位实施考核，记录考核分数，并根据考核分数对应下列</w:t>
      </w:r>
      <w:r>
        <w:rPr>
          <w:rFonts w:hint="eastAsia" w:ascii="宋体" w:hAnsi="宋体" w:cs="宋体"/>
          <w:bCs/>
          <w:color w:val="auto"/>
          <w:szCs w:val="21"/>
          <w:highlight w:val="none"/>
          <w:lang w:val="en-US" w:eastAsia="zh-CN"/>
        </w:rPr>
        <w:t xml:space="preserve">扣</w:t>
      </w:r>
      <w:r>
        <w:rPr>
          <w:rFonts w:hint="eastAsia" w:ascii="宋体" w:hAnsi="宋体" w:cs="宋体"/>
          <w:bCs/>
          <w:color w:val="auto"/>
          <w:szCs w:val="21"/>
          <w:highlight w:val="none"/>
        </w:rPr>
        <w:t xml:space="preserve">款标准，如产生考核扣款，于项目整体验收合格后，在最后一笔合同金额支付时予以扣除。</w:t>
      </w:r>
      <w:r/>
    </w:p>
    <w:p>
      <w:pPr>
        <w:ind w:firstLine="480"/>
        <w:jc w:val="center"/>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考核扣款标准</w:t>
      </w:r>
      <w:r/>
    </w:p>
    <w:tbl>
      <w:tblPr>
        <w:tblStyle w:val="849"/>
        <w:tblW w:w="90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4"/>
        <w:gridCol w:w="1655"/>
        <w:gridCol w:w="5117"/>
      </w:tblGrid>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月考核分数</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评价等级</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扣款</w:t>
            </w:r>
            <w:r>
              <w:rPr>
                <w:rFonts w:hint="eastAsia" w:ascii="宋体" w:hAnsi="宋体" w:cs="宋体"/>
                <w:color w:val="auto"/>
                <w:szCs w:val="21"/>
                <w:highlight w:val="none"/>
              </w:rPr>
              <w:t xml:space="preserve">标准</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≥90</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优秀</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0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75</w:t>
            </w:r>
            <w:r>
              <w:rPr>
                <w:rFonts w:hint="eastAsia" w:ascii="宋体" w:hAnsi="宋体" w:cs="宋体"/>
                <w:color w:val="auto"/>
                <w:szCs w:val="21"/>
                <w:highlight w:val="none"/>
              </w:rPr>
              <w:t xml:space="preserve">～89</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良好</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74"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4</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20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74"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59</w:t>
            </w:r>
            <w:r/>
          </w:p>
        </w:tc>
        <w:tc>
          <w:tcPr>
            <w:tcW w:w="1655"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差</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u w:val="single"/>
              </w:rPr>
              <w:t xml:space="preserve">0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47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0</w:t>
            </w:r>
            <w:r/>
          </w:p>
        </w:tc>
        <w:tc>
          <w:tcPr>
            <w:tcW w:w="165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严重不合格</w:t>
            </w:r>
            <w:r/>
          </w:p>
        </w:tc>
        <w:tc>
          <w:tcPr>
            <w:tcW w:w="51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不予支付本期费用。</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注：当月服务费用=合同总金额÷12</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b/>
          <w:color w:val="auto"/>
          <w:szCs w:val="21"/>
          <w:highlight w:val="none"/>
        </w:rPr>
        <w:t xml:space="preserve">安全责任</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中标单位应对项目组成员做好安全培训，在项目实施过程中应注意人员和财产安全，如造成相关人员安全和财产损失问题的，一律由中标单位全权承担负责，采购单位不承担任何责任。</w:t>
      </w:r>
      <w:r/>
    </w:p>
    <w:p>
      <w:pPr>
        <w:jc w:val="left"/>
        <w:spacing w:line="360" w:lineRule="auto"/>
        <w:widowControl/>
        <w:rPr>
          <w:rFonts w:ascii="宋体" w:hAnsi="宋体" w:cs="宋体"/>
          <w:color w:val="auto"/>
          <w:szCs w:val="21"/>
          <w:highlight w:val="none"/>
        </w:rPr>
      </w:pPr>
      <w:r>
        <w:rPr>
          <w:rFonts w:hint="eastAsia" w:asciiTheme="minorEastAsia" w:hAnsiTheme="minorEastAsia" w:eastAsiaTheme="minorEastAsia" w:cstheme="minorEastAsia"/>
          <w:b/>
          <w:color w:val="auto"/>
          <w:szCs w:val="21"/>
          <w:highlight w:val="none"/>
        </w:rPr>
        <w:t xml:space="preserve">三、其他综合说明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1.中标单位按以上要求制定出具体的工作方案，达到的标准，提供的人力、物力。所提供的服务能够至少达到以上要求，同时明确详细的服务方案。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2.中标单位管理如不符合或达不到采购人的要求，采购人告知中标单位整改；若经整改后仍不能达到采购人要求，采购人有权终止合同，并无需支付因终止合同而产生的相关费用。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3.中标单位必须承诺招标文件中提出的全部要求，如果其中某些条款不响应时，应在文件中逐条列出，未列出的视同响应。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 若中标单位在服务期间，违反下列规定将被解除服务合同：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（1）严禁将承包的服务转包他人；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（2）按照国家劳动法规定聘用服务人员。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总报价一次报定，应包括完成采购范围内所有服务、人员（包括工资和补贴）、办公场所及设施、材料、仪器设备、车辆交通、保险、劳保、管理、利润、税金、政策性文件规定及合同包含的所有风险、责任等各项应有费用，以及为完成该项服务项目所涉及到的一切相关费用。</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6.本次招标分2个标段，投标人可投报全部标段，也可选择其中任一标段投标。按标段顺序评标并确定中标。</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本项目允许投标人同时参与多个标段（采购包）投标，但仅可在1个标段（采购包）中中标。本项目按一标段（采购包1），二标段（采购包2）顺序评审，如已中标一标段，将不再具有二标段的得标权，不能再作为有效的供应商参加二标段的评审，避免重复中标。如因有效投标供应商不足三家等情况出现废标，而导致重新招标的，已中标段单位也不再具有本重招项目的得标权，不能再作为有效的供应商参加重招项目。如已中标单位因质疑投诉或其他等原因被取消中标资格或不能签订合同而影响其他标段中标的，风险自行承担。</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8.制作电子投标文件时，因采购要求不相同，一至二标段投标文件的相应内容应上传至各个标段（采购包），否则由投标人自行承担一切后果。本项目一标段、二标段评分不同，投一标段至二标段中某一个或全部标段的供应商将标书分别上传至各个标段模块中。</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9</w:t>
      </w:r>
      <w:r>
        <w:rPr>
          <w:rFonts w:ascii="宋体" w:hAnsi="宋体" w:cs="宋体"/>
          <w:b/>
          <w:bCs/>
          <w:color w:val="auto"/>
          <w:szCs w:val="21"/>
          <w:highlight w:val="none"/>
        </w:rPr>
        <w:t xml:space="preserve">.</w:t>
      </w:r>
      <w:r>
        <w:rPr>
          <w:rFonts w:hint="eastAsia" w:ascii="宋体" w:hAnsi="宋体" w:cs="宋体"/>
          <w:b/>
          <w:bCs/>
          <w:color w:val="auto"/>
          <w:highlight w:val="none"/>
        </w:rPr>
        <w:t xml:space="preserve"> 供应商投标时应提供合同履行期内严格执行回避制度的承诺函（</w:t>
      </w:r>
      <w:r>
        <w:rPr>
          <w:rFonts w:hint="eastAsia" w:asciiTheme="minorEastAsia" w:hAnsiTheme="minorEastAsia" w:eastAsiaTheme="minorEastAsia" w:cstheme="minorEastAsia"/>
          <w:bCs/>
          <w:color w:val="auto"/>
          <w:szCs w:val="21"/>
          <w:highlight w:val="none"/>
        </w:rPr>
        <w:t xml:space="preserve">提供关于采购需求中“本项目的特定要求”的承诺函，格式自拟</w:t>
      </w:r>
      <w:r>
        <w:rPr>
          <w:rFonts w:hint="eastAsia" w:ascii="宋体" w:hAnsi="宋体" w:cs="宋体"/>
          <w:b/>
          <w:bCs/>
          <w:color w:val="auto"/>
          <w:highlight w:val="none"/>
        </w:rPr>
        <w:t xml:space="preserve">）。中标方在合同履行期内，应严格遵守相应的回避原则。</w:t>
      </w:r>
      <w:r>
        <w:rPr>
          <w:rFonts w:hint="eastAsia" w:ascii="宋体" w:hAnsi="宋体" w:cs="宋体"/>
          <w:b/>
          <w:bCs/>
          <w:color w:val="auto"/>
          <w:szCs w:val="21"/>
          <w:highlight w:val="none"/>
        </w:rPr>
        <w:t xml:space="preserve"> </w:t>
      </w:r>
      <w:r/>
    </w:p>
    <w:p>
      <w:pPr>
        <w:ind w:firstLine="422"/>
        <w:spacing w:line="400" w:lineRule="exact"/>
        <w:tabs>
          <w:tab w:val="left" w:pos="567" w:leader="none"/>
        </w:tabs>
        <w:rPr>
          <w:rFonts w:cs="宋体"/>
          <w:b/>
          <w:color w:val="auto"/>
          <w:highlight w:val="none"/>
        </w:rPr>
      </w:pPr>
      <w:r>
        <w:rPr>
          <w:rFonts w:ascii="宋体" w:hAnsi="宋体" w:cs="宋体"/>
          <w:b/>
          <w:bCs/>
          <w:color w:val="auto"/>
          <w:szCs w:val="21"/>
          <w:highlight w:val="none"/>
        </w:rPr>
        <w:t xml:space="preserve">10.</w:t>
      </w:r>
      <w:r>
        <w:rPr>
          <w:rFonts w:hint="eastAsia" w:cs="宋体"/>
          <w:b/>
          <w:color w:val="auto"/>
          <w:highlight w:val="none"/>
        </w:rPr>
        <w:t xml:space="preserve"> 盲样领取</w:t>
      </w:r>
      <w:r/>
    </w:p>
    <w:p>
      <w:pPr>
        <w:ind w:left="567"/>
        <w:spacing w:line="400" w:lineRule="exact"/>
        <w:tabs>
          <w:tab w:val="left" w:pos="567" w:leader="none"/>
        </w:tabs>
        <w:rPr>
          <w:rFonts w:cs="宋体"/>
          <w:b/>
          <w:color w:val="auto"/>
          <w:highlight w:val="none"/>
        </w:rPr>
      </w:pPr>
      <w:r>
        <w:rPr>
          <w:rFonts w:cs="宋体"/>
          <w:b/>
          <w:color w:val="auto"/>
          <w:highlight w:val="none"/>
        </w:rPr>
        <w:t xml:space="preserve">（</w:t>
      </w:r>
      <w:r>
        <w:rPr>
          <w:rFonts w:hint="eastAsia" w:cs="宋体"/>
          <w:b/>
          <w:color w:val="auto"/>
          <w:highlight w:val="none"/>
        </w:rPr>
        <w:t xml:space="preserve">1</w:t>
      </w:r>
      <w:r>
        <w:rPr>
          <w:rFonts w:cs="宋体"/>
          <w:b/>
          <w:color w:val="auto"/>
          <w:highlight w:val="none"/>
        </w:rPr>
        <w:t xml:space="preserve">）</w:t>
      </w:r>
      <w:r>
        <w:rPr>
          <w:rFonts w:hint="eastAsia" w:cs="宋体"/>
          <w:b/>
          <w:color w:val="auto"/>
          <w:highlight w:val="none"/>
        </w:rPr>
        <w:t xml:space="preserve">领取时间：2026年6月12日上午10:00～10:30。逾期领取视为放弃。</w:t>
      </w:r>
      <w:r/>
    </w:p>
    <w:p>
      <w:pPr>
        <w:ind w:left="567"/>
        <w:spacing w:line="400" w:lineRule="exact"/>
        <w:tabs>
          <w:tab w:val="left" w:pos="567" w:leader="none"/>
        </w:tabs>
        <w:rPr>
          <w:rFonts w:cs="宋体"/>
          <w:b/>
          <w:color w:val="auto"/>
          <w:highlight w:val="none"/>
        </w:rPr>
      </w:pPr>
      <w:r>
        <w:rPr>
          <w:rFonts w:cs="宋体"/>
          <w:b/>
          <w:color w:val="auto"/>
          <w:highlight w:val="none"/>
        </w:rPr>
        <w:t xml:space="preserve">（</w:t>
      </w:r>
      <w:r>
        <w:rPr>
          <w:rFonts w:hint="eastAsia" w:cs="宋体"/>
          <w:b/>
          <w:color w:val="auto"/>
          <w:highlight w:val="none"/>
        </w:rPr>
        <w:t xml:space="preserve">2</w:t>
      </w:r>
      <w:r>
        <w:rPr>
          <w:rFonts w:cs="宋体"/>
          <w:b/>
          <w:color w:val="auto"/>
          <w:highlight w:val="none"/>
        </w:rPr>
        <w:t xml:space="preserve">）</w:t>
      </w:r>
      <w:r>
        <w:rPr>
          <w:rFonts w:hint="eastAsia" w:cs="宋体"/>
          <w:b/>
          <w:color w:val="auto"/>
          <w:highlight w:val="none"/>
        </w:rPr>
        <w:t xml:space="preserve">领取地点：苏州市吴中区澄湖路888号恒润国际广场B座219室 。</w:t>
      </w:r>
      <w:r/>
    </w:p>
    <w:p>
      <w:pPr>
        <w:ind w:left="567"/>
        <w:spacing w:line="400" w:lineRule="exact"/>
        <w:tabs>
          <w:tab w:val="left" w:pos="567" w:leader="none"/>
        </w:tabs>
        <w:rPr>
          <w:rFonts w:cs="宋体"/>
          <w:b/>
          <w:color w:val="auto"/>
          <w:highlight w:val="none"/>
        </w:rPr>
      </w:pPr>
      <w:r>
        <w:rPr>
          <w:rFonts w:cs="宋体"/>
          <w:b/>
          <w:color w:val="auto"/>
          <w:highlight w:val="none"/>
        </w:rPr>
        <w:t xml:space="preserve">（</w:t>
      </w:r>
      <w:r>
        <w:rPr>
          <w:rFonts w:hint="eastAsia" w:cs="宋体"/>
          <w:b/>
          <w:color w:val="auto"/>
          <w:highlight w:val="none"/>
        </w:rPr>
        <w:t xml:space="preserve">3</w:t>
      </w:r>
      <w:r>
        <w:rPr>
          <w:rFonts w:cs="宋体"/>
          <w:b/>
          <w:color w:val="auto"/>
          <w:highlight w:val="none"/>
        </w:rPr>
        <w:t xml:space="preserve">）</w:t>
      </w:r>
      <w:r>
        <w:rPr>
          <w:rFonts w:hint="eastAsia" w:cs="宋体"/>
          <w:b/>
          <w:color w:val="auto"/>
          <w:highlight w:val="none"/>
        </w:rPr>
        <w:t xml:space="preserve">领取说明：本次盲样领取采用购买形式，且不作领取登记，因此仅限现金</w:t>
      </w:r>
      <w:r>
        <w:rPr>
          <w:rFonts w:hint="eastAsia" w:cs="宋体"/>
          <w:b/>
          <w:color w:val="auto"/>
          <w:highlight w:val="none"/>
        </w:rPr>
        <w:t xml:space="preserve">，金额为</w:t>
      </w:r>
      <w:r>
        <w:rPr>
          <w:rFonts w:cs="宋体"/>
          <w:b/>
          <w:color w:val="auto"/>
          <w:highlight w:val="none"/>
          <w:u w:val="single"/>
        </w:rPr>
        <w:t xml:space="preserve">500</w:t>
      </w:r>
      <w:r>
        <w:rPr>
          <w:rFonts w:hint="eastAsia" w:cs="宋体"/>
          <w:b/>
          <w:color w:val="auto"/>
          <w:highlight w:val="none"/>
        </w:rPr>
        <w:t xml:space="preserve">元，</w:t>
      </w:r>
      <w:r>
        <w:rPr>
          <w:rFonts w:hint="eastAsia" w:cs="宋体"/>
          <w:b/>
          <w:color w:val="auto"/>
          <w:highlight w:val="none"/>
        </w:rPr>
        <w:t xml:space="preserve">各已成功报名的供应商若因未带现金等自身原因导致未能成功领取盲样，一切后果由供应商自行承担。开标结束后7个工作日内，各投标供应商凭代理机构发放的收款凭证至代理机构开取盲样购买发票。本次盲样包中包含一张采购方编制的盲样编号页原件，投标时须将此原件直接扫描进电子投标文件中，否则盲样考核不得分。盲样考核结果报告等资料须上传至电子投标文件相应模块中。如供应商同时投多个标段，仅进行一次盲样考核。</w:t>
      </w:r>
      <w:r/>
    </w:p>
    <w:p>
      <w:pPr>
        <w:ind w:firstLine="420"/>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widowControl/>
        <w:rPr>
          <w:rFonts w:eastAsiaTheme="minorEastAsia"/>
          <w:bCs/>
          <w:color w:val="auto"/>
          <w:sz w:val="44"/>
          <w:szCs w:val="44"/>
          <w:highlight w:val="none"/>
        </w:rPr>
      </w:pPr>
      <w:r>
        <w:rPr>
          <w:rFonts w:hint="eastAsia" w:asciiTheme="minorEastAsia" w:hAnsiTheme="minorEastAsia" w:eastAsiaTheme="minorEastAsia" w:cstheme="minorEastAsia"/>
          <w:b/>
          <w:color w:val="auto"/>
          <w:szCs w:val="21"/>
          <w:highlight w:val="none"/>
        </w:rPr>
        <w:t xml:space="preserve">四、</w:t>
      </w:r>
      <w:r>
        <w:rPr>
          <w:rFonts w:hint="eastAsia" w:ascii="宋体" w:hAnsi="宋体" w:cs="宋体"/>
          <w:color w:val="auto"/>
          <w:szCs w:val="21"/>
          <w:highlight w:val="none"/>
          <w:lang w:val="zh-CN" w:bidi="ar"/>
        </w:rPr>
        <w:t xml:space="preserve">凡涉及招标文件的补充说明和修改，均以苏州政府采购网所发布的公告为准。</w:t>
      </w:r>
      <w:r/>
    </w:p>
    <w:p>
      <w:pPr>
        <w:rPr>
          <w:rFonts w:eastAsiaTheme="minorEastAsia"/>
          <w:bCs/>
          <w:color w:val="auto"/>
          <w:sz w:val="44"/>
          <w:szCs w:val="44"/>
          <w:highlight w:val="none"/>
        </w:rPr>
      </w:pPr>
      <w:r>
        <w:rPr>
          <w:rFonts w:eastAsiaTheme="minorEastAsia"/>
          <w:bCs/>
          <w:color w:val="auto"/>
          <w:sz w:val="44"/>
          <w:szCs w:val="44"/>
          <w:highlight w:val="none"/>
        </w:rPr>
        <w:br w:type="page" w:clear="all"/>
      </w:r>
      <w:r/>
    </w:p>
    <w:p>
      <w:pPr>
        <w:jc w:val="center"/>
        <w:spacing w:line="360" w:lineRule="auto"/>
        <w:widowControl/>
        <w:rPr>
          <w:rFonts w:eastAsiaTheme="minorEastAsia"/>
          <w:bCs/>
          <w:color w:val="auto"/>
          <w:sz w:val="44"/>
          <w:szCs w:val="44"/>
          <w:highlight w:val="none"/>
        </w:rPr>
        <w:outlineLvl w:val="0"/>
      </w:pPr>
      <w:r/>
      <w:bookmarkStart w:id="68" w:name="_Toc4969"/>
      <w:r>
        <w:rPr>
          <w:rFonts w:eastAsiaTheme="minorEastAsia"/>
          <w:bCs/>
          <w:color w:val="auto"/>
          <w:sz w:val="44"/>
          <w:szCs w:val="44"/>
          <w:highlight w:val="none"/>
        </w:rPr>
        <w:t xml:space="preserve">第五章</w:t>
      </w:r>
      <w:r>
        <w:rPr>
          <w:rFonts w:hint="eastAsia" w:eastAsiaTheme="minorEastAsia"/>
          <w:bCs/>
          <w:color w:val="auto"/>
          <w:sz w:val="44"/>
          <w:szCs w:val="44"/>
          <w:highlight w:val="none"/>
        </w:rPr>
        <w:t xml:space="preserve"> </w:t>
      </w:r>
      <w:r>
        <w:rPr>
          <w:rFonts w:eastAsiaTheme="minorEastAsia"/>
          <w:bCs/>
          <w:color w:val="auto"/>
          <w:sz w:val="44"/>
          <w:szCs w:val="44"/>
          <w:highlight w:val="none"/>
        </w:rPr>
        <w:t xml:space="preserve">合同文本</w:t>
      </w:r>
      <w:bookmarkEnd w:id="68"/>
      <w:r/>
      <w:r/>
    </w:p>
    <w:p>
      <w:pPr>
        <w:ind w:firstLine="480"/>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政府采购合同（适用标段一）</w:t>
      </w:r>
      <w:r/>
    </w:p>
    <w:p>
      <w:pPr>
        <w:pStyle w:val="906"/>
        <w:jc w:val="center"/>
        <w:rPr>
          <w:rFonts w:cs="宋体"/>
          <w:color w:val="auto"/>
          <w:sz w:val="21"/>
          <w:highlight w:val="none"/>
        </w:rPr>
      </w:pPr>
      <w:r>
        <w:rPr>
          <w:rFonts w:hint="eastAsia" w:cs="宋体"/>
          <w:color w:val="auto"/>
          <w:sz w:val="21"/>
          <w:highlight w:val="none"/>
        </w:rPr>
        <w:t xml:space="preserve">                                                  采购编号：</w:t>
      </w:r>
      <w:r/>
    </w:p>
    <w:p>
      <w:pPr>
        <w:jc w:val="center"/>
        <w:rPr>
          <w:color w:val="auto"/>
          <w:highlight w:val="none"/>
        </w:rPr>
      </w:pPr>
      <w:r>
        <w:rPr>
          <w:rFonts w:hint="eastAsia" w:ascii="宋体" w:hAnsi="宋体" w:cs="宋体"/>
          <w:color w:val="auto"/>
          <w:szCs w:val="21"/>
          <w:highlight w:val="none"/>
        </w:rPr>
        <w:t xml:space="preserve">                                                     </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 苏州市相城生态环境局</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 </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 </w:t>
      </w:r>
      <w:r/>
    </w:p>
    <w:p>
      <w:pPr>
        <w:ind w:firstLine="48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电话：</w:t>
      </w:r>
      <w:r/>
    </w:p>
    <w:p>
      <w:pPr>
        <w:ind w:firstLine="480"/>
        <w:jc w:val="left"/>
        <w:spacing w:line="360" w:lineRule="auto"/>
        <w:rPr>
          <w:rFonts w:ascii="宋体" w:hAnsi="宋体" w:cs="宋体"/>
          <w:color w:val="auto"/>
          <w:szCs w:val="21"/>
          <w:highlight w:val="none"/>
          <w:lang w:bidi="ar"/>
        </w:rPr>
      </w:pPr>
      <w:r>
        <w:rPr>
          <w:rFonts w:ascii="宋体" w:hAnsi="宋体" w:cs="宋体"/>
          <w:color w:val="auto"/>
          <w:szCs w:val="21"/>
          <w:highlight w:val="none"/>
          <w:lang w:bidi="ar"/>
        </w:rPr>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根据《中华人民共和国民法典》、《中华人民共和国政府采购法》及有关法律规定，遵循平等、自愿、公平和诚实信用的原则，根据</w:t>
      </w:r>
      <w:r>
        <w:rPr>
          <w:rFonts w:hint="eastAsia" w:ascii="宋体" w:hAnsi="宋体" w:cs="宋体"/>
          <w:color w:val="auto"/>
          <w:szCs w:val="21"/>
          <w:highlight w:val="none"/>
          <w:u w:val="single"/>
          <w:lang w:bidi="ar"/>
        </w:rPr>
        <w:t xml:space="preserve"> 永立工程咨询（江苏）有限公司 </w:t>
      </w:r>
      <w:r>
        <w:rPr>
          <w:rFonts w:hint="eastAsia" w:ascii="宋体" w:hAnsi="宋体" w:cs="宋体"/>
          <w:color w:val="auto"/>
          <w:szCs w:val="21"/>
          <w:highlight w:val="none"/>
          <w:lang w:bidi="ar"/>
        </w:rPr>
        <w:t xml:space="preserve">采购编号</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号招标文件及该文件的响应文件和成交通知书，甲乙双方就此次成交的</w:t>
      </w:r>
      <w:r>
        <w:rPr>
          <w:rFonts w:hint="eastAsia" w:ascii="宋体" w:hAnsi="宋体" w:cs="宋体"/>
          <w:color w:val="auto"/>
          <w:szCs w:val="21"/>
          <w:highlight w:val="none"/>
          <w:u w:val="single"/>
          <w:lang w:bidi="ar"/>
        </w:rPr>
        <w:t xml:space="preserve">            </w:t>
      </w:r>
      <w:r>
        <w:rPr>
          <w:rFonts w:hint="eastAsia" w:ascii="宋体" w:hAnsi="宋体" w:cs="宋体"/>
          <w:b/>
          <w:bCs/>
          <w:color w:val="auto"/>
          <w:szCs w:val="21"/>
          <w:highlight w:val="none"/>
          <w:u w:val="single"/>
          <w:lang w:bidi="ar"/>
        </w:rPr>
        <w:t xml:space="preserve">（第一标段</w:t>
      </w:r>
      <w:r>
        <w:rPr>
          <w:rFonts w:hint="eastAsia" w:ascii="宋体" w:hAnsi="宋体" w:cs="宋体"/>
          <w:color w:val="auto"/>
          <w:szCs w:val="21"/>
          <w:highlight w:val="none"/>
          <w:u w:val="single"/>
          <w:lang w:bidi="ar"/>
        </w:rPr>
        <w:t xml:space="preserve">）</w:t>
      </w:r>
      <w:r>
        <w:rPr>
          <w:rFonts w:hint="eastAsia" w:ascii="宋体" w:hAnsi="宋体" w:cs="宋体"/>
          <w:color w:val="auto"/>
          <w:szCs w:val="21"/>
          <w:highlight w:val="none"/>
          <w:lang w:bidi="ar"/>
        </w:rPr>
        <w:t xml:space="preserve">事宜，签订本合同书</w:t>
      </w:r>
      <w:r>
        <w:rPr>
          <w:rFonts w:hint="eastAsia" w:ascii="宋体" w:hAnsi="宋体" w:cs="宋体"/>
          <w:color w:val="auto"/>
          <w:szCs w:val="21"/>
          <w:highlight w:val="none"/>
          <w:lang w:eastAsia="zh-Hans" w:bidi="ar"/>
        </w:rPr>
        <w:t xml:space="preserve">，以</w:t>
      </w:r>
      <w:r>
        <w:rPr>
          <w:rFonts w:hint="eastAsia" w:ascii="宋体" w:hAnsi="宋体" w:cs="宋体"/>
          <w:color w:val="auto"/>
          <w:szCs w:val="21"/>
          <w:highlight w:val="none"/>
          <w:lang w:bidi="ar"/>
        </w:rPr>
        <w:t xml:space="preserve">兹</w:t>
      </w:r>
      <w:r>
        <w:rPr>
          <w:rFonts w:hint="eastAsia" w:ascii="宋体" w:hAnsi="宋体" w:cs="宋体"/>
          <w:color w:val="auto"/>
          <w:szCs w:val="21"/>
          <w:highlight w:val="none"/>
          <w:lang w:eastAsia="zh-Hans" w:bidi="ar"/>
        </w:rPr>
        <w:t xml:space="preserve">共同遵守</w:t>
      </w:r>
      <w:r>
        <w:rPr>
          <w:rFonts w:hint="eastAsia" w:ascii="宋体" w:hAnsi="宋体" w:cs="宋体"/>
          <w:color w:val="auto"/>
          <w:szCs w:val="21"/>
          <w:highlight w:val="none"/>
          <w:lang w:bidi="ar"/>
        </w:rPr>
        <w:t xml:space="preserve">。</w:t>
      </w:r>
      <w:r/>
    </w:p>
    <w:p>
      <w:pPr>
        <w:ind w:firstLine="482"/>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一、合同内容</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1、乙方负责完成甲方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项目的服务工作</w:t>
      </w:r>
      <w:r>
        <w:rPr>
          <w:rFonts w:hint="eastAsia" w:ascii="宋体" w:hAnsi="宋体" w:cs="宋体"/>
          <w:b/>
          <w:bCs/>
          <w:color w:val="auto"/>
          <w:szCs w:val="21"/>
          <w:highlight w:val="none"/>
        </w:rPr>
        <w:t xml:space="preserve">（第一标段）</w:t>
      </w:r>
      <w:r>
        <w:rPr>
          <w:rFonts w:hint="eastAsia" w:ascii="宋体" w:hAnsi="宋体" w:cs="宋体"/>
          <w:color w:val="auto"/>
          <w:szCs w:val="21"/>
          <w:highlight w:val="none"/>
        </w:rPr>
        <w:t xml:space="preserve">。</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2、下列文件为本合同不可分割部分：</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①采购文件及其附件；</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②乙方的响应文件；</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③乙方在投标过程中所作的其它承诺、声明、书面澄清等；</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④成交通知书；</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⑤本合同及其合同附件。</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以上与本合同具有同等法律效力；如上述文件之前内容不一致的，如是技术标准方面的，则以标准高者为准。如仍不明确或不一致，则以甲方的解释和澄清为准。</w:t>
      </w:r>
      <w:r/>
    </w:p>
    <w:p>
      <w:pPr>
        <w:ind w:firstLine="48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二、合同价款和支付</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1、合同价格按此次成交价格执行，合同总金额（含税）为人民币大写：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元整，小写（￥：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.00元整）。</w:t>
      </w:r>
      <w:r/>
    </w:p>
    <w:p>
      <w:pPr>
        <w:ind w:firstLine="480"/>
        <w:jc w:val="left"/>
        <w:spacing w:line="360" w:lineRule="auto"/>
        <w:rPr>
          <w:rFonts w:ascii="宋体" w:hAnsi="宋体"/>
          <w:bCs/>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.1</w:t>
      </w:r>
      <w:r>
        <w:rPr>
          <w:rFonts w:hint="eastAsia" w:ascii="宋体" w:hAnsi="宋体" w:cs="宋体"/>
          <w:color w:val="auto"/>
          <w:szCs w:val="21"/>
          <w:highlight w:val="none"/>
        </w:rPr>
        <w:t xml:space="preserve">合同价款包含完成采购范围内所有服务、人员（包括工资和补贴）、办公场所及设施、材料、仪器设备、车辆交通、保险、劳保、管理、利润、税金、政策性文件规定及合同包含的所有风险、责任等各项应有费用，以及为完成该项服务项目所涉及到的一切相关费用。</w:t>
      </w:r>
      <w:r>
        <w:rPr>
          <w:rFonts w:hint="eastAsia" w:ascii="宋体" w:hAnsi="宋体"/>
          <w:bCs/>
          <w:color w:val="auto"/>
          <w:szCs w:val="21"/>
          <w:highlight w:val="none"/>
        </w:rPr>
        <w:t xml:space="preserve">同时，除非合同条款中另有规定，否则，乙方所报价格在合同实施期间不因市场变化因素而变动，未经甲方书面确认，甲方不再另行支付其他任何费用。</w:t>
      </w:r>
      <w:r/>
    </w:p>
    <w:p>
      <w:pPr>
        <w:ind w:firstLine="480"/>
        <w:spacing w:line="360" w:lineRule="auto"/>
        <w:widowControl/>
        <w:rPr>
          <w:rFonts w:ascii="宋体" w:hAnsi="宋体"/>
          <w:bCs/>
          <w:color w:val="auto"/>
          <w:szCs w:val="21"/>
          <w:highlight w:val="none"/>
        </w:rPr>
      </w:pPr>
      <w:r>
        <w:rPr>
          <w:rFonts w:hint="eastAsia" w:ascii="宋体" w:hAnsi="宋体"/>
          <w:bCs/>
          <w:color w:val="auto"/>
          <w:szCs w:val="21"/>
          <w:highlight w:val="none"/>
        </w:rPr>
        <w:t xml:space="preserve">1.2根据现行税法对甲方征收的与本合同有关的一切税费均由甲方承担；根据现行税法对乙方征收的与本合同有关的一切税费均由乙方承担。合同实施过程中，如发生税费比例调整，则双方同意：如税费比例上调，则合同含税总价不变，上调部分的税费由乙方自行承担；如税费比例下调，则合同含税总价下调，其中不含税金额不变，增值税金额按照下调后的税费比例计取。</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付款步骤：合同签订生效后一个月内甲方支付合同总价30%的预付款，于2026年11月支付至合同总价的70%，项目结束后对本项目履约情况进行整体验收，甲方将每月考核情况合计后，扣除考核扣款（如有）后一次性支付剩余合同金额。</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3、乙方提请甲方付款结算时需提供以下资料：</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（1）合法有效且符合甲方要求的发票；</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（2）其他相关材料。</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若乙方未按约定提供上述资料的，甲方有权迟延付款且不承担逾期付款的违约责任。</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4、付款方式：转账。</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5、乙方账户信息如下：</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rPr>
        <w:t xml:space="preserve">）账户名：</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w:t>
      </w:r>
      <w:r>
        <w:rPr>
          <w:rFonts w:hint="eastAsia" w:ascii="宋体" w:hAnsi="宋体" w:cs="宋体"/>
          <w:color w:val="auto"/>
          <w:szCs w:val="21"/>
          <w:highlight w:val="none"/>
        </w:rPr>
        <w:t xml:space="preserve">）开户行：</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3</w:t>
      </w:r>
      <w:r>
        <w:rPr>
          <w:rFonts w:hint="eastAsia" w:ascii="宋体" w:hAnsi="宋体" w:cs="宋体"/>
          <w:color w:val="auto"/>
          <w:szCs w:val="21"/>
          <w:highlight w:val="none"/>
        </w:rPr>
        <w:t xml:space="preserve">）账  号：</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w:t>
      </w:r>
      <w:r>
        <w:rPr>
          <w:rFonts w:hint="eastAsia" w:ascii="宋体" w:hAnsi="宋体" w:cs="宋体"/>
          <w:b/>
          <w:bCs/>
          <w:color w:val="auto"/>
          <w:szCs w:val="21"/>
          <w:highlight w:val="none"/>
        </w:rPr>
        <w:t xml:space="preserve">服务期限、地点</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1、服务期限：2026年6月30日至2027年6月29日。</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2、服务地点：苏州市相城生态环境局指定地点。</w:t>
      </w:r>
      <w:r/>
    </w:p>
    <w:p>
      <w:pPr>
        <w:ind w:firstLine="470"/>
        <w:jc w:val="left"/>
        <w:spacing w:line="360" w:lineRule="auto"/>
        <w:rPr>
          <w:rFonts w:ascii="宋体" w:hAnsi="宋体" w:cs="宋体"/>
          <w:b/>
          <w:bCs/>
          <w:color w:val="auto"/>
          <w:spacing w:val="-3"/>
          <w:szCs w:val="21"/>
          <w:highlight w:val="none"/>
        </w:rPr>
      </w:pPr>
      <w:r>
        <w:rPr>
          <w:rFonts w:hint="eastAsia" w:ascii="宋体" w:hAnsi="宋体" w:cs="宋体"/>
          <w:b/>
          <w:bCs/>
          <w:color w:val="auto"/>
          <w:spacing w:val="-3"/>
          <w:szCs w:val="21"/>
          <w:highlight w:val="none"/>
        </w:rPr>
        <w:t xml:space="preserve">四</w:t>
      </w:r>
      <w:r>
        <w:rPr>
          <w:rFonts w:hint="eastAsia" w:ascii="宋体" w:hAnsi="宋体" w:cs="宋体"/>
          <w:b/>
          <w:bCs/>
          <w:color w:val="auto"/>
          <w:spacing w:val="-3"/>
          <w:szCs w:val="21"/>
          <w:highlight w:val="none"/>
          <w:lang w:val="en-AU" w:eastAsia="zh-Hans"/>
        </w:rPr>
        <w:t xml:space="preserve">、</w:t>
      </w:r>
      <w:r>
        <w:rPr>
          <w:rFonts w:hint="eastAsia" w:ascii="宋体" w:hAnsi="宋体" w:cs="宋体"/>
          <w:b/>
          <w:bCs/>
          <w:color w:val="auto"/>
          <w:szCs w:val="21"/>
          <w:highlight w:val="none"/>
        </w:rPr>
        <w:t xml:space="preserve">服务内容及要求：</w:t>
      </w:r>
      <w:r/>
    </w:p>
    <w:p>
      <w:pPr>
        <w:ind w:firstLine="420"/>
        <w:jc w:val="left"/>
        <w:spacing w:line="360" w:lineRule="auto"/>
        <w:rPr>
          <w:rFonts w:asciiTheme="minorEastAsia" w:hAnsiTheme="minorEastAsia" w:eastAsiaTheme="minorEastAsia" w:cstheme="minorEastAsia"/>
          <w:b/>
          <w:color w:val="auto"/>
          <w:szCs w:val="21"/>
          <w:highlight w:val="none"/>
        </w:rPr>
      </w:pPr>
      <w:r>
        <w:rPr>
          <w:rFonts w:asciiTheme="minorEastAsia" w:hAnsiTheme="minorEastAsia" w:eastAsiaTheme="minorEastAsia" w:cstheme="minorEastAsia"/>
          <w:b/>
          <w:color w:val="auto"/>
          <w:szCs w:val="21"/>
          <w:highlight w:val="none"/>
        </w:rPr>
        <w:t xml:space="preserve">（一）项目概况</w:t>
      </w:r>
      <w:r/>
    </w:p>
    <w:p>
      <w:pPr>
        <w:ind w:firstLine="420"/>
        <w:jc w:val="left"/>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Cs w:val="21"/>
          <w:highlight w:val="none"/>
        </w:rPr>
        <w:t xml:space="preserve">根据《江苏省污染源自动监测监控管理办法》、《2025 年全市生态环境监测方案》，对相城区污染源在线监控点位，包括废水、废气点位、用电监控、视频监控点位开展平台巡查、应急监理、AI非现场技术研判服务、自动监控比对、等各项污染源在线监控管理工作，辅助开展污染源在线监测设备运维服务质量等级评价，对污染源在线监控安装和运维质量开展检查和评价。</w:t>
      </w:r>
      <w:r/>
    </w:p>
    <w:p>
      <w:pPr>
        <w:ind w:left="420"/>
        <w:spacing w:line="360" w:lineRule="auto"/>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t xml:space="preserve">（二）服务内容</w:t>
      </w:r>
      <w:r/>
    </w:p>
    <w:p>
      <w:pPr>
        <w:ind w:firstLine="420"/>
        <w:jc w:val="left"/>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服务内容包括九个方面，具体要求</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 监控平台巡查</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 应急监理</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 AI非现场技术研判服务</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 手工比对监测</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 技术指导</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(6)辅助运维质量评价</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 闭环管理</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 培训服务</w:t>
      </w:r>
      <w:r/>
    </w:p>
    <w:p>
      <w:pPr>
        <w:ind w:firstLine="420"/>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（三）服务要求</w:t>
      </w:r>
      <w:r/>
    </w:p>
    <w:p>
      <w:pPr>
        <w:ind w:firstLine="480"/>
        <w:jc w:val="left"/>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rPr>
        <w:t xml:space="preserve">）本项目要求配置项目负责人1人，技术负责人1人，质量负责人1名，监理人员不少于4人，自动监控平台巡查人员2人，技术人员均应持证上岗。</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Theme="minorEastAsia" w:hAnsiTheme="minorEastAsia" w:eastAsiaTheme="minorEastAsia" w:cstheme="minorEastAsia"/>
          <w:color w:val="auto"/>
          <w:szCs w:val="21"/>
          <w:highlight w:val="none"/>
        </w:rPr>
        <w:t xml:space="preserve">收</w:t>
      </w:r>
      <w:r>
        <w:rPr>
          <w:rFonts w:hint="eastAsia" w:asciiTheme="minorEastAsia" w:hAnsiTheme="minorEastAsia" w:eastAsiaTheme="minorEastAsia" w:cstheme="minorEastAsia"/>
          <w:color w:val="auto"/>
          <w:szCs w:val="21"/>
          <w:highlight w:val="none"/>
        </w:rPr>
        <w:t xml:space="preserve">到国发、省、本地平台预警信息，于2小时内结合企业报送的情况说明以及多渠道验证信息开展初步非现场研判，必要时配合执法活动开展现场仪器管路线路检查。检查方式包括但不限于质控样比对、人工采样送实验室分析等，于24小时内上报实验室分析结果，3 个工作日内递交监测/检测报告。每月预警处置闭环情况，现场检查情况按月度汇总后形成月度报告报采购人。 </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Theme="minorEastAsia" w:hAnsiTheme="minorEastAsia" w:eastAsiaTheme="minorEastAsia" w:cstheme="minorEastAsia"/>
          <w:color w:val="auto"/>
          <w:szCs w:val="21"/>
          <w:highlight w:val="none"/>
        </w:rPr>
        <w:t xml:space="preserve">服务期内对2026年水重点排污单位和大气重点排污单位进行自动监控设施手工比对监测，</w:t>
      </w:r>
      <w:r>
        <w:rPr>
          <w:rFonts w:hint="eastAsia" w:asciiTheme="minorEastAsia" w:hAnsiTheme="minorEastAsia" w:eastAsiaTheme="minorEastAsia" w:cstheme="minorEastAsia"/>
          <w:color w:val="auto"/>
          <w:szCs w:val="21"/>
          <w:highlight w:val="none"/>
        </w:rPr>
        <w:t xml:space="preserve">并出具检验检测报告。</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Theme="minorEastAsia" w:hAnsiTheme="minorEastAsia" w:eastAsiaTheme="minorEastAsia" w:cstheme="minorEastAsia"/>
          <w:color w:val="auto"/>
          <w:szCs w:val="21"/>
          <w:highlight w:val="none"/>
        </w:rPr>
        <w:t xml:space="preserve">服务期内对相城区自动监控设施联网的排污单位开展技术培训，不少于 2 次。</w:t>
      </w:r>
      <w:r/>
    </w:p>
    <w:p>
      <w:pPr>
        <w:ind w:firstLine="420"/>
        <w:jc w:val="left"/>
        <w:spacing w:line="360" w:lineRule="auto"/>
        <w:tabs>
          <w:tab w:val="left" w:pos="2870" w:leader="none"/>
        </w:tabs>
        <w:rPr>
          <w:rFonts w:ascii="宋体" w:hAnsi="宋体" w:cs="宋体"/>
          <w:b/>
          <w:bCs/>
          <w:color w:val="auto"/>
          <w:spacing w:val="-3"/>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ascii="宋体" w:hAnsi="宋体" w:cs="宋体"/>
          <w:color w:val="auto"/>
          <w:szCs w:val="21"/>
          <w:highlight w:val="none"/>
        </w:rPr>
        <w:t xml:space="preserve">其</w:t>
      </w:r>
      <w:r>
        <w:rPr>
          <w:rFonts w:ascii="宋体" w:hAnsi="宋体" w:cs="宋体"/>
          <w:color w:val="auto"/>
          <w:szCs w:val="21"/>
          <w:highlight w:val="none"/>
        </w:rPr>
        <w:t xml:space="preserve">他要求见招标文件；</w:t>
      </w:r>
      <w:r/>
    </w:p>
    <w:p>
      <w:pPr>
        <w:ind w:firstLine="470"/>
        <w:jc w:val="left"/>
        <w:spacing w:line="360" w:lineRule="auto"/>
        <w:rPr>
          <w:rFonts w:ascii="宋体" w:hAnsi="宋体" w:cs="宋体"/>
          <w:color w:val="auto"/>
          <w:szCs w:val="21"/>
          <w:highlight w:val="none"/>
        </w:rPr>
      </w:pPr>
      <w:r>
        <w:rPr>
          <w:rFonts w:hint="eastAsia" w:ascii="宋体" w:hAnsi="宋体" w:cs="宋体"/>
          <w:b/>
          <w:bCs/>
          <w:color w:val="auto"/>
          <w:spacing w:val="-3"/>
          <w:szCs w:val="21"/>
          <w:highlight w:val="none"/>
        </w:rPr>
        <w:t xml:space="preserve">五、甲、乙双方的义务</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1、乙方应当认真执行并按时完成服务工作，自觉接受甲方监督，乙方应当坚守工作范围的职责。</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Theme="minorEastAsia" w:hAnsiTheme="minorEastAsia" w:eastAsiaTheme="minorEastAsia" w:cstheme="minorEastAsia"/>
          <w:color w:val="auto"/>
          <w:szCs w:val="21"/>
          <w:highlight w:val="none"/>
        </w:rPr>
        <w:t xml:space="preserve">本项目服务期内，乙方应保证在相城区无污染源相关仪器设备的运维业务；且与相城区内从事污染源在线监控企业端运维服务的单位不得有密切业务关系，提供承诺函。</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乙方在项目实施过程中，必须按照采购文件要求及响应文件中的承诺配置本项目专业技术人员。在合同期内，乙方及其工作人员须服从甲方的一切规章制度及安排。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乙方及其专业人员应当遵守保密原则，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同意或者属于法律、行政法规允许的范围。</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甲方提交给乙方使用的相关资料，其知识产权仍归甲方所有。除为本合同目的而使用之外，乙方不得复制、使用及提供给第三方。乙方应能保证所提供服务涉及到的知识产权是合法取得，并享有完整的知识产权，不会因为</w:t>
      </w:r>
      <w:r>
        <w:rPr>
          <w:rFonts w:ascii="宋体" w:hAnsi="宋体" w:cs="宋体"/>
          <w:color w:val="auto"/>
          <w:szCs w:val="21"/>
          <w:highlight w:val="none"/>
        </w:rPr>
        <w:t xml:space="preserve">甲</w:t>
      </w:r>
      <w:r>
        <w:rPr>
          <w:rFonts w:hint="eastAsia" w:ascii="宋体" w:hAnsi="宋体" w:cs="宋体"/>
          <w:color w:val="auto"/>
          <w:szCs w:val="21"/>
          <w:highlight w:val="none"/>
        </w:rPr>
        <w:t xml:space="preserve">方的使用而被责令停止使用、追偿或要求赔偿损失，如出现此情况，一切经济和法律责任均由乙方承担。乙方提供的所有服务必须质量符合国际或国家通用标准，如出现质量问题，乙方负责更正，发生的费用由乙方负责。</w:t>
      </w:r>
      <w:r/>
    </w:p>
    <w:p>
      <w:pPr>
        <w:ind w:firstLine="470"/>
        <w:jc w:val="left"/>
        <w:spacing w:line="360" w:lineRule="auto"/>
        <w:rPr>
          <w:rFonts w:ascii="宋体" w:hAnsi="宋体" w:cs="宋体"/>
          <w:color w:val="auto"/>
          <w:szCs w:val="21"/>
          <w:highlight w:val="none"/>
        </w:rPr>
      </w:pPr>
      <w:r>
        <w:rPr>
          <w:rFonts w:hint="eastAsia" w:ascii="宋体" w:hAnsi="宋体" w:cs="宋体"/>
          <w:b/>
          <w:bCs/>
          <w:color w:val="auto"/>
          <w:spacing w:val="-3"/>
          <w:szCs w:val="21"/>
          <w:highlight w:val="none"/>
        </w:rPr>
        <w:t xml:space="preserve">六、验收要求：</w:t>
      </w:r>
      <w:r>
        <w:rPr>
          <w:rFonts w:hint="eastAsia" w:ascii="宋体" w:hAnsi="宋体" w:cs="宋体"/>
          <w:color w:val="auto"/>
          <w:szCs w:val="21"/>
          <w:highlight w:val="none"/>
        </w:rPr>
        <w:t xml:space="preserve">项目结束后对本项目履约情况进行整体验收，甲方将对每月考核情况进行汇总。</w:t>
      </w:r>
      <w:r>
        <w:rPr>
          <w:rFonts w:hint="eastAsia" w:ascii="宋体" w:hAnsi="宋体" w:cs="宋体"/>
          <w:b/>
          <w:bCs/>
          <w:color w:val="auto"/>
          <w:spacing w:val="-3"/>
          <w:szCs w:val="21"/>
          <w:highlight w:val="none"/>
        </w:rPr>
        <w:t xml:space="preserve">（考核标准详见合同附件）</w:t>
      </w:r>
      <w:r/>
    </w:p>
    <w:p>
      <w:pPr>
        <w:ind w:firstLine="470"/>
        <w:jc w:val="left"/>
        <w:spacing w:line="360" w:lineRule="auto"/>
        <w:rPr>
          <w:rFonts w:ascii="宋体" w:hAnsi="宋体" w:cs="宋体"/>
          <w:color w:val="auto"/>
          <w:szCs w:val="21"/>
          <w:highlight w:val="none"/>
        </w:rPr>
      </w:pPr>
      <w:r>
        <w:rPr>
          <w:rFonts w:hint="eastAsia" w:ascii="宋体" w:hAnsi="宋体" w:cs="宋体"/>
          <w:b/>
          <w:bCs/>
          <w:color w:val="auto"/>
          <w:spacing w:val="-3"/>
          <w:szCs w:val="21"/>
          <w:highlight w:val="none"/>
        </w:rPr>
        <w:t xml:space="preserve">七、</w:t>
      </w:r>
      <w:r>
        <w:rPr>
          <w:rFonts w:hint="eastAsia" w:ascii="宋体" w:hAnsi="宋体" w:cs="宋体"/>
          <w:b/>
          <w:bCs/>
          <w:color w:val="auto"/>
          <w:spacing w:val="-3"/>
          <w:szCs w:val="21"/>
          <w:highlight w:val="none"/>
          <w:lang w:val="en-AU" w:eastAsia="zh-Hans"/>
        </w:rPr>
        <w:t xml:space="preserve">违约责任</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1、乙方不能提供服务的，或服务不合格从而影响甲方按期正常使用的，</w:t>
      </w:r>
      <w:bookmarkStart w:id="69" w:name="_Hlk161999951"/>
      <w:r>
        <w:rPr>
          <w:rFonts w:hint="eastAsia" w:ascii="宋体" w:hAnsi="宋体" w:cs="宋体"/>
          <w:color w:val="auto"/>
          <w:szCs w:val="21"/>
          <w:highlight w:val="none"/>
        </w:rPr>
        <w:t xml:space="preserve">乙方应向甲方赔偿损失，并向甲方偿付合同总价款20%的违约金，且甲方有权解除合同。</w:t>
      </w:r>
      <w:bookmarkEnd w:id="69"/>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2、乙方逾期提供服务的，应与甲方协商，甲方仍需求的，乙方应立即提供服务按照逾期服务的每天万分之四支付逾期违约金，同时承担甲方因此遭致的损失费用。 </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3、政府采购合同的部分和全部都不得转让、分包，否则乙方应向甲方补偿损失，并向甲方偿付合同总价款</w:t>
      </w:r>
      <w:r>
        <w:rPr>
          <w:rFonts w:ascii="宋体" w:hAnsi="宋体" w:cs="宋体"/>
          <w:color w:val="auto"/>
          <w:szCs w:val="21"/>
          <w:highlight w:val="none"/>
        </w:rPr>
        <w:t xml:space="preserve">20%的违约金，且甲方有权解除合同。</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若乙方未遵守保密义务，出现泄漏甲方或第三方秘密的情形，甲方有权要求乙方赔偿损失，并追究乙方合同总标的额百分之二十的违约金，且甲方有权解除合同。情节严重涉及违法犯罪的，依法移交司法机关处理。</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5、若因乙方侵犯甲方或第三方知识产权，发生第三方诉讼、社会舆论或甲方信誉受损等情形，甲方有权要求乙方赔偿损失，并追究乙方合同总标的额百分之二十的违约金，且甲方有权解除合同。</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6、乙方在服务期内，若受到市场监督管理部门、生态环境主管部门以及行业协会通报批评或行政处罚的，甲方有权利视情况终止合同，并要求乙方赔偿甲方因此所遭受的损失。</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7、以上赔偿范围包括但不限于造成的甲方直接损失以及甲方因此合理维权而发生的差旅费、调查取证费、律师费、诉讼费、仲裁费、公告费、鉴定费、保全费、担保费用等。</w:t>
      </w:r>
      <w:r/>
    </w:p>
    <w:p>
      <w:pPr>
        <w:ind w:firstLine="48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八、不可抗力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1、合同一方因不可抗力（或甲、乙双方不能控制的原因）不能履行合同的，根据不可抗力的影响，部分或者全部免除责任。但合同一方迟延履行后发生不可抗力的，不能免除责任。</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2、合同一方因不可抗力不能履行合同的，应当自不可抗力发生后3日内通知对方，以减轻可能给对方造成的损失，并应当在发出不可抗力通知后30日内提供书面证明。</w:t>
      </w:r>
      <w:r/>
    </w:p>
    <w:p>
      <w:pPr>
        <w:ind w:firstLine="48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九、合同的解除和转让</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1、合同的解除</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（1）甲乙双方协商一致，可以解除本合同。</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（2）有下列情形之一，合同一方可以解除合同：</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①因不可抗力致使不能实现合同目的，未受不可抗力影响的一方有权解除合同；</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②因合同一方违约导致合同不能履行，另一方有权解除合同。</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（3）有权解除合同的一方，应当在违约事实或不可抗力发生之后三十天内书面通知对方以主张解除合同，合同在书面通知到达对方时解除。</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2、合同的转让：未经甲方书面同意，乙方不得转让本合同全部或部分权利与义务。</w:t>
      </w:r>
      <w:r/>
    </w:p>
    <w:p>
      <w:pPr>
        <w:ind w:firstLine="48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十、合同的生效</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本合同经甲乙双方法定代表人或授权代表人签字盖章（公章或合同章）后生效，生效后的合同需进行网上公示。</w:t>
      </w:r>
      <w:r/>
    </w:p>
    <w:p>
      <w:pPr>
        <w:ind w:firstLine="48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十一、争议解决</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甲乙双方因履行本合同或与本合同相关的一切事项发生争议，应首先友好协商解决。协商不成的，任何一方有权向甲方所在地人民法院起诉。</w:t>
      </w:r>
      <w:r/>
    </w:p>
    <w:p>
      <w:pPr>
        <w:ind w:firstLine="48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十二、其他</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1、合同份数：本合同一式肆份，甲乙双方各执壹份，招标代理机构壹份，政府采购监督管理部门壹份，肆份具有同等法律效力。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法律效力，并提交招标代理机构壹份备存。</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3、乙方所确认的联系人、联系方式及法律文书送达地址（本合同首部所载明的地址），如发生变更的，应当于变更之日起3日内书面通知甲方，未通知的自行承担送达不能等一切不利后果。</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Cs w:val="21"/>
          <w:highlight w:val="none"/>
        </w:rPr>
        <w:t xml:space="preserve">备注：合同条款内容将根据乙方承诺的实际服务内容进行调整。</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（以下无正文）</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甲方：                                乙方：                    </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法定代表人（</w:t>
      </w:r>
      <w:r>
        <w:rPr>
          <w:rFonts w:hint="eastAsia" w:ascii="宋体" w:hAnsi="宋体" w:cs="宋体"/>
          <w:color w:val="auto"/>
          <w:szCs w:val="21"/>
          <w:highlight w:val="none"/>
        </w:rPr>
        <w:t xml:space="preserve">或</w:t>
      </w:r>
      <w:r>
        <w:rPr>
          <w:rFonts w:ascii="宋体" w:hAnsi="宋体" w:cs="宋体"/>
          <w:color w:val="auto"/>
          <w:szCs w:val="21"/>
          <w:highlight w:val="none"/>
        </w:rPr>
        <w:t xml:space="preserve">授权代表）：            法定代表人（</w:t>
      </w:r>
      <w:r>
        <w:rPr>
          <w:rFonts w:hint="eastAsia" w:ascii="宋体" w:hAnsi="宋体" w:cs="宋体"/>
          <w:color w:val="auto"/>
          <w:szCs w:val="21"/>
          <w:highlight w:val="none"/>
        </w:rPr>
        <w:t xml:space="preserve">或</w:t>
      </w:r>
      <w:r>
        <w:rPr>
          <w:rFonts w:ascii="宋体" w:hAnsi="宋体" w:cs="宋体"/>
          <w:color w:val="auto"/>
          <w:szCs w:val="21"/>
          <w:highlight w:val="none"/>
        </w:rPr>
        <w:t xml:space="preserve">授权代表）：  </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签约日期：                            签约日期：  </w:t>
      </w:r>
      <w:r/>
    </w:p>
    <w:p>
      <w:pPr>
        <w:jc w:val="left"/>
        <w:spacing w:line="360" w:lineRule="auto"/>
        <w:widowControl/>
        <w:tabs>
          <w:tab w:val="left" w:pos="420" w:leader="none"/>
        </w:tabs>
        <w:rPr>
          <w:color w:val="auto"/>
          <w:highlight w:val="none"/>
        </w:rPr>
      </w:pPr>
      <w:r>
        <w:rPr>
          <w:color w:val="auto"/>
          <w:highlight w:val="none"/>
        </w:rPr>
      </w:r>
      <w:r/>
    </w:p>
    <w:p>
      <w:pPr>
        <w:ind w:firstLine="482"/>
        <w:jc w:val="left"/>
        <w:spacing w:line="360" w:lineRule="auto"/>
        <w:widowControl/>
        <w:tabs>
          <w:tab w:val="left" w:pos="420" w:leader="none"/>
        </w:tabs>
        <w:rPr>
          <w:rFonts w:ascii="宋体" w:hAnsi="宋体" w:cs="宋体"/>
          <w:b/>
          <w:color w:val="auto"/>
          <w:szCs w:val="21"/>
          <w:highlight w:val="none"/>
        </w:rPr>
      </w:pPr>
      <w:r>
        <w:rPr>
          <w:rFonts w:hint="eastAsia"/>
          <w:b/>
          <w:bCs/>
          <w:color w:val="auto"/>
          <w:highlight w:val="none"/>
        </w:rPr>
        <w:t xml:space="preserve">附件：</w:t>
      </w:r>
      <w:r>
        <w:rPr>
          <w:rFonts w:hint="eastAsia" w:ascii="宋体" w:hAnsi="宋体" w:cs="宋体"/>
          <w:b/>
          <w:bCs/>
          <w:color w:val="auto"/>
          <w:szCs w:val="21"/>
          <w:highlight w:val="none"/>
        </w:rPr>
        <w:t xml:space="preserve">考核办</w:t>
      </w:r>
      <w:r>
        <w:rPr>
          <w:rFonts w:hint="eastAsia" w:ascii="宋体" w:hAnsi="宋体" w:cs="宋体"/>
          <w:b/>
          <w:color w:val="auto"/>
          <w:szCs w:val="21"/>
          <w:highlight w:val="none"/>
        </w:rPr>
        <w:t xml:space="preserve">法</w:t>
      </w:r>
      <w:r/>
    </w:p>
    <w:p>
      <w:pPr>
        <w:numPr>
          <w:ilvl w:val="0"/>
          <w:numId w:val="7"/>
        </w:numPr>
        <w:ind w:left="0" w:firstLine="480"/>
        <w:jc w:val="left"/>
        <w:spacing w:line="360" w:lineRule="auto"/>
        <w:tabs>
          <w:tab w:val="left" w:pos="425" w:leader="none"/>
        </w:tabs>
        <w:rPr>
          <w:rFonts w:ascii="宋体" w:hAnsi="宋体" w:cs="宋体"/>
          <w:color w:val="auto"/>
          <w:szCs w:val="21"/>
          <w:highlight w:val="none"/>
        </w:rPr>
      </w:pPr>
      <w:r>
        <w:rPr>
          <w:rFonts w:hint="eastAsia" w:ascii="宋体" w:hAnsi="宋体" w:cs="宋体"/>
          <w:color w:val="auto"/>
          <w:szCs w:val="21"/>
          <w:highlight w:val="none"/>
        </w:rPr>
        <w:t xml:space="preserve">考核内容</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(1)频次考核</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污染源自动监测监控监理业务按照月度进行考核，应急监理一旦收到短信督办及重点企业平台数据超标等异常报警，第一时间赶往现场采样以及核查，并上传至“环境大数据平台”，自接到报警起24小时内上报数据；对重点监管企业每月至少完成2次全覆盖研判报告，对一般企业每季度至少完成1次研判报告；配合生态环境执法部门开展不定期重点企业抽查、突击检查、专项检查等工作。</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(2)实施方案及记录</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要求有完整的实施方案、计划和台账记录。</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完成《相城区在线监控第三方监理记录单》、《废气污染源自动监控设施现场核查表》、《废水污染源自动监控设施现场核查表》、《现场采样表单》、《周汇总报告》《月度汇总报告》等各项报告工作，并建立监理管理档案。</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2.考核计分</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(1)工作评价：收到短信督办、</w:t>
      </w:r>
      <w:r>
        <w:rPr>
          <w:rFonts w:hint="eastAsia" w:ascii="宋体" w:hAnsi="宋体" w:cs="宋体"/>
          <w:color w:val="auto"/>
          <w:szCs w:val="21"/>
          <w:highlight w:val="none"/>
        </w:rPr>
        <w:t xml:space="preserve">自动监测监控平台超标预警和其他现场检查任务时，及时响应开展工作，处置不及时一次扣0.5分。非现场技术研判未按频次要求（重点企业每月 2 次，一般企业每季度 1 次）覆盖，漏查一家重点企业扣 3 分，漏查一家一般企业扣 1 分。及时规范使用智慧平台进行预警任务处置，按要求上传现场检查和采样结果，上传任务反馈超过规定时间1个工作日扣0.5分，超时多日则累计扣分。配合生态环境部门开展不定期排污单位抽查检查任务时，未按要求配合发现一次扣10分。监理单位工作人员不满足工作要求，发现1次，扣5分。总计20分，扣完为止。</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资料管理：应急监测监理3个工作日内提交CMA报告及监理材料，监理月报在每月10日前报送提交，报送不及时发现一次扣1分。监理材料台账和信息收集资料检查发现出现错误或与实际不符合的，发现一项扣0.5分。监理材料台账和信息收集资料弄虚作假影响公正或造成严重后果的，查实一次，直接中止合同。总计30分，扣完为止。</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质控管理：不定期开展实验室和现场检查，发现违反相关技术规范要求或数据严重偏离，发现一次扣1分。质控标样考核或实验室考核不合格，发现一次扣2分。其他质控管理问题，发现一次扣1分。严重质控问题影响公正，查实一次直接中止合同。总计30分，扣完为止。</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其他情况：配合开展各类自动监测监控管理、检查等工作，检查发现问题一次扣3分。企业投诉服务质量，查实一次，扣10分；情节恶劣直接中止合同。擅自提供监理数据，发现一次，扣10分。总计20分，扣完为止。</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(5)加分项</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①发现并提供企业自动监测监控违法线索或建议被生态环境部门采纳，用于对企业实施立案查处的，一次加5分。</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②非现场技术研判线索</w:t>
      </w:r>
      <w:r>
        <w:rPr>
          <w:rFonts w:hint="eastAsia" w:ascii="宋体" w:hAnsi="宋体" w:cs="宋体"/>
          <w:color w:val="auto"/>
          <w:szCs w:val="21"/>
          <w:highlight w:val="none"/>
        </w:rPr>
        <w:t xml:space="preserve">经</w:t>
      </w:r>
      <w:r>
        <w:rPr>
          <w:rFonts w:hint="eastAsia" w:ascii="宋体" w:hAnsi="宋体" w:cs="宋体"/>
          <w:color w:val="auto"/>
          <w:szCs w:val="21"/>
          <w:highlight w:val="none"/>
          <w:lang w:val="en-US" w:eastAsia="zh-CN"/>
        </w:rPr>
        <w:t xml:space="preserve">生态环境部门</w:t>
      </w:r>
      <w:r>
        <w:rPr>
          <w:rFonts w:hint="eastAsia" w:ascii="宋体" w:hAnsi="宋体" w:cs="宋体"/>
          <w:color w:val="auto"/>
          <w:szCs w:val="21"/>
          <w:highlight w:val="none"/>
        </w:rPr>
        <w:t xml:space="preserve">核实确认属实的，每条有效线索加 5 分。</w:t>
      </w:r>
      <w:r/>
    </w:p>
    <w:p>
      <w:pPr>
        <w:ind w:firstLine="480"/>
        <w:jc w:val="left"/>
        <w:spacing w:line="360" w:lineRule="auto"/>
        <w:tabs>
          <w:tab w:val="left" w:pos="2870" w:leader="none"/>
        </w:tabs>
        <w:rPr>
          <w:rFonts w:ascii="宋体" w:hAnsi="宋体" w:cs="宋体"/>
          <w:color w:val="auto"/>
          <w:szCs w:val="21"/>
          <w:highlight w:val="none"/>
        </w:rPr>
      </w:pPr>
      <w:r>
        <w:rPr>
          <w:rFonts w:ascii="宋体" w:hAnsi="宋体" w:cs="宋体"/>
          <w:color w:val="auto"/>
          <w:szCs w:val="21"/>
          <w:highlight w:val="none"/>
        </w:rPr>
      </w:r>
      <w:r/>
    </w:p>
    <w:p>
      <w:pPr>
        <w:ind w:firstLine="480"/>
        <w:jc w:val="left"/>
        <w:spacing w:line="360" w:lineRule="auto"/>
        <w:tabs>
          <w:tab w:val="left" w:pos="2870" w:leader="none"/>
        </w:tabs>
        <w:rPr>
          <w:rFonts w:ascii="宋体" w:hAnsi="宋体" w:cs="宋体"/>
          <w:color w:val="auto"/>
          <w:szCs w:val="21"/>
          <w:highlight w:val="none"/>
        </w:rPr>
      </w:pPr>
      <w:r>
        <w:rPr>
          <w:rFonts w:ascii="宋体" w:hAnsi="宋体" w:cs="宋体"/>
          <w:color w:val="auto"/>
          <w:szCs w:val="21"/>
          <w:highlight w:val="none"/>
        </w:rPr>
      </w:r>
      <w:r/>
    </w:p>
    <w:p>
      <w:pPr>
        <w:ind w:firstLine="482"/>
        <w:jc w:val="center"/>
        <w:rPr>
          <w:rFonts w:ascii="宋体" w:hAnsi="宋体" w:cs="宋体"/>
          <w:color w:val="auto"/>
          <w:szCs w:val="21"/>
          <w:highlight w:val="none"/>
        </w:rPr>
      </w:pPr>
      <w:r>
        <w:rPr>
          <w:rFonts w:hint="eastAsia" w:ascii="宋体" w:hAnsi="宋体" w:cs="宋体"/>
          <w:b/>
          <w:bCs/>
          <w:color w:val="auto"/>
          <w:szCs w:val="21"/>
          <w:highlight w:val="none"/>
        </w:rPr>
        <w:t xml:space="preserve">苏州市相城区污染源自动监测监控监理业务月度考核办法</w:t>
      </w:r>
      <w:r/>
    </w:p>
    <w:tbl>
      <w:tblPr>
        <w:tblStyle w:val="849"/>
        <w:tblW w:w="10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6237"/>
        <w:gridCol w:w="1134"/>
        <w:gridCol w:w="1276"/>
        <w:gridCol w:w="1276"/>
      </w:tblGrid>
      <w:tr>
        <w:trPr>
          <w:trHeight w:val="433"/>
        </w:trPr>
        <w:tc>
          <w:tcPr>
            <w:shd w:val="pct10" w:color="auto" w:fill="auto"/>
            <w:tcW w:w="675" w:type="dxa"/>
            <w:vAlign w:val="center"/>
            <w:textDirection w:val="lrTb"/>
            <w:noWrap w:val="false"/>
          </w:tcPr>
          <w:p>
            <w:pPr>
              <w:jc w:val="center"/>
              <w:spacing w:line="24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考核内容</w:t>
            </w:r>
            <w:r/>
          </w:p>
        </w:tc>
        <w:tc>
          <w:tcPr>
            <w:shd w:val="pct10" w:color="auto" w:fill="auto"/>
            <w:tcW w:w="6237" w:type="dxa"/>
            <w:vAlign w:val="center"/>
            <w:textDirection w:val="lrTb"/>
            <w:noWrap w:val="false"/>
          </w:tcPr>
          <w:p>
            <w:pPr>
              <w:ind w:firstLine="482"/>
              <w:jc w:val="center"/>
              <w:spacing w:line="24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评分要求</w:t>
            </w:r>
            <w:r/>
          </w:p>
        </w:tc>
        <w:tc>
          <w:tcPr>
            <w:shd w:val="pct10" w:color="auto" w:fill="auto"/>
            <w:tcW w:w="1134" w:type="dxa"/>
            <w:vAlign w:val="center"/>
            <w:textDirection w:val="lrTb"/>
            <w:noWrap w:val="false"/>
          </w:tcPr>
          <w:p>
            <w:pPr>
              <w:jc w:val="center"/>
              <w:spacing w:line="24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c>
          <w:tcPr>
            <w:shd w:val="pct10" w:color="auto" w:fill="auto"/>
            <w:tcW w:w="1276" w:type="dxa"/>
            <w:vAlign w:val="center"/>
            <w:textDirection w:val="lrTb"/>
            <w:noWrap w:val="false"/>
          </w:tcPr>
          <w:p>
            <w:pPr>
              <w:ind w:firstLine="422"/>
              <w:spacing w:line="24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得分</w:t>
            </w:r>
            <w:r/>
          </w:p>
        </w:tc>
        <w:tc>
          <w:tcPr>
            <w:shd w:val="pct10" w:color="auto" w:fill="auto"/>
            <w:tcW w:w="1276" w:type="dxa"/>
            <w:vAlign w:val="center"/>
            <w:textDirection w:val="lrTb"/>
            <w:noWrap w:val="false"/>
          </w:tcPr>
          <w:p>
            <w:pPr>
              <w:ind w:firstLine="211"/>
              <w:spacing w:line="24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trHeight w:val="433"/>
        </w:trPr>
        <w:tc>
          <w:tcPr>
            <w:tcW w:w="675" w:type="dxa"/>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工作评价</w:t>
            </w:r>
            <w:r/>
          </w:p>
        </w:tc>
        <w:tc>
          <w:tcPr>
            <w:tcW w:w="6237" w:type="dxa"/>
            <w:vAlign w:val="center"/>
            <w:textDirection w:val="lrTb"/>
            <w:noWrap w:val="false"/>
          </w:tcPr>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1.收到短信督办、自动监测监控平台超标预警和其他现场检查任务时，及时响应开展工作，处置不及时一次扣0.5分。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2.非现场技术研判未按频次要求（重点企业每月 2 份研判报告，一般企业每季度 1 份研判报告）覆盖，漏查一家重点企业扣 3 分，漏查一家一般企业扣 1 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3.及时规范使用智慧平台进行预警任务处置，按要求上传现场检查和采样结果，上传任务反馈超过规定时间1个工作日扣0.5分，超时多日则累计扣分。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4.配合生态环境部门开展不定期排污单位抽查检查任务时，未按要求配合发现一次扣10分。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5.监理单位工作人员不满足工作要求，发现1次，扣5分。</w:t>
            </w:r>
            <w:r/>
          </w:p>
        </w:tc>
        <w:tc>
          <w:tcPr>
            <w:tcW w:w="1134" w:type="dxa"/>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r>
      <w:tr>
        <w:trPr>
          <w:trHeight w:val="994"/>
        </w:trPr>
        <w:tc>
          <w:tcPr>
            <w:tcW w:w="675" w:type="dxa"/>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资料管理</w:t>
            </w:r>
            <w:r/>
          </w:p>
        </w:tc>
        <w:tc>
          <w:tcPr>
            <w:tcW w:w="6237" w:type="dxa"/>
            <w:vAlign w:val="center"/>
            <w:textDirection w:val="lrTb"/>
            <w:noWrap w:val="false"/>
          </w:tcPr>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6.应急监测监理3个工作日内提交CMA报告和监理材料，监理月报在每月10日前报送提交，报送不及时发现一次扣1分。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7.监理材料台账和信息收集资料检查发现出现错误或与实际不符合的，发现一项扣0.5分。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8.监理材料台账和信息收集资料弄虚作假影响公正或造成严重后果的，查实一次，直接中止合同。</w:t>
            </w:r>
            <w:r/>
          </w:p>
        </w:tc>
        <w:tc>
          <w:tcPr>
            <w:tcW w:w="1134" w:type="dxa"/>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30</w:t>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r>
      <w:tr>
        <w:trPr>
          <w:trHeight w:val="1298"/>
        </w:trPr>
        <w:tc>
          <w:tcPr>
            <w:tcW w:w="675" w:type="dxa"/>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质控管理</w:t>
            </w:r>
            <w:r/>
          </w:p>
        </w:tc>
        <w:tc>
          <w:tcPr>
            <w:tcW w:w="6237" w:type="dxa"/>
            <w:vAlign w:val="center"/>
            <w:textDirection w:val="lrTb"/>
            <w:noWrap w:val="false"/>
          </w:tcPr>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9.不定期开展实验室和现场检查，发现违反相关技术规范要求或数据严重偏离，发现一次扣1分。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10.质控标样考核或实验室考核不合格，发现一次扣2分。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11.其他质控管理问题，发现一次扣1分。</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12.严重质控问题影响公正，查实一次，直接中止合同。</w:t>
            </w:r>
            <w:r/>
          </w:p>
        </w:tc>
        <w:tc>
          <w:tcPr>
            <w:tcW w:w="1134" w:type="dxa"/>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30</w:t>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r>
      <w:tr>
        <w:trPr>
          <w:trHeight w:val="1749"/>
        </w:trPr>
        <w:tc>
          <w:tcPr>
            <w:tcW w:w="675" w:type="dxa"/>
            <w:vAlign w:val="center"/>
            <w:textDirection w:val="lrTb"/>
            <w:noWrap w:val="false"/>
          </w:tcPr>
          <w:p>
            <w:pP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其他情况</w:t>
            </w:r>
            <w:r/>
          </w:p>
        </w:tc>
        <w:tc>
          <w:tcPr>
            <w:tcW w:w="6237" w:type="dxa"/>
            <w:vAlign w:val="center"/>
            <w:textDirection w:val="lrTb"/>
            <w:noWrap w:val="false"/>
          </w:tcPr>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13.配合开展各类自动监测监控管理、检查等工作，检查发现问题一次扣3分。</w:t>
            </w:r>
            <w:r/>
          </w:p>
          <w:p>
            <w:pPr>
              <w:jc w:val="left"/>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14.企业投诉服务质量，查实一次，扣10分；情节恶劣直接中止合同。</w:t>
            </w:r>
            <w:r/>
          </w:p>
          <w:p>
            <w:pPr>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15.擅自提供监理数据，发现一次，扣10分。</w:t>
            </w:r>
            <w:r/>
          </w:p>
        </w:tc>
        <w:tc>
          <w:tcPr>
            <w:tcW w:w="1134" w:type="dxa"/>
            <w:vAlign w:val="center"/>
            <w:textDirection w:val="lrTb"/>
            <w:noWrap w:val="false"/>
          </w:tcPr>
          <w:p>
            <w:pPr>
              <w:jc w:val="center"/>
              <w:spacing w:line="240" w:lineRule="atLeast"/>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r>
      <w:tr>
        <w:trPr>
          <w:trHeight w:val="1298"/>
        </w:trPr>
        <w:tc>
          <w:tcPr>
            <w:tcW w:w="675" w:type="dxa"/>
            <w:vAlign w:val="center"/>
            <w:textDirection w:val="lrTb"/>
            <w:noWrap w:val="false"/>
          </w:tcPr>
          <w:p>
            <w:pPr>
              <w:spacing w:line="240" w:lineRule="atLeas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加分项</w:t>
            </w:r>
            <w:r/>
          </w:p>
        </w:tc>
        <w:tc>
          <w:tcPr>
            <w:tcW w:w="6237" w:type="dxa"/>
            <w:vAlign w:val="center"/>
            <w:textDirection w:val="lrTb"/>
            <w:noWrap w:val="false"/>
          </w:tcPr>
          <w:p>
            <w:pPr>
              <w:numPr>
                <w:ilvl w:val="0"/>
                <w:numId w:val="6"/>
              </w:numPr>
              <w:jc w:val="left"/>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①发现并提供企业自动监测监控违法线索或建议被生态环境部门采纳，用于对企业实施立案查处的，一次加5分。</w:t>
            </w:r>
            <w:r/>
          </w:p>
          <w:p>
            <w:pPr>
              <w:ind w:firstLine="420"/>
              <w:jc w:val="left"/>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②非现场技术研判线索</w:t>
            </w:r>
            <w:r>
              <w:rPr>
                <w:rFonts w:hint="eastAsia" w:ascii="宋体" w:hAnsi="宋体" w:cs="宋体"/>
                <w:color w:val="auto"/>
                <w:szCs w:val="21"/>
                <w:highlight w:val="none"/>
              </w:rPr>
              <w:t xml:space="preserve">经</w:t>
            </w:r>
            <w:r>
              <w:rPr>
                <w:rFonts w:hint="eastAsia" w:ascii="宋体" w:hAnsi="宋体" w:cs="宋体"/>
                <w:color w:val="auto"/>
                <w:szCs w:val="21"/>
                <w:highlight w:val="none"/>
                <w:lang w:val="en-US" w:eastAsia="zh-CN"/>
              </w:rPr>
              <w:t xml:space="preserve">生态环境部门</w:t>
            </w:r>
            <w:r>
              <w:rPr>
                <w:rFonts w:hint="eastAsia" w:ascii="宋体" w:hAnsi="宋体" w:cs="宋体"/>
                <w:color w:val="auto"/>
                <w:szCs w:val="21"/>
                <w:highlight w:val="none"/>
              </w:rPr>
              <w:t xml:space="preserve">核实确认属实的，每条有效线索加 5 分。</w:t>
            </w:r>
            <w:r/>
          </w:p>
        </w:tc>
        <w:tc>
          <w:tcPr>
            <w:tcW w:w="1134" w:type="dxa"/>
            <w:vAlign w:val="center"/>
            <w:textDirection w:val="lrTb"/>
            <w:noWrap w:val="false"/>
          </w:tcPr>
          <w:p>
            <w:pPr>
              <w:jc w:val="center"/>
              <w:spacing w:line="240" w:lineRule="atLeas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jc w:val="center"/>
              <w:spacing w:line="240" w:lineRule="atLeast"/>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c>
          <w:tcPr>
            <w:tcW w:w="1276" w:type="dxa"/>
            <w:textDirection w:val="lrTb"/>
            <w:noWrap w:val="false"/>
          </w:tcPr>
          <w:p>
            <w:pPr>
              <w:jc w:val="left"/>
              <w:spacing w:line="340" w:lineRule="exact"/>
              <w:rPr>
                <w:rFonts w:ascii="宋体" w:hAnsi="宋体" w:cs="宋体"/>
                <w:color w:val="auto"/>
                <w:szCs w:val="21"/>
                <w:highlight w:val="none"/>
              </w:rPr>
            </w:pPr>
            <w:r>
              <w:rPr>
                <w:rFonts w:ascii="宋体" w:hAnsi="宋体" w:cs="宋体"/>
                <w:color w:val="auto"/>
                <w:szCs w:val="21"/>
                <w:highlight w:val="none"/>
              </w:rPr>
            </w:r>
            <w:r/>
          </w:p>
        </w:tc>
      </w:tr>
    </w:tbl>
    <w:p>
      <w:pPr>
        <w:numPr>
          <w:ilvl w:val="0"/>
          <w:numId w:val="7"/>
        </w:numPr>
        <w:ind w:left="0" w:firstLine="480"/>
        <w:jc w:val="left"/>
        <w:spacing w:line="360" w:lineRule="auto"/>
        <w:tabs>
          <w:tab w:val="left" w:pos="425" w:leader="none"/>
        </w:tabs>
        <w:rPr>
          <w:rFonts w:ascii="宋体" w:hAnsi="宋体" w:cs="宋体"/>
          <w:color w:val="auto"/>
          <w:szCs w:val="21"/>
          <w:highlight w:val="none"/>
        </w:rPr>
      </w:pPr>
      <w:r>
        <w:rPr>
          <w:rFonts w:hint="eastAsia" w:ascii="宋体" w:hAnsi="宋体" w:cs="宋体"/>
          <w:color w:val="auto"/>
          <w:szCs w:val="21"/>
          <w:highlight w:val="none"/>
        </w:rPr>
        <w:t xml:space="preserve">惩罚办法</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 一旦发现篡改伪造数据，采购人有权终止合同，并按已支付费用要求中标单位进行双倍经济赔偿，按照环保部 《环境监测数据弄虚作假行为判定及处理办法》(环发[2015]175 号) 文件进行处理。</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 合同履行期间，若被第三方举报有严重数据质量问题，一经核实，采购人有权终止合同，并要求中标单位进行经济赔偿。</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 未经许可，对外泄露监测信息的，采购人有权终止合同，并要求中标单位进行经济赔偿。</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 合同履行期间，若中标单位出现违反廉政规定的情形，一经核实，采购人有权终止合同，情节严重的，移交司法部门处理。</w:t>
      </w:r>
      <w:r/>
    </w:p>
    <w:p>
      <w:pPr>
        <w:numPr>
          <w:ilvl w:val="0"/>
          <w:numId w:val="7"/>
        </w:numPr>
        <w:ind w:left="0" w:firstLine="480"/>
        <w:jc w:val="left"/>
        <w:spacing w:line="360" w:lineRule="auto"/>
        <w:tabs>
          <w:tab w:val="left" w:pos="425" w:leader="none"/>
        </w:tabs>
        <w:rPr>
          <w:rFonts w:ascii="宋体" w:hAnsi="宋体" w:cs="宋体"/>
          <w:color w:val="auto"/>
          <w:szCs w:val="21"/>
          <w:highlight w:val="none"/>
        </w:rPr>
      </w:pPr>
      <w:r>
        <w:rPr>
          <w:rFonts w:hint="eastAsia" w:ascii="宋体" w:hAnsi="宋体" w:cs="宋体"/>
          <w:color w:val="auto"/>
          <w:szCs w:val="21"/>
          <w:highlight w:val="none"/>
        </w:rPr>
        <w:t xml:space="preserve">考核结果应用</w:t>
      </w:r>
      <w:r/>
    </w:p>
    <w:p>
      <w:pPr>
        <w:ind w:firstLine="480"/>
        <w:jc w:val="left"/>
        <w:spacing w:line="360" w:lineRule="auto"/>
        <w:tabs>
          <w:tab w:val="left" w:pos="2870" w:leader="none"/>
        </w:tabs>
        <w:rPr>
          <w:rFonts w:ascii="宋体" w:hAnsi="宋体" w:cs="宋体"/>
          <w:bCs/>
          <w:color w:val="auto"/>
          <w:szCs w:val="21"/>
          <w:highlight w:val="none"/>
        </w:rPr>
      </w:pPr>
      <w:r>
        <w:rPr>
          <w:rFonts w:hint="eastAsia" w:ascii="宋体" w:hAnsi="宋体" w:cs="宋体"/>
          <w:bCs/>
          <w:color w:val="auto"/>
          <w:szCs w:val="21"/>
          <w:highlight w:val="none"/>
        </w:rPr>
        <w:t xml:space="preserve">采购人每月对中标单位实施考核，记录考核分数，并根据考核分数对应下列</w:t>
      </w:r>
      <w:r>
        <w:rPr>
          <w:rFonts w:hint="eastAsia" w:ascii="宋体" w:hAnsi="宋体" w:cs="宋体"/>
          <w:bCs/>
          <w:color w:val="auto"/>
          <w:szCs w:val="21"/>
          <w:highlight w:val="none"/>
          <w:lang w:val="en-US" w:eastAsia="zh-CN"/>
        </w:rPr>
        <w:t xml:space="preserve">扣款</w:t>
      </w:r>
      <w:r>
        <w:rPr>
          <w:rFonts w:hint="eastAsia" w:ascii="宋体" w:hAnsi="宋体" w:cs="宋体"/>
          <w:bCs/>
          <w:color w:val="auto"/>
          <w:szCs w:val="21"/>
          <w:highlight w:val="none"/>
        </w:rPr>
        <w:t xml:space="preserve">标准，如产生考核扣款，于项目整体验收合格后，在最后一笔合同金额支付时予以扣除。</w:t>
      </w:r>
      <w:r/>
    </w:p>
    <w:p>
      <w:pPr>
        <w:ind w:firstLine="480"/>
        <w:jc w:val="center"/>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考核扣款标准</w:t>
      </w:r>
      <w:r/>
    </w:p>
    <w:tbl>
      <w:tblPr>
        <w:tblStyle w:val="849"/>
        <w:tblW w:w="90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4"/>
        <w:gridCol w:w="1655"/>
        <w:gridCol w:w="5117"/>
      </w:tblGrid>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月考核分数</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评价等级</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bCs/>
                <w:color w:val="auto"/>
                <w:szCs w:val="21"/>
                <w:highlight w:val="none"/>
                <w:lang w:val="en-US" w:eastAsia="zh-CN"/>
              </w:rPr>
              <w:t xml:space="preserve">扣款</w:t>
            </w:r>
            <w:r>
              <w:rPr>
                <w:rFonts w:hint="eastAsia" w:ascii="宋体" w:hAnsi="宋体" w:cs="宋体"/>
                <w:color w:val="auto"/>
                <w:szCs w:val="21"/>
                <w:highlight w:val="none"/>
              </w:rPr>
              <w:t xml:space="preserve">标准</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≥90</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优秀</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0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80～89</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良好</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70～79</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20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＜70</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严重不合格</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采购人有权无条件解除合同，由中标单位承担由此对采购人造成的损失。</w:t>
            </w:r>
            <w:r/>
          </w:p>
        </w:tc>
      </w:tr>
    </w:tbl>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注：当月服务费用=合同总金额÷12</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b/>
          <w:color w:val="auto"/>
          <w:szCs w:val="21"/>
          <w:highlight w:val="none"/>
        </w:rPr>
        <w:t xml:space="preserve">安全责任</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中标单位应对项目组成员做好安全培训，在项目实施过程中应注意人员和财产安全，如造成相关人员安全和财产损失问题的，一律由中标单位全权承担负责，采购单位不承担任何责任。</w:t>
      </w:r>
      <w:r/>
    </w:p>
    <w:p>
      <w:pPr>
        <w:ind w:firstLine="426"/>
        <w:spacing w:line="360" w:lineRule="exact"/>
        <w:rPr>
          <w:rFonts w:ascii="宋体" w:hAnsi="宋体" w:cs="宋体"/>
          <w:b/>
          <w:color w:val="auto"/>
          <w:szCs w:val="21"/>
          <w:highlight w:val="none"/>
        </w:rPr>
      </w:pPr>
      <w:r>
        <w:rPr>
          <w:rFonts w:ascii="宋体" w:hAnsi="宋体" w:cs="宋体"/>
          <w:b/>
          <w:color w:val="auto"/>
          <w:szCs w:val="21"/>
          <w:highlight w:val="none"/>
        </w:rPr>
      </w:r>
      <w:r/>
    </w:p>
    <w:p>
      <w:pPr>
        <w:ind w:firstLine="480"/>
        <w:jc w:val="center"/>
        <w:spacing w:line="360" w:lineRule="auto"/>
        <w:rPr>
          <w:rFonts w:ascii="宋体" w:hAnsi="宋体" w:cs="宋体"/>
          <w:b/>
          <w:bCs/>
          <w:color w:val="auto"/>
          <w:sz w:val="24"/>
          <w:szCs w:val="24"/>
          <w:highlight w:val="none"/>
        </w:rPr>
        <w:sectPr>
          <w:footnotePr/>
          <w:endnotePr/>
          <w:type w:val="nextPage"/>
          <w:pgSz w:w="11906" w:h="16838" w:orient="portrait"/>
          <w:pgMar w:top="993" w:right="907" w:bottom="794" w:left="907" w:header="737" w:footer="454" w:gutter="0"/>
          <w:cols w:num="1" w:sep="0" w:space="720" w:equalWidth="1"/>
          <w:docGrid w:linePitch="360"/>
          <w:titlePg/>
        </w:sectPr>
      </w:pPr>
      <w:r>
        <w:rPr>
          <w:rFonts w:ascii="宋体" w:hAnsi="宋体" w:cs="宋体"/>
          <w:b/>
          <w:bCs/>
          <w:color w:val="auto"/>
          <w:sz w:val="24"/>
          <w:szCs w:val="24"/>
          <w:highlight w:val="none"/>
        </w:rPr>
      </w:r>
      <w:r/>
    </w:p>
    <w:p>
      <w:pPr>
        <w:ind w:firstLine="480"/>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政府采购合同（适用标段二）</w:t>
      </w:r>
      <w:r/>
    </w:p>
    <w:p>
      <w:pPr>
        <w:ind w:firstLine="420"/>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                                                  采购编号：</w:t>
      </w:r>
      <w:r/>
    </w:p>
    <w:p>
      <w:pPr>
        <w:jc w:val="center"/>
        <w:rPr>
          <w:color w:val="auto"/>
          <w:highlight w:val="none"/>
        </w:rPr>
      </w:pPr>
      <w:r>
        <w:rPr>
          <w:rFonts w:hint="eastAsia" w:ascii="宋体" w:hAnsi="宋体" w:cs="宋体"/>
          <w:color w:val="auto"/>
          <w:szCs w:val="21"/>
          <w:highlight w:val="none"/>
        </w:rPr>
        <w:t xml:space="preserve">                                                     </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 苏州市相城生态环境局</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 </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 </w:t>
      </w:r>
      <w:r/>
    </w:p>
    <w:p>
      <w:pPr>
        <w:ind w:firstLine="48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电话：</w:t>
      </w:r>
      <w:r/>
    </w:p>
    <w:p>
      <w:pPr>
        <w:ind w:firstLine="480"/>
        <w:jc w:val="left"/>
        <w:spacing w:line="360" w:lineRule="auto"/>
        <w:rPr>
          <w:rFonts w:ascii="宋体" w:hAnsi="宋体" w:cs="宋体"/>
          <w:color w:val="auto"/>
          <w:szCs w:val="21"/>
          <w:highlight w:val="none"/>
          <w:lang w:bidi="ar"/>
        </w:rPr>
      </w:pPr>
      <w:r>
        <w:rPr>
          <w:rFonts w:ascii="宋体" w:hAnsi="宋体" w:cs="宋体"/>
          <w:color w:val="auto"/>
          <w:szCs w:val="21"/>
          <w:highlight w:val="none"/>
          <w:lang w:bidi="ar"/>
        </w:rPr>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根据《中华人民共和国民法典》、《中华人民共和国政府采购法》及有关法律规定，遵循平等、自愿、公平和诚实信用的原则，根据</w:t>
      </w:r>
      <w:r>
        <w:rPr>
          <w:rFonts w:hint="eastAsia" w:ascii="宋体" w:hAnsi="宋体" w:cs="宋体"/>
          <w:color w:val="auto"/>
          <w:szCs w:val="21"/>
          <w:highlight w:val="none"/>
          <w:u w:val="single"/>
          <w:lang w:bidi="ar"/>
        </w:rPr>
        <w:t xml:space="preserve"> 永立工程咨询（江苏）有限公司 </w:t>
      </w:r>
      <w:r>
        <w:rPr>
          <w:rFonts w:hint="eastAsia" w:ascii="宋体" w:hAnsi="宋体" w:cs="宋体"/>
          <w:color w:val="auto"/>
          <w:szCs w:val="21"/>
          <w:highlight w:val="none"/>
          <w:lang w:bidi="ar"/>
        </w:rPr>
        <w:t xml:space="preserve">采购编号</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号招标文件及该文件的响应文件和成交通知书，甲乙双方就此次成交的</w:t>
      </w:r>
      <w:r>
        <w:rPr>
          <w:rFonts w:hint="eastAsia" w:ascii="宋体" w:hAnsi="宋体" w:cs="宋体"/>
          <w:color w:val="auto"/>
          <w:szCs w:val="21"/>
          <w:highlight w:val="none"/>
          <w:u w:val="single"/>
          <w:lang w:bidi="ar"/>
        </w:rPr>
        <w:t xml:space="preserve">            </w:t>
      </w:r>
      <w:r>
        <w:rPr>
          <w:rFonts w:hint="eastAsia" w:ascii="宋体" w:hAnsi="宋体" w:cs="宋体"/>
          <w:b/>
          <w:bCs/>
          <w:color w:val="auto"/>
          <w:szCs w:val="21"/>
          <w:highlight w:val="none"/>
          <w:u w:val="single"/>
          <w:lang w:bidi="ar"/>
        </w:rPr>
        <w:t xml:space="preserve">（第二标段</w:t>
      </w:r>
      <w:r>
        <w:rPr>
          <w:rFonts w:hint="eastAsia" w:ascii="宋体" w:hAnsi="宋体" w:cs="宋体"/>
          <w:color w:val="auto"/>
          <w:szCs w:val="21"/>
          <w:highlight w:val="none"/>
          <w:u w:val="single"/>
          <w:lang w:bidi="ar"/>
        </w:rPr>
        <w:t xml:space="preserve">）</w:t>
      </w:r>
      <w:r>
        <w:rPr>
          <w:rFonts w:hint="eastAsia" w:ascii="宋体" w:hAnsi="宋体" w:cs="宋体"/>
          <w:color w:val="auto"/>
          <w:szCs w:val="21"/>
          <w:highlight w:val="none"/>
          <w:lang w:bidi="ar"/>
        </w:rPr>
        <w:t xml:space="preserve">事宜，签订本合同书</w:t>
      </w:r>
      <w:r>
        <w:rPr>
          <w:rFonts w:hint="eastAsia" w:ascii="宋体" w:hAnsi="宋体" w:cs="宋体"/>
          <w:color w:val="auto"/>
          <w:szCs w:val="21"/>
          <w:highlight w:val="none"/>
          <w:lang w:eastAsia="zh-Hans" w:bidi="ar"/>
        </w:rPr>
        <w:t xml:space="preserve">，以</w:t>
      </w:r>
      <w:r>
        <w:rPr>
          <w:rFonts w:hint="eastAsia" w:ascii="宋体" w:hAnsi="宋体" w:cs="宋体"/>
          <w:color w:val="auto"/>
          <w:szCs w:val="21"/>
          <w:highlight w:val="none"/>
          <w:lang w:bidi="ar"/>
        </w:rPr>
        <w:t xml:space="preserve">兹</w:t>
      </w:r>
      <w:r>
        <w:rPr>
          <w:rFonts w:hint="eastAsia" w:ascii="宋体" w:hAnsi="宋体" w:cs="宋体"/>
          <w:color w:val="auto"/>
          <w:szCs w:val="21"/>
          <w:highlight w:val="none"/>
          <w:lang w:eastAsia="zh-Hans" w:bidi="ar"/>
        </w:rPr>
        <w:t xml:space="preserve">共同遵守</w:t>
      </w:r>
      <w:r>
        <w:rPr>
          <w:rFonts w:hint="eastAsia" w:ascii="宋体" w:hAnsi="宋体" w:cs="宋体"/>
          <w:color w:val="auto"/>
          <w:szCs w:val="21"/>
          <w:highlight w:val="none"/>
          <w:lang w:bidi="ar"/>
        </w:rPr>
        <w:t xml:space="preserve">。</w:t>
      </w:r>
      <w:r/>
    </w:p>
    <w:p>
      <w:pPr>
        <w:ind w:firstLine="426"/>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第一条 合同标的</w:t>
      </w:r>
      <w:r/>
    </w:p>
    <w:p>
      <w:pPr>
        <w:ind w:firstLine="424"/>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乙方根据甲方需求提供下列服务：</w:t>
      </w:r>
      <w:r>
        <w:rPr>
          <w:rFonts w:hint="eastAsia" w:ascii="宋体" w:hAnsi="宋体" w:cs="宋体"/>
          <w:color w:val="auto"/>
          <w:szCs w:val="21"/>
          <w:highlight w:val="none"/>
          <w:u w:val="single"/>
          <w:lang w:val="zh-CN"/>
        </w:rPr>
        <w:t xml:space="preserve">         </w:t>
      </w:r>
      <w:r>
        <w:rPr>
          <w:rFonts w:hint="eastAsia" w:ascii="宋体" w:hAnsi="宋体" w:cs="宋体"/>
          <w:b/>
          <w:bCs/>
          <w:color w:val="auto"/>
          <w:szCs w:val="21"/>
          <w:highlight w:val="none"/>
          <w:u w:val="single"/>
          <w:lang w:val="zh-CN"/>
        </w:rPr>
        <w:t xml:space="preserve">（第二标段）</w:t>
      </w:r>
      <w:r>
        <w:rPr>
          <w:rFonts w:hint="eastAsia" w:ascii="宋体" w:hAnsi="宋体" w:cs="宋体"/>
          <w:color w:val="auto"/>
          <w:szCs w:val="21"/>
          <w:highlight w:val="none"/>
          <w:lang w:val="zh-CN"/>
        </w:rPr>
        <w:t xml:space="preserve">，</w:t>
      </w:r>
      <w:r>
        <w:rPr>
          <w:rFonts w:hint="eastAsia" w:ascii="宋体" w:hAnsi="宋体"/>
          <w:color w:val="auto"/>
          <w:szCs w:val="21"/>
          <w:highlight w:val="none"/>
        </w:rPr>
        <w:t xml:space="preserve">系指根据合同规定乙方须承担与服务有关的所有辅助服务</w:t>
      </w:r>
      <w:r>
        <w:rPr>
          <w:rFonts w:hint="eastAsia" w:ascii="宋体" w:hAnsi="宋体" w:cs="宋体"/>
          <w:color w:val="auto"/>
          <w:szCs w:val="21"/>
          <w:highlight w:val="none"/>
          <w:lang w:val="zh-CN"/>
        </w:rPr>
        <w:t xml:space="preserve">。</w:t>
      </w:r>
      <w:r/>
    </w:p>
    <w:p>
      <w:pPr>
        <w:ind w:firstLine="426"/>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第二条 合同价格</w:t>
      </w:r>
      <w:r/>
    </w:p>
    <w:p>
      <w:pPr>
        <w:ind w:firstLine="426"/>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签约合同总价（含税）</w:t>
      </w:r>
      <w:r>
        <w:rPr>
          <w:rFonts w:hint="eastAsia" w:ascii="宋体" w:hAnsi="宋体" w:cs="宋体"/>
          <w:b/>
          <w:color w:val="auto"/>
          <w:szCs w:val="21"/>
          <w:highlight w:val="none"/>
          <w:u w:val="single"/>
        </w:rPr>
        <w:t xml:space="preserve">为人民币大写：         元整（￥： 小写       ）</w:t>
      </w:r>
      <w:r>
        <w:rPr>
          <w:rFonts w:hint="eastAsia" w:ascii="宋体" w:hAnsi="宋体" w:cs="宋体"/>
          <w:b/>
          <w:color w:val="auto"/>
          <w:szCs w:val="21"/>
          <w:highlight w:val="none"/>
        </w:rPr>
        <w:t xml:space="preserve">。 </w:t>
      </w:r>
      <w:r/>
    </w:p>
    <w:p>
      <w:pPr>
        <w:ind w:firstLine="426"/>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服务期限：</w:t>
      </w:r>
      <w:r>
        <w:rPr>
          <w:rFonts w:hint="eastAsia" w:ascii="宋体" w:hAnsi="宋体"/>
          <w:color w:val="auto"/>
          <w:szCs w:val="21"/>
          <w:highlight w:val="none"/>
        </w:rPr>
        <w:t xml:space="preserve">2026年11月2日至2027年11月1日。</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总价包括完成合同范围内所有服务、人员（包括工资和补贴）、办公场所及设施、材料、仪器设备、车辆交通、保险、劳保、管理、利润、税金、政策性文件规定及合同包含的所有风险、责任等各项应有费用，以及为完成该项服务项目所涉及到的一切相关费用。甲方不再支付其他任何费用。</w:t>
      </w:r>
      <w:r>
        <w:rPr>
          <w:rFonts w:hint="eastAsia" w:ascii="宋体" w:hAnsi="宋体"/>
          <w:bCs/>
          <w:color w:val="auto"/>
          <w:szCs w:val="21"/>
          <w:highlight w:val="none"/>
        </w:rPr>
        <w:t xml:space="preserve">同时，除非合同条款中另有规定，否则，乙方所报价格在合同实施期间不因市场变化因素而变动，未经甲方书面确认，甲方不再另行支付其他任何费用。</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本合同总价款还包含乙方应当提供的伴随服务/售后服务费用。</w:t>
      </w:r>
      <w:r/>
    </w:p>
    <w:p>
      <w:pPr>
        <w:ind w:firstLine="480"/>
        <w:spacing w:line="360" w:lineRule="auto"/>
        <w:widowControl/>
        <w:rPr>
          <w:rFonts w:ascii="宋体" w:hAnsi="宋体" w:cs="宋体"/>
          <w:color w:val="auto"/>
          <w:szCs w:val="21"/>
          <w:highlight w:val="none"/>
        </w:rPr>
      </w:pPr>
      <w:r>
        <w:rPr>
          <w:rFonts w:hint="eastAsia" w:ascii="宋体" w:hAnsi="宋体"/>
          <w:bCs/>
          <w:color w:val="auto"/>
          <w:szCs w:val="21"/>
          <w:highlight w:val="none"/>
        </w:rPr>
        <w:t xml:space="preserve">根据现行税法对甲方征收的与本合同有关的一切税费均由甲方承担；根据现行税法对乙方征收的与本合同有关的一切税费均由乙方承担。合同实施过程中，如发生税费比例调整，则双方同意：如税费比例上调，则合同含税总价不变，上调部分的税费由乙方自行承担；如税费比例下调，则合同含税总价下调，其中不含税金额不变，增值税金额按照下调后的税费比例计取。</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第三条：服务内容</w:t>
      </w:r>
      <w:r/>
    </w:p>
    <w:p>
      <w:p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对现有观测设施开展运行维护：</w:t>
      </w:r>
      <w:r/>
    </w:p>
    <w:p>
      <w:pPr>
        <w:numPr>
          <w:ilvl w:val="0"/>
          <w:numId w:val="8"/>
        </w:num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观测站点系统运维</w:t>
      </w:r>
      <w:r/>
    </w:p>
    <w:p>
      <w:pPr>
        <w:numPr>
          <w:ilvl w:val="0"/>
          <w:numId w:val="8"/>
        </w:num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观测站点站房日常运维</w:t>
      </w:r>
      <w:r/>
    </w:p>
    <w:p>
      <w:p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运维和观测成果清单：</w:t>
      </w:r>
      <w:r/>
    </w:p>
    <w:p>
      <w:pPr>
        <w:numPr>
          <w:ilvl w:val="0"/>
          <w:numId w:val="9"/>
        </w:num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《生物多样性保护智慧服务平台月度运行维护报告》；</w:t>
      </w:r>
      <w:r/>
    </w:p>
    <w:p>
      <w:pPr>
        <w:numPr>
          <w:ilvl w:val="0"/>
          <w:numId w:val="9"/>
        </w:num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《生物多样性保护智慧服务平台季度运行维护报告》</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3）《生物多样性保护智慧服务平台年度运行维护报告》；</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4）《生物多样性观测月度报告》；</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5）《生物多样性观测季度报告》；</w:t>
      </w:r>
      <w:r/>
    </w:p>
    <w:p>
      <w:p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6）《生物多样性观测年度报告》。</w:t>
      </w:r>
      <w:r/>
    </w:p>
    <w:p>
      <w:pPr>
        <w:ind w:firstLine="426"/>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第四条 组成本合同的有关文件</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下列与本次采购活动有关的文件及有关附件是本合同不可分割的组成部分，与本合同具有同等法律效力，这些文件包括但不限于：</w:t>
      </w:r>
      <w:r/>
    </w:p>
    <w:p>
      <w:pPr>
        <w:numPr>
          <w:ilvl w:val="0"/>
          <w:numId w:val="10"/>
        </w:num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采购文件；          </w:t>
      </w:r>
      <w:r/>
    </w:p>
    <w:p>
      <w:pPr>
        <w:numPr>
          <w:ilvl w:val="0"/>
          <w:numId w:val="10"/>
        </w:num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乙方提供的响应文件； </w:t>
      </w:r>
      <w:r/>
    </w:p>
    <w:p>
      <w:pPr>
        <w:numPr>
          <w:ilvl w:val="0"/>
          <w:numId w:val="10"/>
        </w:num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成交通知书；</w:t>
      </w:r>
      <w:r/>
    </w:p>
    <w:p>
      <w:pPr>
        <w:numPr>
          <w:ilvl w:val="0"/>
          <w:numId w:val="10"/>
        </w:num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甲乙双方商定的其他文件等。</w:t>
      </w:r>
      <w:r/>
    </w:p>
    <w:p>
      <w:pPr>
        <w:ind w:firstLine="426"/>
        <w:spacing w:line="360" w:lineRule="auto"/>
        <w:rPr>
          <w:rFonts w:ascii="宋体" w:hAnsi="宋体"/>
          <w:b/>
          <w:color w:val="auto"/>
          <w:szCs w:val="21"/>
          <w:highlight w:val="none"/>
        </w:rPr>
      </w:pPr>
      <w:r>
        <w:rPr>
          <w:rFonts w:hint="eastAsia" w:ascii="宋体" w:hAnsi="宋体"/>
          <w:b/>
          <w:color w:val="auto"/>
          <w:szCs w:val="21"/>
          <w:highlight w:val="none"/>
        </w:rPr>
        <w:t xml:space="preserve">第五条 合同款结算</w:t>
      </w:r>
      <w:r>
        <w:rPr>
          <w:rFonts w:ascii="宋体" w:hAnsi="宋体"/>
          <w:b/>
          <w:color w:val="auto"/>
          <w:szCs w:val="21"/>
          <w:highlight w:val="none"/>
        </w:rPr>
        <w:t xml:space="preserve">及</w:t>
      </w:r>
      <w:r>
        <w:rPr>
          <w:rFonts w:hint="eastAsia" w:ascii="宋体" w:hAnsi="宋体"/>
          <w:b/>
          <w:color w:val="auto"/>
          <w:szCs w:val="21"/>
          <w:highlight w:val="none"/>
        </w:rPr>
        <w:t xml:space="preserve">支付</w:t>
      </w:r>
      <w:r/>
    </w:p>
    <w:p>
      <w:pPr>
        <w:ind w:firstLine="424"/>
        <w:spacing w:line="360" w:lineRule="auto"/>
        <w:rPr>
          <w:rFonts w:ascii="宋体" w:hAnsi="宋体"/>
          <w:color w:val="auto"/>
          <w:szCs w:val="21"/>
          <w:highlight w:val="none"/>
        </w:rPr>
      </w:pPr>
      <w:r>
        <w:rPr>
          <w:rFonts w:hint="eastAsia" w:ascii="宋体" w:hAnsi="宋体"/>
          <w:color w:val="auto"/>
          <w:szCs w:val="21"/>
          <w:highlight w:val="none"/>
        </w:rPr>
        <w:t xml:space="preserve">1.本合同项下所有款项均以人民币支付。</w:t>
      </w:r>
      <w:r/>
    </w:p>
    <w:p>
      <w:pPr>
        <w:ind w:firstLine="424"/>
        <w:spacing w:line="360" w:lineRule="auto"/>
        <w:rPr>
          <w:rFonts w:ascii="宋体" w:hAnsi="宋体"/>
          <w:color w:val="auto"/>
          <w:szCs w:val="21"/>
          <w:highlight w:val="none"/>
        </w:rPr>
      </w:pPr>
      <w:r>
        <w:rPr>
          <w:rFonts w:hint="eastAsia" w:ascii="宋体" w:hAnsi="宋体"/>
          <w:color w:val="auto"/>
          <w:szCs w:val="21"/>
          <w:highlight w:val="none"/>
        </w:rPr>
        <w:t xml:space="preserve">2.本合同项下的采购资金由甲方自行支付，乙方向甲方开具发票。</w:t>
      </w:r>
      <w:r/>
    </w:p>
    <w:p>
      <w:pPr>
        <w:ind w:firstLine="424"/>
        <w:spacing w:line="360" w:lineRule="auto"/>
        <w:rPr>
          <w:rFonts w:ascii="宋体" w:hAnsi="宋体"/>
          <w:color w:val="auto"/>
          <w:szCs w:val="21"/>
          <w:highlight w:val="none"/>
        </w:rPr>
      </w:pPr>
      <w:r>
        <w:rPr>
          <w:rFonts w:hint="eastAsia" w:ascii="宋体" w:hAnsi="宋体"/>
          <w:color w:val="auto"/>
          <w:szCs w:val="21"/>
          <w:highlight w:val="none"/>
        </w:rPr>
        <w:t xml:space="preserve">3.结算方式:固定总价。</w:t>
      </w:r>
      <w:r/>
    </w:p>
    <w:p>
      <w:pPr>
        <w:ind w:firstLine="424"/>
        <w:spacing w:line="360" w:lineRule="auto"/>
        <w:rPr>
          <w:rFonts w:ascii="宋体" w:hAnsi="宋体" w:cs="宋体"/>
          <w:color w:val="auto"/>
          <w:szCs w:val="21"/>
          <w:highlight w:val="none"/>
        </w:rPr>
      </w:pPr>
      <w:r>
        <w:rPr>
          <w:rFonts w:hint="eastAsia" w:ascii="宋体" w:hAnsi="宋体"/>
          <w:color w:val="auto"/>
          <w:szCs w:val="21"/>
          <w:highlight w:val="none"/>
        </w:rPr>
        <w:t xml:space="preserve">4.付款方式：</w:t>
      </w:r>
      <w:r>
        <w:rPr>
          <w:rFonts w:hint="eastAsia" w:ascii="宋体" w:hAnsi="宋体" w:cs="宋体"/>
          <w:color w:val="auto"/>
          <w:spacing w:val="2"/>
          <w:szCs w:val="21"/>
          <w:highlight w:val="none"/>
        </w:rPr>
        <w:t xml:space="preserve">运维服务期开始后一个月内，甲方支付</w:t>
      </w:r>
      <w:r>
        <w:rPr>
          <w:rFonts w:ascii="宋体" w:hAnsi="宋体" w:cs="宋体"/>
          <w:color w:val="auto"/>
          <w:spacing w:val="2"/>
          <w:szCs w:val="21"/>
          <w:highlight w:val="none"/>
        </w:rPr>
        <w:t xml:space="preserve">35</w:t>
      </w:r>
      <w:r>
        <w:rPr>
          <w:rFonts w:hint="eastAsia" w:ascii="宋体" w:hAnsi="宋体" w:cs="宋体"/>
          <w:color w:val="auto"/>
          <w:spacing w:val="2"/>
          <w:szCs w:val="21"/>
          <w:highlight w:val="none"/>
        </w:rPr>
        <w:t xml:space="preserve">万元预付款；</w:t>
      </w:r>
      <w:r>
        <w:rPr>
          <w:rFonts w:hint="eastAsia" w:ascii="宋体" w:hAnsi="宋体" w:cs="宋体"/>
          <w:color w:val="auto"/>
          <w:szCs w:val="21"/>
          <w:highlight w:val="none"/>
        </w:rPr>
        <w:t xml:space="preserve">项目结束后对本项目履约情况进行整体验收，根据每月考核情况，扣除考核扣款（如有）后一次性支付剩余合同金额。</w:t>
      </w:r>
      <w:r/>
    </w:p>
    <w:p>
      <w:pPr>
        <w:ind w:firstLine="424"/>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（1）乙方要求付款时应提供以下资料：</w:t>
      </w:r>
      <w:r/>
    </w:p>
    <w:p>
      <w:pPr>
        <w:ind w:firstLine="424"/>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①合格的发票。</w:t>
      </w:r>
      <w:r/>
    </w:p>
    <w:p>
      <w:pPr>
        <w:ind w:firstLine="424"/>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②甲乙双方签章的《政府采购履约验收书》。</w:t>
      </w:r>
      <w:r/>
    </w:p>
    <w:p>
      <w:pPr>
        <w:ind w:firstLine="424"/>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乙方提供的资料不全，甲方有权延期付款而无需承担任何违约责任。</w:t>
      </w:r>
      <w:r/>
    </w:p>
    <w:p>
      <w:pPr>
        <w:ind w:firstLine="424"/>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（2）支付方式：银行转账。</w:t>
      </w:r>
      <w:r/>
    </w:p>
    <w:p>
      <w:p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（3）乙方账户信息如下：</w:t>
      </w:r>
      <w:r/>
    </w:p>
    <w:p>
      <w:p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 账户名：</w:t>
      </w:r>
      <w:r/>
    </w:p>
    <w:p>
      <w:p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②开户行：</w:t>
      </w:r>
      <w:r/>
    </w:p>
    <w:p>
      <w:pPr>
        <w:ind w:firstLine="424"/>
        <w:jc w:val="left"/>
        <w:spacing w:line="360" w:lineRule="auto"/>
        <w:rPr>
          <w:rFonts w:ascii="宋体" w:hAnsi="宋体" w:cs="宋体"/>
          <w:color w:val="auto"/>
          <w:spacing w:val="2"/>
          <w:szCs w:val="21"/>
          <w:highlight w:val="none"/>
        </w:rPr>
      </w:pPr>
      <w:r>
        <w:rPr>
          <w:rFonts w:hint="eastAsia" w:ascii="宋体" w:hAnsi="宋体" w:cs="宋体"/>
          <w:color w:val="auto"/>
          <w:szCs w:val="21"/>
          <w:highlight w:val="none"/>
        </w:rPr>
        <w:t xml:space="preserve">③账  号：</w:t>
      </w:r>
      <w:r/>
    </w:p>
    <w:p>
      <w:pPr>
        <w:ind w:firstLine="424"/>
        <w:spacing w:line="360" w:lineRule="auto"/>
        <w:rPr>
          <w:rFonts w:ascii="宋体" w:hAnsi="宋体"/>
          <w:color w:val="auto"/>
          <w:szCs w:val="21"/>
          <w:highlight w:val="none"/>
        </w:rPr>
      </w:pPr>
      <w:r>
        <w:rPr>
          <w:rFonts w:ascii="宋体" w:hAnsi="宋体"/>
          <w:color w:val="auto"/>
          <w:szCs w:val="21"/>
          <w:highlight w:val="none"/>
        </w:rPr>
      </w:r>
      <w:r/>
    </w:p>
    <w:p>
      <w:pPr>
        <w:ind w:firstLine="470"/>
        <w:jc w:val="left"/>
        <w:spacing w:line="360" w:lineRule="auto"/>
        <w:rPr>
          <w:rFonts w:ascii="宋体" w:hAnsi="宋体" w:cs="宋体"/>
          <w:color w:val="auto"/>
          <w:szCs w:val="21"/>
          <w:highlight w:val="none"/>
        </w:rPr>
      </w:pPr>
      <w:r>
        <w:rPr>
          <w:rFonts w:hint="eastAsia" w:ascii="宋体" w:hAnsi="宋体"/>
          <w:b/>
          <w:color w:val="auto"/>
          <w:szCs w:val="21"/>
          <w:highlight w:val="none"/>
        </w:rPr>
        <w:t xml:space="preserve">第六条  </w:t>
      </w:r>
      <w:r>
        <w:rPr>
          <w:rFonts w:hint="eastAsia" w:ascii="宋体" w:hAnsi="宋体" w:cs="宋体"/>
          <w:b/>
          <w:bCs/>
          <w:color w:val="auto"/>
          <w:spacing w:val="-3"/>
          <w:szCs w:val="21"/>
          <w:highlight w:val="none"/>
        </w:rPr>
        <w:t xml:space="preserve">甲、乙双方的义务</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1、乙方应当认真执行并按时完成服务工作，自觉接受甲方监督，乙方应当坚守工作范围的职责。</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在项目实施过程中，必须按照合同要求及响应文件中的承诺配置本项目专业技术人员。在合同期内，乙方及其工作人员须服从甲方的一切规章制度及安排。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乙方及其专业人员应当遵守保密原则，对因订立和执行本合同过程中所了解或知悉或获取的甲方的一切信息、国家秘密、商业秘密和个人隐私以及合同成果予以保密，在本合同服务期内及本合同解除或终止后均不得向甲方以外的第三方提供保密信息，除非得到甲方的同意或者属于法律、行政法规允许的范围。</w:t>
      </w:r>
      <w:r/>
    </w:p>
    <w:p>
      <w:pPr>
        <w:ind w:firstLine="480"/>
        <w:jc w:val="left"/>
        <w:spacing w:line="360" w:lineRule="auto"/>
        <w:rPr>
          <w:rFonts w:ascii="宋体" w:hAnsi="宋体"/>
          <w:b/>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甲方提交给乙方使用的相关资料，其知识产权仍归甲方所有。除为本合同目的而使用之外，乙方不得复制、使用及提供给第三方。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际或国家通用标准，如出现质量问题，乙方负责更正，发生的费用由乙方负责。</w:t>
      </w:r>
      <w:r/>
    </w:p>
    <w:p>
      <w:pPr>
        <w:ind w:firstLine="426"/>
        <w:spacing w:line="360" w:lineRule="auto"/>
        <w:rPr>
          <w:rFonts w:ascii="宋体" w:hAnsi="宋体"/>
          <w:b/>
          <w:color w:val="auto"/>
          <w:szCs w:val="21"/>
          <w:highlight w:val="none"/>
        </w:rPr>
      </w:pPr>
      <w:r>
        <w:rPr>
          <w:rFonts w:hint="eastAsia" w:ascii="宋体" w:hAnsi="宋体"/>
          <w:b/>
          <w:color w:val="auto"/>
          <w:szCs w:val="21"/>
          <w:highlight w:val="none"/>
        </w:rPr>
        <w:t xml:space="preserve">第七条 违约责任</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1、乙方不能提供服务的，或服务不合格从而影响甲方按期正常使用的，乙方应向甲方赔偿损失，并向甲方偿付合同总价款20%的违约金，且甲方有权解除合同。</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2、乙方逾期提供服务的，应与甲方协商，甲方仍需求的，乙方应立即提供服务按照逾期服务的每天万分之四支付逾期违约金，同时承担甲方因此遭致的损失费用。 </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3、政府采购合同的部分和全部都不得转让、分包，否则乙方应向甲方补偿损失，并向甲方偿付合同总价款</w:t>
      </w:r>
      <w:r>
        <w:rPr>
          <w:rFonts w:ascii="宋体" w:hAnsi="宋体" w:cs="宋体"/>
          <w:color w:val="auto"/>
          <w:szCs w:val="21"/>
          <w:highlight w:val="none"/>
        </w:rPr>
        <w:t xml:space="preserve">20%的违约金，且甲方有权解除合同。</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若乙方未遵守保密义务，出现泄漏甲方或第三方秘密的情形，甲方有权要求乙方赔偿损失，并追究乙方合同总标的额百分之二十的违约金，且甲方有权解除合同。情节严重涉及违法犯罪的，依法移交司法机关处理。</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5、若因乙方侵犯甲方或第三方知识产权，发生第三方诉讼、社会舆论或甲方信誉受损等情形，甲方有权要求乙方赔偿损失，并追究乙方合同总标的额百分之二十的违约金，且甲方有权解除合同。</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6、乙方在服务期内，若受到市场监督管理部门、生态环境主管部门以及行业协会通报批评或行政处罚的，甲方有权利视情况终止合同，并要求乙方赔偿甲方因此所遭受的损失。</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7、以上赔偿范围包括但不限于造成的甲方直接损失以及甲方因此合理维权而发生的差旅费、调查取证费、律师费、诉讼费、仲裁费、公告费、鉴定费、保全费、担保费用等。</w:t>
      </w:r>
      <w:r/>
    </w:p>
    <w:p>
      <w:pPr>
        <w:ind w:firstLine="426"/>
        <w:spacing w:line="360" w:lineRule="auto"/>
        <w:rPr>
          <w:rFonts w:ascii="宋体" w:hAnsi="宋体"/>
          <w:b/>
          <w:color w:val="auto"/>
          <w:szCs w:val="21"/>
          <w:highlight w:val="none"/>
        </w:rPr>
      </w:pPr>
      <w:r>
        <w:rPr>
          <w:rFonts w:hint="eastAsia" w:ascii="宋体" w:hAnsi="宋体"/>
          <w:b/>
          <w:color w:val="auto"/>
          <w:szCs w:val="21"/>
          <w:highlight w:val="none"/>
        </w:rPr>
        <w:t xml:space="preserve">第八条 合同的变更和终止</w:t>
      </w:r>
      <w:r/>
    </w:p>
    <w:p>
      <w:pPr>
        <w:ind w:firstLine="424"/>
        <w:spacing w:line="360" w:lineRule="auto"/>
        <w:rPr>
          <w:rFonts w:ascii="宋体" w:hAnsi="宋体"/>
          <w:color w:val="auto"/>
          <w:szCs w:val="21"/>
          <w:highlight w:val="none"/>
        </w:rPr>
      </w:pPr>
      <w:r>
        <w:rPr>
          <w:rFonts w:hint="eastAsia" w:ascii="宋体" w:hAnsi="宋体"/>
          <w:color w:val="auto"/>
          <w:szCs w:val="21"/>
          <w:highlight w:val="none"/>
        </w:rPr>
        <w:t xml:space="preserve">1.本合同一经签订，甲乙双方不得擅自变更、中止或终止合同。</w:t>
      </w:r>
      <w:r/>
    </w:p>
    <w:p>
      <w:pPr>
        <w:ind w:firstLine="424"/>
        <w:spacing w:line="360" w:lineRule="auto"/>
        <w:rPr>
          <w:rFonts w:ascii="宋体" w:hAnsi="宋体"/>
          <w:color w:val="auto"/>
          <w:szCs w:val="21"/>
          <w:highlight w:val="none"/>
        </w:rPr>
      </w:pPr>
      <w:r>
        <w:rPr>
          <w:rFonts w:hint="eastAsia" w:ascii="宋体" w:hAnsi="宋体"/>
          <w:color w:val="auto"/>
          <w:szCs w:val="21"/>
          <w:highlight w:val="none"/>
        </w:rPr>
        <w:t xml:space="preserve">2.除发生法律规定的不能预见、不能避免并不能克服的客观情况外，甲乙双方不得放弃或拒绝履行合同。</w:t>
      </w:r>
      <w:r/>
    </w:p>
    <w:p>
      <w:pPr>
        <w:ind w:firstLine="426"/>
        <w:spacing w:line="360" w:lineRule="auto"/>
        <w:rPr>
          <w:rFonts w:ascii="宋体" w:hAnsi="宋体"/>
          <w:b/>
          <w:color w:val="auto"/>
          <w:szCs w:val="21"/>
          <w:highlight w:val="none"/>
        </w:rPr>
      </w:pPr>
      <w:r>
        <w:rPr>
          <w:rFonts w:hint="eastAsia" w:ascii="宋体" w:hAnsi="宋体"/>
          <w:b/>
          <w:color w:val="auto"/>
          <w:szCs w:val="21"/>
          <w:highlight w:val="none"/>
        </w:rPr>
        <w:t xml:space="preserve">第九条 合同的转让</w:t>
      </w:r>
      <w:r/>
    </w:p>
    <w:p>
      <w:pPr>
        <w:ind w:firstLine="424"/>
        <w:spacing w:line="360" w:lineRule="auto"/>
        <w:rPr>
          <w:rFonts w:ascii="宋体" w:hAnsi="宋体"/>
          <w:color w:val="auto"/>
          <w:szCs w:val="21"/>
          <w:highlight w:val="none"/>
        </w:rPr>
      </w:pPr>
      <w:r>
        <w:rPr>
          <w:rFonts w:hint="eastAsia" w:ascii="宋体" w:hAnsi="宋体"/>
          <w:color w:val="auto"/>
          <w:szCs w:val="21"/>
          <w:highlight w:val="none"/>
        </w:rPr>
        <w:t xml:space="preserve">乙方不得擅自部分或全部转让其应履行的合同义务。</w:t>
      </w:r>
      <w:r/>
    </w:p>
    <w:p>
      <w:pPr>
        <w:ind w:firstLine="426"/>
        <w:spacing w:line="360" w:lineRule="auto"/>
        <w:rPr>
          <w:rFonts w:ascii="宋体" w:hAnsi="宋体"/>
          <w:b/>
          <w:color w:val="auto"/>
          <w:szCs w:val="21"/>
          <w:highlight w:val="none"/>
        </w:rPr>
      </w:pPr>
      <w:r>
        <w:rPr>
          <w:rFonts w:hint="eastAsia" w:ascii="宋体" w:hAnsi="宋体"/>
          <w:b/>
          <w:color w:val="auto"/>
          <w:szCs w:val="21"/>
          <w:highlight w:val="none"/>
        </w:rPr>
        <w:t xml:space="preserve">第十条 不可抗力</w:t>
      </w:r>
      <w:r/>
    </w:p>
    <w:p>
      <w:pPr>
        <w:ind w:firstLine="424"/>
        <w:spacing w:line="360" w:lineRule="auto"/>
        <w:rPr>
          <w:rFonts w:ascii="宋体" w:hAnsi="宋体"/>
          <w:color w:val="auto"/>
          <w:szCs w:val="21"/>
          <w:highlight w:val="none"/>
        </w:rPr>
      </w:pPr>
      <w:r>
        <w:rPr>
          <w:rFonts w:hint="eastAsia" w:ascii="宋体" w:hAnsi="宋体"/>
          <w:color w:val="auto"/>
          <w:szCs w:val="21"/>
          <w:highlight w:val="none"/>
        </w:rPr>
        <w:t xml:space="preserve">甲、乙方中任何一方，因不可抗力不能按时或完全履行合同的，应及时通知对方，并在</w:t>
      </w:r>
      <w:r>
        <w:rPr>
          <w:rFonts w:hint="eastAsia" w:ascii="宋体" w:hAnsi="宋体"/>
          <w:color w:val="auto"/>
          <w:szCs w:val="21"/>
          <w:highlight w:val="none"/>
          <w:u w:val="single"/>
        </w:rPr>
        <w:t xml:space="preserve"> 3 个</w:t>
      </w:r>
      <w:r>
        <w:rPr>
          <w:rFonts w:hint="eastAsia" w:ascii="宋体" w:hAnsi="宋体"/>
          <w:color w:val="auto"/>
          <w:szCs w:val="21"/>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26"/>
        <w:spacing w:line="360" w:lineRule="auto"/>
        <w:rPr>
          <w:rFonts w:ascii="宋体" w:hAnsi="宋体"/>
          <w:b/>
          <w:color w:val="auto"/>
          <w:szCs w:val="21"/>
          <w:highlight w:val="none"/>
        </w:rPr>
      </w:pPr>
      <w:r>
        <w:rPr>
          <w:rFonts w:hint="eastAsia" w:ascii="宋体" w:hAnsi="宋体"/>
          <w:b/>
          <w:color w:val="auto"/>
          <w:szCs w:val="21"/>
          <w:highlight w:val="none"/>
        </w:rPr>
        <w:t xml:space="preserve">第十一条 争议的解决</w:t>
      </w:r>
      <w:r/>
    </w:p>
    <w:p>
      <w:pPr>
        <w:ind w:firstLine="424"/>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.因履行本合同引起的或与本合同有关的争议，甲、乙双方应首先通过友好协商解决，如果协商不能解决争议，则采取以下第（1）种方式解决争议：</w:t>
      </w:r>
      <w:r/>
    </w:p>
    <w:p>
      <w:pPr>
        <w:ind w:firstLine="424"/>
        <w:spacing w:line="360" w:lineRule="auto"/>
        <w:rPr>
          <w:rFonts w:ascii="宋体" w:hAnsi="宋体"/>
          <w:color w:val="auto"/>
          <w:szCs w:val="21"/>
          <w:highlight w:val="none"/>
        </w:rPr>
      </w:pPr>
      <w:r>
        <w:rPr>
          <w:rFonts w:hint="eastAsia" w:ascii="宋体" w:hAnsi="宋体"/>
          <w:color w:val="auto"/>
          <w:szCs w:val="21"/>
          <w:highlight w:val="none"/>
        </w:rPr>
        <w:t xml:space="preserve">（1）向甲方所在地人民法院提起诉讼；</w:t>
      </w:r>
      <w:r/>
    </w:p>
    <w:p>
      <w:pPr>
        <w:ind w:firstLine="424"/>
        <w:spacing w:line="360" w:lineRule="auto"/>
        <w:rPr>
          <w:rFonts w:ascii="宋体" w:hAnsi="宋体"/>
          <w:color w:val="auto"/>
          <w:szCs w:val="21"/>
          <w:highlight w:val="none"/>
        </w:rPr>
      </w:pPr>
      <w:r>
        <w:rPr>
          <w:rFonts w:hint="eastAsia" w:ascii="宋体" w:hAnsi="宋体"/>
          <w:color w:val="auto"/>
          <w:szCs w:val="21"/>
          <w:highlight w:val="none"/>
        </w:rPr>
        <w:t xml:space="preserve">（2）向甲方所在地仲裁委员会按其仲裁规则申请仲裁。</w:t>
      </w:r>
      <w:r/>
    </w:p>
    <w:p>
      <w:pPr>
        <w:ind w:firstLine="424"/>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.在法院审理和仲裁期间，除有争议部分外，本合同其他部分应继续履行。</w:t>
      </w:r>
      <w:r/>
    </w:p>
    <w:p>
      <w:pPr>
        <w:ind w:firstLine="426"/>
        <w:spacing w:line="360" w:lineRule="auto"/>
        <w:rPr>
          <w:rFonts w:ascii="宋体" w:hAnsi="宋体"/>
          <w:b/>
          <w:color w:val="auto"/>
          <w:szCs w:val="21"/>
          <w:highlight w:val="none"/>
        </w:rPr>
      </w:pPr>
      <w:r>
        <w:rPr>
          <w:rFonts w:hint="eastAsia" w:ascii="宋体" w:hAnsi="宋体"/>
          <w:b/>
          <w:color w:val="auto"/>
          <w:szCs w:val="21"/>
          <w:highlight w:val="none"/>
        </w:rPr>
        <w:t xml:space="preserve">第十二条 诚实信用 </w:t>
      </w:r>
      <w:r/>
    </w:p>
    <w:p>
      <w:pPr>
        <w:ind w:firstLine="424"/>
        <w:spacing w:line="360" w:lineRule="auto"/>
        <w:rPr>
          <w:rFonts w:ascii="宋体" w:hAnsi="宋体"/>
          <w:color w:val="auto"/>
          <w:szCs w:val="21"/>
          <w:highlight w:val="none"/>
        </w:rPr>
      </w:pPr>
      <w:r>
        <w:rPr>
          <w:rFonts w:hint="eastAsia" w:ascii="宋体" w:hAnsi="宋体"/>
          <w:color w:val="auto"/>
          <w:szCs w:val="21"/>
          <w:highlight w:val="none"/>
        </w:rPr>
        <w:t xml:space="preserve">乙方应诚实信用，严格按照合同要求和投标承诺履行合同，不向甲方进行商业贿赂或者提供不正当利益。</w:t>
      </w:r>
      <w:r/>
    </w:p>
    <w:p>
      <w:pPr>
        <w:ind w:firstLine="426"/>
        <w:spacing w:line="360" w:lineRule="auto"/>
        <w:rPr>
          <w:rFonts w:ascii="宋体" w:hAnsi="宋体"/>
          <w:b/>
          <w:color w:val="auto"/>
          <w:szCs w:val="21"/>
          <w:highlight w:val="none"/>
        </w:rPr>
      </w:pPr>
      <w:r>
        <w:rPr>
          <w:rFonts w:hint="eastAsia" w:ascii="宋体" w:hAnsi="宋体"/>
          <w:b/>
          <w:color w:val="auto"/>
          <w:szCs w:val="21"/>
          <w:highlight w:val="none"/>
        </w:rPr>
        <w:t xml:space="preserve">第十三条 合同生效及其他</w:t>
      </w:r>
      <w:r/>
    </w:p>
    <w:p>
      <w:pPr>
        <w:numPr>
          <w:ilvl w:val="0"/>
          <w:numId w:val="11"/>
        </w:numPr>
        <w:ind w:firstLine="424"/>
        <w:spacing w:line="360" w:lineRule="auto"/>
        <w:rPr>
          <w:rFonts w:ascii="宋体" w:hAnsi="宋体"/>
          <w:color w:val="auto"/>
          <w:szCs w:val="21"/>
          <w:highlight w:val="none"/>
        </w:rPr>
      </w:pPr>
      <w:r>
        <w:rPr>
          <w:rFonts w:hint="eastAsia" w:ascii="宋体" w:hAnsi="宋体"/>
          <w:color w:val="auto"/>
          <w:szCs w:val="21"/>
          <w:highlight w:val="none"/>
        </w:rPr>
        <w:t xml:space="preserve">本合同自经甲乙双方授权代表签订并加盖公章后，自签订之日起生效。</w:t>
      </w:r>
      <w:r/>
    </w:p>
    <w:p>
      <w:pPr>
        <w:ind w:firstLine="424"/>
        <w:spacing w:line="360" w:lineRule="auto"/>
        <w:rPr>
          <w:rFonts w:ascii="宋体" w:hAnsi="宋体"/>
          <w:color w:val="auto"/>
          <w:szCs w:val="21"/>
          <w:highlight w:val="none"/>
        </w:rPr>
      </w:pPr>
      <w:r>
        <w:rPr>
          <w:rFonts w:hint="eastAsia" w:ascii="宋体" w:hAnsi="宋体"/>
          <w:color w:val="auto"/>
          <w:szCs w:val="21"/>
          <w:highlight w:val="none"/>
        </w:rPr>
        <w:t xml:space="preserve">2.本合同一式伍份，甲乙双方各执贰份，政府采购监督管理部门壹份。</w:t>
      </w:r>
      <w:r/>
    </w:p>
    <w:p>
      <w:pPr>
        <w:ind w:firstLine="422"/>
        <w:spacing w:line="360" w:lineRule="auto"/>
        <w:rPr>
          <w:rFonts w:ascii="宋体" w:hAnsi="宋体" w:cs="宋体"/>
          <w:color w:val="auto"/>
          <w:szCs w:val="21"/>
          <w:highlight w:val="none"/>
        </w:rPr>
      </w:pPr>
      <w:r>
        <w:rPr>
          <w:rFonts w:hint="eastAsia" w:ascii="宋体" w:hAnsi="宋体"/>
          <w:color w:val="auto"/>
          <w:szCs w:val="21"/>
          <w:highlight w:val="none"/>
        </w:rPr>
        <w:t xml:space="preserve">3.本合同应按照中华人民共和国的现行法律进行解释。</w:t>
      </w:r>
      <w:r/>
    </w:p>
    <w:p>
      <w:pPr>
        <w:pStyle w:val="906"/>
        <w:rPr>
          <w:color w:val="auto"/>
          <w:highlight w:val="none"/>
          <w:lang w:val="zh-CN"/>
        </w:rPr>
      </w:pPr>
      <w:r>
        <w:rPr>
          <w:color w:val="auto"/>
          <w:highlight w:val="none"/>
          <w:lang w:val="zh-CN"/>
        </w:rPr>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（以下无正文）</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甲方：                                乙方：                    </w:t>
      </w:r>
      <w:r/>
    </w:p>
    <w:p>
      <w:p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法定代表人（</w:t>
      </w:r>
      <w:r>
        <w:rPr>
          <w:rFonts w:hint="eastAsia" w:ascii="宋体" w:hAnsi="宋体" w:cs="宋体"/>
          <w:color w:val="auto"/>
          <w:szCs w:val="21"/>
          <w:highlight w:val="none"/>
        </w:rPr>
        <w:t xml:space="preserve">或</w:t>
      </w:r>
      <w:r>
        <w:rPr>
          <w:rFonts w:ascii="宋体" w:hAnsi="宋体" w:cs="宋体"/>
          <w:color w:val="auto"/>
          <w:szCs w:val="21"/>
          <w:highlight w:val="none"/>
        </w:rPr>
        <w:t xml:space="preserve">授权代表）：            法定代表人（</w:t>
      </w:r>
      <w:r>
        <w:rPr>
          <w:rFonts w:hint="eastAsia" w:ascii="宋体" w:hAnsi="宋体" w:cs="宋体"/>
          <w:color w:val="auto"/>
          <w:szCs w:val="21"/>
          <w:highlight w:val="none"/>
        </w:rPr>
        <w:t xml:space="preserve">或</w:t>
      </w:r>
      <w:r>
        <w:rPr>
          <w:rFonts w:ascii="宋体" w:hAnsi="宋体" w:cs="宋体"/>
          <w:color w:val="auto"/>
          <w:szCs w:val="21"/>
          <w:highlight w:val="none"/>
        </w:rPr>
        <w:t xml:space="preserve">授权代表）：  </w:t>
      </w:r>
      <w:r/>
    </w:p>
    <w:p>
      <w:pPr>
        <w:jc w:val="left"/>
        <w:spacing w:line="360" w:lineRule="auto"/>
        <w:rPr>
          <w:rFonts w:ascii="宋体" w:hAnsi="宋体" w:cs="宋体"/>
          <w:color w:val="auto"/>
          <w:szCs w:val="21"/>
          <w:highlight w:val="none"/>
        </w:rPr>
        <w:outlineLvl w:val="0"/>
      </w:pPr>
      <w:r>
        <w:rPr>
          <w:rFonts w:ascii="宋体" w:hAnsi="宋体" w:cs="宋体"/>
          <w:color w:val="auto"/>
          <w:szCs w:val="21"/>
          <w:highlight w:val="none"/>
        </w:rPr>
        <w:t xml:space="preserve">签约日期：                           </w:t>
      </w:r>
      <w:r>
        <w:rPr>
          <w:rFonts w:hint="eastAsia" w:ascii="宋体" w:hAnsi="宋体" w:cs="宋体"/>
          <w:color w:val="auto"/>
          <w:szCs w:val="21"/>
          <w:highlight w:val="none"/>
        </w:rPr>
        <w:t xml:space="preserve">  </w:t>
      </w:r>
      <w:r>
        <w:rPr>
          <w:rFonts w:ascii="宋体" w:hAnsi="宋体" w:cs="宋体"/>
          <w:color w:val="auto"/>
          <w:szCs w:val="21"/>
          <w:highlight w:val="none"/>
        </w:rPr>
        <w:t xml:space="preserve">签约日期：</w:t>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b/>
          <w:color w:val="auto"/>
          <w:sz w:val="24"/>
          <w:szCs w:val="24"/>
          <w:highlight w:val="none"/>
        </w:rPr>
      </w:r>
      <w:r/>
    </w:p>
    <w:p>
      <w:pPr>
        <w:jc w:val="left"/>
        <w:spacing w:line="360" w:lineRule="auto"/>
        <w:rPr>
          <w:b/>
          <w:color w:val="auto"/>
          <w:sz w:val="24"/>
          <w:szCs w:val="24"/>
          <w:highlight w:val="none"/>
        </w:rPr>
        <w:outlineLvl w:val="0"/>
      </w:pPr>
      <w:r>
        <w:rPr>
          <w:rFonts w:hint="eastAsia"/>
          <w:b/>
          <w:color w:val="auto"/>
          <w:sz w:val="24"/>
          <w:szCs w:val="24"/>
          <w:highlight w:val="none"/>
        </w:rPr>
        <w:t xml:space="preserve">附件：考核要求</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、监督管理</w:t>
      </w:r>
      <w:r/>
    </w:p>
    <w:p>
      <w:pPr>
        <w:ind w:firstLine="420"/>
        <w:spacing w:line="360" w:lineRule="auto"/>
        <w:rPr>
          <w:color w:val="auto"/>
          <w:sz w:val="21"/>
          <w:szCs w:val="21"/>
          <w:highlight w:val="none"/>
        </w:rPr>
      </w:pPr>
      <w:r>
        <w:rPr>
          <w:rFonts w:hint="eastAsia"/>
          <w:color w:val="auto"/>
          <w:sz w:val="21"/>
          <w:szCs w:val="21"/>
          <w:highlight w:val="none"/>
        </w:rPr>
        <w:t xml:space="preserve">观测数据必须真实有效，响应单位在项目服务中有弄虚作假行为，按提供虚假资料处理，中标无效，且承担相关法律责任。</w:t>
      </w:r>
      <w:r/>
    </w:p>
    <w:p>
      <w:pPr>
        <w:ind w:firstLine="420"/>
        <w:spacing w:line="360" w:lineRule="auto"/>
        <w:rPr>
          <w:color w:val="auto"/>
          <w:sz w:val="21"/>
          <w:szCs w:val="21"/>
          <w:highlight w:val="none"/>
        </w:rPr>
      </w:pPr>
      <w:r>
        <w:rPr>
          <w:rFonts w:hint="eastAsia"/>
          <w:color w:val="auto"/>
          <w:sz w:val="21"/>
          <w:szCs w:val="21"/>
          <w:highlight w:val="none"/>
        </w:rPr>
        <w:t xml:space="preserve">响应单位应承担数据的保密责任，不得利用本项目的数据、档案或有关资料对外开展技术交流、业务联系、数据交换等。否则，采购方有权终止合同。</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、考核要求</w:t>
      </w:r>
      <w:r/>
    </w:p>
    <w:p>
      <w:pPr>
        <w:ind w:firstLine="420"/>
        <w:spacing w:line="360" w:lineRule="auto"/>
        <w:rPr>
          <w:color w:val="auto"/>
          <w:sz w:val="21"/>
          <w:szCs w:val="21"/>
          <w:highlight w:val="none"/>
        </w:rPr>
      </w:pPr>
      <w:r>
        <w:rPr>
          <w:rFonts w:hint="eastAsia"/>
          <w:color w:val="auto"/>
          <w:sz w:val="21"/>
          <w:szCs w:val="21"/>
          <w:highlight w:val="none"/>
        </w:rPr>
        <w:t xml:space="preserve">实行月度考核，根据考核分值计算当期扣款。</w:t>
      </w:r>
      <w:r/>
    </w:p>
    <w:tbl>
      <w:tblPr>
        <w:tblStyle w:val="849"/>
        <w:tblW w:w="8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8"/>
        <w:gridCol w:w="4620"/>
        <w:gridCol w:w="709"/>
        <w:gridCol w:w="708"/>
        <w:gridCol w:w="1098"/>
      </w:tblGrid>
      <w:tr>
        <w:trPr>
          <w:jc w:val="center"/>
          <w:trHeight w:val="57"/>
        </w:trPr>
        <w:tc>
          <w:tcPr>
            <w:shd w:val="clear" w:color="auto" w:fill="d8d8d8" w:themeFill="background1" w:themeFillShade="D9"/>
            <w:tcW w:w="14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考核项目</w:t>
            </w:r>
            <w:r/>
          </w:p>
        </w:tc>
        <w:tc>
          <w:tcPr>
            <w:shd w:val="clear" w:color="auto" w:fill="d8d8d8" w:themeFill="background1" w:themeFillShade="D9"/>
            <w:tcW w:w="4620"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考核要求</w:t>
            </w:r>
            <w:r/>
          </w:p>
        </w:tc>
        <w:tc>
          <w:tcPr>
            <w:shd w:val="clear" w:color="auto" w:fill="d8d8d8" w:themeFill="background1" w:themeFillShade="D9"/>
            <w:tcW w:w="7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分值</w:t>
            </w:r>
            <w:r/>
          </w:p>
        </w:tc>
        <w:tc>
          <w:tcPr>
            <w:shd w:val="clear" w:color="auto" w:fill="d8d8d8" w:themeFill="background1" w:themeFillShade="D9"/>
            <w:tcW w:w="70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得分</w:t>
            </w:r>
            <w:r/>
          </w:p>
        </w:tc>
        <w:tc>
          <w:tcPr>
            <w:shd w:val="clear" w:color="auto" w:fill="d8d8d8" w:themeFill="background1" w:themeFillShade="D9"/>
            <w:tcW w:w="10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备注</w:t>
            </w:r>
            <w:r/>
          </w:p>
        </w:tc>
      </w:tr>
      <w:tr>
        <w:trPr>
          <w:jc w:val="center"/>
          <w:trHeight w:val="57"/>
        </w:trPr>
        <w:tc>
          <w:tcPr>
            <w:tcW w:w="1498" w:type="dxa"/>
            <w:vAlign w:val="center"/>
            <w:vMerge w:val="restart"/>
            <w:textDirection w:val="lrTb"/>
            <w:noWrap w:val="false"/>
          </w:tcPr>
          <w:p>
            <w:pPr>
              <w:spacing w:line="360" w:lineRule="auto"/>
              <w:rPr>
                <w:color w:val="auto"/>
                <w:sz w:val="21"/>
                <w:szCs w:val="21"/>
                <w:highlight w:val="none"/>
              </w:rPr>
            </w:pPr>
            <w:r>
              <w:rPr>
                <w:color w:val="auto"/>
                <w:sz w:val="21"/>
                <w:szCs w:val="21"/>
                <w:highlight w:val="none"/>
              </w:rPr>
              <w:t xml:space="preserve">一、运行维护（50分）</w:t>
            </w:r>
            <w:r/>
          </w:p>
        </w:tc>
        <w:tc>
          <w:tcPr>
            <w:tcW w:w="4620" w:type="dxa"/>
            <w:vAlign w:val="center"/>
            <w:textDirection w:val="lrTb"/>
            <w:noWrap w:val="false"/>
          </w:tcPr>
          <w:p>
            <w:pPr>
              <w:spacing w:line="360" w:lineRule="auto"/>
              <w:rPr>
                <w:color w:val="auto"/>
                <w:sz w:val="21"/>
                <w:szCs w:val="21"/>
                <w:highlight w:val="none"/>
              </w:rPr>
            </w:pPr>
            <w:r>
              <w:rPr>
                <w:color w:val="auto"/>
                <w:sz w:val="21"/>
                <w:szCs w:val="21"/>
                <w:highlight w:val="none"/>
              </w:rPr>
              <w:t xml:space="preserve">服务期内，站点系统正常运行，观测数据要确保连贯性，非不可抗力的原因造成24小时及以上的数据缺失，且未能及时响应，发现一次扣2分。</w:t>
            </w:r>
            <w:r/>
          </w:p>
        </w:tc>
        <w:tc>
          <w:tcPr>
            <w:tcW w:w="7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30</w:t>
            </w:r>
            <w:r/>
          </w:p>
        </w:tc>
        <w:tc>
          <w:tcPr>
            <w:tcW w:w="70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0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mc:AlternateContent>
                <mc:Choice Requires="wpg">
                  <w:drawing>
                    <wp:inline xmlns:wp="http://schemas.openxmlformats.org/drawingml/2006/wordprocessingDrawing" distT="0" distB="0" distL="0" distR="0">
                      <wp:extent cx="723900" cy="7239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997377" name=""/>
                              <pic:cNvPicPr>
                                <a:picLocks noChangeAspect="1"/>
                              </pic:cNvPicPr>
                              <pic:nvPr/>
                            </pic:nvPicPr>
                            <pic:blipFill>
                              <a:blip r:embed="rId15"/>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57.0pt;mso-wrap-distance-left:0.0pt;mso-wrap-distance-top:0.0pt;mso-wrap-distance-right:0.0pt;mso-wrap-distance-bottom:0.0pt;" stroked="false">
                      <v:path textboxrect="0,0,0,0"/>
                      <v:imagedata r:id="rId15" o:title=""/>
                    </v:shape>
                  </w:pict>
                </mc:Fallback>
              </mc:AlternateContent>
              <mc:AlternateContent>
                <mc:Choice Requires="wpg">
                  <w:drawing>
                    <wp:inline xmlns:wp="http://schemas.openxmlformats.org/drawingml/2006/wordprocessingDrawing" distT="0" distB="0" distL="0" distR="0">
                      <wp:extent cx="723900" cy="7239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833418" name=""/>
                              <pic:cNvPicPr>
                                <a:picLocks noChangeAspect="1"/>
                              </pic:cNvPicPr>
                              <pic:nvPr/>
                            </pic:nvPicPr>
                            <pic:blipFill>
                              <a:blip r:embed="rId16"/>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57.0pt;mso-wrap-distance-left:0.0pt;mso-wrap-distance-top:0.0pt;mso-wrap-distance-right:0.0pt;mso-wrap-distance-bottom:0.0pt;" stroked="false">
                      <v:path textboxrect="0,0,0,0"/>
                      <v:imagedata r:id="rId16" o:title=""/>
                    </v:shape>
                  </w:pict>
                </mc:Fallback>
              </mc:AlternateContent>
            </w:r>
            <w:r/>
          </w:p>
        </w:tc>
      </w:tr>
      <w:tr>
        <w:trPr>
          <w:jc w:val="center"/>
          <w:trHeight w:val="57"/>
        </w:trPr>
        <w:tc>
          <w:tcPr>
            <w:tcW w:w="1498" w:type="dxa"/>
            <w:vAlign w:val="center"/>
            <w:vMerge w:val="continue"/>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4620" w:type="dxa"/>
            <w:vAlign w:val="center"/>
            <w:textDirection w:val="lrTb"/>
            <w:noWrap w:val="false"/>
          </w:tcPr>
          <w:p>
            <w:pPr>
              <w:spacing w:line="360" w:lineRule="auto"/>
              <w:rPr>
                <w:color w:val="auto"/>
                <w:sz w:val="21"/>
                <w:szCs w:val="21"/>
                <w:highlight w:val="none"/>
              </w:rPr>
            </w:pPr>
            <w:r>
              <w:rPr>
                <w:color w:val="auto"/>
                <w:sz w:val="21"/>
                <w:szCs w:val="21"/>
                <w:highlight w:val="none"/>
              </w:rPr>
              <w:t xml:space="preserve">服务期内，保持站房整洁、干燥、通风，满足设备正常运行的环境要求。确保站房开放期间内部墙面、标本及设备等安全防护，防止设备被盗或人为破坏。发现一次扣2分。</w:t>
            </w:r>
            <w:r/>
          </w:p>
        </w:tc>
        <w:tc>
          <w:tcPr>
            <w:tcW w:w="7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20</w:t>
            </w:r>
            <w:r/>
          </w:p>
        </w:tc>
        <w:tc>
          <w:tcPr>
            <w:tcW w:w="70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0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jc w:val="center"/>
          <w:trHeight w:val="57"/>
        </w:trPr>
        <w:tc>
          <w:tcPr>
            <w:tcW w:w="14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二、数据报告（30分）</w:t>
            </w:r>
            <w:r/>
          </w:p>
        </w:tc>
        <w:tc>
          <w:tcPr>
            <w:tcW w:w="4620" w:type="dxa"/>
            <w:vAlign w:val="center"/>
            <w:textDirection w:val="lrTb"/>
            <w:noWrap w:val="false"/>
          </w:tcPr>
          <w:p>
            <w:pPr>
              <w:spacing w:line="360" w:lineRule="auto"/>
              <w:rPr>
                <w:color w:val="auto"/>
                <w:sz w:val="21"/>
                <w:szCs w:val="21"/>
                <w:highlight w:val="none"/>
              </w:rPr>
            </w:pPr>
            <w:r>
              <w:rPr>
                <w:color w:val="auto"/>
                <w:sz w:val="21"/>
                <w:szCs w:val="21"/>
                <w:highlight w:val="none"/>
              </w:rPr>
              <w:t xml:space="preserve">每月10日前提供</w:t>
            </w:r>
            <w:r>
              <w:rPr>
                <w:rFonts w:hint="eastAsia"/>
                <w:color w:val="auto"/>
                <w:sz w:val="21"/>
                <w:szCs w:val="21"/>
                <w:highlight w:val="none"/>
              </w:rPr>
              <w:t xml:space="preserve">月度维护报告（包括</w:t>
            </w:r>
            <w:r>
              <w:rPr>
                <w:color w:val="auto"/>
                <w:sz w:val="21"/>
                <w:szCs w:val="21"/>
                <w:highlight w:val="none"/>
              </w:rPr>
              <w:t xml:space="preserve">系统维护总结</w:t>
            </w:r>
            <w:r>
              <w:rPr>
                <w:rFonts w:hint="eastAsia"/>
                <w:color w:val="auto"/>
                <w:sz w:val="21"/>
                <w:szCs w:val="21"/>
                <w:highlight w:val="none"/>
              </w:rPr>
              <w:t xml:space="preserve">和</w:t>
            </w:r>
            <w:r>
              <w:rPr>
                <w:color w:val="auto"/>
                <w:sz w:val="21"/>
                <w:szCs w:val="21"/>
                <w:highlight w:val="none"/>
              </w:rPr>
              <w:t xml:space="preserve">生物多样性观测</w:t>
            </w:r>
            <w:r>
              <w:rPr>
                <w:rFonts w:hint="eastAsia"/>
                <w:color w:val="auto"/>
                <w:sz w:val="21"/>
                <w:szCs w:val="21"/>
                <w:highlight w:val="none"/>
              </w:rPr>
              <w:t xml:space="preserve">总结</w:t>
            </w:r>
            <w:r>
              <w:rPr>
                <w:color w:val="auto"/>
                <w:sz w:val="21"/>
                <w:szCs w:val="21"/>
                <w:highlight w:val="none"/>
              </w:rPr>
              <w:t xml:space="preserve">报告</w:t>
            </w:r>
            <w:r>
              <w:rPr>
                <w:rFonts w:hint="eastAsia"/>
                <w:color w:val="auto"/>
                <w:sz w:val="21"/>
                <w:szCs w:val="21"/>
                <w:highlight w:val="none"/>
              </w:rPr>
              <w:t xml:space="preserve">）</w:t>
            </w:r>
            <w:r>
              <w:rPr>
                <w:color w:val="auto"/>
                <w:sz w:val="21"/>
                <w:szCs w:val="21"/>
                <w:highlight w:val="none"/>
              </w:rPr>
              <w:t xml:space="preserve">，发现一次不及时扣2分。</w:t>
            </w:r>
            <w:r/>
          </w:p>
        </w:tc>
        <w:tc>
          <w:tcPr>
            <w:tcW w:w="7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30</w:t>
            </w:r>
            <w:r/>
          </w:p>
        </w:tc>
        <w:tc>
          <w:tcPr>
            <w:tcW w:w="70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0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jc w:val="center"/>
          <w:trHeight w:val="57"/>
        </w:trPr>
        <w:tc>
          <w:tcPr>
            <w:tcW w:w="14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三、站点体验活动（10分）</w:t>
            </w:r>
            <w:r/>
          </w:p>
        </w:tc>
        <w:tc>
          <w:tcPr>
            <w:tcW w:w="4620" w:type="dxa"/>
            <w:vAlign w:val="center"/>
            <w:textDirection w:val="lrTb"/>
            <w:noWrap w:val="false"/>
          </w:tcPr>
          <w:p>
            <w:pPr>
              <w:spacing w:line="360" w:lineRule="auto"/>
              <w:rPr>
                <w:color w:val="auto"/>
                <w:sz w:val="21"/>
                <w:szCs w:val="21"/>
                <w:highlight w:val="none"/>
              </w:rPr>
            </w:pPr>
            <w:r>
              <w:rPr>
                <w:color w:val="auto"/>
                <w:sz w:val="21"/>
                <w:szCs w:val="21"/>
                <w:highlight w:val="none"/>
              </w:rPr>
              <w:t xml:space="preserve">每年开展不少于4次的站点体验活动，未按要求组织开展的发现一次扣5分。</w:t>
            </w:r>
            <w:r/>
          </w:p>
        </w:tc>
        <w:tc>
          <w:tcPr>
            <w:tcW w:w="7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10</w:t>
            </w:r>
            <w:r/>
          </w:p>
        </w:tc>
        <w:tc>
          <w:tcPr>
            <w:tcW w:w="70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0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jc w:val="center"/>
          <w:trHeight w:val="57"/>
        </w:trPr>
        <w:tc>
          <w:tcPr>
            <w:tcW w:w="1498"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四</w:t>
            </w:r>
            <w:r>
              <w:rPr>
                <w:color w:val="auto"/>
                <w:sz w:val="21"/>
                <w:szCs w:val="21"/>
                <w:highlight w:val="none"/>
              </w:rPr>
              <w:t xml:space="preserve">、其他</w:t>
            </w:r>
            <w:r/>
          </w:p>
          <w:p>
            <w:pPr>
              <w:jc w:val="center"/>
              <w:spacing w:line="360" w:lineRule="auto"/>
              <w:rPr>
                <w:color w:val="auto"/>
                <w:sz w:val="21"/>
                <w:szCs w:val="21"/>
                <w:highlight w:val="none"/>
              </w:rPr>
            </w:pPr>
            <w:r>
              <w:rPr>
                <w:color w:val="auto"/>
                <w:sz w:val="21"/>
                <w:szCs w:val="21"/>
                <w:highlight w:val="none"/>
              </w:rPr>
              <w:t xml:space="preserve">（10分）</w:t>
            </w:r>
            <w:r/>
          </w:p>
        </w:tc>
        <w:tc>
          <w:tcPr>
            <w:tcW w:w="4620" w:type="dxa"/>
            <w:vAlign w:val="center"/>
            <w:textDirection w:val="lrTb"/>
            <w:noWrap w:val="false"/>
          </w:tcPr>
          <w:p>
            <w:pPr>
              <w:spacing w:line="360" w:lineRule="auto"/>
              <w:rPr>
                <w:color w:val="auto"/>
                <w:sz w:val="21"/>
                <w:szCs w:val="21"/>
                <w:highlight w:val="none"/>
              </w:rPr>
            </w:pPr>
            <w:r>
              <w:rPr>
                <w:color w:val="auto"/>
                <w:sz w:val="21"/>
                <w:szCs w:val="21"/>
                <w:highlight w:val="none"/>
              </w:rPr>
              <w:t xml:space="preserve">存在其他严重违反合同约定或相关规范要求的情形的。发现1次扣10分。</w:t>
            </w:r>
            <w:r/>
          </w:p>
        </w:tc>
        <w:tc>
          <w:tcPr>
            <w:tcW w:w="70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10</w:t>
            </w:r>
            <w:r/>
          </w:p>
        </w:tc>
        <w:tc>
          <w:tcPr>
            <w:tcW w:w="70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09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bl>
    <w:p>
      <w:pPr>
        <w:spacing w:line="360" w:lineRule="auto"/>
        <w:rPr>
          <w:color w:val="auto"/>
          <w:sz w:val="21"/>
          <w:szCs w:val="21"/>
          <w:highlight w:val="none"/>
        </w:rPr>
      </w:pPr>
      <w:r>
        <w:rPr>
          <w:color w:val="auto"/>
          <w:sz w:val="21"/>
          <w:szCs w:val="21"/>
          <w:highlight w:val="none"/>
        </w:rPr>
      </w:r>
      <w:r/>
    </w:p>
    <w:p>
      <w:pPr>
        <w:ind w:firstLine="420"/>
        <w:spacing w:line="360" w:lineRule="auto"/>
        <w:rPr>
          <w:color w:val="auto"/>
          <w:highlight w:val="none"/>
        </w:rPr>
      </w:pPr>
      <w:r>
        <w:rPr>
          <w:rFonts w:hint="eastAsia"/>
          <w:color w:val="auto"/>
          <w:highlight w:val="none"/>
        </w:rPr>
        <w:t xml:space="preserve">3、考核结果应用</w:t>
      </w:r>
      <w:r/>
    </w:p>
    <w:p>
      <w:pPr>
        <w:ind w:firstLine="480"/>
        <w:jc w:val="left"/>
        <w:spacing w:line="360" w:lineRule="auto"/>
        <w:tabs>
          <w:tab w:val="left" w:pos="2870" w:leader="none"/>
        </w:tabs>
        <w:rPr>
          <w:rFonts w:ascii="宋体" w:hAnsi="宋体" w:cs="宋体"/>
          <w:bCs/>
          <w:color w:val="auto"/>
          <w:szCs w:val="21"/>
          <w:highlight w:val="none"/>
        </w:rPr>
      </w:pPr>
      <w:r>
        <w:rPr>
          <w:rFonts w:hint="eastAsia" w:ascii="宋体" w:hAnsi="宋体" w:cs="宋体"/>
          <w:bCs/>
          <w:color w:val="auto"/>
          <w:szCs w:val="21"/>
          <w:highlight w:val="none"/>
        </w:rPr>
        <w:t xml:space="preserve">采购人每月对中标单位实施考核，记录考核分数，并根据考核分数对应下列</w:t>
      </w:r>
      <w:r>
        <w:rPr>
          <w:rFonts w:hint="eastAsia" w:ascii="宋体" w:hAnsi="宋体" w:cs="宋体"/>
          <w:bCs/>
          <w:color w:val="auto"/>
          <w:szCs w:val="21"/>
          <w:highlight w:val="none"/>
          <w:lang w:val="en-US" w:eastAsia="zh-CN"/>
        </w:rPr>
        <w:t xml:space="preserve">扣款</w:t>
      </w:r>
      <w:r>
        <w:rPr>
          <w:rFonts w:hint="eastAsia" w:ascii="宋体" w:hAnsi="宋体" w:cs="宋体"/>
          <w:bCs/>
          <w:color w:val="auto"/>
          <w:szCs w:val="21"/>
          <w:highlight w:val="none"/>
        </w:rPr>
        <w:t xml:space="preserve">标准，如产生考核扣款，于项目整体验收合格后，在最后一笔合同金额支付时予以扣除。</w:t>
      </w:r>
      <w:r/>
    </w:p>
    <w:p>
      <w:pPr>
        <w:ind w:firstLine="480"/>
        <w:jc w:val="center"/>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考核扣款标准</w:t>
      </w:r>
      <w:r/>
    </w:p>
    <w:tbl>
      <w:tblPr>
        <w:tblStyle w:val="849"/>
        <w:tblW w:w="90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4"/>
        <w:gridCol w:w="1655"/>
        <w:gridCol w:w="5117"/>
      </w:tblGrid>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月考核分数</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评价等级</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bCs/>
                <w:color w:val="auto"/>
                <w:szCs w:val="21"/>
                <w:highlight w:val="none"/>
                <w:lang w:val="en-US" w:eastAsia="zh-CN"/>
              </w:rPr>
              <w:t xml:space="preserve">扣款</w:t>
            </w:r>
            <w:r>
              <w:rPr>
                <w:rFonts w:hint="eastAsia" w:ascii="宋体" w:hAnsi="宋体" w:cs="宋体"/>
                <w:color w:val="auto"/>
                <w:szCs w:val="21"/>
                <w:highlight w:val="none"/>
              </w:rPr>
              <w:t xml:space="preserve">标准</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≥90</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优秀</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0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7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75</w:t>
            </w:r>
            <w:r>
              <w:rPr>
                <w:rFonts w:hint="eastAsia" w:ascii="宋体" w:hAnsi="宋体" w:cs="宋体"/>
                <w:color w:val="auto"/>
                <w:szCs w:val="21"/>
                <w:highlight w:val="none"/>
              </w:rPr>
              <w:t xml:space="preserve">～89</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良好</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74"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4</w:t>
            </w:r>
            <w:r/>
          </w:p>
        </w:tc>
        <w:tc>
          <w:tcPr>
            <w:tcW w:w="16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20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74"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59</w:t>
            </w:r>
            <w:r/>
          </w:p>
        </w:tc>
        <w:tc>
          <w:tcPr>
            <w:tcW w:w="1655"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差</w:t>
            </w:r>
            <w:r/>
          </w:p>
        </w:tc>
        <w:tc>
          <w:tcPr>
            <w:tcW w:w="51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扣除</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u w:val="single"/>
              </w:rPr>
              <w:t xml:space="preserve">0 </w:t>
            </w:r>
            <w:r>
              <w:rPr>
                <w:rFonts w:hint="eastAsia" w:ascii="宋体" w:hAnsi="宋体" w:cs="宋体"/>
                <w:color w:val="auto"/>
                <w:szCs w:val="21"/>
                <w:highlight w:val="none"/>
              </w:rPr>
              <w:t xml:space="preserve">%的当月服务费用</w:t>
            </w:r>
            <w:r/>
          </w:p>
        </w:tc>
      </w:tr>
      <w:tr>
        <w:trPr>
          <w:jc w:val="center"/>
          <w:trHeight w:val="567"/>
        </w:trPr>
        <w:tc>
          <w:tcPr>
            <w:tcW w:w="850"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47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0</w:t>
            </w:r>
            <w:r/>
          </w:p>
        </w:tc>
        <w:tc>
          <w:tcPr>
            <w:tcW w:w="165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严重不合格</w:t>
            </w:r>
            <w:r/>
          </w:p>
        </w:tc>
        <w:tc>
          <w:tcPr>
            <w:tcW w:w="51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不予支付本期费用。</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注：当月服务费用=合同总金额÷12</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b/>
          <w:color w:val="auto"/>
          <w:szCs w:val="21"/>
          <w:highlight w:val="none"/>
        </w:rPr>
        <w:t xml:space="preserve">安全责任</w:t>
      </w:r>
      <w:r/>
    </w:p>
    <w:p>
      <w:pPr>
        <w:ind w:firstLine="48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中标单位应对项目组成员做好安全培训，在项目实施过程中应注意人员和财产安全，如造成相关人员安全和财产损失问题的，一律由中标单位全权承担负责，采购单位不承担任何责任。</w:t>
      </w:r>
      <w:r/>
    </w:p>
    <w:p>
      <w:pPr>
        <w:ind w:firstLine="420"/>
        <w:spacing w:line="360" w:lineRule="auto"/>
        <w:rPr>
          <w:color w:val="auto"/>
          <w:sz w:val="21"/>
          <w:szCs w:val="21"/>
          <w:highlight w:val="none"/>
        </w:rPr>
      </w:pPr>
      <w:r>
        <w:rPr>
          <w:color w:val="auto"/>
          <w:sz w:val="21"/>
          <w:szCs w:val="21"/>
          <w:highlight w:val="none"/>
        </w:rPr>
      </w:r>
      <w:r/>
    </w:p>
    <w:p>
      <w:pPr>
        <w:jc w:val="both"/>
        <w:spacing w:line="360" w:lineRule="auto"/>
        <w:rPr>
          <w:rFonts w:eastAsiaTheme="minorEastAsia"/>
          <w:bCs/>
          <w:color w:val="auto"/>
          <w:sz w:val="44"/>
          <w:szCs w:val="44"/>
          <w:highlight w:val="none"/>
        </w:rPr>
        <w:sectPr>
          <w:footnotePr/>
          <w:endnotePr/>
          <w:type w:val="nextPage"/>
          <w:pgSz w:w="11906" w:h="16838" w:orient="portrait"/>
          <w:pgMar w:top="993" w:right="907" w:bottom="794" w:left="907" w:header="737" w:footer="454" w:gutter="0"/>
          <w:cols w:num="1" w:sep="0" w:space="720" w:equalWidth="1"/>
          <w:docGrid w:linePitch="360"/>
          <w:titlePg/>
        </w:sectPr>
        <w:outlineLvl w:val="0"/>
      </w:pPr>
      <w:r/>
      <w:bookmarkStart w:id="70" w:name="_Toc12714"/>
      <w:r/>
      <w:r/>
    </w:p>
    <w:p>
      <w:pPr>
        <w:jc w:val="both"/>
        <w:spacing w:line="360" w:lineRule="auto"/>
        <w:rPr>
          <w:rFonts w:eastAsiaTheme="minorEastAsia"/>
          <w:bCs/>
          <w:color w:val="auto"/>
          <w:sz w:val="44"/>
          <w:szCs w:val="44"/>
          <w:highlight w:val="none"/>
        </w:rPr>
        <w:outlineLvl w:val="0"/>
      </w:pPr>
      <w:r>
        <w:rPr>
          <w:rFonts w:eastAsiaTheme="minorEastAsia"/>
          <w:bCs/>
          <w:color w:val="auto"/>
          <w:sz w:val="44"/>
          <w:szCs w:val="44"/>
          <w:highlight w:val="none"/>
        </w:rPr>
      </w:r>
      <w:r/>
    </w:p>
    <w:p>
      <w:pPr>
        <w:jc w:val="center"/>
        <w:spacing w:line="360" w:lineRule="auto"/>
        <w:rPr>
          <w:rFonts w:eastAsiaTheme="minorEastAsia"/>
          <w:bCs/>
          <w:color w:val="auto"/>
          <w:sz w:val="44"/>
          <w:szCs w:val="44"/>
          <w:highlight w:val="none"/>
        </w:rPr>
        <w:outlineLvl w:val="0"/>
      </w:pPr>
      <w:r>
        <w:rPr>
          <w:rFonts w:eastAsiaTheme="minorEastAsia"/>
          <w:bCs/>
          <w:color w:val="auto"/>
          <w:sz w:val="44"/>
          <w:szCs w:val="44"/>
          <w:highlight w:val="none"/>
        </w:rPr>
        <w:t xml:space="preserve">第六章</w:t>
      </w:r>
      <w:bookmarkStart w:id="71" w:name="评分要点"/>
      <w:r>
        <w:rPr>
          <w:rFonts w:eastAsiaTheme="minorEastAsia"/>
          <w:bCs/>
          <w:color w:val="auto"/>
          <w:sz w:val="44"/>
          <w:szCs w:val="44"/>
          <w:highlight w:val="none"/>
        </w:rPr>
        <w:t xml:space="preserve">评</w:t>
      </w:r>
      <w:bookmarkEnd w:id="71"/>
      <w:r>
        <w:rPr>
          <w:rFonts w:eastAsiaTheme="minorEastAsia"/>
          <w:bCs/>
          <w:color w:val="auto"/>
          <w:sz w:val="44"/>
          <w:szCs w:val="44"/>
          <w:highlight w:val="none"/>
        </w:rPr>
        <w:t xml:space="preserve">标办法及评分标准</w:t>
      </w:r>
      <w:bookmarkEnd w:id="70"/>
      <w:r/>
      <w:r/>
    </w:p>
    <w:p>
      <w:pPr>
        <w:spacing w:line="360" w:lineRule="auto"/>
        <w:rPr>
          <w:rFonts w:eastAsiaTheme="minorEastAsia"/>
          <w:b/>
          <w:bCs/>
          <w:color w:val="auto"/>
          <w:szCs w:val="21"/>
          <w:highlight w:val="none"/>
        </w:rPr>
      </w:pPr>
      <w:r>
        <w:rPr>
          <w:rFonts w:eastAsiaTheme="minorEastAsia"/>
          <w:b/>
          <w:bCs/>
          <w:color w:val="auto"/>
          <w:szCs w:val="21"/>
          <w:highlight w:val="none"/>
        </w:rPr>
        <w:t xml:space="preserve">一、评标办法</w:t>
      </w:r>
      <w:r/>
    </w:p>
    <w:p>
      <w:pPr>
        <w:ind w:firstLine="420"/>
        <w:spacing w:line="360" w:lineRule="auto"/>
        <w:rPr>
          <w:color w:val="auto"/>
          <w:highlight w:val="none"/>
        </w:rPr>
      </w:pPr>
      <w:r>
        <w:rPr>
          <w:color w:val="auto"/>
          <w:highlight w:val="none"/>
        </w:rPr>
        <w:t xml:space="preserve">1</w:t>
      </w:r>
      <w:r>
        <w:rPr>
          <w:rFonts w:hint="eastAsia"/>
          <w:color w:val="auto"/>
          <w:highlight w:val="none"/>
        </w:rPr>
        <w:t xml:space="preserve">、本次招标评标采用综合评分法，以投标文件满足招标文件全部实质性要求，且按照评审因素的量化指标进行综合评审，各标段综合得分最高的投标供应商成为相应标段的中标供应商。本项目按照一至二标段的顺序依次开标。本项目投标供应商不得兼中两个标段，如供应商已在前期标段中标，则不再具有后续其他标段的得标权</w:t>
      </w:r>
      <w:r>
        <w:rPr>
          <w:color w:val="auto"/>
          <w:highlight w:val="none"/>
        </w:rPr>
        <w:t xml:space="preserve">。</w:t>
      </w:r>
      <w:r/>
    </w:p>
    <w:p>
      <w:pPr>
        <w:ind w:firstLine="420"/>
        <w:spacing w:line="360" w:lineRule="auto"/>
        <w:rPr>
          <w:color w:val="auto"/>
          <w:highlight w:val="none"/>
        </w:rPr>
      </w:pPr>
      <w:r>
        <w:rPr>
          <w:color w:val="auto"/>
          <w:highlight w:val="none"/>
        </w:rPr>
        <w:t xml:space="preserve">2</w:t>
      </w:r>
      <w:r>
        <w:rPr>
          <w:rFonts w:hint="eastAsia"/>
          <w:color w:val="auto"/>
          <w:highlight w:val="none"/>
        </w:rPr>
        <w:t xml:space="preserve">、如各标段出现评标总得分最高的投标人有两个或两个以上的，以实际投标报价较低者优先作为中标人，如果投标报价也相同的，则由采购人或采购代理机构组织以抽签方式确定中标人</w:t>
      </w:r>
      <w:r>
        <w:rPr>
          <w:color w:val="auto"/>
          <w:highlight w:val="none"/>
        </w:rPr>
        <w:t xml:space="preserve">。</w:t>
      </w:r>
      <w:r/>
    </w:p>
    <w:p>
      <w:pPr>
        <w:ind w:right="-161" w:firstLine="420"/>
        <w:spacing w:line="360" w:lineRule="auto"/>
        <w:rPr>
          <w:color w:val="auto"/>
          <w:szCs w:val="21"/>
          <w:highlight w:val="none"/>
        </w:rPr>
      </w:pPr>
      <w:r>
        <w:rPr>
          <w:rFonts w:hint="eastAsia"/>
          <w:color w:val="auto"/>
          <w:szCs w:val="21"/>
          <w:highlight w:val="none"/>
        </w:rPr>
        <w:t xml:space="preserve">3、评标时，评标委员会各成员应当独立对每个投标人的投标文件进行评价，并汇总每个投标人的得分。采购代理机构将评委的评价得分统计汇总，按算术平均方法计算出每个投标人的得分（保留小数点后两位）。</w:t>
      </w:r>
      <w:r/>
    </w:p>
    <w:p>
      <w:pPr>
        <w:ind w:right="-161" w:firstLine="420"/>
        <w:spacing w:line="360" w:lineRule="auto"/>
        <w:rPr>
          <w:rFonts w:ascii="宋体" w:hAnsi="宋体" w:cs="宋体"/>
          <w:color w:val="auto"/>
          <w:szCs w:val="21"/>
          <w:highlight w:val="none"/>
        </w:rPr>
      </w:pPr>
      <w:r/>
      <w:bookmarkStart w:id="72" w:name="OLE_LINK13"/>
      <w:r>
        <w:rPr>
          <w:color w:val="auto"/>
          <w:szCs w:val="21"/>
          <w:highlight w:val="none"/>
        </w:rPr>
        <w:t xml:space="preserve">4、</w:t>
      </w:r>
      <w:bookmarkEnd w:id="72"/>
      <w:r>
        <w:rPr>
          <w:rFonts w:hint="eastAsia" w:ascii="宋体" w:hAnsi="宋体" w:cs="宋体"/>
          <w:color w:val="auto"/>
          <w:szCs w:val="21"/>
          <w:highlight w:val="none"/>
        </w:rPr>
        <w:t xml:space="preserve"> 针对中小型企业的评审：</w:t>
      </w:r>
      <w:r/>
    </w:p>
    <w:p>
      <w:pPr>
        <w:ind w:firstLine="420"/>
        <w:spacing w:line="360" w:lineRule="auto"/>
        <w:rPr>
          <w:rFonts w:ascii="宋体" w:hAnsi="宋体"/>
          <w:b/>
          <w:color w:val="auto"/>
          <w:sz w:val="22"/>
          <w:highlight w:val="none"/>
        </w:rPr>
      </w:pPr>
      <w:r>
        <w:rPr>
          <w:rFonts w:hint="eastAsia" w:ascii="宋体" w:hAnsi="宋体" w:cs="宋体"/>
          <w:color w:val="auto"/>
          <w:szCs w:val="21"/>
          <w:highlight w:val="none"/>
        </w:rPr>
        <w:t xml:space="preserve">（1）价格的折扣：</w:t>
      </w:r>
      <w:r>
        <w:rPr>
          <w:rFonts w:hint="eastAsia" w:ascii="宋体" w:hAnsi="宋体"/>
          <w:bCs/>
          <w:color w:val="auto"/>
          <w:sz w:val="22"/>
          <w:highlight w:val="none"/>
        </w:rPr>
        <w:t xml:space="preserve">本项目属于</w:t>
      </w:r>
      <w:r>
        <w:rPr>
          <w:rFonts w:hint="eastAsia" w:ascii="宋体" w:hAnsi="宋体"/>
          <w:b/>
          <w:color w:val="auto"/>
          <w:sz w:val="22"/>
          <w:highlight w:val="none"/>
          <w:u w:val="single"/>
        </w:rPr>
        <w:t xml:space="preserve">专门面向中小企业采购,不再执行价格评审优惠的扶持政策。</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（2）依据《政府采购促进中小企业发展管理办法》及本项目采购文件规定获得采购合同的，小微企业不得将合同分包给大中型企业，中型企业不得将合同分包给大型企业。</w:t>
      </w:r>
      <w:r/>
    </w:p>
    <w:p>
      <w:pPr>
        <w:ind w:right="-161" w:firstLine="420"/>
        <w:spacing w:line="360" w:lineRule="auto"/>
        <w:rPr>
          <w:rFonts w:ascii="宋体" w:hAnsi="宋体" w:cs="宋体"/>
          <w:b/>
          <w:bCs/>
          <w:color w:val="auto"/>
          <w:szCs w:val="21"/>
          <w:highlight w:val="none"/>
          <w:u w:val="single"/>
        </w:rPr>
      </w:pPr>
      <w:r>
        <w:rPr>
          <w:rFonts w:hint="eastAsia" w:ascii="宋体" w:hAnsi="宋体" w:cs="宋体"/>
          <w:color w:val="auto"/>
          <w:szCs w:val="21"/>
          <w:highlight w:val="none"/>
        </w:rPr>
        <w:t xml:space="preserve">（3）本项目采购标的对应的中小企业划分标准所属行业为：</w:t>
      </w:r>
      <w:r>
        <w:rPr>
          <w:rFonts w:hint="eastAsia" w:ascii="宋体" w:hAnsi="宋体" w:cs="宋体"/>
          <w:b/>
          <w:bCs/>
          <w:color w:val="auto"/>
          <w:szCs w:val="21"/>
          <w:highlight w:val="none"/>
          <w:u w:val="single"/>
        </w:rPr>
        <w:t xml:space="preserve">其他未列明行业。</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（4）中小微企业参加本次采购活动，应当出具符合《政府采购促进中小企业发展管理办法》规定且满足落实政府采购政策需满足的资格要求的《中小企业声明函》，否则不得享受相关中小企业扶持政策。 </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（5）在服务采购项目中，服务由中小企业承接，即提供服务的人员为中小企业依照《中华人民共和国劳动合同法》订立劳动合同的从业人员。服务类项目中供应商若使用退休人员，将不享受相应扶持政策。</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（6）若供应商提供的《中小企业声明函》为虚假声明则视同提供虚假材料，按政府采购相关规定处理并报由政府监管部门给予行政处罚。</w:t>
      </w:r>
      <w:r/>
    </w:p>
    <w:p>
      <w:pPr>
        <w:ind w:firstLine="420"/>
        <w:spacing w:line="360" w:lineRule="auto"/>
        <w:rPr>
          <w:rFonts w:ascii="宋体" w:hAnsi="宋体" w:cs="宋体"/>
          <w:color w:val="auto"/>
          <w:szCs w:val="21"/>
          <w:highlight w:val="none"/>
        </w:rPr>
      </w:pPr>
      <w:r>
        <w:rPr>
          <w:rFonts w:hAnsi="宋体" w:cs="宋体"/>
          <w:color w:val="auto"/>
          <w:szCs w:val="21"/>
          <w:highlight w:val="none"/>
        </w:rPr>
        <w:t xml:space="preserve">5、如投标人提供虚假材料，将按“政府采购法”相关规定处理并由政府监管部门给予严肃处理。</w:t>
      </w:r>
      <w:r/>
    </w:p>
    <w:p>
      <w:pPr>
        <w:spacing w:line="360" w:lineRule="auto"/>
        <w:tabs>
          <w:tab w:val="left" w:pos="2667" w:leader="none"/>
        </w:tabs>
        <w:rPr>
          <w:rFonts w:eastAsiaTheme="minorEastAsia"/>
          <w:b/>
          <w:bCs/>
          <w:color w:val="auto"/>
          <w:szCs w:val="21"/>
          <w:highlight w:val="none"/>
        </w:rPr>
      </w:pPr>
      <w:r>
        <w:rPr>
          <w:rFonts w:eastAsiaTheme="minorEastAsia"/>
          <w:b/>
          <w:bCs/>
          <w:color w:val="auto"/>
          <w:szCs w:val="21"/>
          <w:highlight w:val="none"/>
        </w:rPr>
        <w:t xml:space="preserve">二、评分标准</w:t>
      </w:r>
      <w:r>
        <w:rPr>
          <w:rFonts w:hint="eastAsia" w:eastAsiaTheme="minorEastAsia"/>
          <w:b/>
          <w:bCs/>
          <w:color w:val="auto"/>
          <w:szCs w:val="21"/>
          <w:highlight w:val="none"/>
        </w:rPr>
        <w:t xml:space="preserve">（适用标段一）</w:t>
      </w:r>
      <w:r/>
    </w:p>
    <w:p>
      <w:pPr>
        <w:pStyle w:val="1214"/>
        <w:ind w:firstLine="0"/>
        <w:spacing w:line="360" w:lineRule="auto"/>
        <w:rPr>
          <w:rFonts w:hAnsi="宋体" w:cs="宋体"/>
          <w:b/>
          <w:color w:val="auto"/>
          <w:szCs w:val="21"/>
          <w:highlight w:val="none"/>
        </w:rPr>
      </w:pPr>
      <w:r>
        <w:rPr>
          <w:rFonts w:hint="eastAsia" w:hAnsi="宋体" w:cs="宋体"/>
          <w:b/>
          <w:color w:val="auto"/>
          <w:szCs w:val="21"/>
          <w:highlight w:val="none"/>
        </w:rPr>
        <w:t xml:space="preserve">（一）价格分（最高为10分）</w:t>
      </w:r>
      <w:r/>
    </w:p>
    <w:p>
      <w:pPr>
        <w:pStyle w:val="1214"/>
        <w:ind w:firstLine="420"/>
        <w:spacing w:line="360" w:lineRule="auto"/>
        <w:rPr>
          <w:rFonts w:hAnsi="宋体"/>
          <w:color w:val="auto"/>
          <w:szCs w:val="21"/>
          <w:highlight w:val="none"/>
        </w:rPr>
      </w:pPr>
      <w:r>
        <w:rPr>
          <w:rFonts w:hint="eastAsia" w:hAnsi="宋体"/>
          <w:color w:val="auto"/>
          <w:szCs w:val="21"/>
          <w:highlight w:val="none"/>
        </w:rPr>
        <w:t xml:space="preserve">第一步：投标总报价等于或低于采购预算的为有效投标报价。投标总报价高于采购预算的投标报价为无效投标报价。无效投标报价的投标文件不进行评审，也不得标。</w:t>
      </w:r>
      <w:r/>
    </w:p>
    <w:p>
      <w:pPr>
        <w:pStyle w:val="1214"/>
        <w:ind w:firstLine="420"/>
        <w:spacing w:line="360" w:lineRule="auto"/>
        <w:rPr>
          <w:rFonts w:hAnsi="宋体"/>
          <w:color w:val="auto"/>
          <w:szCs w:val="21"/>
          <w:highlight w:val="none"/>
        </w:rPr>
      </w:pPr>
      <w:r>
        <w:rPr>
          <w:rFonts w:hint="eastAsia" w:hAnsi="宋体"/>
          <w:color w:val="auto"/>
          <w:szCs w:val="21"/>
          <w:highlight w:val="none"/>
        </w:rPr>
        <w:t xml:space="preserve">第二步：以满足采购文件实质性要求且</w:t>
      </w:r>
      <w:r>
        <w:rPr>
          <w:rFonts w:hAnsi="宋体" w:cs="宋体"/>
          <w:color w:val="auto"/>
          <w:szCs w:val="21"/>
          <w:highlight w:val="none"/>
        </w:rPr>
        <w:t xml:space="preserve">投标</w:t>
      </w:r>
      <w:r>
        <w:rPr>
          <w:rFonts w:hint="eastAsia" w:hAnsi="宋体" w:cs="宋体"/>
          <w:color w:val="auto"/>
          <w:szCs w:val="21"/>
          <w:highlight w:val="none"/>
        </w:rPr>
        <w:t xml:space="preserve">报价</w:t>
      </w:r>
      <w:r>
        <w:rPr>
          <w:rFonts w:hint="eastAsia" w:hAnsi="宋体"/>
          <w:color w:val="auto"/>
          <w:szCs w:val="21"/>
          <w:highlight w:val="none"/>
        </w:rPr>
        <w:t xml:space="preserve">最低的有效投标报价为评标基准价，其价格分为满分，即</w:t>
      </w:r>
      <w:r>
        <w:rPr>
          <w:rFonts w:hAnsi="宋体"/>
          <w:color w:val="auto"/>
          <w:szCs w:val="21"/>
          <w:highlight w:val="none"/>
        </w:rPr>
        <w:t xml:space="preserve">30</w:t>
      </w:r>
      <w:r>
        <w:rPr>
          <w:rFonts w:hint="eastAsia" w:hAnsi="宋体"/>
          <w:color w:val="auto"/>
          <w:szCs w:val="21"/>
          <w:highlight w:val="none"/>
        </w:rPr>
        <w:t xml:space="preserve">分。其他有效投标报价分统一按照下列公式计算：</w:t>
      </w:r>
      <w:r/>
    </w:p>
    <w:p>
      <w:pPr>
        <w:pStyle w:val="1214"/>
        <w:ind w:firstLine="420"/>
        <w:spacing w:line="360" w:lineRule="auto"/>
        <w:rPr>
          <w:rFonts w:hAnsi="宋体"/>
          <w:color w:val="auto"/>
          <w:szCs w:val="21"/>
          <w:highlight w:val="none"/>
        </w:rPr>
      </w:pPr>
      <w:r>
        <w:rPr>
          <w:rFonts w:hint="eastAsia" w:hAnsi="宋体"/>
          <w:color w:val="auto"/>
          <w:szCs w:val="21"/>
          <w:highlight w:val="none"/>
        </w:rPr>
        <w:t xml:space="preserve">投标报价得分=（评标基准价/投标报价）*价格权值*100，小数点后保留两位（价格权值为10%）。</w:t>
      </w:r>
      <w:r/>
    </w:p>
    <w:p>
      <w:pPr>
        <w:pStyle w:val="1214"/>
        <w:ind w:firstLine="0"/>
        <w:spacing w:line="360" w:lineRule="auto"/>
        <w:rPr>
          <w:rFonts w:hAnsi="宋体" w:cs="宋体"/>
          <w:b/>
          <w:color w:val="auto"/>
          <w:szCs w:val="21"/>
          <w:highlight w:val="none"/>
        </w:rPr>
      </w:pPr>
      <w:r>
        <w:rPr>
          <w:rFonts w:hint="eastAsia" w:hAnsi="宋体" w:cs="宋体"/>
          <w:b/>
          <w:color w:val="auto"/>
          <w:szCs w:val="21"/>
          <w:highlight w:val="none"/>
        </w:rPr>
        <w:t xml:space="preserve">（二）技术服务方案（3</w:t>
      </w:r>
      <w:r>
        <w:rPr>
          <w:rFonts w:hAnsi="宋体" w:cs="宋体"/>
          <w:b/>
          <w:color w:val="auto"/>
          <w:szCs w:val="21"/>
          <w:highlight w:val="none"/>
        </w:rPr>
        <w:t xml:space="preserve">2</w:t>
      </w:r>
      <w:r>
        <w:rPr>
          <w:rFonts w:hint="eastAsia" w:hAnsi="宋体" w:cs="宋体"/>
          <w:b/>
          <w:color w:val="auto"/>
          <w:szCs w:val="21"/>
          <w:highlight w:val="none"/>
        </w:rPr>
        <w:t xml:space="preserve">分）</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1.项目总体实施方案（</w:t>
      </w:r>
      <w:r>
        <w:rPr>
          <w:rFonts w:ascii="宋体" w:hAnsi="宋体" w:cs="宋体"/>
          <w:color w:val="auto"/>
          <w:szCs w:val="21"/>
          <w:highlight w:val="none"/>
        </w:rPr>
        <w:t xml:space="preserve">10</w:t>
      </w:r>
      <w:r>
        <w:rPr>
          <w:rFonts w:hint="eastAsia" w:ascii="宋体" w:hAnsi="宋体" w:cs="宋体"/>
          <w:color w:val="auto"/>
          <w:szCs w:val="21"/>
          <w:highlight w:val="none"/>
        </w:rPr>
        <w:t xml:space="preserve">分）  </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方案全面、完整、合理、可行、有保障得1</w:t>
      </w:r>
      <w:r>
        <w:rPr>
          <w:rFonts w:ascii="宋体" w:hAnsi="宋体" w:cs="宋体"/>
          <w:color w:val="auto"/>
          <w:szCs w:val="21"/>
          <w:highlight w:val="none"/>
        </w:rPr>
        <w:t xml:space="preserve">0</w:t>
      </w:r>
      <w:r>
        <w:rPr>
          <w:rFonts w:hint="eastAsia" w:ascii="宋体" w:hAnsi="宋体" w:cs="宋体"/>
          <w:color w:val="auto"/>
          <w:szCs w:val="21"/>
          <w:highlight w:val="none"/>
        </w:rPr>
        <w:t xml:space="preserve">分，方案较合理、较可行、基本有保障得</w:t>
      </w:r>
      <w:r>
        <w:rPr>
          <w:rFonts w:ascii="宋体" w:hAnsi="宋体" w:cs="宋体"/>
          <w:color w:val="auto"/>
          <w:szCs w:val="21"/>
          <w:highlight w:val="none"/>
        </w:rPr>
        <w:t xml:space="preserve">8</w:t>
      </w:r>
      <w:r>
        <w:rPr>
          <w:rFonts w:hint="eastAsia" w:ascii="宋体" w:hAnsi="宋体" w:cs="宋体"/>
          <w:color w:val="auto"/>
          <w:szCs w:val="21"/>
          <w:highlight w:val="none"/>
        </w:rPr>
        <w:t xml:space="preserve">分，方案基本合理、基本可行得6分，方案不太合理、不太可行得3分，否则不得分。</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2.针对本项目制定的质控方案 （</w:t>
      </w:r>
      <w:r>
        <w:rPr>
          <w:rFonts w:ascii="宋体" w:hAnsi="宋体" w:cs="宋体"/>
          <w:color w:val="auto"/>
          <w:szCs w:val="21"/>
          <w:highlight w:val="none"/>
        </w:rPr>
        <w:t xml:space="preserve">8</w:t>
      </w:r>
      <w:r>
        <w:rPr>
          <w:rFonts w:hint="eastAsia" w:ascii="宋体" w:hAnsi="宋体" w:cs="宋体"/>
          <w:color w:val="auto"/>
          <w:szCs w:val="21"/>
          <w:highlight w:val="none"/>
        </w:rPr>
        <w:t xml:space="preserve">分）          </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方案完整、合理、可行、有针对性得</w:t>
      </w:r>
      <w:r>
        <w:rPr>
          <w:rFonts w:ascii="宋体" w:hAnsi="宋体" w:cs="宋体"/>
          <w:color w:val="auto"/>
          <w:szCs w:val="21"/>
          <w:highlight w:val="none"/>
        </w:rPr>
        <w:t xml:space="preserve">8</w:t>
      </w:r>
      <w:r>
        <w:rPr>
          <w:rFonts w:hint="eastAsia" w:ascii="宋体" w:hAnsi="宋体" w:cs="宋体"/>
          <w:color w:val="auto"/>
          <w:szCs w:val="21"/>
          <w:highlight w:val="none"/>
        </w:rPr>
        <w:t xml:space="preserve">分，方案较合理、较可行、基本有针对性得</w:t>
      </w:r>
      <w:r>
        <w:rPr>
          <w:rFonts w:ascii="宋体" w:hAnsi="宋体" w:cs="宋体"/>
          <w:color w:val="auto"/>
          <w:szCs w:val="21"/>
          <w:highlight w:val="none"/>
        </w:rPr>
        <w:t xml:space="preserve">6</w:t>
      </w:r>
      <w:r>
        <w:rPr>
          <w:rFonts w:hint="eastAsia" w:ascii="宋体" w:hAnsi="宋体" w:cs="宋体"/>
          <w:color w:val="auto"/>
          <w:szCs w:val="21"/>
          <w:highlight w:val="none"/>
        </w:rPr>
        <w:t xml:space="preserve">分，方案基本合理、基本可行得4分，方案不太合理、不太可行得1分，否则不得分。</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3.应急方案（8分）             </w:t>
      </w:r>
      <w:r/>
    </w:p>
    <w:p>
      <w:pPr>
        <w:ind w:right="-161"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针对本项目紧急情况及突发事件制定的处理方案、安全措施等情况评分，方案完整、合理、可行、有针对性得8分，方案较合理、较可行、基本有针对性得5分，方案基本合理、基本可行得3分，方案不太合理、不太可行得1分，否则不得分。</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4.服务响应能力（6分）      </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投标单位配置的自有CMA认证环境实验室的便捷程度评分，能确保样品能在1小时内送达自有实验室的得6分，1.5小时内送达的得4分，2小时内送达的得2分，否则不得分。提供实验室CMA认证证书、交通方式、路线等，否则不得分。</w:t>
      </w:r>
      <w:r/>
    </w:p>
    <w:p>
      <w:pPr>
        <w:pStyle w:val="1214"/>
        <w:ind w:firstLine="0"/>
        <w:spacing w:line="360" w:lineRule="auto"/>
        <w:rPr>
          <w:rFonts w:hAnsi="宋体" w:cs="宋体"/>
          <w:b/>
          <w:color w:val="auto"/>
          <w:szCs w:val="21"/>
          <w:highlight w:val="none"/>
        </w:rPr>
      </w:pPr>
      <w:r>
        <w:rPr>
          <w:rFonts w:hint="eastAsia" w:hAnsi="宋体" w:cs="宋体"/>
          <w:b/>
          <w:color w:val="auto"/>
          <w:szCs w:val="21"/>
          <w:highlight w:val="none"/>
        </w:rPr>
        <w:t xml:space="preserve">（三）针对本项目的人员（</w:t>
      </w:r>
      <w:r>
        <w:rPr>
          <w:rFonts w:hAnsi="宋体" w:cs="宋体"/>
          <w:b/>
          <w:color w:val="auto"/>
          <w:szCs w:val="21"/>
          <w:highlight w:val="none"/>
        </w:rPr>
        <w:t xml:space="preserve">28</w:t>
      </w:r>
      <w:r>
        <w:rPr>
          <w:rFonts w:hint="eastAsia" w:hAnsi="宋体" w:cs="宋体"/>
          <w:b/>
          <w:color w:val="auto"/>
          <w:szCs w:val="21"/>
          <w:highlight w:val="none"/>
        </w:rPr>
        <w:t xml:space="preserve">分）</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1.项目负责人（</w:t>
      </w:r>
      <w:r>
        <w:rPr>
          <w:rFonts w:ascii="宋体" w:hAnsi="宋体" w:cs="宋体"/>
          <w:color w:val="auto"/>
          <w:szCs w:val="21"/>
          <w:highlight w:val="none"/>
        </w:rPr>
        <w:t xml:space="preserve">6</w:t>
      </w:r>
      <w:r>
        <w:rPr>
          <w:rFonts w:hint="eastAsia" w:ascii="宋体" w:hAnsi="宋体" w:cs="宋体"/>
          <w:color w:val="auto"/>
          <w:szCs w:val="21"/>
          <w:highlight w:val="none"/>
        </w:rPr>
        <w:t xml:space="preserve">分）         </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具有环境类高级工程师职称的得2分，中级的得1分，初级的得0.5分；同时具有自动监控（烟尘烟气）运行工、自动监控（污废水）运行工上岗证的得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分；提供相应证书及投标单位为其缴纳的最近一期的社保证明复印件，否则不得分。</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2.技术负责人（6分）               </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环境类高级工程师职称的得2分，中级的得1分，初级的得0.5分；同时具有自动监控（烟尘烟气）运行工、自动监控（污废水）运行工上岗证的得4分；提供相应证书及投标单位为其缴纳的最近一期社保证明复印件，否则不得分。</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3.质量负责人（4分）       </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环境类高级工程师职称得2分，中级的得1分，初级的得0.5分；同时具有自动监控（烟尘烟气）运行工、自动监控（污废水）运行工上岗证的得2分，提供相应证书及投标单位为其缴纳的最近一期社保证明复印件，否则不得分。</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4.监理人员（6分）           </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同时具有自动监控（烟尘烟气）运行工、自动监控（污废水）运行工上岗证的，每人得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分，最高6 分。提供相应证书及投标单位为其缴纳的最近一期社保证明复印件，否则不得分。</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5.检测人员 （6分）        </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投标单位自有实验室技术人员具有环境监测上岗证的，每人得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分，最高6分。提供相应证书及实验室所属单位为其缴纳的最近一期社保证明复印件，否则不得分。</w:t>
      </w:r>
      <w:r/>
    </w:p>
    <w:p>
      <w:pPr>
        <w:ind w:right="-161"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注：上述人员要求提供的最近一期社保证明指提供开标当月或前一个月。</w:t>
      </w:r>
      <w:r/>
    </w:p>
    <w:p>
      <w:pPr>
        <w:pStyle w:val="1214"/>
        <w:ind w:firstLine="0"/>
        <w:spacing w:line="360" w:lineRule="auto"/>
        <w:rPr>
          <w:rFonts w:hAnsi="宋体" w:cs="宋体"/>
          <w:b/>
          <w:color w:val="auto"/>
          <w:szCs w:val="21"/>
          <w:highlight w:val="none"/>
        </w:rPr>
      </w:pPr>
      <w:r>
        <w:rPr>
          <w:rFonts w:hint="eastAsia" w:hAnsi="宋体" w:cs="宋体"/>
          <w:b/>
          <w:color w:val="auto"/>
          <w:szCs w:val="21"/>
          <w:highlight w:val="none"/>
        </w:rPr>
        <w:t xml:space="preserve">（四）投标单位综合能力（10分）</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实验室2025年以来参加生态环境部标准样品研究所组织的能力验证项目化学需氧量、氨氮、总磷、总氮、pH值，每通过1项得2分，最高得10分。须附有效证明材料，否则不得分。（10分）</w:t>
      </w:r>
      <w:r/>
    </w:p>
    <w:p>
      <w:pPr>
        <w:ind w:right="-161"/>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（五）类似项目业绩（</w:t>
      </w:r>
      <w:r>
        <w:rPr>
          <w:rFonts w:ascii="宋体" w:hAnsi="宋体" w:cs="宋体"/>
          <w:b/>
          <w:color w:val="auto"/>
          <w:szCs w:val="21"/>
          <w:highlight w:val="none"/>
        </w:rPr>
        <w:t xml:space="preserve">10</w:t>
      </w:r>
      <w:r>
        <w:rPr>
          <w:rFonts w:hint="eastAsia" w:ascii="宋体" w:hAnsi="宋体" w:cs="宋体"/>
          <w:b/>
          <w:color w:val="auto"/>
          <w:szCs w:val="21"/>
          <w:highlight w:val="none"/>
        </w:rPr>
        <w:t xml:space="preserve">分）</w:t>
      </w:r>
      <w:r>
        <w:rPr>
          <w:rFonts w:hint="eastAsia" w:ascii="宋体" w:hAnsi="宋体" w:cs="宋体"/>
          <w:color w:val="auto"/>
          <w:szCs w:val="21"/>
          <w:highlight w:val="none"/>
        </w:rPr>
        <w:t xml:space="preserve">                 </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2023年5月以来（以合同签订时间为准）承担的类似项目业绩，每份2 分，最高</w:t>
      </w:r>
      <w:r>
        <w:rPr>
          <w:rFonts w:ascii="宋体" w:hAnsi="宋体" w:cs="宋体"/>
          <w:color w:val="auto"/>
          <w:szCs w:val="21"/>
          <w:highlight w:val="none"/>
        </w:rPr>
        <w:t xml:space="preserve">10</w:t>
      </w:r>
      <w:r>
        <w:rPr>
          <w:rFonts w:hint="eastAsia" w:ascii="宋体" w:hAnsi="宋体" w:cs="宋体"/>
          <w:color w:val="auto"/>
          <w:szCs w:val="21"/>
          <w:highlight w:val="none"/>
        </w:rPr>
        <w:t xml:space="preserve">分，提供合同复印件和服务期内的任意一张发票复印件，否则不得分。同一个业主单位不累计。</w:t>
      </w:r>
      <w:r/>
    </w:p>
    <w:p>
      <w:pPr>
        <w:ind w:right="-16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注：针对评分标准中评分的每一条，投标单位在响应文件中均应提供相关资料并作出相应说明供评委评判，不提供相关资料的视为不具备该项得分的条件。</w:t>
      </w:r>
      <w:r/>
    </w:p>
    <w:p>
      <w:pPr>
        <w:spacing w:line="400" w:lineRule="exact"/>
        <w:tabs>
          <w:tab w:val="left" w:pos="567" w:leader="none"/>
        </w:tabs>
        <w:rPr>
          <w:rFonts w:cs="宋体"/>
          <w:b/>
          <w:bCs/>
          <w:color w:val="auto"/>
          <w:szCs w:val="21"/>
          <w:highlight w:val="none"/>
        </w:rPr>
      </w:pPr>
      <w:r>
        <w:rPr>
          <w:rFonts w:cs="宋体"/>
          <w:b/>
          <w:bCs/>
          <w:color w:val="auto"/>
          <w:highlight w:val="none"/>
        </w:rPr>
        <w:t xml:space="preserve">（六）</w:t>
      </w:r>
      <w:r>
        <w:rPr>
          <w:rFonts w:hint="eastAsia" w:cs="宋体"/>
          <w:b/>
          <w:bCs/>
          <w:color w:val="auto"/>
          <w:highlight w:val="none"/>
        </w:rPr>
        <w:t xml:space="preserve">盲样考核（</w:t>
      </w:r>
      <w:r>
        <w:rPr>
          <w:rFonts w:cs="宋体"/>
          <w:b/>
          <w:bCs/>
          <w:color w:val="auto"/>
          <w:highlight w:val="none"/>
        </w:rPr>
        <w:t xml:space="preserve">10</w:t>
      </w:r>
      <w:r>
        <w:rPr>
          <w:rFonts w:hint="eastAsia" w:cs="宋体"/>
          <w:b/>
          <w:bCs/>
          <w:color w:val="auto"/>
          <w:highlight w:val="none"/>
        </w:rPr>
        <w:t xml:space="preserve">分）</w:t>
      </w:r>
      <w:r/>
    </w:p>
    <w:p>
      <w:pPr>
        <w:ind w:firstLine="420"/>
        <w:spacing w:line="400" w:lineRule="exact"/>
        <w:tabs>
          <w:tab w:val="left" w:pos="567" w:leader="none"/>
        </w:tabs>
        <w:rPr>
          <w:rFonts w:cs="宋体"/>
          <w:color w:val="auto"/>
          <w:highlight w:val="none"/>
        </w:rPr>
      </w:pPr>
      <w:r>
        <w:rPr>
          <w:rFonts w:hint="eastAsia" w:cs="宋体"/>
          <w:color w:val="auto"/>
          <w:highlight w:val="none"/>
        </w:rPr>
        <w:t xml:space="preserve">盲样考核共</w:t>
      </w:r>
      <w:r>
        <w:rPr>
          <w:rFonts w:cs="宋体"/>
          <w:color w:val="auto"/>
          <w:highlight w:val="none"/>
        </w:rPr>
        <w:t xml:space="preserve">4</w:t>
      </w:r>
      <w:r>
        <w:rPr>
          <w:rFonts w:hint="eastAsia" w:cs="宋体"/>
          <w:color w:val="auto"/>
          <w:highlight w:val="none"/>
        </w:rPr>
        <w:t xml:space="preserve">个，按照En值评定分值，En≤0.25不扣分，0.25＜En≤0.68每个扣</w:t>
      </w:r>
      <w:r>
        <w:rPr>
          <w:rFonts w:cs="宋体"/>
          <w:color w:val="auto"/>
          <w:highlight w:val="none"/>
        </w:rPr>
        <w:t xml:space="preserve">3</w:t>
      </w:r>
      <w:r>
        <w:rPr>
          <w:rFonts w:hint="eastAsia" w:cs="宋体"/>
          <w:color w:val="auto"/>
          <w:highlight w:val="none"/>
        </w:rPr>
        <w:t xml:space="preserve">分，0.68＜En≤1每个扣</w:t>
      </w:r>
      <w:r>
        <w:rPr>
          <w:rFonts w:cs="宋体"/>
          <w:color w:val="auto"/>
          <w:highlight w:val="none"/>
        </w:rPr>
        <w:t xml:space="preserve">7</w:t>
      </w:r>
      <w:r>
        <w:rPr>
          <w:rFonts w:hint="eastAsia" w:cs="宋体"/>
          <w:color w:val="auto"/>
          <w:highlight w:val="none"/>
        </w:rPr>
        <w:t xml:space="preserve">分，En＞1的每个扣</w:t>
      </w:r>
      <w:r>
        <w:rPr>
          <w:rFonts w:cs="宋体"/>
          <w:color w:val="auto"/>
          <w:highlight w:val="none"/>
        </w:rPr>
        <w:t xml:space="preserve">10</w:t>
      </w:r>
      <w:r>
        <w:rPr>
          <w:rFonts w:hint="eastAsia" w:cs="宋体"/>
          <w:color w:val="auto"/>
          <w:highlight w:val="none"/>
        </w:rPr>
        <w:t xml:space="preserve">分。每个盲样至少得出两组实验结果，否则本项不得分。</w:t>
      </w:r>
      <w:r/>
    </w:p>
    <w:p>
      <w:pPr>
        <w:ind w:left="567"/>
        <w:tabs>
          <w:tab w:val="left" w:pos="567" w:leader="none"/>
        </w:tabs>
        <w:rPr>
          <w:rFonts w:cs="宋体"/>
          <w:color w:val="auto"/>
          <w:highlight w:val="none"/>
        </w:rPr>
      </w:pPr>
      <w:r>
        <w:rPr>
          <w:rFonts w:cs="宋体"/>
          <w:color w:val="auto"/>
          <w:highlight w:val="none"/>
        </w:rPr>
        <mc:AlternateContent>
          <mc:Choice Requires="wpg">
            <w:drawing>
              <wp:inline xmlns:wp="http://schemas.openxmlformats.org/drawingml/2006/wordprocessingDrawing" distT="0" distB="0" distL="0" distR="0">
                <wp:extent cx="1419225" cy="809625"/>
                <wp:effectExtent l="0" t="0" r="9525" b="952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141922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1.8pt;height:63.8pt;mso-wrap-distance-left:0.0pt;mso-wrap-distance-top:0.0pt;mso-wrap-distance-right:0.0pt;mso-wrap-distance-bottom:0.0pt;" stroked="f">
                <v:path textboxrect="0,0,0,0"/>
                <v:imagedata r:id="rId17" o:title=""/>
              </v:shape>
            </w:pict>
          </mc:Fallback>
        </mc:AlternateContent>
      </w:r>
      <w:r/>
    </w:p>
    <w:p>
      <w:pPr>
        <w:ind w:left="567"/>
        <w:spacing w:line="400" w:lineRule="exact"/>
        <w:tabs>
          <w:tab w:val="left" w:pos="567" w:leader="none"/>
        </w:tabs>
        <w:rPr>
          <w:rFonts w:cs="宋体"/>
          <w:b/>
          <w:color w:val="auto"/>
          <w:highlight w:val="none"/>
        </w:rPr>
      </w:pPr>
      <w:r>
        <w:rPr>
          <w:rFonts w:hint="eastAsia" w:cs="宋体"/>
          <w:b/>
          <w:color w:val="auto"/>
          <w:highlight w:val="none"/>
        </w:rPr>
        <w:t xml:space="preserve">（须附完整原始记录及含日期时间的实验过程、实验人员、实验场所的现场照片，否则本项不得分。）</w:t>
      </w:r>
      <w:r/>
    </w:p>
    <w:p>
      <w:pPr>
        <w:ind w:left="567"/>
        <w:spacing w:line="400" w:lineRule="exact"/>
        <w:tabs>
          <w:tab w:val="left" w:pos="567" w:leader="none"/>
        </w:tabs>
        <w:rPr>
          <w:rFonts w:cs="宋体"/>
          <w:color w:val="auto"/>
          <w:highlight w:val="none"/>
        </w:rPr>
      </w:pPr>
      <w:r>
        <w:rPr>
          <w:rFonts w:cs="宋体"/>
          <w:color w:val="auto"/>
          <w:highlight w:val="none"/>
        </w:rPr>
      </w:r>
      <w:r/>
    </w:p>
    <w:p>
      <w:pPr>
        <w:jc w:val="right"/>
        <w:rPr>
          <w:color w:val="auto"/>
          <w:highlight w:val="none"/>
        </w:rPr>
      </w:pPr>
      <w:r>
        <w:rPr>
          <w:color w:val="auto"/>
          <w:highlight w:val="none"/>
        </w:rPr>
      </w:r>
      <w:r/>
    </w:p>
    <w:p>
      <w:pPr>
        <w:spacing w:line="360" w:lineRule="auto"/>
        <w:tabs>
          <w:tab w:val="left" w:pos="2667" w:leader="none"/>
        </w:tabs>
        <w:rPr>
          <w:rFonts w:eastAsiaTheme="minorEastAsia"/>
          <w:b/>
          <w:bCs/>
          <w:color w:val="auto"/>
          <w:szCs w:val="21"/>
          <w:highlight w:val="none"/>
        </w:rPr>
      </w:pPr>
      <w:r>
        <w:rPr>
          <w:rFonts w:eastAsiaTheme="minorEastAsia"/>
          <w:b/>
          <w:bCs/>
          <w:color w:val="auto"/>
          <w:szCs w:val="21"/>
          <w:highlight w:val="none"/>
        </w:rPr>
        <w:t xml:space="preserve">二、评分标准</w:t>
      </w:r>
      <w:r>
        <w:rPr>
          <w:rFonts w:hint="eastAsia" w:eastAsiaTheme="minorEastAsia"/>
          <w:b/>
          <w:bCs/>
          <w:color w:val="auto"/>
          <w:szCs w:val="21"/>
          <w:highlight w:val="none"/>
        </w:rPr>
        <w:t xml:space="preserve">（适用标段二）</w:t>
      </w:r>
      <w:r/>
    </w:p>
    <w:p>
      <w:pPr>
        <w:jc w:val="right"/>
        <w:rPr>
          <w:color w:val="auto"/>
          <w:highlight w:val="none"/>
        </w:rPr>
      </w:pPr>
      <w:r>
        <w:rPr>
          <w:color w:val="auto"/>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（一）价格分（最高为10分）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第一步：投标总报价等于或低于采购预算的为有效投标报价。投标总报价高于采购预算的投标报价为无效投标报价。无效投标报价的投标文件不进行评审，也不得标。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第二步：以满足采购文件实质性要求且</w:t>
      </w:r>
      <w:r>
        <w:rPr>
          <w:rFonts w:ascii="宋体" w:hAnsi="宋体" w:cs="宋体"/>
          <w:color w:val="auto"/>
          <w:szCs w:val="21"/>
          <w:highlight w:val="none"/>
        </w:rPr>
        <w:t xml:space="preserve">投标</w:t>
      </w:r>
      <w:r>
        <w:rPr>
          <w:rFonts w:hint="eastAsia" w:ascii="宋体" w:hAnsi="宋体" w:cs="宋体"/>
          <w:color w:val="auto"/>
          <w:szCs w:val="21"/>
          <w:highlight w:val="none"/>
        </w:rPr>
        <w:t xml:space="preserve">报价</w:t>
      </w:r>
      <w:r>
        <w:rPr>
          <w:rFonts w:hint="eastAsia" w:ascii="宋体" w:hAnsi="宋体"/>
          <w:color w:val="auto"/>
          <w:szCs w:val="21"/>
          <w:highlight w:val="none"/>
        </w:rPr>
        <w:t xml:space="preserve">最低的有效投标报价为评标基准价，其价格分为满分，即</w:t>
      </w:r>
      <w:r>
        <w:rPr>
          <w:rFonts w:ascii="宋体" w:hAnsi="宋体"/>
          <w:color w:val="auto"/>
          <w:szCs w:val="21"/>
          <w:highlight w:val="none"/>
        </w:rPr>
        <w:t xml:space="preserve">30</w:t>
      </w:r>
      <w:r>
        <w:rPr>
          <w:rFonts w:hint="eastAsia" w:ascii="宋体" w:hAnsi="宋体"/>
          <w:color w:val="auto"/>
          <w:szCs w:val="21"/>
          <w:highlight w:val="none"/>
        </w:rPr>
        <w:t xml:space="preserve">分。其他有效投标报价分统一按照下列公式计算：</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投标报价得分=（评标基准价/投标报价）*价格权值*100，小数点后保留两位（价格权值为10%）。</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(二)技术水平及服务方案（53分）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1.项目理解分析（10分）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于本次采购项目背景、现状、采购需求等的理解、分析；对于项目背景、现状熟悉了解，需求分析透彻、准确到位得10分；对于项目背景、现状较了解，需求分析较准确得7分；对项目背景、现状有一定了解，需求分析基本到位得4分；对于项目背景、现状、需求了解不太到位得1分；否则不得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2.项目技术路线（10分）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技术路线科学、高效，充分贴合项目需求得10分；技术路线较科学、有效、较能满足项目需求得7分；技术路线基本可行，符合项目需求得4分；技术路线不太可行得1分；否则不得分。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3.项目实施方案（10分）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方案内容全面、具体、合理、可行，组织安排科学、高效，充分贴合项目需求得10分；方案较全面、较可行，组织安排较科学、较有效，较贴合项目需求得7分；方案基本全面、基本可行，组织安排基本能满足项目需求得4分；方案不太可行得1分；否则不得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4.质量保证措施（8分）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方案措施全面、具体、合理、可行，充分贴合项目需求得8分；方案措施较全面、较可行，基本贴合项目需求得4分；方案措施基本全面、基本可行得2分；方案措施不太可行得1分；否则不得分。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5.进度保证措施（8分）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进度安排充分贴合项目需求，具有优化方案，进度控制合理有保障得8分；进度安排较符合项目需求，进度控制较合理得5分；进度安排基本满足项目需求，进度控制基本合理得3分；进度安排不太有保障得1分；否则不得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6.服务响应（7分）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服务响应快速、便捷、及时得7分；服务响应较便捷、较及时得5分；服务相应基本及时得3分；服务响应不太及时得1分；否则不得分。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(三)针对本项目的技术人员配置（14分）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1.项目负责人（4分）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具有生态环境相关专业高级职称得4分，工程师职称得2分；最高4分；提供相应证书、及响应单位为其缴纳的最近一期社保证明复印件，否则不得分。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2.项目组成员（除上述负责人）（10分）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具有生态环境相关专业的中级工程师或硕士及以上研究生，每个2分；具有生态环境相关专业的初级职称或本科，每个得1分，最高10分；提供相应证书、有效证明及响应单位为其缴纳的最近一期社保证明复印件，否则不得分。</w:t>
      </w:r>
      <w:r/>
    </w:p>
    <w:p>
      <w:pPr>
        <w:ind w:right="-161"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注：上述人员要求提供的最近一期社保证明指提供开标当月或前一个月。</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(四)响应单位综合能力（23分）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1.管理体系认证 （6分）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具有有效的质量管理、环境管理、职业健康安全管理体系认证证书的，每个得2分，最高6分。提供证书复印件及国家认监委网站查询证书有效的截图证明，提供不全或未提供不得分。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2.具备独立水生生物和陆生生物检验检测实验室的得3分，提供有效认证证明复印件否则不得分。（3分）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3.具有生物多样性计算或分析相关软件著作权登记证书或已成功开发的经验证明,每个得1分，最高4分。提供有效证明材料，否则不得分。（4分）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3.类似项目业绩（10分）</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2023年5月以来（以合同签订时间为准）承担过生物多样性站点建设或运维业绩的，每个得2分，最高10分。提供业绩合同证明材料复印件加盖公章，否则不得分。</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jc w:val="right"/>
        <w:rPr>
          <w:color w:val="auto"/>
          <w:highlight w:val="none"/>
        </w:rPr>
      </w:pPr>
      <w:r>
        <w:rPr>
          <w:color w:val="auto"/>
          <w:highlight w:val="none"/>
        </w:rPr>
        <w:t xml:space="preserve">（本文完）</w:t>
      </w:r>
      <w:r/>
    </w:p>
    <w:sectPr>
      <w:footnotePr/>
      <w:endnotePr/>
      <w:type w:val="nextPage"/>
      <w:pgSz w:w="11906" w:h="16838" w:orient="portrait"/>
      <w:pgMar w:top="993" w:right="907" w:bottom="794" w:left="907" w:header="737" w:footer="45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p>
    <w:pPr>
      <w:pStyle w:val="8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87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tabs>
          <w:tab w:val="left" w:pos="420" w:leader="none"/>
        </w:tabs>
      </w:pPr>
    </w:lvl>
    <w:lvl w:ilvl="1">
      <w:start w:val="1"/>
      <w:numFmt w:val="chineseCountingThousand"/>
      <w:isLgl w:val="false"/>
      <w:suff w:val="tab"/>
      <w:lvlText w:val="%2、"/>
      <w:lvlJc w:val="left"/>
      <w:pPr>
        <w:ind w:left="840" w:hanging="420"/>
        <w:tabs>
          <w:tab w:val="left" w:pos="840" w:leader="none"/>
        </w:tabs>
      </w:pPr>
      <w:rPr>
        <w:rFonts w:hint="eastAsia"/>
        <w:b w:val="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4"/>
  </w:num>
  <w:num w:numId="6">
    <w:abstractNumId w:val="1"/>
  </w:num>
  <w:num w:numId="7">
    <w:abstractNumId w:val="6"/>
  </w:num>
  <w:num w:numId="8">
    <w:abstractNumId w:val="0"/>
  </w:num>
  <w:num w:numId="9">
    <w:abstractNumId w:val="8"/>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8">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7">
    <w:name w:val="TOC Heading"/>
    <w:uiPriority w:val="39"/>
    <w:unhideWhenUsed/>
  </w:style>
  <w:style w:type="paragraph" w:styleId="83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39">
    <w:name w:val="Heading 1"/>
    <w:basedOn w:val="838"/>
    <w:next w:val="838"/>
    <w:link w:val="946"/>
    <w:uiPriority w:val="9"/>
    <w:qFormat/>
    <w:pPr>
      <w:ind w:left="420" w:hanging="420"/>
      <w:keepLines/>
      <w:keepNext/>
      <w:spacing w:before="340" w:after="330" w:line="400" w:lineRule="exact"/>
      <w:outlineLvl w:val="0"/>
    </w:pPr>
    <w:rPr>
      <w:rFonts w:ascii="宋体" w:hAnsi="宋体"/>
      <w:b/>
      <w:bCs/>
      <w:sz w:val="20"/>
      <w:szCs w:val="21"/>
    </w:rPr>
  </w:style>
  <w:style w:type="paragraph" w:styleId="840">
    <w:name w:val="Heading 2"/>
    <w:basedOn w:val="838"/>
    <w:next w:val="850"/>
    <w:link w:val="948"/>
    <w:uiPriority w:val="9"/>
    <w:qFormat/>
    <w:pPr>
      <w:keepLines/>
      <w:keepNext/>
      <w:spacing w:before="260" w:after="260" w:line="416" w:lineRule="auto"/>
      <w:outlineLvl w:val="1"/>
    </w:pPr>
    <w:rPr>
      <w:rFonts w:ascii="Cambria" w:hAnsi="Cambria"/>
      <w:b/>
      <w:bCs/>
      <w:sz w:val="32"/>
      <w:szCs w:val="32"/>
    </w:rPr>
  </w:style>
  <w:style w:type="paragraph" w:styleId="841">
    <w:name w:val="Heading 3"/>
    <w:basedOn w:val="838"/>
    <w:next w:val="838"/>
    <w:link w:val="949"/>
    <w:uiPriority w:val="9"/>
    <w:qFormat/>
    <w:pPr>
      <w:keepLines/>
      <w:keepNext/>
      <w:spacing w:before="260" w:after="260" w:line="416" w:lineRule="auto"/>
      <w:outlineLvl w:val="2"/>
    </w:pPr>
    <w:rPr>
      <w:b/>
      <w:bCs/>
      <w:sz w:val="32"/>
      <w:szCs w:val="32"/>
    </w:rPr>
  </w:style>
  <w:style w:type="paragraph" w:styleId="842">
    <w:name w:val="Heading 4"/>
    <w:basedOn w:val="838"/>
    <w:next w:val="838"/>
    <w:link w:val="950"/>
    <w:uiPriority w:val="9"/>
    <w:qFormat/>
    <w:pPr>
      <w:keepLines/>
      <w:keepNext/>
      <w:spacing w:before="280" w:after="290" w:line="376" w:lineRule="auto"/>
      <w:outlineLvl w:val="3"/>
    </w:pPr>
    <w:rPr>
      <w:rFonts w:ascii="Cambria" w:hAnsi="Cambria"/>
      <w:b/>
      <w:bCs/>
      <w:sz w:val="28"/>
      <w:szCs w:val="28"/>
    </w:rPr>
  </w:style>
  <w:style w:type="paragraph" w:styleId="843">
    <w:name w:val="Heading 5"/>
    <w:basedOn w:val="838"/>
    <w:next w:val="850"/>
    <w:link w:val="951"/>
    <w:uiPriority w:val="9"/>
    <w:qFormat/>
    <w:pPr>
      <w:keepLines/>
      <w:keepNext/>
      <w:spacing w:before="280" w:after="290" w:line="376" w:lineRule="auto"/>
      <w:outlineLvl w:val="4"/>
    </w:pPr>
    <w:rPr>
      <w:rFonts w:ascii="Calibri" w:hAnsi="Calibri"/>
      <w:b/>
      <w:bCs/>
      <w:sz w:val="28"/>
      <w:szCs w:val="28"/>
    </w:rPr>
  </w:style>
  <w:style w:type="paragraph" w:styleId="844">
    <w:name w:val="Heading 6"/>
    <w:basedOn w:val="838"/>
    <w:next w:val="850"/>
    <w:link w:val="952"/>
    <w:uiPriority w:val="9"/>
    <w:qFormat/>
    <w:pPr>
      <w:keepLines/>
      <w:keepNext/>
      <w:spacing w:before="240" w:after="64" w:line="320" w:lineRule="auto"/>
      <w:outlineLvl w:val="5"/>
    </w:pPr>
    <w:rPr>
      <w:rFonts w:ascii="Cambria" w:hAnsi="Cambria"/>
      <w:b/>
      <w:bCs/>
      <w:sz w:val="24"/>
      <w:szCs w:val="24"/>
    </w:rPr>
  </w:style>
  <w:style w:type="paragraph" w:styleId="845">
    <w:name w:val="Heading 7"/>
    <w:basedOn w:val="838"/>
    <w:next w:val="850"/>
    <w:link w:val="953"/>
    <w:uiPriority w:val="9"/>
    <w:qFormat/>
    <w:pPr>
      <w:keepLines/>
      <w:keepNext/>
      <w:spacing w:before="240" w:after="64" w:line="320" w:lineRule="auto"/>
      <w:outlineLvl w:val="6"/>
    </w:pPr>
    <w:rPr>
      <w:rFonts w:ascii="Calibri" w:hAnsi="Calibri"/>
      <w:b/>
      <w:bCs/>
      <w:sz w:val="24"/>
      <w:szCs w:val="24"/>
    </w:rPr>
  </w:style>
  <w:style w:type="paragraph" w:styleId="846">
    <w:name w:val="Heading 8"/>
    <w:basedOn w:val="838"/>
    <w:next w:val="850"/>
    <w:link w:val="954"/>
    <w:uiPriority w:val="9"/>
    <w:qFormat/>
    <w:pPr>
      <w:keepLines/>
      <w:keepNext/>
      <w:spacing w:before="240" w:after="64" w:line="320" w:lineRule="auto"/>
      <w:outlineLvl w:val="7"/>
    </w:pPr>
    <w:rPr>
      <w:rFonts w:ascii="Cambria" w:hAnsi="Cambria"/>
      <w:sz w:val="24"/>
      <w:szCs w:val="24"/>
    </w:rPr>
  </w:style>
  <w:style w:type="paragraph" w:styleId="847">
    <w:name w:val="Heading 9"/>
    <w:basedOn w:val="838"/>
    <w:next w:val="850"/>
    <w:link w:val="955"/>
    <w:uiPriority w:val="9"/>
    <w:qFormat/>
    <w:pPr>
      <w:keepLines/>
      <w:keepNext/>
      <w:spacing w:before="240" w:after="64" w:line="320" w:lineRule="auto"/>
      <w:outlineLvl w:val="8"/>
    </w:pPr>
    <w:rPr>
      <w:rFonts w:ascii="Cambria" w:hAnsi="Cambria"/>
      <w:sz w:val="20"/>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Normal Indent"/>
    <w:basedOn w:val="838"/>
    <w:next w:val="838"/>
    <w:link w:val="947"/>
    <w:uiPriority w:val="0"/>
    <w:qFormat/>
    <w:pPr>
      <w:ind w:firstLine="420"/>
      <w:jc w:val="left"/>
    </w:pPr>
    <w:rPr>
      <w:rFonts w:eastAsia="楷体_GB2312"/>
      <w:sz w:val="24"/>
      <w:szCs w:val="20"/>
    </w:rPr>
  </w:style>
  <w:style w:type="paragraph" w:styleId="851">
    <w:name w:val="toc 7"/>
    <w:basedOn w:val="839"/>
    <w:next w:val="838"/>
    <w:uiPriority w:val="39"/>
    <w:qFormat/>
    <w:pPr>
      <w:ind w:left="2520"/>
    </w:pPr>
    <w:rPr>
      <w:rFonts w:eastAsia="楷体_GB2312"/>
      <w:sz w:val="28"/>
      <w:szCs w:val="20"/>
    </w:rPr>
  </w:style>
  <w:style w:type="paragraph" w:styleId="852">
    <w:name w:val="index 8"/>
    <w:basedOn w:val="838"/>
    <w:next w:val="838"/>
    <w:uiPriority w:val="0"/>
    <w:qFormat/>
    <w:pPr>
      <w:ind w:left="2940"/>
    </w:pPr>
    <w:rPr>
      <w:rFonts w:eastAsia="楷体_GB2312"/>
      <w:sz w:val="28"/>
      <w:szCs w:val="20"/>
    </w:rPr>
  </w:style>
  <w:style w:type="paragraph" w:styleId="853">
    <w:name w:val="List Number"/>
    <w:basedOn w:val="838"/>
    <w:uiPriority w:val="0"/>
    <w:qFormat/>
    <w:pPr>
      <w:ind w:left="1125" w:hanging="555"/>
      <w:tabs>
        <w:tab w:val="left" w:pos="1125" w:leader="none"/>
      </w:tabs>
    </w:pPr>
    <w:rPr>
      <w:szCs w:val="24"/>
    </w:rPr>
  </w:style>
  <w:style w:type="paragraph" w:styleId="854">
    <w:name w:val="Caption"/>
    <w:basedOn w:val="838"/>
    <w:next w:val="838"/>
    <w:link w:val="956"/>
    <w:uiPriority w:val="35"/>
    <w:unhideWhenUsed/>
    <w:qFormat/>
    <w:rPr>
      <w:rFonts w:eastAsia="黑体" w:asciiTheme="majorHAnsi" w:hAnsiTheme="majorHAnsi" w:cstheme="majorBidi"/>
      <w:sz w:val="20"/>
      <w:szCs w:val="20"/>
    </w:rPr>
  </w:style>
  <w:style w:type="paragraph" w:styleId="855">
    <w:name w:val="index 5"/>
    <w:basedOn w:val="838"/>
    <w:next w:val="838"/>
    <w:uiPriority w:val="0"/>
    <w:qFormat/>
    <w:pPr>
      <w:ind w:left="1680"/>
    </w:pPr>
    <w:rPr>
      <w:rFonts w:eastAsia="楷体_GB2312"/>
      <w:sz w:val="28"/>
      <w:szCs w:val="20"/>
    </w:rPr>
  </w:style>
  <w:style w:type="paragraph" w:styleId="856">
    <w:name w:val="Document Map"/>
    <w:basedOn w:val="838"/>
    <w:link w:val="957"/>
    <w:uiPriority w:val="0"/>
    <w:unhideWhenUsed/>
    <w:qFormat/>
    <w:rPr>
      <w:rFonts w:ascii="宋体"/>
      <w:sz w:val="18"/>
      <w:szCs w:val="18"/>
    </w:rPr>
  </w:style>
  <w:style w:type="paragraph" w:styleId="857">
    <w:name w:val="annotation text"/>
    <w:basedOn w:val="838"/>
    <w:link w:val="958"/>
    <w:uiPriority w:val="0"/>
    <w:unhideWhenUsed/>
    <w:qFormat/>
    <w:pPr>
      <w:jc w:val="left"/>
    </w:pPr>
    <w:rPr>
      <w:sz w:val="20"/>
      <w:szCs w:val="24"/>
    </w:rPr>
  </w:style>
  <w:style w:type="paragraph" w:styleId="858">
    <w:name w:val="index 6"/>
    <w:basedOn w:val="838"/>
    <w:next w:val="838"/>
    <w:uiPriority w:val="0"/>
    <w:qFormat/>
    <w:pPr>
      <w:ind w:left="2100"/>
    </w:pPr>
    <w:rPr>
      <w:rFonts w:eastAsia="楷体_GB2312"/>
      <w:sz w:val="28"/>
      <w:szCs w:val="20"/>
    </w:rPr>
  </w:style>
  <w:style w:type="paragraph" w:styleId="859">
    <w:name w:val="Body Text"/>
    <w:basedOn w:val="838"/>
    <w:next w:val="838"/>
    <w:link w:val="959"/>
    <w:uiPriority w:val="0"/>
    <w:qFormat/>
    <w:rPr>
      <w:sz w:val="24"/>
      <w:szCs w:val="24"/>
    </w:rPr>
  </w:style>
  <w:style w:type="paragraph" w:styleId="860">
    <w:name w:val="Body Text Indent"/>
    <w:basedOn w:val="838"/>
    <w:next w:val="838"/>
    <w:link w:val="945"/>
    <w:uiPriority w:val="0"/>
    <w:unhideWhenUsed/>
    <w:qFormat/>
    <w:pPr>
      <w:ind w:left="420"/>
      <w:spacing w:after="120"/>
    </w:pPr>
  </w:style>
  <w:style w:type="paragraph" w:styleId="861">
    <w:name w:val="List 2"/>
    <w:basedOn w:val="839"/>
    <w:next w:val="851"/>
    <w:uiPriority w:val="0"/>
    <w:qFormat/>
    <w:pPr>
      <w:ind w:left="100" w:hanging="200"/>
    </w:pPr>
    <w:rPr>
      <w:szCs w:val="24"/>
    </w:rPr>
  </w:style>
  <w:style w:type="paragraph" w:styleId="862">
    <w:name w:val="Block Text"/>
    <w:basedOn w:val="838"/>
    <w:next w:val="838"/>
    <w:uiPriority w:val="0"/>
    <w:qFormat/>
    <w:pPr>
      <w:ind w:left="630" w:right="-609" w:firstLine="420"/>
      <w:spacing w:line="360" w:lineRule="auto"/>
    </w:pPr>
    <w:rPr>
      <w:rFonts w:ascii="仿宋_GB2312" w:eastAsia="仿宋_GB2312"/>
      <w:szCs w:val="20"/>
    </w:rPr>
  </w:style>
  <w:style w:type="paragraph" w:styleId="863">
    <w:name w:val="index 4"/>
    <w:basedOn w:val="838"/>
    <w:next w:val="838"/>
    <w:uiPriority w:val="0"/>
    <w:qFormat/>
    <w:pPr>
      <w:ind w:left="1260"/>
    </w:pPr>
    <w:rPr>
      <w:rFonts w:eastAsia="楷体_GB2312"/>
      <w:sz w:val="28"/>
      <w:szCs w:val="20"/>
    </w:rPr>
  </w:style>
  <w:style w:type="paragraph" w:styleId="864">
    <w:name w:val="toc 5"/>
    <w:basedOn w:val="838"/>
    <w:next w:val="838"/>
    <w:uiPriority w:val="39"/>
    <w:qFormat/>
    <w:pPr>
      <w:ind w:left="1680"/>
    </w:pPr>
    <w:rPr>
      <w:rFonts w:eastAsia="楷体_GB2312"/>
      <w:sz w:val="28"/>
      <w:szCs w:val="20"/>
    </w:rPr>
  </w:style>
  <w:style w:type="paragraph" w:styleId="865">
    <w:name w:val="toc 3"/>
    <w:basedOn w:val="838"/>
    <w:next w:val="838"/>
    <w:uiPriority w:val="39"/>
    <w:qFormat/>
    <w:pPr>
      <w:ind w:left="840"/>
    </w:pPr>
    <w:rPr>
      <w:rFonts w:eastAsia="楷体_GB2312"/>
      <w:sz w:val="28"/>
      <w:szCs w:val="20"/>
    </w:rPr>
  </w:style>
  <w:style w:type="paragraph" w:styleId="866">
    <w:name w:val="Plain Text"/>
    <w:basedOn w:val="838"/>
    <w:link w:val="960"/>
    <w:uiPriority w:val="0"/>
    <w:qFormat/>
    <w:rPr>
      <w:rFonts w:ascii="宋体" w:hAnsi="Courier New" w:eastAsia="楷体_GB2312"/>
      <w:sz w:val="28"/>
      <w:szCs w:val="20"/>
    </w:rPr>
  </w:style>
  <w:style w:type="paragraph" w:styleId="867">
    <w:name w:val="toc 8"/>
    <w:basedOn w:val="838"/>
    <w:next w:val="838"/>
    <w:uiPriority w:val="39"/>
    <w:qFormat/>
    <w:pPr>
      <w:ind w:left="2940"/>
    </w:pPr>
    <w:rPr>
      <w:rFonts w:eastAsia="楷体_GB2312"/>
      <w:sz w:val="28"/>
      <w:szCs w:val="20"/>
    </w:rPr>
  </w:style>
  <w:style w:type="paragraph" w:styleId="868">
    <w:name w:val="index 3"/>
    <w:basedOn w:val="838"/>
    <w:next w:val="838"/>
    <w:uiPriority w:val="0"/>
    <w:qFormat/>
    <w:pPr>
      <w:ind w:left="840"/>
    </w:pPr>
    <w:rPr>
      <w:rFonts w:eastAsia="楷体_GB2312"/>
      <w:sz w:val="28"/>
      <w:szCs w:val="20"/>
    </w:rPr>
  </w:style>
  <w:style w:type="paragraph" w:styleId="869">
    <w:name w:val="Date"/>
    <w:basedOn w:val="838"/>
    <w:next w:val="838"/>
    <w:link w:val="961"/>
    <w:uiPriority w:val="0"/>
    <w:qFormat/>
    <w:rPr>
      <w:rFonts w:ascii="宋体" w:hAnsi="宋体" w:eastAsia="楷体_GB2312"/>
      <w:sz w:val="24"/>
      <w:szCs w:val="20"/>
    </w:rPr>
  </w:style>
  <w:style w:type="paragraph" w:styleId="870">
    <w:name w:val="Body Text Indent 2"/>
    <w:basedOn w:val="838"/>
    <w:link w:val="962"/>
    <w:uiPriority w:val="99"/>
    <w:qFormat/>
    <w:pPr>
      <w:ind w:left="1" w:firstLine="480"/>
      <w:spacing w:line="400" w:lineRule="exact"/>
      <w:tabs>
        <w:tab w:val="left" w:pos="360" w:leader="none"/>
      </w:tabs>
    </w:pPr>
    <w:rPr>
      <w:sz w:val="24"/>
      <w:szCs w:val="24"/>
    </w:rPr>
  </w:style>
  <w:style w:type="paragraph" w:styleId="871">
    <w:name w:val="endnote text"/>
    <w:basedOn w:val="838"/>
    <w:link w:val="1377"/>
    <w:uiPriority w:val="99"/>
    <w:semiHidden/>
    <w:unhideWhenUsed/>
    <w:qFormat/>
    <w:pPr>
      <w:jc w:val="left"/>
    </w:pPr>
  </w:style>
  <w:style w:type="paragraph" w:styleId="872">
    <w:name w:val="Balloon Text"/>
    <w:basedOn w:val="838"/>
    <w:link w:val="963"/>
    <w:uiPriority w:val="0"/>
    <w:unhideWhenUsed/>
    <w:qFormat/>
    <w:rPr>
      <w:sz w:val="18"/>
      <w:szCs w:val="18"/>
    </w:rPr>
  </w:style>
  <w:style w:type="paragraph" w:styleId="873">
    <w:name w:val="Footer"/>
    <w:basedOn w:val="838"/>
    <w:link w:val="964"/>
    <w:uiPriority w:val="99"/>
    <w:unhideWhenUsed/>
    <w:qFormat/>
    <w:pPr>
      <w:jc w:val="left"/>
      <w:tabs>
        <w:tab w:val="center" w:pos="4153" w:leader="none"/>
        <w:tab w:val="right" w:pos="8306" w:leader="none"/>
      </w:tabs>
    </w:pPr>
    <w:rPr>
      <w:sz w:val="18"/>
      <w:szCs w:val="18"/>
    </w:rPr>
  </w:style>
  <w:style w:type="paragraph" w:styleId="874">
    <w:name w:val="Header"/>
    <w:basedOn w:val="838"/>
    <w:link w:val="9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38"/>
    <w:next w:val="838"/>
    <w:uiPriority w:val="39"/>
    <w:qFormat/>
    <w:pPr>
      <w:jc w:val="left"/>
      <w:widowControl/>
    </w:pPr>
    <w:rPr>
      <w:rFonts w:eastAsia="楷体_GB2312"/>
      <w:sz w:val="24"/>
      <w:szCs w:val="20"/>
    </w:rPr>
  </w:style>
  <w:style w:type="paragraph" w:styleId="876">
    <w:name w:val="toc 4"/>
    <w:basedOn w:val="838"/>
    <w:next w:val="838"/>
    <w:uiPriority w:val="39"/>
    <w:qFormat/>
    <w:pPr>
      <w:ind w:left="1260"/>
    </w:pPr>
    <w:rPr>
      <w:rFonts w:eastAsia="楷体_GB2312"/>
      <w:sz w:val="28"/>
      <w:szCs w:val="20"/>
    </w:rPr>
  </w:style>
  <w:style w:type="paragraph" w:styleId="877">
    <w:name w:val="index heading"/>
    <w:basedOn w:val="838"/>
    <w:next w:val="878"/>
    <w:uiPriority w:val="0"/>
    <w:qFormat/>
    <w:rPr>
      <w:rFonts w:eastAsia="楷体_GB2312"/>
      <w:sz w:val="28"/>
      <w:szCs w:val="20"/>
    </w:rPr>
  </w:style>
  <w:style w:type="paragraph" w:styleId="878">
    <w:name w:val="index 1"/>
    <w:basedOn w:val="838"/>
    <w:next w:val="838"/>
    <w:uiPriority w:val="0"/>
    <w:qFormat/>
    <w:rPr>
      <w:rFonts w:eastAsia="楷体_GB2312"/>
      <w:sz w:val="28"/>
      <w:szCs w:val="20"/>
    </w:rPr>
  </w:style>
  <w:style w:type="paragraph" w:styleId="879">
    <w:name w:val="Subtitle"/>
    <w:basedOn w:val="838"/>
    <w:next w:val="838"/>
    <w:link w:val="1237"/>
    <w:uiPriority w:val="11"/>
    <w:qFormat/>
    <w:pPr>
      <w:jc w:val="center"/>
      <w:spacing w:before="240" w:after="60" w:line="312" w:lineRule="auto"/>
      <w:outlineLvl w:val="1"/>
    </w:pPr>
    <w:rPr>
      <w:rFonts w:ascii="Calibri" w:hAnsi="Calibri"/>
      <w:sz w:val="24"/>
      <w:szCs w:val="24"/>
    </w:rPr>
  </w:style>
  <w:style w:type="paragraph" w:styleId="880">
    <w:name w:val="footnote text"/>
    <w:basedOn w:val="838"/>
    <w:next w:val="862"/>
    <w:link w:val="966"/>
    <w:uiPriority w:val="99"/>
    <w:qFormat/>
    <w:pPr>
      <w:jc w:val="left"/>
    </w:pPr>
    <w:rPr>
      <w:rFonts w:eastAsia="楷体_GB2312"/>
      <w:sz w:val="18"/>
      <w:szCs w:val="20"/>
    </w:rPr>
  </w:style>
  <w:style w:type="paragraph" w:styleId="881">
    <w:name w:val="toc 6"/>
    <w:basedOn w:val="838"/>
    <w:next w:val="838"/>
    <w:uiPriority w:val="39"/>
    <w:qFormat/>
    <w:pPr>
      <w:ind w:left="2100"/>
    </w:pPr>
    <w:rPr>
      <w:rFonts w:eastAsia="楷体_GB2312"/>
      <w:sz w:val="28"/>
      <w:szCs w:val="20"/>
    </w:rPr>
  </w:style>
  <w:style w:type="paragraph" w:styleId="882">
    <w:name w:val="Body Text Indent 3"/>
    <w:basedOn w:val="838"/>
    <w:link w:val="967"/>
    <w:uiPriority w:val="99"/>
    <w:qFormat/>
    <w:pPr>
      <w:ind w:firstLine="480"/>
      <w:spacing w:line="400" w:lineRule="exact"/>
    </w:pPr>
    <w:rPr>
      <w:sz w:val="24"/>
      <w:szCs w:val="24"/>
    </w:rPr>
  </w:style>
  <w:style w:type="paragraph" w:styleId="883">
    <w:name w:val="index 7"/>
    <w:basedOn w:val="838"/>
    <w:next w:val="838"/>
    <w:uiPriority w:val="0"/>
    <w:qFormat/>
    <w:pPr>
      <w:ind w:left="2520"/>
    </w:pPr>
    <w:rPr>
      <w:rFonts w:eastAsia="楷体_GB2312"/>
      <w:sz w:val="28"/>
      <w:szCs w:val="20"/>
    </w:rPr>
  </w:style>
  <w:style w:type="paragraph" w:styleId="884">
    <w:name w:val="index 9"/>
    <w:basedOn w:val="838"/>
    <w:next w:val="838"/>
    <w:uiPriority w:val="0"/>
    <w:qFormat/>
    <w:pPr>
      <w:ind w:left="3360"/>
    </w:pPr>
    <w:rPr>
      <w:rFonts w:eastAsia="楷体_GB2312"/>
      <w:sz w:val="28"/>
      <w:szCs w:val="20"/>
    </w:rPr>
  </w:style>
  <w:style w:type="paragraph" w:styleId="885">
    <w:name w:val="table of figures"/>
    <w:basedOn w:val="838"/>
    <w:next w:val="838"/>
    <w:uiPriority w:val="99"/>
    <w:qFormat/>
    <w:pPr>
      <w:ind w:left="420" w:hanging="420"/>
      <w:jc w:val="left"/>
    </w:pPr>
    <w:rPr>
      <w:rFonts w:eastAsia="楷体_GB2312"/>
      <w:smallCaps/>
      <w:sz w:val="24"/>
      <w:szCs w:val="20"/>
    </w:rPr>
  </w:style>
  <w:style w:type="paragraph" w:styleId="886">
    <w:name w:val="toc 2"/>
    <w:basedOn w:val="838"/>
    <w:next w:val="838"/>
    <w:uiPriority w:val="39"/>
    <w:qFormat/>
    <w:pPr>
      <w:ind w:left="420"/>
    </w:pPr>
    <w:rPr>
      <w:rFonts w:eastAsia="楷体_GB2312"/>
      <w:sz w:val="28"/>
      <w:szCs w:val="20"/>
    </w:rPr>
  </w:style>
  <w:style w:type="paragraph" w:styleId="887">
    <w:name w:val="toc 9"/>
    <w:basedOn w:val="838"/>
    <w:next w:val="838"/>
    <w:uiPriority w:val="39"/>
    <w:qFormat/>
    <w:pPr>
      <w:ind w:left="3360"/>
    </w:pPr>
    <w:rPr>
      <w:rFonts w:eastAsia="楷体_GB2312"/>
      <w:sz w:val="28"/>
      <w:szCs w:val="20"/>
    </w:rPr>
  </w:style>
  <w:style w:type="paragraph" w:styleId="888">
    <w:name w:val="Body Text 2"/>
    <w:basedOn w:val="838"/>
    <w:link w:val="968"/>
    <w:uiPriority w:val="0"/>
    <w:qFormat/>
    <w:pPr>
      <w:spacing w:after="120" w:line="480" w:lineRule="auto"/>
    </w:pPr>
    <w:rPr>
      <w:rFonts w:eastAsia="楷体_GB2312"/>
      <w:sz w:val="28"/>
      <w:szCs w:val="20"/>
    </w:rPr>
  </w:style>
  <w:style w:type="paragraph" w:styleId="889">
    <w:name w:val="HTML Preformatted"/>
    <w:basedOn w:val="838"/>
    <w:link w:val="11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90">
    <w:name w:val="Normal (Web)"/>
    <w:basedOn w:val="838"/>
    <w:uiPriority w:val="0"/>
    <w:unhideWhenUsed/>
    <w:qFormat/>
    <w:pPr>
      <w:ind w:left="40" w:right="40"/>
      <w:jc w:val="left"/>
      <w:spacing w:before="40" w:after="40" w:line="300" w:lineRule="atLeast"/>
    </w:pPr>
    <w:rPr>
      <w:sz w:val="24"/>
      <w:szCs w:val="20"/>
    </w:rPr>
  </w:style>
  <w:style w:type="paragraph" w:styleId="891">
    <w:name w:val="index 2"/>
    <w:basedOn w:val="838"/>
    <w:next w:val="838"/>
    <w:uiPriority w:val="0"/>
    <w:qFormat/>
    <w:pPr>
      <w:ind w:left="420"/>
    </w:pPr>
    <w:rPr>
      <w:rFonts w:eastAsia="楷体_GB2312"/>
      <w:sz w:val="28"/>
      <w:szCs w:val="20"/>
    </w:rPr>
  </w:style>
  <w:style w:type="paragraph" w:styleId="892">
    <w:name w:val="Title"/>
    <w:basedOn w:val="838"/>
    <w:next w:val="838"/>
    <w:link w:val="1235"/>
    <w:uiPriority w:val="10"/>
    <w:qFormat/>
    <w:pPr>
      <w:jc w:val="center"/>
      <w:spacing w:before="240" w:after="60"/>
      <w:outlineLvl w:val="0"/>
    </w:pPr>
    <w:rPr>
      <w:rFonts w:ascii="Calibri" w:hAnsi="Calibri"/>
      <w:sz w:val="48"/>
      <w:szCs w:val="48"/>
    </w:rPr>
  </w:style>
  <w:style w:type="paragraph" w:styleId="893">
    <w:name w:val="annotation subject"/>
    <w:basedOn w:val="857"/>
    <w:next w:val="857"/>
    <w:link w:val="969"/>
    <w:uiPriority w:val="99"/>
    <w:unhideWhenUsed/>
    <w:qFormat/>
    <w:rPr>
      <w:b/>
      <w:bCs/>
    </w:rPr>
  </w:style>
  <w:style w:type="paragraph" w:styleId="894">
    <w:name w:val="Body Text First Indent"/>
    <w:basedOn w:val="859"/>
    <w:link w:val="1154"/>
    <w:uiPriority w:val="0"/>
    <w:qFormat/>
    <w:pPr>
      <w:ind w:firstLine="420"/>
      <w:spacing w:after="120"/>
    </w:pPr>
    <w:rPr>
      <w:rFonts w:eastAsia="楷体_GB2312"/>
      <w:sz w:val="26"/>
      <w:szCs w:val="20"/>
    </w:rPr>
  </w:style>
  <w:style w:type="paragraph" w:styleId="895">
    <w:name w:val="Body Text First Indent 2"/>
    <w:basedOn w:val="860"/>
    <w:link w:val="1233"/>
    <w:uiPriority w:val="99"/>
    <w:semiHidden/>
    <w:unhideWhenUsed/>
    <w:qFormat/>
    <w:pPr>
      <w:ind w:firstLine="420"/>
    </w:pPr>
  </w:style>
  <w:style w:type="table" w:styleId="896">
    <w:name w:val="Table Grid"/>
    <w:basedOn w:val="8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7">
    <w:name w:val="Table Elegant"/>
    <w:basedOn w:val="84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8">
    <w:name w:val="Strong"/>
    <w:uiPriority w:val="0"/>
    <w:qFormat/>
    <w:rPr>
      <w:rFonts w:ascii="Tahoma" w:hAnsi="Tahoma" w:eastAsia="宋体"/>
      <w:b/>
      <w:bCs/>
      <w:sz w:val="24"/>
      <w:lang w:val="en-US" w:eastAsia="zh-CN" w:bidi="ar-SA"/>
    </w:rPr>
  </w:style>
  <w:style w:type="character" w:styleId="899">
    <w:name w:val="endnote reference"/>
    <w:basedOn w:val="848"/>
    <w:uiPriority w:val="99"/>
    <w:semiHidden/>
    <w:unhideWhenUsed/>
    <w:qFormat/>
    <w:rPr>
      <w:vertAlign w:val="superscript"/>
    </w:rPr>
  </w:style>
  <w:style w:type="character" w:styleId="900">
    <w:name w:val="page number"/>
    <w:basedOn w:val="848"/>
    <w:uiPriority w:val="0"/>
    <w:unhideWhenUsed/>
    <w:qFormat/>
  </w:style>
  <w:style w:type="character" w:styleId="901">
    <w:name w:val="FollowedHyperlink"/>
    <w:uiPriority w:val="99"/>
    <w:unhideWhenUsed/>
    <w:qFormat/>
    <w:rPr>
      <w:color w:val="800080"/>
      <w:u w:val="single"/>
    </w:rPr>
  </w:style>
  <w:style w:type="character" w:styleId="902">
    <w:name w:val="Emphasis"/>
    <w:uiPriority w:val="20"/>
    <w:qFormat/>
    <w:rPr>
      <w:i/>
    </w:rPr>
  </w:style>
  <w:style w:type="character" w:styleId="903">
    <w:name w:val="Hyperlink"/>
    <w:uiPriority w:val="99"/>
    <w:unhideWhenUsed/>
    <w:qFormat/>
    <w:rPr>
      <w:color w:val="0000ff"/>
      <w:u w:val="single"/>
    </w:rPr>
  </w:style>
  <w:style w:type="character" w:styleId="904">
    <w:name w:val="annotation reference"/>
    <w:uiPriority w:val="0"/>
    <w:unhideWhenUsed/>
    <w:qFormat/>
    <w:rPr>
      <w:sz w:val="21"/>
      <w:szCs w:val="21"/>
    </w:rPr>
  </w:style>
  <w:style w:type="character" w:styleId="905">
    <w:name w:val="footnote reference"/>
    <w:uiPriority w:val="99"/>
    <w:qFormat/>
    <w:rPr>
      <w:vertAlign w:val="superscript"/>
    </w:rPr>
  </w:style>
  <w:style w:type="paragraph" w:styleId="906" w:customStyle="1">
    <w:name w:val="正文文本缩进11"/>
    <w:next w:val="838"/>
    <w:uiPriority w:val="0"/>
    <w:qFormat/>
    <w:pPr>
      <w:ind w:firstLine="420"/>
      <w:jc w:val="both"/>
      <w:spacing w:line="360" w:lineRule="exact"/>
      <w:widowControl w:val="off"/>
    </w:pPr>
    <w:rPr>
      <w:rFonts w:ascii="宋体" w:hAnsi="宋体" w:eastAsia="宋体" w:cs="Times New Roman"/>
      <w:sz w:val="24"/>
      <w:szCs w:val="21"/>
      <w:lang w:val="en-US" w:eastAsia="zh-CN" w:bidi="ar-SA"/>
    </w:rPr>
  </w:style>
  <w:style w:type="paragraph" w:styleId="907" w:customStyle="1">
    <w:name w:val="_Style 3"/>
    <w:basedOn w:val="838"/>
    <w:uiPriority w:val="99"/>
    <w:qFormat/>
    <w:rPr>
      <w:szCs w:val="21"/>
    </w:rPr>
  </w:style>
  <w:style w:type="character" w:styleId="908" w:customStyle="1">
    <w:name w:val="Heading 1 Char"/>
    <w:basedOn w:val="848"/>
    <w:uiPriority w:val="9"/>
    <w:qFormat/>
    <w:rPr>
      <w:rFonts w:ascii="Arial" w:hAnsi="Arial" w:eastAsia="Arial" w:cs="Arial"/>
      <w:sz w:val="40"/>
      <w:szCs w:val="40"/>
    </w:rPr>
  </w:style>
  <w:style w:type="character" w:styleId="909" w:customStyle="1">
    <w:name w:val="Heading 2 Char"/>
    <w:basedOn w:val="848"/>
    <w:uiPriority w:val="9"/>
    <w:qFormat/>
    <w:rPr>
      <w:rFonts w:ascii="Arial" w:hAnsi="Arial" w:eastAsia="Arial" w:cs="Arial"/>
      <w:sz w:val="34"/>
    </w:rPr>
  </w:style>
  <w:style w:type="character" w:styleId="910" w:customStyle="1">
    <w:name w:val="Heading 3 Char"/>
    <w:basedOn w:val="848"/>
    <w:uiPriority w:val="9"/>
    <w:qFormat/>
    <w:rPr>
      <w:rFonts w:ascii="Arial" w:hAnsi="Arial" w:eastAsia="Arial" w:cs="Arial"/>
      <w:sz w:val="30"/>
      <w:szCs w:val="30"/>
    </w:rPr>
  </w:style>
  <w:style w:type="character" w:styleId="911" w:customStyle="1">
    <w:name w:val="Heading 4 Char"/>
    <w:basedOn w:val="848"/>
    <w:uiPriority w:val="9"/>
    <w:qFormat/>
    <w:rPr>
      <w:rFonts w:ascii="Arial" w:hAnsi="Arial" w:eastAsia="Arial" w:cs="Arial"/>
      <w:b/>
      <w:bCs/>
      <w:sz w:val="26"/>
      <w:szCs w:val="26"/>
    </w:rPr>
  </w:style>
  <w:style w:type="character" w:styleId="912" w:customStyle="1">
    <w:name w:val="Heading 5 Char"/>
    <w:basedOn w:val="848"/>
    <w:uiPriority w:val="9"/>
    <w:qFormat/>
    <w:rPr>
      <w:rFonts w:ascii="Arial" w:hAnsi="Arial" w:eastAsia="Arial" w:cs="Arial"/>
      <w:b/>
      <w:bCs/>
      <w:sz w:val="24"/>
      <w:szCs w:val="24"/>
    </w:rPr>
  </w:style>
  <w:style w:type="character" w:styleId="913" w:customStyle="1">
    <w:name w:val="Heading 6 Char"/>
    <w:basedOn w:val="848"/>
    <w:uiPriority w:val="9"/>
    <w:qFormat/>
    <w:rPr>
      <w:rFonts w:ascii="Arial" w:hAnsi="Arial" w:eastAsia="Arial" w:cs="Arial"/>
      <w:b/>
      <w:bCs/>
      <w:sz w:val="22"/>
      <w:szCs w:val="22"/>
    </w:rPr>
  </w:style>
  <w:style w:type="character" w:styleId="914" w:customStyle="1">
    <w:name w:val="Heading 7 Char"/>
    <w:basedOn w:val="848"/>
    <w:uiPriority w:val="9"/>
    <w:qFormat/>
    <w:rPr>
      <w:rFonts w:ascii="Arial" w:hAnsi="Arial" w:eastAsia="Arial" w:cs="Arial"/>
      <w:b/>
      <w:bCs/>
      <w:i/>
      <w:iCs/>
      <w:sz w:val="22"/>
      <w:szCs w:val="22"/>
    </w:rPr>
  </w:style>
  <w:style w:type="character" w:styleId="915" w:customStyle="1">
    <w:name w:val="Heading 8 Char"/>
    <w:basedOn w:val="848"/>
    <w:uiPriority w:val="9"/>
    <w:qFormat/>
    <w:rPr>
      <w:rFonts w:ascii="Arial" w:hAnsi="Arial" w:eastAsia="Arial" w:cs="Arial"/>
      <w:i/>
      <w:iCs/>
      <w:sz w:val="22"/>
      <w:szCs w:val="22"/>
    </w:rPr>
  </w:style>
  <w:style w:type="character" w:styleId="916" w:customStyle="1">
    <w:name w:val="Heading 9 Char"/>
    <w:basedOn w:val="848"/>
    <w:uiPriority w:val="9"/>
    <w:qFormat/>
    <w:rPr>
      <w:rFonts w:ascii="Arial" w:hAnsi="Arial" w:eastAsia="Arial" w:cs="Arial"/>
      <w:i/>
      <w:iCs/>
      <w:sz w:val="21"/>
      <w:szCs w:val="21"/>
    </w:rPr>
  </w:style>
  <w:style w:type="character" w:styleId="917" w:customStyle="1">
    <w:name w:val="Title Char"/>
    <w:basedOn w:val="848"/>
    <w:uiPriority w:val="10"/>
    <w:qFormat/>
    <w:rPr>
      <w:sz w:val="48"/>
      <w:szCs w:val="48"/>
    </w:rPr>
  </w:style>
  <w:style w:type="character" w:styleId="918" w:customStyle="1">
    <w:name w:val="Subtitle Char"/>
    <w:basedOn w:val="848"/>
    <w:uiPriority w:val="11"/>
    <w:qFormat/>
    <w:rPr>
      <w:sz w:val="24"/>
      <w:szCs w:val="24"/>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Header Char"/>
    <w:basedOn w:val="848"/>
    <w:uiPriority w:val="99"/>
    <w:qFormat/>
  </w:style>
  <w:style w:type="character" w:styleId="922" w:customStyle="1">
    <w:name w:val="Caption Char"/>
    <w:uiPriority w:val="99"/>
    <w:qFormat/>
  </w:style>
  <w:style w:type="table" w:styleId="923" w:customStyle="1">
    <w:name w:val="无格式表格 11"/>
    <w:basedOn w:val="84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无格式表格 21"/>
    <w:basedOn w:val="84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无格式表格 31"/>
    <w:basedOn w:val="84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无格式表格 41"/>
    <w:basedOn w:val="84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无格式表格 51"/>
    <w:basedOn w:val="84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网格表 1 浅色1"/>
    <w:basedOn w:val="84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29" w:customStyle="1">
    <w:name w:val="网格表 21"/>
    <w:basedOn w:val="849"/>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30" w:customStyle="1">
    <w:name w:val="网格表 31"/>
    <w:basedOn w:val="849"/>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网格表 41"/>
    <w:basedOn w:val="84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32" w:customStyle="1">
    <w:name w:val="网格表 5 深色1"/>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33" w:customStyle="1">
    <w:name w:val="网格表 6 彩色1"/>
    <w:basedOn w:val="84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34" w:customStyle="1">
    <w:name w:val="网格表 7 彩色1"/>
    <w:basedOn w:val="849"/>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35" w:customStyle="1">
    <w:name w:val="清单表 1 浅色1"/>
    <w:basedOn w:val="849"/>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6" w:customStyle="1">
    <w:name w:val="清单表 21"/>
    <w:basedOn w:val="849"/>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37" w:customStyle="1">
    <w:name w:val="清单表 31"/>
    <w:basedOn w:val="849"/>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8" w:customStyle="1">
    <w:name w:val="清单表 41"/>
    <w:basedOn w:val="84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9" w:customStyle="1">
    <w:name w:val="清单表 5 深色1"/>
    <w:basedOn w:val="849"/>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40" w:customStyle="1">
    <w:name w:val="清单表 6 彩色1"/>
    <w:basedOn w:val="849"/>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41" w:customStyle="1">
    <w:name w:val="清单表 7 彩色1"/>
    <w:basedOn w:val="849"/>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942" w:customStyle="1">
    <w:name w:val="Footnote Text Char"/>
    <w:uiPriority w:val="99"/>
    <w:qFormat/>
    <w:rPr>
      <w:sz w:val="18"/>
    </w:rPr>
  </w:style>
  <w:style w:type="character" w:styleId="943" w:customStyle="1">
    <w:name w:val="Endnote Text Char"/>
    <w:uiPriority w:val="99"/>
    <w:qFormat/>
    <w:rPr>
      <w:sz w:val="20"/>
    </w:rPr>
  </w:style>
  <w:style w:type="paragraph" w:styleId="944" w:customStyle="1">
    <w:name w:val="TOC 标题1"/>
    <w:uiPriority w:val="39"/>
    <w:unhideWhenUsed/>
    <w:qFormat/>
    <w:rPr>
      <w:rFonts w:ascii="Times New Roman" w:hAnsi="Times New Roman" w:eastAsia="宋体" w:cs="Times New Roman"/>
      <w:lang w:val="en-US" w:eastAsia="zh-CN" w:bidi="ar-SA"/>
    </w:rPr>
  </w:style>
  <w:style w:type="character" w:styleId="945" w:customStyle="1">
    <w:name w:val="正文文本缩进 Char"/>
    <w:basedOn w:val="848"/>
    <w:link w:val="860"/>
    <w:uiPriority w:val="0"/>
    <w:qFormat/>
    <w:rPr>
      <w:sz w:val="21"/>
      <w:szCs w:val="22"/>
    </w:rPr>
  </w:style>
  <w:style w:type="character" w:styleId="946" w:customStyle="1">
    <w:name w:val="标题 1 Char"/>
    <w:link w:val="839"/>
    <w:uiPriority w:val="9"/>
    <w:qFormat/>
    <w:rPr>
      <w:rFonts w:ascii="宋体" w:hAnsi="宋体"/>
      <w:b/>
      <w:bCs/>
      <w:szCs w:val="21"/>
    </w:rPr>
  </w:style>
  <w:style w:type="character" w:styleId="947" w:customStyle="1">
    <w:name w:val="正文缩进 Char"/>
    <w:link w:val="850"/>
    <w:uiPriority w:val="0"/>
    <w:qFormat/>
    <w:rPr>
      <w:rFonts w:ascii="Times New Roman" w:hAnsi="Times New Roman" w:eastAsia="楷体_GB2312" w:cs="Times New Roman"/>
      <w:sz w:val="24"/>
      <w:szCs w:val="20"/>
    </w:rPr>
  </w:style>
  <w:style w:type="character" w:styleId="948" w:customStyle="1">
    <w:name w:val="标题 2 Char"/>
    <w:link w:val="840"/>
    <w:uiPriority w:val="9"/>
    <w:qFormat/>
    <w:rPr>
      <w:rFonts w:ascii="Cambria" w:hAnsi="Cambria" w:eastAsia="宋体" w:cs="Times New Roman"/>
      <w:b/>
      <w:bCs/>
      <w:sz w:val="32"/>
      <w:szCs w:val="32"/>
    </w:rPr>
  </w:style>
  <w:style w:type="character" w:styleId="949" w:customStyle="1">
    <w:name w:val="标题 3 Char"/>
    <w:link w:val="841"/>
    <w:uiPriority w:val="9"/>
    <w:qFormat/>
    <w:rPr>
      <w:rFonts w:ascii="Times New Roman" w:hAnsi="Times New Roman" w:eastAsia="宋体" w:cs="Times New Roman"/>
      <w:b/>
      <w:bCs/>
      <w:sz w:val="32"/>
      <w:szCs w:val="32"/>
    </w:rPr>
  </w:style>
  <w:style w:type="character" w:styleId="950" w:customStyle="1">
    <w:name w:val="标题 4 Char"/>
    <w:link w:val="842"/>
    <w:uiPriority w:val="9"/>
    <w:qFormat/>
    <w:rPr>
      <w:rFonts w:ascii="Cambria" w:hAnsi="Cambria" w:eastAsia="宋体" w:cs="Times New Roman"/>
      <w:b/>
      <w:bCs/>
      <w:sz w:val="28"/>
      <w:szCs w:val="28"/>
    </w:rPr>
  </w:style>
  <w:style w:type="character" w:styleId="951" w:customStyle="1">
    <w:name w:val="标题 5 Char"/>
    <w:link w:val="843"/>
    <w:uiPriority w:val="9"/>
    <w:qFormat/>
    <w:rPr>
      <w:rFonts w:ascii="Calibri" w:hAnsi="Calibri" w:eastAsia="宋体" w:cs="Times New Roman"/>
      <w:b/>
      <w:bCs/>
      <w:sz w:val="28"/>
      <w:szCs w:val="28"/>
    </w:rPr>
  </w:style>
  <w:style w:type="character" w:styleId="952" w:customStyle="1">
    <w:name w:val="标题 6 Char"/>
    <w:link w:val="844"/>
    <w:uiPriority w:val="9"/>
    <w:qFormat/>
    <w:rPr>
      <w:rFonts w:ascii="Cambria" w:hAnsi="Cambria" w:eastAsia="宋体" w:cs="Times New Roman"/>
      <w:b/>
      <w:bCs/>
      <w:sz w:val="24"/>
      <w:szCs w:val="24"/>
    </w:rPr>
  </w:style>
  <w:style w:type="character" w:styleId="953" w:customStyle="1">
    <w:name w:val="标题 7 Char"/>
    <w:link w:val="845"/>
    <w:uiPriority w:val="9"/>
    <w:qFormat/>
    <w:rPr>
      <w:rFonts w:ascii="Calibri" w:hAnsi="Calibri" w:eastAsia="宋体" w:cs="Times New Roman"/>
      <w:b/>
      <w:bCs/>
      <w:sz w:val="24"/>
      <w:szCs w:val="24"/>
    </w:rPr>
  </w:style>
  <w:style w:type="character" w:styleId="954" w:customStyle="1">
    <w:name w:val="标题 8 Char"/>
    <w:link w:val="846"/>
    <w:uiPriority w:val="9"/>
    <w:qFormat/>
    <w:rPr>
      <w:rFonts w:ascii="Cambria" w:hAnsi="Cambria" w:eastAsia="宋体" w:cs="Times New Roman"/>
      <w:sz w:val="24"/>
      <w:szCs w:val="24"/>
    </w:rPr>
  </w:style>
  <w:style w:type="character" w:styleId="955" w:customStyle="1">
    <w:name w:val="标题 9 Char"/>
    <w:link w:val="847"/>
    <w:uiPriority w:val="9"/>
    <w:qFormat/>
    <w:rPr>
      <w:rFonts w:ascii="Cambria" w:hAnsi="Cambria" w:eastAsia="宋体" w:cs="Times New Roman"/>
      <w:sz w:val="20"/>
      <w:szCs w:val="21"/>
    </w:rPr>
  </w:style>
  <w:style w:type="character" w:styleId="956" w:customStyle="1">
    <w:name w:val="题注 Char"/>
    <w:link w:val="854"/>
    <w:uiPriority w:val="0"/>
    <w:qFormat/>
  </w:style>
  <w:style w:type="character" w:styleId="957" w:customStyle="1">
    <w:name w:val="文档结构图 Char"/>
    <w:link w:val="856"/>
    <w:uiPriority w:val="0"/>
    <w:qFormat/>
    <w:rPr>
      <w:rFonts w:ascii="宋体" w:eastAsia="宋体"/>
      <w:sz w:val="18"/>
      <w:szCs w:val="18"/>
    </w:rPr>
  </w:style>
  <w:style w:type="character" w:styleId="958" w:customStyle="1">
    <w:name w:val="批注文字 Char"/>
    <w:link w:val="857"/>
    <w:uiPriority w:val="0"/>
    <w:qFormat/>
    <w:rPr>
      <w:rFonts w:ascii="Times New Roman" w:hAnsi="Times New Roman" w:eastAsia="宋体" w:cs="Times New Roman"/>
      <w:szCs w:val="24"/>
    </w:rPr>
  </w:style>
  <w:style w:type="character" w:styleId="959" w:customStyle="1">
    <w:name w:val="正文文本 Char"/>
    <w:link w:val="859"/>
    <w:uiPriority w:val="0"/>
    <w:qFormat/>
    <w:rPr>
      <w:rFonts w:ascii="Times New Roman" w:hAnsi="Times New Roman" w:eastAsia="宋体" w:cs="Times New Roman"/>
      <w:sz w:val="24"/>
      <w:szCs w:val="24"/>
    </w:rPr>
  </w:style>
  <w:style w:type="character" w:styleId="960" w:customStyle="1">
    <w:name w:val="纯文本 Char1"/>
    <w:basedOn w:val="848"/>
    <w:link w:val="866"/>
    <w:uiPriority w:val="0"/>
    <w:qFormat/>
    <w:rPr>
      <w:rFonts w:ascii="宋体" w:hAnsi="Courier New" w:eastAsia="楷体_GB2312"/>
      <w:sz w:val="28"/>
    </w:rPr>
  </w:style>
  <w:style w:type="character" w:styleId="961" w:customStyle="1">
    <w:name w:val="日期 Char"/>
    <w:link w:val="869"/>
    <w:uiPriority w:val="0"/>
    <w:qFormat/>
    <w:rPr>
      <w:rFonts w:ascii="宋体" w:hAnsi="宋体" w:eastAsia="楷体_GB2312" w:cs="Times New Roman"/>
      <w:sz w:val="24"/>
      <w:szCs w:val="20"/>
    </w:rPr>
  </w:style>
  <w:style w:type="character" w:styleId="962" w:customStyle="1">
    <w:name w:val="正文文本缩进 2 Char"/>
    <w:link w:val="870"/>
    <w:uiPriority w:val="0"/>
    <w:qFormat/>
    <w:rPr>
      <w:rFonts w:ascii="Times New Roman" w:hAnsi="Times New Roman" w:eastAsia="宋体" w:cs="Times New Roman"/>
      <w:sz w:val="24"/>
      <w:szCs w:val="24"/>
    </w:rPr>
  </w:style>
  <w:style w:type="character" w:styleId="963" w:customStyle="1">
    <w:name w:val="批注框文本 Char"/>
    <w:link w:val="872"/>
    <w:uiPriority w:val="0"/>
    <w:qFormat/>
    <w:rPr>
      <w:rFonts w:ascii="Times New Roman" w:hAnsi="Times New Roman" w:eastAsia="宋体" w:cs="Times New Roman"/>
      <w:sz w:val="18"/>
      <w:szCs w:val="18"/>
    </w:rPr>
  </w:style>
  <w:style w:type="character" w:styleId="964" w:customStyle="1">
    <w:name w:val="页脚 Char"/>
    <w:link w:val="873"/>
    <w:uiPriority w:val="99"/>
    <w:qFormat/>
    <w:rPr>
      <w:sz w:val="18"/>
      <w:szCs w:val="18"/>
    </w:rPr>
  </w:style>
  <w:style w:type="character" w:styleId="965" w:customStyle="1">
    <w:name w:val="页眉 Char"/>
    <w:link w:val="874"/>
    <w:uiPriority w:val="99"/>
    <w:qFormat/>
    <w:rPr>
      <w:sz w:val="18"/>
      <w:szCs w:val="18"/>
    </w:rPr>
  </w:style>
  <w:style w:type="character" w:styleId="966" w:customStyle="1">
    <w:name w:val="脚注文本 Char"/>
    <w:basedOn w:val="848"/>
    <w:link w:val="880"/>
    <w:uiPriority w:val="99"/>
    <w:qFormat/>
    <w:rPr>
      <w:rFonts w:eastAsia="楷体_GB2312"/>
      <w:sz w:val="18"/>
    </w:rPr>
  </w:style>
  <w:style w:type="character" w:styleId="967" w:customStyle="1">
    <w:name w:val="正文文本缩进 3 Char"/>
    <w:link w:val="882"/>
    <w:uiPriority w:val="99"/>
    <w:qFormat/>
    <w:rPr>
      <w:rFonts w:ascii="Times New Roman" w:hAnsi="Times New Roman" w:eastAsia="宋体" w:cs="Times New Roman"/>
      <w:sz w:val="24"/>
      <w:szCs w:val="24"/>
    </w:rPr>
  </w:style>
  <w:style w:type="character" w:styleId="968" w:customStyle="1">
    <w:name w:val="正文文本 2 Char"/>
    <w:basedOn w:val="848"/>
    <w:link w:val="888"/>
    <w:uiPriority w:val="0"/>
    <w:qFormat/>
    <w:rPr>
      <w:rFonts w:eastAsia="楷体_GB2312"/>
      <w:sz w:val="28"/>
    </w:rPr>
  </w:style>
  <w:style w:type="character" w:styleId="969" w:customStyle="1">
    <w:name w:val="批注主题 Char"/>
    <w:link w:val="893"/>
    <w:uiPriority w:val="99"/>
    <w:qFormat/>
    <w:rPr>
      <w:rFonts w:ascii="Times New Roman" w:hAnsi="Times New Roman" w:eastAsia="宋体" w:cs="Times New Roman"/>
      <w:b/>
      <w:bCs/>
      <w:szCs w:val="24"/>
    </w:rPr>
  </w:style>
  <w:style w:type="character" w:styleId="970" w:customStyle="1">
    <w:name w:val="批注文字 字符"/>
    <w:uiPriority w:val="0"/>
    <w:qFormat/>
    <w:rPr>
      <w:sz w:val="21"/>
      <w:szCs w:val="24"/>
    </w:rPr>
  </w:style>
  <w:style w:type="character" w:styleId="971" w:customStyle="1">
    <w:name w:val="List Paragraph Char"/>
    <w:link w:val="972"/>
    <w:uiPriority w:val="34"/>
    <w:qFormat/>
    <w:rPr>
      <w:rFonts w:ascii="Calibri" w:hAnsi="Calibri" w:eastAsia="宋体" w:cs="宋体"/>
    </w:rPr>
  </w:style>
  <w:style w:type="paragraph" w:styleId="972" w:customStyle="1">
    <w:name w:val="列出段落1"/>
    <w:basedOn w:val="838"/>
    <w:link w:val="971"/>
    <w:uiPriority w:val="0"/>
    <w:qFormat/>
    <w:pPr>
      <w:ind w:firstLine="200"/>
    </w:pPr>
    <w:rPr>
      <w:rFonts w:ascii="Calibri" w:hAnsi="Calibri"/>
      <w:sz w:val="20"/>
      <w:szCs w:val="20"/>
    </w:rPr>
  </w:style>
  <w:style w:type="character" w:styleId="973" w:customStyle="1">
    <w:name w:val="正文文本缩进 3 Char1"/>
    <w:uiPriority w:val="0"/>
    <w:qFormat/>
    <w:rPr>
      <w:sz w:val="16"/>
      <w:szCs w:val="16"/>
    </w:rPr>
  </w:style>
  <w:style w:type="character" w:styleId="974" w:customStyle="1">
    <w:name w:val="日期 Char1"/>
    <w:uiPriority w:val="99"/>
    <w:qFormat/>
    <w:rPr>
      <w:sz w:val="21"/>
      <w:szCs w:val="22"/>
    </w:rPr>
  </w:style>
  <w:style w:type="character" w:styleId="975" w:customStyle="1">
    <w:name w:val="正文文本缩进 2 Char1"/>
    <w:uiPriority w:val="99"/>
    <w:qFormat/>
    <w:rPr>
      <w:sz w:val="21"/>
      <w:szCs w:val="22"/>
    </w:rPr>
  </w:style>
  <w:style w:type="character" w:styleId="976" w:customStyle="1">
    <w:name w:val="param-name"/>
    <w:basedOn w:val="848"/>
    <w:uiPriority w:val="0"/>
    <w:qFormat/>
  </w:style>
  <w:style w:type="character" w:styleId="977" w:customStyle="1">
    <w:name w:val="正文文本 Char1"/>
    <w:uiPriority w:val="99"/>
    <w:semiHidden/>
    <w:qFormat/>
    <w:rPr>
      <w:sz w:val="21"/>
      <w:szCs w:val="22"/>
    </w:rPr>
  </w:style>
  <w:style w:type="character" w:styleId="978" w:customStyle="1">
    <w:name w:val="页脚 Char1"/>
    <w:uiPriority w:val="99"/>
    <w:semiHidden/>
    <w:qFormat/>
    <w:rPr>
      <w:sz w:val="18"/>
      <w:szCs w:val="18"/>
    </w:rPr>
  </w:style>
  <w:style w:type="character" w:styleId="979" w:customStyle="1">
    <w:name w:val="方案 Char"/>
    <w:link w:val="980"/>
    <w:uiPriority w:val="0"/>
    <w:qFormat/>
    <w:rPr>
      <w:rFonts w:ascii="宋体" w:hAnsi="宋体" w:eastAsia="宋体"/>
      <w:sz w:val="24"/>
      <w:szCs w:val="24"/>
    </w:rPr>
  </w:style>
  <w:style w:type="paragraph" w:styleId="980" w:customStyle="1">
    <w:name w:val="方案"/>
    <w:basedOn w:val="838"/>
    <w:link w:val="979"/>
    <w:uiPriority w:val="0"/>
    <w:qFormat/>
    <w:pPr>
      <w:ind w:firstLine="200"/>
      <w:spacing w:line="360" w:lineRule="auto"/>
    </w:pPr>
    <w:rPr>
      <w:rFonts w:ascii="宋体" w:hAnsi="宋体"/>
      <w:sz w:val="24"/>
      <w:szCs w:val="24"/>
    </w:rPr>
  </w:style>
  <w:style w:type="character" w:styleId="981" w:customStyle="1">
    <w:name w:val="批注主题 Char1"/>
    <w:uiPriority w:val="99"/>
    <w:qFormat/>
    <w:rPr>
      <w:b/>
      <w:bCs/>
      <w:sz w:val="21"/>
      <w:szCs w:val="22"/>
    </w:rPr>
  </w:style>
  <w:style w:type="character" w:styleId="982" w:customStyle="1">
    <w:name w:val="Char Char2"/>
    <w:uiPriority w:val="0"/>
    <w:qFormat/>
    <w:rPr>
      <w:rFonts w:ascii="宋体" w:hAnsi="宋体" w:cs="宋体"/>
      <w:sz w:val="24"/>
      <w:szCs w:val="24"/>
    </w:rPr>
  </w:style>
  <w:style w:type="character" w:styleId="983" w:customStyle="1">
    <w:name w:val="方案正文 Char"/>
    <w:link w:val="984"/>
    <w:uiPriority w:val="0"/>
    <w:qFormat/>
    <w:rPr>
      <w:rFonts w:ascii="宋体" w:hAnsi="宋体" w:eastAsia="宋体" w:cs="Times New Roman"/>
      <w:spacing w:val="2"/>
      <w:szCs w:val="21"/>
    </w:rPr>
  </w:style>
  <w:style w:type="paragraph" w:styleId="984" w:customStyle="1">
    <w:name w:val="方案正文"/>
    <w:basedOn w:val="838"/>
    <w:link w:val="983"/>
    <w:uiPriority w:val="0"/>
    <w:qFormat/>
    <w:pPr>
      <w:ind w:firstLine="428"/>
      <w:spacing w:line="360" w:lineRule="auto"/>
      <w:tabs>
        <w:tab w:val="left" w:pos="540" w:leader="none"/>
      </w:tabs>
    </w:pPr>
    <w:rPr>
      <w:rFonts w:ascii="宋体" w:hAnsi="宋体"/>
      <w:spacing w:val="2"/>
      <w:sz w:val="20"/>
      <w:szCs w:val="21"/>
    </w:rPr>
  </w:style>
  <w:style w:type="character" w:styleId="985" w:customStyle="1">
    <w:name w:val="批注文字 Char1"/>
    <w:uiPriority w:val="99"/>
    <w:qFormat/>
    <w:rPr>
      <w:sz w:val="21"/>
      <w:szCs w:val="22"/>
    </w:rPr>
  </w:style>
  <w:style w:type="character" w:styleId="986" w:customStyle="1">
    <w:name w:val="批注框文本 Char1"/>
    <w:uiPriority w:val="99"/>
    <w:qFormat/>
    <w:rPr>
      <w:sz w:val="18"/>
      <w:szCs w:val="18"/>
    </w:rPr>
  </w:style>
  <w:style w:type="character" w:styleId="987" w:customStyle="1">
    <w:name w:val="Plain Text Char Char"/>
    <w:link w:val="988"/>
    <w:uiPriority w:val="0"/>
    <w:qFormat/>
    <w:rPr>
      <w:rFonts w:ascii="宋体" w:hAnsi="Courier New" w:eastAsia="楷体_GB2312" w:cs="Times New Roman"/>
      <w:sz w:val="28"/>
      <w:szCs w:val="20"/>
    </w:rPr>
  </w:style>
  <w:style w:type="paragraph" w:styleId="988" w:customStyle="1">
    <w:name w:val="纯文本1"/>
    <w:basedOn w:val="838"/>
    <w:link w:val="987"/>
    <w:uiPriority w:val="0"/>
    <w:qFormat/>
    <w:rPr>
      <w:rFonts w:ascii="宋体" w:hAnsi="Courier New" w:eastAsia="楷体_GB2312"/>
      <w:sz w:val="28"/>
      <w:szCs w:val="20"/>
    </w:rPr>
  </w:style>
  <w:style w:type="character" w:styleId="989" w:customStyle="1">
    <w:name w:val="No Spacing Char"/>
    <w:link w:val="990"/>
    <w:uiPriority w:val="0"/>
    <w:qFormat/>
    <w:rPr>
      <w:rFonts w:ascii="Cambria" w:hAnsi="Cambria"/>
    </w:rPr>
  </w:style>
  <w:style w:type="paragraph" w:styleId="990" w:customStyle="1">
    <w:name w:val="无间隔1"/>
    <w:basedOn w:val="838"/>
    <w:link w:val="989"/>
    <w:uiPriority w:val="0"/>
    <w:qFormat/>
    <w:pPr>
      <w:jc w:val="left"/>
      <w:widowControl/>
    </w:pPr>
    <w:rPr>
      <w:rFonts w:ascii="Cambria" w:hAnsi="Cambria"/>
      <w:sz w:val="20"/>
      <w:szCs w:val="20"/>
    </w:rPr>
  </w:style>
  <w:style w:type="character" w:styleId="991" w:customStyle="1">
    <w:name w:val="页眉 Char1"/>
    <w:uiPriority w:val="99"/>
    <w:semiHidden/>
    <w:qFormat/>
    <w:rPr>
      <w:sz w:val="18"/>
      <w:szCs w:val="18"/>
    </w:rPr>
  </w:style>
  <w:style w:type="character" w:styleId="992" w:customStyle="1">
    <w:name w:val="文档结构图 Char1"/>
    <w:uiPriority w:val="99"/>
    <w:qFormat/>
    <w:rPr>
      <w:rFonts w:ascii="宋体"/>
      <w:sz w:val="18"/>
      <w:szCs w:val="18"/>
    </w:rPr>
  </w:style>
  <w:style w:type="paragraph" w:styleId="993"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94" w:customStyle="1">
    <w:name w:val="xl104"/>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95" w:customStyle="1">
    <w:name w:val="xl84"/>
    <w:basedOn w:val="838"/>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6" w:customStyle="1">
    <w:name w:val="xl65"/>
    <w:basedOn w:val="838"/>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97" w:customStyle="1">
    <w:name w:val="xl74"/>
    <w:basedOn w:val="838"/>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98" w:customStyle="1">
    <w:name w:val="xl112"/>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99" w:customStyle="1">
    <w:name w:val="font12"/>
    <w:basedOn w:val="838"/>
    <w:uiPriority w:val="0"/>
    <w:qFormat/>
    <w:pPr>
      <w:jc w:val="left"/>
      <w:spacing w:before="100" w:beforeAutospacing="1" w:after="100" w:afterAutospacing="1"/>
      <w:widowControl/>
    </w:pPr>
    <w:rPr>
      <w:rFonts w:ascii="宋体" w:hAnsi="宋体" w:cs="宋体"/>
      <w:sz w:val="24"/>
      <w:szCs w:val="24"/>
    </w:rPr>
  </w:style>
  <w:style w:type="paragraph" w:styleId="1000" w:customStyle="1">
    <w:name w:val="xl106"/>
    <w:basedOn w:val="8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01" w:customStyle="1">
    <w:name w:val="font0"/>
    <w:basedOn w:val="838"/>
    <w:uiPriority w:val="0"/>
    <w:qFormat/>
    <w:pPr>
      <w:jc w:val="left"/>
      <w:spacing w:before="100" w:beforeAutospacing="1" w:after="100" w:afterAutospacing="1"/>
      <w:widowControl/>
    </w:pPr>
    <w:rPr>
      <w:rFonts w:ascii="宋体" w:hAnsi="宋体" w:cs="宋体"/>
      <w:sz w:val="24"/>
      <w:szCs w:val="24"/>
    </w:rPr>
  </w:style>
  <w:style w:type="paragraph" w:styleId="1002" w:customStyle="1">
    <w:name w:val="font5"/>
    <w:basedOn w:val="838"/>
    <w:uiPriority w:val="0"/>
    <w:qFormat/>
    <w:pPr>
      <w:jc w:val="left"/>
      <w:spacing w:before="100" w:beforeAutospacing="1" w:after="100" w:afterAutospacing="1"/>
      <w:widowControl/>
    </w:pPr>
    <w:rPr>
      <w:rFonts w:ascii="宋体" w:hAnsi="宋体" w:cs="宋体"/>
      <w:color w:val="000000"/>
      <w:szCs w:val="21"/>
    </w:rPr>
  </w:style>
  <w:style w:type="paragraph" w:styleId="1003" w:customStyle="1">
    <w:name w:val="xl118"/>
    <w:basedOn w:val="83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04" w:customStyle="1">
    <w:name w:val="纯文本11"/>
    <w:basedOn w:val="838"/>
    <w:link w:val="1005"/>
    <w:uiPriority w:val="0"/>
    <w:qFormat/>
    <w:pPr>
      <w:jc w:val="left"/>
      <w:widowControl/>
    </w:pPr>
    <w:rPr>
      <w:rFonts w:ascii="宋体" w:hAnsi="Courier New" w:eastAsia="楷体_GB2312"/>
      <w:sz w:val="26"/>
      <w:szCs w:val="20"/>
    </w:rPr>
  </w:style>
  <w:style w:type="character" w:styleId="1005" w:customStyle="1">
    <w:name w:val="纯文本 Char Char"/>
    <w:link w:val="1004"/>
    <w:uiPriority w:val="0"/>
    <w:qFormat/>
    <w:rPr>
      <w:rFonts w:ascii="宋体" w:hAnsi="Courier New" w:eastAsia="楷体_GB2312"/>
      <w:sz w:val="26"/>
    </w:rPr>
  </w:style>
  <w:style w:type="paragraph" w:styleId="1006" w:customStyle="1">
    <w:name w:val="xl96"/>
    <w:basedOn w:val="838"/>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7" w:customStyle="1">
    <w:name w:val="xl121"/>
    <w:basedOn w:val="838"/>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08" w:customStyle="1">
    <w:name w:val="xl89"/>
    <w:basedOn w:val="838"/>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9" w:customStyle="1">
    <w:name w:val="xl92"/>
    <w:basedOn w:val="838"/>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10" w:customStyle="1">
    <w:name w:val="_Style 125"/>
    <w:next w:val="838"/>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11" w:customStyle="1">
    <w:name w:val="xl81"/>
    <w:basedOn w:val="838"/>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2" w:customStyle="1">
    <w:name w:val="xl76"/>
    <w:basedOn w:val="838"/>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13" w:customStyle="1">
    <w:name w:val="xl109"/>
    <w:basedOn w:val="83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14" w:customStyle="1">
    <w:name w:val="xl80"/>
    <w:basedOn w:val="838"/>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15" w:customStyle="1">
    <w:name w:val="xl100"/>
    <w:basedOn w:val="838"/>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6" w:customStyle="1">
    <w:name w:val="纯文本3"/>
    <w:basedOn w:val="838"/>
    <w:uiPriority w:val="0"/>
    <w:qFormat/>
    <w:pPr>
      <w:jc w:val="left"/>
      <w:widowControl/>
    </w:pPr>
    <w:rPr>
      <w:rFonts w:ascii="宋体" w:hAnsi="Courier New" w:eastAsia="楷体_GB2312"/>
      <w:sz w:val="26"/>
      <w:szCs w:val="20"/>
    </w:rPr>
  </w:style>
  <w:style w:type="paragraph" w:styleId="1017" w:customStyle="1">
    <w:name w:val="font7"/>
    <w:basedOn w:val="838"/>
    <w:uiPriority w:val="0"/>
    <w:qFormat/>
    <w:pPr>
      <w:jc w:val="left"/>
      <w:spacing w:before="100" w:beforeAutospacing="1" w:after="100" w:afterAutospacing="1"/>
      <w:widowControl/>
    </w:pPr>
    <w:rPr>
      <w:rFonts w:ascii="宋体" w:hAnsi="宋体" w:cs="宋体"/>
      <w:sz w:val="24"/>
      <w:szCs w:val="24"/>
    </w:rPr>
  </w:style>
  <w:style w:type="paragraph" w:styleId="1018" w:customStyle="1">
    <w:name w:val="xl94"/>
    <w:basedOn w:val="838"/>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19" w:customStyle="1">
    <w:name w:val="xl78"/>
    <w:basedOn w:val="838"/>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20" w:customStyle="1">
    <w:name w:val="xl101"/>
    <w:basedOn w:val="838"/>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1" w:customStyle="1">
    <w:name w:val="xl124"/>
    <w:basedOn w:val="8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22" w:customStyle="1">
    <w:name w:val="font18"/>
    <w:basedOn w:val="838"/>
    <w:uiPriority w:val="0"/>
    <w:qFormat/>
    <w:pPr>
      <w:jc w:val="left"/>
      <w:spacing w:before="100" w:beforeAutospacing="1" w:after="100" w:afterAutospacing="1"/>
      <w:widowControl/>
    </w:pPr>
    <w:rPr>
      <w:rFonts w:ascii="宋体" w:hAnsi="宋体" w:cs="宋体"/>
      <w:color w:val="000000"/>
      <w:sz w:val="24"/>
      <w:szCs w:val="24"/>
    </w:rPr>
  </w:style>
  <w:style w:type="paragraph" w:styleId="1023" w:customStyle="1">
    <w:name w:val="xl75"/>
    <w:basedOn w:val="838"/>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24" w:customStyle="1">
    <w:name w:val="修订1"/>
    <w:uiPriority w:val="99"/>
    <w:unhideWhenUsed/>
    <w:qFormat/>
    <w:rPr>
      <w:rFonts w:ascii="Times New Roman" w:hAnsi="Times New Roman" w:eastAsia="宋体" w:cs="Times New Roman"/>
      <w:sz w:val="21"/>
      <w:szCs w:val="22"/>
      <w:lang w:val="en-US" w:eastAsia="zh-CN" w:bidi="ar-SA"/>
    </w:rPr>
  </w:style>
  <w:style w:type="paragraph" w:styleId="1025" w:customStyle="1">
    <w:name w:val="财政-标题四"/>
    <w:basedOn w:val="1026"/>
    <w:uiPriority w:val="0"/>
    <w:qFormat/>
    <w:pPr>
      <w:outlineLvl w:val="3"/>
    </w:pPr>
    <w:rPr>
      <w:sz w:val="30"/>
    </w:rPr>
  </w:style>
  <w:style w:type="paragraph" w:styleId="1026" w:customStyle="1">
    <w:name w:val="财政-标题三"/>
    <w:basedOn w:val="1027"/>
    <w:uiPriority w:val="0"/>
    <w:qFormat/>
    <w:pPr>
      <w:outlineLvl w:val="2"/>
    </w:pPr>
    <w:rPr>
      <w:sz w:val="32"/>
    </w:rPr>
  </w:style>
  <w:style w:type="paragraph" w:styleId="1027" w:customStyle="1">
    <w:name w:val="财政-标题二"/>
    <w:basedOn w:val="1028"/>
    <w:uiPriority w:val="0"/>
    <w:qFormat/>
    <w:pPr>
      <w:outlineLvl w:val="1"/>
    </w:pPr>
    <w:rPr>
      <w:sz w:val="36"/>
    </w:rPr>
  </w:style>
  <w:style w:type="paragraph" w:styleId="1028" w:customStyle="1">
    <w:name w:val="财政-标题一"/>
    <w:basedOn w:val="838"/>
    <w:uiPriority w:val="0"/>
    <w:qFormat/>
    <w:pPr>
      <w:outlineLvl w:val="0"/>
    </w:pPr>
    <w:rPr>
      <w:rFonts w:ascii="Calibri" w:hAnsi="Calibri" w:eastAsia="华文中宋"/>
      <w:b/>
      <w:sz w:val="44"/>
      <w:szCs w:val="21"/>
    </w:rPr>
  </w:style>
  <w:style w:type="paragraph" w:styleId="1029" w:customStyle="1">
    <w:name w:val="font23"/>
    <w:basedOn w:val="838"/>
    <w:uiPriority w:val="0"/>
    <w:qFormat/>
    <w:pPr>
      <w:jc w:val="left"/>
      <w:spacing w:before="100" w:beforeAutospacing="1" w:after="100" w:afterAutospacing="1"/>
      <w:widowControl/>
    </w:pPr>
    <w:rPr>
      <w:rFonts w:ascii="宋体" w:hAnsi="宋体" w:cs="宋体"/>
      <w:color w:val="ff0000"/>
      <w:sz w:val="20"/>
      <w:szCs w:val="20"/>
    </w:rPr>
  </w:style>
  <w:style w:type="paragraph" w:styleId="1030" w:customStyle="1">
    <w:name w:val="font11"/>
    <w:basedOn w:val="838"/>
    <w:uiPriority w:val="0"/>
    <w:qFormat/>
    <w:pPr>
      <w:jc w:val="left"/>
      <w:spacing w:before="100" w:beforeAutospacing="1" w:after="100" w:afterAutospacing="1"/>
      <w:widowControl/>
    </w:pPr>
    <w:rPr>
      <w:rFonts w:ascii="宋体" w:hAnsi="宋体" w:cs="宋体"/>
      <w:sz w:val="24"/>
      <w:szCs w:val="24"/>
    </w:rPr>
  </w:style>
  <w:style w:type="paragraph" w:styleId="1031" w:customStyle="1">
    <w:name w:val="font13"/>
    <w:basedOn w:val="838"/>
    <w:uiPriority w:val="0"/>
    <w:qFormat/>
    <w:pPr>
      <w:jc w:val="left"/>
      <w:spacing w:before="100" w:beforeAutospacing="1" w:after="100" w:afterAutospacing="1"/>
      <w:widowControl/>
    </w:pPr>
    <w:rPr>
      <w:rFonts w:ascii="宋体" w:hAnsi="宋体" w:cs="宋体"/>
      <w:color w:val="000000"/>
      <w:sz w:val="20"/>
      <w:szCs w:val="20"/>
    </w:rPr>
  </w:style>
  <w:style w:type="paragraph" w:styleId="1032" w:customStyle="1">
    <w:name w:val="font6"/>
    <w:basedOn w:val="838"/>
    <w:uiPriority w:val="0"/>
    <w:qFormat/>
    <w:pPr>
      <w:jc w:val="left"/>
      <w:spacing w:before="100" w:beforeAutospacing="1" w:after="100" w:afterAutospacing="1"/>
      <w:widowControl/>
    </w:pPr>
    <w:rPr>
      <w:rFonts w:ascii="宋体" w:hAnsi="宋体" w:cs="宋体"/>
      <w:sz w:val="20"/>
      <w:szCs w:val="20"/>
    </w:rPr>
  </w:style>
  <w:style w:type="paragraph" w:styleId="1033" w:customStyle="1">
    <w:name w:val="font9"/>
    <w:basedOn w:val="838"/>
    <w:uiPriority w:val="0"/>
    <w:qFormat/>
    <w:pPr>
      <w:jc w:val="left"/>
      <w:spacing w:before="100" w:beforeAutospacing="1" w:after="100" w:afterAutospacing="1"/>
      <w:widowControl/>
    </w:pPr>
    <w:rPr>
      <w:rFonts w:ascii="宋体" w:hAnsi="宋体" w:cs="宋体"/>
      <w:sz w:val="18"/>
      <w:szCs w:val="18"/>
    </w:rPr>
  </w:style>
  <w:style w:type="paragraph" w:styleId="1034" w:customStyle="1">
    <w:name w:val="xl97"/>
    <w:basedOn w:val="838"/>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5" w:customStyle="1">
    <w:name w:val="p0"/>
    <w:basedOn w:val="838"/>
    <w:uiPriority w:val="0"/>
    <w:qFormat/>
    <w:pPr>
      <w:widowControl/>
    </w:pPr>
    <w:rPr>
      <w:szCs w:val="21"/>
    </w:rPr>
  </w:style>
  <w:style w:type="paragraph" w:styleId="1036" w:customStyle="1">
    <w:name w:val="xl73"/>
    <w:basedOn w:val="838"/>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37" w:customStyle="1">
    <w:name w:val="xl67"/>
    <w:basedOn w:val="838"/>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38" w:customStyle="1">
    <w:name w:val="xl116"/>
    <w:basedOn w:val="838"/>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39" w:customStyle="1">
    <w:name w:val="样式1"/>
    <w:basedOn w:val="841"/>
    <w:link w:val="1040"/>
    <w:uiPriority w:val="0"/>
    <w:qFormat/>
    <w:pPr>
      <w:ind w:left="709" w:hanging="709"/>
      <w:spacing w:line="240" w:lineRule="auto"/>
    </w:pPr>
    <w:rPr>
      <w:rFonts w:ascii="宋体" w:hAnsi="宋体" w:cs="宋体"/>
      <w:color w:val="000000"/>
      <w:sz w:val="21"/>
      <w:szCs w:val="21"/>
    </w:rPr>
  </w:style>
  <w:style w:type="character" w:styleId="1040" w:customStyle="1">
    <w:name w:val="样式1 Char"/>
    <w:link w:val="1039"/>
    <w:uiPriority w:val="0"/>
    <w:qFormat/>
    <w:rPr>
      <w:rFonts w:ascii="宋体" w:hAnsi="宋体" w:cs="宋体"/>
      <w:b/>
      <w:bCs/>
      <w:color w:val="000000"/>
      <w:sz w:val="21"/>
      <w:szCs w:val="21"/>
    </w:rPr>
  </w:style>
  <w:style w:type="paragraph" w:styleId="1041" w:customStyle="1">
    <w:name w:val="font19"/>
    <w:basedOn w:val="838"/>
    <w:uiPriority w:val="0"/>
    <w:qFormat/>
    <w:pPr>
      <w:jc w:val="left"/>
      <w:spacing w:before="100" w:beforeAutospacing="1" w:after="100" w:afterAutospacing="1"/>
      <w:widowControl/>
    </w:pPr>
    <w:rPr>
      <w:rFonts w:ascii="宋体" w:hAnsi="宋体" w:cs="宋体"/>
      <w:sz w:val="24"/>
      <w:szCs w:val="24"/>
    </w:rPr>
  </w:style>
  <w:style w:type="paragraph" w:styleId="1042" w:customStyle="1">
    <w:name w:val="font14"/>
    <w:basedOn w:val="838"/>
    <w:uiPriority w:val="0"/>
    <w:qFormat/>
    <w:pPr>
      <w:jc w:val="left"/>
      <w:spacing w:before="100" w:beforeAutospacing="1" w:after="100" w:afterAutospacing="1"/>
      <w:widowControl/>
    </w:pPr>
    <w:rPr>
      <w:rFonts w:ascii="宋体" w:hAnsi="宋体" w:cs="宋体"/>
      <w:sz w:val="24"/>
      <w:szCs w:val="24"/>
    </w:rPr>
  </w:style>
  <w:style w:type="paragraph" w:styleId="1043" w:customStyle="1">
    <w:name w:val="xl120"/>
    <w:basedOn w:val="838"/>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44" w:customStyle="1">
    <w:name w:val="xl88"/>
    <w:basedOn w:val="838"/>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45" w:customStyle="1">
    <w:name w:val="xl90"/>
    <w:basedOn w:val="838"/>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46" w:customStyle="1">
    <w:name w:val="xl72"/>
    <w:basedOn w:val="838"/>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47" w:customStyle="1">
    <w:name w:val="xl71"/>
    <w:basedOn w:val="838"/>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48" w:customStyle="1">
    <w:name w:val="xl119"/>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9"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50" w:customStyle="1">
    <w:name w:val="font8"/>
    <w:basedOn w:val="838"/>
    <w:uiPriority w:val="0"/>
    <w:qFormat/>
    <w:pPr>
      <w:jc w:val="left"/>
      <w:spacing w:before="100" w:beforeAutospacing="1" w:after="100" w:afterAutospacing="1"/>
      <w:widowControl/>
    </w:pPr>
    <w:rPr>
      <w:rFonts w:ascii="宋体" w:hAnsi="宋体" w:cs="宋体"/>
      <w:color w:val="000000"/>
      <w:sz w:val="20"/>
      <w:szCs w:val="20"/>
    </w:rPr>
  </w:style>
  <w:style w:type="paragraph" w:styleId="1051" w:customStyle="1">
    <w:name w:val="font20"/>
    <w:basedOn w:val="838"/>
    <w:uiPriority w:val="0"/>
    <w:qFormat/>
    <w:pPr>
      <w:jc w:val="left"/>
      <w:spacing w:before="100" w:beforeAutospacing="1" w:after="100" w:afterAutospacing="1"/>
      <w:widowControl/>
    </w:pPr>
    <w:rPr>
      <w:rFonts w:ascii="宋体" w:hAnsi="宋体" w:cs="宋体"/>
      <w:color w:val="000000"/>
      <w:sz w:val="20"/>
      <w:szCs w:val="20"/>
    </w:rPr>
  </w:style>
  <w:style w:type="paragraph" w:styleId="1052" w:customStyle="1">
    <w:name w:val="font25"/>
    <w:basedOn w:val="838"/>
    <w:uiPriority w:val="0"/>
    <w:qFormat/>
    <w:pPr>
      <w:jc w:val="left"/>
      <w:spacing w:before="100" w:beforeAutospacing="1" w:after="100" w:afterAutospacing="1"/>
      <w:widowControl/>
    </w:pPr>
    <w:rPr>
      <w:rFonts w:ascii="宋体" w:hAnsi="宋体" w:cs="宋体"/>
      <w:sz w:val="20"/>
      <w:szCs w:val="20"/>
    </w:rPr>
  </w:style>
  <w:style w:type="paragraph" w:styleId="1053" w:customStyle="1">
    <w:name w:val="xl107"/>
    <w:basedOn w:val="83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54" w:customStyle="1">
    <w:name w:val="正文1"/>
    <w:basedOn w:val="838"/>
    <w:next w:val="838"/>
    <w:uiPriority w:val="0"/>
    <w:qFormat/>
    <w:pPr>
      <w:ind w:left="420" w:firstLine="527"/>
      <w:spacing w:before="120" w:line="360" w:lineRule="auto"/>
    </w:pPr>
    <w:rPr>
      <w:rFonts w:ascii="宋体" w:hAnsi="宋体"/>
      <w:sz w:val="24"/>
      <w:szCs w:val="24"/>
    </w:rPr>
  </w:style>
  <w:style w:type="paragraph" w:styleId="1055" w:customStyle="1">
    <w:name w:val="xl66"/>
    <w:basedOn w:val="838"/>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56" w:customStyle="1">
    <w:name w:val="font24"/>
    <w:basedOn w:val="838"/>
    <w:uiPriority w:val="0"/>
    <w:qFormat/>
    <w:pPr>
      <w:jc w:val="left"/>
      <w:spacing w:before="100" w:beforeAutospacing="1" w:after="100" w:afterAutospacing="1"/>
      <w:widowControl/>
    </w:pPr>
    <w:rPr>
      <w:rFonts w:ascii="宋体" w:hAnsi="宋体" w:cs="宋体"/>
      <w:sz w:val="24"/>
      <w:szCs w:val="24"/>
    </w:rPr>
  </w:style>
  <w:style w:type="paragraph" w:styleId="1057" w:customStyle="1">
    <w:name w:val="xl86"/>
    <w:basedOn w:val="838"/>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58" w:customStyle="1">
    <w:name w:val="xl103"/>
    <w:basedOn w:val="8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59" w:customStyle="1">
    <w:name w:val="font26"/>
    <w:basedOn w:val="838"/>
    <w:uiPriority w:val="0"/>
    <w:qFormat/>
    <w:pPr>
      <w:jc w:val="left"/>
      <w:spacing w:before="100" w:beforeAutospacing="1" w:after="100" w:afterAutospacing="1"/>
      <w:widowControl/>
    </w:pPr>
    <w:rPr>
      <w:rFonts w:ascii="宋体" w:hAnsi="宋体" w:cs="宋体"/>
      <w:sz w:val="18"/>
      <w:szCs w:val="18"/>
    </w:rPr>
  </w:style>
  <w:style w:type="paragraph" w:styleId="1060" w:customStyle="1">
    <w:name w:val="xl87"/>
    <w:basedOn w:val="838"/>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61" w:customStyle="1">
    <w:name w:val="xl93"/>
    <w:basedOn w:val="838"/>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62" w:customStyle="1">
    <w:name w:val="xl115"/>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63" w:customStyle="1">
    <w:name w:val="xl98"/>
    <w:basedOn w:val="838"/>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4" w:customStyle="1">
    <w:name w:val="font10"/>
    <w:basedOn w:val="838"/>
    <w:uiPriority w:val="0"/>
    <w:qFormat/>
    <w:pPr>
      <w:jc w:val="left"/>
      <w:spacing w:before="100" w:beforeAutospacing="1" w:after="100" w:afterAutospacing="1"/>
      <w:widowControl/>
    </w:pPr>
    <w:rPr>
      <w:rFonts w:ascii="宋体" w:hAnsi="宋体" w:cs="宋体"/>
      <w:color w:val="000000"/>
      <w:sz w:val="24"/>
      <w:szCs w:val="24"/>
    </w:rPr>
  </w:style>
  <w:style w:type="paragraph" w:styleId="1065" w:customStyle="1">
    <w:name w:val="xl79"/>
    <w:basedOn w:val="838"/>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6" w:customStyle="1">
    <w:name w:val="xl123"/>
    <w:basedOn w:val="83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67" w:customStyle="1">
    <w:name w:val="xl64"/>
    <w:basedOn w:val="838"/>
    <w:uiPriority w:val="0"/>
    <w:qFormat/>
    <w:pPr>
      <w:jc w:val="center"/>
      <w:spacing w:before="100" w:beforeAutospacing="1" w:after="100" w:afterAutospacing="1"/>
      <w:widowControl/>
    </w:pPr>
    <w:rPr>
      <w:rFonts w:ascii="宋体" w:hAnsi="宋体" w:cs="宋体"/>
      <w:sz w:val="24"/>
      <w:szCs w:val="24"/>
    </w:rPr>
  </w:style>
  <w:style w:type="paragraph" w:styleId="1068" w:customStyle="1">
    <w:name w:val="纯文本2"/>
    <w:basedOn w:val="838"/>
    <w:uiPriority w:val="0"/>
    <w:qFormat/>
    <w:pPr>
      <w:jc w:val="left"/>
      <w:widowControl/>
    </w:pPr>
    <w:rPr>
      <w:rFonts w:ascii="宋体" w:hAnsi="Courier New" w:eastAsia="楷体_GB2312"/>
      <w:sz w:val="26"/>
      <w:szCs w:val="20"/>
    </w:rPr>
  </w:style>
  <w:style w:type="paragraph" w:styleId="1069" w:customStyle="1">
    <w:name w:val="xl95"/>
    <w:basedOn w:val="838"/>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0" w:customStyle="1">
    <w:name w:val="font17"/>
    <w:basedOn w:val="838"/>
    <w:uiPriority w:val="0"/>
    <w:qFormat/>
    <w:pPr>
      <w:jc w:val="left"/>
      <w:spacing w:before="100" w:beforeAutospacing="1" w:after="100" w:afterAutospacing="1"/>
      <w:widowControl/>
    </w:pPr>
    <w:rPr>
      <w:rFonts w:ascii="宋体" w:hAnsi="宋体" w:cs="宋体"/>
      <w:sz w:val="18"/>
      <w:szCs w:val="18"/>
    </w:rPr>
  </w:style>
  <w:style w:type="paragraph" w:styleId="1071" w:customStyle="1">
    <w:name w:val="xl85"/>
    <w:basedOn w:val="838"/>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72">
    <w:name w:val="List Paragraph"/>
    <w:basedOn w:val="838"/>
    <w:link w:val="1073"/>
    <w:uiPriority w:val="34"/>
    <w:qFormat/>
    <w:pPr>
      <w:ind w:firstLine="420"/>
    </w:pPr>
    <w:rPr>
      <w:rFonts w:ascii="宋体" w:hAnsi="宋体"/>
      <w:sz w:val="24"/>
      <w:szCs w:val="24"/>
    </w:rPr>
  </w:style>
  <w:style w:type="character" w:styleId="1073" w:customStyle="1">
    <w:name w:val="列出段落 Char"/>
    <w:link w:val="1072"/>
    <w:uiPriority w:val="34"/>
    <w:qFormat/>
    <w:rPr>
      <w:rFonts w:ascii="宋体" w:hAnsi="宋体"/>
      <w:sz w:val="24"/>
      <w:szCs w:val="24"/>
    </w:rPr>
  </w:style>
  <w:style w:type="paragraph" w:styleId="1074" w:customStyle="1">
    <w:name w:val="xl111"/>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75" w:customStyle="1">
    <w:name w:val="xl127"/>
    <w:basedOn w:val="83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76" w:customStyle="1">
    <w:name w:val="xl77"/>
    <w:basedOn w:val="838"/>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77" w:customStyle="1">
    <w:name w:val="xl99"/>
    <w:basedOn w:val="838"/>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8" w:customStyle="1">
    <w:name w:val="font22"/>
    <w:basedOn w:val="838"/>
    <w:uiPriority w:val="0"/>
    <w:qFormat/>
    <w:pPr>
      <w:jc w:val="left"/>
      <w:spacing w:before="100" w:beforeAutospacing="1" w:after="100" w:afterAutospacing="1"/>
      <w:widowControl/>
    </w:pPr>
    <w:rPr>
      <w:rFonts w:ascii="宋体" w:hAnsi="宋体" w:cs="宋体"/>
      <w:color w:val="ff0000"/>
      <w:sz w:val="20"/>
      <w:szCs w:val="20"/>
    </w:rPr>
  </w:style>
  <w:style w:type="paragraph" w:styleId="1079" w:customStyle="1">
    <w:name w:val="xl117"/>
    <w:basedOn w:val="838"/>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80" w:customStyle="1">
    <w:name w:val="font15"/>
    <w:basedOn w:val="838"/>
    <w:uiPriority w:val="0"/>
    <w:qFormat/>
    <w:pPr>
      <w:jc w:val="left"/>
      <w:spacing w:before="100" w:beforeAutospacing="1" w:after="100" w:afterAutospacing="1"/>
      <w:widowControl/>
    </w:pPr>
    <w:rPr>
      <w:rFonts w:ascii="宋体" w:hAnsi="宋体" w:cs="宋体"/>
      <w:sz w:val="24"/>
      <w:szCs w:val="24"/>
    </w:rPr>
  </w:style>
  <w:style w:type="paragraph" w:styleId="1081" w:customStyle="1">
    <w:name w:val="xl113"/>
    <w:basedOn w:val="838"/>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2" w:customStyle="1">
    <w:name w:val="xl83"/>
    <w:basedOn w:val="838"/>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83" w:customStyle="1">
    <w:name w:val="xl110"/>
    <w:basedOn w:val="83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4" w:customStyle="1">
    <w:name w:val="彩色列表 - 强调文字颜色 11"/>
    <w:basedOn w:val="838"/>
    <w:uiPriority w:val="0"/>
    <w:qFormat/>
    <w:pPr>
      <w:ind w:firstLine="420"/>
    </w:pPr>
    <w:rPr>
      <w:rFonts w:ascii="宋体" w:hAnsi="宋体"/>
      <w:sz w:val="24"/>
      <w:szCs w:val="24"/>
    </w:rPr>
  </w:style>
  <w:style w:type="paragraph" w:styleId="1085" w:customStyle="1">
    <w:name w:val="xl102"/>
    <w:basedOn w:val="838"/>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6" w:customStyle="1">
    <w:name w:val="xl125"/>
    <w:basedOn w:val="83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87" w:customStyle="1">
    <w:name w:val="xl91"/>
    <w:basedOn w:val="838"/>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88" w:customStyle="1">
    <w:name w:val="xl68"/>
    <w:basedOn w:val="838"/>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89" w:customStyle="1">
    <w:name w:val="xl122"/>
    <w:basedOn w:val="8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90" w:customStyle="1">
    <w:name w:val="xl108"/>
    <w:basedOn w:val="838"/>
    <w:uiPriority w:val="0"/>
    <w:qFormat/>
    <w:pPr>
      <w:jc w:val="center"/>
      <w:spacing w:before="100" w:beforeAutospacing="1" w:after="100" w:afterAutospacing="1"/>
      <w:widowControl/>
    </w:pPr>
    <w:rPr>
      <w:rFonts w:ascii="宋体" w:hAnsi="宋体" w:cs="宋体"/>
      <w:color w:val="ff0000"/>
      <w:sz w:val="24"/>
      <w:szCs w:val="24"/>
    </w:rPr>
  </w:style>
  <w:style w:type="paragraph" w:styleId="1091" w:customStyle="1">
    <w:name w:val="font21"/>
    <w:basedOn w:val="838"/>
    <w:uiPriority w:val="0"/>
    <w:qFormat/>
    <w:pPr>
      <w:jc w:val="left"/>
      <w:spacing w:before="100" w:beforeAutospacing="1" w:after="100" w:afterAutospacing="1"/>
      <w:widowControl/>
    </w:pPr>
    <w:rPr>
      <w:rFonts w:ascii="宋体" w:hAnsi="宋体" w:cs="宋体"/>
      <w:color w:val="000000"/>
      <w:sz w:val="24"/>
      <w:szCs w:val="24"/>
    </w:rPr>
  </w:style>
  <w:style w:type="paragraph" w:styleId="1092" w:customStyle="1">
    <w:name w:val="xl69"/>
    <w:basedOn w:val="838"/>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93" w:customStyle="1">
    <w:name w:val="xl126"/>
    <w:basedOn w:val="83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94" w:customStyle="1">
    <w:name w:val="xl82"/>
    <w:basedOn w:val="838"/>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95" w:customStyle="1">
    <w:name w:val="xl70"/>
    <w:basedOn w:val="838"/>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96" w:customStyle="1">
    <w:name w:val="xl114"/>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97" w:customStyle="1">
    <w:name w:val="font16"/>
    <w:basedOn w:val="838"/>
    <w:uiPriority w:val="0"/>
    <w:qFormat/>
    <w:pPr>
      <w:jc w:val="left"/>
      <w:spacing w:before="100" w:beforeAutospacing="1" w:after="100" w:afterAutospacing="1"/>
      <w:widowControl/>
    </w:pPr>
    <w:rPr>
      <w:rFonts w:ascii="宋体" w:hAnsi="宋体" w:cs="宋体"/>
      <w:color w:val="000000"/>
      <w:sz w:val="20"/>
      <w:szCs w:val="20"/>
    </w:rPr>
  </w:style>
  <w:style w:type="paragraph" w:styleId="1098" w:customStyle="1">
    <w:name w:val="xl105"/>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99" w:customStyle="1">
    <w:name w:val="网格型1"/>
    <w:basedOn w:val="8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0" w:customStyle="1">
    <w:name w:val="纯文本4"/>
    <w:basedOn w:val="838"/>
    <w:uiPriority w:val="0"/>
    <w:qFormat/>
    <w:rPr>
      <w:rFonts w:ascii="宋体" w:hAnsi="Courier New" w:eastAsia="楷体_GB2312"/>
      <w:sz w:val="26"/>
      <w:szCs w:val="20"/>
    </w:rPr>
  </w:style>
  <w:style w:type="character" w:styleId="1101" w:customStyle="1">
    <w:name w:val="Body text|1_"/>
    <w:basedOn w:val="848"/>
    <w:link w:val="1102"/>
    <w:uiPriority w:val="0"/>
    <w:qFormat/>
    <w:rPr>
      <w:rFonts w:ascii="宋体" w:hAnsi="宋体" w:cs="宋体"/>
      <w:sz w:val="22"/>
      <w:szCs w:val="22"/>
      <w:lang w:val="zh-TW" w:eastAsia="zh-TW" w:bidi="zh-TW"/>
    </w:rPr>
  </w:style>
  <w:style w:type="paragraph" w:styleId="1102" w:customStyle="1">
    <w:name w:val="Body text|1"/>
    <w:basedOn w:val="838"/>
    <w:link w:val="1101"/>
    <w:uiPriority w:val="0"/>
    <w:qFormat/>
    <w:pPr>
      <w:ind w:firstLine="380"/>
      <w:jc w:val="left"/>
      <w:spacing w:line="406" w:lineRule="auto"/>
    </w:pPr>
    <w:rPr>
      <w:rFonts w:ascii="宋体" w:hAnsi="宋体" w:cs="宋体"/>
      <w:sz w:val="22"/>
      <w:lang w:val="zh-TW" w:eastAsia="zh-TW" w:bidi="zh-TW"/>
    </w:rPr>
  </w:style>
  <w:style w:type="paragraph" w:styleId="1103"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104" w:customStyle="1">
    <w:name w:val="mini-outputtext1"/>
    <w:basedOn w:val="848"/>
    <w:uiPriority w:val="0"/>
    <w:qFormat/>
  </w:style>
  <w:style w:type="character" w:styleId="1105" w:customStyle="1">
    <w:name w:val="样式2 Char"/>
    <w:link w:val="1106"/>
    <w:uiPriority w:val="0"/>
    <w:qFormat/>
    <w:rPr>
      <w:szCs w:val="21"/>
    </w:rPr>
  </w:style>
  <w:style w:type="paragraph" w:styleId="1106" w:customStyle="1">
    <w:name w:val="样式2"/>
    <w:basedOn w:val="1039"/>
    <w:link w:val="1105"/>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107" w:customStyle="1">
    <w:name w:val="2级标题 Char"/>
    <w:link w:val="1108"/>
    <w:uiPriority w:val="0"/>
    <w:qFormat/>
    <w:rPr>
      <w:rFonts w:eastAsia="华文中宋"/>
      <w:b/>
      <w:bCs/>
      <w:sz w:val="28"/>
      <w:szCs w:val="32"/>
    </w:rPr>
  </w:style>
  <w:style w:type="paragraph" w:styleId="1108" w:customStyle="1">
    <w:name w:val="2级标题"/>
    <w:basedOn w:val="840"/>
    <w:link w:val="1107"/>
    <w:uiPriority w:val="0"/>
    <w:qFormat/>
    <w:pPr>
      <w:spacing w:line="360" w:lineRule="auto"/>
      <w:tabs>
        <w:tab w:val="left" w:pos="851" w:leader="none"/>
      </w:tabs>
    </w:pPr>
    <w:rPr>
      <w:rFonts w:ascii="Times New Roman" w:hAnsi="Times New Roman" w:eastAsia="华文中宋"/>
      <w:sz w:val="28"/>
    </w:rPr>
  </w:style>
  <w:style w:type="character" w:styleId="1109" w:customStyle="1">
    <w:name w:val="样式4 Char"/>
    <w:link w:val="1110"/>
    <w:uiPriority w:val="0"/>
    <w:qFormat/>
    <w:rPr>
      <w:sz w:val="18"/>
      <w:szCs w:val="18"/>
    </w:rPr>
  </w:style>
  <w:style w:type="paragraph" w:styleId="1110" w:customStyle="1">
    <w:name w:val="样式4"/>
    <w:basedOn w:val="874"/>
    <w:link w:val="1109"/>
    <w:uiPriority w:val="0"/>
    <w:qFormat/>
    <w:pPr>
      <w:ind w:firstLine="425"/>
      <w:pBdr>
        <w:bottom w:val="none" w:color="auto" w:sz="0" w:space="0"/>
      </w:pBdr>
    </w:pPr>
  </w:style>
  <w:style w:type="character" w:styleId="1111" w:customStyle="1">
    <w:name w:val="HTML 打字机1"/>
    <w:uiPriority w:val="0"/>
    <w:qFormat/>
    <w:rPr>
      <w:rFonts w:hint="eastAsia" w:ascii="黑体" w:hAnsi="Courier New" w:eastAsia="黑体"/>
      <w:sz w:val="14"/>
    </w:rPr>
  </w:style>
  <w:style w:type="character" w:styleId="1112" w:customStyle="1">
    <w:name w:val="无间隔 Char"/>
    <w:link w:val="1113"/>
    <w:uiPriority w:val="0"/>
    <w:qFormat/>
    <w:rPr>
      <w:rFonts w:ascii="Calibri" w:hAnsi="Calibri"/>
    </w:rPr>
  </w:style>
  <w:style w:type="paragraph" w:styleId="1113">
    <w:name w:val="No Spacing"/>
    <w:link w:val="1112"/>
    <w:uiPriority w:val="1"/>
    <w:qFormat/>
    <w:pPr>
      <w:jc w:val="both"/>
      <w:widowControl w:val="off"/>
    </w:pPr>
    <w:rPr>
      <w:rFonts w:ascii="Calibri" w:hAnsi="Calibri" w:eastAsia="宋体" w:cs="Times New Roman"/>
      <w:lang w:val="en-US" w:eastAsia="zh-CN" w:bidi="ar-SA"/>
    </w:rPr>
  </w:style>
  <w:style w:type="character" w:styleId="1114" w:customStyle="1">
    <w:name w:val="样式6 Char"/>
    <w:link w:val="1115"/>
    <w:uiPriority w:val="0"/>
    <w:qFormat/>
    <w:rPr>
      <w:sz w:val="18"/>
      <w:szCs w:val="18"/>
    </w:rPr>
  </w:style>
  <w:style w:type="paragraph" w:styleId="1115" w:customStyle="1">
    <w:name w:val="样式6"/>
    <w:basedOn w:val="874"/>
    <w:link w:val="1114"/>
    <w:uiPriority w:val="0"/>
    <w:qFormat/>
    <w:pPr>
      <w:ind w:firstLine="425"/>
      <w:pBdr>
        <w:bottom w:val="none" w:color="auto" w:sz="0" w:space="0"/>
      </w:pBdr>
    </w:pPr>
  </w:style>
  <w:style w:type="character" w:styleId="1116" w:customStyle="1">
    <w:name w:val="纯文本 Char"/>
    <w:link w:val="1117"/>
    <w:uiPriority w:val="0"/>
    <w:qFormat/>
    <w:rPr>
      <w:rFonts w:ascii="宋体" w:hAnsi="Courier New" w:eastAsia="楷体_GB2312"/>
      <w:sz w:val="28"/>
    </w:rPr>
  </w:style>
  <w:style w:type="paragraph" w:styleId="1117" w:customStyle="1">
    <w:name w:val="纯文本111"/>
    <w:basedOn w:val="838"/>
    <w:link w:val="1116"/>
    <w:uiPriority w:val="0"/>
    <w:qFormat/>
    <w:rPr>
      <w:rFonts w:ascii="宋体" w:hAnsi="Courier New" w:eastAsia="楷体_GB2312"/>
      <w:sz w:val="28"/>
      <w:szCs w:val="20"/>
    </w:rPr>
  </w:style>
  <w:style w:type="character" w:styleId="1118" w:customStyle="1">
    <w:name w:val="样式3 Char"/>
    <w:link w:val="1119"/>
    <w:uiPriority w:val="0"/>
    <w:qFormat/>
    <w:rPr>
      <w:sz w:val="18"/>
      <w:szCs w:val="18"/>
    </w:rPr>
  </w:style>
  <w:style w:type="paragraph" w:styleId="1119" w:customStyle="1">
    <w:name w:val="样式3"/>
    <w:basedOn w:val="874"/>
    <w:link w:val="1118"/>
    <w:uiPriority w:val="0"/>
    <w:qFormat/>
    <w:pPr>
      <w:jc w:val="both"/>
      <w:pBdr>
        <w:bottom w:val="none" w:color="auto" w:sz="0" w:space="0"/>
      </w:pBdr>
    </w:pPr>
  </w:style>
  <w:style w:type="character" w:styleId="1120" w:customStyle="1">
    <w:name w:val="3级标题 Char"/>
    <w:link w:val="1121"/>
    <w:uiPriority w:val="0"/>
    <w:qFormat/>
    <w:rPr>
      <w:rFonts w:eastAsia="华文中宋"/>
      <w:b/>
      <w:bCs/>
      <w:sz w:val="28"/>
      <w:szCs w:val="32"/>
    </w:rPr>
  </w:style>
  <w:style w:type="paragraph" w:styleId="1121" w:customStyle="1">
    <w:name w:val="3级标题"/>
    <w:basedOn w:val="840"/>
    <w:link w:val="1120"/>
    <w:uiPriority w:val="0"/>
    <w:qFormat/>
    <w:pPr>
      <w:spacing w:line="360" w:lineRule="auto"/>
      <w:tabs>
        <w:tab w:val="left" w:pos="1080" w:leader="none"/>
      </w:tabs>
    </w:pPr>
    <w:rPr>
      <w:rFonts w:ascii="Times New Roman" w:hAnsi="Times New Roman" w:eastAsia="华文中宋"/>
      <w:sz w:val="28"/>
    </w:rPr>
  </w:style>
  <w:style w:type="character" w:styleId="1122" w:customStyle="1">
    <w:name w:val="5级 Char"/>
    <w:link w:val="1123"/>
    <w:uiPriority w:val="0"/>
    <w:qFormat/>
    <w:rPr>
      <w:rFonts w:eastAsia="华文中宋"/>
      <w:b/>
      <w:sz w:val="24"/>
      <w:szCs w:val="28"/>
    </w:rPr>
  </w:style>
  <w:style w:type="paragraph" w:styleId="1123" w:customStyle="1">
    <w:name w:val="5级"/>
    <w:basedOn w:val="842"/>
    <w:link w:val="1122"/>
    <w:uiPriority w:val="0"/>
    <w:qFormat/>
    <w:pPr>
      <w:jc w:val="left"/>
      <w:spacing w:line="360" w:lineRule="auto"/>
      <w:tabs>
        <w:tab w:val="left" w:pos="1276" w:leader="none"/>
      </w:tabs>
    </w:pPr>
    <w:rPr>
      <w:rFonts w:ascii="Times New Roman" w:hAnsi="Times New Roman" w:eastAsia="华文中宋"/>
      <w:bCs w:val="0"/>
      <w:sz w:val="24"/>
    </w:rPr>
  </w:style>
  <w:style w:type="character" w:styleId="1124" w:customStyle="1">
    <w:name w:val="样式5 Char"/>
    <w:link w:val="1125"/>
    <w:uiPriority w:val="0"/>
    <w:qFormat/>
    <w:rPr>
      <w:sz w:val="24"/>
    </w:rPr>
  </w:style>
  <w:style w:type="paragraph" w:styleId="1125" w:customStyle="1">
    <w:name w:val="样式5"/>
    <w:basedOn w:val="838"/>
    <w:link w:val="1124"/>
    <w:uiPriority w:val="0"/>
    <w:qFormat/>
    <w:pPr>
      <w:jc w:val="left"/>
      <w:pBdr>
        <w:bottom w:val="single" w:color="C0504D" w:sz="6" w:space="1"/>
      </w:pBdr>
    </w:pPr>
    <w:rPr>
      <w:sz w:val="24"/>
      <w:szCs w:val="20"/>
    </w:rPr>
  </w:style>
  <w:style w:type="character" w:styleId="1126" w:customStyle="1">
    <w:name w:val="正文缩进1 Char1"/>
    <w:uiPriority w:val="0"/>
    <w:qFormat/>
    <w:rPr>
      <w:rFonts w:eastAsia="Wingdings"/>
      <w:sz w:val="24"/>
      <w:lang w:val="en-US" w:eastAsia="zh-CN" w:bidi="ar-SA"/>
    </w:rPr>
  </w:style>
  <w:style w:type="character" w:styleId="1127" w:customStyle="1">
    <w:name w:val="*正文 Char"/>
    <w:link w:val="1128"/>
    <w:uiPriority w:val="0"/>
    <w:qFormat/>
    <w:rPr>
      <w:rFonts w:ascii="宋体" w:hAnsi="宋体"/>
      <w:sz w:val="24"/>
    </w:rPr>
  </w:style>
  <w:style w:type="paragraph" w:styleId="1128" w:customStyle="1">
    <w:name w:val="*正文"/>
    <w:basedOn w:val="838"/>
    <w:link w:val="1127"/>
    <w:uiPriority w:val="0"/>
    <w:qFormat/>
    <w:pPr>
      <w:ind w:firstLine="482"/>
      <w:spacing w:line="360" w:lineRule="auto"/>
    </w:pPr>
    <w:rPr>
      <w:rFonts w:ascii="宋体" w:hAnsi="宋体"/>
      <w:sz w:val="24"/>
      <w:szCs w:val="20"/>
    </w:rPr>
  </w:style>
  <w:style w:type="paragraph" w:styleId="1129" w:customStyle="1">
    <w:name w:val="Blockquote"/>
    <w:basedOn w:val="838"/>
    <w:uiPriority w:val="0"/>
    <w:qFormat/>
    <w:pPr>
      <w:ind w:left="360" w:right="360"/>
      <w:jc w:val="left"/>
      <w:spacing w:before="100" w:after="100"/>
    </w:pPr>
    <w:rPr>
      <w:sz w:val="24"/>
      <w:szCs w:val="20"/>
    </w:rPr>
  </w:style>
  <w:style w:type="paragraph" w:styleId="1130" w:customStyle="1">
    <w:name w:val="reader-word-layer reader-word-s7-11"/>
    <w:basedOn w:val="838"/>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31" w:customStyle="1">
    <w:name w:val="题注1"/>
    <w:basedOn w:val="838"/>
    <w:next w:val="838"/>
    <w:uiPriority w:val="0"/>
    <w:qFormat/>
    <w:pPr>
      <w:ind w:firstLine="425"/>
      <w:jc w:val="center"/>
      <w:spacing w:line="360" w:lineRule="auto"/>
    </w:pPr>
    <w:rPr>
      <w:rFonts w:ascii="Calibri" w:hAnsi="Calibri"/>
    </w:rPr>
  </w:style>
  <w:style w:type="character" w:styleId="1132" w:customStyle="1">
    <w:name w:val="正文文本缩进 3 Char2"/>
    <w:basedOn w:val="848"/>
    <w:uiPriority w:val="99"/>
    <w:semiHidden/>
    <w:qFormat/>
    <w:rPr>
      <w:rFonts w:ascii="Times New Roman" w:hAnsi="Times New Roman" w:eastAsia="楷体_GB2312" w:cs="Times New Roman"/>
      <w:sz w:val="16"/>
      <w:szCs w:val="16"/>
    </w:rPr>
  </w:style>
  <w:style w:type="paragraph" w:styleId="1133" w:customStyle="1">
    <w:name w:val="xl26"/>
    <w:basedOn w:val="838"/>
    <w:uiPriority w:val="0"/>
    <w:qFormat/>
    <w:pPr>
      <w:jc w:val="center"/>
      <w:spacing w:before="100" w:beforeAutospacing="1" w:after="100" w:afterAutospacing="1"/>
      <w:widowControl/>
    </w:pPr>
    <w:rPr>
      <w:rFonts w:ascii="宋体" w:hAnsi="宋体"/>
      <w:sz w:val="24"/>
      <w:szCs w:val="24"/>
    </w:rPr>
  </w:style>
  <w:style w:type="paragraph" w:styleId="1134" w:customStyle="1">
    <w:name w:val="默认段落字体 Para Char Char Char Char Char Char Char"/>
    <w:basedOn w:val="838"/>
    <w:uiPriority w:val="0"/>
    <w:qFormat/>
    <w:pPr>
      <w:spacing w:line="360" w:lineRule="auto"/>
    </w:pPr>
    <w:rPr>
      <w:rFonts w:ascii="Tahoma" w:hAnsi="Tahoma"/>
      <w:sz w:val="24"/>
      <w:szCs w:val="20"/>
    </w:rPr>
  </w:style>
  <w:style w:type="paragraph" w:styleId="1135" w:customStyle="1">
    <w:name w:val="Plain Text1"/>
    <w:basedOn w:val="838"/>
    <w:uiPriority w:val="0"/>
    <w:qFormat/>
    <w:rPr>
      <w:rFonts w:hint="eastAsia" w:ascii="宋体" w:hAnsi="Courier New" w:eastAsia="楷体_GB2312"/>
      <w:sz w:val="28"/>
      <w:szCs w:val="20"/>
    </w:rPr>
  </w:style>
  <w:style w:type="paragraph" w:styleId="1136" w:customStyle="1">
    <w:name w:val="Char Char Char Char"/>
    <w:basedOn w:val="838"/>
    <w:uiPriority w:val="0"/>
    <w:qFormat/>
    <w:pPr>
      <w:ind w:firstLine="200"/>
      <w:spacing w:line="360" w:lineRule="auto"/>
    </w:pPr>
    <w:rPr>
      <w:rFonts w:ascii="Tahoma" w:hAnsi="Tahoma"/>
      <w:sz w:val="24"/>
      <w:szCs w:val="20"/>
    </w:rPr>
  </w:style>
  <w:style w:type="paragraph" w:styleId="1137" w:customStyle="1">
    <w:name w:val="默认段落字体 Para Char Char Char Char Char Char Char Char Char1 Char Char Char Char"/>
    <w:basedOn w:val="838"/>
    <w:uiPriority w:val="0"/>
    <w:qFormat/>
    <w:pPr>
      <w:jc w:val="left"/>
      <w:widowControl/>
    </w:pPr>
    <w:rPr>
      <w:rFonts w:ascii="Tahoma" w:hAnsi="Tahoma"/>
      <w:sz w:val="24"/>
      <w:szCs w:val="20"/>
    </w:rPr>
  </w:style>
  <w:style w:type="paragraph" w:styleId="1138" w:customStyle="1">
    <w:name w:val="Char"/>
    <w:basedOn w:val="856"/>
    <w:uiPriority w:val="0"/>
    <w:qFormat/>
    <w:pPr>
      <w:spacing w:line="360" w:lineRule="auto"/>
      <w:shd w:val="clear" w:color="auto" w:fill="000080"/>
    </w:pPr>
    <w:rPr>
      <w:rFonts w:ascii="Tahoma" w:hAnsi="Tahoma"/>
      <w:sz w:val="24"/>
      <w:szCs w:val="24"/>
    </w:rPr>
  </w:style>
  <w:style w:type="paragraph" w:styleId="1139" w:customStyle="1">
    <w:name w:val="Char Char Char"/>
    <w:basedOn w:val="856"/>
    <w:uiPriority w:val="0"/>
    <w:qFormat/>
    <w:pPr>
      <w:spacing w:line="360" w:lineRule="auto"/>
      <w:shd w:val="clear" w:color="auto" w:fill="000080"/>
    </w:pPr>
    <w:rPr>
      <w:rFonts w:ascii="Tahoma" w:hAnsi="Tahoma"/>
      <w:sz w:val="24"/>
      <w:szCs w:val="24"/>
    </w:rPr>
  </w:style>
  <w:style w:type="paragraph" w:styleId="1140" w:customStyle="1">
    <w:name w:val="Char Char"/>
    <w:basedOn w:val="838"/>
    <w:uiPriority w:val="0"/>
    <w:qFormat/>
    <w:pPr>
      <w:ind w:firstLine="200"/>
      <w:spacing w:line="360" w:lineRule="auto"/>
    </w:pPr>
    <w:rPr>
      <w:rFonts w:eastAsia="楷体_GB2312"/>
      <w:sz w:val="28"/>
      <w:szCs w:val="20"/>
    </w:rPr>
  </w:style>
  <w:style w:type="paragraph" w:styleId="1141" w:customStyle="1">
    <w:name w:val="Char2 Char Char Char Char Char Char Char Char Char"/>
    <w:basedOn w:val="838"/>
    <w:uiPriority w:val="0"/>
    <w:qFormat/>
    <w:pPr>
      <w:ind w:firstLine="200"/>
      <w:spacing w:line="360" w:lineRule="auto"/>
    </w:pPr>
    <w:rPr>
      <w:rFonts w:ascii="Tahoma" w:hAnsi="Tahoma"/>
      <w:sz w:val="24"/>
      <w:szCs w:val="20"/>
    </w:rPr>
  </w:style>
  <w:style w:type="paragraph" w:styleId="1142" w:customStyle="1">
    <w:name w:val="Char Char Char1 Char Char Char Char"/>
    <w:basedOn w:val="838"/>
    <w:uiPriority w:val="0"/>
    <w:qFormat/>
    <w:pPr>
      <w:jc w:val="left"/>
      <w:spacing w:after="160" w:line="240" w:lineRule="exact"/>
      <w:widowControl/>
    </w:pPr>
    <w:rPr>
      <w:sz w:val="24"/>
      <w:szCs w:val="24"/>
    </w:rPr>
  </w:style>
  <w:style w:type="paragraph" w:styleId="1143" w:customStyle="1">
    <w:name w:val="HTML 预设格式1"/>
    <w:basedOn w:val="8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44" w:customStyle="1">
    <w:name w:val="p16"/>
    <w:basedOn w:val="838"/>
    <w:uiPriority w:val="0"/>
    <w:qFormat/>
    <w:pPr>
      <w:ind w:left="420"/>
      <w:spacing w:after="120" w:line="480" w:lineRule="auto"/>
      <w:widowControl/>
    </w:pPr>
    <w:rPr>
      <w:szCs w:val="21"/>
    </w:rPr>
  </w:style>
  <w:style w:type="paragraph" w:styleId="1145" w:customStyle="1">
    <w:name w:val="1.1.1.1.1"/>
    <w:basedOn w:val="842"/>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46" w:customStyle="1">
    <w:name w:val="TOC 标题11"/>
    <w:basedOn w:val="839"/>
    <w:next w:val="838"/>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47" w:customStyle="1">
    <w:name w:val="标题2"/>
    <w:basedOn w:val="840"/>
    <w:uiPriority w:val="0"/>
    <w:qFormat/>
    <w:pPr>
      <w:spacing w:before="0" w:after="0" w:line="413" w:lineRule="auto"/>
    </w:pPr>
  </w:style>
  <w:style w:type="character" w:styleId="1148" w:customStyle="1">
    <w:name w:val="op-map-singlepoint-info-right"/>
    <w:uiPriority w:val="0"/>
    <w:qFormat/>
  </w:style>
  <w:style w:type="table" w:styleId="1149" w:customStyle="1">
    <w:name w:val="网格型2"/>
    <w:basedOn w:val="8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0" w:customStyle="1">
    <w:name w:val="Plain Text Char"/>
    <w:uiPriority w:val="0"/>
    <w:qFormat/>
    <w:rPr>
      <w:rFonts w:ascii="宋体" w:hAnsi="Courier New" w:eastAsia="楷体_GB2312"/>
      <w:sz w:val="26"/>
    </w:rPr>
  </w:style>
  <w:style w:type="table" w:styleId="1151" w:customStyle="1">
    <w:name w:val="网格型3"/>
    <w:basedOn w:val="8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2"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53" w:customStyle="1">
    <w:name w:val="HTML 预设格式 Char"/>
    <w:basedOn w:val="848"/>
    <w:link w:val="889"/>
    <w:uiPriority w:val="0"/>
    <w:qFormat/>
    <w:rPr>
      <w:rFonts w:ascii="黑体" w:hAnsi="Courier New" w:eastAsia="黑体"/>
    </w:rPr>
  </w:style>
  <w:style w:type="character" w:styleId="1154" w:customStyle="1">
    <w:name w:val="正文首行缩进 Char"/>
    <w:basedOn w:val="959"/>
    <w:link w:val="894"/>
    <w:uiPriority w:val="0"/>
    <w:qFormat/>
    <w:rPr>
      <w:rFonts w:ascii="Times New Roman" w:hAnsi="Times New Roman" w:eastAsia="楷体_GB2312" w:cs="Times New Roman"/>
      <w:sz w:val="26"/>
      <w:szCs w:val="24"/>
    </w:rPr>
  </w:style>
  <w:style w:type="character" w:styleId="1155" w:customStyle="1">
    <w:name w:val="正文缩进 Char2"/>
    <w:uiPriority w:val="0"/>
    <w:qFormat/>
    <w:rPr>
      <w:rFonts w:eastAsia="楷体_GB2312"/>
      <w:sz w:val="24"/>
    </w:rPr>
  </w:style>
  <w:style w:type="paragraph" w:styleId="1156" w:customStyle="1">
    <w:name w:val="Char Char Char Char Char Char Char Char Char1 Char"/>
    <w:basedOn w:val="856"/>
    <w:uiPriority w:val="0"/>
    <w:qFormat/>
    <w:pPr>
      <w:spacing w:line="360" w:lineRule="auto"/>
      <w:shd w:val="clear" w:color="auto" w:fill="000080"/>
    </w:pPr>
    <w:rPr>
      <w:rFonts w:ascii="Tahoma" w:hAnsi="Tahoma"/>
      <w:sz w:val="24"/>
      <w:szCs w:val="24"/>
      <w:shd w:val="clear" w:color="auto" w:fill="000080"/>
    </w:rPr>
  </w:style>
  <w:style w:type="paragraph" w:styleId="1157" w:customStyle="1">
    <w:name w:val="xl61"/>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8" w:customStyle="1">
    <w:name w:val="xl47"/>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9" w:customStyle="1">
    <w:name w:val="xl55"/>
    <w:basedOn w:val="83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0" w:customStyle="1">
    <w:name w:val="Char Char1 Char Char Char Char Char Char Char Char Char Char Char Char Char Char Char Char"/>
    <w:basedOn w:val="838"/>
    <w:uiPriority w:val="0"/>
    <w:qFormat/>
    <w:pPr>
      <w:jc w:val="left"/>
      <w:spacing w:after="160" w:line="240" w:lineRule="exact"/>
      <w:widowControl/>
    </w:pPr>
    <w:rPr>
      <w:rFonts w:ascii="Verdana" w:hAnsi="Verdana"/>
      <w:sz w:val="20"/>
      <w:szCs w:val="20"/>
      <w:lang w:eastAsia="en-US"/>
    </w:rPr>
  </w:style>
  <w:style w:type="paragraph" w:styleId="1161" w:customStyle="1">
    <w:name w:val="xl59"/>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2" w:customStyle="1">
    <w:name w:val="xl62"/>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63" w:customStyle="1">
    <w:name w:val="节标题"/>
    <w:basedOn w:val="838"/>
    <w:next w:val="850"/>
    <w:uiPriority w:val="0"/>
    <w:qFormat/>
    <w:pPr>
      <w:ind w:left="420" w:hanging="420"/>
      <w:spacing w:before="120" w:after="120" w:line="360" w:lineRule="exact"/>
      <w:tabs>
        <w:tab w:val="left" w:pos="420" w:leader="none"/>
      </w:tabs>
      <w:outlineLvl w:val="1"/>
    </w:pPr>
    <w:rPr>
      <w:b/>
      <w:bCs/>
      <w:sz w:val="28"/>
      <w:szCs w:val="20"/>
    </w:rPr>
  </w:style>
  <w:style w:type="paragraph" w:styleId="1164" w:customStyle="1">
    <w:name w:val="xl63"/>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65" w:customStyle="1">
    <w:name w:val="000左齐平"/>
    <w:basedOn w:val="838"/>
    <w:uiPriority w:val="0"/>
    <w:qFormat/>
    <w:pPr>
      <w:jc w:val="left"/>
    </w:pPr>
    <w:rPr>
      <w:rFonts w:eastAsia="楷体_GB2312"/>
      <w:color w:val="000000"/>
      <w:sz w:val="26"/>
      <w:szCs w:val="20"/>
    </w:rPr>
  </w:style>
  <w:style w:type="paragraph" w:styleId="1166" w:customStyle="1">
    <w:name w:val="分层标题"/>
    <w:basedOn w:val="838"/>
    <w:next w:val="850"/>
    <w:uiPriority w:val="0"/>
    <w:qFormat/>
    <w:pPr>
      <w:ind w:left="709" w:hanging="709"/>
      <w:spacing w:before="120" w:after="120" w:line="360" w:lineRule="exact"/>
      <w:tabs>
        <w:tab w:val="left" w:pos="1080" w:leader="none"/>
      </w:tabs>
      <w:outlineLvl w:val="4"/>
    </w:pPr>
    <w:rPr>
      <w:b/>
      <w:sz w:val="24"/>
      <w:szCs w:val="24"/>
    </w:rPr>
  </w:style>
  <w:style w:type="paragraph" w:styleId="1167" w:customStyle="1">
    <w:name w:val="xl50"/>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68" w:customStyle="1">
    <w:name w:val="xl52"/>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9" w:customStyle="1">
    <w:name w:val="分标题"/>
    <w:basedOn w:val="838"/>
    <w:next w:val="850"/>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70" w:customStyle="1">
    <w:name w:val="首行缩进"/>
    <w:basedOn w:val="838"/>
    <w:uiPriority w:val="0"/>
    <w:qFormat/>
    <w:pPr>
      <w:ind w:firstLine="480"/>
    </w:pPr>
    <w:rPr>
      <w:rFonts w:eastAsia="楷体_GB2312"/>
      <w:sz w:val="26"/>
      <w:szCs w:val="20"/>
      <w:lang w:val="zh-CN"/>
    </w:rPr>
  </w:style>
  <w:style w:type="paragraph" w:styleId="1171" w:customStyle="1">
    <w:name w:val="xl45"/>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2" w:customStyle="1">
    <w:name w:val="xl46"/>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3" w:customStyle="1">
    <w:name w:val="+正文"/>
    <w:basedOn w:val="838"/>
    <w:uiPriority w:val="0"/>
    <w:qFormat/>
    <w:pPr>
      <w:ind w:firstLine="200"/>
      <w:spacing w:line="360" w:lineRule="auto"/>
    </w:pPr>
    <w:rPr>
      <w:sz w:val="24"/>
      <w:szCs w:val="28"/>
    </w:rPr>
  </w:style>
  <w:style w:type="paragraph" w:styleId="1174" w:customStyle="1">
    <w:name w:val="xl54"/>
    <w:basedOn w:val="8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5" w:customStyle="1">
    <w:name w:val="小四 段落 宋体 Char"/>
    <w:basedOn w:val="853"/>
    <w:uiPriority w:val="0"/>
    <w:qFormat/>
    <w:pPr>
      <w:ind w:left="0" w:right="-33" w:firstLine="480"/>
      <w:jc w:val="left"/>
      <w:spacing w:line="360" w:lineRule="auto"/>
      <w:tabs>
        <w:tab w:val="clear" w:pos="1125" w:leader="none"/>
      </w:tabs>
    </w:pPr>
    <w:rPr>
      <w:sz w:val="24"/>
    </w:rPr>
  </w:style>
  <w:style w:type="paragraph" w:styleId="1176" w:customStyle="1">
    <w:name w:val="纯文本21"/>
    <w:basedOn w:val="838"/>
    <w:uiPriority w:val="0"/>
    <w:qFormat/>
    <w:rPr>
      <w:rFonts w:ascii="宋体" w:hAnsi="Courier New" w:eastAsia="楷体_GB2312"/>
      <w:sz w:val="28"/>
      <w:szCs w:val="20"/>
    </w:rPr>
  </w:style>
  <w:style w:type="paragraph" w:styleId="1177" w:customStyle="1">
    <w:name w:val="_Style 1"/>
    <w:basedOn w:val="838"/>
    <w:uiPriority w:val="34"/>
    <w:qFormat/>
    <w:pPr>
      <w:ind w:firstLine="420"/>
    </w:pPr>
    <w:rPr>
      <w:rFonts w:ascii="Calibri" w:hAnsi="Calibri" w:eastAsia="楷体_GB2312"/>
      <w:sz w:val="26"/>
    </w:rPr>
  </w:style>
  <w:style w:type="paragraph" w:styleId="1178" w:customStyle="1">
    <w:name w:val="xl49"/>
    <w:basedOn w:val="838"/>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79" w:customStyle="1">
    <w:name w:val="xl60"/>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0" w:customStyle="1">
    <w:name w:val="Char Char1 Char Char Char Char Char Char Char"/>
    <w:basedOn w:val="838"/>
    <w:uiPriority w:val="0"/>
    <w:qFormat/>
    <w:rPr>
      <w:rFonts w:eastAsia="楷体_GB2312"/>
      <w:sz w:val="26"/>
      <w:szCs w:val="20"/>
    </w:rPr>
  </w:style>
  <w:style w:type="paragraph" w:styleId="1181"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82" w:customStyle="1">
    <w:name w:val="xl53"/>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3" w:customStyle="1">
    <w:name w:val="Char Char Char Char Char Char Char"/>
    <w:basedOn w:val="838"/>
    <w:uiPriority w:val="0"/>
    <w:qFormat/>
    <w:pPr>
      <w:ind w:left="432" w:hanging="432"/>
      <w:tabs>
        <w:tab w:val="left" w:pos="432" w:leader="none"/>
      </w:tabs>
    </w:pPr>
    <w:rPr>
      <w:rFonts w:ascii="Tahoma" w:hAnsi="Tahoma"/>
      <w:sz w:val="24"/>
      <w:szCs w:val="20"/>
    </w:rPr>
  </w:style>
  <w:style w:type="paragraph" w:styleId="1184" w:customStyle="1">
    <w:name w:val="xl57"/>
    <w:basedOn w:val="83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5" w:customStyle="1">
    <w:name w:val="并列样式"/>
    <w:basedOn w:val="838"/>
    <w:next w:val="838"/>
    <w:uiPriority w:val="0"/>
    <w:qFormat/>
    <w:pPr>
      <w:ind w:left="839" w:hanging="419"/>
      <w:spacing w:before="120" w:after="120" w:line="360" w:lineRule="exact"/>
      <w:tabs>
        <w:tab w:val="left" w:pos="839" w:leader="none"/>
      </w:tabs>
    </w:pPr>
    <w:rPr>
      <w:sz w:val="24"/>
      <w:szCs w:val="20"/>
    </w:rPr>
  </w:style>
  <w:style w:type="paragraph" w:styleId="1186" w:customStyle="1">
    <w:name w:val="_Style 12"/>
    <w:basedOn w:val="856"/>
    <w:uiPriority w:val="0"/>
    <w:qFormat/>
    <w:pPr>
      <w:jc w:val="left"/>
      <w:spacing w:line="360" w:lineRule="auto"/>
      <w:shd w:val="clear" w:color="auto" w:fill="000080"/>
      <w:widowControl/>
    </w:pPr>
    <w:rPr>
      <w:rFonts w:ascii="Times New Roman"/>
      <w:sz w:val="24"/>
      <w:szCs w:val="20"/>
      <w:shd w:val="clear" w:color="auto" w:fill="000080"/>
    </w:rPr>
  </w:style>
  <w:style w:type="paragraph" w:styleId="1187" w:customStyle="1">
    <w:name w:val="xl56"/>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8" w:customStyle="1">
    <w:name w:val="xl48"/>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89"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90" w:customStyle="1">
    <w:name w:val="xl58"/>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91" w:customStyle="1">
    <w:name w:val="xl51"/>
    <w:basedOn w:val="8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92" w:customStyle="1">
    <w:name w:val="font151"/>
    <w:uiPriority w:val="0"/>
    <w:qFormat/>
    <w:rPr>
      <w:rFonts w:hint="default" w:ascii="Times New Roman" w:hAnsi="Times New Roman" w:eastAsia="宋体" w:cs="Times New Roman"/>
      <w:color w:val="dd0806"/>
      <w:sz w:val="21"/>
      <w:szCs w:val="21"/>
      <w:u w:val="none"/>
    </w:rPr>
  </w:style>
  <w:style w:type="character" w:styleId="1193" w:customStyle="1">
    <w:name w:val="font41"/>
    <w:uiPriority w:val="0"/>
    <w:qFormat/>
    <w:rPr>
      <w:rFonts w:hint="eastAsia" w:ascii="宋体" w:hAnsi="宋体" w:eastAsia="宋体" w:cs="宋体"/>
      <w:color w:val="000000"/>
      <w:sz w:val="18"/>
      <w:szCs w:val="18"/>
      <w:u w:val="none"/>
    </w:rPr>
  </w:style>
  <w:style w:type="character" w:styleId="1194" w:customStyle="1">
    <w:name w:val="font31"/>
    <w:uiPriority w:val="0"/>
    <w:qFormat/>
    <w:rPr>
      <w:rFonts w:ascii="微软雅黑" w:hAnsi="微软雅黑" w:eastAsia="微软雅黑" w:cs="微软雅黑"/>
      <w:color w:val="000000"/>
      <w:sz w:val="21"/>
      <w:szCs w:val="21"/>
      <w:u w:val="none"/>
    </w:rPr>
  </w:style>
  <w:style w:type="character" w:styleId="1195" w:customStyle="1">
    <w:name w:val="font51"/>
    <w:uiPriority w:val="0"/>
    <w:qFormat/>
    <w:rPr>
      <w:rFonts w:hint="default" w:ascii="Times New Roman" w:hAnsi="Times New Roman" w:eastAsia="宋体" w:cs="Times New Roman"/>
      <w:color w:val="000000"/>
      <w:sz w:val="21"/>
      <w:szCs w:val="21"/>
      <w:u w:val="none"/>
    </w:rPr>
  </w:style>
  <w:style w:type="character" w:styleId="1196" w:customStyle="1">
    <w:name w:val="apple-style-span"/>
    <w:uiPriority w:val="0"/>
    <w:qFormat/>
  </w:style>
  <w:style w:type="character" w:styleId="1197" w:customStyle="1">
    <w:name w:val="font131"/>
    <w:uiPriority w:val="0"/>
    <w:qFormat/>
    <w:rPr>
      <w:rFonts w:hint="default" w:ascii="Times New Roman" w:hAnsi="Times New Roman" w:eastAsia="宋体" w:cs="Times New Roman"/>
      <w:color w:val="333333"/>
      <w:sz w:val="20"/>
      <w:szCs w:val="20"/>
      <w:u w:val="none"/>
    </w:rPr>
  </w:style>
  <w:style w:type="character" w:styleId="1198" w:customStyle="1">
    <w:name w:val="font171"/>
    <w:uiPriority w:val="0"/>
    <w:qFormat/>
    <w:rPr>
      <w:rFonts w:hint="default" w:ascii="微软雅黑" w:hAnsi="微软雅黑" w:eastAsia="微软雅黑" w:cs="微软雅黑"/>
      <w:color w:val="000000"/>
      <w:sz w:val="21"/>
      <w:szCs w:val="21"/>
      <w:u w:val="none"/>
    </w:rPr>
  </w:style>
  <w:style w:type="character" w:styleId="1199" w:customStyle="1">
    <w:name w:val="font101"/>
    <w:uiPriority w:val="0"/>
    <w:qFormat/>
    <w:rPr>
      <w:rFonts w:hint="eastAsia" w:ascii="宋体" w:hAnsi="宋体" w:eastAsia="宋体" w:cs="宋体"/>
      <w:color w:val="000000"/>
      <w:sz w:val="21"/>
      <w:szCs w:val="21"/>
      <w:u w:val="none"/>
    </w:rPr>
  </w:style>
  <w:style w:type="character" w:styleId="1200" w:customStyle="1">
    <w:name w:val="font61"/>
    <w:uiPriority w:val="0"/>
    <w:qFormat/>
    <w:rPr>
      <w:rFonts w:ascii="Batang" w:hAnsi="Batang" w:eastAsia="Batang" w:cs="Batang"/>
      <w:color w:val="000000"/>
      <w:sz w:val="21"/>
      <w:szCs w:val="21"/>
      <w:u w:val="none"/>
    </w:rPr>
  </w:style>
  <w:style w:type="character" w:styleId="1201" w:customStyle="1">
    <w:name w:val="font161"/>
    <w:uiPriority w:val="0"/>
    <w:qFormat/>
    <w:rPr>
      <w:rFonts w:hint="eastAsia" w:ascii="宋体" w:hAnsi="宋体" w:eastAsia="宋体" w:cs="宋体"/>
      <w:color w:val="333333"/>
      <w:sz w:val="20"/>
      <w:szCs w:val="20"/>
      <w:u w:val="none"/>
    </w:rPr>
  </w:style>
  <w:style w:type="character" w:styleId="1202" w:customStyle="1">
    <w:name w:val="font191"/>
    <w:uiPriority w:val="0"/>
    <w:qFormat/>
    <w:rPr>
      <w:rFonts w:hint="eastAsia" w:ascii="宋体" w:hAnsi="宋体" w:eastAsia="宋体" w:cs="宋体"/>
      <w:color w:val="000000"/>
      <w:sz w:val="21"/>
      <w:szCs w:val="21"/>
      <w:u w:val="none"/>
    </w:rPr>
  </w:style>
  <w:style w:type="character" w:styleId="1203"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204" w:customStyle="1">
    <w:name w:val="font91"/>
    <w:uiPriority w:val="0"/>
    <w:qFormat/>
    <w:rPr>
      <w:rFonts w:hint="default" w:ascii="微软雅黑" w:hAnsi="微软雅黑" w:eastAsia="微软雅黑" w:cs="微软雅黑"/>
      <w:color w:val="ff0000"/>
      <w:sz w:val="21"/>
      <w:szCs w:val="21"/>
      <w:u w:val="none"/>
    </w:rPr>
  </w:style>
  <w:style w:type="character" w:styleId="1205" w:customStyle="1">
    <w:name w:val="font01"/>
    <w:uiPriority w:val="0"/>
    <w:qFormat/>
    <w:rPr>
      <w:rFonts w:hint="eastAsia" w:ascii="宋体" w:hAnsi="宋体" w:eastAsia="宋体" w:cs="宋体"/>
      <w:color w:val="333333"/>
      <w:sz w:val="24"/>
      <w:szCs w:val="24"/>
      <w:u w:val="none"/>
    </w:rPr>
  </w:style>
  <w:style w:type="character" w:styleId="1206" w:customStyle="1">
    <w:name w:val="font81"/>
    <w:uiPriority w:val="0"/>
    <w:qFormat/>
    <w:rPr>
      <w:rFonts w:ascii="微软雅黑" w:hAnsi="微软雅黑" w:eastAsia="微软雅黑" w:cs="微软雅黑"/>
      <w:color w:val="000000"/>
      <w:sz w:val="21"/>
      <w:szCs w:val="21"/>
      <w:u w:val="none"/>
    </w:rPr>
  </w:style>
  <w:style w:type="character" w:styleId="1207"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208" w:customStyle="1">
    <w:name w:val="font71"/>
    <w:uiPriority w:val="0"/>
    <w:qFormat/>
    <w:rPr>
      <w:rFonts w:hint="default" w:ascii="Times New Roman" w:hAnsi="Times New Roman" w:eastAsia="宋体" w:cs="Times New Roman"/>
      <w:color w:val="000000"/>
      <w:sz w:val="21"/>
      <w:szCs w:val="21"/>
      <w:u w:val="none"/>
    </w:rPr>
  </w:style>
  <w:style w:type="character" w:styleId="1209"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210" w:customStyle="1">
    <w:name w:val="font121"/>
    <w:uiPriority w:val="0"/>
    <w:qFormat/>
    <w:rPr>
      <w:rFonts w:hint="default" w:ascii="微软雅黑" w:hAnsi="微软雅黑" w:eastAsia="微软雅黑" w:cs="微软雅黑"/>
      <w:color w:val="000000"/>
      <w:sz w:val="21"/>
      <w:szCs w:val="21"/>
      <w:u w:val="none"/>
    </w:rPr>
  </w:style>
  <w:style w:type="paragraph" w:styleId="1211" w:customStyle="1">
    <w:name w:val="Table Text"/>
    <w:link w:val="1212"/>
    <w:uiPriority w:val="0"/>
    <w:qFormat/>
    <w:pPr>
      <w:tabs>
        <w:tab w:val="decimal" w:pos="0" w:leader="none"/>
      </w:tabs>
    </w:pPr>
    <w:rPr>
      <w:rFonts w:ascii="Arial" w:hAnsi="Arial" w:eastAsia="宋体" w:cs="Times New Roman"/>
      <w:sz w:val="21"/>
      <w:szCs w:val="21"/>
      <w:lang w:val="en-US" w:eastAsia="zh-CN" w:bidi="ar-SA"/>
    </w:rPr>
  </w:style>
  <w:style w:type="character" w:styleId="1212" w:customStyle="1">
    <w:name w:val="Table Text Char1"/>
    <w:link w:val="1211"/>
    <w:uiPriority w:val="0"/>
    <w:qFormat/>
    <w:rPr>
      <w:rFonts w:ascii="Arial" w:hAnsi="Arial"/>
      <w:sz w:val="21"/>
      <w:szCs w:val="21"/>
    </w:rPr>
  </w:style>
  <w:style w:type="paragraph" w:styleId="1213"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214" w:customStyle="1">
    <w:name w:val="段"/>
    <w:next w:val="838"/>
    <w:link w:val="1231"/>
    <w:uiPriority w:val="99"/>
    <w:qFormat/>
    <w:pPr>
      <w:ind w:firstLine="200"/>
      <w:jc w:val="both"/>
    </w:pPr>
    <w:rPr>
      <w:rFonts w:ascii="宋体" w:hAnsi="Times New Roman" w:eastAsia="宋体" w:cs="Times New Roman"/>
      <w:sz w:val="21"/>
      <w:lang w:val="en-US" w:eastAsia="zh-CN" w:bidi="ar-SA"/>
    </w:rPr>
  </w:style>
  <w:style w:type="paragraph" w:styleId="1215" w:customStyle="1">
    <w:name w:val="标题 1GM"/>
    <w:basedOn w:val="839"/>
    <w:uiPriority w:val="0"/>
    <w:qFormat/>
    <w:pPr>
      <w:ind w:left="0" w:firstLine="0"/>
      <w:spacing w:before="0" w:after="0" w:line="360" w:lineRule="auto"/>
      <w:outlineLvl w:val="1"/>
    </w:pPr>
    <w:rPr>
      <w:rFonts w:ascii="楷体" w:hAnsi="Calibri" w:eastAsia="楷体"/>
      <w:color w:val="000000"/>
      <w:sz w:val="30"/>
      <w:szCs w:val="30"/>
    </w:rPr>
  </w:style>
  <w:style w:type="paragraph" w:styleId="1216" w:customStyle="1">
    <w:name w:val="默认段落字体 Para Char Char Char Char"/>
    <w:basedOn w:val="838"/>
    <w:uiPriority w:val="0"/>
    <w:qFormat/>
    <w:rPr>
      <w:szCs w:val="24"/>
    </w:rPr>
  </w:style>
  <w:style w:type="paragraph" w:styleId="1217" w:customStyle="1">
    <w:name w:val="p17"/>
    <w:uiPriority w:val="0"/>
    <w:qFormat/>
    <w:pPr>
      <w:ind w:firstLine="420"/>
    </w:pPr>
    <w:rPr>
      <w:rFonts w:ascii="宋体" w:hAnsi="Times New Roman" w:eastAsia="宋体" w:cs="宋体"/>
      <w:lang w:val="en-US" w:eastAsia="zh-CN" w:bidi="ar-SA"/>
    </w:rPr>
  </w:style>
  <w:style w:type="character" w:styleId="1218" w:customStyle="1">
    <w:name w:val="font112"/>
    <w:uiPriority w:val="0"/>
    <w:qFormat/>
    <w:rPr>
      <w:rFonts w:ascii="宋体" w:eastAsia="宋体" w:cs="宋体"/>
      <w:color w:val="000000"/>
      <w:sz w:val="18"/>
      <w:szCs w:val="18"/>
      <w:u w:val="none"/>
    </w:rPr>
  </w:style>
  <w:style w:type="paragraph" w:styleId="1219" w:customStyle="1">
    <w:name w:val="Char1"/>
    <w:basedOn w:val="838"/>
    <w:uiPriority w:val="0"/>
    <w:qFormat/>
    <w:rPr>
      <w:szCs w:val="24"/>
    </w:rPr>
  </w:style>
  <w:style w:type="paragraph" w:styleId="1220" w:customStyle="1">
    <w:name w:val="reader-word-layer reader-word-s1-1"/>
    <w:basedOn w:val="838"/>
    <w:uiPriority w:val="0"/>
    <w:qFormat/>
    <w:pPr>
      <w:jc w:val="left"/>
      <w:spacing w:before="100" w:beforeAutospacing="1" w:after="100" w:afterAutospacing="1"/>
      <w:widowControl/>
    </w:pPr>
    <w:rPr>
      <w:rFonts w:ascii="宋体" w:hAnsi="Calibri" w:cs="宋体"/>
      <w:sz w:val="24"/>
    </w:rPr>
  </w:style>
  <w:style w:type="paragraph" w:styleId="1221" w:customStyle="1">
    <w:name w:val="列出段落2"/>
    <w:basedOn w:val="838"/>
    <w:uiPriority w:val="34"/>
    <w:qFormat/>
    <w:pPr>
      <w:ind w:firstLine="200"/>
    </w:pPr>
    <w:rPr>
      <w:szCs w:val="24"/>
    </w:rPr>
  </w:style>
  <w:style w:type="paragraph" w:styleId="1222" w:customStyle="1">
    <w:name w:val="1"/>
    <w:basedOn w:val="838"/>
    <w:next w:val="1221"/>
    <w:uiPriority w:val="0"/>
    <w:qFormat/>
    <w:pPr>
      <w:ind w:firstLine="200"/>
    </w:pPr>
    <w:rPr>
      <w:szCs w:val="24"/>
    </w:rPr>
  </w:style>
  <w:style w:type="character" w:styleId="1223" w:customStyle="1">
    <w:name w:val="正文缩进 字符1"/>
    <w:uiPriority w:val="0"/>
    <w:qFormat/>
    <w:rPr>
      <w:rFonts w:ascii="Times New Roman" w:hAnsi="Times New Roman" w:eastAsia="宋体" w:cs="Times New Roman"/>
      <w:szCs w:val="24"/>
    </w:rPr>
  </w:style>
  <w:style w:type="character" w:styleId="1224" w:customStyle="1">
    <w:name w:val="Plain Text Char1"/>
    <w:uiPriority w:val="0"/>
    <w:qFormat/>
    <w:rPr>
      <w:rFonts w:ascii="宋体" w:hAnsi="Calibri"/>
      <w:sz w:val="21"/>
      <w:szCs w:val="22"/>
    </w:rPr>
  </w:style>
  <w:style w:type="paragraph" w:styleId="1225" w:customStyle="1">
    <w:name w:val="msonormal"/>
    <w:basedOn w:val="838"/>
    <w:uiPriority w:val="0"/>
    <w:qFormat/>
    <w:pPr>
      <w:jc w:val="left"/>
      <w:spacing w:before="100" w:beforeAutospacing="1" w:after="100" w:afterAutospacing="1"/>
      <w:widowControl/>
    </w:pPr>
    <w:rPr>
      <w:rFonts w:ascii="宋体" w:hAnsi="宋体" w:cs="宋体"/>
      <w:sz w:val="24"/>
      <w:szCs w:val="24"/>
    </w:rPr>
  </w:style>
  <w:style w:type="character" w:styleId="1226" w:customStyle="1">
    <w:name w:val="新正文 Char"/>
    <w:basedOn w:val="848"/>
    <w:link w:val="1227"/>
    <w:uiPriority w:val="0"/>
    <w:qFormat/>
    <w:rPr>
      <w:rFonts w:eastAsiaTheme="minorEastAsia" w:cstheme="minorBidi"/>
      <w:sz w:val="28"/>
      <w:szCs w:val="22"/>
    </w:rPr>
  </w:style>
  <w:style w:type="paragraph" w:styleId="1227" w:customStyle="1">
    <w:name w:val="新正文"/>
    <w:basedOn w:val="838"/>
    <w:link w:val="1226"/>
    <w:uiPriority w:val="0"/>
    <w:qFormat/>
    <w:pPr>
      <w:ind w:firstLine="200"/>
      <w:spacing w:line="360" w:lineRule="auto"/>
      <w:widowControl/>
    </w:pPr>
    <w:rPr>
      <w:rFonts w:eastAsiaTheme="minorEastAsia" w:cstheme="minorBidi"/>
      <w:sz w:val="28"/>
    </w:rPr>
  </w:style>
  <w:style w:type="table" w:styleId="1228" w:customStyle="1">
    <w:name w:val="网格型4"/>
    <w:basedOn w:val="849"/>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29" w:customStyle="1">
    <w:name w:val="网格型5"/>
    <w:basedOn w:val="849"/>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0" w:customStyle="1">
    <w:name w:val="修订4"/>
    <w:hidden/>
    <w:uiPriority w:val="99"/>
    <w:semiHidden/>
    <w:qFormat/>
    <w:rPr>
      <w:rFonts w:ascii="Times New Roman" w:hAnsi="Times New Roman" w:eastAsia="宋体" w:cs="Times New Roman"/>
      <w:sz w:val="21"/>
      <w:szCs w:val="22"/>
      <w:lang w:val="en-US" w:eastAsia="zh-CN" w:bidi="ar-SA"/>
    </w:rPr>
  </w:style>
  <w:style w:type="character" w:styleId="1231" w:customStyle="1">
    <w:name w:val="段 Char"/>
    <w:link w:val="1214"/>
    <w:uiPriority w:val="0"/>
    <w:qFormat/>
    <w:rPr>
      <w:rFonts w:ascii="宋体"/>
      <w:sz w:val="21"/>
    </w:rPr>
  </w:style>
  <w:style w:type="table" w:styleId="1232" w:customStyle="1">
    <w:name w:val="网格型6"/>
    <w:basedOn w:val="84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3" w:customStyle="1">
    <w:name w:val="正文首行缩进 2 Char"/>
    <w:basedOn w:val="945"/>
    <w:link w:val="895"/>
    <w:uiPriority w:val="99"/>
    <w:semiHidden/>
    <w:qFormat/>
    <w:rPr>
      <w:sz w:val="21"/>
      <w:szCs w:val="22"/>
    </w:rPr>
  </w:style>
  <w:style w:type="paragraph" w:styleId="1234" w:customStyle="1">
    <w:name w:val="标题1"/>
    <w:basedOn w:val="838"/>
    <w:next w:val="838"/>
    <w:uiPriority w:val="10"/>
    <w:qFormat/>
    <w:pPr>
      <w:contextualSpacing/>
      <w:spacing w:before="300" w:after="200"/>
    </w:pPr>
    <w:rPr>
      <w:rFonts w:ascii="Calibri" w:hAnsi="Calibri"/>
      <w:sz w:val="48"/>
      <w:szCs w:val="48"/>
    </w:rPr>
  </w:style>
  <w:style w:type="character" w:styleId="1235" w:customStyle="1">
    <w:name w:val="标题 Char"/>
    <w:basedOn w:val="848"/>
    <w:link w:val="892"/>
    <w:uiPriority w:val="10"/>
    <w:qFormat/>
    <w:rPr>
      <w:rFonts w:ascii="Calibri" w:hAnsi="Calibri" w:eastAsia="宋体" w:cs="Times New Roman"/>
      <w:sz w:val="48"/>
      <w:szCs w:val="48"/>
    </w:rPr>
  </w:style>
  <w:style w:type="paragraph" w:styleId="1236" w:customStyle="1">
    <w:name w:val="副标题1"/>
    <w:basedOn w:val="838"/>
    <w:next w:val="838"/>
    <w:uiPriority w:val="11"/>
    <w:qFormat/>
    <w:pPr>
      <w:spacing w:before="200" w:after="200"/>
    </w:pPr>
    <w:rPr>
      <w:rFonts w:ascii="Calibri" w:hAnsi="Calibri"/>
      <w:sz w:val="24"/>
      <w:szCs w:val="24"/>
    </w:rPr>
  </w:style>
  <w:style w:type="character" w:styleId="1237" w:customStyle="1">
    <w:name w:val="副标题 Char"/>
    <w:basedOn w:val="848"/>
    <w:link w:val="879"/>
    <w:uiPriority w:val="11"/>
    <w:qFormat/>
    <w:rPr>
      <w:rFonts w:ascii="Calibri" w:hAnsi="Calibri" w:eastAsia="宋体" w:cs="Times New Roman"/>
      <w:sz w:val="24"/>
      <w:szCs w:val="24"/>
    </w:rPr>
  </w:style>
  <w:style w:type="paragraph" w:styleId="1238" w:customStyle="1">
    <w:name w:val="引用1"/>
    <w:basedOn w:val="838"/>
    <w:next w:val="838"/>
    <w:uiPriority w:val="29"/>
    <w:qFormat/>
    <w:pPr>
      <w:ind w:left="720" w:right="720"/>
    </w:pPr>
    <w:rPr>
      <w:rFonts w:ascii="Calibri" w:hAnsi="Calibri"/>
      <w:i/>
      <w:szCs w:val="24"/>
    </w:rPr>
  </w:style>
  <w:style w:type="character" w:styleId="1239" w:customStyle="1">
    <w:name w:val="引用 Char"/>
    <w:basedOn w:val="848"/>
    <w:link w:val="1240"/>
    <w:uiPriority w:val="29"/>
    <w:qFormat/>
    <w:rPr>
      <w:rFonts w:ascii="Calibri" w:hAnsi="Calibri" w:eastAsia="宋体" w:cs="Times New Roman"/>
      <w:i/>
      <w:sz w:val="21"/>
      <w:szCs w:val="24"/>
    </w:rPr>
  </w:style>
  <w:style w:type="paragraph" w:styleId="1240">
    <w:name w:val="Quote"/>
    <w:basedOn w:val="838"/>
    <w:next w:val="838"/>
    <w:link w:val="1239"/>
    <w:uiPriority w:val="29"/>
    <w:qFormat/>
    <w:pPr>
      <w:ind w:left="864" w:right="864"/>
      <w:jc w:val="center"/>
      <w:spacing w:before="200" w:after="160"/>
    </w:pPr>
    <w:rPr>
      <w:rFonts w:ascii="Calibri" w:hAnsi="Calibri"/>
      <w:i/>
      <w:szCs w:val="24"/>
    </w:rPr>
  </w:style>
  <w:style w:type="paragraph" w:styleId="1241" w:customStyle="1">
    <w:name w:val="明显引用1"/>
    <w:basedOn w:val="838"/>
    <w:next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4"/>
    </w:rPr>
  </w:style>
  <w:style w:type="character" w:styleId="1242" w:customStyle="1">
    <w:name w:val="明显引用 Char"/>
    <w:basedOn w:val="848"/>
    <w:link w:val="1243"/>
    <w:uiPriority w:val="30"/>
    <w:qFormat/>
    <w:rPr>
      <w:rFonts w:ascii="Calibri" w:hAnsi="Calibri" w:eastAsia="宋体" w:cs="Times New Roman"/>
      <w:i/>
      <w:sz w:val="21"/>
      <w:szCs w:val="24"/>
      <w:shd w:val="clear" w:color="auto" w:fill="f2f2f2"/>
    </w:rPr>
  </w:style>
  <w:style w:type="paragraph" w:styleId="1243">
    <w:name w:val="Intense Quote"/>
    <w:basedOn w:val="838"/>
    <w:next w:val="838"/>
    <w:link w:val="1242"/>
    <w:uiPriority w:val="30"/>
    <w:qFormat/>
    <w:pPr>
      <w:ind w:left="864" w:right="864"/>
      <w:jc w:val="center"/>
      <w:spacing w:before="360" w:after="360"/>
      <w:pBdr>
        <w:top w:val="single" w:color="4F81BD" w:themeColor="accent1" w:sz="4" w:space="10"/>
        <w:bottom w:val="single" w:color="4F81BD" w:themeColor="accent1" w:sz="4" w:space="10"/>
      </w:pBdr>
    </w:pPr>
    <w:rPr>
      <w:rFonts w:ascii="Calibri" w:hAnsi="Calibri"/>
      <w:i/>
      <w:szCs w:val="24"/>
    </w:rPr>
  </w:style>
  <w:style w:type="character" w:styleId="1244" w:customStyle="1">
    <w:name w:val="Footer Char"/>
    <w:basedOn w:val="848"/>
    <w:uiPriority w:val="99"/>
    <w:qFormat/>
  </w:style>
  <w:style w:type="table" w:styleId="1245" w:customStyle="1">
    <w:name w:val="Table Grid Light"/>
    <w:basedOn w:val="84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246" w:customStyle="1">
    <w:name w:val="Grid Table 1 Light - Accent 1"/>
    <w:basedOn w:val="849"/>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1247" w:customStyle="1">
    <w:name w:val="Grid Table 1 Light - Accent 2"/>
    <w:basedOn w:val="849"/>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1248" w:customStyle="1">
    <w:name w:val="Grid Table 1 Light - Accent 3"/>
    <w:basedOn w:val="849"/>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1249" w:customStyle="1">
    <w:name w:val="Grid Table 1 Light - Accent 4"/>
    <w:basedOn w:val="849"/>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1250" w:customStyle="1">
    <w:name w:val="Grid Table 1 Light - Accent 5"/>
    <w:basedOn w:val="849"/>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1251" w:customStyle="1">
    <w:name w:val="Grid Table 1 Light - Accent 6"/>
    <w:basedOn w:val="849"/>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1252" w:customStyle="1">
    <w:name w:val="Grid Table 2 - Accent 1"/>
    <w:basedOn w:val="849"/>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1253" w:customStyle="1">
    <w:name w:val="Grid Table 2 - Accent 2"/>
    <w:basedOn w:val="849"/>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1254" w:customStyle="1">
    <w:name w:val="Grid Table 2 - Accent 3"/>
    <w:basedOn w:val="849"/>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1255" w:customStyle="1">
    <w:name w:val="Grid Table 2 - Accent 4"/>
    <w:basedOn w:val="849"/>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1256" w:customStyle="1">
    <w:name w:val="Grid Table 2 - Accent 5"/>
    <w:basedOn w:val="849"/>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1257" w:customStyle="1">
    <w:name w:val="Grid Table 2 - Accent 6"/>
    <w:basedOn w:val="849"/>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1258" w:customStyle="1">
    <w:name w:val="Grid Table 3 - Accent 1"/>
    <w:basedOn w:val="849"/>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9" w:customStyle="1">
    <w:name w:val="Grid Table 3 - Accent 2"/>
    <w:basedOn w:val="849"/>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0" w:customStyle="1">
    <w:name w:val="Grid Table 3 - Accent 3"/>
    <w:basedOn w:val="849"/>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1" w:customStyle="1">
    <w:name w:val="Grid Table 3 - Accent 4"/>
    <w:basedOn w:val="849"/>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2" w:customStyle="1">
    <w:name w:val="Grid Table 3 - Accent 5"/>
    <w:basedOn w:val="849"/>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3" w:customStyle="1">
    <w:name w:val="Grid Table 3 - Accent 6"/>
    <w:basedOn w:val="849"/>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4" w:customStyle="1">
    <w:name w:val="Grid Table 4 - Accent 1"/>
    <w:basedOn w:val="849"/>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265" w:customStyle="1">
    <w:name w:val="Grid Table 4 - Accent 2"/>
    <w:basedOn w:val="849"/>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1266" w:customStyle="1">
    <w:name w:val="Grid Table 4 - Accent 3"/>
    <w:basedOn w:val="849"/>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1267" w:customStyle="1">
    <w:name w:val="Grid Table 4 - Accent 4"/>
    <w:basedOn w:val="849"/>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268" w:customStyle="1">
    <w:name w:val="Grid Table 4 - Accent 5"/>
    <w:basedOn w:val="849"/>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269" w:customStyle="1">
    <w:name w:val="Grid Table 4 - Accent 6"/>
    <w:basedOn w:val="849"/>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270" w:customStyle="1">
    <w:name w:val="Grid Table 5 Dark- Accent 1"/>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271" w:customStyle="1">
    <w:name w:val="Grid Table 5 Dark - Accent 2"/>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272" w:customStyle="1">
    <w:name w:val="Grid Table 5 Dark - Accent 3"/>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273" w:customStyle="1">
    <w:name w:val="Grid Table 5 Dark- Accent 4"/>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274" w:customStyle="1">
    <w:name w:val="Grid Table 5 Dark - Accent 5"/>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275" w:customStyle="1">
    <w:name w:val="Grid Table 5 Dark - Accent 6"/>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276" w:customStyle="1">
    <w:name w:val="Grid Table 6 Colorful - Accent 1"/>
    <w:basedOn w:val="849"/>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277" w:customStyle="1">
    <w:name w:val="Grid Table 6 Colorful - Accent 2"/>
    <w:basedOn w:val="849"/>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278" w:customStyle="1">
    <w:name w:val="Grid Table 6 Colorful - Accent 3"/>
    <w:basedOn w:val="849"/>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279" w:customStyle="1">
    <w:name w:val="Grid Table 6 Colorful - Accent 4"/>
    <w:basedOn w:val="849"/>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280" w:customStyle="1">
    <w:name w:val="Grid Table 6 Colorful - Accent 5"/>
    <w:basedOn w:val="849"/>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281" w:customStyle="1">
    <w:name w:val="Grid Table 6 Colorful - Accent 6"/>
    <w:basedOn w:val="849"/>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282" w:customStyle="1">
    <w:name w:val="Grid Table 7 Colorful - Accent 1"/>
    <w:basedOn w:val="849"/>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283" w:customStyle="1">
    <w:name w:val="Grid Table 7 Colorful - Accent 2"/>
    <w:basedOn w:val="849"/>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284" w:customStyle="1">
    <w:name w:val="Grid Table 7 Colorful - Accent 3"/>
    <w:basedOn w:val="849"/>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285" w:customStyle="1">
    <w:name w:val="Grid Table 7 Colorful - Accent 4"/>
    <w:basedOn w:val="849"/>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286" w:customStyle="1">
    <w:name w:val="Grid Table 7 Colorful - Accent 5"/>
    <w:basedOn w:val="849"/>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287" w:customStyle="1">
    <w:name w:val="Grid Table 7 Colorful - Accent 6"/>
    <w:basedOn w:val="849"/>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288" w:customStyle="1">
    <w:name w:val="List Table 1 Light - Accent 1"/>
    <w:basedOn w:val="849"/>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289" w:customStyle="1">
    <w:name w:val="List Table 1 Light - Accent 2"/>
    <w:basedOn w:val="849"/>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290" w:customStyle="1">
    <w:name w:val="List Table 1 Light - Accent 3"/>
    <w:basedOn w:val="849"/>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291" w:customStyle="1">
    <w:name w:val="List Table 1 Light - Accent 4"/>
    <w:basedOn w:val="849"/>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292" w:customStyle="1">
    <w:name w:val="List Table 1 Light - Accent 5"/>
    <w:basedOn w:val="849"/>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293" w:customStyle="1">
    <w:name w:val="List Table 1 Light - Accent 6"/>
    <w:basedOn w:val="849"/>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294" w:customStyle="1">
    <w:name w:val="List Table 2 - Accent 1"/>
    <w:basedOn w:val="849"/>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295" w:customStyle="1">
    <w:name w:val="List Table 2 - Accent 2"/>
    <w:basedOn w:val="849"/>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296" w:customStyle="1">
    <w:name w:val="List Table 2 - Accent 3"/>
    <w:basedOn w:val="849"/>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297" w:customStyle="1">
    <w:name w:val="List Table 2 - Accent 4"/>
    <w:basedOn w:val="849"/>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298" w:customStyle="1">
    <w:name w:val="List Table 2 - Accent 5"/>
    <w:basedOn w:val="849"/>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299" w:customStyle="1">
    <w:name w:val="List Table 2 - Accent 6"/>
    <w:basedOn w:val="849"/>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300" w:customStyle="1">
    <w:name w:val="List Table 3 - Accent 1"/>
    <w:basedOn w:val="849"/>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301" w:customStyle="1">
    <w:name w:val="List Table 3 - Accent 2"/>
    <w:basedOn w:val="849"/>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302" w:customStyle="1">
    <w:name w:val="List Table 3 - Accent 3"/>
    <w:basedOn w:val="849"/>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303" w:customStyle="1">
    <w:name w:val="List Table 3 - Accent 4"/>
    <w:basedOn w:val="849"/>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304" w:customStyle="1">
    <w:name w:val="List Table 3 - Accent 5"/>
    <w:basedOn w:val="849"/>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305" w:customStyle="1">
    <w:name w:val="List Table 3 - Accent 6"/>
    <w:basedOn w:val="849"/>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306" w:customStyle="1">
    <w:name w:val="List Table 4 - Accent 1"/>
    <w:basedOn w:val="849"/>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307" w:customStyle="1">
    <w:name w:val="List Table 4 - Accent 2"/>
    <w:basedOn w:val="849"/>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308" w:customStyle="1">
    <w:name w:val="List Table 4 - Accent 3"/>
    <w:basedOn w:val="849"/>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309" w:customStyle="1">
    <w:name w:val="List Table 4 - Accent 4"/>
    <w:basedOn w:val="849"/>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310" w:customStyle="1">
    <w:name w:val="List Table 4 - Accent 5"/>
    <w:basedOn w:val="849"/>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311" w:customStyle="1">
    <w:name w:val="List Table 4 - Accent 6"/>
    <w:basedOn w:val="849"/>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312" w:customStyle="1">
    <w:name w:val="List Table 5 Dark - Accent 1"/>
    <w:basedOn w:val="849"/>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313" w:customStyle="1">
    <w:name w:val="List Table 5 Dark - Accent 2"/>
    <w:basedOn w:val="849"/>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314" w:customStyle="1">
    <w:name w:val="List Table 5 Dark - Accent 3"/>
    <w:basedOn w:val="849"/>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315" w:customStyle="1">
    <w:name w:val="List Table 5 Dark - Accent 4"/>
    <w:basedOn w:val="849"/>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316" w:customStyle="1">
    <w:name w:val="List Table 5 Dark - Accent 5"/>
    <w:basedOn w:val="849"/>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317" w:customStyle="1">
    <w:name w:val="List Table 5 Dark - Accent 6"/>
    <w:basedOn w:val="849"/>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318" w:customStyle="1">
    <w:name w:val="List Table 6 Colorful - Accent 1"/>
    <w:basedOn w:val="849"/>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319" w:customStyle="1">
    <w:name w:val="List Table 6 Colorful - Accent 2"/>
    <w:basedOn w:val="849"/>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320" w:customStyle="1">
    <w:name w:val="List Table 6 Colorful - Accent 3"/>
    <w:basedOn w:val="849"/>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321" w:customStyle="1">
    <w:name w:val="List Table 6 Colorful - Accent 4"/>
    <w:basedOn w:val="849"/>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322" w:customStyle="1">
    <w:name w:val="List Table 6 Colorful - Accent 5"/>
    <w:basedOn w:val="849"/>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323" w:customStyle="1">
    <w:name w:val="List Table 6 Colorful - Accent 6"/>
    <w:basedOn w:val="849"/>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324" w:customStyle="1">
    <w:name w:val="List Table 7 Colorful - Accent 1"/>
    <w:basedOn w:val="849"/>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325" w:customStyle="1">
    <w:name w:val="List Table 7 Colorful - Accent 2"/>
    <w:basedOn w:val="849"/>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326" w:customStyle="1">
    <w:name w:val="List Table 7 Colorful - Accent 3"/>
    <w:basedOn w:val="849"/>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327" w:customStyle="1">
    <w:name w:val="List Table 7 Colorful - Accent 4"/>
    <w:basedOn w:val="849"/>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328" w:customStyle="1">
    <w:name w:val="List Table 7 Colorful - Accent 5"/>
    <w:basedOn w:val="849"/>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329" w:customStyle="1">
    <w:name w:val="List Table 7 Colorful - Accent 6"/>
    <w:basedOn w:val="849"/>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330" w:customStyle="1">
    <w:name w:val="Lined - Accent"/>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31" w:customStyle="1">
    <w:name w:val="Lined - Accent 1"/>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32" w:customStyle="1">
    <w:name w:val="Lined - Accent 2"/>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333" w:customStyle="1">
    <w:name w:val="Lined - Accent 3"/>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334" w:customStyle="1">
    <w:name w:val="Lined - Accent 4"/>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335" w:customStyle="1">
    <w:name w:val="Lined - Accent 5"/>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336" w:customStyle="1">
    <w:name w:val="Lined - Accent 6"/>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337" w:customStyle="1">
    <w:name w:val="Bordered &amp; Lined - Accent"/>
    <w:basedOn w:val="849"/>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38" w:customStyle="1">
    <w:name w:val="Bordered &amp; Lined - Accent 1"/>
    <w:basedOn w:val="849"/>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39" w:customStyle="1">
    <w:name w:val="Bordered &amp; Lined - Accent 2"/>
    <w:basedOn w:val="849"/>
    <w:uiPriority w:val="99"/>
    <w:qFormat/>
    <w:rPr>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340" w:customStyle="1">
    <w:name w:val="Bordered &amp; Lined - Accent 3"/>
    <w:basedOn w:val="849"/>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341" w:customStyle="1">
    <w:name w:val="Bordered &amp; Lined - Accent 4"/>
    <w:basedOn w:val="849"/>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342" w:customStyle="1">
    <w:name w:val="Bordered &amp; Lined - Accent 5"/>
    <w:basedOn w:val="849"/>
    <w:uiPriority w:val="99"/>
    <w:qFormat/>
    <w:rPr>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343" w:customStyle="1">
    <w:name w:val="Bordered &amp; Lined - Accent 6"/>
    <w:basedOn w:val="849"/>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344" w:customStyle="1">
    <w:name w:val="Bordered"/>
    <w:basedOn w:val="849"/>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45" w:customStyle="1">
    <w:name w:val="Bordered - Accent 1"/>
    <w:basedOn w:val="849"/>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346" w:customStyle="1">
    <w:name w:val="Bordered - Accent 2"/>
    <w:basedOn w:val="849"/>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347" w:customStyle="1">
    <w:name w:val="Bordered - Accent 3"/>
    <w:basedOn w:val="849"/>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348" w:customStyle="1">
    <w:name w:val="Bordered - Accent 4"/>
    <w:basedOn w:val="849"/>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349" w:customStyle="1">
    <w:name w:val="Bordered - Accent 5"/>
    <w:basedOn w:val="849"/>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350" w:customStyle="1">
    <w:name w:val="Bordered - Accent 6"/>
    <w:basedOn w:val="849"/>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351" w:customStyle="1">
    <w:name w:val="尾注文本1"/>
    <w:basedOn w:val="838"/>
    <w:next w:val="871"/>
    <w:link w:val="1352"/>
    <w:uiPriority w:val="99"/>
    <w:semiHidden/>
    <w:unhideWhenUsed/>
    <w:qFormat/>
    <w:rPr>
      <w:rFonts w:ascii="Calibri" w:hAnsi="Calibri"/>
      <w:sz w:val="20"/>
      <w:szCs w:val="24"/>
    </w:rPr>
  </w:style>
  <w:style w:type="character" w:styleId="1352" w:customStyle="1">
    <w:name w:val="尾注文本 Char"/>
    <w:basedOn w:val="848"/>
    <w:link w:val="1351"/>
    <w:uiPriority w:val="99"/>
    <w:semiHidden/>
    <w:qFormat/>
    <w:rPr>
      <w:rFonts w:ascii="Calibri" w:hAnsi="Calibri" w:eastAsia="宋体" w:cs="Times New Roman"/>
      <w:szCs w:val="24"/>
    </w:rPr>
  </w:style>
  <w:style w:type="paragraph" w:styleId="1353" w:customStyle="1">
    <w:name w:val="TOC 标题2"/>
    <w:uiPriority w:val="39"/>
    <w:unhideWhenUsed/>
    <w:qFormat/>
    <w:rPr>
      <w:rFonts w:ascii="Times New Roman" w:hAnsi="Times New Roman" w:eastAsia="宋体" w:cs="Times New Roman"/>
      <w:lang w:val="en-US" w:eastAsia="zh-CN" w:bidi="ar-SA"/>
    </w:rPr>
  </w:style>
  <w:style w:type="character" w:styleId="1354" w:customStyle="1">
    <w:name w:val="标题 Char1"/>
    <w:basedOn w:val="848"/>
    <w:uiPriority w:val="10"/>
    <w:qFormat/>
    <w:rPr>
      <w:rFonts w:asciiTheme="majorHAnsi" w:hAnsiTheme="majorHAnsi" w:cstheme="majorBidi"/>
      <w:b/>
      <w:bCs/>
      <w:sz w:val="32"/>
      <w:szCs w:val="32"/>
    </w:rPr>
  </w:style>
  <w:style w:type="character" w:styleId="1355" w:customStyle="1">
    <w:name w:val="副标题 Char1"/>
    <w:basedOn w:val="848"/>
    <w:uiPriority w:val="11"/>
    <w:qFormat/>
    <w:rPr>
      <w:rFonts w:asciiTheme="majorHAnsi" w:hAnsiTheme="majorHAnsi" w:cstheme="majorBidi"/>
      <w:b/>
      <w:bCs/>
      <w:sz w:val="32"/>
      <w:szCs w:val="32"/>
    </w:rPr>
  </w:style>
  <w:style w:type="character" w:styleId="1356" w:customStyle="1">
    <w:name w:val="引用 Char1"/>
    <w:basedOn w:val="848"/>
    <w:uiPriority w:val="99"/>
    <w:qFormat/>
    <w:rPr>
      <w:i/>
      <w:iCs/>
      <w:color w:val="404040" w:themeColor="text1" w:themeTint="BF"/>
      <w:sz w:val="21"/>
      <w:szCs w:val="22"/>
      <w14:textFill>
        <w14:solidFill>
          <w14:schemeClr w14:val="tx1">
            <w14:lumMod w14:val="75000"/>
            <w14:lumOff w14:val="25000"/>
          </w14:schemeClr>
        </w14:solidFill>
      </w14:textFill>
    </w:rPr>
  </w:style>
  <w:style w:type="character" w:styleId="1357" w:customStyle="1">
    <w:name w:val="明显引用 Char1"/>
    <w:basedOn w:val="848"/>
    <w:uiPriority w:val="99"/>
    <w:qFormat/>
    <w:rPr>
      <w:i/>
      <w:iCs/>
      <w:color w:val="4f81bd" w:themeColor="accent1"/>
      <w:sz w:val="21"/>
      <w:szCs w:val="22"/>
      <w14:textFill>
        <w14:solidFill>
          <w14:schemeClr w14:val="accent1"/>
        </w14:solidFill>
      </w14:textFill>
    </w:rPr>
  </w:style>
  <w:style w:type="table" w:styleId="1358" w:customStyle="1">
    <w:name w:val="无格式表格 12"/>
    <w:basedOn w:val="84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9" w:customStyle="1">
    <w:name w:val="无格式表格 22"/>
    <w:basedOn w:val="84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0" w:customStyle="1">
    <w:name w:val="无格式表格 32"/>
    <w:basedOn w:val="84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tblStylePr w:type="nwCell">
      <w:tcPr>
        <w:tcBorders>
          <w:right w:val="none" w:color="000000" w:sz="4" w:space="0"/>
        </w:tcBorders>
      </w:tcPr>
    </w:tblStylePr>
    <w:tblStylePr w:type="neCell">
      <w:tcPr>
        <w:tcBorders>
          <w:left w:val="none" w:color="000000" w:sz="4" w:space="0"/>
        </w:tcBorders>
      </w:tcPr>
    </w:tblStylePr>
  </w:style>
  <w:style w:type="table" w:styleId="1361" w:customStyle="1">
    <w:name w:val="无格式表格 42"/>
    <w:basedOn w:val="84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2" w:customStyle="1">
    <w:name w:val="无格式表格 52"/>
    <w:basedOn w:val="849"/>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363" w:customStyle="1">
    <w:name w:val="网格表 1 浅色2"/>
    <w:basedOn w:val="84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364" w:customStyle="1">
    <w:name w:val="网格表 22"/>
    <w:basedOn w:val="849"/>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365" w:customStyle="1">
    <w:name w:val="网格表 32"/>
    <w:basedOn w:val="849"/>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366" w:customStyle="1">
    <w:name w:val="网格表 42"/>
    <w:basedOn w:val="84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367" w:customStyle="1">
    <w:name w:val="网格表 5 深色2"/>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368" w:customStyle="1">
    <w:name w:val="网格表 6 彩色2"/>
    <w:basedOn w:val="849"/>
    <w:uiPriority w:val="99"/>
    <w:qFormat/>
    <w:rPr>
      <w:color w:val="000000" w:themeColor="text1"/>
      <w14:textFill>
        <w14:solidFill>
          <w14:schemeClr w14:val="tx1"/>
        </w14:solidFill>
      </w14:textFill>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369" w:customStyle="1">
    <w:name w:val="网格表 7 彩色2"/>
    <w:basedOn w:val="849"/>
    <w:uiPriority w:val="99"/>
    <w:qFormat/>
    <w:rPr>
      <w:color w:val="000000" w:themeColor="text1"/>
      <w14:textFill>
        <w14:solidFill>
          <w14:schemeClr w14:val="tx1"/>
        </w14:solidFill>
      </w14:textFill>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370" w:customStyle="1">
    <w:name w:val="清单表 1 浅色2"/>
    <w:basedOn w:val="849"/>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371" w:customStyle="1">
    <w:name w:val="清单表 22"/>
    <w:basedOn w:val="849"/>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372" w:customStyle="1">
    <w:name w:val="清单表 32"/>
    <w:basedOn w:val="849"/>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1373" w:customStyle="1">
    <w:name w:val="清单表 42"/>
    <w:basedOn w:val="84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74" w:customStyle="1">
    <w:name w:val="清单表 5 深色2"/>
    <w:basedOn w:val="849"/>
    <w:uiPriority w:val="99"/>
    <w:qFormat/>
    <w:rPr>
      <w:color w:val="ffffff" w:themeColor="background1"/>
      <w14:textFill>
        <w14:solidFill>
          <w14:schemeClr w14:val="bg1"/>
        </w14:solidFill>
      </w14:textFill>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rPr>
        <w:b/>
        <w:bCs/>
      </w:rPr>
      <w:tcPr>
        <w:tcBorders>
          <w:left w:val="single" w:color="FFFFFF" w:sz="4" w:space="0"/>
          <w:right w:val="single" w:color="7F7F7F" w:sz="32" w:space="0"/>
        </w:tcBorders>
      </w:tcPr>
    </w:tblStylePr>
    <w:tblStylePr w:type="lastRow">
      <w:rPr>
        <w:rFonts w:ascii="Arial" w:hAnsi="Arial"/>
        <w:b/>
        <w:color w:val="ffffff"/>
        <w:sz w:val="22"/>
      </w:r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375" w:customStyle="1">
    <w:name w:val="清单表 6 彩色2"/>
    <w:basedOn w:val="849"/>
    <w:uiPriority w:val="99"/>
    <w:qFormat/>
    <w:rPr>
      <w:color w:val="000000" w:themeColor="text1"/>
      <w14:textFill>
        <w14:solidFill>
          <w14:schemeClr w14:val="tx1"/>
        </w14:solidFill>
      </w14:textFill>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76" w:customStyle="1">
    <w:name w:val="清单表 7 彩色2"/>
    <w:basedOn w:val="849"/>
    <w:uiPriority w:val="99"/>
    <w:qFormat/>
    <w:rPr>
      <w:color w:val="000000" w:themeColor="text1"/>
      <w14:textFill>
        <w14:solidFill>
          <w14:schemeClr w14:val="tx1"/>
        </w14:solidFill>
      </w14:textFill>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character" w:styleId="1377" w:customStyle="1">
    <w:name w:val="尾注文本 Char1"/>
    <w:basedOn w:val="848"/>
    <w:link w:val="871"/>
    <w:uiPriority w:val="99"/>
    <w:semiHidden/>
    <w:qFormat/>
    <w:rPr>
      <w:sz w:val="21"/>
      <w:szCs w:val="22"/>
    </w:rPr>
  </w:style>
  <w:style w:type="table" w:styleId="1378" w:customStyle="1">
    <w:name w:val="Table Grid Light1"/>
    <w:basedOn w:val="84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379" w:customStyle="1">
    <w:name w:val="Grid Table 1 Light - Accent 11"/>
    <w:basedOn w:val="849"/>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1380" w:customStyle="1">
    <w:name w:val="Grid Table 1 Light - Accent 21"/>
    <w:basedOn w:val="849"/>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1381" w:customStyle="1">
    <w:name w:val="Grid Table 1 Light - Accent 31"/>
    <w:basedOn w:val="849"/>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1382" w:customStyle="1">
    <w:name w:val="Grid Table 1 Light - Accent 41"/>
    <w:basedOn w:val="849"/>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1383" w:customStyle="1">
    <w:name w:val="Grid Table 1 Light - Accent 51"/>
    <w:basedOn w:val="849"/>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1384" w:customStyle="1">
    <w:name w:val="Grid Table 1 Light - Accent 61"/>
    <w:basedOn w:val="849"/>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1385" w:customStyle="1">
    <w:name w:val="Grid Table 2 - Accent 11"/>
    <w:basedOn w:val="849"/>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1386" w:customStyle="1">
    <w:name w:val="Grid Table 2 - Accent 21"/>
    <w:basedOn w:val="849"/>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1387" w:customStyle="1">
    <w:name w:val="Grid Table 2 - Accent 31"/>
    <w:basedOn w:val="849"/>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1388" w:customStyle="1">
    <w:name w:val="Grid Table 2 - Accent 41"/>
    <w:basedOn w:val="849"/>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1389" w:customStyle="1">
    <w:name w:val="Grid Table 2 - Accent 51"/>
    <w:basedOn w:val="849"/>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1390" w:customStyle="1">
    <w:name w:val="Grid Table 2 - Accent 61"/>
    <w:basedOn w:val="849"/>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1391" w:customStyle="1">
    <w:name w:val="Grid Table 3 - Accent 11"/>
    <w:basedOn w:val="849"/>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2" w:customStyle="1">
    <w:name w:val="Grid Table 3 - Accent 21"/>
    <w:basedOn w:val="849"/>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3" w:customStyle="1">
    <w:name w:val="Grid Table 3 - Accent 31"/>
    <w:basedOn w:val="849"/>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4" w:customStyle="1">
    <w:name w:val="Grid Table 3 - Accent 41"/>
    <w:basedOn w:val="849"/>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5" w:customStyle="1">
    <w:name w:val="Grid Table 3 - Accent 51"/>
    <w:basedOn w:val="849"/>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6" w:customStyle="1">
    <w:name w:val="Grid Table 3 - Accent 61"/>
    <w:basedOn w:val="849"/>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7" w:customStyle="1">
    <w:name w:val="Grid Table 4 - Accent 11"/>
    <w:basedOn w:val="849"/>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398" w:customStyle="1">
    <w:name w:val="Grid Table 4 - Accent 21"/>
    <w:basedOn w:val="849"/>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1399" w:customStyle="1">
    <w:name w:val="Grid Table 4 - Accent 31"/>
    <w:basedOn w:val="849"/>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1400" w:customStyle="1">
    <w:name w:val="Grid Table 4 - Accent 41"/>
    <w:basedOn w:val="849"/>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401" w:customStyle="1">
    <w:name w:val="Grid Table 4 - Accent 51"/>
    <w:basedOn w:val="849"/>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402" w:customStyle="1">
    <w:name w:val="Grid Table 4 - Accent 61"/>
    <w:basedOn w:val="849"/>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403" w:customStyle="1">
    <w:name w:val="Grid Table 5 Dark- Accent 11"/>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404" w:customStyle="1">
    <w:name w:val="Grid Table 5 Dark - Accent 21"/>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405" w:customStyle="1">
    <w:name w:val="Grid Table 5 Dark - Accent 31"/>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406" w:customStyle="1">
    <w:name w:val="Grid Table 5 Dark- Accent 41"/>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407" w:customStyle="1">
    <w:name w:val="Grid Table 5 Dark - Accent 51"/>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408" w:customStyle="1">
    <w:name w:val="Grid Table 5 Dark - Accent 61"/>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409" w:customStyle="1">
    <w:name w:val="Grid Table 6 Colorful - Accent 11"/>
    <w:basedOn w:val="849"/>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410" w:customStyle="1">
    <w:name w:val="Grid Table 6 Colorful - Accent 21"/>
    <w:basedOn w:val="849"/>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411" w:customStyle="1">
    <w:name w:val="Grid Table 6 Colorful - Accent 31"/>
    <w:basedOn w:val="849"/>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412" w:customStyle="1">
    <w:name w:val="Grid Table 6 Colorful - Accent 41"/>
    <w:basedOn w:val="849"/>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413" w:customStyle="1">
    <w:name w:val="Grid Table 6 Colorful - Accent 51"/>
    <w:basedOn w:val="849"/>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414" w:customStyle="1">
    <w:name w:val="Grid Table 6 Colorful - Accent 61"/>
    <w:basedOn w:val="849"/>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415" w:customStyle="1">
    <w:name w:val="Grid Table 7 Colorful - Accent 11"/>
    <w:basedOn w:val="849"/>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416" w:customStyle="1">
    <w:name w:val="Grid Table 7 Colorful - Accent 21"/>
    <w:basedOn w:val="849"/>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417" w:customStyle="1">
    <w:name w:val="Grid Table 7 Colorful - Accent 31"/>
    <w:basedOn w:val="849"/>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418" w:customStyle="1">
    <w:name w:val="Grid Table 7 Colorful - Accent 41"/>
    <w:basedOn w:val="849"/>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419" w:customStyle="1">
    <w:name w:val="Grid Table 7 Colorful - Accent 51"/>
    <w:basedOn w:val="849"/>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420" w:customStyle="1">
    <w:name w:val="Grid Table 7 Colorful - Accent 61"/>
    <w:basedOn w:val="849"/>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421" w:customStyle="1">
    <w:name w:val="List Table 1 Light - Accent 11"/>
    <w:basedOn w:val="849"/>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422" w:customStyle="1">
    <w:name w:val="List Table 1 Light - Accent 21"/>
    <w:basedOn w:val="849"/>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423" w:customStyle="1">
    <w:name w:val="List Table 1 Light - Accent 31"/>
    <w:basedOn w:val="849"/>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424" w:customStyle="1">
    <w:name w:val="List Table 1 Light - Accent 41"/>
    <w:basedOn w:val="849"/>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425" w:customStyle="1">
    <w:name w:val="List Table 1 Light - Accent 51"/>
    <w:basedOn w:val="849"/>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426" w:customStyle="1">
    <w:name w:val="List Table 1 Light - Accent 61"/>
    <w:basedOn w:val="849"/>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427" w:customStyle="1">
    <w:name w:val="List Table 2 - Accent 11"/>
    <w:basedOn w:val="849"/>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428" w:customStyle="1">
    <w:name w:val="List Table 2 - Accent 21"/>
    <w:basedOn w:val="849"/>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429" w:customStyle="1">
    <w:name w:val="List Table 2 - Accent 31"/>
    <w:basedOn w:val="849"/>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430" w:customStyle="1">
    <w:name w:val="List Table 2 - Accent 41"/>
    <w:basedOn w:val="849"/>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431" w:customStyle="1">
    <w:name w:val="List Table 2 - Accent 51"/>
    <w:basedOn w:val="849"/>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432" w:customStyle="1">
    <w:name w:val="List Table 2 - Accent 61"/>
    <w:basedOn w:val="849"/>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433" w:customStyle="1">
    <w:name w:val="List Table 3 - Accent 11"/>
    <w:basedOn w:val="849"/>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434" w:customStyle="1">
    <w:name w:val="List Table 3 - Accent 21"/>
    <w:basedOn w:val="849"/>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435" w:customStyle="1">
    <w:name w:val="List Table 3 - Accent 31"/>
    <w:basedOn w:val="849"/>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436" w:customStyle="1">
    <w:name w:val="List Table 3 - Accent 41"/>
    <w:basedOn w:val="849"/>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437" w:customStyle="1">
    <w:name w:val="List Table 3 - Accent 51"/>
    <w:basedOn w:val="849"/>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438" w:customStyle="1">
    <w:name w:val="List Table 3 - Accent 61"/>
    <w:basedOn w:val="849"/>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439" w:customStyle="1">
    <w:name w:val="List Table 4 - Accent 11"/>
    <w:basedOn w:val="849"/>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440" w:customStyle="1">
    <w:name w:val="List Table 4 - Accent 21"/>
    <w:basedOn w:val="849"/>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441" w:customStyle="1">
    <w:name w:val="List Table 4 - Accent 31"/>
    <w:basedOn w:val="849"/>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442" w:customStyle="1">
    <w:name w:val="List Table 4 - Accent 41"/>
    <w:basedOn w:val="849"/>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443" w:customStyle="1">
    <w:name w:val="List Table 4 - Accent 51"/>
    <w:basedOn w:val="849"/>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444" w:customStyle="1">
    <w:name w:val="List Table 4 - Accent 61"/>
    <w:basedOn w:val="849"/>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445" w:customStyle="1">
    <w:name w:val="List Table 5 Dark - Accent 11"/>
    <w:basedOn w:val="849"/>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446" w:customStyle="1">
    <w:name w:val="List Table 5 Dark - Accent 21"/>
    <w:basedOn w:val="849"/>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447" w:customStyle="1">
    <w:name w:val="List Table 5 Dark - Accent 31"/>
    <w:basedOn w:val="849"/>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448" w:customStyle="1">
    <w:name w:val="List Table 5 Dark - Accent 41"/>
    <w:basedOn w:val="849"/>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449" w:customStyle="1">
    <w:name w:val="List Table 5 Dark - Accent 51"/>
    <w:basedOn w:val="849"/>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450" w:customStyle="1">
    <w:name w:val="List Table 5 Dark - Accent 61"/>
    <w:basedOn w:val="849"/>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451" w:customStyle="1">
    <w:name w:val="List Table 6 Colorful - Accent 11"/>
    <w:basedOn w:val="849"/>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452" w:customStyle="1">
    <w:name w:val="List Table 6 Colorful - Accent 21"/>
    <w:basedOn w:val="849"/>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453" w:customStyle="1">
    <w:name w:val="List Table 6 Colorful - Accent 31"/>
    <w:basedOn w:val="849"/>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454" w:customStyle="1">
    <w:name w:val="List Table 6 Colorful - Accent 41"/>
    <w:basedOn w:val="849"/>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455" w:customStyle="1">
    <w:name w:val="List Table 6 Colorful - Accent 51"/>
    <w:basedOn w:val="849"/>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456" w:customStyle="1">
    <w:name w:val="List Table 6 Colorful - Accent 61"/>
    <w:basedOn w:val="849"/>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457" w:customStyle="1">
    <w:name w:val="List Table 7 Colorful - Accent 11"/>
    <w:basedOn w:val="849"/>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458" w:customStyle="1">
    <w:name w:val="List Table 7 Colorful - Accent 21"/>
    <w:basedOn w:val="849"/>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459" w:customStyle="1">
    <w:name w:val="List Table 7 Colorful - Accent 31"/>
    <w:basedOn w:val="849"/>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460" w:customStyle="1">
    <w:name w:val="List Table 7 Colorful - Accent 41"/>
    <w:basedOn w:val="849"/>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461" w:customStyle="1">
    <w:name w:val="List Table 7 Colorful - Accent 51"/>
    <w:basedOn w:val="849"/>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462" w:customStyle="1">
    <w:name w:val="List Table 7 Colorful - Accent 61"/>
    <w:basedOn w:val="849"/>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463" w:customStyle="1">
    <w:name w:val="Lined - Accent 11"/>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464" w:customStyle="1">
    <w:name w:val="Lined - Accent 21"/>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465" w:customStyle="1">
    <w:name w:val="Lined - Accent 31"/>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466" w:customStyle="1">
    <w:name w:val="Lined - Accent 41"/>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467" w:customStyle="1">
    <w:name w:val="Lined - Accent 51"/>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468" w:customStyle="1">
    <w:name w:val="Lined - Accent 61"/>
    <w:basedOn w:val="8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469" w:customStyle="1">
    <w:name w:val="Bordered &amp; Lined - Accent 11"/>
    <w:basedOn w:val="849"/>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470" w:customStyle="1">
    <w:name w:val="Bordered &amp; Lined - Accent 21"/>
    <w:basedOn w:val="849"/>
    <w:uiPriority w:val="99"/>
    <w:qFormat/>
    <w:rPr>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471" w:customStyle="1">
    <w:name w:val="Bordered &amp; Lined - Accent 31"/>
    <w:basedOn w:val="849"/>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472" w:customStyle="1">
    <w:name w:val="Bordered &amp; Lined - Accent 41"/>
    <w:basedOn w:val="849"/>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473" w:customStyle="1">
    <w:name w:val="Bordered &amp; Lined - Accent 51"/>
    <w:basedOn w:val="849"/>
    <w:uiPriority w:val="99"/>
    <w:qFormat/>
    <w:rPr>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474" w:customStyle="1">
    <w:name w:val="Bordered &amp; Lined - Accent 61"/>
    <w:basedOn w:val="849"/>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475" w:customStyle="1">
    <w:name w:val="Bordered1"/>
    <w:basedOn w:val="849"/>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476" w:customStyle="1">
    <w:name w:val="Bordered - Accent 11"/>
    <w:basedOn w:val="849"/>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477" w:customStyle="1">
    <w:name w:val="Bordered - Accent 21"/>
    <w:basedOn w:val="849"/>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478" w:customStyle="1">
    <w:name w:val="Bordered - Accent 31"/>
    <w:basedOn w:val="849"/>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479" w:customStyle="1">
    <w:name w:val="Bordered - Accent 41"/>
    <w:basedOn w:val="849"/>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480" w:customStyle="1">
    <w:name w:val="Bordered - Accent 51"/>
    <w:basedOn w:val="849"/>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481" w:customStyle="1">
    <w:name w:val="Bordered - Accent 61"/>
    <w:basedOn w:val="849"/>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482" w:customStyle="1">
    <w:name w:val="修订5"/>
    <w:hidden/>
    <w:uiPriority w:val="99"/>
    <w:semiHidden/>
    <w:qFormat/>
    <w:rPr>
      <w:rFonts w:ascii="Times New Roman" w:hAnsi="Times New Roman" w:eastAsia="宋体" w:cs="Times New Roman"/>
      <w:sz w:val="21"/>
      <w:szCs w:val="22"/>
      <w:lang w:val="en-US" w:eastAsia="zh-CN" w:bidi="ar-SA"/>
    </w:rPr>
  </w:style>
  <w:style w:type="paragraph" w:styleId="1483" w:customStyle="1">
    <w:name w:val="修订6"/>
    <w:hidden/>
    <w:uiPriority w:val="99"/>
    <w:unhideWhenUsed/>
    <w:qFormat/>
    <w:rPr>
      <w:rFonts w:ascii="Times New Roman" w:hAnsi="Times New Roman" w:eastAsia="宋体" w:cs="Times New Roman"/>
      <w:sz w:val="21"/>
      <w:szCs w:val="22"/>
      <w:lang w:val="en-US" w:eastAsia="zh-CN" w:bidi="ar-SA"/>
    </w:rPr>
  </w:style>
  <w:style w:type="paragraph" w:styleId="1484" w:customStyle="1">
    <w:name w:val="修订7"/>
    <w:hidden/>
    <w:uiPriority w:val="99"/>
    <w:semiHidden/>
    <w:qFormat/>
    <w:rPr>
      <w:rFonts w:ascii="Times New Roman" w:hAnsi="Times New Roman" w:eastAsia="宋体" w:cs="Times New Roman"/>
      <w:sz w:val="21"/>
      <w:szCs w:val="22"/>
      <w:lang w:val="en-US" w:eastAsia="zh-CN" w:bidi="ar-SA"/>
    </w:rPr>
  </w:style>
  <w:style w:type="paragraph" w:styleId="1485" w:customStyle="1">
    <w:name w:val="修订8"/>
    <w:hidden/>
    <w:uiPriority w:val="99"/>
    <w:semiHidden/>
    <w:qFormat/>
    <w:rPr>
      <w:rFonts w:ascii="Times New Roman" w:hAnsi="Times New Roman" w:eastAsia="宋体" w:cs="Times New Roman"/>
      <w:sz w:val="21"/>
      <w:szCs w:val="22"/>
      <w:lang w:val="en-US" w:eastAsia="zh-CN" w:bidi="ar-SA"/>
    </w:rPr>
  </w:style>
  <w:style w:type="paragraph" w:styleId="1486" w:customStyle="1">
    <w:name w:val="修订9"/>
    <w:hidden/>
    <w:uiPriority w:val="99"/>
    <w:unhideWhenUsed/>
    <w:qFormat/>
    <w:rPr>
      <w:rFonts w:ascii="Times New Roman" w:hAnsi="Times New Roman" w:eastAsia="宋体" w:cs="Times New Roman"/>
      <w:sz w:val="21"/>
      <w:szCs w:val="22"/>
      <w:lang w:val="en-US" w:eastAsia="zh-CN" w:bidi="ar-SA"/>
    </w:rPr>
  </w:style>
  <w:style w:type="paragraph" w:styleId="1487" w:customStyle="1">
    <w:name w:val="修订10"/>
    <w:hidden/>
    <w:uiPriority w:val="99"/>
    <w:unhideWhenUsed/>
    <w:qFormat/>
    <w:rPr>
      <w:rFonts w:ascii="Times New Roman" w:hAnsi="Times New Roman" w:eastAsia="宋体" w:cs="Times New Roman"/>
      <w:sz w:val="21"/>
      <w:szCs w:val="22"/>
      <w:lang w:val="en-US" w:eastAsia="zh-CN" w:bidi="ar-SA"/>
    </w:rPr>
  </w:style>
  <w:style w:type="paragraph" w:styleId="1488" w:customStyle="1">
    <w:name w:val="纯文本51"/>
    <w:basedOn w:val="838"/>
    <w:uiPriority w:val="0"/>
    <w:qFormat/>
    <w:rPr>
      <w:rFonts w:hint="eastAsia" w:ascii="宋体" w:hAnsi="Courier New" w:eastAsia="楷体_GB2312"/>
      <w:sz w:val="28"/>
      <w:szCs w:val="20"/>
    </w:rPr>
  </w:style>
  <w:style w:type="paragraph" w:styleId="1489" w:customStyle="1">
    <w:name w:val="纯文本5"/>
    <w:basedOn w:val="838"/>
    <w:uiPriority w:val="0"/>
    <w:qFormat/>
    <w:rPr>
      <w:rFonts w:hint="eastAsia" w:ascii="宋体" w:hAnsi="Courier New" w:eastAsia="楷体_GB2312"/>
      <w:sz w:val="28"/>
      <w:szCs w:val="20"/>
    </w:rPr>
  </w:style>
  <w:style w:type="paragraph" w:styleId="1490" w:customStyle="1">
    <w:name w:val="文本块1"/>
    <w:basedOn w:val="838"/>
    <w:uiPriority w:val="0"/>
    <w:qFormat/>
    <w:pPr>
      <w:ind w:left="630" w:right="-609" w:firstLine="420"/>
      <w:spacing w:line="360" w:lineRule="auto"/>
    </w:pPr>
    <w:rPr>
      <w:rFonts w:hint="eastAsia" w:ascii="仿宋_GB2312" w:eastAsia="仿宋_GB2312"/>
    </w:rPr>
  </w:style>
  <w:style w:type="paragraph" w:styleId="1491" w:customStyle="1">
    <w:name w:val="纯文本6"/>
    <w:basedOn w:val="838"/>
    <w:uiPriority w:val="0"/>
    <w:qFormat/>
    <w:rPr>
      <w:rFonts w:ascii="宋体" w:hAnsi="Courier New" w:eastAsia="楷体_GB2312"/>
      <w:sz w:val="26"/>
    </w:rPr>
  </w:style>
  <w:style w:type="character" w:styleId="1492" w:customStyle="1">
    <w:name w:val="NormalCharacter"/>
    <w:uiPriority w:val="0"/>
    <w:qFormat/>
    <w:rPr>
      <w:rFonts w:ascii="Times New Roman" w:hAnsi="Times New Roman" w:eastAsia="宋体" w:cs="Times New Roman"/>
      <w:sz w:val="21"/>
      <w:lang w:val="en-US" w:eastAsia="zh-CN" w:bidi="ar-SA"/>
    </w:rPr>
  </w:style>
  <w:style w:type="paragraph" w:styleId="1493" w:customStyle="1">
    <w:name w:val="WPSOffice手动目录 1"/>
    <w:uiPriority w:val="0"/>
    <w:qFormat/>
    <w:rPr>
      <w:rFonts w:ascii="Times New Roman" w:hAnsi="Times New Roman" w:eastAsia="宋体" w:cs="Times New Roman"/>
      <w:lang w:val="en-US" w:eastAsia="zh-CN" w:bidi="ar-SA"/>
    </w:rPr>
  </w:style>
  <w:style w:type="paragraph" w:styleId="1494" w:customStyle="1">
    <w:name w:val="修订11"/>
    <w:hidden/>
    <w:uiPriority w:val="99"/>
    <w:unhideWhenUsed/>
    <w:qFormat/>
    <w:rPr>
      <w:rFonts w:ascii="Times New Roman" w:hAnsi="Times New Roman" w:eastAsia="宋体" w:cs="Times New Roman"/>
      <w:sz w:val="21"/>
      <w:szCs w:val="22"/>
      <w:lang w:val="en-US" w:eastAsia="zh-CN" w:bidi="ar-SA"/>
    </w:rPr>
  </w:style>
  <w:style w:type="table" w:styleId="1495" w:customStyle="1">
    <w:name w:val="Table Normal"/>
    <w:uiPriority w:val="0"/>
    <w:semiHidden/>
    <w:unhideWhenUsed/>
    <w:qFormat/>
    <w:tblPr>
      <w:tblCellMar>
        <w:left w:w="0" w:type="dxa"/>
        <w:top w:w="0" w:type="dxa"/>
        <w:right w:w="0" w:type="dxa"/>
        <w:bottom w:w="0" w:type="dxa"/>
      </w:tblCellMar>
    </w:tblPr>
  </w:style>
  <w:style w:type="numbering" w:styleId="14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安磊</cp:lastModifiedBy>
  <cp:revision>14</cp:revision>
  <dcterms:created xsi:type="dcterms:W3CDTF">2026-05-19T03:28:00Z</dcterms:created>
  <dcterms:modified xsi:type="dcterms:W3CDTF">2026-05-26T08:09:05Z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E461E2E2E1BE47358B728DEA3140A291_13</vt:lpwstr>
  </property>
  <property fmtid="{D5CDD505-2E9C-101B-9397-08002B2CF9AE}" pid="4" name="KSOTemplateDocerSaveRecord">
    <vt:lpwstr>eyJoZGlkIjoiYTJjMDBmNGZkYTc3NjkwM2YyYWM4YTYzN2VhMWExODEiLCJ1c2VySWQiOiIyNzQ5NzU5MTYifQ==</vt:lpwstr>
  </property>
</Properties>
</file>